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35486" w14:textId="2C1C0BD7" w:rsidR="007A7894" w:rsidRPr="00D2134C" w:rsidRDefault="00F63BA8" w:rsidP="007A7894">
      <w:pPr>
        <w:rPr>
          <w:lang w:eastAsia="en-US"/>
        </w:rPr>
      </w:pPr>
      <w:r w:rsidRPr="00D2134C">
        <w:rPr>
          <w:rFonts w:eastAsia="Times New Roman"/>
          <w:b/>
          <w:bCs/>
          <w:noProof/>
          <w:color w:val="000000"/>
          <w:lang w:eastAsia="zh-CN" w:bidi="th-TH"/>
        </w:rPr>
        <w:drawing>
          <wp:inline distT="0" distB="0" distL="0" distR="0" wp14:anchorId="33680070" wp14:editId="208AA45C">
            <wp:extent cx="5924550" cy="8389620"/>
            <wp:effectExtent l="0" t="0" r="0" b="0"/>
            <wp:docPr id="29" name="Picture 29" descr="The document title page containing the National Disability Insurance Agency Logo with text - National Disability Insurance Agency Annual Report, 2021 to 2022.&#10;&#10;There is a picture of a mother holding her laughing son sitting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e document title page containing the National Disability Insurance Agency Logo with text - National Disability Insurance Agency Annual Report, 2021 to 2022.&#10;&#10;There is a picture of a mother holding her laughing son sitting in a tree."/>
                    <pic:cNvPicPr/>
                  </pic:nvPicPr>
                  <pic:blipFill>
                    <a:blip r:embed="rId11">
                      <a:extLst>
                        <a:ext uri="{28A0092B-C50C-407E-A947-70E740481C1C}">
                          <a14:useLocalDpi xmlns:a14="http://schemas.microsoft.com/office/drawing/2010/main" val="0"/>
                        </a:ext>
                      </a:extLst>
                    </a:blip>
                    <a:stretch>
                      <a:fillRect/>
                    </a:stretch>
                  </pic:blipFill>
                  <pic:spPr>
                    <a:xfrm>
                      <a:off x="0" y="0"/>
                      <a:ext cx="5924550" cy="8389620"/>
                    </a:xfrm>
                    <a:prstGeom prst="rect">
                      <a:avLst/>
                    </a:prstGeom>
                  </pic:spPr>
                </pic:pic>
              </a:graphicData>
            </a:graphic>
          </wp:inline>
        </w:drawing>
      </w:r>
    </w:p>
    <w:p w14:paraId="1E1E7F42" w14:textId="6F47AF46" w:rsidR="007A7894" w:rsidRPr="00D2134C" w:rsidRDefault="007A7894" w:rsidP="007A7894">
      <w:pPr>
        <w:spacing w:before="0"/>
        <w:ind w:left="0"/>
      </w:pPr>
      <w:r w:rsidRPr="00D2134C">
        <w:rPr>
          <w:rFonts w:eastAsia="Times New Roman"/>
          <w:color w:val="000000"/>
          <w:lang w:eastAsia="zh-CN" w:bidi="th-TH"/>
        </w:rPr>
        <w:br w:type="page"/>
      </w:r>
    </w:p>
    <w:p w14:paraId="3B45F9B7" w14:textId="4AB11A26" w:rsidR="007A7894" w:rsidRPr="00D2134C" w:rsidRDefault="007A7894" w:rsidP="007A7894">
      <w:pPr>
        <w:spacing w:before="0"/>
        <w:rPr>
          <w:rFonts w:eastAsia="Times New Roman"/>
          <w:b/>
          <w:bCs/>
          <w:color w:val="000000"/>
          <w:lang w:eastAsia="zh-CN" w:bidi="th-TH"/>
        </w:rPr>
      </w:pPr>
      <w:r w:rsidRPr="00D2134C">
        <w:rPr>
          <w:rFonts w:eastAsia="Times New Roman"/>
          <w:b/>
          <w:bCs/>
          <w:color w:val="000000"/>
          <w:lang w:eastAsia="zh-CN" w:bidi="th-TH"/>
        </w:rPr>
        <w:lastRenderedPageBreak/>
        <w:t xml:space="preserve">Ace </w:t>
      </w:r>
      <w:r w:rsidR="00A5379F">
        <w:rPr>
          <w:rFonts w:eastAsia="Times New Roman"/>
          <w:b/>
          <w:bCs/>
          <w:color w:val="000000"/>
          <w:lang w:eastAsia="zh-CN" w:bidi="th-TH"/>
        </w:rPr>
        <w:t>(pictured on cover with his mother Bianca)</w:t>
      </w:r>
    </w:p>
    <w:p w14:paraId="22F325EE" w14:textId="77777777" w:rsidR="00B42B66" w:rsidRPr="00D2134C" w:rsidRDefault="00B42B66" w:rsidP="00B42B66">
      <w:pPr>
        <w:pStyle w:val="FGCNORMAL"/>
        <w:rPr>
          <w:lang w:eastAsia="zh-CN" w:bidi="th-TH"/>
        </w:rPr>
      </w:pPr>
      <w:r w:rsidRPr="00D2134C">
        <w:rPr>
          <w:lang w:eastAsia="zh-CN" w:bidi="th-TH"/>
        </w:rPr>
        <w:t>Ace lives with a rare neuro-degenerative disorder called Aicardi-Goutières syndrome (AGS), which affects his brain, muscle control and movement.</w:t>
      </w:r>
    </w:p>
    <w:p w14:paraId="6502D48E" w14:textId="77777777" w:rsidR="00B42B66" w:rsidRPr="00D2134C" w:rsidRDefault="00B42B66" w:rsidP="00B42B66">
      <w:pPr>
        <w:pStyle w:val="FGCNORMAL"/>
        <w:rPr>
          <w:lang w:eastAsia="zh-CN" w:bidi="th-TH"/>
        </w:rPr>
      </w:pPr>
      <w:r w:rsidRPr="00D2134C">
        <w:rPr>
          <w:lang w:eastAsia="zh-CN" w:bidi="th-TH"/>
        </w:rPr>
        <w:t xml:space="preserve">He uses a wheelchair, needs care and assistance with everyday activities, and is non-verbal. </w:t>
      </w:r>
    </w:p>
    <w:p w14:paraId="38A13529" w14:textId="77777777" w:rsidR="00B42B66" w:rsidRPr="00D2134C" w:rsidRDefault="00B42B66" w:rsidP="00B42B66">
      <w:pPr>
        <w:pStyle w:val="FGCNORMAL"/>
        <w:rPr>
          <w:lang w:eastAsia="zh-CN" w:bidi="th-TH"/>
        </w:rPr>
      </w:pPr>
      <w:r w:rsidRPr="00D2134C">
        <w:rPr>
          <w:lang w:eastAsia="zh-CN" w:bidi="th-TH"/>
        </w:rPr>
        <w:t>For years, Ace struggled to communicate his needs and wants to those around him. That all changed when a communication device, funded through Ace’s NDIS plan, unlocked his world.</w:t>
      </w:r>
    </w:p>
    <w:p w14:paraId="1B813D1D" w14:textId="07450211" w:rsidR="00B42B66" w:rsidRPr="00D2134C" w:rsidRDefault="00B42B66" w:rsidP="00B42B66">
      <w:pPr>
        <w:pStyle w:val="FGCNORMAL"/>
        <w:rPr>
          <w:lang w:eastAsia="zh-CN" w:bidi="th-TH"/>
        </w:rPr>
      </w:pPr>
      <w:r w:rsidRPr="00D2134C">
        <w:rPr>
          <w:lang w:eastAsia="zh-CN" w:bidi="th-TH"/>
        </w:rPr>
        <w:t>Ace also receives other NDIS supports</w:t>
      </w:r>
      <w:r w:rsidR="0059611B" w:rsidRPr="00D2134C">
        <w:rPr>
          <w:lang w:eastAsia="zh-CN" w:bidi="th-TH"/>
        </w:rPr>
        <w:t>,</w:t>
      </w:r>
      <w:r w:rsidRPr="00D2134C">
        <w:rPr>
          <w:lang w:eastAsia="zh-CN" w:bidi="th-TH"/>
        </w:rPr>
        <w:t xml:space="preserve"> including</w:t>
      </w:r>
      <w:r w:rsidR="0059611B" w:rsidRPr="00D2134C">
        <w:rPr>
          <w:lang w:eastAsia="zh-CN" w:bidi="th-TH"/>
        </w:rPr>
        <w:t xml:space="preserve"> the assistance of</w:t>
      </w:r>
      <w:r w:rsidRPr="00D2134C">
        <w:rPr>
          <w:lang w:eastAsia="zh-CN" w:bidi="th-TH"/>
        </w:rPr>
        <w:t xml:space="preserve"> his support worker Kat</w:t>
      </w:r>
      <w:r w:rsidR="00965C8A">
        <w:rPr>
          <w:lang w:eastAsia="zh-CN" w:bidi="th-TH"/>
        </w:rPr>
        <w:t>,</w:t>
      </w:r>
      <w:r w:rsidRPr="00D2134C">
        <w:rPr>
          <w:lang w:eastAsia="zh-CN" w:bidi="th-TH"/>
        </w:rPr>
        <w:t xml:space="preserve"> who cares for him twice a week.</w:t>
      </w:r>
    </w:p>
    <w:p w14:paraId="4812457F" w14:textId="77777777" w:rsidR="00B42B66" w:rsidRPr="00D2134C" w:rsidRDefault="00B42B66" w:rsidP="00B42B66">
      <w:pPr>
        <w:pStyle w:val="FGCNORMAL"/>
        <w:rPr>
          <w:lang w:eastAsia="zh-CN" w:bidi="th-TH"/>
        </w:rPr>
      </w:pPr>
      <w:r w:rsidRPr="00D2134C">
        <w:rPr>
          <w:lang w:eastAsia="zh-CN" w:bidi="th-TH"/>
        </w:rPr>
        <w:t xml:space="preserve">‘The NDIS has been </w:t>
      </w:r>
      <w:proofErr w:type="gramStart"/>
      <w:r w:rsidRPr="00D2134C">
        <w:rPr>
          <w:lang w:eastAsia="zh-CN" w:bidi="th-TH"/>
        </w:rPr>
        <w:t>absolutely life-changing</w:t>
      </w:r>
      <w:proofErr w:type="gramEnd"/>
      <w:r w:rsidRPr="00D2134C">
        <w:rPr>
          <w:lang w:eastAsia="zh-CN" w:bidi="th-TH"/>
        </w:rPr>
        <w:t xml:space="preserve"> for us. It’s helping to keep us together as a family, it’s helping Ace live his life to the absolute fullest and we’re a happier, more cohesive family’, says Bianca, Ace’s mum. </w:t>
      </w:r>
    </w:p>
    <w:p w14:paraId="0000E950" w14:textId="77777777" w:rsidR="00B42B66" w:rsidRPr="00D2134C" w:rsidRDefault="00B42B66" w:rsidP="00B42B66">
      <w:pPr>
        <w:pStyle w:val="FGCNORMAL"/>
        <w:rPr>
          <w:lang w:eastAsia="zh-CN" w:bidi="th-TH"/>
        </w:rPr>
      </w:pPr>
      <w:r w:rsidRPr="00D2134C">
        <w:rPr>
          <w:lang w:eastAsia="zh-CN" w:bidi="th-TH"/>
        </w:rPr>
        <w:t>‘Ace has a degenerative condition, so he should be getting worse, but he’s actually getting better. Almost every month he blows us away with something new he can do, it’s amazing.’</w:t>
      </w:r>
    </w:p>
    <w:p w14:paraId="6468EFA1" w14:textId="77777777" w:rsidR="008C093A" w:rsidRPr="00D2134C" w:rsidRDefault="008C093A">
      <w:pPr>
        <w:spacing w:before="0" w:after="160" w:line="259" w:lineRule="auto"/>
        <w:ind w:left="0"/>
      </w:pPr>
      <w:r w:rsidRPr="00D2134C">
        <w:br w:type="page"/>
      </w:r>
    </w:p>
    <w:sdt>
      <w:sdtPr>
        <w:rPr>
          <w:rFonts w:eastAsiaTheme="minorEastAsia" w:cs="Arial"/>
          <w:b w:val="0"/>
          <w:color w:val="auto"/>
          <w:sz w:val="22"/>
          <w:szCs w:val="22"/>
          <w:lang w:val="en-AU" w:eastAsia="ja-JP"/>
        </w:rPr>
        <w:id w:val="2085798571"/>
        <w:docPartObj>
          <w:docPartGallery w:val="Table of Contents"/>
          <w:docPartUnique/>
        </w:docPartObj>
      </w:sdtPr>
      <w:sdtEndPr>
        <w:rPr>
          <w:bCs/>
        </w:rPr>
      </w:sdtEndPr>
      <w:sdtContent>
        <w:p w14:paraId="23AABABC" w14:textId="17216313" w:rsidR="006E1D91" w:rsidRPr="00580D8F" w:rsidRDefault="00D511CB" w:rsidP="00580D8F">
          <w:pPr>
            <w:pStyle w:val="TOCHeading"/>
            <w:rPr>
              <w:noProof/>
            </w:rPr>
          </w:pPr>
          <w:r w:rsidRPr="00D2134C">
            <w:rPr>
              <w:lang w:val="en-AU"/>
            </w:rPr>
            <w:t>Table of</w:t>
          </w:r>
          <w:r w:rsidRPr="00D2134C">
            <w:rPr>
              <w:rFonts w:eastAsiaTheme="minorEastAsia" w:cs="Arial"/>
              <w:b w:val="0"/>
              <w:color w:val="auto"/>
              <w:sz w:val="22"/>
              <w:szCs w:val="22"/>
              <w:lang w:val="en-AU" w:eastAsia="ja-JP"/>
            </w:rPr>
            <w:t xml:space="preserve"> </w:t>
          </w:r>
          <w:r w:rsidR="00ED7770" w:rsidRPr="00D2134C">
            <w:rPr>
              <w:lang w:val="en-AU"/>
            </w:rPr>
            <w:t>c</w:t>
          </w:r>
          <w:r w:rsidR="008627F6" w:rsidRPr="00D2134C">
            <w:rPr>
              <w:lang w:val="en-AU"/>
            </w:rPr>
            <w:t>ontents</w:t>
          </w:r>
          <w:r w:rsidR="008627F6" w:rsidRPr="00D2134C">
            <w:fldChar w:fldCharType="begin"/>
          </w:r>
          <w:r w:rsidR="008627F6" w:rsidRPr="00D2134C">
            <w:instrText xml:space="preserve"> TOC \o "1-3" \h \z \u </w:instrText>
          </w:r>
          <w:r w:rsidR="008627F6" w:rsidRPr="00D2134C">
            <w:fldChar w:fldCharType="separate"/>
          </w:r>
        </w:p>
        <w:p w14:paraId="67CA918A" w14:textId="3CF365E3" w:rsidR="006E1D91" w:rsidRDefault="00000000" w:rsidP="006E1D91">
          <w:pPr>
            <w:pStyle w:val="TOC1"/>
            <w:rPr>
              <w:rFonts w:asciiTheme="minorHAnsi" w:hAnsiTheme="minorHAnsi" w:cstheme="minorBidi"/>
              <w:noProof/>
              <w:szCs w:val="28"/>
              <w:lang w:eastAsia="zh-CN" w:bidi="th-TH"/>
            </w:rPr>
          </w:pPr>
          <w:hyperlink w:anchor="_Toc116473843" w:history="1">
            <w:r w:rsidR="006E1D91" w:rsidRPr="00B463BE">
              <w:rPr>
                <w:rStyle w:val="Hyperlink"/>
                <w:noProof/>
              </w:rPr>
              <w:t>1</w:t>
            </w:r>
            <w:r w:rsidR="006E1D91">
              <w:rPr>
                <w:rFonts w:asciiTheme="minorHAnsi" w:hAnsiTheme="minorHAnsi" w:cstheme="minorBidi"/>
                <w:noProof/>
                <w:szCs w:val="28"/>
                <w:lang w:eastAsia="zh-CN" w:bidi="th-TH"/>
              </w:rPr>
              <w:tab/>
            </w:r>
            <w:r w:rsidR="006E1D91" w:rsidRPr="00B463BE">
              <w:rPr>
                <w:rStyle w:val="Hyperlink"/>
                <w:noProof/>
              </w:rPr>
              <w:t>Introduction</w:t>
            </w:r>
            <w:r w:rsidR="006E1D91">
              <w:rPr>
                <w:noProof/>
                <w:webHidden/>
              </w:rPr>
              <w:tab/>
            </w:r>
            <w:r w:rsidR="006E1D91">
              <w:rPr>
                <w:noProof/>
                <w:webHidden/>
              </w:rPr>
              <w:fldChar w:fldCharType="begin"/>
            </w:r>
            <w:r w:rsidR="006E1D91">
              <w:rPr>
                <w:noProof/>
                <w:webHidden/>
              </w:rPr>
              <w:instrText xml:space="preserve"> PAGEREF _Toc116473843 \h </w:instrText>
            </w:r>
            <w:r w:rsidR="006E1D91">
              <w:rPr>
                <w:noProof/>
                <w:webHidden/>
              </w:rPr>
            </w:r>
            <w:r w:rsidR="006E1D91">
              <w:rPr>
                <w:noProof/>
                <w:webHidden/>
              </w:rPr>
              <w:fldChar w:fldCharType="separate"/>
            </w:r>
            <w:r w:rsidR="00431E12">
              <w:rPr>
                <w:noProof/>
                <w:webHidden/>
              </w:rPr>
              <w:t>6</w:t>
            </w:r>
            <w:r w:rsidR="006E1D91">
              <w:rPr>
                <w:noProof/>
                <w:webHidden/>
              </w:rPr>
              <w:fldChar w:fldCharType="end"/>
            </w:r>
          </w:hyperlink>
        </w:p>
        <w:p w14:paraId="613E53C4" w14:textId="75E7868C" w:rsidR="006E1D91" w:rsidRDefault="00000000">
          <w:pPr>
            <w:pStyle w:val="TOC2"/>
            <w:rPr>
              <w:rFonts w:asciiTheme="minorHAnsi" w:eastAsiaTheme="minorEastAsia" w:hAnsiTheme="minorHAnsi" w:cstheme="minorBidi"/>
              <w:szCs w:val="28"/>
              <w:lang w:eastAsia="zh-CN" w:bidi="th-TH"/>
            </w:rPr>
          </w:pPr>
          <w:hyperlink w:anchor="_Toc116473844" w:history="1">
            <w:r w:rsidR="006E1D91" w:rsidRPr="00B463BE">
              <w:rPr>
                <w:rStyle w:val="Hyperlink"/>
              </w:rPr>
              <w:t>Acknowledgement</w:t>
            </w:r>
            <w:r w:rsidR="006E1D91">
              <w:rPr>
                <w:webHidden/>
              </w:rPr>
              <w:tab/>
            </w:r>
            <w:r w:rsidR="006E1D91">
              <w:rPr>
                <w:webHidden/>
              </w:rPr>
              <w:fldChar w:fldCharType="begin"/>
            </w:r>
            <w:r w:rsidR="006E1D91">
              <w:rPr>
                <w:webHidden/>
              </w:rPr>
              <w:instrText xml:space="preserve"> PAGEREF _Toc116473844 \h </w:instrText>
            </w:r>
            <w:r w:rsidR="006E1D91">
              <w:rPr>
                <w:webHidden/>
              </w:rPr>
            </w:r>
            <w:r w:rsidR="006E1D91">
              <w:rPr>
                <w:webHidden/>
              </w:rPr>
              <w:fldChar w:fldCharType="separate"/>
            </w:r>
            <w:r w:rsidR="00431E12">
              <w:rPr>
                <w:webHidden/>
              </w:rPr>
              <w:t>6</w:t>
            </w:r>
            <w:r w:rsidR="006E1D91">
              <w:rPr>
                <w:webHidden/>
              </w:rPr>
              <w:fldChar w:fldCharType="end"/>
            </w:r>
          </w:hyperlink>
        </w:p>
        <w:p w14:paraId="2F2070FA" w14:textId="4DB02294" w:rsidR="006E1D91" w:rsidRDefault="00000000">
          <w:pPr>
            <w:pStyle w:val="TOC2"/>
            <w:rPr>
              <w:rFonts w:asciiTheme="minorHAnsi" w:eastAsiaTheme="minorEastAsia" w:hAnsiTheme="minorHAnsi" w:cstheme="minorBidi"/>
              <w:szCs w:val="28"/>
              <w:lang w:eastAsia="zh-CN" w:bidi="th-TH"/>
            </w:rPr>
          </w:pPr>
          <w:hyperlink w:anchor="_Toc116473845" w:history="1">
            <w:r w:rsidR="006E1D91" w:rsidRPr="00B463BE">
              <w:rPr>
                <w:rStyle w:val="Hyperlink"/>
              </w:rPr>
              <w:t>Commitment</w:t>
            </w:r>
            <w:r w:rsidR="006E1D91">
              <w:rPr>
                <w:webHidden/>
              </w:rPr>
              <w:tab/>
            </w:r>
            <w:r w:rsidR="006E1D91">
              <w:rPr>
                <w:webHidden/>
              </w:rPr>
              <w:fldChar w:fldCharType="begin"/>
            </w:r>
            <w:r w:rsidR="006E1D91">
              <w:rPr>
                <w:webHidden/>
              </w:rPr>
              <w:instrText xml:space="preserve"> PAGEREF _Toc116473845 \h </w:instrText>
            </w:r>
            <w:r w:rsidR="006E1D91">
              <w:rPr>
                <w:webHidden/>
              </w:rPr>
            </w:r>
            <w:r w:rsidR="006E1D91">
              <w:rPr>
                <w:webHidden/>
              </w:rPr>
              <w:fldChar w:fldCharType="separate"/>
            </w:r>
            <w:r w:rsidR="00431E12">
              <w:rPr>
                <w:webHidden/>
              </w:rPr>
              <w:t>6</w:t>
            </w:r>
            <w:r w:rsidR="006E1D91">
              <w:rPr>
                <w:webHidden/>
              </w:rPr>
              <w:fldChar w:fldCharType="end"/>
            </w:r>
          </w:hyperlink>
        </w:p>
        <w:p w14:paraId="0A9AFA72" w14:textId="0EE47E29" w:rsidR="006E1D91" w:rsidRDefault="00000000">
          <w:pPr>
            <w:pStyle w:val="TOC2"/>
            <w:rPr>
              <w:rFonts w:asciiTheme="minorHAnsi" w:eastAsiaTheme="minorEastAsia" w:hAnsiTheme="minorHAnsi" w:cstheme="minorBidi"/>
              <w:szCs w:val="28"/>
              <w:lang w:eastAsia="zh-CN" w:bidi="th-TH"/>
            </w:rPr>
          </w:pPr>
          <w:hyperlink w:anchor="_Toc116473846" w:history="1">
            <w:r w:rsidR="006E1D91" w:rsidRPr="00B463BE">
              <w:rPr>
                <w:rStyle w:val="Hyperlink"/>
              </w:rPr>
              <w:t>1.1</w:t>
            </w:r>
            <w:r w:rsidR="006E1D91">
              <w:rPr>
                <w:rFonts w:asciiTheme="minorHAnsi" w:eastAsiaTheme="minorEastAsia" w:hAnsiTheme="minorHAnsi" w:cstheme="minorBidi"/>
                <w:szCs w:val="28"/>
                <w:lang w:eastAsia="zh-CN" w:bidi="th-TH"/>
              </w:rPr>
              <w:tab/>
            </w:r>
            <w:r w:rsidR="006E1D91" w:rsidRPr="00B463BE">
              <w:rPr>
                <w:rStyle w:val="Hyperlink"/>
              </w:rPr>
              <w:t>Chair’s review</w:t>
            </w:r>
            <w:r w:rsidR="006E1D91">
              <w:rPr>
                <w:webHidden/>
              </w:rPr>
              <w:tab/>
            </w:r>
            <w:r w:rsidR="006E1D91">
              <w:rPr>
                <w:webHidden/>
              </w:rPr>
              <w:fldChar w:fldCharType="begin"/>
            </w:r>
            <w:r w:rsidR="006E1D91">
              <w:rPr>
                <w:webHidden/>
              </w:rPr>
              <w:instrText xml:space="preserve"> PAGEREF _Toc116473846 \h </w:instrText>
            </w:r>
            <w:r w:rsidR="006E1D91">
              <w:rPr>
                <w:webHidden/>
              </w:rPr>
            </w:r>
            <w:r w:rsidR="006E1D91">
              <w:rPr>
                <w:webHidden/>
              </w:rPr>
              <w:fldChar w:fldCharType="separate"/>
            </w:r>
            <w:r w:rsidR="00431E12">
              <w:rPr>
                <w:webHidden/>
              </w:rPr>
              <w:t>6</w:t>
            </w:r>
            <w:r w:rsidR="006E1D91">
              <w:rPr>
                <w:webHidden/>
              </w:rPr>
              <w:fldChar w:fldCharType="end"/>
            </w:r>
          </w:hyperlink>
        </w:p>
        <w:p w14:paraId="76868FCC" w14:textId="63FC0057" w:rsidR="006E1D91" w:rsidRDefault="00000000">
          <w:pPr>
            <w:pStyle w:val="TOC2"/>
            <w:rPr>
              <w:rFonts w:asciiTheme="minorHAnsi" w:eastAsiaTheme="minorEastAsia" w:hAnsiTheme="minorHAnsi" w:cstheme="minorBidi"/>
              <w:szCs w:val="28"/>
              <w:lang w:eastAsia="zh-CN" w:bidi="th-TH"/>
            </w:rPr>
          </w:pPr>
          <w:hyperlink w:anchor="_Toc116473847" w:history="1">
            <w:r w:rsidR="006E1D91" w:rsidRPr="00B463BE">
              <w:rPr>
                <w:rStyle w:val="Hyperlink"/>
              </w:rPr>
              <w:t>1.2</w:t>
            </w:r>
            <w:r w:rsidR="006E1D91">
              <w:rPr>
                <w:rFonts w:asciiTheme="minorHAnsi" w:eastAsiaTheme="minorEastAsia" w:hAnsiTheme="minorHAnsi" w:cstheme="minorBidi"/>
                <w:szCs w:val="28"/>
                <w:lang w:eastAsia="zh-CN" w:bidi="th-TH"/>
              </w:rPr>
              <w:tab/>
            </w:r>
            <w:r w:rsidR="006E1D91" w:rsidRPr="00B463BE">
              <w:rPr>
                <w:rStyle w:val="Hyperlink"/>
              </w:rPr>
              <w:t>Acting Chief Executive Officer’s review</w:t>
            </w:r>
            <w:r w:rsidR="006E1D91">
              <w:rPr>
                <w:webHidden/>
              </w:rPr>
              <w:tab/>
            </w:r>
            <w:r w:rsidR="006E1D91">
              <w:rPr>
                <w:webHidden/>
              </w:rPr>
              <w:fldChar w:fldCharType="begin"/>
            </w:r>
            <w:r w:rsidR="006E1D91">
              <w:rPr>
                <w:webHidden/>
              </w:rPr>
              <w:instrText xml:space="preserve"> PAGEREF _Toc116473847 \h </w:instrText>
            </w:r>
            <w:r w:rsidR="006E1D91">
              <w:rPr>
                <w:webHidden/>
              </w:rPr>
            </w:r>
            <w:r w:rsidR="006E1D91">
              <w:rPr>
                <w:webHidden/>
              </w:rPr>
              <w:fldChar w:fldCharType="separate"/>
            </w:r>
            <w:r w:rsidR="00431E12">
              <w:rPr>
                <w:webHidden/>
              </w:rPr>
              <w:t>8</w:t>
            </w:r>
            <w:r w:rsidR="006E1D91">
              <w:rPr>
                <w:webHidden/>
              </w:rPr>
              <w:fldChar w:fldCharType="end"/>
            </w:r>
          </w:hyperlink>
        </w:p>
        <w:p w14:paraId="234781A4" w14:textId="7159B529" w:rsidR="006E1D91" w:rsidRDefault="00000000">
          <w:pPr>
            <w:pStyle w:val="TOC2"/>
            <w:rPr>
              <w:rFonts w:asciiTheme="minorHAnsi" w:eastAsiaTheme="minorEastAsia" w:hAnsiTheme="minorHAnsi" w:cstheme="minorBidi"/>
              <w:szCs w:val="28"/>
              <w:lang w:eastAsia="zh-CN" w:bidi="th-TH"/>
            </w:rPr>
          </w:pPr>
          <w:hyperlink w:anchor="_Toc116473848" w:history="1">
            <w:r w:rsidR="006E1D91" w:rsidRPr="00B463BE">
              <w:rPr>
                <w:rStyle w:val="Hyperlink"/>
              </w:rPr>
              <w:t>1.3</w:t>
            </w:r>
            <w:r w:rsidR="006E1D91">
              <w:rPr>
                <w:rFonts w:asciiTheme="minorHAnsi" w:eastAsiaTheme="minorEastAsia" w:hAnsiTheme="minorHAnsi" w:cstheme="minorBidi"/>
                <w:szCs w:val="28"/>
                <w:lang w:eastAsia="zh-CN" w:bidi="th-TH"/>
              </w:rPr>
              <w:tab/>
            </w:r>
            <w:r w:rsidR="006E1D91" w:rsidRPr="00B463BE">
              <w:rPr>
                <w:rStyle w:val="Hyperlink"/>
              </w:rPr>
              <w:t>The National Disability Insurance Scheme</w:t>
            </w:r>
            <w:r w:rsidR="006E1D91">
              <w:rPr>
                <w:webHidden/>
              </w:rPr>
              <w:tab/>
            </w:r>
            <w:r w:rsidR="006E1D91">
              <w:rPr>
                <w:webHidden/>
              </w:rPr>
              <w:fldChar w:fldCharType="begin"/>
            </w:r>
            <w:r w:rsidR="006E1D91">
              <w:rPr>
                <w:webHidden/>
              </w:rPr>
              <w:instrText xml:space="preserve"> PAGEREF _Toc116473848 \h </w:instrText>
            </w:r>
            <w:r w:rsidR="006E1D91">
              <w:rPr>
                <w:webHidden/>
              </w:rPr>
            </w:r>
            <w:r w:rsidR="006E1D91">
              <w:rPr>
                <w:webHidden/>
              </w:rPr>
              <w:fldChar w:fldCharType="separate"/>
            </w:r>
            <w:r w:rsidR="00431E12">
              <w:rPr>
                <w:webHidden/>
              </w:rPr>
              <w:t>9</w:t>
            </w:r>
            <w:r w:rsidR="006E1D91">
              <w:rPr>
                <w:webHidden/>
              </w:rPr>
              <w:fldChar w:fldCharType="end"/>
            </w:r>
          </w:hyperlink>
        </w:p>
        <w:p w14:paraId="41A3C3C9" w14:textId="3C9F5F28" w:rsidR="006E1D91" w:rsidRDefault="00000000">
          <w:pPr>
            <w:pStyle w:val="TOC2"/>
            <w:rPr>
              <w:rFonts w:asciiTheme="minorHAnsi" w:eastAsiaTheme="minorEastAsia" w:hAnsiTheme="minorHAnsi" w:cstheme="minorBidi"/>
              <w:szCs w:val="28"/>
              <w:lang w:eastAsia="zh-CN" w:bidi="th-TH"/>
            </w:rPr>
          </w:pPr>
          <w:hyperlink w:anchor="_Toc116473850" w:history="1">
            <w:r w:rsidR="006E1D91" w:rsidRPr="00B463BE">
              <w:rPr>
                <w:rStyle w:val="Hyperlink"/>
              </w:rPr>
              <w:t>1.4</w:t>
            </w:r>
            <w:r w:rsidR="006E1D91">
              <w:rPr>
                <w:rFonts w:asciiTheme="minorHAnsi" w:eastAsiaTheme="minorEastAsia" w:hAnsiTheme="minorHAnsi" w:cstheme="minorBidi"/>
                <w:szCs w:val="28"/>
                <w:lang w:eastAsia="zh-CN" w:bidi="th-TH"/>
              </w:rPr>
              <w:tab/>
            </w:r>
            <w:r w:rsidR="006E1D91" w:rsidRPr="00B463BE">
              <w:rPr>
                <w:rStyle w:val="Hyperlink"/>
              </w:rPr>
              <w:t>The National Disability Insurance Agency</w:t>
            </w:r>
            <w:r w:rsidR="006E1D91">
              <w:rPr>
                <w:webHidden/>
              </w:rPr>
              <w:tab/>
            </w:r>
            <w:r w:rsidR="006E1D91">
              <w:rPr>
                <w:webHidden/>
              </w:rPr>
              <w:fldChar w:fldCharType="begin"/>
            </w:r>
            <w:r w:rsidR="006E1D91">
              <w:rPr>
                <w:webHidden/>
              </w:rPr>
              <w:instrText xml:space="preserve"> PAGEREF _Toc116473850 \h </w:instrText>
            </w:r>
            <w:r w:rsidR="006E1D91">
              <w:rPr>
                <w:webHidden/>
              </w:rPr>
            </w:r>
            <w:r w:rsidR="006E1D91">
              <w:rPr>
                <w:webHidden/>
              </w:rPr>
              <w:fldChar w:fldCharType="separate"/>
            </w:r>
            <w:r w:rsidR="00431E12">
              <w:rPr>
                <w:webHidden/>
              </w:rPr>
              <w:t>10</w:t>
            </w:r>
            <w:r w:rsidR="006E1D91">
              <w:rPr>
                <w:webHidden/>
              </w:rPr>
              <w:fldChar w:fldCharType="end"/>
            </w:r>
          </w:hyperlink>
        </w:p>
        <w:p w14:paraId="429AD002" w14:textId="2291B355" w:rsidR="006E1D91" w:rsidRDefault="00000000" w:rsidP="006E1D91">
          <w:pPr>
            <w:pStyle w:val="TOC1"/>
            <w:rPr>
              <w:rFonts w:asciiTheme="minorHAnsi" w:hAnsiTheme="minorHAnsi" w:cstheme="minorBidi"/>
              <w:noProof/>
              <w:szCs w:val="28"/>
              <w:lang w:eastAsia="zh-CN" w:bidi="th-TH"/>
            </w:rPr>
          </w:pPr>
          <w:hyperlink w:anchor="_Toc116473851" w:history="1">
            <w:r w:rsidR="006E1D91" w:rsidRPr="00B463BE">
              <w:rPr>
                <w:rStyle w:val="Hyperlink"/>
                <w:noProof/>
              </w:rPr>
              <w:t>2</w:t>
            </w:r>
            <w:r w:rsidR="006E1D91">
              <w:rPr>
                <w:rFonts w:asciiTheme="minorHAnsi" w:hAnsiTheme="minorHAnsi" w:cstheme="minorBidi"/>
                <w:noProof/>
                <w:szCs w:val="28"/>
                <w:lang w:eastAsia="zh-CN" w:bidi="th-TH"/>
              </w:rPr>
              <w:tab/>
            </w:r>
            <w:r w:rsidR="006E1D91" w:rsidRPr="00B463BE">
              <w:rPr>
                <w:rStyle w:val="Hyperlink"/>
                <w:noProof/>
              </w:rPr>
              <w:t>Building a better NDIS</w:t>
            </w:r>
            <w:r w:rsidR="006E1D91">
              <w:rPr>
                <w:noProof/>
                <w:webHidden/>
              </w:rPr>
              <w:tab/>
            </w:r>
            <w:r w:rsidR="006E1D91">
              <w:rPr>
                <w:noProof/>
                <w:webHidden/>
              </w:rPr>
              <w:fldChar w:fldCharType="begin"/>
            </w:r>
            <w:r w:rsidR="006E1D91">
              <w:rPr>
                <w:noProof/>
                <w:webHidden/>
              </w:rPr>
              <w:instrText xml:space="preserve"> PAGEREF _Toc116473851 \h </w:instrText>
            </w:r>
            <w:r w:rsidR="006E1D91">
              <w:rPr>
                <w:noProof/>
                <w:webHidden/>
              </w:rPr>
            </w:r>
            <w:r w:rsidR="006E1D91">
              <w:rPr>
                <w:noProof/>
                <w:webHidden/>
              </w:rPr>
              <w:fldChar w:fldCharType="separate"/>
            </w:r>
            <w:r w:rsidR="00431E12">
              <w:rPr>
                <w:noProof/>
                <w:webHidden/>
              </w:rPr>
              <w:t>11</w:t>
            </w:r>
            <w:r w:rsidR="006E1D91">
              <w:rPr>
                <w:noProof/>
                <w:webHidden/>
              </w:rPr>
              <w:fldChar w:fldCharType="end"/>
            </w:r>
          </w:hyperlink>
        </w:p>
        <w:p w14:paraId="482ABC56" w14:textId="28220AAB" w:rsidR="006E1D91" w:rsidRDefault="00000000">
          <w:pPr>
            <w:pStyle w:val="TOC2"/>
            <w:rPr>
              <w:rFonts w:asciiTheme="minorHAnsi" w:eastAsiaTheme="minorEastAsia" w:hAnsiTheme="minorHAnsi" w:cstheme="minorBidi"/>
              <w:szCs w:val="28"/>
              <w:lang w:eastAsia="zh-CN" w:bidi="th-TH"/>
            </w:rPr>
          </w:pPr>
          <w:hyperlink w:anchor="_Toc116473852" w:history="1">
            <w:r w:rsidR="006E1D91" w:rsidRPr="00B463BE">
              <w:rPr>
                <w:rStyle w:val="Hyperlink"/>
              </w:rPr>
              <w:t>2.1</w:t>
            </w:r>
            <w:r w:rsidR="006E1D91">
              <w:rPr>
                <w:rFonts w:asciiTheme="minorHAnsi" w:eastAsiaTheme="minorEastAsia" w:hAnsiTheme="minorHAnsi" w:cstheme="minorBidi"/>
                <w:szCs w:val="28"/>
                <w:lang w:eastAsia="zh-CN" w:bidi="th-TH"/>
              </w:rPr>
              <w:tab/>
            </w:r>
            <w:r w:rsidR="006E1D91" w:rsidRPr="00B463BE">
              <w:rPr>
                <w:rStyle w:val="Hyperlink"/>
              </w:rPr>
              <w:t>How far we have come</w:t>
            </w:r>
            <w:r w:rsidR="006E1D91">
              <w:rPr>
                <w:webHidden/>
              </w:rPr>
              <w:tab/>
            </w:r>
            <w:r w:rsidR="006E1D91">
              <w:rPr>
                <w:webHidden/>
              </w:rPr>
              <w:fldChar w:fldCharType="begin"/>
            </w:r>
            <w:r w:rsidR="006E1D91">
              <w:rPr>
                <w:webHidden/>
              </w:rPr>
              <w:instrText xml:space="preserve"> PAGEREF _Toc116473852 \h </w:instrText>
            </w:r>
            <w:r w:rsidR="006E1D91">
              <w:rPr>
                <w:webHidden/>
              </w:rPr>
            </w:r>
            <w:r w:rsidR="006E1D91">
              <w:rPr>
                <w:webHidden/>
              </w:rPr>
              <w:fldChar w:fldCharType="separate"/>
            </w:r>
            <w:r w:rsidR="00431E12">
              <w:rPr>
                <w:webHidden/>
              </w:rPr>
              <w:t>11</w:t>
            </w:r>
            <w:r w:rsidR="006E1D91">
              <w:rPr>
                <w:webHidden/>
              </w:rPr>
              <w:fldChar w:fldCharType="end"/>
            </w:r>
          </w:hyperlink>
        </w:p>
        <w:p w14:paraId="0901C941" w14:textId="1DDB17B8" w:rsidR="006E1D91" w:rsidRDefault="00000000">
          <w:pPr>
            <w:pStyle w:val="TOC2"/>
            <w:rPr>
              <w:rFonts w:asciiTheme="minorHAnsi" w:eastAsiaTheme="minorEastAsia" w:hAnsiTheme="minorHAnsi" w:cstheme="minorBidi"/>
              <w:szCs w:val="28"/>
              <w:lang w:eastAsia="zh-CN" w:bidi="th-TH"/>
            </w:rPr>
          </w:pPr>
          <w:hyperlink w:anchor="_Toc116473859" w:history="1">
            <w:r w:rsidR="006E1D91" w:rsidRPr="00B463BE">
              <w:rPr>
                <w:rStyle w:val="Hyperlink"/>
              </w:rPr>
              <w:t>2.2</w:t>
            </w:r>
            <w:r w:rsidR="006E1D91">
              <w:rPr>
                <w:rFonts w:asciiTheme="minorHAnsi" w:eastAsiaTheme="minorEastAsia" w:hAnsiTheme="minorHAnsi" w:cstheme="minorBidi"/>
                <w:szCs w:val="28"/>
                <w:lang w:eastAsia="zh-CN" w:bidi="th-TH"/>
              </w:rPr>
              <w:tab/>
            </w:r>
            <w:r w:rsidR="006E1D91" w:rsidRPr="00B463BE">
              <w:rPr>
                <w:rStyle w:val="Hyperlink"/>
              </w:rPr>
              <w:t>Where we are today</w:t>
            </w:r>
            <w:r w:rsidR="006E1D91">
              <w:rPr>
                <w:webHidden/>
              </w:rPr>
              <w:tab/>
            </w:r>
            <w:r w:rsidR="006E1D91">
              <w:rPr>
                <w:webHidden/>
              </w:rPr>
              <w:fldChar w:fldCharType="begin"/>
            </w:r>
            <w:r w:rsidR="006E1D91">
              <w:rPr>
                <w:webHidden/>
              </w:rPr>
              <w:instrText xml:space="preserve"> PAGEREF _Toc116473859 \h </w:instrText>
            </w:r>
            <w:r w:rsidR="006E1D91">
              <w:rPr>
                <w:webHidden/>
              </w:rPr>
            </w:r>
            <w:r w:rsidR="006E1D91">
              <w:rPr>
                <w:webHidden/>
              </w:rPr>
              <w:fldChar w:fldCharType="separate"/>
            </w:r>
            <w:r w:rsidR="00431E12">
              <w:rPr>
                <w:webHidden/>
              </w:rPr>
              <w:t>22</w:t>
            </w:r>
            <w:r w:rsidR="006E1D91">
              <w:rPr>
                <w:webHidden/>
              </w:rPr>
              <w:fldChar w:fldCharType="end"/>
            </w:r>
          </w:hyperlink>
        </w:p>
        <w:p w14:paraId="249275F1" w14:textId="52F398AB" w:rsidR="006E1D91" w:rsidRDefault="00000000">
          <w:pPr>
            <w:pStyle w:val="TOC3"/>
            <w:rPr>
              <w:rFonts w:asciiTheme="minorHAnsi" w:hAnsiTheme="minorHAnsi" w:cstheme="minorBidi"/>
              <w:noProof/>
              <w:szCs w:val="28"/>
              <w:lang w:eastAsia="zh-CN" w:bidi="th-TH"/>
            </w:rPr>
          </w:pPr>
          <w:hyperlink w:anchor="_Toc116473860" w:history="1">
            <w:r w:rsidR="006E1D91" w:rsidRPr="00B463BE">
              <w:rPr>
                <w:rStyle w:val="Hyperlink"/>
                <w:noProof/>
              </w:rPr>
              <w:t>2.2.1</w:t>
            </w:r>
            <w:r w:rsidR="006E1D91">
              <w:rPr>
                <w:rFonts w:asciiTheme="minorHAnsi" w:hAnsiTheme="minorHAnsi" w:cstheme="minorBidi"/>
                <w:noProof/>
                <w:szCs w:val="28"/>
                <w:lang w:eastAsia="zh-CN" w:bidi="th-TH"/>
              </w:rPr>
              <w:tab/>
            </w:r>
            <w:r w:rsidR="006E1D91" w:rsidRPr="00B463BE">
              <w:rPr>
                <w:rStyle w:val="Hyperlink"/>
                <w:noProof/>
              </w:rPr>
              <w:t>NDIA aspirations</w:t>
            </w:r>
            <w:r w:rsidR="006E1D91">
              <w:rPr>
                <w:noProof/>
                <w:webHidden/>
              </w:rPr>
              <w:tab/>
            </w:r>
            <w:r w:rsidR="006E1D91">
              <w:rPr>
                <w:noProof/>
                <w:webHidden/>
              </w:rPr>
              <w:fldChar w:fldCharType="begin"/>
            </w:r>
            <w:r w:rsidR="006E1D91">
              <w:rPr>
                <w:noProof/>
                <w:webHidden/>
              </w:rPr>
              <w:instrText xml:space="preserve"> PAGEREF _Toc116473860 \h </w:instrText>
            </w:r>
            <w:r w:rsidR="006E1D91">
              <w:rPr>
                <w:noProof/>
                <w:webHidden/>
              </w:rPr>
            </w:r>
            <w:r w:rsidR="006E1D91">
              <w:rPr>
                <w:noProof/>
                <w:webHidden/>
              </w:rPr>
              <w:fldChar w:fldCharType="separate"/>
            </w:r>
            <w:r w:rsidR="00431E12">
              <w:rPr>
                <w:noProof/>
                <w:webHidden/>
              </w:rPr>
              <w:t>22</w:t>
            </w:r>
            <w:r w:rsidR="006E1D91">
              <w:rPr>
                <w:noProof/>
                <w:webHidden/>
              </w:rPr>
              <w:fldChar w:fldCharType="end"/>
            </w:r>
          </w:hyperlink>
        </w:p>
        <w:p w14:paraId="21C3624A" w14:textId="0D723A01" w:rsidR="006E1D91" w:rsidRDefault="00000000">
          <w:pPr>
            <w:pStyle w:val="TOC3"/>
            <w:rPr>
              <w:rFonts w:asciiTheme="minorHAnsi" w:hAnsiTheme="minorHAnsi" w:cstheme="minorBidi"/>
              <w:noProof/>
              <w:szCs w:val="28"/>
              <w:lang w:eastAsia="zh-CN" w:bidi="th-TH"/>
            </w:rPr>
          </w:pPr>
          <w:hyperlink w:anchor="_Toc116473861" w:history="1">
            <w:r w:rsidR="006E1D91" w:rsidRPr="00B463BE">
              <w:rPr>
                <w:rStyle w:val="Hyperlink"/>
                <w:noProof/>
              </w:rPr>
              <w:t>2.2.2</w:t>
            </w:r>
            <w:r w:rsidR="006E1D91">
              <w:rPr>
                <w:rFonts w:asciiTheme="minorHAnsi" w:hAnsiTheme="minorHAnsi" w:cstheme="minorBidi"/>
                <w:noProof/>
                <w:szCs w:val="28"/>
                <w:lang w:eastAsia="zh-CN" w:bidi="th-TH"/>
              </w:rPr>
              <w:tab/>
            </w:r>
            <w:r w:rsidR="006E1D91" w:rsidRPr="00B463BE">
              <w:rPr>
                <w:rStyle w:val="Hyperlink"/>
                <w:noProof/>
              </w:rPr>
              <w:t>NDIA Values</w:t>
            </w:r>
            <w:r w:rsidR="006E1D91">
              <w:rPr>
                <w:noProof/>
                <w:webHidden/>
              </w:rPr>
              <w:tab/>
            </w:r>
            <w:r w:rsidR="006E1D91">
              <w:rPr>
                <w:noProof/>
                <w:webHidden/>
              </w:rPr>
              <w:fldChar w:fldCharType="begin"/>
            </w:r>
            <w:r w:rsidR="006E1D91">
              <w:rPr>
                <w:noProof/>
                <w:webHidden/>
              </w:rPr>
              <w:instrText xml:space="preserve"> PAGEREF _Toc116473861 \h </w:instrText>
            </w:r>
            <w:r w:rsidR="006E1D91">
              <w:rPr>
                <w:noProof/>
                <w:webHidden/>
              </w:rPr>
            </w:r>
            <w:r w:rsidR="006E1D91">
              <w:rPr>
                <w:noProof/>
                <w:webHidden/>
              </w:rPr>
              <w:fldChar w:fldCharType="separate"/>
            </w:r>
            <w:r w:rsidR="00431E12">
              <w:rPr>
                <w:noProof/>
                <w:webHidden/>
              </w:rPr>
              <w:t>24</w:t>
            </w:r>
            <w:r w:rsidR="006E1D91">
              <w:rPr>
                <w:noProof/>
                <w:webHidden/>
              </w:rPr>
              <w:fldChar w:fldCharType="end"/>
            </w:r>
          </w:hyperlink>
        </w:p>
        <w:p w14:paraId="5F9E6C26" w14:textId="5B4F8FB7" w:rsidR="006E1D91" w:rsidRDefault="00000000">
          <w:pPr>
            <w:pStyle w:val="TOC3"/>
            <w:rPr>
              <w:rFonts w:asciiTheme="minorHAnsi" w:hAnsiTheme="minorHAnsi" w:cstheme="minorBidi"/>
              <w:noProof/>
              <w:szCs w:val="28"/>
              <w:lang w:eastAsia="zh-CN" w:bidi="th-TH"/>
            </w:rPr>
          </w:pPr>
          <w:hyperlink w:anchor="_Toc116473862" w:history="1">
            <w:r w:rsidR="006E1D91" w:rsidRPr="00B463BE">
              <w:rPr>
                <w:rStyle w:val="Hyperlink"/>
                <w:noProof/>
              </w:rPr>
              <w:t>2.2.3</w:t>
            </w:r>
            <w:r w:rsidR="006E1D91">
              <w:rPr>
                <w:rFonts w:asciiTheme="minorHAnsi" w:hAnsiTheme="minorHAnsi" w:cstheme="minorBidi"/>
                <w:noProof/>
                <w:szCs w:val="28"/>
                <w:lang w:eastAsia="zh-CN" w:bidi="th-TH"/>
              </w:rPr>
              <w:tab/>
            </w:r>
            <w:r w:rsidR="006E1D91" w:rsidRPr="00B463BE">
              <w:rPr>
                <w:rStyle w:val="Hyperlink"/>
                <w:noProof/>
              </w:rPr>
              <w:t>Key achievements in 2021–22</w:t>
            </w:r>
            <w:r w:rsidR="006E1D91">
              <w:rPr>
                <w:noProof/>
                <w:webHidden/>
              </w:rPr>
              <w:tab/>
            </w:r>
            <w:r w:rsidR="006E1D91">
              <w:rPr>
                <w:noProof/>
                <w:webHidden/>
              </w:rPr>
              <w:fldChar w:fldCharType="begin"/>
            </w:r>
            <w:r w:rsidR="006E1D91">
              <w:rPr>
                <w:noProof/>
                <w:webHidden/>
              </w:rPr>
              <w:instrText xml:space="preserve"> PAGEREF _Toc116473862 \h </w:instrText>
            </w:r>
            <w:r w:rsidR="006E1D91">
              <w:rPr>
                <w:noProof/>
                <w:webHidden/>
              </w:rPr>
            </w:r>
            <w:r w:rsidR="006E1D91">
              <w:rPr>
                <w:noProof/>
                <w:webHidden/>
              </w:rPr>
              <w:fldChar w:fldCharType="separate"/>
            </w:r>
            <w:r w:rsidR="00431E12">
              <w:rPr>
                <w:noProof/>
                <w:webHidden/>
              </w:rPr>
              <w:t>24</w:t>
            </w:r>
            <w:r w:rsidR="006E1D91">
              <w:rPr>
                <w:noProof/>
                <w:webHidden/>
              </w:rPr>
              <w:fldChar w:fldCharType="end"/>
            </w:r>
          </w:hyperlink>
        </w:p>
        <w:p w14:paraId="5BA7E1A4" w14:textId="54305E89" w:rsidR="006E1D91" w:rsidRDefault="00000000">
          <w:pPr>
            <w:pStyle w:val="TOC2"/>
            <w:rPr>
              <w:rFonts w:asciiTheme="minorHAnsi" w:eastAsiaTheme="minorEastAsia" w:hAnsiTheme="minorHAnsi" w:cstheme="minorBidi"/>
              <w:szCs w:val="28"/>
              <w:lang w:eastAsia="zh-CN" w:bidi="th-TH"/>
            </w:rPr>
          </w:pPr>
          <w:hyperlink w:anchor="_Toc116473863" w:history="1">
            <w:r w:rsidR="006E1D91" w:rsidRPr="00B463BE">
              <w:rPr>
                <w:rStyle w:val="Hyperlink"/>
              </w:rPr>
              <w:t>2.3</w:t>
            </w:r>
            <w:r w:rsidR="006E1D91">
              <w:rPr>
                <w:rFonts w:asciiTheme="minorHAnsi" w:eastAsiaTheme="minorEastAsia" w:hAnsiTheme="minorHAnsi" w:cstheme="minorBidi"/>
                <w:szCs w:val="28"/>
                <w:lang w:eastAsia="zh-CN" w:bidi="th-TH"/>
              </w:rPr>
              <w:tab/>
            </w:r>
            <w:r w:rsidR="006E1D91" w:rsidRPr="00B463BE">
              <w:rPr>
                <w:rStyle w:val="Hyperlink"/>
              </w:rPr>
              <w:t>How we intend to move forward</w:t>
            </w:r>
            <w:r w:rsidR="006E1D91">
              <w:rPr>
                <w:webHidden/>
              </w:rPr>
              <w:tab/>
            </w:r>
            <w:r w:rsidR="006E1D91">
              <w:rPr>
                <w:webHidden/>
              </w:rPr>
              <w:fldChar w:fldCharType="begin"/>
            </w:r>
            <w:r w:rsidR="006E1D91">
              <w:rPr>
                <w:webHidden/>
              </w:rPr>
              <w:instrText xml:space="preserve"> PAGEREF _Toc116473863 \h </w:instrText>
            </w:r>
            <w:r w:rsidR="006E1D91">
              <w:rPr>
                <w:webHidden/>
              </w:rPr>
            </w:r>
            <w:r w:rsidR="006E1D91">
              <w:rPr>
                <w:webHidden/>
              </w:rPr>
              <w:fldChar w:fldCharType="separate"/>
            </w:r>
            <w:r w:rsidR="00431E12">
              <w:rPr>
                <w:webHidden/>
              </w:rPr>
              <w:t>46</w:t>
            </w:r>
            <w:r w:rsidR="006E1D91">
              <w:rPr>
                <w:webHidden/>
              </w:rPr>
              <w:fldChar w:fldCharType="end"/>
            </w:r>
          </w:hyperlink>
        </w:p>
        <w:p w14:paraId="528849BD" w14:textId="5AB37007" w:rsidR="006E1D91" w:rsidRDefault="00000000" w:rsidP="006E1D91">
          <w:pPr>
            <w:pStyle w:val="TOC1"/>
            <w:rPr>
              <w:rFonts w:asciiTheme="minorHAnsi" w:hAnsiTheme="minorHAnsi" w:cstheme="minorBidi"/>
              <w:noProof/>
              <w:szCs w:val="28"/>
              <w:lang w:eastAsia="zh-CN" w:bidi="th-TH"/>
            </w:rPr>
          </w:pPr>
          <w:hyperlink w:anchor="_Toc116473864" w:history="1">
            <w:r w:rsidR="006E1D91" w:rsidRPr="00B463BE">
              <w:rPr>
                <w:rStyle w:val="Hyperlink"/>
                <w:noProof/>
              </w:rPr>
              <w:t>3</w:t>
            </w:r>
            <w:r w:rsidR="006E1D91">
              <w:rPr>
                <w:rFonts w:asciiTheme="minorHAnsi" w:hAnsiTheme="minorHAnsi" w:cstheme="minorBidi"/>
                <w:noProof/>
                <w:szCs w:val="28"/>
                <w:lang w:eastAsia="zh-CN" w:bidi="th-TH"/>
              </w:rPr>
              <w:tab/>
            </w:r>
            <w:r w:rsidR="006E1D91" w:rsidRPr="00B463BE">
              <w:rPr>
                <w:rStyle w:val="Hyperlink"/>
                <w:noProof/>
              </w:rPr>
              <w:t>Financials</w:t>
            </w:r>
            <w:r w:rsidR="006E1D91">
              <w:rPr>
                <w:noProof/>
                <w:webHidden/>
              </w:rPr>
              <w:tab/>
            </w:r>
            <w:r w:rsidR="006E1D91">
              <w:rPr>
                <w:noProof/>
                <w:webHidden/>
              </w:rPr>
              <w:fldChar w:fldCharType="begin"/>
            </w:r>
            <w:r w:rsidR="006E1D91">
              <w:rPr>
                <w:noProof/>
                <w:webHidden/>
              </w:rPr>
              <w:instrText xml:space="preserve"> PAGEREF _Toc116473864 \h </w:instrText>
            </w:r>
            <w:r w:rsidR="006E1D91">
              <w:rPr>
                <w:noProof/>
                <w:webHidden/>
              </w:rPr>
            </w:r>
            <w:r w:rsidR="006E1D91">
              <w:rPr>
                <w:noProof/>
                <w:webHidden/>
              </w:rPr>
              <w:fldChar w:fldCharType="separate"/>
            </w:r>
            <w:r w:rsidR="00431E12">
              <w:rPr>
                <w:noProof/>
                <w:webHidden/>
              </w:rPr>
              <w:t>47</w:t>
            </w:r>
            <w:r w:rsidR="006E1D91">
              <w:rPr>
                <w:noProof/>
                <w:webHidden/>
              </w:rPr>
              <w:fldChar w:fldCharType="end"/>
            </w:r>
          </w:hyperlink>
        </w:p>
        <w:p w14:paraId="15811551" w14:textId="2745D926" w:rsidR="006E1D91" w:rsidRDefault="00000000" w:rsidP="00580D8F">
          <w:pPr>
            <w:pStyle w:val="TOC2"/>
            <w:rPr>
              <w:rFonts w:asciiTheme="minorHAnsi" w:eastAsiaTheme="minorEastAsia" w:hAnsiTheme="minorHAnsi" w:cstheme="minorBidi"/>
              <w:szCs w:val="28"/>
              <w:lang w:eastAsia="zh-CN" w:bidi="th-TH"/>
            </w:rPr>
          </w:pPr>
          <w:hyperlink w:anchor="_Toc116473869" w:history="1">
            <w:r w:rsidR="006E1D91" w:rsidRPr="00B463BE">
              <w:rPr>
                <w:rStyle w:val="Hyperlink"/>
              </w:rPr>
              <w:t>3.1</w:t>
            </w:r>
            <w:r w:rsidR="006E1D91">
              <w:rPr>
                <w:rFonts w:asciiTheme="minorHAnsi" w:eastAsiaTheme="minorEastAsia" w:hAnsiTheme="minorHAnsi" w:cstheme="minorBidi"/>
                <w:szCs w:val="28"/>
                <w:lang w:eastAsia="zh-CN" w:bidi="th-TH"/>
              </w:rPr>
              <w:tab/>
            </w:r>
            <w:r w:rsidR="006E1D91" w:rsidRPr="00B463BE">
              <w:rPr>
                <w:rStyle w:val="Hyperlink"/>
              </w:rPr>
              <w:t>Financial statements</w:t>
            </w:r>
            <w:r w:rsidR="006E1D91">
              <w:rPr>
                <w:webHidden/>
              </w:rPr>
              <w:tab/>
            </w:r>
            <w:r w:rsidR="006E1D91">
              <w:rPr>
                <w:webHidden/>
              </w:rPr>
              <w:fldChar w:fldCharType="begin"/>
            </w:r>
            <w:r w:rsidR="006E1D91">
              <w:rPr>
                <w:webHidden/>
              </w:rPr>
              <w:instrText xml:space="preserve"> PAGEREF _Toc116473869 \h </w:instrText>
            </w:r>
            <w:r w:rsidR="006E1D91">
              <w:rPr>
                <w:webHidden/>
              </w:rPr>
            </w:r>
            <w:r w:rsidR="006E1D91">
              <w:rPr>
                <w:webHidden/>
              </w:rPr>
              <w:fldChar w:fldCharType="separate"/>
            </w:r>
            <w:r w:rsidR="00431E12">
              <w:rPr>
                <w:webHidden/>
              </w:rPr>
              <w:t>52</w:t>
            </w:r>
            <w:r w:rsidR="006E1D91">
              <w:rPr>
                <w:webHidden/>
              </w:rPr>
              <w:fldChar w:fldCharType="end"/>
            </w:r>
          </w:hyperlink>
        </w:p>
        <w:p w14:paraId="141B7AAD" w14:textId="22255EEE" w:rsidR="006E1D91" w:rsidRDefault="00000000">
          <w:pPr>
            <w:pStyle w:val="TOC2"/>
            <w:rPr>
              <w:rFonts w:asciiTheme="minorHAnsi" w:eastAsiaTheme="minorEastAsia" w:hAnsiTheme="minorHAnsi" w:cstheme="minorBidi"/>
              <w:szCs w:val="28"/>
              <w:lang w:eastAsia="zh-CN" w:bidi="th-TH"/>
            </w:rPr>
          </w:pPr>
          <w:hyperlink w:anchor="_Toc116473889" w:history="1">
            <w:r w:rsidR="006E1D91" w:rsidRPr="00B463BE">
              <w:rPr>
                <w:rStyle w:val="Hyperlink"/>
              </w:rPr>
              <w:t>3.2</w:t>
            </w:r>
            <w:r w:rsidR="006E1D91">
              <w:rPr>
                <w:rFonts w:asciiTheme="minorHAnsi" w:eastAsiaTheme="minorEastAsia" w:hAnsiTheme="minorHAnsi" w:cstheme="minorBidi"/>
                <w:szCs w:val="28"/>
                <w:lang w:eastAsia="zh-CN" w:bidi="th-TH"/>
              </w:rPr>
              <w:tab/>
            </w:r>
            <w:r w:rsidR="006E1D91" w:rsidRPr="00B463BE">
              <w:rPr>
                <w:rStyle w:val="Hyperlink"/>
              </w:rPr>
              <w:t>Financial Sustainability Report 2021‒22</w:t>
            </w:r>
            <w:r w:rsidR="006E1D91">
              <w:rPr>
                <w:webHidden/>
              </w:rPr>
              <w:tab/>
            </w:r>
            <w:r w:rsidR="006E1D91">
              <w:rPr>
                <w:webHidden/>
              </w:rPr>
              <w:fldChar w:fldCharType="begin"/>
            </w:r>
            <w:r w:rsidR="006E1D91">
              <w:rPr>
                <w:webHidden/>
              </w:rPr>
              <w:instrText xml:space="preserve"> PAGEREF _Toc116473889 \h </w:instrText>
            </w:r>
            <w:r w:rsidR="006E1D91">
              <w:rPr>
                <w:webHidden/>
              </w:rPr>
            </w:r>
            <w:r w:rsidR="006E1D91">
              <w:rPr>
                <w:webHidden/>
              </w:rPr>
              <w:fldChar w:fldCharType="separate"/>
            </w:r>
            <w:r w:rsidR="00431E12">
              <w:rPr>
                <w:webHidden/>
              </w:rPr>
              <w:t>82</w:t>
            </w:r>
            <w:r w:rsidR="006E1D91">
              <w:rPr>
                <w:webHidden/>
              </w:rPr>
              <w:fldChar w:fldCharType="end"/>
            </w:r>
          </w:hyperlink>
        </w:p>
        <w:p w14:paraId="7D3E05CD" w14:textId="09E5C8A2" w:rsidR="006E1D91" w:rsidRDefault="00000000">
          <w:pPr>
            <w:pStyle w:val="TOC3"/>
            <w:rPr>
              <w:rFonts w:asciiTheme="minorHAnsi" w:hAnsiTheme="minorHAnsi" w:cstheme="minorBidi"/>
              <w:noProof/>
              <w:szCs w:val="28"/>
              <w:lang w:eastAsia="zh-CN" w:bidi="th-TH"/>
            </w:rPr>
          </w:pPr>
          <w:hyperlink w:anchor="_Toc116473890" w:history="1">
            <w:r w:rsidR="006E1D91" w:rsidRPr="00B463BE">
              <w:rPr>
                <w:rStyle w:val="Hyperlink"/>
                <w:noProof/>
              </w:rPr>
              <w:t>3.2.1</w:t>
            </w:r>
            <w:r w:rsidR="006E1D91">
              <w:rPr>
                <w:rFonts w:asciiTheme="minorHAnsi" w:hAnsiTheme="minorHAnsi" w:cstheme="minorBidi"/>
                <w:noProof/>
                <w:szCs w:val="28"/>
                <w:lang w:eastAsia="zh-CN" w:bidi="th-TH"/>
              </w:rPr>
              <w:tab/>
            </w:r>
            <w:r w:rsidR="006E1D91" w:rsidRPr="00B463BE">
              <w:rPr>
                <w:rStyle w:val="Hyperlink"/>
                <w:noProof/>
              </w:rPr>
              <w:t>Executive summary</w:t>
            </w:r>
            <w:r w:rsidR="006E1D91">
              <w:rPr>
                <w:noProof/>
                <w:webHidden/>
              </w:rPr>
              <w:tab/>
            </w:r>
            <w:r w:rsidR="006E1D91">
              <w:rPr>
                <w:noProof/>
                <w:webHidden/>
              </w:rPr>
              <w:fldChar w:fldCharType="begin"/>
            </w:r>
            <w:r w:rsidR="006E1D91">
              <w:rPr>
                <w:noProof/>
                <w:webHidden/>
              </w:rPr>
              <w:instrText xml:space="preserve"> PAGEREF _Toc116473890 \h </w:instrText>
            </w:r>
            <w:r w:rsidR="006E1D91">
              <w:rPr>
                <w:noProof/>
                <w:webHidden/>
              </w:rPr>
            </w:r>
            <w:r w:rsidR="006E1D91">
              <w:rPr>
                <w:noProof/>
                <w:webHidden/>
              </w:rPr>
              <w:fldChar w:fldCharType="separate"/>
            </w:r>
            <w:r w:rsidR="00431E12">
              <w:rPr>
                <w:noProof/>
                <w:webHidden/>
              </w:rPr>
              <w:t>82</w:t>
            </w:r>
            <w:r w:rsidR="006E1D91">
              <w:rPr>
                <w:noProof/>
                <w:webHidden/>
              </w:rPr>
              <w:fldChar w:fldCharType="end"/>
            </w:r>
          </w:hyperlink>
        </w:p>
        <w:p w14:paraId="4F718A33" w14:textId="472C655A" w:rsidR="006E1D91" w:rsidRDefault="00000000">
          <w:pPr>
            <w:pStyle w:val="TOC2"/>
            <w:rPr>
              <w:rFonts w:asciiTheme="minorHAnsi" w:eastAsiaTheme="minorEastAsia" w:hAnsiTheme="minorHAnsi" w:cstheme="minorBidi"/>
              <w:szCs w:val="28"/>
              <w:lang w:eastAsia="zh-CN" w:bidi="th-TH"/>
            </w:rPr>
          </w:pPr>
          <w:hyperlink w:anchor="_Toc116473891" w:history="1">
            <w:r w:rsidR="006E1D91" w:rsidRPr="00B463BE">
              <w:rPr>
                <w:rStyle w:val="Hyperlink"/>
              </w:rPr>
              <w:t>3.3</w:t>
            </w:r>
            <w:r w:rsidR="006E1D91">
              <w:rPr>
                <w:rFonts w:asciiTheme="minorHAnsi" w:eastAsiaTheme="minorEastAsia" w:hAnsiTheme="minorHAnsi" w:cstheme="minorBidi"/>
                <w:szCs w:val="28"/>
                <w:lang w:eastAsia="zh-CN" w:bidi="th-TH"/>
              </w:rPr>
              <w:tab/>
            </w:r>
            <w:r w:rsidR="006E1D91" w:rsidRPr="00B463BE">
              <w:rPr>
                <w:rStyle w:val="Hyperlink"/>
              </w:rPr>
              <w:t>Annual performance statements</w:t>
            </w:r>
            <w:r w:rsidR="006E1D91">
              <w:rPr>
                <w:webHidden/>
              </w:rPr>
              <w:tab/>
            </w:r>
            <w:r w:rsidR="006E1D91">
              <w:rPr>
                <w:webHidden/>
              </w:rPr>
              <w:fldChar w:fldCharType="begin"/>
            </w:r>
            <w:r w:rsidR="006E1D91">
              <w:rPr>
                <w:webHidden/>
              </w:rPr>
              <w:instrText xml:space="preserve"> PAGEREF _Toc116473891 \h </w:instrText>
            </w:r>
            <w:r w:rsidR="006E1D91">
              <w:rPr>
                <w:webHidden/>
              </w:rPr>
            </w:r>
            <w:r w:rsidR="006E1D91">
              <w:rPr>
                <w:webHidden/>
              </w:rPr>
              <w:fldChar w:fldCharType="separate"/>
            </w:r>
            <w:r w:rsidR="00431E12">
              <w:rPr>
                <w:webHidden/>
              </w:rPr>
              <w:t>116</w:t>
            </w:r>
            <w:r w:rsidR="006E1D91">
              <w:rPr>
                <w:webHidden/>
              </w:rPr>
              <w:fldChar w:fldCharType="end"/>
            </w:r>
          </w:hyperlink>
        </w:p>
        <w:p w14:paraId="5336F93F" w14:textId="1688D1F9" w:rsidR="006E1D91" w:rsidRDefault="00000000" w:rsidP="006E1D91">
          <w:pPr>
            <w:pStyle w:val="TOC1"/>
            <w:rPr>
              <w:rFonts w:asciiTheme="minorHAnsi" w:hAnsiTheme="minorHAnsi" w:cstheme="minorBidi"/>
              <w:noProof/>
              <w:szCs w:val="28"/>
              <w:lang w:eastAsia="zh-CN" w:bidi="th-TH"/>
            </w:rPr>
          </w:pPr>
          <w:hyperlink w:anchor="_Toc116473896" w:history="1">
            <w:r w:rsidR="006E1D91" w:rsidRPr="00B463BE">
              <w:rPr>
                <w:rStyle w:val="Hyperlink"/>
                <w:noProof/>
              </w:rPr>
              <w:t>4</w:t>
            </w:r>
            <w:r w:rsidR="006E1D91">
              <w:rPr>
                <w:rFonts w:asciiTheme="minorHAnsi" w:hAnsiTheme="minorHAnsi" w:cstheme="minorBidi"/>
                <w:noProof/>
                <w:szCs w:val="28"/>
                <w:lang w:eastAsia="zh-CN" w:bidi="th-TH"/>
              </w:rPr>
              <w:tab/>
            </w:r>
            <w:r w:rsidR="006E1D91" w:rsidRPr="00B463BE">
              <w:rPr>
                <w:rStyle w:val="Hyperlink"/>
                <w:noProof/>
              </w:rPr>
              <w:t>Management and accountability</w:t>
            </w:r>
            <w:r w:rsidR="006E1D91">
              <w:rPr>
                <w:noProof/>
                <w:webHidden/>
              </w:rPr>
              <w:tab/>
            </w:r>
            <w:r w:rsidR="006E1D91">
              <w:rPr>
                <w:noProof/>
                <w:webHidden/>
              </w:rPr>
              <w:fldChar w:fldCharType="begin"/>
            </w:r>
            <w:r w:rsidR="006E1D91">
              <w:rPr>
                <w:noProof/>
                <w:webHidden/>
              </w:rPr>
              <w:instrText xml:space="preserve"> PAGEREF _Toc116473896 \h </w:instrText>
            </w:r>
            <w:r w:rsidR="006E1D91">
              <w:rPr>
                <w:noProof/>
                <w:webHidden/>
              </w:rPr>
            </w:r>
            <w:r w:rsidR="006E1D91">
              <w:rPr>
                <w:noProof/>
                <w:webHidden/>
              </w:rPr>
              <w:fldChar w:fldCharType="separate"/>
            </w:r>
            <w:r w:rsidR="00431E12">
              <w:rPr>
                <w:noProof/>
                <w:webHidden/>
              </w:rPr>
              <w:t>128</w:t>
            </w:r>
            <w:r w:rsidR="006E1D91">
              <w:rPr>
                <w:noProof/>
                <w:webHidden/>
              </w:rPr>
              <w:fldChar w:fldCharType="end"/>
            </w:r>
          </w:hyperlink>
        </w:p>
        <w:p w14:paraId="7F04D108" w14:textId="6F36E225" w:rsidR="006E1D91" w:rsidRDefault="00000000">
          <w:pPr>
            <w:pStyle w:val="TOC2"/>
            <w:rPr>
              <w:rFonts w:asciiTheme="minorHAnsi" w:eastAsiaTheme="minorEastAsia" w:hAnsiTheme="minorHAnsi" w:cstheme="minorBidi"/>
              <w:szCs w:val="28"/>
              <w:lang w:eastAsia="zh-CN" w:bidi="th-TH"/>
            </w:rPr>
          </w:pPr>
          <w:hyperlink w:anchor="_Toc116473897" w:history="1">
            <w:r w:rsidR="006E1D91" w:rsidRPr="00B463BE">
              <w:rPr>
                <w:rStyle w:val="Hyperlink"/>
              </w:rPr>
              <w:t>4.1</w:t>
            </w:r>
            <w:r w:rsidR="006E1D91">
              <w:rPr>
                <w:rFonts w:asciiTheme="minorHAnsi" w:eastAsiaTheme="minorEastAsia" w:hAnsiTheme="minorHAnsi" w:cstheme="minorBidi"/>
                <w:szCs w:val="28"/>
                <w:lang w:eastAsia="zh-CN" w:bidi="th-TH"/>
              </w:rPr>
              <w:tab/>
            </w:r>
            <w:r w:rsidR="006E1D91" w:rsidRPr="00B463BE">
              <w:rPr>
                <w:rStyle w:val="Hyperlink"/>
              </w:rPr>
              <w:t>Governance</w:t>
            </w:r>
            <w:r w:rsidR="006E1D91">
              <w:rPr>
                <w:webHidden/>
              </w:rPr>
              <w:tab/>
            </w:r>
            <w:r w:rsidR="006E1D91">
              <w:rPr>
                <w:webHidden/>
              </w:rPr>
              <w:fldChar w:fldCharType="begin"/>
            </w:r>
            <w:r w:rsidR="006E1D91">
              <w:rPr>
                <w:webHidden/>
              </w:rPr>
              <w:instrText xml:space="preserve"> PAGEREF _Toc116473897 \h </w:instrText>
            </w:r>
            <w:r w:rsidR="006E1D91">
              <w:rPr>
                <w:webHidden/>
              </w:rPr>
            </w:r>
            <w:r w:rsidR="006E1D91">
              <w:rPr>
                <w:webHidden/>
              </w:rPr>
              <w:fldChar w:fldCharType="separate"/>
            </w:r>
            <w:r w:rsidR="00431E12">
              <w:rPr>
                <w:webHidden/>
              </w:rPr>
              <w:t>128</w:t>
            </w:r>
            <w:r w:rsidR="006E1D91">
              <w:rPr>
                <w:webHidden/>
              </w:rPr>
              <w:fldChar w:fldCharType="end"/>
            </w:r>
          </w:hyperlink>
        </w:p>
        <w:p w14:paraId="76D4165D" w14:textId="3DD36849" w:rsidR="006E1D91" w:rsidRDefault="00000000">
          <w:pPr>
            <w:pStyle w:val="TOC3"/>
            <w:rPr>
              <w:rFonts w:asciiTheme="minorHAnsi" w:hAnsiTheme="minorHAnsi" w:cstheme="minorBidi"/>
              <w:noProof/>
              <w:szCs w:val="28"/>
              <w:lang w:eastAsia="zh-CN" w:bidi="th-TH"/>
            </w:rPr>
          </w:pPr>
          <w:hyperlink w:anchor="_Toc116473898" w:history="1">
            <w:r w:rsidR="006E1D91" w:rsidRPr="00B463BE">
              <w:rPr>
                <w:rStyle w:val="Hyperlink"/>
                <w:noProof/>
              </w:rPr>
              <w:t>4.1.1</w:t>
            </w:r>
            <w:r w:rsidR="006E1D91">
              <w:rPr>
                <w:rFonts w:asciiTheme="minorHAnsi" w:hAnsiTheme="minorHAnsi" w:cstheme="minorBidi"/>
                <w:noProof/>
                <w:szCs w:val="28"/>
                <w:lang w:eastAsia="zh-CN" w:bidi="th-TH"/>
              </w:rPr>
              <w:tab/>
            </w:r>
            <w:r w:rsidR="006E1D91" w:rsidRPr="00B463BE">
              <w:rPr>
                <w:rStyle w:val="Hyperlink"/>
                <w:noProof/>
              </w:rPr>
              <w:t>Responsible Minister</w:t>
            </w:r>
            <w:r w:rsidR="006E1D91">
              <w:rPr>
                <w:noProof/>
                <w:webHidden/>
              </w:rPr>
              <w:tab/>
            </w:r>
            <w:r w:rsidR="006E1D91">
              <w:rPr>
                <w:noProof/>
                <w:webHidden/>
              </w:rPr>
              <w:fldChar w:fldCharType="begin"/>
            </w:r>
            <w:r w:rsidR="006E1D91">
              <w:rPr>
                <w:noProof/>
                <w:webHidden/>
              </w:rPr>
              <w:instrText xml:space="preserve"> PAGEREF _Toc116473898 \h </w:instrText>
            </w:r>
            <w:r w:rsidR="006E1D91">
              <w:rPr>
                <w:noProof/>
                <w:webHidden/>
              </w:rPr>
            </w:r>
            <w:r w:rsidR="006E1D91">
              <w:rPr>
                <w:noProof/>
                <w:webHidden/>
              </w:rPr>
              <w:fldChar w:fldCharType="separate"/>
            </w:r>
            <w:r w:rsidR="00431E12">
              <w:rPr>
                <w:noProof/>
                <w:webHidden/>
              </w:rPr>
              <w:t>128</w:t>
            </w:r>
            <w:r w:rsidR="006E1D91">
              <w:rPr>
                <w:noProof/>
                <w:webHidden/>
              </w:rPr>
              <w:fldChar w:fldCharType="end"/>
            </w:r>
          </w:hyperlink>
        </w:p>
        <w:p w14:paraId="416AF4BB" w14:textId="59946A14" w:rsidR="006E1D91" w:rsidRDefault="00000000">
          <w:pPr>
            <w:pStyle w:val="TOC3"/>
            <w:rPr>
              <w:rFonts w:asciiTheme="minorHAnsi" w:hAnsiTheme="minorHAnsi" w:cstheme="minorBidi"/>
              <w:noProof/>
              <w:szCs w:val="28"/>
              <w:lang w:eastAsia="zh-CN" w:bidi="th-TH"/>
            </w:rPr>
          </w:pPr>
          <w:hyperlink w:anchor="_Toc116473899" w:history="1">
            <w:r w:rsidR="006E1D91" w:rsidRPr="00B463BE">
              <w:rPr>
                <w:rStyle w:val="Hyperlink"/>
                <w:noProof/>
              </w:rPr>
              <w:t>4.1.2</w:t>
            </w:r>
            <w:r w:rsidR="006E1D91">
              <w:rPr>
                <w:rFonts w:asciiTheme="minorHAnsi" w:hAnsiTheme="minorHAnsi" w:cstheme="minorBidi"/>
                <w:noProof/>
                <w:szCs w:val="28"/>
                <w:lang w:eastAsia="zh-CN" w:bidi="th-TH"/>
              </w:rPr>
              <w:tab/>
            </w:r>
            <w:r w:rsidR="006E1D91" w:rsidRPr="00B463BE">
              <w:rPr>
                <w:rStyle w:val="Hyperlink"/>
                <w:noProof/>
              </w:rPr>
              <w:t>Ministerial Council</w:t>
            </w:r>
            <w:r w:rsidR="006E1D91">
              <w:rPr>
                <w:noProof/>
                <w:webHidden/>
              </w:rPr>
              <w:tab/>
            </w:r>
            <w:r w:rsidR="006E1D91">
              <w:rPr>
                <w:noProof/>
                <w:webHidden/>
              </w:rPr>
              <w:fldChar w:fldCharType="begin"/>
            </w:r>
            <w:r w:rsidR="006E1D91">
              <w:rPr>
                <w:noProof/>
                <w:webHidden/>
              </w:rPr>
              <w:instrText xml:space="preserve"> PAGEREF _Toc116473899 \h </w:instrText>
            </w:r>
            <w:r w:rsidR="006E1D91">
              <w:rPr>
                <w:noProof/>
                <w:webHidden/>
              </w:rPr>
            </w:r>
            <w:r w:rsidR="006E1D91">
              <w:rPr>
                <w:noProof/>
                <w:webHidden/>
              </w:rPr>
              <w:fldChar w:fldCharType="separate"/>
            </w:r>
            <w:r w:rsidR="00431E12">
              <w:rPr>
                <w:noProof/>
                <w:webHidden/>
              </w:rPr>
              <w:t>128</w:t>
            </w:r>
            <w:r w:rsidR="006E1D91">
              <w:rPr>
                <w:noProof/>
                <w:webHidden/>
              </w:rPr>
              <w:fldChar w:fldCharType="end"/>
            </w:r>
          </w:hyperlink>
        </w:p>
        <w:p w14:paraId="3F3B8905" w14:textId="2A0B09E0" w:rsidR="006E1D91" w:rsidRDefault="00000000">
          <w:pPr>
            <w:pStyle w:val="TOC2"/>
            <w:rPr>
              <w:rFonts w:asciiTheme="minorHAnsi" w:eastAsiaTheme="minorEastAsia" w:hAnsiTheme="minorHAnsi" w:cstheme="minorBidi"/>
              <w:szCs w:val="28"/>
              <w:lang w:eastAsia="zh-CN" w:bidi="th-TH"/>
            </w:rPr>
          </w:pPr>
          <w:hyperlink w:anchor="_Toc116473900" w:history="1">
            <w:r w:rsidR="006E1D91" w:rsidRPr="00B463BE">
              <w:rPr>
                <w:rStyle w:val="Hyperlink"/>
              </w:rPr>
              <w:t>4.2</w:t>
            </w:r>
            <w:r w:rsidR="006E1D91">
              <w:rPr>
                <w:rFonts w:asciiTheme="minorHAnsi" w:eastAsiaTheme="minorEastAsia" w:hAnsiTheme="minorHAnsi" w:cstheme="minorBidi"/>
                <w:szCs w:val="28"/>
                <w:lang w:eastAsia="zh-CN" w:bidi="th-TH"/>
              </w:rPr>
              <w:tab/>
            </w:r>
            <w:r w:rsidR="006E1D91" w:rsidRPr="00B463BE">
              <w:rPr>
                <w:rStyle w:val="Hyperlink"/>
              </w:rPr>
              <w:t>The Board</w:t>
            </w:r>
            <w:r w:rsidR="006E1D91">
              <w:rPr>
                <w:webHidden/>
              </w:rPr>
              <w:tab/>
            </w:r>
            <w:r w:rsidR="006E1D91">
              <w:rPr>
                <w:webHidden/>
              </w:rPr>
              <w:fldChar w:fldCharType="begin"/>
            </w:r>
            <w:r w:rsidR="006E1D91">
              <w:rPr>
                <w:webHidden/>
              </w:rPr>
              <w:instrText xml:space="preserve"> PAGEREF _Toc116473900 \h </w:instrText>
            </w:r>
            <w:r w:rsidR="006E1D91">
              <w:rPr>
                <w:webHidden/>
              </w:rPr>
            </w:r>
            <w:r w:rsidR="006E1D91">
              <w:rPr>
                <w:webHidden/>
              </w:rPr>
              <w:fldChar w:fldCharType="separate"/>
            </w:r>
            <w:r w:rsidR="00431E12">
              <w:rPr>
                <w:webHidden/>
              </w:rPr>
              <w:t>128</w:t>
            </w:r>
            <w:r w:rsidR="006E1D91">
              <w:rPr>
                <w:webHidden/>
              </w:rPr>
              <w:fldChar w:fldCharType="end"/>
            </w:r>
          </w:hyperlink>
        </w:p>
        <w:p w14:paraId="6A044B8C" w14:textId="1765BAFD" w:rsidR="006E1D91" w:rsidRDefault="00000000">
          <w:pPr>
            <w:pStyle w:val="TOC3"/>
            <w:rPr>
              <w:rFonts w:asciiTheme="minorHAnsi" w:hAnsiTheme="minorHAnsi" w:cstheme="minorBidi"/>
              <w:noProof/>
              <w:szCs w:val="28"/>
              <w:lang w:eastAsia="zh-CN" w:bidi="th-TH"/>
            </w:rPr>
          </w:pPr>
          <w:hyperlink w:anchor="_Toc116473901" w:history="1">
            <w:r w:rsidR="006E1D91" w:rsidRPr="00B463BE">
              <w:rPr>
                <w:rStyle w:val="Hyperlink"/>
                <w:noProof/>
              </w:rPr>
              <w:t>4.2.1</w:t>
            </w:r>
            <w:r w:rsidR="006E1D91">
              <w:rPr>
                <w:rFonts w:asciiTheme="minorHAnsi" w:hAnsiTheme="minorHAnsi" w:cstheme="minorBidi"/>
                <w:noProof/>
                <w:szCs w:val="28"/>
                <w:lang w:eastAsia="zh-CN" w:bidi="th-TH"/>
              </w:rPr>
              <w:tab/>
            </w:r>
            <w:r w:rsidR="006E1D91" w:rsidRPr="00B463BE">
              <w:rPr>
                <w:rStyle w:val="Hyperlink"/>
                <w:noProof/>
              </w:rPr>
              <w:t>Directors as at 30 June 2022</w:t>
            </w:r>
            <w:r w:rsidR="006E1D91">
              <w:rPr>
                <w:noProof/>
                <w:webHidden/>
              </w:rPr>
              <w:tab/>
            </w:r>
            <w:r w:rsidR="006E1D91">
              <w:rPr>
                <w:noProof/>
                <w:webHidden/>
              </w:rPr>
              <w:fldChar w:fldCharType="begin"/>
            </w:r>
            <w:r w:rsidR="006E1D91">
              <w:rPr>
                <w:noProof/>
                <w:webHidden/>
              </w:rPr>
              <w:instrText xml:space="preserve"> PAGEREF _Toc116473901 \h </w:instrText>
            </w:r>
            <w:r w:rsidR="006E1D91">
              <w:rPr>
                <w:noProof/>
                <w:webHidden/>
              </w:rPr>
            </w:r>
            <w:r w:rsidR="006E1D91">
              <w:rPr>
                <w:noProof/>
                <w:webHidden/>
              </w:rPr>
              <w:fldChar w:fldCharType="separate"/>
            </w:r>
            <w:r w:rsidR="00431E12">
              <w:rPr>
                <w:noProof/>
                <w:webHidden/>
              </w:rPr>
              <w:t>129</w:t>
            </w:r>
            <w:r w:rsidR="006E1D91">
              <w:rPr>
                <w:noProof/>
                <w:webHidden/>
              </w:rPr>
              <w:fldChar w:fldCharType="end"/>
            </w:r>
          </w:hyperlink>
        </w:p>
        <w:p w14:paraId="41D325AE" w14:textId="1F332B3F" w:rsidR="006E1D91" w:rsidRDefault="00000000">
          <w:pPr>
            <w:pStyle w:val="TOC3"/>
            <w:rPr>
              <w:rFonts w:asciiTheme="minorHAnsi" w:hAnsiTheme="minorHAnsi" w:cstheme="minorBidi"/>
              <w:noProof/>
              <w:szCs w:val="28"/>
              <w:lang w:eastAsia="zh-CN" w:bidi="th-TH"/>
            </w:rPr>
          </w:pPr>
          <w:hyperlink w:anchor="_Toc116473902" w:history="1">
            <w:r w:rsidR="006E1D91" w:rsidRPr="00B463BE">
              <w:rPr>
                <w:rStyle w:val="Hyperlink"/>
                <w:noProof/>
              </w:rPr>
              <w:t>4.2.2</w:t>
            </w:r>
            <w:r w:rsidR="006E1D91">
              <w:rPr>
                <w:rFonts w:asciiTheme="minorHAnsi" w:hAnsiTheme="minorHAnsi" w:cstheme="minorBidi"/>
                <w:noProof/>
                <w:szCs w:val="28"/>
                <w:lang w:eastAsia="zh-CN" w:bidi="th-TH"/>
              </w:rPr>
              <w:tab/>
            </w:r>
            <w:r w:rsidR="006E1D91" w:rsidRPr="00B463BE">
              <w:rPr>
                <w:rStyle w:val="Hyperlink"/>
                <w:noProof/>
              </w:rPr>
              <w:t>Board committees</w:t>
            </w:r>
            <w:r w:rsidR="006E1D91">
              <w:rPr>
                <w:noProof/>
                <w:webHidden/>
              </w:rPr>
              <w:tab/>
            </w:r>
            <w:r w:rsidR="006E1D91">
              <w:rPr>
                <w:noProof/>
                <w:webHidden/>
              </w:rPr>
              <w:fldChar w:fldCharType="begin"/>
            </w:r>
            <w:r w:rsidR="006E1D91">
              <w:rPr>
                <w:noProof/>
                <w:webHidden/>
              </w:rPr>
              <w:instrText xml:space="preserve"> PAGEREF _Toc116473902 \h </w:instrText>
            </w:r>
            <w:r w:rsidR="006E1D91">
              <w:rPr>
                <w:noProof/>
                <w:webHidden/>
              </w:rPr>
            </w:r>
            <w:r w:rsidR="006E1D91">
              <w:rPr>
                <w:noProof/>
                <w:webHidden/>
              </w:rPr>
              <w:fldChar w:fldCharType="separate"/>
            </w:r>
            <w:r w:rsidR="00431E12">
              <w:rPr>
                <w:noProof/>
                <w:webHidden/>
              </w:rPr>
              <w:t>133</w:t>
            </w:r>
            <w:r w:rsidR="006E1D91">
              <w:rPr>
                <w:noProof/>
                <w:webHidden/>
              </w:rPr>
              <w:fldChar w:fldCharType="end"/>
            </w:r>
          </w:hyperlink>
        </w:p>
        <w:p w14:paraId="5C596CA9" w14:textId="0D96E20D" w:rsidR="006E1D91" w:rsidRDefault="00000000">
          <w:pPr>
            <w:pStyle w:val="TOC3"/>
            <w:rPr>
              <w:rFonts w:asciiTheme="minorHAnsi" w:hAnsiTheme="minorHAnsi" w:cstheme="minorBidi"/>
              <w:noProof/>
              <w:szCs w:val="28"/>
              <w:lang w:eastAsia="zh-CN" w:bidi="th-TH"/>
            </w:rPr>
          </w:pPr>
          <w:hyperlink w:anchor="_Toc116473903" w:history="1">
            <w:r w:rsidR="006E1D91" w:rsidRPr="00B463BE">
              <w:rPr>
                <w:rStyle w:val="Hyperlink"/>
                <w:noProof/>
              </w:rPr>
              <w:t>4.2.3</w:t>
            </w:r>
            <w:r w:rsidR="006E1D91">
              <w:rPr>
                <w:rFonts w:asciiTheme="minorHAnsi" w:hAnsiTheme="minorHAnsi" w:cstheme="minorBidi"/>
                <w:noProof/>
                <w:szCs w:val="28"/>
                <w:lang w:eastAsia="zh-CN" w:bidi="th-TH"/>
              </w:rPr>
              <w:tab/>
            </w:r>
            <w:r w:rsidR="006E1D91" w:rsidRPr="00B463BE">
              <w:rPr>
                <w:rStyle w:val="Hyperlink"/>
                <w:noProof/>
              </w:rPr>
              <w:t>Board and committee attendance</w:t>
            </w:r>
            <w:r w:rsidR="006E1D91">
              <w:rPr>
                <w:noProof/>
                <w:webHidden/>
              </w:rPr>
              <w:tab/>
            </w:r>
            <w:r w:rsidR="006E1D91">
              <w:rPr>
                <w:noProof/>
                <w:webHidden/>
              </w:rPr>
              <w:fldChar w:fldCharType="begin"/>
            </w:r>
            <w:r w:rsidR="006E1D91">
              <w:rPr>
                <w:noProof/>
                <w:webHidden/>
              </w:rPr>
              <w:instrText xml:space="preserve"> PAGEREF _Toc116473903 \h </w:instrText>
            </w:r>
            <w:r w:rsidR="006E1D91">
              <w:rPr>
                <w:noProof/>
                <w:webHidden/>
              </w:rPr>
            </w:r>
            <w:r w:rsidR="006E1D91">
              <w:rPr>
                <w:noProof/>
                <w:webHidden/>
              </w:rPr>
              <w:fldChar w:fldCharType="separate"/>
            </w:r>
            <w:r w:rsidR="00431E12">
              <w:rPr>
                <w:noProof/>
                <w:webHidden/>
              </w:rPr>
              <w:t>134</w:t>
            </w:r>
            <w:r w:rsidR="006E1D91">
              <w:rPr>
                <w:noProof/>
                <w:webHidden/>
              </w:rPr>
              <w:fldChar w:fldCharType="end"/>
            </w:r>
          </w:hyperlink>
        </w:p>
        <w:p w14:paraId="6DAA712C" w14:textId="3E872FBC" w:rsidR="006E1D91" w:rsidRDefault="00000000">
          <w:pPr>
            <w:pStyle w:val="TOC3"/>
            <w:rPr>
              <w:rFonts w:asciiTheme="minorHAnsi" w:hAnsiTheme="minorHAnsi" w:cstheme="minorBidi"/>
              <w:noProof/>
              <w:szCs w:val="28"/>
              <w:lang w:eastAsia="zh-CN" w:bidi="th-TH"/>
            </w:rPr>
          </w:pPr>
          <w:hyperlink w:anchor="_Toc116473904" w:history="1">
            <w:r w:rsidR="006E1D91" w:rsidRPr="00B463BE">
              <w:rPr>
                <w:rStyle w:val="Hyperlink"/>
                <w:noProof/>
              </w:rPr>
              <w:t>4.2.4</w:t>
            </w:r>
            <w:r w:rsidR="006E1D91">
              <w:rPr>
                <w:rFonts w:asciiTheme="minorHAnsi" w:hAnsiTheme="minorHAnsi" w:cstheme="minorBidi"/>
                <w:noProof/>
                <w:szCs w:val="28"/>
                <w:lang w:eastAsia="zh-CN" w:bidi="th-TH"/>
              </w:rPr>
              <w:tab/>
            </w:r>
            <w:r w:rsidR="006E1D91" w:rsidRPr="00B463BE">
              <w:rPr>
                <w:rStyle w:val="Hyperlink"/>
                <w:noProof/>
              </w:rPr>
              <w:t>Board membership changes</w:t>
            </w:r>
            <w:r w:rsidR="006E1D91">
              <w:rPr>
                <w:noProof/>
                <w:webHidden/>
              </w:rPr>
              <w:tab/>
            </w:r>
            <w:r w:rsidR="006E1D91">
              <w:rPr>
                <w:noProof/>
                <w:webHidden/>
              </w:rPr>
              <w:fldChar w:fldCharType="begin"/>
            </w:r>
            <w:r w:rsidR="006E1D91">
              <w:rPr>
                <w:noProof/>
                <w:webHidden/>
              </w:rPr>
              <w:instrText xml:space="preserve"> PAGEREF _Toc116473904 \h </w:instrText>
            </w:r>
            <w:r w:rsidR="006E1D91">
              <w:rPr>
                <w:noProof/>
                <w:webHidden/>
              </w:rPr>
            </w:r>
            <w:r w:rsidR="006E1D91">
              <w:rPr>
                <w:noProof/>
                <w:webHidden/>
              </w:rPr>
              <w:fldChar w:fldCharType="separate"/>
            </w:r>
            <w:r w:rsidR="00431E12">
              <w:rPr>
                <w:noProof/>
                <w:webHidden/>
              </w:rPr>
              <w:t>135</w:t>
            </w:r>
            <w:r w:rsidR="006E1D91">
              <w:rPr>
                <w:noProof/>
                <w:webHidden/>
              </w:rPr>
              <w:fldChar w:fldCharType="end"/>
            </w:r>
          </w:hyperlink>
        </w:p>
        <w:p w14:paraId="3EC4A6C3" w14:textId="29014DCD" w:rsidR="006E1D91" w:rsidRDefault="00000000">
          <w:pPr>
            <w:pStyle w:val="TOC2"/>
            <w:rPr>
              <w:rFonts w:asciiTheme="minorHAnsi" w:eastAsiaTheme="minorEastAsia" w:hAnsiTheme="minorHAnsi" w:cstheme="minorBidi"/>
              <w:szCs w:val="28"/>
              <w:lang w:eastAsia="zh-CN" w:bidi="th-TH"/>
            </w:rPr>
          </w:pPr>
          <w:hyperlink w:anchor="_Toc116473905" w:history="1">
            <w:r w:rsidR="006E1D91" w:rsidRPr="00B463BE">
              <w:rPr>
                <w:rStyle w:val="Hyperlink"/>
              </w:rPr>
              <w:t>4.3</w:t>
            </w:r>
            <w:r w:rsidR="006E1D91">
              <w:rPr>
                <w:rFonts w:asciiTheme="minorHAnsi" w:eastAsiaTheme="minorEastAsia" w:hAnsiTheme="minorHAnsi" w:cstheme="minorBidi"/>
                <w:szCs w:val="28"/>
                <w:lang w:eastAsia="zh-CN" w:bidi="th-TH"/>
              </w:rPr>
              <w:tab/>
            </w:r>
            <w:r w:rsidR="006E1D91" w:rsidRPr="00B463BE">
              <w:rPr>
                <w:rStyle w:val="Hyperlink"/>
              </w:rPr>
              <w:t>The Independent Advisory Council (IAC)</w:t>
            </w:r>
            <w:r w:rsidR="006E1D91">
              <w:rPr>
                <w:webHidden/>
              </w:rPr>
              <w:tab/>
            </w:r>
            <w:r w:rsidR="006E1D91">
              <w:rPr>
                <w:webHidden/>
              </w:rPr>
              <w:fldChar w:fldCharType="begin"/>
            </w:r>
            <w:r w:rsidR="006E1D91">
              <w:rPr>
                <w:webHidden/>
              </w:rPr>
              <w:instrText xml:space="preserve"> PAGEREF _Toc116473905 \h </w:instrText>
            </w:r>
            <w:r w:rsidR="006E1D91">
              <w:rPr>
                <w:webHidden/>
              </w:rPr>
            </w:r>
            <w:r w:rsidR="006E1D91">
              <w:rPr>
                <w:webHidden/>
              </w:rPr>
              <w:fldChar w:fldCharType="separate"/>
            </w:r>
            <w:r w:rsidR="00431E12">
              <w:rPr>
                <w:webHidden/>
              </w:rPr>
              <w:t>135</w:t>
            </w:r>
            <w:r w:rsidR="006E1D91">
              <w:rPr>
                <w:webHidden/>
              </w:rPr>
              <w:fldChar w:fldCharType="end"/>
            </w:r>
          </w:hyperlink>
        </w:p>
        <w:p w14:paraId="193E5165" w14:textId="11C254E5" w:rsidR="006E1D91" w:rsidRDefault="00000000">
          <w:pPr>
            <w:pStyle w:val="TOC2"/>
            <w:rPr>
              <w:rFonts w:asciiTheme="minorHAnsi" w:eastAsiaTheme="minorEastAsia" w:hAnsiTheme="minorHAnsi" w:cstheme="minorBidi"/>
              <w:szCs w:val="28"/>
              <w:lang w:eastAsia="zh-CN" w:bidi="th-TH"/>
            </w:rPr>
          </w:pPr>
          <w:hyperlink w:anchor="_Toc116473906" w:history="1">
            <w:r w:rsidR="006E1D91" w:rsidRPr="00B463BE">
              <w:rPr>
                <w:rStyle w:val="Hyperlink"/>
              </w:rPr>
              <w:t>4.4</w:t>
            </w:r>
            <w:r w:rsidR="006E1D91">
              <w:rPr>
                <w:rFonts w:asciiTheme="minorHAnsi" w:eastAsiaTheme="minorEastAsia" w:hAnsiTheme="minorHAnsi" w:cstheme="minorBidi"/>
                <w:szCs w:val="28"/>
                <w:lang w:eastAsia="zh-CN" w:bidi="th-TH"/>
              </w:rPr>
              <w:tab/>
            </w:r>
            <w:r w:rsidR="006E1D91" w:rsidRPr="00B463BE">
              <w:rPr>
                <w:rStyle w:val="Hyperlink"/>
              </w:rPr>
              <w:t>The Chief Executive Officer and Executive Leadership Team</w:t>
            </w:r>
            <w:r w:rsidR="006E1D91">
              <w:rPr>
                <w:webHidden/>
              </w:rPr>
              <w:tab/>
            </w:r>
            <w:r w:rsidR="006E1D91">
              <w:rPr>
                <w:webHidden/>
              </w:rPr>
              <w:fldChar w:fldCharType="begin"/>
            </w:r>
            <w:r w:rsidR="006E1D91">
              <w:rPr>
                <w:webHidden/>
              </w:rPr>
              <w:instrText xml:space="preserve"> PAGEREF _Toc116473906 \h </w:instrText>
            </w:r>
            <w:r w:rsidR="006E1D91">
              <w:rPr>
                <w:webHidden/>
              </w:rPr>
            </w:r>
            <w:r w:rsidR="006E1D91">
              <w:rPr>
                <w:webHidden/>
              </w:rPr>
              <w:fldChar w:fldCharType="separate"/>
            </w:r>
            <w:r w:rsidR="00431E12">
              <w:rPr>
                <w:webHidden/>
              </w:rPr>
              <w:t>136</w:t>
            </w:r>
            <w:r w:rsidR="006E1D91">
              <w:rPr>
                <w:webHidden/>
              </w:rPr>
              <w:fldChar w:fldCharType="end"/>
            </w:r>
          </w:hyperlink>
        </w:p>
        <w:p w14:paraId="06C55F45" w14:textId="2D04CC2F" w:rsidR="006E1D91" w:rsidRDefault="00000000">
          <w:pPr>
            <w:pStyle w:val="TOC3"/>
            <w:rPr>
              <w:rFonts w:asciiTheme="minorHAnsi" w:hAnsiTheme="minorHAnsi" w:cstheme="minorBidi"/>
              <w:noProof/>
              <w:szCs w:val="28"/>
              <w:lang w:eastAsia="zh-CN" w:bidi="th-TH"/>
            </w:rPr>
          </w:pPr>
          <w:hyperlink w:anchor="_Toc116473907" w:history="1">
            <w:r w:rsidR="006E1D91" w:rsidRPr="00B463BE">
              <w:rPr>
                <w:rStyle w:val="Hyperlink"/>
                <w:noProof/>
              </w:rPr>
              <w:t>4.4.1 Organisation structure</w:t>
            </w:r>
            <w:r w:rsidR="006E1D91">
              <w:rPr>
                <w:noProof/>
                <w:webHidden/>
              </w:rPr>
              <w:tab/>
            </w:r>
            <w:r w:rsidR="006E1D91">
              <w:rPr>
                <w:noProof/>
                <w:webHidden/>
              </w:rPr>
              <w:fldChar w:fldCharType="begin"/>
            </w:r>
            <w:r w:rsidR="006E1D91">
              <w:rPr>
                <w:noProof/>
                <w:webHidden/>
              </w:rPr>
              <w:instrText xml:space="preserve"> PAGEREF _Toc116473907 \h </w:instrText>
            </w:r>
            <w:r w:rsidR="006E1D91">
              <w:rPr>
                <w:noProof/>
                <w:webHidden/>
              </w:rPr>
            </w:r>
            <w:r w:rsidR="006E1D91">
              <w:rPr>
                <w:noProof/>
                <w:webHidden/>
              </w:rPr>
              <w:fldChar w:fldCharType="separate"/>
            </w:r>
            <w:r w:rsidR="00431E12">
              <w:rPr>
                <w:noProof/>
                <w:webHidden/>
              </w:rPr>
              <w:t>136</w:t>
            </w:r>
            <w:r w:rsidR="006E1D91">
              <w:rPr>
                <w:noProof/>
                <w:webHidden/>
              </w:rPr>
              <w:fldChar w:fldCharType="end"/>
            </w:r>
          </w:hyperlink>
        </w:p>
        <w:p w14:paraId="5CE489CB" w14:textId="73FD63C6" w:rsidR="006E1D91" w:rsidRDefault="00000000">
          <w:pPr>
            <w:pStyle w:val="TOC2"/>
            <w:rPr>
              <w:rFonts w:asciiTheme="minorHAnsi" w:eastAsiaTheme="minorEastAsia" w:hAnsiTheme="minorHAnsi" w:cstheme="minorBidi"/>
              <w:szCs w:val="28"/>
              <w:lang w:eastAsia="zh-CN" w:bidi="th-TH"/>
            </w:rPr>
          </w:pPr>
          <w:hyperlink w:anchor="_Toc116473908" w:history="1">
            <w:r w:rsidR="006E1D91" w:rsidRPr="00B463BE">
              <w:rPr>
                <w:rStyle w:val="Hyperlink"/>
              </w:rPr>
              <w:t>4.5</w:t>
            </w:r>
            <w:r w:rsidR="006E1D91">
              <w:rPr>
                <w:rFonts w:asciiTheme="minorHAnsi" w:eastAsiaTheme="minorEastAsia" w:hAnsiTheme="minorHAnsi" w:cstheme="minorBidi"/>
                <w:szCs w:val="28"/>
                <w:lang w:eastAsia="zh-CN" w:bidi="th-TH"/>
              </w:rPr>
              <w:tab/>
            </w:r>
            <w:r w:rsidR="006E1D91" w:rsidRPr="00B463BE">
              <w:rPr>
                <w:rStyle w:val="Hyperlink"/>
              </w:rPr>
              <w:t>Partners in the community (PITC)</w:t>
            </w:r>
            <w:r w:rsidR="006E1D91">
              <w:rPr>
                <w:webHidden/>
              </w:rPr>
              <w:tab/>
            </w:r>
            <w:r w:rsidR="006E1D91">
              <w:rPr>
                <w:webHidden/>
              </w:rPr>
              <w:fldChar w:fldCharType="begin"/>
            </w:r>
            <w:r w:rsidR="006E1D91">
              <w:rPr>
                <w:webHidden/>
              </w:rPr>
              <w:instrText xml:space="preserve"> PAGEREF _Toc116473908 \h </w:instrText>
            </w:r>
            <w:r w:rsidR="006E1D91">
              <w:rPr>
                <w:webHidden/>
              </w:rPr>
            </w:r>
            <w:r w:rsidR="006E1D91">
              <w:rPr>
                <w:webHidden/>
              </w:rPr>
              <w:fldChar w:fldCharType="separate"/>
            </w:r>
            <w:r w:rsidR="00431E12">
              <w:rPr>
                <w:webHidden/>
              </w:rPr>
              <w:t>137</w:t>
            </w:r>
            <w:r w:rsidR="006E1D91">
              <w:rPr>
                <w:webHidden/>
              </w:rPr>
              <w:fldChar w:fldCharType="end"/>
            </w:r>
          </w:hyperlink>
        </w:p>
        <w:p w14:paraId="3DE1ED2D" w14:textId="199F1336" w:rsidR="006E1D91" w:rsidRDefault="00000000">
          <w:pPr>
            <w:pStyle w:val="TOC2"/>
            <w:rPr>
              <w:rFonts w:asciiTheme="minorHAnsi" w:eastAsiaTheme="minorEastAsia" w:hAnsiTheme="minorHAnsi" w:cstheme="minorBidi"/>
              <w:szCs w:val="28"/>
              <w:lang w:eastAsia="zh-CN" w:bidi="th-TH"/>
            </w:rPr>
          </w:pPr>
          <w:hyperlink w:anchor="_Toc116473911" w:history="1">
            <w:r w:rsidR="006E1D91" w:rsidRPr="00B463BE">
              <w:rPr>
                <w:rStyle w:val="Hyperlink"/>
              </w:rPr>
              <w:t>4.6</w:t>
            </w:r>
            <w:r w:rsidR="006E1D91">
              <w:rPr>
                <w:rFonts w:asciiTheme="minorHAnsi" w:eastAsiaTheme="minorEastAsia" w:hAnsiTheme="minorHAnsi" w:cstheme="minorBidi"/>
                <w:szCs w:val="28"/>
                <w:lang w:eastAsia="zh-CN" w:bidi="th-TH"/>
              </w:rPr>
              <w:tab/>
            </w:r>
            <w:r w:rsidR="006E1D91" w:rsidRPr="00B463BE">
              <w:rPr>
                <w:rStyle w:val="Hyperlink"/>
              </w:rPr>
              <w:t>Workforce management</w:t>
            </w:r>
            <w:r w:rsidR="006E1D91">
              <w:rPr>
                <w:webHidden/>
              </w:rPr>
              <w:tab/>
            </w:r>
            <w:r w:rsidR="006E1D91">
              <w:rPr>
                <w:webHidden/>
              </w:rPr>
              <w:fldChar w:fldCharType="begin"/>
            </w:r>
            <w:r w:rsidR="006E1D91">
              <w:rPr>
                <w:webHidden/>
              </w:rPr>
              <w:instrText xml:space="preserve"> PAGEREF _Toc116473911 \h </w:instrText>
            </w:r>
            <w:r w:rsidR="006E1D91">
              <w:rPr>
                <w:webHidden/>
              </w:rPr>
            </w:r>
            <w:r w:rsidR="006E1D91">
              <w:rPr>
                <w:webHidden/>
              </w:rPr>
              <w:fldChar w:fldCharType="separate"/>
            </w:r>
            <w:r w:rsidR="00431E12">
              <w:rPr>
                <w:webHidden/>
              </w:rPr>
              <w:t>138</w:t>
            </w:r>
            <w:r w:rsidR="006E1D91">
              <w:rPr>
                <w:webHidden/>
              </w:rPr>
              <w:fldChar w:fldCharType="end"/>
            </w:r>
          </w:hyperlink>
        </w:p>
        <w:p w14:paraId="344F4319" w14:textId="362AAE9A" w:rsidR="006E1D91" w:rsidRDefault="00000000">
          <w:pPr>
            <w:pStyle w:val="TOC2"/>
            <w:rPr>
              <w:rFonts w:asciiTheme="minorHAnsi" w:eastAsiaTheme="minorEastAsia" w:hAnsiTheme="minorHAnsi" w:cstheme="minorBidi"/>
              <w:szCs w:val="28"/>
              <w:lang w:eastAsia="zh-CN" w:bidi="th-TH"/>
            </w:rPr>
          </w:pPr>
          <w:hyperlink w:anchor="_Toc116473914" w:history="1">
            <w:r w:rsidR="006E1D91" w:rsidRPr="00B463BE">
              <w:rPr>
                <w:rStyle w:val="Hyperlink"/>
              </w:rPr>
              <w:t>4.7</w:t>
            </w:r>
            <w:r w:rsidR="006E1D91">
              <w:rPr>
                <w:rFonts w:asciiTheme="minorHAnsi" w:eastAsiaTheme="minorEastAsia" w:hAnsiTheme="minorHAnsi" w:cstheme="minorBidi"/>
                <w:szCs w:val="28"/>
                <w:lang w:eastAsia="zh-CN" w:bidi="th-TH"/>
              </w:rPr>
              <w:tab/>
            </w:r>
            <w:r w:rsidR="006E1D91" w:rsidRPr="00B463BE">
              <w:rPr>
                <w:rStyle w:val="Hyperlink"/>
              </w:rPr>
              <w:t>Staff engagement</w:t>
            </w:r>
            <w:r w:rsidR="006E1D91">
              <w:rPr>
                <w:webHidden/>
              </w:rPr>
              <w:tab/>
            </w:r>
            <w:r w:rsidR="006E1D91">
              <w:rPr>
                <w:webHidden/>
              </w:rPr>
              <w:fldChar w:fldCharType="begin"/>
            </w:r>
            <w:r w:rsidR="006E1D91">
              <w:rPr>
                <w:webHidden/>
              </w:rPr>
              <w:instrText xml:space="preserve"> PAGEREF _Toc116473914 \h </w:instrText>
            </w:r>
            <w:r w:rsidR="006E1D91">
              <w:rPr>
                <w:webHidden/>
              </w:rPr>
            </w:r>
            <w:r w:rsidR="006E1D91">
              <w:rPr>
                <w:webHidden/>
              </w:rPr>
              <w:fldChar w:fldCharType="separate"/>
            </w:r>
            <w:r w:rsidR="00431E12">
              <w:rPr>
                <w:webHidden/>
              </w:rPr>
              <w:t>140</w:t>
            </w:r>
            <w:r w:rsidR="006E1D91">
              <w:rPr>
                <w:webHidden/>
              </w:rPr>
              <w:fldChar w:fldCharType="end"/>
            </w:r>
          </w:hyperlink>
        </w:p>
        <w:p w14:paraId="5FCDE8A7" w14:textId="191B4606" w:rsidR="006E1D91" w:rsidRDefault="00000000">
          <w:pPr>
            <w:pStyle w:val="TOC2"/>
            <w:rPr>
              <w:rFonts w:asciiTheme="minorHAnsi" w:eastAsiaTheme="minorEastAsia" w:hAnsiTheme="minorHAnsi" w:cstheme="minorBidi"/>
              <w:szCs w:val="28"/>
              <w:lang w:eastAsia="zh-CN" w:bidi="th-TH"/>
            </w:rPr>
          </w:pPr>
          <w:hyperlink w:anchor="_Toc116473915" w:history="1">
            <w:r w:rsidR="006E1D91" w:rsidRPr="00B463BE">
              <w:rPr>
                <w:rStyle w:val="Hyperlink"/>
              </w:rPr>
              <w:t>4.8</w:t>
            </w:r>
            <w:r w:rsidR="006E1D91">
              <w:rPr>
                <w:rFonts w:asciiTheme="minorHAnsi" w:eastAsiaTheme="minorEastAsia" w:hAnsiTheme="minorHAnsi" w:cstheme="minorBidi"/>
                <w:szCs w:val="28"/>
                <w:lang w:eastAsia="zh-CN" w:bidi="th-TH"/>
              </w:rPr>
              <w:tab/>
            </w:r>
            <w:r w:rsidR="006E1D91" w:rsidRPr="00B463BE">
              <w:rPr>
                <w:rStyle w:val="Hyperlink"/>
              </w:rPr>
              <w:t>Risk management</w:t>
            </w:r>
            <w:r w:rsidR="006E1D91">
              <w:rPr>
                <w:webHidden/>
              </w:rPr>
              <w:tab/>
            </w:r>
            <w:r w:rsidR="006E1D91">
              <w:rPr>
                <w:webHidden/>
              </w:rPr>
              <w:fldChar w:fldCharType="begin"/>
            </w:r>
            <w:r w:rsidR="006E1D91">
              <w:rPr>
                <w:webHidden/>
              </w:rPr>
              <w:instrText xml:space="preserve"> PAGEREF _Toc116473915 \h </w:instrText>
            </w:r>
            <w:r w:rsidR="006E1D91">
              <w:rPr>
                <w:webHidden/>
              </w:rPr>
            </w:r>
            <w:r w:rsidR="006E1D91">
              <w:rPr>
                <w:webHidden/>
              </w:rPr>
              <w:fldChar w:fldCharType="separate"/>
            </w:r>
            <w:r w:rsidR="00431E12">
              <w:rPr>
                <w:webHidden/>
              </w:rPr>
              <w:t>141</w:t>
            </w:r>
            <w:r w:rsidR="006E1D91">
              <w:rPr>
                <w:webHidden/>
              </w:rPr>
              <w:fldChar w:fldCharType="end"/>
            </w:r>
          </w:hyperlink>
        </w:p>
        <w:p w14:paraId="79632EF3" w14:textId="25C5A362" w:rsidR="006E1D91" w:rsidRDefault="00000000">
          <w:pPr>
            <w:pStyle w:val="TOC3"/>
            <w:rPr>
              <w:rFonts w:asciiTheme="minorHAnsi" w:hAnsiTheme="minorHAnsi" w:cstheme="minorBidi"/>
              <w:noProof/>
              <w:szCs w:val="28"/>
              <w:lang w:eastAsia="zh-CN" w:bidi="th-TH"/>
            </w:rPr>
          </w:pPr>
          <w:hyperlink w:anchor="_Toc116473916" w:history="1">
            <w:r w:rsidR="006E1D91" w:rsidRPr="00B463BE">
              <w:rPr>
                <w:rStyle w:val="Hyperlink"/>
                <w:noProof/>
              </w:rPr>
              <w:t>4.8.1</w:t>
            </w:r>
            <w:r w:rsidR="006E1D91">
              <w:rPr>
                <w:rFonts w:asciiTheme="minorHAnsi" w:hAnsiTheme="minorHAnsi" w:cstheme="minorBidi"/>
                <w:noProof/>
                <w:szCs w:val="28"/>
                <w:lang w:eastAsia="zh-CN" w:bidi="th-TH"/>
              </w:rPr>
              <w:tab/>
            </w:r>
            <w:r w:rsidR="006E1D91" w:rsidRPr="00B463BE">
              <w:rPr>
                <w:rStyle w:val="Hyperlink"/>
                <w:noProof/>
              </w:rPr>
              <w:t>Scheme integrity</w:t>
            </w:r>
            <w:r w:rsidR="006E1D91">
              <w:rPr>
                <w:noProof/>
                <w:webHidden/>
              </w:rPr>
              <w:tab/>
            </w:r>
            <w:r w:rsidR="006E1D91">
              <w:rPr>
                <w:noProof/>
                <w:webHidden/>
              </w:rPr>
              <w:fldChar w:fldCharType="begin"/>
            </w:r>
            <w:r w:rsidR="006E1D91">
              <w:rPr>
                <w:noProof/>
                <w:webHidden/>
              </w:rPr>
              <w:instrText xml:space="preserve"> PAGEREF _Toc116473916 \h </w:instrText>
            </w:r>
            <w:r w:rsidR="006E1D91">
              <w:rPr>
                <w:noProof/>
                <w:webHidden/>
              </w:rPr>
            </w:r>
            <w:r w:rsidR="006E1D91">
              <w:rPr>
                <w:noProof/>
                <w:webHidden/>
              </w:rPr>
              <w:fldChar w:fldCharType="separate"/>
            </w:r>
            <w:r w:rsidR="00431E12">
              <w:rPr>
                <w:noProof/>
                <w:webHidden/>
              </w:rPr>
              <w:t>141</w:t>
            </w:r>
            <w:r w:rsidR="006E1D91">
              <w:rPr>
                <w:noProof/>
                <w:webHidden/>
              </w:rPr>
              <w:fldChar w:fldCharType="end"/>
            </w:r>
          </w:hyperlink>
        </w:p>
        <w:p w14:paraId="6D0D09C6" w14:textId="646F9F80" w:rsidR="006E1D91" w:rsidRDefault="00000000">
          <w:pPr>
            <w:pStyle w:val="TOC3"/>
            <w:rPr>
              <w:rFonts w:asciiTheme="minorHAnsi" w:hAnsiTheme="minorHAnsi" w:cstheme="minorBidi"/>
              <w:noProof/>
              <w:szCs w:val="28"/>
              <w:lang w:eastAsia="zh-CN" w:bidi="th-TH"/>
            </w:rPr>
          </w:pPr>
          <w:hyperlink w:anchor="_Toc116473917" w:history="1">
            <w:r w:rsidR="006E1D91" w:rsidRPr="00B463BE">
              <w:rPr>
                <w:rStyle w:val="Hyperlink"/>
                <w:noProof/>
              </w:rPr>
              <w:t>4.8.2</w:t>
            </w:r>
            <w:r w:rsidR="006E1D91">
              <w:rPr>
                <w:rFonts w:asciiTheme="minorHAnsi" w:hAnsiTheme="minorHAnsi" w:cstheme="minorBidi"/>
                <w:noProof/>
                <w:szCs w:val="28"/>
                <w:lang w:eastAsia="zh-CN" w:bidi="th-TH"/>
              </w:rPr>
              <w:tab/>
            </w:r>
            <w:r w:rsidR="006E1D91" w:rsidRPr="00B463BE">
              <w:rPr>
                <w:rStyle w:val="Hyperlink"/>
                <w:noProof/>
              </w:rPr>
              <w:t>Internal audit</w:t>
            </w:r>
            <w:r w:rsidR="006E1D91">
              <w:rPr>
                <w:noProof/>
                <w:webHidden/>
              </w:rPr>
              <w:tab/>
            </w:r>
            <w:r w:rsidR="006E1D91">
              <w:rPr>
                <w:noProof/>
                <w:webHidden/>
              </w:rPr>
              <w:fldChar w:fldCharType="begin"/>
            </w:r>
            <w:r w:rsidR="006E1D91">
              <w:rPr>
                <w:noProof/>
                <w:webHidden/>
              </w:rPr>
              <w:instrText xml:space="preserve"> PAGEREF _Toc116473917 \h </w:instrText>
            </w:r>
            <w:r w:rsidR="006E1D91">
              <w:rPr>
                <w:noProof/>
                <w:webHidden/>
              </w:rPr>
            </w:r>
            <w:r w:rsidR="006E1D91">
              <w:rPr>
                <w:noProof/>
                <w:webHidden/>
              </w:rPr>
              <w:fldChar w:fldCharType="separate"/>
            </w:r>
            <w:r w:rsidR="00431E12">
              <w:rPr>
                <w:noProof/>
                <w:webHidden/>
              </w:rPr>
              <w:t>142</w:t>
            </w:r>
            <w:r w:rsidR="006E1D91">
              <w:rPr>
                <w:noProof/>
                <w:webHidden/>
              </w:rPr>
              <w:fldChar w:fldCharType="end"/>
            </w:r>
          </w:hyperlink>
        </w:p>
        <w:p w14:paraId="283CE78B" w14:textId="6AF5FAC1" w:rsidR="006E1D91" w:rsidRDefault="00000000">
          <w:pPr>
            <w:pStyle w:val="TOC3"/>
            <w:rPr>
              <w:rFonts w:asciiTheme="minorHAnsi" w:hAnsiTheme="minorHAnsi" w:cstheme="minorBidi"/>
              <w:noProof/>
              <w:szCs w:val="28"/>
              <w:lang w:eastAsia="zh-CN" w:bidi="th-TH"/>
            </w:rPr>
          </w:pPr>
          <w:hyperlink w:anchor="_Toc116473918" w:history="1">
            <w:r w:rsidR="006E1D91" w:rsidRPr="00B463BE">
              <w:rPr>
                <w:rStyle w:val="Hyperlink"/>
                <w:noProof/>
              </w:rPr>
              <w:t>4.8.3</w:t>
            </w:r>
            <w:r w:rsidR="006E1D91">
              <w:rPr>
                <w:rFonts w:asciiTheme="minorHAnsi" w:hAnsiTheme="minorHAnsi" w:cstheme="minorBidi"/>
                <w:noProof/>
                <w:szCs w:val="28"/>
                <w:lang w:eastAsia="zh-CN" w:bidi="th-TH"/>
              </w:rPr>
              <w:tab/>
            </w:r>
            <w:r w:rsidR="006E1D91" w:rsidRPr="00B463BE">
              <w:rPr>
                <w:rStyle w:val="Hyperlink"/>
                <w:noProof/>
              </w:rPr>
              <w:t>External audit</w:t>
            </w:r>
            <w:r w:rsidR="006E1D91">
              <w:rPr>
                <w:noProof/>
                <w:webHidden/>
              </w:rPr>
              <w:tab/>
            </w:r>
            <w:r w:rsidR="006E1D91">
              <w:rPr>
                <w:noProof/>
                <w:webHidden/>
              </w:rPr>
              <w:fldChar w:fldCharType="begin"/>
            </w:r>
            <w:r w:rsidR="006E1D91">
              <w:rPr>
                <w:noProof/>
                <w:webHidden/>
              </w:rPr>
              <w:instrText xml:space="preserve"> PAGEREF _Toc116473918 \h </w:instrText>
            </w:r>
            <w:r w:rsidR="006E1D91">
              <w:rPr>
                <w:noProof/>
                <w:webHidden/>
              </w:rPr>
            </w:r>
            <w:r w:rsidR="006E1D91">
              <w:rPr>
                <w:noProof/>
                <w:webHidden/>
              </w:rPr>
              <w:fldChar w:fldCharType="separate"/>
            </w:r>
            <w:r w:rsidR="00431E12">
              <w:rPr>
                <w:noProof/>
                <w:webHidden/>
              </w:rPr>
              <w:t>143</w:t>
            </w:r>
            <w:r w:rsidR="006E1D91">
              <w:rPr>
                <w:noProof/>
                <w:webHidden/>
              </w:rPr>
              <w:fldChar w:fldCharType="end"/>
            </w:r>
          </w:hyperlink>
        </w:p>
        <w:p w14:paraId="438B87A7" w14:textId="65380C4C" w:rsidR="006E1D91" w:rsidRDefault="00000000" w:rsidP="006E1D91">
          <w:pPr>
            <w:pStyle w:val="TOC1"/>
            <w:rPr>
              <w:rFonts w:asciiTheme="minorHAnsi" w:hAnsiTheme="minorHAnsi" w:cstheme="minorBidi"/>
              <w:noProof/>
              <w:szCs w:val="28"/>
              <w:lang w:eastAsia="zh-CN" w:bidi="th-TH"/>
            </w:rPr>
          </w:pPr>
          <w:hyperlink w:anchor="_Toc116473919" w:history="1">
            <w:r w:rsidR="006E1D91" w:rsidRPr="00B463BE">
              <w:rPr>
                <w:rStyle w:val="Hyperlink"/>
                <w:noProof/>
              </w:rPr>
              <w:t>5</w:t>
            </w:r>
            <w:r w:rsidR="006E1D91">
              <w:rPr>
                <w:rFonts w:asciiTheme="minorHAnsi" w:hAnsiTheme="minorHAnsi" w:cstheme="minorBidi"/>
                <w:noProof/>
                <w:szCs w:val="28"/>
                <w:lang w:eastAsia="zh-CN" w:bidi="th-TH"/>
              </w:rPr>
              <w:tab/>
            </w:r>
            <w:r w:rsidR="006E1D91" w:rsidRPr="00B463BE">
              <w:rPr>
                <w:rStyle w:val="Hyperlink"/>
                <w:noProof/>
              </w:rPr>
              <w:t>Appendices</w:t>
            </w:r>
            <w:r w:rsidR="006E1D91">
              <w:rPr>
                <w:noProof/>
                <w:webHidden/>
              </w:rPr>
              <w:tab/>
            </w:r>
            <w:r w:rsidR="006E1D91">
              <w:rPr>
                <w:noProof/>
                <w:webHidden/>
              </w:rPr>
              <w:fldChar w:fldCharType="begin"/>
            </w:r>
            <w:r w:rsidR="006E1D91">
              <w:rPr>
                <w:noProof/>
                <w:webHidden/>
              </w:rPr>
              <w:instrText xml:space="preserve"> PAGEREF _Toc116473919 \h </w:instrText>
            </w:r>
            <w:r w:rsidR="006E1D91">
              <w:rPr>
                <w:noProof/>
                <w:webHidden/>
              </w:rPr>
            </w:r>
            <w:r w:rsidR="006E1D91">
              <w:rPr>
                <w:noProof/>
                <w:webHidden/>
              </w:rPr>
              <w:fldChar w:fldCharType="separate"/>
            </w:r>
            <w:r w:rsidR="00431E12">
              <w:rPr>
                <w:noProof/>
                <w:webHidden/>
              </w:rPr>
              <w:t>144</w:t>
            </w:r>
            <w:r w:rsidR="006E1D91">
              <w:rPr>
                <w:noProof/>
                <w:webHidden/>
              </w:rPr>
              <w:fldChar w:fldCharType="end"/>
            </w:r>
          </w:hyperlink>
        </w:p>
        <w:p w14:paraId="5ADFE86F" w14:textId="1B06C1C8" w:rsidR="006E1D91" w:rsidRDefault="00000000">
          <w:pPr>
            <w:pStyle w:val="TOC2"/>
            <w:rPr>
              <w:rFonts w:asciiTheme="minorHAnsi" w:eastAsiaTheme="minorEastAsia" w:hAnsiTheme="minorHAnsi" w:cstheme="minorBidi"/>
              <w:szCs w:val="28"/>
              <w:lang w:eastAsia="zh-CN" w:bidi="th-TH"/>
            </w:rPr>
          </w:pPr>
          <w:hyperlink w:anchor="_Toc116473920" w:history="1">
            <w:r w:rsidR="006E1D91" w:rsidRPr="00B463BE">
              <w:rPr>
                <w:rStyle w:val="Hyperlink"/>
              </w:rPr>
              <w:t>5.1</w:t>
            </w:r>
            <w:r w:rsidR="006E1D91">
              <w:rPr>
                <w:rFonts w:asciiTheme="minorHAnsi" w:eastAsiaTheme="minorEastAsia" w:hAnsiTheme="minorHAnsi" w:cstheme="minorBidi"/>
                <w:szCs w:val="28"/>
                <w:lang w:eastAsia="zh-CN" w:bidi="th-TH"/>
              </w:rPr>
              <w:tab/>
            </w:r>
            <w:r w:rsidR="006E1D91" w:rsidRPr="00B463BE">
              <w:rPr>
                <w:rStyle w:val="Hyperlink"/>
              </w:rPr>
              <w:t>Enabling legislation</w:t>
            </w:r>
            <w:r w:rsidR="006E1D91">
              <w:rPr>
                <w:webHidden/>
              </w:rPr>
              <w:tab/>
            </w:r>
            <w:r w:rsidR="006E1D91">
              <w:rPr>
                <w:webHidden/>
              </w:rPr>
              <w:fldChar w:fldCharType="begin"/>
            </w:r>
            <w:r w:rsidR="006E1D91">
              <w:rPr>
                <w:webHidden/>
              </w:rPr>
              <w:instrText xml:space="preserve"> PAGEREF _Toc116473920 \h </w:instrText>
            </w:r>
            <w:r w:rsidR="006E1D91">
              <w:rPr>
                <w:webHidden/>
              </w:rPr>
            </w:r>
            <w:r w:rsidR="006E1D91">
              <w:rPr>
                <w:webHidden/>
              </w:rPr>
              <w:fldChar w:fldCharType="separate"/>
            </w:r>
            <w:r w:rsidR="00431E12">
              <w:rPr>
                <w:webHidden/>
              </w:rPr>
              <w:t>144</w:t>
            </w:r>
            <w:r w:rsidR="006E1D91">
              <w:rPr>
                <w:webHidden/>
              </w:rPr>
              <w:fldChar w:fldCharType="end"/>
            </w:r>
          </w:hyperlink>
        </w:p>
        <w:p w14:paraId="5AE4D133" w14:textId="23B292B9" w:rsidR="006E1D91" w:rsidRDefault="00000000">
          <w:pPr>
            <w:pStyle w:val="TOC2"/>
            <w:rPr>
              <w:rFonts w:asciiTheme="minorHAnsi" w:eastAsiaTheme="minorEastAsia" w:hAnsiTheme="minorHAnsi" w:cstheme="minorBidi"/>
              <w:szCs w:val="28"/>
              <w:lang w:eastAsia="zh-CN" w:bidi="th-TH"/>
            </w:rPr>
          </w:pPr>
          <w:hyperlink w:anchor="_Toc116473921" w:history="1">
            <w:r w:rsidR="006E1D91" w:rsidRPr="00B463BE">
              <w:rPr>
                <w:rStyle w:val="Hyperlink"/>
              </w:rPr>
              <w:t>5.2</w:t>
            </w:r>
            <w:r w:rsidR="006E1D91">
              <w:rPr>
                <w:rFonts w:asciiTheme="minorHAnsi" w:eastAsiaTheme="minorEastAsia" w:hAnsiTheme="minorHAnsi" w:cstheme="minorBidi"/>
                <w:szCs w:val="28"/>
                <w:lang w:eastAsia="zh-CN" w:bidi="th-TH"/>
              </w:rPr>
              <w:tab/>
            </w:r>
            <w:r w:rsidR="006E1D91" w:rsidRPr="00B463BE">
              <w:rPr>
                <w:rStyle w:val="Hyperlink"/>
              </w:rPr>
              <w:t>Audit Committee</w:t>
            </w:r>
            <w:r w:rsidR="006E1D91">
              <w:rPr>
                <w:webHidden/>
              </w:rPr>
              <w:tab/>
            </w:r>
            <w:r w:rsidR="006E1D91">
              <w:rPr>
                <w:webHidden/>
              </w:rPr>
              <w:fldChar w:fldCharType="begin"/>
            </w:r>
            <w:r w:rsidR="006E1D91">
              <w:rPr>
                <w:webHidden/>
              </w:rPr>
              <w:instrText xml:space="preserve"> PAGEREF _Toc116473921 \h </w:instrText>
            </w:r>
            <w:r w:rsidR="006E1D91">
              <w:rPr>
                <w:webHidden/>
              </w:rPr>
            </w:r>
            <w:r w:rsidR="006E1D91">
              <w:rPr>
                <w:webHidden/>
              </w:rPr>
              <w:fldChar w:fldCharType="separate"/>
            </w:r>
            <w:r w:rsidR="00431E12">
              <w:rPr>
                <w:webHidden/>
              </w:rPr>
              <w:t>144</w:t>
            </w:r>
            <w:r w:rsidR="006E1D91">
              <w:rPr>
                <w:webHidden/>
              </w:rPr>
              <w:fldChar w:fldCharType="end"/>
            </w:r>
          </w:hyperlink>
        </w:p>
        <w:p w14:paraId="39778CD4" w14:textId="6AE63A2E" w:rsidR="006E1D91" w:rsidRDefault="00000000">
          <w:pPr>
            <w:pStyle w:val="TOC2"/>
            <w:rPr>
              <w:rFonts w:asciiTheme="minorHAnsi" w:eastAsiaTheme="minorEastAsia" w:hAnsiTheme="minorHAnsi" w:cstheme="minorBidi"/>
              <w:szCs w:val="28"/>
              <w:lang w:eastAsia="zh-CN" w:bidi="th-TH"/>
            </w:rPr>
          </w:pPr>
          <w:hyperlink w:anchor="_Toc116473923" w:history="1">
            <w:r w:rsidR="006E1D91" w:rsidRPr="00B463BE">
              <w:rPr>
                <w:rStyle w:val="Hyperlink"/>
              </w:rPr>
              <w:t>5.3</w:t>
            </w:r>
            <w:r w:rsidR="006E1D91">
              <w:rPr>
                <w:rFonts w:asciiTheme="minorHAnsi" w:eastAsiaTheme="minorEastAsia" w:hAnsiTheme="minorHAnsi" w:cstheme="minorBidi"/>
                <w:szCs w:val="28"/>
                <w:lang w:eastAsia="zh-CN" w:bidi="th-TH"/>
              </w:rPr>
              <w:tab/>
            </w:r>
            <w:r w:rsidR="006E1D91" w:rsidRPr="00B463BE">
              <w:rPr>
                <w:rStyle w:val="Hyperlink"/>
              </w:rPr>
              <w:t>Work health and safety</w:t>
            </w:r>
            <w:r w:rsidR="006E1D91">
              <w:rPr>
                <w:webHidden/>
              </w:rPr>
              <w:tab/>
            </w:r>
            <w:r w:rsidR="006E1D91">
              <w:rPr>
                <w:webHidden/>
              </w:rPr>
              <w:fldChar w:fldCharType="begin"/>
            </w:r>
            <w:r w:rsidR="006E1D91">
              <w:rPr>
                <w:webHidden/>
              </w:rPr>
              <w:instrText xml:space="preserve"> PAGEREF _Toc116473923 \h </w:instrText>
            </w:r>
            <w:r w:rsidR="006E1D91">
              <w:rPr>
                <w:webHidden/>
              </w:rPr>
            </w:r>
            <w:r w:rsidR="006E1D91">
              <w:rPr>
                <w:webHidden/>
              </w:rPr>
              <w:fldChar w:fldCharType="separate"/>
            </w:r>
            <w:r w:rsidR="00431E12">
              <w:rPr>
                <w:webHidden/>
              </w:rPr>
              <w:t>145</w:t>
            </w:r>
            <w:r w:rsidR="006E1D91">
              <w:rPr>
                <w:webHidden/>
              </w:rPr>
              <w:fldChar w:fldCharType="end"/>
            </w:r>
          </w:hyperlink>
        </w:p>
        <w:p w14:paraId="3A6263B4" w14:textId="23E57924" w:rsidR="006E1D91" w:rsidRDefault="00000000">
          <w:pPr>
            <w:pStyle w:val="TOC2"/>
            <w:rPr>
              <w:rFonts w:asciiTheme="minorHAnsi" w:eastAsiaTheme="minorEastAsia" w:hAnsiTheme="minorHAnsi" w:cstheme="minorBidi"/>
              <w:szCs w:val="28"/>
              <w:lang w:eastAsia="zh-CN" w:bidi="th-TH"/>
            </w:rPr>
          </w:pPr>
          <w:hyperlink w:anchor="_Toc116473924" w:history="1">
            <w:r w:rsidR="006E1D91" w:rsidRPr="00B463BE">
              <w:rPr>
                <w:rStyle w:val="Hyperlink"/>
              </w:rPr>
              <w:t>5.4</w:t>
            </w:r>
            <w:r w:rsidR="006E1D91">
              <w:rPr>
                <w:rFonts w:asciiTheme="minorHAnsi" w:eastAsiaTheme="minorEastAsia" w:hAnsiTheme="minorHAnsi" w:cstheme="minorBidi"/>
                <w:szCs w:val="28"/>
                <w:lang w:eastAsia="zh-CN" w:bidi="th-TH"/>
              </w:rPr>
              <w:tab/>
            </w:r>
            <w:r w:rsidR="006E1D91" w:rsidRPr="00B463BE">
              <w:rPr>
                <w:rStyle w:val="Hyperlink"/>
              </w:rPr>
              <w:t>Workforce statistics</w:t>
            </w:r>
            <w:r w:rsidR="006E1D91">
              <w:rPr>
                <w:webHidden/>
              </w:rPr>
              <w:tab/>
            </w:r>
            <w:r w:rsidR="006E1D91">
              <w:rPr>
                <w:webHidden/>
              </w:rPr>
              <w:fldChar w:fldCharType="begin"/>
            </w:r>
            <w:r w:rsidR="006E1D91">
              <w:rPr>
                <w:webHidden/>
              </w:rPr>
              <w:instrText xml:space="preserve"> PAGEREF _Toc116473924 \h </w:instrText>
            </w:r>
            <w:r w:rsidR="006E1D91">
              <w:rPr>
                <w:webHidden/>
              </w:rPr>
            </w:r>
            <w:r w:rsidR="006E1D91">
              <w:rPr>
                <w:webHidden/>
              </w:rPr>
              <w:fldChar w:fldCharType="separate"/>
            </w:r>
            <w:r w:rsidR="00431E12">
              <w:rPr>
                <w:webHidden/>
              </w:rPr>
              <w:t>146</w:t>
            </w:r>
            <w:r w:rsidR="006E1D91">
              <w:rPr>
                <w:webHidden/>
              </w:rPr>
              <w:fldChar w:fldCharType="end"/>
            </w:r>
          </w:hyperlink>
        </w:p>
        <w:p w14:paraId="6B97BD31" w14:textId="5730F258" w:rsidR="006E1D91" w:rsidRDefault="00000000">
          <w:pPr>
            <w:pStyle w:val="TOC2"/>
            <w:rPr>
              <w:rFonts w:asciiTheme="minorHAnsi" w:eastAsiaTheme="minorEastAsia" w:hAnsiTheme="minorHAnsi" w:cstheme="minorBidi"/>
              <w:szCs w:val="28"/>
              <w:lang w:eastAsia="zh-CN" w:bidi="th-TH"/>
            </w:rPr>
          </w:pPr>
          <w:hyperlink w:anchor="_Toc116473925" w:history="1">
            <w:r w:rsidR="006E1D91" w:rsidRPr="00B463BE">
              <w:rPr>
                <w:rStyle w:val="Hyperlink"/>
              </w:rPr>
              <w:t>5.5</w:t>
            </w:r>
            <w:r w:rsidR="006E1D91">
              <w:rPr>
                <w:rFonts w:asciiTheme="minorHAnsi" w:eastAsiaTheme="minorEastAsia" w:hAnsiTheme="minorHAnsi" w:cstheme="minorBidi"/>
                <w:szCs w:val="28"/>
                <w:lang w:eastAsia="zh-CN" w:bidi="th-TH"/>
              </w:rPr>
              <w:tab/>
            </w:r>
            <w:r w:rsidR="006E1D91" w:rsidRPr="00B463BE">
              <w:rPr>
                <w:rStyle w:val="Hyperlink"/>
              </w:rPr>
              <w:t>Executive remuneration policy</w:t>
            </w:r>
            <w:r w:rsidR="006E1D91">
              <w:rPr>
                <w:webHidden/>
              </w:rPr>
              <w:tab/>
            </w:r>
            <w:r w:rsidR="006E1D91">
              <w:rPr>
                <w:webHidden/>
              </w:rPr>
              <w:fldChar w:fldCharType="begin"/>
            </w:r>
            <w:r w:rsidR="006E1D91">
              <w:rPr>
                <w:webHidden/>
              </w:rPr>
              <w:instrText xml:space="preserve"> PAGEREF _Toc116473925 \h </w:instrText>
            </w:r>
            <w:r w:rsidR="006E1D91">
              <w:rPr>
                <w:webHidden/>
              </w:rPr>
            </w:r>
            <w:r w:rsidR="006E1D91">
              <w:rPr>
                <w:webHidden/>
              </w:rPr>
              <w:fldChar w:fldCharType="separate"/>
            </w:r>
            <w:r w:rsidR="00431E12">
              <w:rPr>
                <w:webHidden/>
              </w:rPr>
              <w:t>148</w:t>
            </w:r>
            <w:r w:rsidR="006E1D91">
              <w:rPr>
                <w:webHidden/>
              </w:rPr>
              <w:fldChar w:fldCharType="end"/>
            </w:r>
          </w:hyperlink>
        </w:p>
        <w:p w14:paraId="3741E19C" w14:textId="2F04B736" w:rsidR="006E1D91" w:rsidRDefault="00000000">
          <w:pPr>
            <w:pStyle w:val="TOC2"/>
            <w:rPr>
              <w:rFonts w:asciiTheme="minorHAnsi" w:eastAsiaTheme="minorEastAsia" w:hAnsiTheme="minorHAnsi" w:cstheme="minorBidi"/>
              <w:szCs w:val="28"/>
              <w:lang w:eastAsia="zh-CN" w:bidi="th-TH"/>
            </w:rPr>
          </w:pPr>
          <w:hyperlink w:anchor="_Toc116473926" w:history="1">
            <w:r w:rsidR="006E1D91" w:rsidRPr="00B463BE">
              <w:rPr>
                <w:rStyle w:val="Hyperlink"/>
              </w:rPr>
              <w:t>5.6</w:t>
            </w:r>
            <w:r w:rsidR="006E1D91">
              <w:rPr>
                <w:rFonts w:asciiTheme="minorHAnsi" w:eastAsiaTheme="minorEastAsia" w:hAnsiTheme="minorHAnsi" w:cstheme="minorBidi"/>
                <w:szCs w:val="28"/>
                <w:lang w:eastAsia="zh-CN" w:bidi="th-TH"/>
              </w:rPr>
              <w:tab/>
            </w:r>
            <w:r w:rsidR="006E1D91" w:rsidRPr="00B463BE">
              <w:rPr>
                <w:rStyle w:val="Hyperlink"/>
              </w:rPr>
              <w:t>Executive remuneration</w:t>
            </w:r>
            <w:r w:rsidR="006E1D91">
              <w:rPr>
                <w:webHidden/>
              </w:rPr>
              <w:tab/>
            </w:r>
            <w:r w:rsidR="006E1D91">
              <w:rPr>
                <w:webHidden/>
              </w:rPr>
              <w:fldChar w:fldCharType="begin"/>
            </w:r>
            <w:r w:rsidR="006E1D91">
              <w:rPr>
                <w:webHidden/>
              </w:rPr>
              <w:instrText xml:space="preserve"> PAGEREF _Toc116473926 \h </w:instrText>
            </w:r>
            <w:r w:rsidR="006E1D91">
              <w:rPr>
                <w:webHidden/>
              </w:rPr>
            </w:r>
            <w:r w:rsidR="006E1D91">
              <w:rPr>
                <w:webHidden/>
              </w:rPr>
              <w:fldChar w:fldCharType="separate"/>
            </w:r>
            <w:r w:rsidR="00431E12">
              <w:rPr>
                <w:webHidden/>
              </w:rPr>
              <w:t>149</w:t>
            </w:r>
            <w:r w:rsidR="006E1D91">
              <w:rPr>
                <w:webHidden/>
              </w:rPr>
              <w:fldChar w:fldCharType="end"/>
            </w:r>
          </w:hyperlink>
        </w:p>
        <w:p w14:paraId="7578EB38" w14:textId="6BFD31AC" w:rsidR="006E1D91" w:rsidRDefault="00000000">
          <w:pPr>
            <w:pStyle w:val="TOC3"/>
            <w:rPr>
              <w:rFonts w:asciiTheme="minorHAnsi" w:hAnsiTheme="minorHAnsi" w:cstheme="minorBidi"/>
              <w:noProof/>
              <w:szCs w:val="28"/>
              <w:lang w:eastAsia="zh-CN" w:bidi="th-TH"/>
            </w:rPr>
          </w:pPr>
          <w:hyperlink w:anchor="_Toc116473927" w:history="1">
            <w:r w:rsidR="006E1D91" w:rsidRPr="00B463BE">
              <w:rPr>
                <w:rStyle w:val="Hyperlink"/>
                <w:noProof/>
              </w:rPr>
              <w:t>5.6.1</w:t>
            </w:r>
            <w:r w:rsidR="006E1D91">
              <w:rPr>
                <w:rFonts w:asciiTheme="minorHAnsi" w:hAnsiTheme="minorHAnsi" w:cstheme="minorBidi"/>
                <w:noProof/>
                <w:szCs w:val="28"/>
                <w:lang w:eastAsia="zh-CN" w:bidi="th-TH"/>
              </w:rPr>
              <w:tab/>
            </w:r>
            <w:r w:rsidR="006E1D91" w:rsidRPr="00B463BE">
              <w:rPr>
                <w:rStyle w:val="Hyperlink"/>
                <w:noProof/>
              </w:rPr>
              <w:t>Key management personnel</w:t>
            </w:r>
            <w:r w:rsidR="006E1D91">
              <w:rPr>
                <w:noProof/>
                <w:webHidden/>
              </w:rPr>
              <w:tab/>
            </w:r>
            <w:r w:rsidR="006E1D91">
              <w:rPr>
                <w:noProof/>
                <w:webHidden/>
              </w:rPr>
              <w:fldChar w:fldCharType="begin"/>
            </w:r>
            <w:r w:rsidR="006E1D91">
              <w:rPr>
                <w:noProof/>
                <w:webHidden/>
              </w:rPr>
              <w:instrText xml:space="preserve"> PAGEREF _Toc116473927 \h </w:instrText>
            </w:r>
            <w:r w:rsidR="006E1D91">
              <w:rPr>
                <w:noProof/>
                <w:webHidden/>
              </w:rPr>
            </w:r>
            <w:r w:rsidR="006E1D91">
              <w:rPr>
                <w:noProof/>
                <w:webHidden/>
              </w:rPr>
              <w:fldChar w:fldCharType="separate"/>
            </w:r>
            <w:r w:rsidR="00431E12">
              <w:rPr>
                <w:noProof/>
                <w:webHidden/>
              </w:rPr>
              <w:t>149</w:t>
            </w:r>
            <w:r w:rsidR="006E1D91">
              <w:rPr>
                <w:noProof/>
                <w:webHidden/>
              </w:rPr>
              <w:fldChar w:fldCharType="end"/>
            </w:r>
          </w:hyperlink>
        </w:p>
        <w:p w14:paraId="3AE4C379" w14:textId="62A52A86" w:rsidR="006E1D91" w:rsidRDefault="00000000">
          <w:pPr>
            <w:pStyle w:val="TOC3"/>
            <w:rPr>
              <w:rFonts w:asciiTheme="minorHAnsi" w:hAnsiTheme="minorHAnsi" w:cstheme="minorBidi"/>
              <w:noProof/>
              <w:szCs w:val="28"/>
              <w:lang w:eastAsia="zh-CN" w:bidi="th-TH"/>
            </w:rPr>
          </w:pPr>
          <w:hyperlink w:anchor="_Toc116473928" w:history="1">
            <w:r w:rsidR="006E1D91" w:rsidRPr="00B463BE">
              <w:rPr>
                <w:rStyle w:val="Hyperlink"/>
                <w:noProof/>
              </w:rPr>
              <w:t>5.6.2</w:t>
            </w:r>
            <w:r w:rsidR="006E1D91">
              <w:rPr>
                <w:rFonts w:asciiTheme="minorHAnsi" w:hAnsiTheme="minorHAnsi" w:cstheme="minorBidi"/>
                <w:noProof/>
                <w:szCs w:val="28"/>
                <w:lang w:eastAsia="zh-CN" w:bidi="th-TH"/>
              </w:rPr>
              <w:tab/>
            </w:r>
            <w:r w:rsidR="006E1D91" w:rsidRPr="00B463BE">
              <w:rPr>
                <w:rStyle w:val="Hyperlink"/>
                <w:noProof/>
              </w:rPr>
              <w:t>Information about remuneration of key management personnel</w:t>
            </w:r>
            <w:r w:rsidR="006E1D91">
              <w:rPr>
                <w:noProof/>
                <w:webHidden/>
              </w:rPr>
              <w:tab/>
            </w:r>
            <w:r w:rsidR="006E1D91">
              <w:rPr>
                <w:noProof/>
                <w:webHidden/>
              </w:rPr>
              <w:fldChar w:fldCharType="begin"/>
            </w:r>
            <w:r w:rsidR="006E1D91">
              <w:rPr>
                <w:noProof/>
                <w:webHidden/>
              </w:rPr>
              <w:instrText xml:space="preserve"> PAGEREF _Toc116473928 \h </w:instrText>
            </w:r>
            <w:r w:rsidR="006E1D91">
              <w:rPr>
                <w:noProof/>
                <w:webHidden/>
              </w:rPr>
            </w:r>
            <w:r w:rsidR="006E1D91">
              <w:rPr>
                <w:noProof/>
                <w:webHidden/>
              </w:rPr>
              <w:fldChar w:fldCharType="separate"/>
            </w:r>
            <w:r w:rsidR="00431E12">
              <w:rPr>
                <w:noProof/>
                <w:webHidden/>
              </w:rPr>
              <w:t>151</w:t>
            </w:r>
            <w:r w:rsidR="006E1D91">
              <w:rPr>
                <w:noProof/>
                <w:webHidden/>
              </w:rPr>
              <w:fldChar w:fldCharType="end"/>
            </w:r>
          </w:hyperlink>
        </w:p>
        <w:p w14:paraId="752BC3CF" w14:textId="711D35A7" w:rsidR="006E1D91" w:rsidRDefault="00000000">
          <w:pPr>
            <w:pStyle w:val="TOC3"/>
            <w:rPr>
              <w:rFonts w:asciiTheme="minorHAnsi" w:hAnsiTheme="minorHAnsi" w:cstheme="minorBidi"/>
              <w:noProof/>
              <w:szCs w:val="28"/>
              <w:lang w:eastAsia="zh-CN" w:bidi="th-TH"/>
            </w:rPr>
          </w:pPr>
          <w:hyperlink w:anchor="_Toc116473929" w:history="1">
            <w:r w:rsidR="006E1D91" w:rsidRPr="00B463BE">
              <w:rPr>
                <w:rStyle w:val="Hyperlink"/>
                <w:noProof/>
              </w:rPr>
              <w:t>5.6.3</w:t>
            </w:r>
            <w:r w:rsidR="006E1D91">
              <w:rPr>
                <w:rFonts w:asciiTheme="minorHAnsi" w:hAnsiTheme="minorHAnsi" w:cstheme="minorBidi"/>
                <w:noProof/>
                <w:szCs w:val="28"/>
                <w:lang w:eastAsia="zh-CN" w:bidi="th-TH"/>
              </w:rPr>
              <w:tab/>
            </w:r>
            <w:r w:rsidR="006E1D91" w:rsidRPr="00B463BE">
              <w:rPr>
                <w:rStyle w:val="Hyperlink"/>
                <w:noProof/>
              </w:rPr>
              <w:t>Senior executives</w:t>
            </w:r>
            <w:r w:rsidR="006E1D91">
              <w:rPr>
                <w:noProof/>
                <w:webHidden/>
              </w:rPr>
              <w:tab/>
            </w:r>
            <w:r w:rsidR="006E1D91">
              <w:rPr>
                <w:noProof/>
                <w:webHidden/>
              </w:rPr>
              <w:fldChar w:fldCharType="begin"/>
            </w:r>
            <w:r w:rsidR="006E1D91">
              <w:rPr>
                <w:noProof/>
                <w:webHidden/>
              </w:rPr>
              <w:instrText xml:space="preserve"> PAGEREF _Toc116473929 \h </w:instrText>
            </w:r>
            <w:r w:rsidR="006E1D91">
              <w:rPr>
                <w:noProof/>
                <w:webHidden/>
              </w:rPr>
            </w:r>
            <w:r w:rsidR="006E1D91">
              <w:rPr>
                <w:noProof/>
                <w:webHidden/>
              </w:rPr>
              <w:fldChar w:fldCharType="separate"/>
            </w:r>
            <w:r w:rsidR="00431E12">
              <w:rPr>
                <w:noProof/>
                <w:webHidden/>
              </w:rPr>
              <w:t>153</w:t>
            </w:r>
            <w:r w:rsidR="006E1D91">
              <w:rPr>
                <w:noProof/>
                <w:webHidden/>
              </w:rPr>
              <w:fldChar w:fldCharType="end"/>
            </w:r>
          </w:hyperlink>
        </w:p>
        <w:p w14:paraId="2B03C7A6" w14:textId="4C57C55D" w:rsidR="006E1D91" w:rsidRDefault="00000000">
          <w:pPr>
            <w:pStyle w:val="TOC3"/>
            <w:rPr>
              <w:rFonts w:asciiTheme="minorHAnsi" w:hAnsiTheme="minorHAnsi" w:cstheme="minorBidi"/>
              <w:noProof/>
              <w:szCs w:val="28"/>
              <w:lang w:eastAsia="zh-CN" w:bidi="th-TH"/>
            </w:rPr>
          </w:pPr>
          <w:hyperlink w:anchor="_Toc116473930" w:history="1">
            <w:r w:rsidR="006E1D91" w:rsidRPr="00B463BE">
              <w:rPr>
                <w:rStyle w:val="Hyperlink"/>
                <w:noProof/>
              </w:rPr>
              <w:t>5.6.4</w:t>
            </w:r>
            <w:r w:rsidR="006E1D91">
              <w:rPr>
                <w:rFonts w:asciiTheme="minorHAnsi" w:hAnsiTheme="minorHAnsi" w:cstheme="minorBidi"/>
                <w:noProof/>
                <w:szCs w:val="28"/>
                <w:lang w:eastAsia="zh-CN" w:bidi="th-TH"/>
              </w:rPr>
              <w:tab/>
            </w:r>
            <w:r w:rsidR="006E1D91" w:rsidRPr="00B463BE">
              <w:rPr>
                <w:rStyle w:val="Hyperlink"/>
                <w:noProof/>
              </w:rPr>
              <w:t>Other highly paid staff</w:t>
            </w:r>
            <w:r w:rsidR="006E1D91">
              <w:rPr>
                <w:noProof/>
                <w:webHidden/>
              </w:rPr>
              <w:tab/>
            </w:r>
            <w:r w:rsidR="006E1D91">
              <w:rPr>
                <w:noProof/>
                <w:webHidden/>
              </w:rPr>
              <w:fldChar w:fldCharType="begin"/>
            </w:r>
            <w:r w:rsidR="006E1D91">
              <w:rPr>
                <w:noProof/>
                <w:webHidden/>
              </w:rPr>
              <w:instrText xml:space="preserve"> PAGEREF _Toc116473930 \h </w:instrText>
            </w:r>
            <w:r w:rsidR="006E1D91">
              <w:rPr>
                <w:noProof/>
                <w:webHidden/>
              </w:rPr>
            </w:r>
            <w:r w:rsidR="006E1D91">
              <w:rPr>
                <w:noProof/>
                <w:webHidden/>
              </w:rPr>
              <w:fldChar w:fldCharType="separate"/>
            </w:r>
            <w:r w:rsidR="00431E12">
              <w:rPr>
                <w:noProof/>
                <w:webHidden/>
              </w:rPr>
              <w:t>154</w:t>
            </w:r>
            <w:r w:rsidR="006E1D91">
              <w:rPr>
                <w:noProof/>
                <w:webHidden/>
              </w:rPr>
              <w:fldChar w:fldCharType="end"/>
            </w:r>
          </w:hyperlink>
        </w:p>
        <w:p w14:paraId="4B0EF110" w14:textId="54285DD6" w:rsidR="006E1D91" w:rsidRDefault="00000000">
          <w:pPr>
            <w:pStyle w:val="TOC2"/>
            <w:rPr>
              <w:rFonts w:asciiTheme="minorHAnsi" w:eastAsiaTheme="minorEastAsia" w:hAnsiTheme="minorHAnsi" w:cstheme="minorBidi"/>
              <w:szCs w:val="28"/>
              <w:lang w:eastAsia="zh-CN" w:bidi="th-TH"/>
            </w:rPr>
          </w:pPr>
          <w:hyperlink w:anchor="_Toc116473931" w:history="1">
            <w:r w:rsidR="006E1D91" w:rsidRPr="00B463BE">
              <w:rPr>
                <w:rStyle w:val="Hyperlink"/>
              </w:rPr>
              <w:t>5.7</w:t>
            </w:r>
            <w:r w:rsidR="006E1D91">
              <w:rPr>
                <w:rFonts w:asciiTheme="minorHAnsi" w:eastAsiaTheme="minorEastAsia" w:hAnsiTheme="minorHAnsi" w:cstheme="minorBidi"/>
                <w:szCs w:val="28"/>
                <w:lang w:eastAsia="zh-CN" w:bidi="th-TH"/>
              </w:rPr>
              <w:tab/>
            </w:r>
            <w:r w:rsidR="006E1D91" w:rsidRPr="00B463BE">
              <w:rPr>
                <w:rStyle w:val="Hyperlink"/>
              </w:rPr>
              <w:t>Reports by parliamentary committees</w:t>
            </w:r>
            <w:r w:rsidR="006E1D91">
              <w:rPr>
                <w:webHidden/>
              </w:rPr>
              <w:tab/>
            </w:r>
            <w:r w:rsidR="006E1D91">
              <w:rPr>
                <w:webHidden/>
              </w:rPr>
              <w:fldChar w:fldCharType="begin"/>
            </w:r>
            <w:r w:rsidR="006E1D91">
              <w:rPr>
                <w:webHidden/>
              </w:rPr>
              <w:instrText xml:space="preserve"> PAGEREF _Toc116473931 \h </w:instrText>
            </w:r>
            <w:r w:rsidR="006E1D91">
              <w:rPr>
                <w:webHidden/>
              </w:rPr>
            </w:r>
            <w:r w:rsidR="006E1D91">
              <w:rPr>
                <w:webHidden/>
              </w:rPr>
              <w:fldChar w:fldCharType="separate"/>
            </w:r>
            <w:r w:rsidR="00431E12">
              <w:rPr>
                <w:webHidden/>
              </w:rPr>
              <w:t>156</w:t>
            </w:r>
            <w:r w:rsidR="006E1D91">
              <w:rPr>
                <w:webHidden/>
              </w:rPr>
              <w:fldChar w:fldCharType="end"/>
            </w:r>
          </w:hyperlink>
        </w:p>
        <w:p w14:paraId="1742D0C6" w14:textId="68E0788B" w:rsidR="006E1D91" w:rsidRDefault="00000000">
          <w:pPr>
            <w:pStyle w:val="TOC3"/>
            <w:rPr>
              <w:rFonts w:asciiTheme="minorHAnsi" w:hAnsiTheme="minorHAnsi" w:cstheme="minorBidi"/>
              <w:noProof/>
              <w:szCs w:val="28"/>
              <w:lang w:eastAsia="zh-CN" w:bidi="th-TH"/>
            </w:rPr>
          </w:pPr>
          <w:hyperlink w:anchor="_Toc116473932" w:history="1">
            <w:r w:rsidR="006E1D91" w:rsidRPr="00B463BE">
              <w:rPr>
                <w:rStyle w:val="Hyperlink"/>
                <w:noProof/>
              </w:rPr>
              <w:t>5.7.1 Royal Commission</w:t>
            </w:r>
            <w:r w:rsidR="006E1D91">
              <w:rPr>
                <w:noProof/>
                <w:webHidden/>
              </w:rPr>
              <w:tab/>
            </w:r>
            <w:r w:rsidR="006E1D91">
              <w:rPr>
                <w:noProof/>
                <w:webHidden/>
              </w:rPr>
              <w:fldChar w:fldCharType="begin"/>
            </w:r>
            <w:r w:rsidR="006E1D91">
              <w:rPr>
                <w:noProof/>
                <w:webHidden/>
              </w:rPr>
              <w:instrText xml:space="preserve"> PAGEREF _Toc116473932 \h </w:instrText>
            </w:r>
            <w:r w:rsidR="006E1D91">
              <w:rPr>
                <w:noProof/>
                <w:webHidden/>
              </w:rPr>
            </w:r>
            <w:r w:rsidR="006E1D91">
              <w:rPr>
                <w:noProof/>
                <w:webHidden/>
              </w:rPr>
              <w:fldChar w:fldCharType="separate"/>
            </w:r>
            <w:r w:rsidR="00431E12">
              <w:rPr>
                <w:noProof/>
                <w:webHidden/>
              </w:rPr>
              <w:t>157</w:t>
            </w:r>
            <w:r w:rsidR="006E1D91">
              <w:rPr>
                <w:noProof/>
                <w:webHidden/>
              </w:rPr>
              <w:fldChar w:fldCharType="end"/>
            </w:r>
          </w:hyperlink>
        </w:p>
        <w:p w14:paraId="79500D39" w14:textId="0B303FB8" w:rsidR="006E1D91" w:rsidRDefault="00000000">
          <w:pPr>
            <w:pStyle w:val="TOC2"/>
            <w:rPr>
              <w:rFonts w:asciiTheme="minorHAnsi" w:eastAsiaTheme="minorEastAsia" w:hAnsiTheme="minorHAnsi" w:cstheme="minorBidi"/>
              <w:szCs w:val="28"/>
              <w:lang w:eastAsia="zh-CN" w:bidi="th-TH"/>
            </w:rPr>
          </w:pPr>
          <w:hyperlink w:anchor="_Toc116473933" w:history="1">
            <w:r w:rsidR="006E1D91" w:rsidRPr="00B463BE">
              <w:rPr>
                <w:rStyle w:val="Hyperlink"/>
              </w:rPr>
              <w:t>5.8</w:t>
            </w:r>
            <w:r w:rsidR="006E1D91">
              <w:rPr>
                <w:rFonts w:asciiTheme="minorHAnsi" w:eastAsiaTheme="minorEastAsia" w:hAnsiTheme="minorHAnsi" w:cstheme="minorBidi"/>
                <w:szCs w:val="28"/>
                <w:lang w:eastAsia="zh-CN" w:bidi="th-TH"/>
              </w:rPr>
              <w:tab/>
            </w:r>
            <w:r w:rsidR="006E1D91" w:rsidRPr="00B463BE">
              <w:rPr>
                <w:rStyle w:val="Hyperlink"/>
              </w:rPr>
              <w:t>Judicial decisions and external reviews</w:t>
            </w:r>
            <w:r w:rsidR="006E1D91">
              <w:rPr>
                <w:webHidden/>
              </w:rPr>
              <w:tab/>
            </w:r>
            <w:r w:rsidR="006E1D91">
              <w:rPr>
                <w:webHidden/>
              </w:rPr>
              <w:fldChar w:fldCharType="begin"/>
            </w:r>
            <w:r w:rsidR="006E1D91">
              <w:rPr>
                <w:webHidden/>
              </w:rPr>
              <w:instrText xml:space="preserve"> PAGEREF _Toc116473933 \h </w:instrText>
            </w:r>
            <w:r w:rsidR="006E1D91">
              <w:rPr>
                <w:webHidden/>
              </w:rPr>
            </w:r>
            <w:r w:rsidR="006E1D91">
              <w:rPr>
                <w:webHidden/>
              </w:rPr>
              <w:fldChar w:fldCharType="separate"/>
            </w:r>
            <w:r w:rsidR="00431E12">
              <w:rPr>
                <w:webHidden/>
              </w:rPr>
              <w:t>157</w:t>
            </w:r>
            <w:r w:rsidR="006E1D91">
              <w:rPr>
                <w:webHidden/>
              </w:rPr>
              <w:fldChar w:fldCharType="end"/>
            </w:r>
          </w:hyperlink>
        </w:p>
        <w:p w14:paraId="0F1846FC" w14:textId="51C78BC5" w:rsidR="006E1D91" w:rsidRDefault="00000000">
          <w:pPr>
            <w:pStyle w:val="TOC2"/>
            <w:rPr>
              <w:rFonts w:asciiTheme="minorHAnsi" w:eastAsiaTheme="minorEastAsia" w:hAnsiTheme="minorHAnsi" w:cstheme="minorBidi"/>
              <w:szCs w:val="28"/>
              <w:lang w:eastAsia="zh-CN" w:bidi="th-TH"/>
            </w:rPr>
          </w:pPr>
          <w:hyperlink w:anchor="_Toc116473934" w:history="1">
            <w:r w:rsidR="006E1D91" w:rsidRPr="00B463BE">
              <w:rPr>
                <w:rStyle w:val="Hyperlink"/>
              </w:rPr>
              <w:t>5.9</w:t>
            </w:r>
            <w:r w:rsidR="006E1D91">
              <w:rPr>
                <w:rFonts w:asciiTheme="minorHAnsi" w:eastAsiaTheme="minorEastAsia" w:hAnsiTheme="minorHAnsi" w:cstheme="minorBidi"/>
                <w:szCs w:val="28"/>
                <w:lang w:eastAsia="zh-CN" w:bidi="th-TH"/>
              </w:rPr>
              <w:tab/>
            </w:r>
            <w:r w:rsidR="006E1D91" w:rsidRPr="00B463BE">
              <w:rPr>
                <w:rStyle w:val="Hyperlink"/>
              </w:rPr>
              <w:t>Other PGPA reportable items</w:t>
            </w:r>
            <w:r w:rsidR="006E1D91">
              <w:rPr>
                <w:webHidden/>
              </w:rPr>
              <w:tab/>
            </w:r>
            <w:r w:rsidR="006E1D91">
              <w:rPr>
                <w:webHidden/>
              </w:rPr>
              <w:fldChar w:fldCharType="begin"/>
            </w:r>
            <w:r w:rsidR="006E1D91">
              <w:rPr>
                <w:webHidden/>
              </w:rPr>
              <w:instrText xml:space="preserve"> PAGEREF _Toc116473934 \h </w:instrText>
            </w:r>
            <w:r w:rsidR="006E1D91">
              <w:rPr>
                <w:webHidden/>
              </w:rPr>
            </w:r>
            <w:r w:rsidR="006E1D91">
              <w:rPr>
                <w:webHidden/>
              </w:rPr>
              <w:fldChar w:fldCharType="separate"/>
            </w:r>
            <w:r w:rsidR="00431E12">
              <w:rPr>
                <w:webHidden/>
              </w:rPr>
              <w:t>160</w:t>
            </w:r>
            <w:r w:rsidR="006E1D91">
              <w:rPr>
                <w:webHidden/>
              </w:rPr>
              <w:fldChar w:fldCharType="end"/>
            </w:r>
          </w:hyperlink>
        </w:p>
        <w:p w14:paraId="3167EE04" w14:textId="1E2AB110" w:rsidR="006E1D91" w:rsidRDefault="00000000">
          <w:pPr>
            <w:pStyle w:val="TOC2"/>
            <w:rPr>
              <w:rFonts w:asciiTheme="minorHAnsi" w:eastAsiaTheme="minorEastAsia" w:hAnsiTheme="minorHAnsi" w:cstheme="minorBidi"/>
              <w:szCs w:val="28"/>
              <w:lang w:eastAsia="zh-CN" w:bidi="th-TH"/>
            </w:rPr>
          </w:pPr>
          <w:hyperlink w:anchor="_Toc116473935" w:history="1">
            <w:r w:rsidR="006E1D91" w:rsidRPr="00B463BE">
              <w:rPr>
                <w:rStyle w:val="Hyperlink"/>
              </w:rPr>
              <w:t>5.10</w:t>
            </w:r>
            <w:r w:rsidR="006E1D91">
              <w:rPr>
                <w:rFonts w:asciiTheme="minorHAnsi" w:eastAsiaTheme="minorEastAsia" w:hAnsiTheme="minorHAnsi" w:cstheme="minorBidi"/>
                <w:szCs w:val="28"/>
                <w:lang w:eastAsia="zh-CN" w:bidi="th-TH"/>
              </w:rPr>
              <w:tab/>
            </w:r>
            <w:r w:rsidR="006E1D91" w:rsidRPr="00B463BE">
              <w:rPr>
                <w:rStyle w:val="Hyperlink"/>
              </w:rPr>
              <w:t>Advertising and market research</w:t>
            </w:r>
            <w:r w:rsidR="006E1D91">
              <w:rPr>
                <w:webHidden/>
              </w:rPr>
              <w:tab/>
            </w:r>
            <w:r w:rsidR="006E1D91">
              <w:rPr>
                <w:webHidden/>
              </w:rPr>
              <w:fldChar w:fldCharType="begin"/>
            </w:r>
            <w:r w:rsidR="006E1D91">
              <w:rPr>
                <w:webHidden/>
              </w:rPr>
              <w:instrText xml:space="preserve"> PAGEREF _Toc116473935 \h </w:instrText>
            </w:r>
            <w:r w:rsidR="006E1D91">
              <w:rPr>
                <w:webHidden/>
              </w:rPr>
            </w:r>
            <w:r w:rsidR="006E1D91">
              <w:rPr>
                <w:webHidden/>
              </w:rPr>
              <w:fldChar w:fldCharType="separate"/>
            </w:r>
            <w:r w:rsidR="00431E12">
              <w:rPr>
                <w:webHidden/>
              </w:rPr>
              <w:t>161</w:t>
            </w:r>
            <w:r w:rsidR="006E1D91">
              <w:rPr>
                <w:webHidden/>
              </w:rPr>
              <w:fldChar w:fldCharType="end"/>
            </w:r>
          </w:hyperlink>
        </w:p>
        <w:p w14:paraId="7B22D954" w14:textId="15E1427A" w:rsidR="006E1D91" w:rsidRDefault="00000000">
          <w:pPr>
            <w:pStyle w:val="TOC2"/>
            <w:rPr>
              <w:rFonts w:asciiTheme="minorHAnsi" w:eastAsiaTheme="minorEastAsia" w:hAnsiTheme="minorHAnsi" w:cstheme="minorBidi"/>
              <w:szCs w:val="28"/>
              <w:lang w:eastAsia="zh-CN" w:bidi="th-TH"/>
            </w:rPr>
          </w:pPr>
          <w:hyperlink w:anchor="_Toc116473936" w:history="1">
            <w:r w:rsidR="006E1D91" w:rsidRPr="00B463BE">
              <w:rPr>
                <w:rStyle w:val="Hyperlink"/>
              </w:rPr>
              <w:t>5.11</w:t>
            </w:r>
            <w:r w:rsidR="006E1D91">
              <w:rPr>
                <w:rFonts w:asciiTheme="minorHAnsi" w:eastAsiaTheme="minorEastAsia" w:hAnsiTheme="minorHAnsi" w:cstheme="minorBidi"/>
                <w:szCs w:val="28"/>
                <w:lang w:eastAsia="zh-CN" w:bidi="th-TH"/>
              </w:rPr>
              <w:tab/>
            </w:r>
            <w:r w:rsidR="006E1D91" w:rsidRPr="00B463BE">
              <w:rPr>
                <w:rStyle w:val="Hyperlink"/>
              </w:rPr>
              <w:t>Ecologically sustainable development and environmental performance</w:t>
            </w:r>
            <w:r w:rsidR="006E1D91">
              <w:rPr>
                <w:webHidden/>
              </w:rPr>
              <w:tab/>
            </w:r>
            <w:r w:rsidR="006E1D91">
              <w:rPr>
                <w:webHidden/>
              </w:rPr>
              <w:fldChar w:fldCharType="begin"/>
            </w:r>
            <w:r w:rsidR="006E1D91">
              <w:rPr>
                <w:webHidden/>
              </w:rPr>
              <w:instrText xml:space="preserve"> PAGEREF _Toc116473936 \h </w:instrText>
            </w:r>
            <w:r w:rsidR="006E1D91">
              <w:rPr>
                <w:webHidden/>
              </w:rPr>
            </w:r>
            <w:r w:rsidR="006E1D91">
              <w:rPr>
                <w:webHidden/>
              </w:rPr>
              <w:fldChar w:fldCharType="separate"/>
            </w:r>
            <w:r w:rsidR="00431E12">
              <w:rPr>
                <w:webHidden/>
              </w:rPr>
              <w:t>162</w:t>
            </w:r>
            <w:r w:rsidR="006E1D91">
              <w:rPr>
                <w:webHidden/>
              </w:rPr>
              <w:fldChar w:fldCharType="end"/>
            </w:r>
          </w:hyperlink>
        </w:p>
        <w:p w14:paraId="02F86F78" w14:textId="73AE0C65" w:rsidR="006E1D91" w:rsidRDefault="00000000">
          <w:pPr>
            <w:pStyle w:val="TOC2"/>
            <w:rPr>
              <w:rFonts w:asciiTheme="minorHAnsi" w:eastAsiaTheme="minorEastAsia" w:hAnsiTheme="minorHAnsi" w:cstheme="minorBidi"/>
              <w:szCs w:val="28"/>
              <w:lang w:eastAsia="zh-CN" w:bidi="th-TH"/>
            </w:rPr>
          </w:pPr>
          <w:hyperlink w:anchor="_Toc116473937" w:history="1">
            <w:r w:rsidR="006E1D91" w:rsidRPr="00B463BE">
              <w:rPr>
                <w:rStyle w:val="Hyperlink"/>
              </w:rPr>
              <w:t>5.12</w:t>
            </w:r>
            <w:r w:rsidR="006E1D91">
              <w:rPr>
                <w:rFonts w:asciiTheme="minorHAnsi" w:eastAsiaTheme="minorEastAsia" w:hAnsiTheme="minorHAnsi" w:cstheme="minorBidi"/>
                <w:szCs w:val="28"/>
                <w:lang w:eastAsia="zh-CN" w:bidi="th-TH"/>
              </w:rPr>
              <w:tab/>
            </w:r>
            <w:r w:rsidR="006E1D91" w:rsidRPr="00B463BE">
              <w:rPr>
                <w:rStyle w:val="Hyperlink"/>
              </w:rPr>
              <w:t>Compliance with Carer Recognition Act</w:t>
            </w:r>
            <w:r w:rsidR="006E1D91">
              <w:rPr>
                <w:webHidden/>
              </w:rPr>
              <w:tab/>
            </w:r>
            <w:r w:rsidR="006E1D91">
              <w:rPr>
                <w:webHidden/>
              </w:rPr>
              <w:fldChar w:fldCharType="begin"/>
            </w:r>
            <w:r w:rsidR="006E1D91">
              <w:rPr>
                <w:webHidden/>
              </w:rPr>
              <w:instrText xml:space="preserve"> PAGEREF _Toc116473937 \h </w:instrText>
            </w:r>
            <w:r w:rsidR="006E1D91">
              <w:rPr>
                <w:webHidden/>
              </w:rPr>
            </w:r>
            <w:r w:rsidR="006E1D91">
              <w:rPr>
                <w:webHidden/>
              </w:rPr>
              <w:fldChar w:fldCharType="separate"/>
            </w:r>
            <w:r w:rsidR="00431E12">
              <w:rPr>
                <w:webHidden/>
              </w:rPr>
              <w:t>162</w:t>
            </w:r>
            <w:r w:rsidR="006E1D91">
              <w:rPr>
                <w:webHidden/>
              </w:rPr>
              <w:fldChar w:fldCharType="end"/>
            </w:r>
          </w:hyperlink>
        </w:p>
        <w:p w14:paraId="0FD8FD21" w14:textId="1C59D228" w:rsidR="006E1D91" w:rsidRDefault="00000000">
          <w:pPr>
            <w:pStyle w:val="TOC2"/>
            <w:rPr>
              <w:rFonts w:asciiTheme="minorHAnsi" w:eastAsiaTheme="minorEastAsia" w:hAnsiTheme="minorHAnsi" w:cstheme="minorBidi"/>
              <w:szCs w:val="28"/>
              <w:lang w:eastAsia="zh-CN" w:bidi="th-TH"/>
            </w:rPr>
          </w:pPr>
          <w:hyperlink w:anchor="_Toc116473938" w:history="1">
            <w:r w:rsidR="006E1D91" w:rsidRPr="00B463BE">
              <w:rPr>
                <w:rStyle w:val="Hyperlink"/>
              </w:rPr>
              <w:t>5.13</w:t>
            </w:r>
            <w:r w:rsidR="006E1D91">
              <w:rPr>
                <w:rFonts w:asciiTheme="minorHAnsi" w:eastAsiaTheme="minorEastAsia" w:hAnsiTheme="minorHAnsi" w:cstheme="minorBidi"/>
                <w:szCs w:val="28"/>
                <w:lang w:eastAsia="zh-CN" w:bidi="th-TH"/>
              </w:rPr>
              <w:tab/>
            </w:r>
            <w:r w:rsidR="006E1D91" w:rsidRPr="00B463BE">
              <w:rPr>
                <w:rStyle w:val="Hyperlink"/>
              </w:rPr>
              <w:t>Information on other specific statutory provisions</w:t>
            </w:r>
            <w:r w:rsidR="006E1D91">
              <w:rPr>
                <w:webHidden/>
              </w:rPr>
              <w:tab/>
            </w:r>
            <w:r w:rsidR="006E1D91">
              <w:rPr>
                <w:webHidden/>
              </w:rPr>
              <w:fldChar w:fldCharType="begin"/>
            </w:r>
            <w:r w:rsidR="006E1D91">
              <w:rPr>
                <w:webHidden/>
              </w:rPr>
              <w:instrText xml:space="preserve"> PAGEREF _Toc116473938 \h </w:instrText>
            </w:r>
            <w:r w:rsidR="006E1D91">
              <w:rPr>
                <w:webHidden/>
              </w:rPr>
            </w:r>
            <w:r w:rsidR="006E1D91">
              <w:rPr>
                <w:webHidden/>
              </w:rPr>
              <w:fldChar w:fldCharType="separate"/>
            </w:r>
            <w:r w:rsidR="00431E12">
              <w:rPr>
                <w:webHidden/>
              </w:rPr>
              <w:t>164</w:t>
            </w:r>
            <w:r w:rsidR="006E1D91">
              <w:rPr>
                <w:webHidden/>
              </w:rPr>
              <w:fldChar w:fldCharType="end"/>
            </w:r>
          </w:hyperlink>
        </w:p>
        <w:p w14:paraId="127386C0" w14:textId="0B7C34A3" w:rsidR="006E1D91" w:rsidRDefault="00000000">
          <w:pPr>
            <w:pStyle w:val="TOC2"/>
            <w:rPr>
              <w:rFonts w:asciiTheme="minorHAnsi" w:eastAsiaTheme="minorEastAsia" w:hAnsiTheme="minorHAnsi" w:cstheme="minorBidi"/>
              <w:szCs w:val="28"/>
              <w:lang w:eastAsia="zh-CN" w:bidi="th-TH"/>
            </w:rPr>
          </w:pPr>
          <w:hyperlink w:anchor="_Toc116473939" w:history="1">
            <w:r w:rsidR="006E1D91" w:rsidRPr="00B463BE">
              <w:rPr>
                <w:rStyle w:val="Hyperlink"/>
              </w:rPr>
              <w:t>5.14</w:t>
            </w:r>
            <w:r w:rsidR="006E1D91">
              <w:rPr>
                <w:rFonts w:asciiTheme="minorHAnsi" w:eastAsiaTheme="minorEastAsia" w:hAnsiTheme="minorHAnsi" w:cstheme="minorBidi"/>
                <w:szCs w:val="28"/>
                <w:lang w:eastAsia="zh-CN" w:bidi="th-TH"/>
              </w:rPr>
              <w:tab/>
            </w:r>
            <w:r w:rsidR="006E1D91" w:rsidRPr="00B463BE">
              <w:rPr>
                <w:rStyle w:val="Hyperlink"/>
              </w:rPr>
              <w:t>Glossary</w:t>
            </w:r>
            <w:r w:rsidR="006E1D91">
              <w:rPr>
                <w:webHidden/>
              </w:rPr>
              <w:tab/>
            </w:r>
            <w:r w:rsidR="006E1D91">
              <w:rPr>
                <w:webHidden/>
              </w:rPr>
              <w:fldChar w:fldCharType="begin"/>
            </w:r>
            <w:r w:rsidR="006E1D91">
              <w:rPr>
                <w:webHidden/>
              </w:rPr>
              <w:instrText xml:space="preserve"> PAGEREF _Toc116473939 \h </w:instrText>
            </w:r>
            <w:r w:rsidR="006E1D91">
              <w:rPr>
                <w:webHidden/>
              </w:rPr>
            </w:r>
            <w:r w:rsidR="006E1D91">
              <w:rPr>
                <w:webHidden/>
              </w:rPr>
              <w:fldChar w:fldCharType="separate"/>
            </w:r>
            <w:r w:rsidR="00431E12">
              <w:rPr>
                <w:webHidden/>
              </w:rPr>
              <w:t>165</w:t>
            </w:r>
            <w:r w:rsidR="006E1D91">
              <w:rPr>
                <w:webHidden/>
              </w:rPr>
              <w:fldChar w:fldCharType="end"/>
            </w:r>
          </w:hyperlink>
        </w:p>
        <w:p w14:paraId="75054139" w14:textId="7903B93C" w:rsidR="006E1D91" w:rsidRDefault="00000000">
          <w:pPr>
            <w:pStyle w:val="TOC3"/>
            <w:rPr>
              <w:rFonts w:asciiTheme="minorHAnsi" w:hAnsiTheme="minorHAnsi" w:cstheme="minorBidi"/>
              <w:noProof/>
              <w:szCs w:val="28"/>
              <w:lang w:eastAsia="zh-CN" w:bidi="th-TH"/>
            </w:rPr>
          </w:pPr>
          <w:hyperlink w:anchor="_Toc116473940" w:history="1">
            <w:r w:rsidR="006E1D91" w:rsidRPr="00B463BE">
              <w:rPr>
                <w:rStyle w:val="Hyperlink"/>
                <w:noProof/>
              </w:rPr>
              <w:t>5.14.</w:t>
            </w:r>
            <w:r w:rsidR="00B738CD">
              <w:rPr>
                <w:rStyle w:val="Hyperlink"/>
                <w:noProof/>
              </w:rPr>
              <w:t>1</w:t>
            </w:r>
            <w:r w:rsidR="006E1D91">
              <w:rPr>
                <w:rFonts w:asciiTheme="minorHAnsi" w:hAnsiTheme="minorHAnsi" w:cstheme="minorBidi"/>
                <w:noProof/>
                <w:szCs w:val="28"/>
                <w:lang w:eastAsia="zh-CN" w:bidi="th-TH"/>
              </w:rPr>
              <w:tab/>
            </w:r>
            <w:r w:rsidR="006E1D91" w:rsidRPr="00B463BE">
              <w:rPr>
                <w:rStyle w:val="Hyperlink"/>
                <w:noProof/>
              </w:rPr>
              <w:t>Definitions</w:t>
            </w:r>
            <w:r w:rsidR="006E1D91">
              <w:rPr>
                <w:noProof/>
                <w:webHidden/>
              </w:rPr>
              <w:tab/>
            </w:r>
            <w:r w:rsidR="006E1D91">
              <w:rPr>
                <w:noProof/>
                <w:webHidden/>
              </w:rPr>
              <w:fldChar w:fldCharType="begin"/>
            </w:r>
            <w:r w:rsidR="006E1D91">
              <w:rPr>
                <w:noProof/>
                <w:webHidden/>
              </w:rPr>
              <w:instrText xml:space="preserve"> PAGEREF _Toc116473940 \h </w:instrText>
            </w:r>
            <w:r w:rsidR="006E1D91">
              <w:rPr>
                <w:noProof/>
                <w:webHidden/>
              </w:rPr>
            </w:r>
            <w:r w:rsidR="006E1D91">
              <w:rPr>
                <w:noProof/>
                <w:webHidden/>
              </w:rPr>
              <w:fldChar w:fldCharType="separate"/>
            </w:r>
            <w:r w:rsidR="00431E12">
              <w:rPr>
                <w:noProof/>
                <w:webHidden/>
              </w:rPr>
              <w:t>165</w:t>
            </w:r>
            <w:r w:rsidR="006E1D91">
              <w:rPr>
                <w:noProof/>
                <w:webHidden/>
              </w:rPr>
              <w:fldChar w:fldCharType="end"/>
            </w:r>
          </w:hyperlink>
        </w:p>
        <w:p w14:paraId="65A420DD" w14:textId="7C5705C0" w:rsidR="006E1D91" w:rsidRDefault="00000000">
          <w:pPr>
            <w:pStyle w:val="TOC3"/>
            <w:rPr>
              <w:rFonts w:asciiTheme="minorHAnsi" w:hAnsiTheme="minorHAnsi" w:cstheme="minorBidi"/>
              <w:noProof/>
              <w:szCs w:val="28"/>
              <w:lang w:eastAsia="zh-CN" w:bidi="th-TH"/>
            </w:rPr>
          </w:pPr>
          <w:hyperlink w:anchor="_Toc116473941" w:history="1">
            <w:r w:rsidR="006E1D91" w:rsidRPr="00B463BE">
              <w:rPr>
                <w:rStyle w:val="Hyperlink"/>
                <w:noProof/>
              </w:rPr>
              <w:t>5.14.</w:t>
            </w:r>
            <w:r w:rsidR="00B738CD">
              <w:rPr>
                <w:rStyle w:val="Hyperlink"/>
                <w:noProof/>
              </w:rPr>
              <w:t>2</w:t>
            </w:r>
            <w:r w:rsidR="006E1D91">
              <w:rPr>
                <w:rFonts w:asciiTheme="minorHAnsi" w:hAnsiTheme="minorHAnsi" w:cstheme="minorBidi"/>
                <w:noProof/>
                <w:szCs w:val="28"/>
                <w:lang w:eastAsia="zh-CN" w:bidi="th-TH"/>
              </w:rPr>
              <w:tab/>
            </w:r>
            <w:r w:rsidR="006E1D91" w:rsidRPr="00B463BE">
              <w:rPr>
                <w:rStyle w:val="Hyperlink"/>
                <w:noProof/>
              </w:rPr>
              <w:t>Acronyms</w:t>
            </w:r>
            <w:r w:rsidR="006E1D91">
              <w:rPr>
                <w:noProof/>
                <w:webHidden/>
              </w:rPr>
              <w:tab/>
            </w:r>
            <w:r w:rsidR="006E1D91">
              <w:rPr>
                <w:noProof/>
                <w:webHidden/>
              </w:rPr>
              <w:fldChar w:fldCharType="begin"/>
            </w:r>
            <w:r w:rsidR="006E1D91">
              <w:rPr>
                <w:noProof/>
                <w:webHidden/>
              </w:rPr>
              <w:instrText xml:space="preserve"> PAGEREF _Toc116473941 \h </w:instrText>
            </w:r>
            <w:r w:rsidR="006E1D91">
              <w:rPr>
                <w:noProof/>
                <w:webHidden/>
              </w:rPr>
            </w:r>
            <w:r w:rsidR="006E1D91">
              <w:rPr>
                <w:noProof/>
                <w:webHidden/>
              </w:rPr>
              <w:fldChar w:fldCharType="separate"/>
            </w:r>
            <w:r w:rsidR="00431E12">
              <w:rPr>
                <w:noProof/>
                <w:webHidden/>
              </w:rPr>
              <w:t>165</w:t>
            </w:r>
            <w:r w:rsidR="006E1D91">
              <w:rPr>
                <w:noProof/>
                <w:webHidden/>
              </w:rPr>
              <w:fldChar w:fldCharType="end"/>
            </w:r>
          </w:hyperlink>
        </w:p>
        <w:p w14:paraId="648DB38C" w14:textId="727E07AB" w:rsidR="006E1D91" w:rsidRDefault="00000000" w:rsidP="006E1D91">
          <w:pPr>
            <w:pStyle w:val="TOC1"/>
            <w:rPr>
              <w:rFonts w:asciiTheme="minorHAnsi" w:hAnsiTheme="minorHAnsi" w:cstheme="minorBidi"/>
              <w:noProof/>
              <w:szCs w:val="28"/>
              <w:lang w:eastAsia="zh-CN" w:bidi="th-TH"/>
            </w:rPr>
          </w:pPr>
          <w:hyperlink w:anchor="_Toc116473942" w:history="1">
            <w:r w:rsidR="006E1D91" w:rsidRPr="00B463BE">
              <w:rPr>
                <w:rStyle w:val="Hyperlink"/>
                <w:noProof/>
              </w:rPr>
              <w:t>6</w:t>
            </w:r>
            <w:r w:rsidR="006E1D91">
              <w:rPr>
                <w:rFonts w:asciiTheme="minorHAnsi" w:hAnsiTheme="minorHAnsi" w:cstheme="minorBidi"/>
                <w:noProof/>
                <w:szCs w:val="28"/>
                <w:lang w:eastAsia="zh-CN" w:bidi="th-TH"/>
              </w:rPr>
              <w:tab/>
            </w:r>
            <w:r w:rsidR="006E1D91" w:rsidRPr="00B463BE">
              <w:rPr>
                <w:rStyle w:val="Hyperlink"/>
                <w:noProof/>
              </w:rPr>
              <w:t>Indexes</w:t>
            </w:r>
            <w:r w:rsidR="006E1D91">
              <w:rPr>
                <w:noProof/>
                <w:webHidden/>
              </w:rPr>
              <w:tab/>
            </w:r>
            <w:r w:rsidR="006E1D91">
              <w:rPr>
                <w:noProof/>
                <w:webHidden/>
              </w:rPr>
              <w:fldChar w:fldCharType="begin"/>
            </w:r>
            <w:r w:rsidR="006E1D91">
              <w:rPr>
                <w:noProof/>
                <w:webHidden/>
              </w:rPr>
              <w:instrText xml:space="preserve"> PAGEREF _Toc116473942 \h </w:instrText>
            </w:r>
            <w:r w:rsidR="006E1D91">
              <w:rPr>
                <w:noProof/>
                <w:webHidden/>
              </w:rPr>
            </w:r>
            <w:r w:rsidR="006E1D91">
              <w:rPr>
                <w:noProof/>
                <w:webHidden/>
              </w:rPr>
              <w:fldChar w:fldCharType="separate"/>
            </w:r>
            <w:r w:rsidR="00431E12">
              <w:rPr>
                <w:noProof/>
                <w:webHidden/>
              </w:rPr>
              <w:t>168</w:t>
            </w:r>
            <w:r w:rsidR="006E1D91">
              <w:rPr>
                <w:noProof/>
                <w:webHidden/>
              </w:rPr>
              <w:fldChar w:fldCharType="end"/>
            </w:r>
          </w:hyperlink>
        </w:p>
        <w:p w14:paraId="2B2DE5F7" w14:textId="638BF77D" w:rsidR="006E1D91" w:rsidRDefault="00000000">
          <w:pPr>
            <w:pStyle w:val="TOC2"/>
            <w:rPr>
              <w:rFonts w:asciiTheme="minorHAnsi" w:eastAsiaTheme="minorEastAsia" w:hAnsiTheme="minorHAnsi" w:cstheme="minorBidi"/>
              <w:szCs w:val="28"/>
              <w:lang w:eastAsia="zh-CN" w:bidi="th-TH"/>
            </w:rPr>
          </w:pPr>
          <w:hyperlink w:anchor="_Toc116473943" w:history="1">
            <w:r w:rsidR="006E1D91" w:rsidRPr="00B463BE">
              <w:rPr>
                <w:rStyle w:val="Hyperlink"/>
              </w:rPr>
              <w:t>6.1</w:t>
            </w:r>
            <w:r w:rsidR="006E1D91">
              <w:rPr>
                <w:rFonts w:asciiTheme="minorHAnsi" w:eastAsiaTheme="minorEastAsia" w:hAnsiTheme="minorHAnsi" w:cstheme="minorBidi"/>
                <w:szCs w:val="28"/>
                <w:lang w:eastAsia="zh-CN" w:bidi="th-TH"/>
              </w:rPr>
              <w:tab/>
            </w:r>
            <w:r w:rsidR="006E1D91" w:rsidRPr="00B463BE">
              <w:rPr>
                <w:rStyle w:val="Hyperlink"/>
              </w:rPr>
              <w:t>Compliance index</w:t>
            </w:r>
            <w:r w:rsidR="006E1D91">
              <w:rPr>
                <w:webHidden/>
              </w:rPr>
              <w:tab/>
            </w:r>
            <w:r w:rsidR="006E1D91">
              <w:rPr>
                <w:webHidden/>
              </w:rPr>
              <w:fldChar w:fldCharType="begin"/>
            </w:r>
            <w:r w:rsidR="006E1D91">
              <w:rPr>
                <w:webHidden/>
              </w:rPr>
              <w:instrText xml:space="preserve"> PAGEREF _Toc116473943 \h </w:instrText>
            </w:r>
            <w:r w:rsidR="006E1D91">
              <w:rPr>
                <w:webHidden/>
              </w:rPr>
            </w:r>
            <w:r w:rsidR="006E1D91">
              <w:rPr>
                <w:webHidden/>
              </w:rPr>
              <w:fldChar w:fldCharType="separate"/>
            </w:r>
            <w:r w:rsidR="00431E12">
              <w:rPr>
                <w:webHidden/>
              </w:rPr>
              <w:t>168</w:t>
            </w:r>
            <w:r w:rsidR="006E1D91">
              <w:rPr>
                <w:webHidden/>
              </w:rPr>
              <w:fldChar w:fldCharType="end"/>
            </w:r>
          </w:hyperlink>
        </w:p>
        <w:p w14:paraId="1ADC01FC" w14:textId="5721DF5A" w:rsidR="006E1D91" w:rsidRDefault="00000000">
          <w:pPr>
            <w:pStyle w:val="TOC2"/>
            <w:rPr>
              <w:rFonts w:asciiTheme="minorHAnsi" w:eastAsiaTheme="minorEastAsia" w:hAnsiTheme="minorHAnsi" w:cstheme="minorBidi"/>
              <w:szCs w:val="28"/>
              <w:lang w:eastAsia="zh-CN" w:bidi="th-TH"/>
            </w:rPr>
          </w:pPr>
          <w:hyperlink w:anchor="_Toc116473944" w:history="1">
            <w:r w:rsidR="006E1D91" w:rsidRPr="00B463BE">
              <w:rPr>
                <w:rStyle w:val="Hyperlink"/>
              </w:rPr>
              <w:t>6.2</w:t>
            </w:r>
            <w:r w:rsidR="006E1D91">
              <w:rPr>
                <w:rFonts w:asciiTheme="minorHAnsi" w:eastAsiaTheme="minorEastAsia" w:hAnsiTheme="minorHAnsi" w:cstheme="minorBidi"/>
                <w:szCs w:val="28"/>
                <w:lang w:eastAsia="zh-CN" w:bidi="th-TH"/>
              </w:rPr>
              <w:tab/>
            </w:r>
            <w:r w:rsidR="006E1D91" w:rsidRPr="00B463BE">
              <w:rPr>
                <w:rStyle w:val="Hyperlink"/>
              </w:rPr>
              <w:t>Tables index</w:t>
            </w:r>
            <w:r w:rsidR="006E1D91">
              <w:rPr>
                <w:webHidden/>
              </w:rPr>
              <w:tab/>
            </w:r>
            <w:r w:rsidR="006E1D91">
              <w:rPr>
                <w:webHidden/>
              </w:rPr>
              <w:fldChar w:fldCharType="begin"/>
            </w:r>
            <w:r w:rsidR="006E1D91">
              <w:rPr>
                <w:webHidden/>
              </w:rPr>
              <w:instrText xml:space="preserve"> PAGEREF _Toc116473944 \h </w:instrText>
            </w:r>
            <w:r w:rsidR="006E1D91">
              <w:rPr>
                <w:webHidden/>
              </w:rPr>
            </w:r>
            <w:r w:rsidR="006E1D91">
              <w:rPr>
                <w:webHidden/>
              </w:rPr>
              <w:fldChar w:fldCharType="separate"/>
            </w:r>
            <w:r w:rsidR="00431E12">
              <w:rPr>
                <w:webHidden/>
              </w:rPr>
              <w:t>172</w:t>
            </w:r>
            <w:r w:rsidR="006E1D91">
              <w:rPr>
                <w:webHidden/>
              </w:rPr>
              <w:fldChar w:fldCharType="end"/>
            </w:r>
          </w:hyperlink>
        </w:p>
        <w:p w14:paraId="0544DE71" w14:textId="64CC0C61" w:rsidR="006E1D91" w:rsidRDefault="00000000">
          <w:pPr>
            <w:pStyle w:val="TOC2"/>
            <w:rPr>
              <w:rFonts w:asciiTheme="minorHAnsi" w:eastAsiaTheme="minorEastAsia" w:hAnsiTheme="minorHAnsi" w:cstheme="minorBidi"/>
              <w:szCs w:val="28"/>
              <w:lang w:eastAsia="zh-CN" w:bidi="th-TH"/>
            </w:rPr>
          </w:pPr>
          <w:hyperlink w:anchor="_Toc116473945" w:history="1">
            <w:r w:rsidR="006E1D91" w:rsidRPr="00B463BE">
              <w:rPr>
                <w:rStyle w:val="Hyperlink"/>
              </w:rPr>
              <w:t>6.3</w:t>
            </w:r>
            <w:r w:rsidR="006E1D91">
              <w:rPr>
                <w:rFonts w:asciiTheme="minorHAnsi" w:eastAsiaTheme="minorEastAsia" w:hAnsiTheme="minorHAnsi" w:cstheme="minorBidi"/>
                <w:szCs w:val="28"/>
                <w:lang w:eastAsia="zh-CN" w:bidi="th-TH"/>
              </w:rPr>
              <w:tab/>
            </w:r>
            <w:r w:rsidR="006E1D91" w:rsidRPr="00B463BE">
              <w:rPr>
                <w:rStyle w:val="Hyperlink"/>
              </w:rPr>
              <w:t>Figures index</w:t>
            </w:r>
            <w:r w:rsidR="006E1D91">
              <w:rPr>
                <w:webHidden/>
              </w:rPr>
              <w:tab/>
            </w:r>
            <w:r w:rsidR="006E1D91">
              <w:rPr>
                <w:webHidden/>
              </w:rPr>
              <w:fldChar w:fldCharType="begin"/>
            </w:r>
            <w:r w:rsidR="006E1D91">
              <w:rPr>
                <w:webHidden/>
              </w:rPr>
              <w:instrText xml:space="preserve"> PAGEREF _Toc116473945 \h </w:instrText>
            </w:r>
            <w:r w:rsidR="006E1D91">
              <w:rPr>
                <w:webHidden/>
              </w:rPr>
            </w:r>
            <w:r w:rsidR="006E1D91">
              <w:rPr>
                <w:webHidden/>
              </w:rPr>
              <w:fldChar w:fldCharType="separate"/>
            </w:r>
            <w:r w:rsidR="00431E12">
              <w:rPr>
                <w:webHidden/>
              </w:rPr>
              <w:t>173</w:t>
            </w:r>
            <w:r w:rsidR="006E1D91">
              <w:rPr>
                <w:webHidden/>
              </w:rPr>
              <w:fldChar w:fldCharType="end"/>
            </w:r>
          </w:hyperlink>
        </w:p>
        <w:p w14:paraId="7EE0A6EA" w14:textId="5668496D" w:rsidR="008627F6" w:rsidRPr="00D2134C" w:rsidRDefault="008627F6">
          <w:r w:rsidRPr="00D2134C">
            <w:rPr>
              <w:b/>
              <w:bCs/>
            </w:rPr>
            <w:fldChar w:fldCharType="end"/>
          </w:r>
        </w:p>
      </w:sdtContent>
    </w:sdt>
    <w:p w14:paraId="0B7057DF" w14:textId="77777777" w:rsidR="00775B02" w:rsidRPr="00D2134C" w:rsidRDefault="00775B02" w:rsidP="00561B3B">
      <w:r w:rsidRPr="00D2134C">
        <w:br w:type="page"/>
      </w:r>
    </w:p>
    <w:p w14:paraId="6FE7B909" w14:textId="6957A4F9" w:rsidR="00775B02" w:rsidRDefault="00D8233F" w:rsidP="00AE2CBE">
      <w:pPr>
        <w:ind w:left="0"/>
      </w:pPr>
      <w:bookmarkStart w:id="0" w:name="_Toc116472627"/>
      <w:bookmarkStart w:id="1" w:name="_Toc116473842"/>
      <w:r w:rsidRPr="00D8233F">
        <w:rPr>
          <w:noProof/>
        </w:rPr>
        <w:lastRenderedPageBreak/>
        <w:drawing>
          <wp:inline distT="0" distB="0" distL="0" distR="0" wp14:anchorId="6260DB5E" wp14:editId="13E5D000">
            <wp:extent cx="6372225" cy="8116570"/>
            <wp:effectExtent l="0" t="0" r="9525" b="0"/>
            <wp:docPr id="502" name="Picture 502" descr="A letter to the Minister from Mr Jim Minto, the Acting Chair, National Disability Insurance Agency, dated 15 September 2022.&#10;&#10;Dear Minister.&#10;On behalf of the National Disability Insurance Agency, I present to you the annual report for the reporting year 1 July 2021 to 30 June 2022.&#10;The report provides a detailed description of the Agency’s operations during the year and has been prepared in accordance with the Public Governance, Performance and Accountability Act 2013 (PGPA Act) and the National Disability Insurance Scheme Act 2013 (NDIS Act).&#10;In accordance with section 39 of the PGPA Act, the report provides information about the Agency’s performance in achieving its purposes.&#10;The report includes a copy of the Agency’s annual financial statements and the Auditor-General’s report as prescribed by subsection 43(4) of the PGPA Act.&#10;The report is made in accordance with a resolution of the Board of Directors, on 15 September 2022. The Board is responsible for its preparation and content. The report is provided to you as the responsible minister under section 46 of the PGPA Act.&#10;The incorporated summary of the Annual Financial Sustainability Report 2021–22, and the inclusion of the reviewing actuary’s report, fulfils the Agency’s obligations under subsection 172(4) of the NDIS Act.&#10;Yours sincerely&#10;&#10;Mr Jim Minto &#10;Acting Chair&#10;National Disability Insurance Agency&#10;15 September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A letter to the Minister from Mr Jim Minto, the Acting Chair, National Disability Insurance Agency, dated 15 September 2022.&#10;&#10;Dear Minister.&#10;On behalf of the National Disability Insurance Agency, I present to you the annual report for the reporting year 1 July 2021 to 30 June 2022.&#10;The report provides a detailed description of the Agency’s operations during the year and has been prepared in accordance with the Public Governance, Performance and Accountability Act 2013 (PGPA Act) and the National Disability Insurance Scheme Act 2013 (NDIS Act).&#10;In accordance with section 39 of the PGPA Act, the report provides information about the Agency’s performance in achieving its purposes.&#10;The report includes a copy of the Agency’s annual financial statements and the Auditor-General’s report as prescribed by subsection 43(4) of the PGPA Act.&#10;The report is made in accordance with a resolution of the Board of Directors, on 15 September 2022. The Board is responsible for its preparation and content. The report is provided to you as the responsible minister under section 46 of the PGPA Act.&#10;The incorporated summary of the Annual Financial Sustainability Report 2021–22, and the inclusion of the reviewing actuary’s report, fulfils the Agency’s obligations under subsection 172(4) of the NDIS Act.&#10;Yours sincerely&#10;&#10;Mr Jim Minto &#10;Acting Chair&#10;National Disability Insurance Agency&#10;15 September 2022&#10;"/>
                    <pic:cNvPicPr/>
                  </pic:nvPicPr>
                  <pic:blipFill>
                    <a:blip r:embed="rId12"/>
                    <a:stretch>
                      <a:fillRect/>
                    </a:stretch>
                  </pic:blipFill>
                  <pic:spPr>
                    <a:xfrm>
                      <a:off x="0" y="0"/>
                      <a:ext cx="6372225" cy="8116570"/>
                    </a:xfrm>
                    <a:prstGeom prst="rect">
                      <a:avLst/>
                    </a:prstGeom>
                  </pic:spPr>
                </pic:pic>
              </a:graphicData>
            </a:graphic>
          </wp:inline>
        </w:drawing>
      </w:r>
      <w:bookmarkEnd w:id="0"/>
      <w:bookmarkEnd w:id="1"/>
    </w:p>
    <w:p w14:paraId="48CD467A" w14:textId="3B62E021" w:rsidR="00F405EE" w:rsidRPr="00D2134C" w:rsidRDefault="00F405EE" w:rsidP="00FE5AB1">
      <w:pPr>
        <w:pStyle w:val="FGCHEADING1"/>
      </w:pPr>
      <w:bookmarkStart w:id="2" w:name="_Toc51067956"/>
      <w:bookmarkStart w:id="3" w:name="_Toc114477486"/>
      <w:bookmarkStart w:id="4" w:name="_Toc116473843"/>
      <w:bookmarkStart w:id="5" w:name="_Toc51067968"/>
      <w:r w:rsidRPr="00D2134C">
        <w:lastRenderedPageBreak/>
        <w:t>Introduction</w:t>
      </w:r>
      <w:bookmarkEnd w:id="2"/>
      <w:bookmarkEnd w:id="3"/>
      <w:bookmarkEnd w:id="4"/>
    </w:p>
    <w:p w14:paraId="061584ED" w14:textId="26D8C6AF" w:rsidR="00F405EE" w:rsidRPr="00D2134C" w:rsidRDefault="00F405EE" w:rsidP="00F405EE">
      <w:pPr>
        <w:pStyle w:val="FGCNORMAL"/>
        <w:rPr>
          <w:rFonts w:eastAsia="DengXian"/>
        </w:rPr>
      </w:pPr>
      <w:bookmarkStart w:id="6" w:name="_Toc51067957"/>
      <w:r w:rsidRPr="00D2134C">
        <w:t xml:space="preserve">The National Disability Insurance Agency (the Agency or NDIA) </w:t>
      </w:r>
      <w:r w:rsidR="004215EB" w:rsidRPr="00D2134C">
        <w:t>Annual Report 2021</w:t>
      </w:r>
      <w:r w:rsidR="00965C8A">
        <w:t>-</w:t>
      </w:r>
      <w:r w:rsidR="004215EB" w:rsidRPr="00D2134C">
        <w:t xml:space="preserve">22 </w:t>
      </w:r>
      <w:r w:rsidRPr="00D2134C">
        <w:t xml:space="preserve">is prepared in accordance with legislative requirements. It summarises the </w:t>
      </w:r>
      <w:r w:rsidR="004215EB" w:rsidRPr="00D2134C">
        <w:t xml:space="preserve">NDIA’s </w:t>
      </w:r>
      <w:r w:rsidRPr="00D2134C">
        <w:t xml:space="preserve">performance from 1 July 2021 until 30 June 2022. This includes how the </w:t>
      </w:r>
      <w:r w:rsidR="004215EB" w:rsidRPr="00D2134C">
        <w:t xml:space="preserve">NDIA </w:t>
      </w:r>
      <w:r w:rsidRPr="00D2134C">
        <w:t>fulfilled the</w:t>
      </w:r>
      <w:r w:rsidRPr="00D2134C">
        <w:rPr>
          <w:rFonts w:eastAsia="DengXian"/>
        </w:rPr>
        <w:t xml:space="preserve"> principles set out in the </w:t>
      </w:r>
      <w:r w:rsidRPr="00D2134C">
        <w:rPr>
          <w:rFonts w:eastAsia="DengXian"/>
          <w:i/>
        </w:rPr>
        <w:t>National Disability Insurance Scheme Act 2013</w:t>
      </w:r>
      <w:r w:rsidRPr="00D2134C">
        <w:rPr>
          <w:rFonts w:eastAsia="DengXian"/>
        </w:rPr>
        <w:t xml:space="preserve"> (NDIS Act). </w:t>
      </w:r>
    </w:p>
    <w:p w14:paraId="4685F677" w14:textId="62981525" w:rsidR="00F405EE" w:rsidRPr="00D2134C" w:rsidRDefault="00F405EE" w:rsidP="00EE2D88">
      <w:pPr>
        <w:pStyle w:val="FGCHEADING2"/>
        <w:numPr>
          <w:ilvl w:val="0"/>
          <w:numId w:val="0"/>
        </w:numPr>
        <w:ind w:left="680"/>
      </w:pPr>
      <w:bookmarkStart w:id="7" w:name="_Toc114477487"/>
      <w:bookmarkStart w:id="8" w:name="_Toc116473844"/>
      <w:r w:rsidRPr="00D2134C">
        <w:t>Acknowledgement</w:t>
      </w:r>
      <w:bookmarkStart w:id="9" w:name="_Toc51067958"/>
      <w:bookmarkEnd w:id="6"/>
      <w:bookmarkEnd w:id="7"/>
      <w:bookmarkEnd w:id="8"/>
    </w:p>
    <w:p w14:paraId="7FB550E7" w14:textId="77777777" w:rsidR="00ED5128" w:rsidRDefault="00F405EE" w:rsidP="00ED5128">
      <w:pPr>
        <w:pStyle w:val="FGCNORMAL"/>
      </w:pPr>
      <w:r w:rsidRPr="00D2134C">
        <w:t xml:space="preserve">The NDIA acknowledges the Aboriginal and Torres Strait Islander peoples of this nation and the Traditional Custodians of the lands across which our </w:t>
      </w:r>
      <w:r w:rsidR="003B0127">
        <w:t>A</w:t>
      </w:r>
      <w:r w:rsidRPr="00D2134C">
        <w:t>gency conducts our business. We pay our respects to the custodians of the land on which we work as well as their ancestors and Elders, past</w:t>
      </w:r>
      <w:r w:rsidR="003B0127">
        <w:t xml:space="preserve">, </w:t>
      </w:r>
      <w:proofErr w:type="gramStart"/>
      <w:r w:rsidRPr="00D2134C">
        <w:t>present</w:t>
      </w:r>
      <w:proofErr w:type="gramEnd"/>
      <w:r w:rsidRPr="00D2134C">
        <w:t xml:space="preserve"> and emerging.</w:t>
      </w:r>
      <w:r w:rsidR="00ED5128" w:rsidRPr="00ED5128">
        <w:t xml:space="preserve"> </w:t>
      </w:r>
    </w:p>
    <w:p w14:paraId="1C4D15FE" w14:textId="4B87BFD6" w:rsidR="00F405EE" w:rsidRDefault="00ED5128" w:rsidP="00ED5128">
      <w:pPr>
        <w:pStyle w:val="FGCNORMAL"/>
      </w:pPr>
      <w:r w:rsidRPr="00D2134C">
        <w:t>The NDIA is committed to honouring Aboriginal and Torres Strait Islander peoples’ unique cultural and spiritual relationships to the land, waters</w:t>
      </w:r>
      <w:r>
        <w:t xml:space="preserve">, </w:t>
      </w:r>
      <w:r w:rsidRPr="00D2134C">
        <w:t>seas and their rich contribution to society.</w:t>
      </w:r>
    </w:p>
    <w:p w14:paraId="63886021" w14:textId="13E77FE7" w:rsidR="00D50BFA" w:rsidRPr="00D2134C" w:rsidRDefault="00D50BFA" w:rsidP="00EE2D88">
      <w:pPr>
        <w:pStyle w:val="FGCHEADING2"/>
        <w:numPr>
          <w:ilvl w:val="0"/>
          <w:numId w:val="0"/>
        </w:numPr>
        <w:ind w:left="680"/>
      </w:pPr>
      <w:bookmarkStart w:id="10" w:name="_Toc116473845"/>
      <w:r>
        <w:t>Commitment</w:t>
      </w:r>
      <w:bookmarkEnd w:id="10"/>
    </w:p>
    <w:p w14:paraId="615AF9C6" w14:textId="7F7025AC" w:rsidR="00620AAB" w:rsidRPr="00D2134C" w:rsidRDefault="00620AAB" w:rsidP="00F405EE">
      <w:pPr>
        <w:pStyle w:val="FGCNORMAL"/>
      </w:pPr>
      <w:r w:rsidRPr="00620AAB">
        <w:t>We affirm our commitment to fellow Australians with disability; and to the mission of the NDIS to contribute to a just and inclusive Australia where all can reach their full potential and contribution. We support the objectives of the United Nations Convention on the Rights of Persons with Disabilities.</w:t>
      </w:r>
    </w:p>
    <w:p w14:paraId="7AA4D183" w14:textId="77777777" w:rsidR="00F405EE" w:rsidRPr="00A47CBB" w:rsidRDefault="00F405EE" w:rsidP="00EE2D88">
      <w:pPr>
        <w:pStyle w:val="FGCHEADING2"/>
        <w:numPr>
          <w:ilvl w:val="1"/>
          <w:numId w:val="74"/>
        </w:numPr>
      </w:pPr>
      <w:bookmarkStart w:id="11" w:name="_Toc114477488"/>
      <w:bookmarkStart w:id="12" w:name="_Toc116473846"/>
      <w:r w:rsidRPr="00A47CBB">
        <w:t>Chair’s review</w:t>
      </w:r>
      <w:bookmarkEnd w:id="9"/>
      <w:bookmarkEnd w:id="11"/>
      <w:bookmarkEnd w:id="12"/>
    </w:p>
    <w:p w14:paraId="58B85216" w14:textId="77777777" w:rsidR="00A14123" w:rsidRDefault="00A14123" w:rsidP="00A14123">
      <w:pPr>
        <w:rPr>
          <w:rFonts w:asciiTheme="minorHAnsi" w:hAnsiTheme="minorHAnsi" w:cstheme="minorBidi"/>
          <w:lang w:eastAsia="en-GB"/>
        </w:rPr>
      </w:pPr>
      <w:bookmarkStart w:id="13" w:name="_Toc51067959"/>
      <w:r>
        <w:t>It has been</w:t>
      </w:r>
      <w:r>
        <w:rPr>
          <w:lang w:val="x-none"/>
        </w:rPr>
        <w:t xml:space="preserve"> a landmark year for the National </w:t>
      </w:r>
      <w:r>
        <w:t xml:space="preserve">Disability Insurance Scheme (NDIS) </w:t>
      </w:r>
      <w:r>
        <w:rPr>
          <w:lang w:val="x-none"/>
        </w:rPr>
        <w:t xml:space="preserve">with participant numbers </w:t>
      </w:r>
      <w:r>
        <w:t xml:space="preserve">pushing past half a million, </w:t>
      </w:r>
      <w:r>
        <w:rPr>
          <w:lang w:val="x-none"/>
        </w:rPr>
        <w:t xml:space="preserve">ending the year at 534,655. </w:t>
      </w:r>
      <w:r>
        <w:t xml:space="preserve">There was a net increase of 68,036 participants, or 14.6%, over the year. </w:t>
      </w:r>
    </w:p>
    <w:p w14:paraId="4279BCA7" w14:textId="3F6FF504" w:rsidR="00A14123" w:rsidRDefault="00A14123" w:rsidP="00A14123">
      <w:r>
        <w:t>The Scheme is a huge step forward for most people with disability</w:t>
      </w:r>
      <w:r w:rsidR="00B03646">
        <w:t>,</w:t>
      </w:r>
      <w:r>
        <w:t xml:space="preserve"> who had to rely on families and traditional supports in the past. The design of the Scheme is unique but it is also complex. With</w:t>
      </w:r>
      <w:r>
        <w:rPr>
          <w:lang w:val="x-none"/>
        </w:rPr>
        <w:t xml:space="preserve"> each participant having a personalised plan </w:t>
      </w:r>
      <w:r>
        <w:t>based on their level of functional capacity, e</w:t>
      </w:r>
      <w:r>
        <w:rPr>
          <w:lang w:val="x-none"/>
        </w:rPr>
        <w:t xml:space="preserve">ach person has his or her own </w:t>
      </w:r>
      <w:r>
        <w:t>expectations of</w:t>
      </w:r>
      <w:r>
        <w:rPr>
          <w:lang w:val="x-none"/>
        </w:rPr>
        <w:t xml:space="preserve"> appropriate reasonable and necessary supports </w:t>
      </w:r>
      <w:r>
        <w:t>to be funded in</w:t>
      </w:r>
      <w:r>
        <w:rPr>
          <w:lang w:val="x-none"/>
        </w:rPr>
        <w:t xml:space="preserve"> their plan</w:t>
      </w:r>
      <w:r>
        <w:t xml:space="preserve">. </w:t>
      </w:r>
      <w:r>
        <w:rPr>
          <w:lang w:val="x-none"/>
        </w:rPr>
        <w:t>This will alw</w:t>
      </w:r>
      <w:r>
        <w:t>ays see</w:t>
      </w:r>
      <w:r>
        <w:rPr>
          <w:lang w:val="x-none"/>
        </w:rPr>
        <w:t xml:space="preserve"> levels of </w:t>
      </w:r>
      <w:r>
        <w:t>public comment</w:t>
      </w:r>
      <w:r>
        <w:rPr>
          <w:lang w:val="x-none"/>
        </w:rPr>
        <w:t xml:space="preserve"> and demand as </w:t>
      </w:r>
      <w:r>
        <w:t>participants and their advocates</w:t>
      </w:r>
      <w:r>
        <w:rPr>
          <w:lang w:val="x-none"/>
        </w:rPr>
        <w:t xml:space="preserve"> seek to have thei</w:t>
      </w:r>
      <w:r>
        <w:t>r</w:t>
      </w:r>
      <w:r>
        <w:rPr>
          <w:lang w:val="x-none"/>
        </w:rPr>
        <w:t xml:space="preserve"> </w:t>
      </w:r>
      <w:r>
        <w:t xml:space="preserve">personal </w:t>
      </w:r>
      <w:r>
        <w:rPr>
          <w:lang w:val="x-none"/>
        </w:rPr>
        <w:t xml:space="preserve">expectations fully met. </w:t>
      </w:r>
    </w:p>
    <w:p w14:paraId="6BCB512C" w14:textId="77777777" w:rsidR="00A14123" w:rsidRDefault="00A14123" w:rsidP="00A14123">
      <w:pPr>
        <w:rPr>
          <w:lang w:val="x-none"/>
        </w:rPr>
      </w:pPr>
      <w:r>
        <w:t xml:space="preserve">Before the Scheme, supports or services were provided in standardised ways. The Scheme design focuses on participants finding, selecting and negotiating their own supports and service providers – a challenge for many who have not been in this position before. Many providers charge full price limits or charge premium prices for individual items. Over time it is reasonable to expect that we should see benefits from greater buying power that will allow participants to get better value and more services from their funding. Any steps that can help make the Scheme and accessing supports easier to navigate is a priority.  </w:t>
      </w:r>
    </w:p>
    <w:p w14:paraId="05689D3E" w14:textId="77777777" w:rsidR="00A14123" w:rsidRDefault="00A14123" w:rsidP="00A14123">
      <w:pPr>
        <w:rPr>
          <w:lang w:val="x-none"/>
        </w:rPr>
      </w:pPr>
      <w:r>
        <w:t>While we know there is certainly room for improvement in how the Scheme is delivered, there is no doubt the</w:t>
      </w:r>
      <w:r>
        <w:rPr>
          <w:lang w:val="x-none"/>
        </w:rPr>
        <w:t xml:space="preserve"> funding of supports through the </w:t>
      </w:r>
      <w:r>
        <w:t>Scheme</w:t>
      </w:r>
      <w:r>
        <w:rPr>
          <w:lang w:val="x-none"/>
        </w:rPr>
        <w:t xml:space="preserve"> is creating a real difference to the lives of a great many </w:t>
      </w:r>
      <w:r>
        <w:t xml:space="preserve">people </w:t>
      </w:r>
      <w:r>
        <w:rPr>
          <w:lang w:val="x-none"/>
        </w:rPr>
        <w:t>with disability.</w:t>
      </w:r>
    </w:p>
    <w:p w14:paraId="5204311B" w14:textId="77777777" w:rsidR="00A14123" w:rsidRDefault="00A14123" w:rsidP="00A14123">
      <w:proofErr w:type="spellStart"/>
      <w:r>
        <w:t>T</w:t>
      </w:r>
      <w:r>
        <w:rPr>
          <w:lang w:val="x-none"/>
        </w:rPr>
        <w:t>he</w:t>
      </w:r>
      <w:r>
        <w:t>re</w:t>
      </w:r>
      <w:proofErr w:type="spellEnd"/>
      <w:r>
        <w:t xml:space="preserve"> is an increasing focus now</w:t>
      </w:r>
      <w:r>
        <w:rPr>
          <w:lang w:val="x-none"/>
        </w:rPr>
        <w:t xml:space="preserve"> on outcomes for participants</w:t>
      </w:r>
      <w:r>
        <w:t xml:space="preserve"> to help each person live a better life. </w:t>
      </w:r>
      <w:r>
        <w:rPr>
          <w:lang w:val="x-none"/>
        </w:rPr>
        <w:t xml:space="preserve">This </w:t>
      </w:r>
      <w:r>
        <w:t>Annual Report</w:t>
      </w:r>
      <w:r>
        <w:rPr>
          <w:lang w:val="x-none"/>
        </w:rPr>
        <w:t xml:space="preserve"> contains </w:t>
      </w:r>
      <w:r>
        <w:t>information</w:t>
      </w:r>
      <w:r>
        <w:rPr>
          <w:lang w:val="x-none"/>
        </w:rPr>
        <w:t xml:space="preserve"> on </w:t>
      </w:r>
      <w:r>
        <w:t xml:space="preserve">areas such as community and employment participation. This is based on surveys and feedback, and tracking the impact of the Scheme over time. </w:t>
      </w:r>
      <w:r w:rsidRPr="001D073A">
        <w:t xml:space="preserve">Outcomes being achieved by people with disability </w:t>
      </w:r>
      <w:r w:rsidRPr="001D073A">
        <w:rPr>
          <w:lang w:val="x-none"/>
        </w:rPr>
        <w:t xml:space="preserve">will be one of the main focuses </w:t>
      </w:r>
      <w:r w:rsidRPr="001D073A">
        <w:t xml:space="preserve">of </w:t>
      </w:r>
      <w:r w:rsidRPr="001D073A">
        <w:rPr>
          <w:lang w:val="x-none"/>
        </w:rPr>
        <w:t xml:space="preserve">governments as </w:t>
      </w:r>
      <w:r w:rsidRPr="001D073A">
        <w:t>they continue to assess</w:t>
      </w:r>
      <w:r w:rsidRPr="001D073A">
        <w:rPr>
          <w:lang w:val="x-none"/>
        </w:rPr>
        <w:t xml:space="preserve"> the costs of the </w:t>
      </w:r>
      <w:r w:rsidRPr="001D073A">
        <w:t>Scheme.</w:t>
      </w:r>
    </w:p>
    <w:p w14:paraId="7E84DE8F" w14:textId="071E82DD" w:rsidR="00A14123" w:rsidRDefault="00A14123" w:rsidP="00A14123">
      <w:r>
        <w:t>The</w:t>
      </w:r>
      <w:r>
        <w:rPr>
          <w:lang w:val="x-none"/>
        </w:rPr>
        <w:t xml:space="preserve"> impact of COVID-19 on all </w:t>
      </w:r>
      <w:r>
        <w:t xml:space="preserve">Scheme </w:t>
      </w:r>
      <w:r>
        <w:rPr>
          <w:lang w:val="x-none"/>
        </w:rPr>
        <w:t xml:space="preserve">stakeholders </w:t>
      </w:r>
      <w:r>
        <w:t>has started to ease</w:t>
      </w:r>
      <w:r w:rsidR="00BB61B0">
        <w:t>;</w:t>
      </w:r>
      <w:r>
        <w:t xml:space="preserve"> however</w:t>
      </w:r>
      <w:r w:rsidR="00D71B29">
        <w:t>,</w:t>
      </w:r>
      <w:r>
        <w:t xml:space="preserve"> </w:t>
      </w:r>
      <w:r>
        <w:rPr>
          <w:lang w:val="x-none"/>
        </w:rPr>
        <w:t>without doubt</w:t>
      </w:r>
      <w:r>
        <w:t>,</w:t>
      </w:r>
      <w:r>
        <w:rPr>
          <w:lang w:val="x-none"/>
        </w:rPr>
        <w:t xml:space="preserve"> </w:t>
      </w:r>
      <w:r>
        <w:t>the pandemic has</w:t>
      </w:r>
      <w:r>
        <w:rPr>
          <w:lang w:val="x-none"/>
        </w:rPr>
        <w:t xml:space="preserve"> created a great deal of challenge and disruption. Our staff</w:t>
      </w:r>
      <w:r>
        <w:t>,</w:t>
      </w:r>
      <w:r>
        <w:rPr>
          <w:lang w:val="x-none"/>
        </w:rPr>
        <w:t xml:space="preserve"> support workers and providers worked hard during the pandemic to try to ensure the best possible delivery to participants in time</w:t>
      </w:r>
      <w:r>
        <w:t>s</w:t>
      </w:r>
      <w:r>
        <w:rPr>
          <w:lang w:val="x-none"/>
        </w:rPr>
        <w:t xml:space="preserve"> of great </w:t>
      </w:r>
      <w:r>
        <w:t xml:space="preserve">difficulty. The </w:t>
      </w:r>
      <w:r w:rsidR="00D71B29">
        <w:t>e</w:t>
      </w:r>
      <w:r>
        <w:t xml:space="preserve">ast </w:t>
      </w:r>
      <w:r w:rsidR="00D71B29">
        <w:t>c</w:t>
      </w:r>
      <w:r>
        <w:t xml:space="preserve">oast flooding events in early 2022 </w:t>
      </w:r>
      <w:r>
        <w:lastRenderedPageBreak/>
        <w:t xml:space="preserve">created additional stresses and pressure on participants, their </w:t>
      </w:r>
      <w:proofErr w:type="gramStart"/>
      <w:r>
        <w:t>families</w:t>
      </w:r>
      <w:proofErr w:type="gramEnd"/>
      <w:r>
        <w:t xml:space="preserve"> and supporters as well as various service providers. </w:t>
      </w:r>
    </w:p>
    <w:p w14:paraId="23EA24DD" w14:textId="388F1DF8" w:rsidR="00A14123" w:rsidRDefault="00A14123" w:rsidP="00A14123">
      <w:r>
        <w:t xml:space="preserve">Even in the face of these challenges, there have been many highlights. In </w:t>
      </w:r>
      <w:r w:rsidR="00577731">
        <w:t>2021–22</w:t>
      </w:r>
      <w:r>
        <w:t>:</w:t>
      </w:r>
    </w:p>
    <w:p w14:paraId="36FC7072" w14:textId="657D8A15" w:rsidR="00A14123" w:rsidRDefault="00A14123" w:rsidP="00A14123">
      <w:pPr>
        <w:pStyle w:val="ListParagraph"/>
        <w:numPr>
          <w:ilvl w:val="0"/>
          <w:numId w:val="45"/>
        </w:numPr>
      </w:pPr>
      <w:r w:rsidRPr="00A14123">
        <w:rPr>
          <w:lang w:val="x-none"/>
        </w:rPr>
        <w:t xml:space="preserve">Total payments </w:t>
      </w:r>
      <w:r>
        <w:t>to participants were</w:t>
      </w:r>
      <w:r w:rsidRPr="00A14123">
        <w:rPr>
          <w:lang w:val="x-none"/>
        </w:rPr>
        <w:t xml:space="preserve"> </w:t>
      </w:r>
      <w:r>
        <w:t>$</w:t>
      </w:r>
      <w:r w:rsidRPr="00A14123">
        <w:rPr>
          <w:lang w:val="x-none"/>
        </w:rPr>
        <w:t>28</w:t>
      </w:r>
      <w:r>
        <w:t>.6 billion,</w:t>
      </w:r>
      <w:r w:rsidRPr="00A14123">
        <w:rPr>
          <w:lang w:val="x-none"/>
        </w:rPr>
        <w:t xml:space="preserve"> an increase of just over </w:t>
      </w:r>
      <w:r>
        <w:t>$</w:t>
      </w:r>
      <w:r w:rsidRPr="00A14123">
        <w:rPr>
          <w:lang w:val="x-none"/>
        </w:rPr>
        <w:t xml:space="preserve">5 billion on the </w:t>
      </w:r>
      <w:r>
        <w:t>previous financial</w:t>
      </w:r>
      <w:r w:rsidR="001B3D33">
        <w:t xml:space="preserve"> </w:t>
      </w:r>
      <w:r w:rsidRPr="00A14123">
        <w:rPr>
          <w:lang w:val="x-none"/>
        </w:rPr>
        <w:t>year</w:t>
      </w:r>
      <w:r>
        <w:t>.</w:t>
      </w:r>
    </w:p>
    <w:p w14:paraId="0D72A793" w14:textId="77777777" w:rsidR="00A14123" w:rsidRDefault="00A14123" w:rsidP="00A14123">
      <w:pPr>
        <w:pStyle w:val="ListParagraph"/>
        <w:numPr>
          <w:ilvl w:val="0"/>
          <w:numId w:val="45"/>
        </w:numPr>
      </w:pPr>
      <w:r w:rsidRPr="00A14123">
        <w:rPr>
          <w:lang w:val="x-none"/>
        </w:rPr>
        <w:t>The average payment per participant w</w:t>
      </w:r>
      <w:r>
        <w:t>as</w:t>
      </w:r>
      <w:r w:rsidRPr="00A14123">
        <w:rPr>
          <w:lang w:val="x-none"/>
        </w:rPr>
        <w:t xml:space="preserve"> $55,200. Five years ago it was $32,300.</w:t>
      </w:r>
    </w:p>
    <w:p w14:paraId="029363EF" w14:textId="01088ECD" w:rsidR="00A14123" w:rsidRDefault="00A14123" w:rsidP="00A14123">
      <w:pPr>
        <w:pStyle w:val="ListParagraph"/>
        <w:numPr>
          <w:ilvl w:val="0"/>
          <w:numId w:val="45"/>
        </w:numPr>
      </w:pPr>
      <w:r w:rsidRPr="00A14123">
        <w:rPr>
          <w:lang w:val="x-none"/>
        </w:rPr>
        <w:t xml:space="preserve">For participants who now have </w:t>
      </w:r>
      <w:r w:rsidR="00EB3687">
        <w:t>6</w:t>
      </w:r>
      <w:r w:rsidRPr="00A14123">
        <w:rPr>
          <w:lang w:val="x-none"/>
        </w:rPr>
        <w:t xml:space="preserve"> </w:t>
      </w:r>
      <w:r>
        <w:t>or</w:t>
      </w:r>
      <w:r w:rsidRPr="00A14123">
        <w:rPr>
          <w:lang w:val="x-none"/>
        </w:rPr>
        <w:t xml:space="preserve"> more plans the </w:t>
      </w:r>
      <w:r w:rsidRPr="00784EF0">
        <w:rPr>
          <w:lang w:val="x-none"/>
        </w:rPr>
        <w:t>average payment</w:t>
      </w:r>
      <w:r w:rsidR="00DE0777" w:rsidRPr="00784EF0">
        <w:t>s</w:t>
      </w:r>
      <w:r w:rsidRPr="00784EF0">
        <w:rPr>
          <w:lang w:val="x-none"/>
        </w:rPr>
        <w:t xml:space="preserve"> was</w:t>
      </w:r>
      <w:r w:rsidRPr="00A14123">
        <w:rPr>
          <w:lang w:val="x-none"/>
        </w:rPr>
        <w:t xml:space="preserve"> $92,900. The average payment </w:t>
      </w:r>
      <w:r>
        <w:t>relating to</w:t>
      </w:r>
      <w:r w:rsidRPr="00A14123">
        <w:rPr>
          <w:lang w:val="x-none"/>
        </w:rPr>
        <w:t xml:space="preserve"> their first plan was $30,300.</w:t>
      </w:r>
      <w:r>
        <w:t xml:space="preserve"> Their plan values have tripled over those </w:t>
      </w:r>
      <w:r w:rsidR="00EB3687">
        <w:t>6</w:t>
      </w:r>
      <w:r>
        <w:t xml:space="preserve"> or more plans.</w:t>
      </w:r>
    </w:p>
    <w:p w14:paraId="4229EF01" w14:textId="4614188B" w:rsidR="002562B2" w:rsidRDefault="00A14123" w:rsidP="00A14123">
      <w:pPr>
        <w:pStyle w:val="ListParagraph"/>
        <w:numPr>
          <w:ilvl w:val="0"/>
          <w:numId w:val="45"/>
        </w:numPr>
      </w:pPr>
      <w:bookmarkStart w:id="14" w:name="_Hlk114490393"/>
      <w:r w:rsidRPr="00A14123">
        <w:rPr>
          <w:lang w:val="x-none"/>
        </w:rPr>
        <w:t>Of the 534</w:t>
      </w:r>
      <w:r>
        <w:t>,</w:t>
      </w:r>
      <w:r w:rsidRPr="00A14123">
        <w:rPr>
          <w:lang w:val="x-none"/>
        </w:rPr>
        <w:t>65</w:t>
      </w:r>
      <w:r>
        <w:t>5</w:t>
      </w:r>
      <w:r w:rsidRPr="00A14123">
        <w:rPr>
          <w:lang w:val="x-none"/>
        </w:rPr>
        <w:t xml:space="preserve"> participants with an approved plan at the end of the year</w:t>
      </w:r>
      <w:r>
        <w:t>,</w:t>
      </w:r>
      <w:r w:rsidRPr="00A14123">
        <w:rPr>
          <w:lang w:val="x-none"/>
        </w:rPr>
        <w:t xml:space="preserve"> 82,863 were children younger than </w:t>
      </w:r>
      <w:r w:rsidR="005B1872">
        <w:t xml:space="preserve">7 </w:t>
      </w:r>
      <w:r>
        <w:t>years old. The number of NDIS participants as a proportion of the Australian population peaks between the ages of 5</w:t>
      </w:r>
      <w:r w:rsidR="00670BD4">
        <w:t xml:space="preserve"> and </w:t>
      </w:r>
      <w:r>
        <w:t xml:space="preserve">7, at 6.8%. </w:t>
      </w:r>
    </w:p>
    <w:p w14:paraId="627EE661" w14:textId="3BC80A79" w:rsidR="00A14123" w:rsidRDefault="00A14123" w:rsidP="002562B2">
      <w:pPr>
        <w:pStyle w:val="ListParagraph"/>
        <w:numPr>
          <w:ilvl w:val="0"/>
          <w:numId w:val="45"/>
        </w:numPr>
      </w:pPr>
      <w:r>
        <w:t xml:space="preserve">A total of 208,265 </w:t>
      </w:r>
      <w:r w:rsidRPr="002562B2">
        <w:rPr>
          <w:lang w:val="x-none"/>
        </w:rPr>
        <w:t xml:space="preserve">participant plan reviews </w:t>
      </w:r>
      <w:r>
        <w:t xml:space="preserve">were conducted between 1 July 2021 and </w:t>
      </w:r>
      <w:r w:rsidR="00C42045">
        <w:br/>
      </w:r>
      <w:r>
        <w:t>31 December 2021</w:t>
      </w:r>
      <w:r w:rsidR="009776E7">
        <w:t>;</w:t>
      </w:r>
      <w:r>
        <w:t xml:space="preserve"> of those plan reviews, </w:t>
      </w:r>
      <w:r w:rsidRPr="002562B2">
        <w:rPr>
          <w:lang w:val="x-none"/>
        </w:rPr>
        <w:t>2</w:t>
      </w:r>
      <w:r>
        <w:t>,069</w:t>
      </w:r>
      <w:r w:rsidRPr="002562B2">
        <w:rPr>
          <w:lang w:val="x-none"/>
        </w:rPr>
        <w:t xml:space="preserve"> resulted in an </w:t>
      </w:r>
      <w:r w:rsidR="002562B2">
        <w:rPr>
          <w:lang w:eastAsia="en-US" w:bidi="th-TH"/>
        </w:rPr>
        <w:t>Administrative Appeals Tribunal</w:t>
      </w:r>
      <w:r w:rsidRPr="002562B2">
        <w:rPr>
          <w:lang w:val="x-none"/>
        </w:rPr>
        <w:t xml:space="preserve"> </w:t>
      </w:r>
      <w:r>
        <w:t xml:space="preserve">case. </w:t>
      </w:r>
      <w:r w:rsidRPr="002562B2">
        <w:rPr>
          <w:lang w:val="x-none"/>
        </w:rPr>
        <w:t>We continue to work hard on improving compl</w:t>
      </w:r>
      <w:r>
        <w:t>aint</w:t>
      </w:r>
      <w:r w:rsidRPr="002562B2">
        <w:rPr>
          <w:lang w:val="x-none"/>
        </w:rPr>
        <w:t xml:space="preserve"> an</w:t>
      </w:r>
      <w:r>
        <w:t>d</w:t>
      </w:r>
      <w:r w:rsidRPr="002562B2">
        <w:rPr>
          <w:lang w:val="x-none"/>
        </w:rPr>
        <w:t xml:space="preserve"> appeal process</w:t>
      </w:r>
      <w:r>
        <w:t xml:space="preserve">es. </w:t>
      </w:r>
      <w:proofErr w:type="gramStart"/>
      <w:r>
        <w:t>At</w:t>
      </w:r>
      <w:proofErr w:type="gramEnd"/>
      <w:r>
        <w:t xml:space="preserve"> 30 June 2022,</w:t>
      </w:r>
      <w:r w:rsidRPr="002562B2">
        <w:rPr>
          <w:lang w:val="x-none"/>
        </w:rPr>
        <w:t xml:space="preserve"> 93% of complaints were </w:t>
      </w:r>
      <w:r>
        <w:t xml:space="preserve">being </w:t>
      </w:r>
      <w:r w:rsidRPr="002562B2">
        <w:rPr>
          <w:lang w:val="x-none"/>
        </w:rPr>
        <w:t>resolved within 21 days</w:t>
      </w:r>
      <w:r>
        <w:t>.</w:t>
      </w:r>
    </w:p>
    <w:bookmarkEnd w:id="14"/>
    <w:p w14:paraId="24649B18" w14:textId="77777777" w:rsidR="00A14123" w:rsidRDefault="00A14123" w:rsidP="00A14123">
      <w:r>
        <w:rPr>
          <w:lang w:val="x-none"/>
        </w:rPr>
        <w:t>Generally</w:t>
      </w:r>
      <w:r>
        <w:t>,</w:t>
      </w:r>
      <w:r>
        <w:rPr>
          <w:lang w:val="x-none"/>
        </w:rPr>
        <w:t xml:space="preserve"> as th</w:t>
      </w:r>
      <w:r>
        <w:t>is</w:t>
      </w:r>
      <w:r>
        <w:rPr>
          <w:lang w:val="x-none"/>
        </w:rPr>
        <w:t xml:space="preserve"> </w:t>
      </w:r>
      <w:r>
        <w:t>A</w:t>
      </w:r>
      <w:proofErr w:type="spellStart"/>
      <w:r>
        <w:rPr>
          <w:lang w:val="x-none"/>
        </w:rPr>
        <w:t>nnual</w:t>
      </w:r>
      <w:proofErr w:type="spellEnd"/>
      <w:r>
        <w:rPr>
          <w:lang w:val="x-none"/>
        </w:rPr>
        <w:t xml:space="preserve"> </w:t>
      </w:r>
      <w:r>
        <w:t>R</w:t>
      </w:r>
      <w:proofErr w:type="spellStart"/>
      <w:r>
        <w:rPr>
          <w:lang w:val="x-none"/>
        </w:rPr>
        <w:t>eport</w:t>
      </w:r>
      <w:proofErr w:type="spellEnd"/>
      <w:r>
        <w:rPr>
          <w:lang w:val="x-none"/>
        </w:rPr>
        <w:t xml:space="preserve"> shows</w:t>
      </w:r>
      <w:r>
        <w:t>,</w:t>
      </w:r>
      <w:r>
        <w:rPr>
          <w:lang w:val="x-none"/>
        </w:rPr>
        <w:t xml:space="preserve"> service levels have continued to improve</w:t>
      </w:r>
      <w:r>
        <w:t xml:space="preserve"> w</w:t>
      </w:r>
      <w:proofErr w:type="spellStart"/>
      <w:r>
        <w:rPr>
          <w:lang w:val="x-none"/>
        </w:rPr>
        <w:t>ith</w:t>
      </w:r>
      <w:proofErr w:type="spellEnd"/>
      <w:r>
        <w:rPr>
          <w:lang w:val="x-none"/>
        </w:rPr>
        <w:t xml:space="preserve"> most </w:t>
      </w:r>
      <w:r>
        <w:t>P</w:t>
      </w:r>
      <w:proofErr w:type="spellStart"/>
      <w:r>
        <w:rPr>
          <w:lang w:val="x-none"/>
        </w:rPr>
        <w:t>articipant</w:t>
      </w:r>
      <w:proofErr w:type="spellEnd"/>
      <w:r>
        <w:rPr>
          <w:lang w:val="x-none"/>
        </w:rPr>
        <w:t xml:space="preserve"> </w:t>
      </w:r>
      <w:r>
        <w:t>Service G</w:t>
      </w:r>
      <w:proofErr w:type="spellStart"/>
      <w:r>
        <w:rPr>
          <w:lang w:val="x-none"/>
        </w:rPr>
        <w:t>uarantee</w:t>
      </w:r>
      <w:proofErr w:type="spellEnd"/>
      <w:r>
        <w:rPr>
          <w:lang w:val="x-none"/>
        </w:rPr>
        <w:t xml:space="preserve"> measures being met. I </w:t>
      </w:r>
      <w:proofErr w:type="spellStart"/>
      <w:r>
        <w:rPr>
          <w:lang w:val="x-none"/>
        </w:rPr>
        <w:t>th</w:t>
      </w:r>
      <w:r>
        <w:t>a</w:t>
      </w:r>
      <w:r>
        <w:rPr>
          <w:lang w:val="x-none"/>
        </w:rPr>
        <w:t>nk</w:t>
      </w:r>
      <w:proofErr w:type="spellEnd"/>
      <w:r>
        <w:rPr>
          <w:lang w:val="x-none"/>
        </w:rPr>
        <w:t xml:space="preserve"> the NDI</w:t>
      </w:r>
      <w:r>
        <w:t>A</w:t>
      </w:r>
      <w:r>
        <w:rPr>
          <w:lang w:val="x-none"/>
        </w:rPr>
        <w:t xml:space="preserve"> staff and management for their </w:t>
      </w:r>
      <w:r>
        <w:t xml:space="preserve">ongoing focus on improvement </w:t>
      </w:r>
      <w:r>
        <w:rPr>
          <w:lang w:val="x-none"/>
        </w:rPr>
        <w:t xml:space="preserve">during the year. </w:t>
      </w:r>
    </w:p>
    <w:p w14:paraId="5D4C7573" w14:textId="2251A19B" w:rsidR="00A14123" w:rsidRDefault="00A14123" w:rsidP="00A14123">
      <w:pPr>
        <w:rPr>
          <w:lang w:val="x-none"/>
        </w:rPr>
      </w:pPr>
      <w:r>
        <w:rPr>
          <w:lang w:val="x-none"/>
        </w:rPr>
        <w:t xml:space="preserve">A </w:t>
      </w:r>
      <w:r>
        <w:t>S</w:t>
      </w:r>
      <w:proofErr w:type="spellStart"/>
      <w:r>
        <w:rPr>
          <w:lang w:val="x-none"/>
        </w:rPr>
        <w:t>cheme</w:t>
      </w:r>
      <w:proofErr w:type="spellEnd"/>
      <w:r>
        <w:rPr>
          <w:lang w:val="x-none"/>
        </w:rPr>
        <w:t xml:space="preserve"> of this size and complexity requires very strong underlying technology and processes together with skilled people to deliver </w:t>
      </w:r>
      <w:r>
        <w:t xml:space="preserve">it </w:t>
      </w:r>
      <w:r>
        <w:rPr>
          <w:lang w:val="x-none"/>
        </w:rPr>
        <w:t>effectively</w:t>
      </w:r>
      <w:r>
        <w:t>, i</w:t>
      </w:r>
      <w:proofErr w:type="spellStart"/>
      <w:r>
        <w:rPr>
          <w:lang w:val="x-none"/>
        </w:rPr>
        <w:t>nto</w:t>
      </w:r>
      <w:proofErr w:type="spellEnd"/>
      <w:r>
        <w:rPr>
          <w:lang w:val="x-none"/>
        </w:rPr>
        <w:t xml:space="preserve"> the future </w:t>
      </w:r>
      <w:r>
        <w:t xml:space="preserve">and for more participants. </w:t>
      </w:r>
      <w:r>
        <w:rPr>
          <w:lang w:val="x-none"/>
        </w:rPr>
        <w:t xml:space="preserve">Work has continued through this year on the design of new technology systems to </w:t>
      </w:r>
      <w:r>
        <w:t xml:space="preserve">provide </w:t>
      </w:r>
      <w:r>
        <w:rPr>
          <w:lang w:val="x-none"/>
        </w:rPr>
        <w:t>the capability to better</w:t>
      </w:r>
      <w:r>
        <w:t xml:space="preserve"> support delivery of the Scheme. It will enable </w:t>
      </w:r>
      <w:r>
        <w:rPr>
          <w:lang w:val="x-none"/>
        </w:rPr>
        <w:t xml:space="preserve">participants to interface with </w:t>
      </w:r>
      <w:r>
        <w:t>the Scheme</w:t>
      </w:r>
      <w:r>
        <w:rPr>
          <w:lang w:val="x-none"/>
        </w:rPr>
        <w:t xml:space="preserve"> </w:t>
      </w:r>
      <w:r>
        <w:t>in</w:t>
      </w:r>
      <w:r>
        <w:rPr>
          <w:lang w:val="x-none"/>
        </w:rPr>
        <w:t xml:space="preserve"> </w:t>
      </w:r>
      <w:r>
        <w:t>modern</w:t>
      </w:r>
      <w:r>
        <w:rPr>
          <w:lang w:val="x-none"/>
        </w:rPr>
        <w:t xml:space="preserve"> ways. </w:t>
      </w:r>
      <w:r w:rsidR="005C55E0">
        <w:t>Trial</w:t>
      </w:r>
      <w:r w:rsidR="008A75A8">
        <w:t xml:space="preserve"> </w:t>
      </w:r>
      <w:proofErr w:type="spellStart"/>
      <w:r>
        <w:t>o</w:t>
      </w:r>
      <w:r>
        <w:rPr>
          <w:lang w:val="x-none"/>
        </w:rPr>
        <w:t>f</w:t>
      </w:r>
      <w:proofErr w:type="spellEnd"/>
      <w:r>
        <w:rPr>
          <w:lang w:val="x-none"/>
        </w:rPr>
        <w:t xml:space="preserve"> the first phase of the new technology will commence prior to the end of 2022. The redesign of payment systems will be part of the new technology rollout</w:t>
      </w:r>
      <w:r>
        <w:t>, which is e</w:t>
      </w:r>
      <w:proofErr w:type="spellStart"/>
      <w:r>
        <w:rPr>
          <w:lang w:val="x-none"/>
        </w:rPr>
        <w:t>xpect</w:t>
      </w:r>
      <w:r>
        <w:t>ed</w:t>
      </w:r>
      <w:proofErr w:type="spellEnd"/>
      <w:r>
        <w:rPr>
          <w:lang w:val="x-none"/>
        </w:rPr>
        <w:t xml:space="preserve"> to happen progressively over </w:t>
      </w:r>
      <w:r w:rsidRPr="00784EF0">
        <w:rPr>
          <w:lang w:val="x-none"/>
        </w:rPr>
        <w:t xml:space="preserve">the next </w:t>
      </w:r>
      <w:r w:rsidR="00C9650E" w:rsidRPr="00784EF0">
        <w:t>2</w:t>
      </w:r>
      <w:r w:rsidR="00C9650E" w:rsidRPr="00784EF0">
        <w:rPr>
          <w:lang w:val="x-none"/>
        </w:rPr>
        <w:t xml:space="preserve"> </w:t>
      </w:r>
      <w:r w:rsidRPr="00784EF0">
        <w:rPr>
          <w:lang w:val="x-none"/>
        </w:rPr>
        <w:t>years.</w:t>
      </w:r>
    </w:p>
    <w:p w14:paraId="6E1F9476" w14:textId="77777777" w:rsidR="00A14123" w:rsidRDefault="00A14123" w:rsidP="00A14123">
      <w:r>
        <w:t>C</w:t>
      </w:r>
      <w:r>
        <w:rPr>
          <w:lang w:val="x-none"/>
        </w:rPr>
        <w:t>o</w:t>
      </w:r>
      <w:r>
        <w:t xml:space="preserve">-design </w:t>
      </w:r>
      <w:r>
        <w:rPr>
          <w:lang w:val="x-none"/>
        </w:rPr>
        <w:t xml:space="preserve">work </w:t>
      </w:r>
      <w:r>
        <w:t xml:space="preserve">with the disability community </w:t>
      </w:r>
      <w:r>
        <w:rPr>
          <w:lang w:val="x-none"/>
        </w:rPr>
        <w:t xml:space="preserve">continued this year and </w:t>
      </w:r>
      <w:r>
        <w:t>will be</w:t>
      </w:r>
      <w:r>
        <w:rPr>
          <w:lang w:val="x-none"/>
        </w:rPr>
        <w:t xml:space="preserve"> a cornerstone of the operation of the </w:t>
      </w:r>
      <w:r>
        <w:t xml:space="preserve">Scheme </w:t>
      </w:r>
      <w:r>
        <w:rPr>
          <w:lang w:val="x-none"/>
        </w:rPr>
        <w:t>into the future. Working together in this way allows better solutions to be designed and a</w:t>
      </w:r>
      <w:r>
        <w:t xml:space="preserve"> greater</w:t>
      </w:r>
      <w:r>
        <w:rPr>
          <w:lang w:val="x-none"/>
        </w:rPr>
        <w:t xml:space="preserve"> sense of ownership by all parties.</w:t>
      </w:r>
      <w:r>
        <w:t xml:space="preserve"> I thank all those involved in helping design better processes.</w:t>
      </w:r>
    </w:p>
    <w:p w14:paraId="31F9FC6E" w14:textId="77777777" w:rsidR="00A14123" w:rsidRDefault="00A14123" w:rsidP="00A14123">
      <w:r>
        <w:rPr>
          <w:lang w:val="x-none"/>
        </w:rPr>
        <w:t xml:space="preserve">The </w:t>
      </w:r>
      <w:r>
        <w:t>I</w:t>
      </w:r>
      <w:proofErr w:type="spellStart"/>
      <w:r>
        <w:rPr>
          <w:lang w:val="x-none"/>
        </w:rPr>
        <w:t>ndependent</w:t>
      </w:r>
      <w:proofErr w:type="spellEnd"/>
      <w:r>
        <w:rPr>
          <w:lang w:val="x-none"/>
        </w:rPr>
        <w:t xml:space="preserve"> </w:t>
      </w:r>
      <w:r>
        <w:t>A</w:t>
      </w:r>
      <w:proofErr w:type="spellStart"/>
      <w:r>
        <w:rPr>
          <w:lang w:val="x-none"/>
        </w:rPr>
        <w:t>dvisory</w:t>
      </w:r>
      <w:proofErr w:type="spellEnd"/>
      <w:r>
        <w:rPr>
          <w:lang w:val="x-none"/>
        </w:rPr>
        <w:t xml:space="preserve"> </w:t>
      </w:r>
      <w:r>
        <w:t>C</w:t>
      </w:r>
      <w:proofErr w:type="spellStart"/>
      <w:r>
        <w:rPr>
          <w:lang w:val="x-none"/>
        </w:rPr>
        <w:t>ouncil</w:t>
      </w:r>
      <w:proofErr w:type="spellEnd"/>
      <w:r>
        <w:rPr>
          <w:lang w:val="x-none"/>
        </w:rPr>
        <w:t xml:space="preserve"> </w:t>
      </w:r>
      <w:r>
        <w:t xml:space="preserve">(IAC) </w:t>
      </w:r>
      <w:r>
        <w:rPr>
          <w:lang w:val="x-none"/>
        </w:rPr>
        <w:t xml:space="preserve">continues to perform valuable work around </w:t>
      </w:r>
      <w:r>
        <w:t>co-design</w:t>
      </w:r>
      <w:r>
        <w:rPr>
          <w:lang w:val="x-none"/>
        </w:rPr>
        <w:t xml:space="preserve"> and advice to the </w:t>
      </w:r>
      <w:r>
        <w:t>B</w:t>
      </w:r>
      <w:proofErr w:type="spellStart"/>
      <w:r>
        <w:rPr>
          <w:lang w:val="x-none"/>
        </w:rPr>
        <w:t>oard</w:t>
      </w:r>
      <w:proofErr w:type="spellEnd"/>
      <w:r>
        <w:rPr>
          <w:lang w:val="x-none"/>
        </w:rPr>
        <w:t xml:space="preserve"> on key matte</w:t>
      </w:r>
      <w:r>
        <w:t xml:space="preserve">rs. On behalf of the Board, I thank the IAC for their insightful contributions. </w:t>
      </w:r>
    </w:p>
    <w:p w14:paraId="1FB5E7CB" w14:textId="30B175A6" w:rsidR="00A14123" w:rsidRDefault="00A14123" w:rsidP="00A14123">
      <w:r>
        <w:t xml:space="preserve">The past year has seen significant changes in the Board. Former Chairman Helen Nugent retired on 31 December 2021, with Dr Denis Napthine stepping into the role from 1 April and subsequently stepping down on 15 July 2022. I thank them both, and all members of the Board, for their tremendous efforts in guiding the delivery of the NDIS. CEO Martin Hoffman left the Agency at the conclusion of the </w:t>
      </w:r>
      <w:r w:rsidR="00577731">
        <w:t>2021–</w:t>
      </w:r>
      <w:proofErr w:type="gramStart"/>
      <w:r w:rsidR="00577731">
        <w:t xml:space="preserve">22 </w:t>
      </w:r>
      <w:r>
        <w:t xml:space="preserve"> financial</w:t>
      </w:r>
      <w:proofErr w:type="gramEnd"/>
      <w:r>
        <w:t xml:space="preserve"> year. Dr Lisa </w:t>
      </w:r>
      <w:proofErr w:type="spellStart"/>
      <w:r>
        <w:t>Studdert</w:t>
      </w:r>
      <w:proofErr w:type="spellEnd"/>
      <w:r>
        <w:t xml:space="preserve"> has ably stepped into the role, pending the selection of a new CEO. I thank both Martin and Lisa for their leadership of the NDIA and I thank all staff for their tremendous efforts. </w:t>
      </w:r>
    </w:p>
    <w:p w14:paraId="6DBC3B96" w14:textId="22FB3FF1" w:rsidR="00A14123" w:rsidRDefault="00A14123" w:rsidP="00A14123">
      <w:r>
        <w:t>The new Government was elected in May 2022 and the new Minister for the NDIS, the Hon Bill Shorten MP, has since outlined an agenda for improvements that will enhance the Scheme. The agenda includes a review of the Scheme</w:t>
      </w:r>
      <w:r w:rsidR="00BE01FC">
        <w:t>.</w:t>
      </w:r>
      <w:r w:rsidR="00950E1B">
        <w:t xml:space="preserve"> </w:t>
      </w:r>
      <w:r>
        <w:t xml:space="preserve">The NDIA Board and management look forward to working with the Government to address the outcomes of the review. </w:t>
      </w:r>
    </w:p>
    <w:p w14:paraId="61073D68" w14:textId="77777777" w:rsidR="00A14123" w:rsidRDefault="00A14123" w:rsidP="00A14123">
      <w:r>
        <w:t>Despite concerns about the cost of the Scheme in a wider societal sense, it does have a tremendous purpose and delivers transformative benefits for so many. The challenge for us all now is how we can preserve these benefits while ensuring the Scheme remains affordable for government.</w:t>
      </w:r>
    </w:p>
    <w:p w14:paraId="189FE1D8" w14:textId="77777777" w:rsidR="00A14123" w:rsidRDefault="00A14123" w:rsidP="00A14123">
      <w:r>
        <w:t>Jim Minto</w:t>
      </w:r>
    </w:p>
    <w:p w14:paraId="48A7DE01" w14:textId="77777777" w:rsidR="00A14123" w:rsidRDefault="00A14123" w:rsidP="00A14123">
      <w:r>
        <w:t>Acting Chair</w:t>
      </w:r>
    </w:p>
    <w:p w14:paraId="34F1A6E5" w14:textId="41E91C6C" w:rsidR="00F405EE" w:rsidRPr="00D2134C" w:rsidRDefault="00EC7288" w:rsidP="00F405EE">
      <w:pPr>
        <w:pStyle w:val="FGCHEADING2"/>
      </w:pPr>
      <w:bookmarkStart w:id="15" w:name="_Toc116473847"/>
      <w:r>
        <w:lastRenderedPageBreak/>
        <w:t xml:space="preserve">Acting </w:t>
      </w:r>
      <w:bookmarkStart w:id="16" w:name="_Toc114477489"/>
      <w:r w:rsidR="00F405EE" w:rsidRPr="00D2134C">
        <w:t>Chief Executive Officer’s review</w:t>
      </w:r>
      <w:bookmarkEnd w:id="13"/>
      <w:bookmarkEnd w:id="15"/>
      <w:bookmarkEnd w:id="16"/>
    </w:p>
    <w:p w14:paraId="34C7BA7E" w14:textId="7C98D4D7" w:rsidR="00366C65" w:rsidRPr="00EE2D88" w:rsidRDefault="00366C65" w:rsidP="00366C65">
      <w:pPr>
        <w:spacing w:line="276" w:lineRule="auto"/>
      </w:pPr>
      <w:r w:rsidRPr="00EE2D88">
        <w:t>The period of 2021</w:t>
      </w:r>
      <w:r w:rsidR="00EA218B">
        <w:t>–</w:t>
      </w:r>
      <w:r w:rsidRPr="00EE2D88">
        <w:t xml:space="preserve">22 was a year of progress and change for the National Disability Insurance Scheme (NDIS). </w:t>
      </w:r>
    </w:p>
    <w:p w14:paraId="6D4A4B70" w14:textId="77777777" w:rsidR="00366C65" w:rsidRPr="00EE2D88" w:rsidRDefault="00366C65" w:rsidP="00366C65">
      <w:pPr>
        <w:spacing w:line="276" w:lineRule="auto"/>
      </w:pPr>
      <w:r w:rsidRPr="00EE2D88">
        <w:t xml:space="preserve">At the National Disability Insurance Agency (NDIA) we worked hard to make significant improvements, streamline </w:t>
      </w:r>
      <w:proofErr w:type="gramStart"/>
      <w:r w:rsidRPr="00EE2D88">
        <w:t>services</w:t>
      </w:r>
      <w:proofErr w:type="gramEnd"/>
      <w:r w:rsidRPr="00EE2D88">
        <w:t xml:space="preserve"> and engage more extensively with the sector, in line with participants’ needs and expectations.</w:t>
      </w:r>
    </w:p>
    <w:p w14:paraId="563CF575" w14:textId="0E2A39C3" w:rsidR="00366C65" w:rsidRPr="00EE2D88" w:rsidRDefault="00366C65" w:rsidP="00366C65">
      <w:pPr>
        <w:spacing w:line="276" w:lineRule="auto"/>
      </w:pPr>
      <w:r w:rsidRPr="00EE2D88">
        <w:t xml:space="preserve">The </w:t>
      </w:r>
      <w:r w:rsidRPr="00EE2D88">
        <w:rPr>
          <w:i/>
          <w:iCs/>
        </w:rPr>
        <w:t>NDIS Amendment (Participant Service Guarantee and Other Measures) Act 2021</w:t>
      </w:r>
      <w:r w:rsidRPr="00EE2D88">
        <w:t xml:space="preserve">, which passed in both houses of Parliament in 2022, will allow for easier payments and plan variations. It legislates the Participant Service Guarantee (PSG), which the Agency was already implementing administratively. The PSG, along with the Participant Service Charter and Participant Service Improvement plans, </w:t>
      </w:r>
      <w:r w:rsidR="004B341C">
        <w:t>sets out</w:t>
      </w:r>
      <w:r w:rsidRPr="00EE2D88">
        <w:t xml:space="preserve"> our commitment to meeting participants’ expectations and improving the NDIS experience and outcomes.</w:t>
      </w:r>
    </w:p>
    <w:p w14:paraId="7BA16763" w14:textId="77777777" w:rsidR="00366C65" w:rsidRPr="00EE2D88" w:rsidRDefault="00366C65" w:rsidP="00366C65">
      <w:pPr>
        <w:spacing w:line="276" w:lineRule="auto"/>
      </w:pPr>
      <w:r w:rsidRPr="00EE2D88">
        <w:t>The past year was also a period of significant growth.</w:t>
      </w:r>
    </w:p>
    <w:p w14:paraId="7A0831A7" w14:textId="04F6B8D9" w:rsidR="00366C65" w:rsidRPr="00EE2D88" w:rsidRDefault="00366C65" w:rsidP="00366C65">
      <w:pPr>
        <w:spacing w:line="276" w:lineRule="auto"/>
      </w:pPr>
      <w:proofErr w:type="gramStart"/>
      <w:r w:rsidRPr="00EE2D88">
        <w:t>At</w:t>
      </w:r>
      <w:proofErr w:type="gramEnd"/>
      <w:r w:rsidRPr="00EE2D88">
        <w:t xml:space="preserve"> 30 June 2022, there were 534,655 participants receiving support from the NDIS, with more than 300,000 of these receiving supports for the very first time. We welcomed more than 60,000 new participants to the Scheme in the </w:t>
      </w:r>
      <w:r w:rsidR="00577731">
        <w:t>2021–22</w:t>
      </w:r>
      <w:r w:rsidRPr="00EE2D88">
        <w:t xml:space="preserve"> year.</w:t>
      </w:r>
    </w:p>
    <w:p w14:paraId="2765DB11" w14:textId="77777777" w:rsidR="00366C65" w:rsidRPr="00EE2D88" w:rsidRDefault="00366C65" w:rsidP="00366C65">
      <w:pPr>
        <w:spacing w:line="276" w:lineRule="auto"/>
      </w:pPr>
      <w:bookmarkStart w:id="17" w:name="_Hlk114725174"/>
      <w:r w:rsidRPr="00EE2D88">
        <w:t>Importantly, participants from diverse backgrounds are entering the Scheme at increasing rates.</w:t>
      </w:r>
    </w:p>
    <w:p w14:paraId="0991D759" w14:textId="6A6309D9" w:rsidR="00366C65" w:rsidRPr="00EE2D88" w:rsidRDefault="00366C65" w:rsidP="00366C65">
      <w:pPr>
        <w:spacing w:line="276" w:lineRule="auto"/>
        <w:rPr>
          <w:highlight w:val="yellow"/>
        </w:rPr>
      </w:pPr>
      <w:proofErr w:type="gramStart"/>
      <w:r w:rsidRPr="00EE2D88">
        <w:t>At</w:t>
      </w:r>
      <w:proofErr w:type="gramEnd"/>
      <w:r w:rsidRPr="00EE2D88">
        <w:t xml:space="preserve"> 30 June 202</w:t>
      </w:r>
      <w:r w:rsidR="00BC67E4" w:rsidRPr="00EE2D88">
        <w:t>2</w:t>
      </w:r>
      <w:r w:rsidRPr="00EE2D88">
        <w:t xml:space="preserve">, 38,846 participants in the Scheme identified as Aboriginal and Torres Strait Islander, now representing 7.3% of all participants. There was also a steady increase in the number of participants who identified as </w:t>
      </w:r>
      <w:r w:rsidR="000F64E7">
        <w:t>c</w:t>
      </w:r>
      <w:r w:rsidRPr="00EE2D88">
        <w:t xml:space="preserve">ulturally and </w:t>
      </w:r>
      <w:r w:rsidR="000F64E7">
        <w:t>l</w:t>
      </w:r>
      <w:r w:rsidRPr="00EE2D88">
        <w:t xml:space="preserve">inguistically </w:t>
      </w:r>
      <w:r w:rsidR="000F64E7">
        <w:t>d</w:t>
      </w:r>
      <w:r w:rsidRPr="00EE2D88">
        <w:t xml:space="preserve">iverse (CALD), which is now 49,201, or 9.2% of all participants. Aligned to these areas of growth, the Agency continues to refresh its strategies for reaching specific cohorts and delivering appropriate supports. </w:t>
      </w:r>
    </w:p>
    <w:bookmarkEnd w:id="17"/>
    <w:p w14:paraId="3AFF1F57" w14:textId="5D8349A7" w:rsidR="00366C65" w:rsidRPr="00EE2D88" w:rsidRDefault="00366C65" w:rsidP="00366C65">
      <w:pPr>
        <w:spacing w:line="276" w:lineRule="auto"/>
      </w:pPr>
      <w:r w:rsidRPr="00EE2D88">
        <w:t xml:space="preserve">The Agency has continued to respond to significant events, including the ongoing COVID-19 pandemic and severe weather events. We distributed more than 5 million RAT tests Australia-wide in the first part of 2022, to support participants and workers in </w:t>
      </w:r>
      <w:r w:rsidR="00E14713">
        <w:t>s</w:t>
      </w:r>
      <w:r w:rsidRPr="00EE2D88">
        <w:t xml:space="preserve">upported </w:t>
      </w:r>
      <w:r w:rsidR="00E14713">
        <w:t>i</w:t>
      </w:r>
      <w:r w:rsidRPr="00EE2D88">
        <w:t xml:space="preserve">ndependent </w:t>
      </w:r>
      <w:r w:rsidR="00E14713">
        <w:t>l</w:t>
      </w:r>
      <w:r w:rsidRPr="00EE2D88">
        <w:t>iving (SIL) settings. In response to extensive flooding in Queensland and New South Wales in March 2022, we provided immediate support to those who had been directly impacted, including putting new SIL arrangements in place for some participants.</w:t>
      </w:r>
      <w:r w:rsidRPr="00EE2D88" w:rsidDel="00A40BDB">
        <w:t xml:space="preserve"> </w:t>
      </w:r>
    </w:p>
    <w:p w14:paraId="6862144F" w14:textId="10AD81E8" w:rsidR="00366C65" w:rsidRPr="00EE2D88" w:rsidRDefault="00366C65" w:rsidP="00366C65">
      <w:pPr>
        <w:spacing w:line="276" w:lineRule="auto"/>
      </w:pPr>
      <w:r w:rsidRPr="00EE2D88">
        <w:t xml:space="preserve">We continued to strive for Scheme delivery improvements that will benefit participants and partners. Over the past year, we have had an increased focus on engagement with the sector, particularly through intensive, genuine co-design. We released our Engagement Framework in March, which outlines our commitment to engage and work with the disability community on significant </w:t>
      </w:r>
      <w:bookmarkStart w:id="18" w:name="_Hlk114217178"/>
      <w:r w:rsidRPr="00EE2D88">
        <w:t xml:space="preserve">changes and improvements. The </w:t>
      </w:r>
      <w:r w:rsidR="00AA563D">
        <w:t>f</w:t>
      </w:r>
      <w:r w:rsidRPr="00EE2D88">
        <w:t xml:space="preserve">ramework was developed with the disability sector to guide, support and strengthen our engagement with the disability community – through co-design, </w:t>
      </w:r>
      <w:proofErr w:type="gramStart"/>
      <w:r w:rsidRPr="00EE2D88">
        <w:t>consultation</w:t>
      </w:r>
      <w:proofErr w:type="gramEnd"/>
      <w:r w:rsidRPr="00EE2D88">
        <w:t xml:space="preserve"> and information sharing – now and into the future.</w:t>
      </w:r>
      <w:bookmarkEnd w:id="18"/>
    </w:p>
    <w:p w14:paraId="15B21463" w14:textId="77777777" w:rsidR="00366C65" w:rsidRPr="00EE2D88" w:rsidRDefault="00366C65" w:rsidP="00366C65">
      <w:pPr>
        <w:spacing w:line="276" w:lineRule="auto"/>
      </w:pPr>
      <w:r w:rsidRPr="00EE2D88">
        <w:t xml:space="preserve">One of the key areas of our Scheme improvement work has been in the development of home and living options to support participants to have more choice and control over where they live, who they live with and the supports they use. This has included consultation in the past 12 months with participants and the sector on SIL services through surveys, workshops and the introduction of home and living demonstration projects to develop, test, evaluate and promote better practice. </w:t>
      </w:r>
    </w:p>
    <w:p w14:paraId="6BC4CCD7" w14:textId="44FE83FD" w:rsidR="00366C65" w:rsidRPr="00EE2D88" w:rsidRDefault="00366C65" w:rsidP="00366C65">
      <w:pPr>
        <w:spacing w:line="276" w:lineRule="auto"/>
      </w:pPr>
      <w:r w:rsidRPr="00EE2D88">
        <w:t xml:space="preserve">We have also concentrated on redesigning our systems and processes. We know there is a direct link between making it easier for our staff and partners to do their job and delivering a better NDIS experience for participants and providers. We are working to ensure our processes </w:t>
      </w:r>
      <w:r w:rsidRPr="00EE2D88">
        <w:lastRenderedPageBreak/>
        <w:t xml:space="preserve">are robust and our systems are responsive. We have made considerable progress with our Operational Guidance Refresh project, improving how we communicate Scheme policy and decision-making information. Updated Operational Guidelines and </w:t>
      </w:r>
      <w:r w:rsidR="00912415">
        <w:t>‘</w:t>
      </w:r>
      <w:r w:rsidRPr="00EE2D88">
        <w:t xml:space="preserve">Would </w:t>
      </w:r>
      <w:r w:rsidR="00912415">
        <w:t>w</w:t>
      </w:r>
      <w:r w:rsidRPr="00EE2D88">
        <w:t xml:space="preserve">e </w:t>
      </w:r>
      <w:r w:rsidR="00912415">
        <w:t>f</w:t>
      </w:r>
      <w:r w:rsidRPr="00EE2D88">
        <w:t xml:space="preserve">und </w:t>
      </w:r>
      <w:r w:rsidR="00912415">
        <w:t>i</w:t>
      </w:r>
      <w:r w:rsidRPr="00EE2D88">
        <w:t>t</w:t>
      </w:r>
      <w:r w:rsidR="00912415">
        <w:t>?’</w:t>
      </w:r>
      <w:r w:rsidRPr="00EE2D88">
        <w:t xml:space="preserve"> guides are published on our website. </w:t>
      </w:r>
    </w:p>
    <w:p w14:paraId="77F33AC1" w14:textId="731A54C1" w:rsidR="00366C65" w:rsidRPr="00EE2D88" w:rsidRDefault="00366C65" w:rsidP="00366C65">
      <w:pPr>
        <w:spacing w:line="276" w:lineRule="auto"/>
      </w:pPr>
      <w:r w:rsidRPr="00EE2D88">
        <w:t>Our systems improvement work will continue in 2022</w:t>
      </w:r>
      <w:r w:rsidR="00D73A19">
        <w:t>–</w:t>
      </w:r>
      <w:r w:rsidRPr="00EE2D88">
        <w:t>23, with the roll-out of a contemporary, custom-built participant-facing system. It promises to bring significant improvements to the quality and efficiency of our service delivery.</w:t>
      </w:r>
    </w:p>
    <w:p w14:paraId="4921F89F" w14:textId="7103B0DE" w:rsidR="00366C65" w:rsidRPr="00EE2D88" w:rsidRDefault="00366C65" w:rsidP="00366C65">
      <w:pPr>
        <w:spacing w:line="276" w:lineRule="auto"/>
      </w:pPr>
      <w:r w:rsidRPr="00EE2D88">
        <w:t xml:space="preserve">In May, with the new Government sworn in, the Hon Bill Shorten MP was appointed the Minister for the NDIS. Minister Shorten is working closely with the Agency and the disability </w:t>
      </w:r>
      <w:r w:rsidR="008C5C8E">
        <w:t>community</w:t>
      </w:r>
      <w:r w:rsidRPr="00EE2D88">
        <w:t xml:space="preserve"> in delivering on election commitments and the Government’s forward agenda. These priorities include a commitment to reduce the number of NDIS-related disputes at the Administrative Appeals Tribunal, an increased focus on fraud prevention and detection, continued support to participants, </w:t>
      </w:r>
      <w:proofErr w:type="gramStart"/>
      <w:r w:rsidRPr="00EE2D88">
        <w:t>families</w:t>
      </w:r>
      <w:proofErr w:type="gramEnd"/>
      <w:r w:rsidRPr="00EE2D88">
        <w:t xml:space="preserve"> and providers to respond to COVID-19 and improvements in the timely and safe discharge of NDIS participants from hospital settings. </w:t>
      </w:r>
    </w:p>
    <w:p w14:paraId="374BC501" w14:textId="1C8AB0B9" w:rsidR="00366C65" w:rsidRPr="00EE2D88" w:rsidRDefault="00366C65" w:rsidP="00366C65">
      <w:pPr>
        <w:spacing w:line="276" w:lineRule="auto"/>
      </w:pPr>
      <w:r w:rsidRPr="00EE2D88">
        <w:t xml:space="preserve">While there is significant work ahead of us, I know everyone in the Agency who is working to deliver the Scheme – from our Board to our frontline staff – is committed to making the Scheme the best it can be. I thank NDIA staff and our </w:t>
      </w:r>
      <w:r w:rsidR="000432FD">
        <w:t>p</w:t>
      </w:r>
      <w:r w:rsidRPr="00EE2D88">
        <w:t xml:space="preserve">artners in the </w:t>
      </w:r>
      <w:r w:rsidR="000432FD">
        <w:t>c</w:t>
      </w:r>
      <w:r w:rsidRPr="00EE2D88">
        <w:t xml:space="preserve">ommunity for their exceptional efforts to deliver the Scheme over the past year. </w:t>
      </w:r>
    </w:p>
    <w:p w14:paraId="70D177A6" w14:textId="77777777" w:rsidR="00366C65" w:rsidRPr="00EE2D88" w:rsidRDefault="00366C65" w:rsidP="00366C65">
      <w:pPr>
        <w:spacing w:line="276" w:lineRule="auto"/>
      </w:pPr>
      <w:r w:rsidRPr="00EE2D88">
        <w:t>It is vital to acknowledge the contribution of participants, families and carers who generously gave continuous, high-quality advice and feedback – through groups such as the Participant Reference Group – to improve the participant experience.</w:t>
      </w:r>
    </w:p>
    <w:p w14:paraId="2EE815AA" w14:textId="77777777" w:rsidR="00366C65" w:rsidRPr="00EE2D88" w:rsidRDefault="00366C65" w:rsidP="00366C65">
      <w:pPr>
        <w:spacing w:line="276" w:lineRule="auto"/>
      </w:pPr>
      <w:r w:rsidRPr="00EE2D88">
        <w:t xml:space="preserve">And of course, I would like to thank the Australian disability community more broadly for their insights and feedback. The NDIA Board, leadership and staff are committed to working closely with you to continue Scheme improvements and make it even better in the year ahead. </w:t>
      </w:r>
    </w:p>
    <w:p w14:paraId="1893E610" w14:textId="77777777" w:rsidR="00366C65" w:rsidRPr="00EE2D88" w:rsidRDefault="00366C65" w:rsidP="00366C65">
      <w:pPr>
        <w:spacing w:line="276" w:lineRule="auto"/>
      </w:pPr>
      <w:r w:rsidRPr="00EE2D88">
        <w:t xml:space="preserve">Dr Lisa </w:t>
      </w:r>
      <w:proofErr w:type="spellStart"/>
      <w:r w:rsidRPr="00EE2D88">
        <w:t>Studdert</w:t>
      </w:r>
      <w:proofErr w:type="spellEnd"/>
    </w:p>
    <w:p w14:paraId="7CEDBC57" w14:textId="77777777" w:rsidR="00366C65" w:rsidRPr="00EE2D88" w:rsidRDefault="00366C65" w:rsidP="00366C65">
      <w:pPr>
        <w:spacing w:line="276" w:lineRule="auto"/>
      </w:pPr>
      <w:r w:rsidRPr="00EE2D88">
        <w:t xml:space="preserve">Acting Chief Executive Officer </w:t>
      </w:r>
    </w:p>
    <w:p w14:paraId="4ABD090A" w14:textId="77777777" w:rsidR="00F405EE" w:rsidRPr="00D2134C" w:rsidRDefault="00F405EE" w:rsidP="00F405EE">
      <w:pPr>
        <w:pStyle w:val="FGCHEADING2"/>
      </w:pPr>
      <w:bookmarkStart w:id="19" w:name="_Toc51067960"/>
      <w:bookmarkStart w:id="20" w:name="_Toc114477490"/>
      <w:bookmarkStart w:id="21" w:name="_Toc116473848"/>
      <w:r w:rsidRPr="00D2134C">
        <w:t>The National Disability Insurance Scheme</w:t>
      </w:r>
      <w:bookmarkEnd w:id="19"/>
      <w:bookmarkEnd w:id="20"/>
      <w:bookmarkEnd w:id="21"/>
    </w:p>
    <w:p w14:paraId="5110AE48" w14:textId="77777777" w:rsidR="00F405EE" w:rsidRPr="00D2134C" w:rsidRDefault="00F405EE" w:rsidP="00F405EE">
      <w:pPr>
        <w:pStyle w:val="FGCNORMAL"/>
      </w:pPr>
      <w:r w:rsidRPr="00D2134C">
        <w:t>The National Disability Insurance Scheme (NDIS or the Scheme) provides Australians who have a permanent and significant disability with financial support to build capacity, increase independence and establish stronger connections with their community and workplace.</w:t>
      </w:r>
    </w:p>
    <w:p w14:paraId="07FADE58" w14:textId="77777777" w:rsidR="00F405EE" w:rsidRPr="00D2134C" w:rsidRDefault="00F405EE" w:rsidP="00F405EE">
      <w:pPr>
        <w:pStyle w:val="FGCNORMAL"/>
      </w:pPr>
      <w:r w:rsidRPr="00D2134C">
        <w:t xml:space="preserve">Established in July 2013 to replace the previous primarily state-based welfare system of disability care, the Scheme provides a single, national insurance-based approach to fund support for people with disability, their </w:t>
      </w:r>
      <w:proofErr w:type="gramStart"/>
      <w:r w:rsidRPr="00D2134C">
        <w:t>families</w:t>
      </w:r>
      <w:proofErr w:type="gramEnd"/>
      <w:r w:rsidRPr="00D2134C">
        <w:t xml:space="preserve"> and carers. </w:t>
      </w:r>
    </w:p>
    <w:p w14:paraId="3E3095CF" w14:textId="77777777" w:rsidR="00F405EE" w:rsidRPr="00D2134C" w:rsidRDefault="00F405EE" w:rsidP="00F405EE">
      <w:pPr>
        <w:pStyle w:val="FGCNORMAL"/>
      </w:pPr>
      <w:r w:rsidRPr="00D2134C">
        <w:t>The NDIS is based on the guiding principles that people with disability:</w:t>
      </w:r>
    </w:p>
    <w:p w14:paraId="68EFF6BF" w14:textId="77777777" w:rsidR="00F405EE" w:rsidRPr="00D2134C" w:rsidRDefault="00F405EE" w:rsidP="00F405EE">
      <w:pPr>
        <w:pStyle w:val="FGCBULLET1"/>
      </w:pPr>
      <w:r w:rsidRPr="00D2134C">
        <w:t xml:space="preserve">have the same rights as all Australians to realise their potential for physical, social, </w:t>
      </w:r>
      <w:proofErr w:type="gramStart"/>
      <w:r w:rsidRPr="00D2134C">
        <w:t>emotional</w:t>
      </w:r>
      <w:proofErr w:type="gramEnd"/>
      <w:r w:rsidRPr="00D2134C">
        <w:t xml:space="preserve"> and intellectual development</w:t>
      </w:r>
    </w:p>
    <w:p w14:paraId="58D9E157" w14:textId="77777777" w:rsidR="00F405EE" w:rsidRPr="00D2134C" w:rsidRDefault="00F405EE" w:rsidP="00F405EE">
      <w:pPr>
        <w:pStyle w:val="FGCBULLET1"/>
      </w:pPr>
      <w:r w:rsidRPr="00D2134C">
        <w:t>are supported to participate in and contribute to social and economic life to the full extent of their ability.</w:t>
      </w:r>
    </w:p>
    <w:p w14:paraId="4A2EA483" w14:textId="77777777" w:rsidR="004128F2" w:rsidRDefault="004128F2">
      <w:pPr>
        <w:pStyle w:val="FGCHEADING2"/>
        <w:numPr>
          <w:ilvl w:val="0"/>
          <w:numId w:val="0"/>
        </w:numPr>
        <w:ind w:left="652"/>
        <w:sectPr w:rsidR="004128F2" w:rsidSect="00677C63">
          <w:footerReference w:type="default" r:id="rId13"/>
          <w:footerReference w:type="first" r:id="rId14"/>
          <w:pgSz w:w="11906" w:h="16838"/>
          <w:pgMar w:top="1021" w:right="907" w:bottom="1440" w:left="964" w:header="708" w:footer="708" w:gutter="0"/>
          <w:cols w:space="708"/>
          <w:titlePg/>
          <w:docGrid w:linePitch="360"/>
        </w:sectPr>
      </w:pPr>
    </w:p>
    <w:p w14:paraId="39A6AC49" w14:textId="77777777" w:rsidR="00F405EE" w:rsidRPr="00D2134C" w:rsidRDefault="00F405EE" w:rsidP="00CB028F">
      <w:pPr>
        <w:pStyle w:val="FGCHEADING3"/>
        <w:numPr>
          <w:ilvl w:val="0"/>
          <w:numId w:val="0"/>
        </w:numPr>
        <w:ind w:firstLine="652"/>
      </w:pPr>
      <w:bookmarkStart w:id="22" w:name="_Toc116414655"/>
      <w:bookmarkStart w:id="23" w:name="_Toc116473849"/>
      <w:r w:rsidRPr="00D2134C">
        <w:lastRenderedPageBreak/>
        <w:t>NDIS insurance principles</w:t>
      </w:r>
      <w:bookmarkEnd w:id="22"/>
      <w:bookmarkEnd w:id="23"/>
    </w:p>
    <w:p w14:paraId="15226D65" w14:textId="77777777" w:rsidR="00560179" w:rsidRPr="00D2134C" w:rsidRDefault="00560179" w:rsidP="00560179">
      <w:pPr>
        <w:pStyle w:val="FGCNORMAL"/>
      </w:pPr>
      <w:r w:rsidRPr="00D2134C">
        <w:t>The NDIS is founded on 5 insurance principles:</w:t>
      </w:r>
    </w:p>
    <w:p w14:paraId="1CA00B1C" w14:textId="77777777" w:rsidR="00F405EE" w:rsidRPr="00D2134C" w:rsidRDefault="00F405EE" w:rsidP="00100F91">
      <w:pPr>
        <w:pStyle w:val="FGCNUMBERED"/>
        <w:ind w:left="1418" w:hanging="425"/>
      </w:pPr>
      <w:r w:rsidRPr="00D2134C">
        <w:t xml:space="preserve">Evidence-based decision-making </w:t>
      </w:r>
    </w:p>
    <w:p w14:paraId="42D6EDDD" w14:textId="77777777" w:rsidR="00F405EE" w:rsidRPr="00D2134C" w:rsidRDefault="00F405EE" w:rsidP="00100F91">
      <w:pPr>
        <w:pStyle w:val="FGCNUMBERED"/>
        <w:ind w:left="1418" w:hanging="425"/>
      </w:pPr>
      <w:r w:rsidRPr="00D2134C">
        <w:t xml:space="preserve">Consistency in decision-making </w:t>
      </w:r>
    </w:p>
    <w:p w14:paraId="4A701612" w14:textId="77777777" w:rsidR="00F405EE" w:rsidRPr="00D2134C" w:rsidRDefault="00F405EE" w:rsidP="00100F91">
      <w:pPr>
        <w:pStyle w:val="FGCNUMBERED"/>
        <w:ind w:left="1418" w:hanging="425"/>
      </w:pPr>
      <w:r w:rsidRPr="00D2134C">
        <w:t xml:space="preserve">Regular monitoring of experience to manage emerging risks </w:t>
      </w:r>
    </w:p>
    <w:p w14:paraId="490B81C3" w14:textId="77777777" w:rsidR="00F405EE" w:rsidRPr="00D2134C" w:rsidRDefault="00F405EE" w:rsidP="00100F91">
      <w:pPr>
        <w:pStyle w:val="FGCNUMBERED"/>
        <w:ind w:left="1418" w:hanging="425"/>
      </w:pPr>
      <w:r w:rsidRPr="00D2134C">
        <w:t xml:space="preserve">Lifetime and person-centric approach </w:t>
      </w:r>
    </w:p>
    <w:p w14:paraId="597DEBC8" w14:textId="77777777" w:rsidR="00F405EE" w:rsidRPr="00D2134C" w:rsidRDefault="00F405EE" w:rsidP="00100F91">
      <w:pPr>
        <w:pStyle w:val="FGCNUMBERED"/>
        <w:ind w:left="1418" w:hanging="425"/>
      </w:pPr>
      <w:r w:rsidRPr="00D2134C">
        <w:t>Early investment to drive lifetime participant outcomes.</w:t>
      </w:r>
    </w:p>
    <w:p w14:paraId="4ECB3E9B" w14:textId="71AB0198" w:rsidR="00F405EE" w:rsidRPr="00D2134C" w:rsidRDefault="00F405EE" w:rsidP="00F405EE">
      <w:pPr>
        <w:pStyle w:val="FGCNORMAL"/>
      </w:pPr>
      <w:r w:rsidRPr="00D2134C">
        <w:t xml:space="preserve">Using these principles, the NDIA makes evidence-based decisions on access and funding by drawing on the data that is collected on </w:t>
      </w:r>
      <w:proofErr w:type="gramStart"/>
      <w:r w:rsidR="002906BB">
        <w:t>each and</w:t>
      </w:r>
      <w:r w:rsidR="00F326F7">
        <w:t xml:space="preserve"> every</w:t>
      </w:r>
      <w:proofErr w:type="gramEnd"/>
      <w:r w:rsidR="002906BB" w:rsidRPr="00D2134C">
        <w:t xml:space="preserve"> </w:t>
      </w:r>
      <w:r w:rsidRPr="00D2134C">
        <w:t xml:space="preserve">participant. The NDIA also takes a lifetime, person-centric approach to funding supports for people with disability, where early investment in disability-related supports is expected to drive better outcomes for participants, their </w:t>
      </w:r>
      <w:proofErr w:type="gramStart"/>
      <w:r w:rsidRPr="00D2134C">
        <w:t>families</w:t>
      </w:r>
      <w:proofErr w:type="gramEnd"/>
      <w:r w:rsidRPr="00D2134C">
        <w:t xml:space="preserve"> and carers over their lifetime.</w:t>
      </w:r>
    </w:p>
    <w:p w14:paraId="01CC8F75" w14:textId="25B8ED45" w:rsidR="00F405EE" w:rsidRPr="00D2134C" w:rsidRDefault="00F405EE" w:rsidP="00F405EE">
      <w:pPr>
        <w:pStyle w:val="FGCNORMAL"/>
      </w:pPr>
      <w:r w:rsidRPr="00D2134C">
        <w:t xml:space="preserve">For further information, read the </w:t>
      </w:r>
      <w:hyperlink r:id="rId15" w:history="1">
        <w:r w:rsidRPr="00D2134C">
          <w:rPr>
            <w:rStyle w:val="Hyperlink"/>
          </w:rPr>
          <w:t>Council of Australian Governments’ Principles to Determine the Responsibilities of the NDIS and other Service Systems</w:t>
        </w:r>
      </w:hyperlink>
      <w:r w:rsidR="00DA46D9" w:rsidRPr="00EE2D88">
        <w:rPr>
          <w:rStyle w:val="Hyperlink"/>
          <w:color w:val="auto"/>
          <w:u w:val="none"/>
        </w:rPr>
        <w:t>.</w:t>
      </w:r>
    </w:p>
    <w:p w14:paraId="1FA83E91" w14:textId="77777777" w:rsidR="00F405EE" w:rsidRPr="00D2134C" w:rsidRDefault="00F405EE" w:rsidP="00F405EE">
      <w:pPr>
        <w:pStyle w:val="FGCHEADING2"/>
      </w:pPr>
      <w:bookmarkStart w:id="24" w:name="_Toc51067961"/>
      <w:bookmarkStart w:id="25" w:name="_Toc114477491"/>
      <w:bookmarkStart w:id="26" w:name="_Toc116473850"/>
      <w:r w:rsidRPr="00D2134C">
        <w:t>The National Disability Insurance Agency</w:t>
      </w:r>
      <w:bookmarkEnd w:id="24"/>
      <w:bookmarkEnd w:id="25"/>
      <w:bookmarkEnd w:id="26"/>
      <w:r w:rsidRPr="00D2134C">
        <w:t xml:space="preserve"> </w:t>
      </w:r>
    </w:p>
    <w:p w14:paraId="1C9AFD47" w14:textId="0C460F4C" w:rsidR="00300FD1" w:rsidRPr="00D2134C" w:rsidRDefault="009D1472" w:rsidP="00530ADF">
      <w:pPr>
        <w:pStyle w:val="FGCNORMAL"/>
      </w:pPr>
      <w:r w:rsidRPr="00D2134C">
        <w:t xml:space="preserve">The NDIA is a </w:t>
      </w:r>
      <w:r w:rsidR="00087615">
        <w:t>c</w:t>
      </w:r>
      <w:r w:rsidRPr="00D2134C">
        <w:t xml:space="preserve">orporate </w:t>
      </w:r>
      <w:r w:rsidR="00087615">
        <w:t>c</w:t>
      </w:r>
      <w:r w:rsidRPr="00D2134C">
        <w:t xml:space="preserve">ommonwealth </w:t>
      </w:r>
      <w:r w:rsidR="00087615">
        <w:t>e</w:t>
      </w:r>
      <w:r w:rsidRPr="00D2134C">
        <w:t>ntity under the</w:t>
      </w:r>
      <w:r w:rsidR="006F248C" w:rsidRPr="00D2134C">
        <w:t xml:space="preserve"> </w:t>
      </w:r>
      <w:r w:rsidRPr="00D2134C">
        <w:t xml:space="preserve">PGPA Act, with statutory authority under the NDIS Act. The NDIS Act, in conjunction with other laws, gives effect to Australia’s obligations under the United Nations Convention on the Rights of Persons with Disabilities. Funding and governance of the Scheme involves the Commonwealth and </w:t>
      </w:r>
      <w:r w:rsidR="000B34D3" w:rsidRPr="00D2134C">
        <w:t xml:space="preserve">state </w:t>
      </w:r>
      <w:r w:rsidRPr="00D2134C">
        <w:t xml:space="preserve">and </w:t>
      </w:r>
      <w:r w:rsidR="000B34D3" w:rsidRPr="00D2134C">
        <w:t xml:space="preserve">territory </w:t>
      </w:r>
      <w:r w:rsidRPr="00D2134C">
        <w:t xml:space="preserve">governments in accordance with the NDIS Act and </w:t>
      </w:r>
      <w:r w:rsidR="00AE1E1E" w:rsidRPr="00D2134C">
        <w:t>i</w:t>
      </w:r>
      <w:r w:rsidRPr="00D2134C">
        <w:t>nter-</w:t>
      </w:r>
      <w:r w:rsidR="00AE1E1E" w:rsidRPr="00D2134C">
        <w:t>g</w:t>
      </w:r>
      <w:r w:rsidRPr="00D2134C">
        <w:t xml:space="preserve">overnmental </w:t>
      </w:r>
      <w:r w:rsidR="00AE1E1E" w:rsidRPr="00D2134C">
        <w:t>a</w:t>
      </w:r>
      <w:r w:rsidRPr="00D2134C">
        <w:t xml:space="preserve">greements. </w:t>
      </w:r>
    </w:p>
    <w:p w14:paraId="02F64B7B" w14:textId="29A828CF" w:rsidR="00300FD1" w:rsidRPr="00D2134C" w:rsidRDefault="009D1472" w:rsidP="00530ADF">
      <w:pPr>
        <w:pStyle w:val="FGCNORMAL"/>
      </w:pPr>
      <w:r w:rsidRPr="00D2134C">
        <w:t xml:space="preserve">As a Commonwealth entity, the NDIA is subject to the Commonwealth Performance Framework. The Annual Report (this document) is a key element of the framework, incorporating the </w:t>
      </w:r>
      <w:r w:rsidR="00AE1E1E" w:rsidRPr="00D2134C">
        <w:t xml:space="preserve">NDIA’s </w:t>
      </w:r>
      <w:r w:rsidRPr="00D2134C">
        <w:t xml:space="preserve">performance statements and audited financial statements, which report respectively on our non-financial and financial results. In accordance with the framework, the NDIA also publishes an annual Corporate Plan, our primary non-financial planning document. </w:t>
      </w:r>
    </w:p>
    <w:p w14:paraId="02D9B18A" w14:textId="20EC918E" w:rsidR="00300FD1" w:rsidRPr="00D2134C" w:rsidRDefault="009D1472" w:rsidP="00530ADF">
      <w:pPr>
        <w:pStyle w:val="FGCNORMAL"/>
      </w:pPr>
      <w:r w:rsidRPr="00D2134C">
        <w:t xml:space="preserve">The </w:t>
      </w:r>
      <w:r w:rsidR="00AE1E1E" w:rsidRPr="00D2134C">
        <w:t xml:space="preserve">NDIA </w:t>
      </w:r>
      <w:r w:rsidRPr="00D2134C">
        <w:t xml:space="preserve">also provides detailed quarterly reports to the Ministerial Council outlining NDIS performance in accordance with the NDIS Act. All reports are available for download on the NDIS website. The </w:t>
      </w:r>
      <w:r w:rsidR="002935D1" w:rsidRPr="00D2134C">
        <w:t>NDIA</w:t>
      </w:r>
      <w:r w:rsidRPr="00D2134C">
        <w:t xml:space="preserve"> is overseen by the NDIA Board, which has responsibility for ensuring the proper, </w:t>
      </w:r>
      <w:proofErr w:type="gramStart"/>
      <w:r w:rsidRPr="00D2134C">
        <w:t>efficient</w:t>
      </w:r>
      <w:proofErr w:type="gramEnd"/>
      <w:r w:rsidRPr="00D2134C">
        <w:t xml:space="preserve"> and effective performance of the </w:t>
      </w:r>
      <w:r w:rsidR="002935D1" w:rsidRPr="00D2134C">
        <w:t>NDIA</w:t>
      </w:r>
      <w:r w:rsidRPr="00D2134C">
        <w:t xml:space="preserve">’s functions, setting </w:t>
      </w:r>
      <w:r w:rsidR="002935D1" w:rsidRPr="00D2134C">
        <w:t>its</w:t>
      </w:r>
      <w:r w:rsidRPr="00D2134C">
        <w:t xml:space="preserve"> strategic direction, ensuring the financial sustainability of the Scheme</w:t>
      </w:r>
      <w:r w:rsidR="003B0127">
        <w:t>,</w:t>
      </w:r>
      <w:r w:rsidRPr="00D2134C">
        <w:t xml:space="preserve"> and managing risk and ensuring compliance with relevant legislative and statutory requirements. The Board is the accountable authority for the </w:t>
      </w:r>
      <w:r w:rsidR="002935D1" w:rsidRPr="00D2134C">
        <w:t xml:space="preserve">NDIA </w:t>
      </w:r>
      <w:r w:rsidRPr="00D2134C">
        <w:t xml:space="preserve">under the PGPA Act. Information on Board members is provided in section </w:t>
      </w:r>
      <w:r w:rsidR="002935D1" w:rsidRPr="00D2134C">
        <w:fldChar w:fldCharType="begin"/>
      </w:r>
      <w:r w:rsidR="002935D1" w:rsidRPr="00D2134C">
        <w:instrText xml:space="preserve"> REF _Ref112920981 \r \h </w:instrText>
      </w:r>
      <w:r w:rsidR="002935D1" w:rsidRPr="00D2134C">
        <w:fldChar w:fldCharType="separate"/>
      </w:r>
      <w:r w:rsidR="004A645E">
        <w:t>4.2</w:t>
      </w:r>
      <w:r w:rsidR="002935D1" w:rsidRPr="00D2134C">
        <w:fldChar w:fldCharType="end"/>
      </w:r>
      <w:r w:rsidR="006B6318" w:rsidRPr="00D2134C">
        <w:t xml:space="preserve"> </w:t>
      </w:r>
      <w:r w:rsidRPr="00D2134C">
        <w:t xml:space="preserve">of this report. </w:t>
      </w:r>
    </w:p>
    <w:p w14:paraId="6F9D1DBC" w14:textId="76C59B77" w:rsidR="009D1472" w:rsidRPr="00D2134C" w:rsidRDefault="009D1472" w:rsidP="00530ADF">
      <w:pPr>
        <w:pStyle w:val="FGCNORMAL"/>
      </w:pPr>
      <w:r w:rsidRPr="00D2134C">
        <w:t xml:space="preserve">The </w:t>
      </w:r>
      <w:r w:rsidR="00190959" w:rsidRPr="00D2134C">
        <w:t>NDIA</w:t>
      </w:r>
      <w:r w:rsidRPr="00D2134C">
        <w:t>’s governance structure also includes the Independent Advisory Council (IAC)</w:t>
      </w:r>
      <w:r w:rsidR="008D73C8">
        <w:t>, which</w:t>
      </w:r>
      <w:r w:rsidRPr="00D2134C">
        <w:t xml:space="preserve"> provides advice to the Board in accordance with the NDIS Act. Further information on the IAC is provided in section </w:t>
      </w:r>
      <w:r w:rsidR="00530ADF" w:rsidRPr="00D2134C">
        <w:fldChar w:fldCharType="begin"/>
      </w:r>
      <w:r w:rsidR="00530ADF" w:rsidRPr="00D2134C">
        <w:instrText xml:space="preserve"> REF _Ref107222544 \r \h </w:instrText>
      </w:r>
      <w:r w:rsidR="00530ADF" w:rsidRPr="00D2134C">
        <w:fldChar w:fldCharType="separate"/>
      </w:r>
      <w:r w:rsidR="004A645E">
        <w:t>4.3</w:t>
      </w:r>
      <w:r w:rsidR="00530ADF" w:rsidRPr="00D2134C">
        <w:fldChar w:fldCharType="end"/>
      </w:r>
      <w:r w:rsidRPr="00D2134C">
        <w:t xml:space="preserve"> of this report.</w:t>
      </w:r>
    </w:p>
    <w:p w14:paraId="135B8075" w14:textId="77777777" w:rsidR="006C4408" w:rsidRPr="00D2134C" w:rsidRDefault="006C4408" w:rsidP="00F405EE">
      <w:pPr>
        <w:pStyle w:val="FGCNORMAL"/>
        <w:rPr>
          <w:rFonts w:eastAsia="Calibri"/>
          <w:szCs w:val="24"/>
        </w:rPr>
      </w:pPr>
    </w:p>
    <w:p w14:paraId="011B6660" w14:textId="77777777" w:rsidR="00970846" w:rsidRPr="00D2134C" w:rsidRDefault="00970846" w:rsidP="00970846">
      <w:pPr>
        <w:pStyle w:val="FGCHEADING1"/>
      </w:pPr>
      <w:bookmarkStart w:id="27" w:name="_Toc110532516"/>
      <w:bookmarkStart w:id="28" w:name="_Ref113304285"/>
      <w:bookmarkStart w:id="29" w:name="_Toc114477492"/>
      <w:bookmarkStart w:id="30" w:name="_Toc116473851"/>
      <w:r w:rsidRPr="00D2134C">
        <w:lastRenderedPageBreak/>
        <w:t>Building a better NDIS</w:t>
      </w:r>
      <w:bookmarkEnd w:id="27"/>
      <w:bookmarkEnd w:id="28"/>
      <w:bookmarkEnd w:id="29"/>
      <w:bookmarkEnd w:id="30"/>
    </w:p>
    <w:p w14:paraId="34D0E14C" w14:textId="52DB6E81" w:rsidR="00C8783A" w:rsidRPr="00D2134C" w:rsidRDefault="009700F8" w:rsidP="007477E3">
      <w:pPr>
        <w:pStyle w:val="FGCNORMAL"/>
      </w:pPr>
      <w:r w:rsidRPr="00D2134C">
        <w:t xml:space="preserve">The NDIS is delivering significant benefits to Australians with disability. As </w:t>
      </w:r>
      <w:proofErr w:type="gramStart"/>
      <w:r w:rsidRPr="00D2134C">
        <w:t>at</w:t>
      </w:r>
      <w:proofErr w:type="gramEnd"/>
      <w:r w:rsidRPr="00D2134C">
        <w:t xml:space="preserve"> 30 June 2022, 534,655 people with disability across Australia are receiving support. More than half of these participants are receiving supports for the first time. Participant outcomes in many cases are life</w:t>
      </w:r>
      <w:r w:rsidR="00E50361" w:rsidRPr="00D2134C">
        <w:noBreakHyphen/>
      </w:r>
      <w:r w:rsidRPr="00D2134C">
        <w:t xml:space="preserve">changing. Some outcomes for participants continue to improve the longer they are in the Scheme. </w:t>
      </w:r>
    </w:p>
    <w:p w14:paraId="25AE1A82" w14:textId="53472F19" w:rsidR="009700F8" w:rsidRPr="00D2134C" w:rsidRDefault="009700F8" w:rsidP="007477E3">
      <w:pPr>
        <w:pStyle w:val="FGCNORMAL"/>
      </w:pPr>
      <w:r w:rsidRPr="00D2134C">
        <w:t>We have worked hard to deliver the NDIS for Australians with disability, but we know there is still more to do</w:t>
      </w:r>
      <w:r w:rsidR="00CA370C" w:rsidRPr="00D2134C">
        <w:t>.</w:t>
      </w:r>
    </w:p>
    <w:p w14:paraId="6E68CE90" w14:textId="69E2C2E2" w:rsidR="00C829A9" w:rsidRPr="00C829A9" w:rsidRDefault="00C829A9" w:rsidP="00C829A9">
      <w:pPr>
        <w:rPr>
          <w:rFonts w:ascii="Calibri" w:hAnsi="Calibri" w:cs="Calibri"/>
          <w:color w:val="1F497D"/>
          <w:lang w:eastAsia="en-US"/>
        </w:rPr>
      </w:pPr>
      <w:r w:rsidRPr="00EE2D88">
        <w:t>We continue to work to support participants to find paid employment. There has been a 10% increase in paid workforce participation for participants aged 15</w:t>
      </w:r>
      <w:r w:rsidR="006D51C5">
        <w:t>–</w:t>
      </w:r>
      <w:r w:rsidRPr="00EE2D88">
        <w:t>24. We are also seeing an increase in employment rates amongst carers the longer their participant is in the Scheme, from 46% at entry to 55% at the fifth plan review.</w:t>
      </w:r>
    </w:p>
    <w:p w14:paraId="253F7EBE" w14:textId="41032912" w:rsidR="002906BB" w:rsidRDefault="009700F8" w:rsidP="007477E3">
      <w:pPr>
        <w:pStyle w:val="FGCNORMAL"/>
      </w:pPr>
      <w:r w:rsidRPr="00D2134C">
        <w:t xml:space="preserve">We are committed to the continuity of essential service delivery and support for participants. The Participant Service Charter, the Participant Service Guarantee </w:t>
      </w:r>
      <w:r w:rsidR="00E81B04" w:rsidRPr="00D2134C">
        <w:t xml:space="preserve">(PSG) </w:t>
      </w:r>
      <w:r w:rsidRPr="00D2134C">
        <w:t xml:space="preserve">and the Participant Service Improvement Plan </w:t>
      </w:r>
      <w:r w:rsidR="00E81B04" w:rsidRPr="00D2134C">
        <w:t xml:space="preserve">(SIP) </w:t>
      </w:r>
      <w:r w:rsidRPr="00D2134C">
        <w:t>set out our objectives to deliver a Scheme that meets the expectations of participants and improves outcomes and experiences</w:t>
      </w:r>
      <w:r w:rsidR="006A50CF" w:rsidRPr="00D2134C">
        <w:t xml:space="preserve">, with the </w:t>
      </w:r>
      <w:r w:rsidR="00906C9F" w:rsidRPr="00D2134C">
        <w:t>NDIA</w:t>
      </w:r>
      <w:r w:rsidR="006A50CF" w:rsidRPr="00D2134C">
        <w:t xml:space="preserve"> well on the way to meeting most of the agreed measures</w:t>
      </w:r>
      <w:r w:rsidRPr="00D2134C">
        <w:t xml:space="preserve">. </w:t>
      </w:r>
    </w:p>
    <w:p w14:paraId="44AA475E" w14:textId="1DC3672A" w:rsidR="009700F8" w:rsidRPr="00D2134C" w:rsidRDefault="009700F8" w:rsidP="007477E3">
      <w:pPr>
        <w:pStyle w:val="FGCNORMAL"/>
      </w:pPr>
      <w:r w:rsidRPr="00D2134C">
        <w:t xml:space="preserve">The </w:t>
      </w:r>
      <w:r w:rsidRPr="00D2134C">
        <w:rPr>
          <w:i/>
          <w:iCs/>
        </w:rPr>
        <w:t>NDIS Amendment (Participant Service Guarantee and Other Measures) Act 2021</w:t>
      </w:r>
      <w:r w:rsidRPr="00D2134C">
        <w:t xml:space="preserve"> introduced changes from 1 July 2022 that will increase efficiency and simplify processes for participants, their </w:t>
      </w:r>
      <w:proofErr w:type="gramStart"/>
      <w:r w:rsidRPr="00D2134C">
        <w:t>families</w:t>
      </w:r>
      <w:proofErr w:type="gramEnd"/>
      <w:r w:rsidRPr="00D2134C">
        <w:t xml:space="preserve"> and carers</w:t>
      </w:r>
      <w:r w:rsidR="004208D0" w:rsidRPr="00D2134C">
        <w:t>,</w:t>
      </w:r>
      <w:r w:rsidR="009B671D" w:rsidRPr="00D2134C">
        <w:t xml:space="preserve"> with regular transparent</w:t>
      </w:r>
      <w:r w:rsidR="003C4402" w:rsidRPr="00D2134C">
        <w:t xml:space="preserve"> reporting measuring </w:t>
      </w:r>
      <w:r w:rsidR="00906C9F" w:rsidRPr="00D2134C">
        <w:t>NDIA</w:t>
      </w:r>
      <w:r w:rsidR="003C4402" w:rsidRPr="00D2134C">
        <w:t xml:space="preserve"> </w:t>
      </w:r>
      <w:r w:rsidR="009B671D" w:rsidRPr="00D2134C">
        <w:t>performance against those measures.</w:t>
      </w:r>
      <w:r w:rsidR="00BE1E72" w:rsidRPr="00D2134C">
        <w:t xml:space="preserve"> The NDIA </w:t>
      </w:r>
      <w:r w:rsidR="00F34221" w:rsidRPr="00D2134C">
        <w:t xml:space="preserve">welcomed these changes and </w:t>
      </w:r>
      <w:r w:rsidR="00BE1E72" w:rsidRPr="00D2134C">
        <w:t xml:space="preserve">commenced measuring performance against the PSG metrics prior to the legislation of the Participant Service Charter and </w:t>
      </w:r>
      <w:r w:rsidR="003B0127">
        <w:t>PSG</w:t>
      </w:r>
      <w:r w:rsidR="00E81B04" w:rsidRPr="00D2134C">
        <w:t>.</w:t>
      </w:r>
    </w:p>
    <w:p w14:paraId="43DB171E" w14:textId="02CBCD8A" w:rsidR="00C9185E" w:rsidRPr="00D2134C" w:rsidRDefault="009700F8" w:rsidP="007477E3">
      <w:pPr>
        <w:pStyle w:val="FGCNORMAL"/>
      </w:pPr>
      <w:r w:rsidRPr="00D2134C">
        <w:t xml:space="preserve">The NDIA, our Board members and senior executives are committed to working </w:t>
      </w:r>
      <w:r w:rsidR="00387321">
        <w:t xml:space="preserve">with state and territory governments and the disability community to deliver </w:t>
      </w:r>
      <w:r w:rsidRPr="00D2134C">
        <w:t xml:space="preserve">better outcomes for people with disability, </w:t>
      </w:r>
      <w:r w:rsidR="00387321">
        <w:t>improve</w:t>
      </w:r>
      <w:r w:rsidRPr="00D2134C">
        <w:t xml:space="preserve"> Scheme processes and </w:t>
      </w:r>
      <w:r w:rsidR="00387321">
        <w:t>address</w:t>
      </w:r>
      <w:r w:rsidRPr="00D2134C">
        <w:t xml:space="preserve"> priority issues. We are committed to listening to the voices of the disability community in making decisions and </w:t>
      </w:r>
      <w:r w:rsidR="00481FA0">
        <w:t xml:space="preserve">working with them in </w:t>
      </w:r>
      <w:r w:rsidRPr="00D2134C">
        <w:t>building a better NDIS.</w:t>
      </w:r>
    </w:p>
    <w:p w14:paraId="6B23472E" w14:textId="77777777" w:rsidR="00970846" w:rsidRPr="00D2134C" w:rsidRDefault="00970846" w:rsidP="00873C47">
      <w:pPr>
        <w:pStyle w:val="FGCHEADING2"/>
        <w:numPr>
          <w:ilvl w:val="1"/>
          <w:numId w:val="13"/>
        </w:numPr>
      </w:pPr>
      <w:bookmarkStart w:id="31" w:name="_Toc51067963"/>
      <w:bookmarkStart w:id="32" w:name="_Toc110532517"/>
      <w:bookmarkStart w:id="33" w:name="_Toc114477493"/>
      <w:bookmarkStart w:id="34" w:name="_Toc116473852"/>
      <w:r w:rsidRPr="00D2134C">
        <w:t>How far we have come</w:t>
      </w:r>
      <w:bookmarkEnd w:id="31"/>
      <w:bookmarkEnd w:id="32"/>
      <w:bookmarkEnd w:id="33"/>
      <w:bookmarkEnd w:id="34"/>
    </w:p>
    <w:p w14:paraId="3BF2C9A3" w14:textId="20968810" w:rsidR="00127FEA" w:rsidRPr="00D2134C" w:rsidRDefault="00127FEA" w:rsidP="00DE34CC">
      <w:pPr>
        <w:pStyle w:val="FGCNORMAL"/>
      </w:pPr>
      <w:r w:rsidRPr="00D2134C">
        <w:t>The NDIS has grown substantially over its 9 years of operation. Our reach has expanded – from 4 trial sites in selected geographic locations</w:t>
      </w:r>
      <w:r w:rsidR="007E01B8" w:rsidRPr="00D2134C">
        <w:t>,</w:t>
      </w:r>
      <w:r w:rsidRPr="00D2134C">
        <w:t xml:space="preserve"> to delivering the Scheme in</w:t>
      </w:r>
      <w:r w:rsidR="006A2A67" w:rsidRPr="00D2134C">
        <w:t xml:space="preserve"> all states and territories </w:t>
      </w:r>
      <w:r w:rsidRPr="00D2134C">
        <w:t xml:space="preserve">across Australia. </w:t>
      </w:r>
    </w:p>
    <w:p w14:paraId="4570BA8B" w14:textId="3207B10D" w:rsidR="00127FEA" w:rsidRPr="00D2134C" w:rsidRDefault="00261EEA" w:rsidP="00DE34CC">
      <w:pPr>
        <w:pStyle w:val="FGCNORMAL"/>
      </w:pPr>
      <w:r w:rsidRPr="00D2134C">
        <w:t xml:space="preserve">Support payments to participants </w:t>
      </w:r>
      <w:r w:rsidR="00127FEA" w:rsidRPr="00D2134C">
        <w:t xml:space="preserve">and </w:t>
      </w:r>
      <w:r w:rsidR="00906C9F" w:rsidRPr="00D2134C">
        <w:t xml:space="preserve">the </w:t>
      </w:r>
      <w:r w:rsidR="00127FEA" w:rsidRPr="00D2134C">
        <w:t>average payment per participant ha</w:t>
      </w:r>
      <w:r w:rsidR="00D60DBC" w:rsidRPr="00D2134C">
        <w:t>ve</w:t>
      </w:r>
      <w:r w:rsidR="00127FEA" w:rsidRPr="00D2134C">
        <w:t xml:space="preserve"> steadily risen over time. </w:t>
      </w:r>
    </w:p>
    <w:p w14:paraId="10B150AC" w14:textId="6C201B35" w:rsidR="00127FEA" w:rsidRPr="00D2134C" w:rsidRDefault="00127FEA" w:rsidP="00DE34CC">
      <w:pPr>
        <w:pStyle w:val="FGCNORMAL"/>
      </w:pPr>
      <w:r w:rsidRPr="00D2134C">
        <w:t>This growth is mirrored in the NDIS-related workforce and provider market</w:t>
      </w:r>
      <w:r w:rsidR="00BF1477">
        <w:t xml:space="preserve"> across the country</w:t>
      </w:r>
      <w:r w:rsidRPr="00D2134C">
        <w:t>.</w:t>
      </w:r>
    </w:p>
    <w:p w14:paraId="7D7098B8" w14:textId="075A9517" w:rsidR="00127FEA" w:rsidRPr="00D2134C" w:rsidRDefault="00127FEA" w:rsidP="00DE34CC">
      <w:pPr>
        <w:pStyle w:val="FGCNORMAL"/>
      </w:pPr>
      <w:r w:rsidRPr="00D2134C">
        <w:t xml:space="preserve">There are now more than 12,000 people working </w:t>
      </w:r>
      <w:r w:rsidR="00BD6AC3" w:rsidRPr="00D2134C">
        <w:t xml:space="preserve">directly </w:t>
      </w:r>
      <w:r w:rsidRPr="00D2134C">
        <w:t>to deliver the Scheme</w:t>
      </w:r>
      <w:r w:rsidR="00BD6AC3" w:rsidRPr="00D2134C">
        <w:t xml:space="preserve">, with around </w:t>
      </w:r>
      <w:r w:rsidRPr="00D2134C">
        <w:t xml:space="preserve">half </w:t>
      </w:r>
      <w:r w:rsidR="00BD6AC3" w:rsidRPr="00D2134C">
        <w:t>of those within the</w:t>
      </w:r>
      <w:r w:rsidRPr="00D2134C">
        <w:t xml:space="preserve"> </w:t>
      </w:r>
      <w:r w:rsidR="000B34D3" w:rsidRPr="00D2134C">
        <w:t>NDIA</w:t>
      </w:r>
      <w:r w:rsidR="0016199B" w:rsidRPr="00D2134C">
        <w:t xml:space="preserve"> and the other half </w:t>
      </w:r>
      <w:r w:rsidRPr="00D2134C">
        <w:t xml:space="preserve">employed by the </w:t>
      </w:r>
      <w:r w:rsidR="000B34D3" w:rsidRPr="00D2134C">
        <w:t>NDIA</w:t>
      </w:r>
      <w:r w:rsidRPr="00D2134C">
        <w:t xml:space="preserve">’s </w:t>
      </w:r>
      <w:r w:rsidR="002E712E">
        <w:t>p</w:t>
      </w:r>
      <w:r w:rsidRPr="00D2134C">
        <w:t xml:space="preserve">artners in the </w:t>
      </w:r>
      <w:r w:rsidR="002E712E">
        <w:t>c</w:t>
      </w:r>
      <w:r w:rsidRPr="00D2134C">
        <w:t xml:space="preserve">ommunity – community organisations that work with the </w:t>
      </w:r>
      <w:r w:rsidR="000B34D3" w:rsidRPr="00D2134C">
        <w:t>NDIA</w:t>
      </w:r>
      <w:r w:rsidRPr="00D2134C">
        <w:t xml:space="preserve"> to deliver the Scheme at a local level. </w:t>
      </w:r>
    </w:p>
    <w:p w14:paraId="0855662C" w14:textId="6E41C6CF" w:rsidR="00970846" w:rsidRPr="00D2134C" w:rsidRDefault="00127FEA" w:rsidP="00DE34CC">
      <w:pPr>
        <w:pStyle w:val="FGCNORMAL"/>
      </w:pPr>
      <w:r w:rsidRPr="00D2134C">
        <w:t xml:space="preserve">Tens of thousands more workers are delivering services </w:t>
      </w:r>
      <w:r w:rsidR="005E0510" w:rsidRPr="00D2134C">
        <w:t xml:space="preserve">through </w:t>
      </w:r>
      <w:r w:rsidR="00C81379" w:rsidRPr="00D2134C">
        <w:t>providers</w:t>
      </w:r>
      <w:r w:rsidR="00801A8B" w:rsidRPr="00D2134C">
        <w:t xml:space="preserve"> engaged by our participants</w:t>
      </w:r>
      <w:r w:rsidR="00C81379" w:rsidRPr="00D2134C">
        <w:t xml:space="preserve">, including </w:t>
      </w:r>
      <w:r w:rsidRPr="00D2134C">
        <w:t xml:space="preserve">disability support workers and a range of allied health professionals. </w:t>
      </w:r>
      <w:r w:rsidR="00A4600E" w:rsidRPr="00D2134C">
        <w:t xml:space="preserve"> </w:t>
      </w:r>
    </w:p>
    <w:p w14:paraId="4A912103" w14:textId="77777777" w:rsidR="004128F2" w:rsidRDefault="004128F2">
      <w:pPr>
        <w:pStyle w:val="FGCHEADING3"/>
        <w:numPr>
          <w:ilvl w:val="0"/>
          <w:numId w:val="0"/>
        </w:numPr>
        <w:ind w:left="652"/>
        <w:sectPr w:rsidR="004128F2" w:rsidSect="00677C63">
          <w:pgSz w:w="11906" w:h="16838"/>
          <w:pgMar w:top="1021" w:right="907" w:bottom="1440" w:left="964" w:header="708" w:footer="708" w:gutter="0"/>
          <w:cols w:space="708"/>
          <w:titlePg/>
          <w:docGrid w:linePitch="360"/>
        </w:sectPr>
      </w:pPr>
    </w:p>
    <w:p w14:paraId="4F3D6AEB" w14:textId="77777777" w:rsidR="00970846" w:rsidRPr="00D2134C" w:rsidRDefault="00970846" w:rsidP="00EE2D88">
      <w:pPr>
        <w:pStyle w:val="FGCHEADING3"/>
        <w:numPr>
          <w:ilvl w:val="0"/>
          <w:numId w:val="0"/>
        </w:numPr>
        <w:ind w:left="652"/>
      </w:pPr>
      <w:bookmarkStart w:id="35" w:name="_Toc116414659"/>
      <w:bookmarkStart w:id="36" w:name="_Toc116473853"/>
      <w:r w:rsidRPr="00D2134C">
        <w:lastRenderedPageBreak/>
        <w:t>Participant numbers</w:t>
      </w:r>
      <w:bookmarkEnd w:id="35"/>
      <w:bookmarkEnd w:id="36"/>
    </w:p>
    <w:p w14:paraId="023B9769" w14:textId="67F49638" w:rsidR="00970846" w:rsidRPr="00D2134C" w:rsidRDefault="00970846" w:rsidP="00970846">
      <w:pPr>
        <w:pStyle w:val="FGCNORMAL"/>
      </w:pPr>
      <w:r w:rsidRPr="00D2134C">
        <w:t>The number of active participants has increased from 29,719</w:t>
      </w:r>
      <w:r w:rsidR="002906BB">
        <w:t xml:space="preserve"> in 2016</w:t>
      </w:r>
      <w:r w:rsidR="000C6020" w:rsidRPr="00D2134C">
        <w:t>,</w:t>
      </w:r>
      <w:r w:rsidRPr="00D2134C">
        <w:t xml:space="preserve"> after 3 years of the NDIS trial, to 534,655 in 2021–22, 6 years later. </w:t>
      </w:r>
    </w:p>
    <w:p w14:paraId="432C490C" w14:textId="77777777" w:rsidR="00970846" w:rsidRPr="00D2134C" w:rsidRDefault="00970846" w:rsidP="00970846">
      <w:pPr>
        <w:pStyle w:val="FGCNORMAL"/>
        <w:keepNext/>
      </w:pPr>
      <w:r w:rsidRPr="00D2134C">
        <w:rPr>
          <w:b/>
        </w:rPr>
        <w:t>Figure 2.1A:</w:t>
      </w:r>
      <w:r w:rsidRPr="00D2134C">
        <w:t xml:space="preserve"> Growth in participant numbers</w:t>
      </w:r>
    </w:p>
    <w:p w14:paraId="14FB2A28" w14:textId="39164376" w:rsidR="00970846" w:rsidRPr="00D2134C" w:rsidRDefault="00CD2F73" w:rsidP="00970846">
      <w:pPr>
        <w:pStyle w:val="FGCNORMAL"/>
      </w:pPr>
      <w:r w:rsidRPr="00CD2F73">
        <w:rPr>
          <w:noProof/>
        </w:rPr>
        <w:drawing>
          <wp:inline distT="0" distB="0" distL="0" distR="0" wp14:anchorId="243B8D0F" wp14:editId="09448D8F">
            <wp:extent cx="6372225" cy="2947035"/>
            <wp:effectExtent l="0" t="0" r="9525" b="5715"/>
            <wp:docPr id="456" name="Picture 456" descr="This is a  purple vertical bar graph representing growth in participant numbers.&#10;The horizontal axis is years ranging from 2015 - 2016 on the left to 2021 to 2022. The vertical axis ranges from 0 to 600,000 in increments of 100,000.&#10;2015 to 2016. 29,719 participants.&#10;2016 to 2017. 89,610 participants.&#10;2017 to 2018. 172,333 participants.&#10;2018 to 2019. 286,015 participants.&#10;2019 to 2020. 391,999 participants.&#10;2020 to 2021. 466,619 participants.&#10;2021 to 2022, 534,655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Picture 456" descr="This is a  purple vertical bar graph representing growth in participant numbers.&#10;The horizontal axis is years ranging from 2015 - 2016 on the left to 2021 to 2022. The vertical axis ranges from 0 to 600,000 in increments of 100,000.&#10;2015 to 2016. 29,719 participants.&#10;2016 to 2017. 89,610 participants.&#10;2017 to 2018. 172,333 participants.&#10;2018 to 2019. 286,015 participants.&#10;2019 to 2020. 391,999 participants.&#10;2020 to 2021. 466,619 participants.&#10;2021 to 2022, 534,655 participants.&#10;"/>
                    <pic:cNvPicPr/>
                  </pic:nvPicPr>
                  <pic:blipFill>
                    <a:blip r:embed="rId16"/>
                    <a:stretch>
                      <a:fillRect/>
                    </a:stretch>
                  </pic:blipFill>
                  <pic:spPr>
                    <a:xfrm>
                      <a:off x="0" y="0"/>
                      <a:ext cx="6372225" cy="2947035"/>
                    </a:xfrm>
                    <a:prstGeom prst="rect">
                      <a:avLst/>
                    </a:prstGeom>
                  </pic:spPr>
                </pic:pic>
              </a:graphicData>
            </a:graphic>
          </wp:inline>
        </w:drawing>
      </w:r>
    </w:p>
    <w:p w14:paraId="028CEE04" w14:textId="2626D0DF" w:rsidR="00970846" w:rsidRPr="00D2134C" w:rsidRDefault="00C9055E" w:rsidP="00EE2D88">
      <w:pPr>
        <w:pStyle w:val="FGCHEADING3"/>
        <w:numPr>
          <w:ilvl w:val="0"/>
          <w:numId w:val="0"/>
        </w:numPr>
        <w:ind w:left="652"/>
      </w:pPr>
      <w:bookmarkStart w:id="37" w:name="_Toc116414660"/>
      <w:bookmarkStart w:id="38" w:name="_Toc116473854"/>
      <w:bookmarkStart w:id="39" w:name="_Hlk114141013"/>
      <w:r>
        <w:t>P</w:t>
      </w:r>
      <w:r w:rsidR="00970846" w:rsidRPr="00D2134C">
        <w:t>articipant</w:t>
      </w:r>
      <w:r>
        <w:t xml:space="preserve"> support </w:t>
      </w:r>
      <w:r w:rsidR="00E72B28">
        <w:t>payments</w:t>
      </w:r>
      <w:bookmarkEnd w:id="37"/>
      <w:bookmarkEnd w:id="38"/>
    </w:p>
    <w:p w14:paraId="1DD2D5B1" w14:textId="044B63F4" w:rsidR="002510C3" w:rsidRPr="00D2134C" w:rsidRDefault="00C9055E" w:rsidP="00AE0220">
      <w:pPr>
        <w:pStyle w:val="FGCNORMAL"/>
        <w:rPr>
          <w:lang w:eastAsia="en-US"/>
        </w:rPr>
      </w:pPr>
      <w:r>
        <w:rPr>
          <w:lang w:eastAsia="en-US"/>
        </w:rPr>
        <w:t xml:space="preserve">Participant support expenses are amounts incurred by the NDIA for supports to participants. </w:t>
      </w:r>
      <w:r w:rsidR="00970846" w:rsidRPr="00D2134C">
        <w:rPr>
          <w:lang w:eastAsia="en-US"/>
        </w:rPr>
        <w:t>In 2021–22</w:t>
      </w:r>
      <w:r w:rsidR="0096065F" w:rsidRPr="00D2134C">
        <w:rPr>
          <w:lang w:eastAsia="en-US"/>
        </w:rPr>
        <w:t>,</w:t>
      </w:r>
      <w:r w:rsidR="00970846" w:rsidRPr="00D2134C">
        <w:rPr>
          <w:lang w:eastAsia="en-US"/>
        </w:rPr>
        <w:t xml:space="preserve"> these amounts continue</w:t>
      </w:r>
      <w:r w:rsidR="00FD7980" w:rsidRPr="00D2134C">
        <w:rPr>
          <w:lang w:eastAsia="en-US"/>
        </w:rPr>
        <w:t>d</w:t>
      </w:r>
      <w:r w:rsidR="00970846" w:rsidRPr="00D2134C">
        <w:rPr>
          <w:lang w:eastAsia="en-US"/>
        </w:rPr>
        <w:t xml:space="preserve"> to increase. Over the last 5 years, total </w:t>
      </w:r>
      <w:r w:rsidR="00C22329">
        <w:rPr>
          <w:lang w:eastAsia="en-US"/>
        </w:rPr>
        <w:t xml:space="preserve">expenses </w:t>
      </w:r>
      <w:r w:rsidR="00970846" w:rsidRPr="00D2134C">
        <w:rPr>
          <w:lang w:eastAsia="en-US"/>
        </w:rPr>
        <w:t>have grown from $2,238</w:t>
      </w:r>
      <w:r w:rsidR="000021F0" w:rsidRPr="00D2134C">
        <w:rPr>
          <w:lang w:eastAsia="en-US"/>
        </w:rPr>
        <w:t> </w:t>
      </w:r>
      <w:r w:rsidR="00970846" w:rsidRPr="00D2134C">
        <w:rPr>
          <w:lang w:eastAsia="en-US"/>
        </w:rPr>
        <w:t>million to $28,6</w:t>
      </w:r>
      <w:r w:rsidR="00FD6F9C" w:rsidRPr="00D2134C">
        <w:rPr>
          <w:lang w:eastAsia="en-US"/>
        </w:rPr>
        <w:t>3</w:t>
      </w:r>
      <w:r w:rsidR="00970846" w:rsidRPr="00D2134C">
        <w:rPr>
          <w:lang w:eastAsia="en-US"/>
        </w:rPr>
        <w:t>1</w:t>
      </w:r>
      <w:r w:rsidR="000021F0" w:rsidRPr="00D2134C">
        <w:rPr>
          <w:lang w:eastAsia="en-US"/>
        </w:rPr>
        <w:t> </w:t>
      </w:r>
      <w:r w:rsidR="00970846" w:rsidRPr="00D2134C">
        <w:rPr>
          <w:lang w:eastAsia="en-US"/>
        </w:rPr>
        <w:t>million.</w:t>
      </w:r>
    </w:p>
    <w:p w14:paraId="08228532" w14:textId="4389A37B" w:rsidR="00970846" w:rsidRPr="00D2134C" w:rsidRDefault="00970846" w:rsidP="0004139F">
      <w:pPr>
        <w:pStyle w:val="FGCNORMAL"/>
        <w:keepNext/>
      </w:pPr>
      <w:r w:rsidRPr="00D2134C">
        <w:rPr>
          <w:rStyle w:val="FGCEMPHASIS"/>
        </w:rPr>
        <w:t>Figure 2.1B</w:t>
      </w:r>
      <w:r w:rsidRPr="00D2134C">
        <w:rPr>
          <w:b/>
          <w:bCs/>
          <w:lang w:eastAsia="en-US"/>
        </w:rPr>
        <w:t>:</w:t>
      </w:r>
      <w:r w:rsidRPr="00D2134C">
        <w:rPr>
          <w:lang w:eastAsia="en-US"/>
        </w:rPr>
        <w:t xml:space="preserve"> Growth in</w:t>
      </w:r>
      <w:r w:rsidR="005A6D52">
        <w:rPr>
          <w:lang w:eastAsia="en-US"/>
        </w:rPr>
        <w:t xml:space="preserve"> participant support </w:t>
      </w:r>
      <w:r w:rsidR="00E72B28">
        <w:rPr>
          <w:lang w:eastAsia="en-US"/>
        </w:rPr>
        <w:t xml:space="preserve">payments </w:t>
      </w:r>
      <w:r w:rsidR="00C31AA9">
        <w:rPr>
          <w:lang w:eastAsia="en-US"/>
        </w:rPr>
        <w:br/>
      </w:r>
    </w:p>
    <w:p w14:paraId="2F5C966C" w14:textId="1251714A" w:rsidR="00970846" w:rsidRPr="00D2134C" w:rsidRDefault="00C31AA9" w:rsidP="00970846">
      <w:pPr>
        <w:pStyle w:val="FGCNORMAL"/>
      </w:pPr>
      <w:r w:rsidRPr="00C31AA9">
        <w:rPr>
          <w:noProof/>
        </w:rPr>
        <w:drawing>
          <wp:inline distT="0" distB="0" distL="0" distR="0" wp14:anchorId="4EF6C31D" wp14:editId="10CF0B84">
            <wp:extent cx="6372225" cy="2796540"/>
            <wp:effectExtent l="0" t="0" r="9525" b="3810"/>
            <wp:docPr id="457" name="Picture 457" descr="This is a purple vertical bar graph representing growth in participant support payments.&#10;The horizontal axis is years ranging from 2016 - 2017 on the left to 2021 to 2022. The vertical axis ranges from 0 to $30 million in increments of $5 million.&#10;2016 to 2017. $2,238 million.&#10;2017 to 2018. $5,418 million.&#10;2018 to 2019. $10,460 million.&#10;2019 to 2020. $17,589 million.&#10;2020 to 2021. $23,348 million.&#10;2021 to 2022. $28,631 mill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descr="This is a purple vertical bar graph representing growth in participant support payments.&#10;The horizontal axis is years ranging from 2016 - 2017 on the left to 2021 to 2022. The vertical axis ranges from 0 to $30 million in increments of $5 million.&#10;2016 to 2017. $2,238 million.&#10;2017 to 2018. $5,418 million.&#10;2018 to 2019. $10,460 million.&#10;2019 to 2020. $17,589 million.&#10;2020 to 2021. $23,348 million.&#10;2021 to 2022. $28,631 million.&#10;"/>
                    <pic:cNvPicPr/>
                  </pic:nvPicPr>
                  <pic:blipFill>
                    <a:blip r:embed="rId17"/>
                    <a:stretch>
                      <a:fillRect/>
                    </a:stretch>
                  </pic:blipFill>
                  <pic:spPr>
                    <a:xfrm>
                      <a:off x="0" y="0"/>
                      <a:ext cx="6372225" cy="2796540"/>
                    </a:xfrm>
                    <a:prstGeom prst="rect">
                      <a:avLst/>
                    </a:prstGeom>
                  </pic:spPr>
                </pic:pic>
              </a:graphicData>
            </a:graphic>
          </wp:inline>
        </w:drawing>
      </w:r>
    </w:p>
    <w:bookmarkEnd w:id="39"/>
    <w:p w14:paraId="4CEA9E55" w14:textId="41F8D09A" w:rsidR="00970846" w:rsidRDefault="00970846" w:rsidP="00EE2D88">
      <w:pPr>
        <w:pStyle w:val="FGCNORMAL"/>
        <w:keepNext/>
      </w:pPr>
      <w:r w:rsidRPr="00D2134C">
        <w:rPr>
          <w:rStyle w:val="FGCEMPHASIS"/>
        </w:rPr>
        <w:lastRenderedPageBreak/>
        <w:t>Figure 2.1C:</w:t>
      </w:r>
      <w:r w:rsidRPr="00D2134C">
        <w:t xml:space="preserve"> Average payment per participant</w:t>
      </w:r>
    </w:p>
    <w:p w14:paraId="01676E21" w14:textId="1ED549B0" w:rsidR="00006FC9" w:rsidRPr="00D2134C" w:rsidRDefault="00006FC9" w:rsidP="00225C12">
      <w:pPr>
        <w:pStyle w:val="FGCNORMAL"/>
        <w:keepNext/>
      </w:pPr>
      <w:r w:rsidRPr="00D219A5">
        <w:rPr>
          <w:noProof/>
        </w:rPr>
        <w:drawing>
          <wp:inline distT="0" distB="0" distL="0" distR="0" wp14:anchorId="7778B6C2" wp14:editId="675F07F3">
            <wp:extent cx="6372225" cy="2969895"/>
            <wp:effectExtent l="0" t="0" r="9525" b="1905"/>
            <wp:docPr id="458" name="Picture 458" descr="This is a purple vertical bar graph representing average payment per participant.&#10;The horizontal axis is years ranging from 2016 to 2017 on the left to 2021 to 2022. The vertical axis ranges from 0 to $60,000 in increments of $10,000.&#10;2016 to 2017. $32,300.&#10;2017 to 2018. $38,900.&#10;2018 to 2019. $42,400.&#10;2019 to 2020. $50,800.&#10;2020 to 2021. $54,300.&#10;2021 to 2022. $55,2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descr="This is a purple vertical bar graph representing average payment per participant.&#10;The horizontal axis is years ranging from 2016 to 2017 on the left to 2021 to 2022. The vertical axis ranges from 0 to $60,000 in increments of $10,000.&#10;2016 to 2017. $32,300.&#10;2017 to 2018. $38,900.&#10;2018 to 2019. $42,400.&#10;2019 to 2020. $50,800.&#10;2020 to 2021. $54,300.&#10;2021 to 2022. $55,200.&#10;"/>
                    <pic:cNvPicPr/>
                  </pic:nvPicPr>
                  <pic:blipFill>
                    <a:blip r:embed="rId18">
                      <a:extLst>
                        <a:ext uri="{28A0092B-C50C-407E-A947-70E740481C1C}">
                          <a14:useLocalDpi xmlns:a14="http://schemas.microsoft.com/office/drawing/2010/main" val="0"/>
                        </a:ext>
                      </a:extLst>
                    </a:blip>
                    <a:stretch>
                      <a:fillRect/>
                    </a:stretch>
                  </pic:blipFill>
                  <pic:spPr>
                    <a:xfrm>
                      <a:off x="0" y="0"/>
                      <a:ext cx="6372225" cy="2969895"/>
                    </a:xfrm>
                    <a:prstGeom prst="rect">
                      <a:avLst/>
                    </a:prstGeom>
                  </pic:spPr>
                </pic:pic>
              </a:graphicData>
            </a:graphic>
          </wp:inline>
        </w:drawing>
      </w:r>
    </w:p>
    <w:p w14:paraId="5FC90C00" w14:textId="1DF5B1DA" w:rsidR="00970846" w:rsidRPr="00D2134C" w:rsidRDefault="00970846" w:rsidP="00970846">
      <w:pPr>
        <w:pStyle w:val="FGCNORMAL"/>
      </w:pPr>
      <w:r w:rsidRPr="00D2134C">
        <w:t>Both the average (mean) payment per participant and the median payment per participant provide useful information. In the NDIS, the average payment is higher than the median payment because there is a skewed distribution, with a small number of participants receiving very high-</w:t>
      </w:r>
      <w:r w:rsidR="00481FA0">
        <w:t>value</w:t>
      </w:r>
      <w:r w:rsidRPr="00D2134C">
        <w:t xml:space="preserve"> supports and a large number receiving low-</w:t>
      </w:r>
      <w:r w:rsidR="00481FA0">
        <w:t>value</w:t>
      </w:r>
      <w:r w:rsidRPr="00D2134C">
        <w:t xml:space="preserve"> supports.</w:t>
      </w:r>
    </w:p>
    <w:p w14:paraId="3EDE5622" w14:textId="75B4B4A9" w:rsidR="00970846" w:rsidRPr="00D2134C" w:rsidRDefault="00970846" w:rsidP="00970846">
      <w:pPr>
        <w:pStyle w:val="FGCNORMAL"/>
      </w:pPr>
      <w:r w:rsidRPr="00D2134C">
        <w:t xml:space="preserve">Trends in average and median payments per participant between 1 July 2019 and 30 June 2022 indicate that average payments have increased by </w:t>
      </w:r>
      <w:bookmarkStart w:id="40" w:name="_Hlk111646439"/>
      <w:r w:rsidR="00EB5491" w:rsidRPr="00D2134C">
        <w:t>9.2</w:t>
      </w:r>
      <w:bookmarkEnd w:id="40"/>
      <w:r w:rsidR="00C650EB" w:rsidRPr="00D2134C">
        <w:t>%</w:t>
      </w:r>
      <w:r w:rsidRPr="00D2134C">
        <w:t xml:space="preserve"> per annum, and median payments have increased by 13.</w:t>
      </w:r>
      <w:r w:rsidR="002441E2">
        <w:t>7</w:t>
      </w:r>
      <w:r w:rsidR="00C650EB" w:rsidRPr="00D2134C">
        <w:t>%</w:t>
      </w:r>
      <w:r w:rsidRPr="00D2134C">
        <w:t xml:space="preserve"> per annum. </w:t>
      </w:r>
    </w:p>
    <w:p w14:paraId="729B3309" w14:textId="71C982DC" w:rsidR="00970846" w:rsidRPr="00D2134C" w:rsidRDefault="00970846" w:rsidP="00E74A1C">
      <w:pPr>
        <w:pStyle w:val="FGCNORMAL"/>
        <w:keepNext/>
        <w:rPr>
          <w:rFonts w:eastAsia="Calibri"/>
        </w:rPr>
      </w:pPr>
      <w:r w:rsidRPr="00D2134C">
        <w:rPr>
          <w:b/>
          <w:bCs/>
        </w:rPr>
        <w:t>Figure 2.1D:</w:t>
      </w:r>
      <w:r w:rsidRPr="00D2134C">
        <w:t xml:space="preserve"> Average and median payments for years ending 30 June – all participants</w:t>
      </w:r>
    </w:p>
    <w:p w14:paraId="52925C43" w14:textId="1030C5D7" w:rsidR="00970846" w:rsidRPr="00D2134C" w:rsidRDefault="008D5435" w:rsidP="00EE2D88">
      <w:pPr>
        <w:ind w:left="426"/>
      </w:pPr>
      <w:r w:rsidRPr="008D5435">
        <w:rPr>
          <w:rFonts w:eastAsia="Calibri"/>
          <w:noProof/>
        </w:rPr>
        <w:drawing>
          <wp:inline distT="0" distB="0" distL="0" distR="0" wp14:anchorId="4D44109F" wp14:editId="264064D3">
            <wp:extent cx="6372225" cy="3287395"/>
            <wp:effectExtent l="0" t="0" r="9525" b="8255"/>
            <wp:docPr id="459" name="Picture 459" descr="This is a purple vertical bar graph representing average and median payment for years ending 30 June for all participants.&#10;The horizontal axis is years from 2019 to 2022. Each bar represents the average payment and has a grey dot representing the medium payment. The vertical axis ranges from $0 to $60,000 in increments of $10,000.&#10;2019. Average Payment $42,400. Median payment $12,600.&#10;2020. Average Payment $50,800. Median payment $15,500.&#10;2021. Average Payment $54,300. Median payment $17,900.&#10;2022. Average Payment $55,200. Median payment $18,500.&#10;There is a 9.2% increase per annum of the average payment represented by a purple arrow.&#10;There is a 13.7% increase per annum of the median payment represented by a grey arr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This is a purple vertical bar graph representing average and median payment for years ending 30 June for all participants.&#10;The horizontal axis is years from 2019 to 2022. Each bar represents the average payment and has a grey dot representing the medium payment. The vertical axis ranges from $0 to $60,000 in increments of $10,000.&#10;2019. Average Payment $42,400. Median payment $12,600.&#10;2020. Average Payment $50,800. Median payment $15,500.&#10;2021. Average Payment $54,300. Median payment $17,900.&#10;2022. Average Payment $55,200. Median payment $18,500.&#10;There is a 9.2% increase per annum of the average payment represented by a purple arrow.&#10;There is a 13.7% increase per annum of the median payment represented by a grey arrow.&#10;"/>
                    <pic:cNvPicPr/>
                  </pic:nvPicPr>
                  <pic:blipFill>
                    <a:blip r:embed="rId19"/>
                    <a:stretch>
                      <a:fillRect/>
                    </a:stretch>
                  </pic:blipFill>
                  <pic:spPr>
                    <a:xfrm>
                      <a:off x="0" y="0"/>
                      <a:ext cx="6372225" cy="3287395"/>
                    </a:xfrm>
                    <a:prstGeom prst="rect">
                      <a:avLst/>
                    </a:prstGeom>
                  </pic:spPr>
                </pic:pic>
              </a:graphicData>
            </a:graphic>
          </wp:inline>
        </w:drawing>
      </w:r>
      <w:r w:rsidR="00BB653D">
        <w:br/>
      </w:r>
      <w:r w:rsidR="00970846" w:rsidRPr="00D2134C">
        <w:t>Analysis of the changes in average and median payment over time by whether participants are in supported independent living (SIL) indicates that the average annual increase in both average and median payments has been consistently high across both participant groups. Specifically, the average payment has increased for participants in SIL by 11.9</w:t>
      </w:r>
      <w:r w:rsidR="00C650EB" w:rsidRPr="00D2134C">
        <w:t>%</w:t>
      </w:r>
      <w:r w:rsidR="00970846" w:rsidRPr="00D2134C">
        <w:t>, and the average payment has increased for participants not in SIL by 14.4</w:t>
      </w:r>
      <w:r w:rsidR="00C650EB" w:rsidRPr="00D2134C">
        <w:t>%</w:t>
      </w:r>
      <w:r w:rsidR="00970846" w:rsidRPr="00D2134C">
        <w:t xml:space="preserve"> per year. These averages are higher than the overall average (of 9.2</w:t>
      </w:r>
      <w:r w:rsidR="00C650EB" w:rsidRPr="00D2134C">
        <w:t>%</w:t>
      </w:r>
      <w:r w:rsidR="00970846" w:rsidRPr="00D2134C">
        <w:t xml:space="preserve">), as the proportion of participants in SIL has decreased over the period. </w:t>
      </w:r>
      <w:r w:rsidR="00970846" w:rsidRPr="00D2134C">
        <w:lastRenderedPageBreak/>
        <w:t>Also, the median payment has increased for participants in SIL by 14.5</w:t>
      </w:r>
      <w:r w:rsidR="00C650EB" w:rsidRPr="00D2134C">
        <w:t>%</w:t>
      </w:r>
      <w:r w:rsidR="00970846" w:rsidRPr="00D2134C">
        <w:t>, and the median payment has increased for participants not in SIL by 15.3</w:t>
      </w:r>
      <w:r w:rsidR="00C650EB" w:rsidRPr="00D2134C">
        <w:t>%</w:t>
      </w:r>
      <w:r w:rsidR="00970846" w:rsidRPr="00D2134C">
        <w:t xml:space="preserve"> per year. </w:t>
      </w:r>
    </w:p>
    <w:p w14:paraId="53EA55B9" w14:textId="3A22789C" w:rsidR="00970846" w:rsidRPr="00D2134C" w:rsidRDefault="00970846" w:rsidP="00EE2D88">
      <w:pPr>
        <w:pStyle w:val="FGCNORMAL"/>
        <w:keepNext/>
        <w:ind w:left="426"/>
      </w:pPr>
      <w:r w:rsidRPr="00D2134C">
        <w:rPr>
          <w:rFonts w:eastAsia="Calibri"/>
          <w:b/>
          <w:bCs/>
        </w:rPr>
        <w:t>Figure 2.1E:</w:t>
      </w:r>
      <w:r w:rsidRPr="00D2134C">
        <w:t xml:space="preserve"> Average and median payments for years ending 30 June – participants in SIL</w:t>
      </w:r>
    </w:p>
    <w:p w14:paraId="5FE77CD0" w14:textId="5779D8A7" w:rsidR="00970846" w:rsidRPr="00D2134C" w:rsidRDefault="000720A0" w:rsidP="00970846">
      <w:r w:rsidRPr="000720A0">
        <w:rPr>
          <w:noProof/>
        </w:rPr>
        <w:drawing>
          <wp:inline distT="0" distB="0" distL="0" distR="0" wp14:anchorId="5852A2B4" wp14:editId="68A79D47">
            <wp:extent cx="6372225" cy="3072130"/>
            <wp:effectExtent l="0" t="0" r="9525" b="0"/>
            <wp:docPr id="474" name="Picture 474" descr="This is a purple vertical bar graph representing average and median payment for years ending 30 June for all participants in SIL.&#10;The horizontal axis is years from 2019 to 2022. Each bar represents the average payment and has a grey dot representing the medium payment. The vertical axis ranges from $0 to $350,000 in increments of $50,000.&#10;2019. Average Payment $243,300. Median payment $197,400.&#10;2020. Average Payment $296,800. Median payment $267,100.&#10;2021. Average Payment $324,400. Median payment $286,000&#10;2022. Average Payment $340,900. Median payment $291,900.&#10;There is a 11.9% increase per annum of the average payment represented by a purple arrow.&#10;There is a 13.9% increase per annum of the median payment represented by a grey arr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Picture 474" descr="This is a purple vertical bar graph representing average and median payment for years ending 30 June for all participants in SIL.&#10;The horizontal axis is years from 2019 to 2022. Each bar represents the average payment and has a grey dot representing the medium payment. The vertical axis ranges from $0 to $350,000 in increments of $50,000.&#10;2019. Average Payment $243,300. Median payment $197,400.&#10;2020. Average Payment $296,800. Median payment $267,100.&#10;2021. Average Payment $324,400. Median payment $286,000&#10;2022. Average Payment $340,900. Median payment $291,900.&#10;There is a 11.9% increase per annum of the average payment represented by a purple arrow.&#10;There is a 13.9% increase per annum of the median payment represented by a grey arrow.&#10;"/>
                    <pic:cNvPicPr/>
                  </pic:nvPicPr>
                  <pic:blipFill>
                    <a:blip r:embed="rId20"/>
                    <a:stretch>
                      <a:fillRect/>
                    </a:stretch>
                  </pic:blipFill>
                  <pic:spPr>
                    <a:xfrm>
                      <a:off x="0" y="0"/>
                      <a:ext cx="6372225" cy="3072130"/>
                    </a:xfrm>
                    <a:prstGeom prst="rect">
                      <a:avLst/>
                    </a:prstGeom>
                  </pic:spPr>
                </pic:pic>
              </a:graphicData>
            </a:graphic>
          </wp:inline>
        </w:drawing>
      </w:r>
    </w:p>
    <w:p w14:paraId="4EAC12E6" w14:textId="45C2F5F3" w:rsidR="00970846" w:rsidRPr="00D2134C" w:rsidRDefault="00970846" w:rsidP="00E74A1C">
      <w:pPr>
        <w:pStyle w:val="FGCNORMAL"/>
        <w:keepNext/>
      </w:pPr>
      <w:r w:rsidRPr="00D2134C">
        <w:rPr>
          <w:rFonts w:eastAsia="Calibri"/>
          <w:b/>
          <w:bCs/>
        </w:rPr>
        <w:t>Figure 2.1F:</w:t>
      </w:r>
      <w:r w:rsidRPr="00D2134C">
        <w:rPr>
          <w:rFonts w:eastAsia="DengXian"/>
        </w:rPr>
        <w:t xml:space="preserve"> </w:t>
      </w:r>
      <w:r w:rsidRPr="00D2134C">
        <w:t>Average and median payments per years ending 30 June – participants not in SIL</w:t>
      </w:r>
    </w:p>
    <w:p w14:paraId="3A5DEB81" w14:textId="787972A7" w:rsidR="00970846" w:rsidRPr="00D2134C" w:rsidRDefault="00F6749A" w:rsidP="00970846">
      <w:r w:rsidRPr="00F6749A">
        <w:rPr>
          <w:noProof/>
        </w:rPr>
        <w:drawing>
          <wp:inline distT="0" distB="0" distL="0" distR="0" wp14:anchorId="53E800EA" wp14:editId="0625AAA2">
            <wp:extent cx="6372225" cy="3194050"/>
            <wp:effectExtent l="0" t="0" r="9525" b="6350"/>
            <wp:docPr id="475" name="Picture 475" descr="This is a purple vertical bar graph representing average and median payment for years ending 30 June for all participants not in SIL.&#10;The horizontal axis is in years from 2019 to 2022. Each bar represents the average payment and has a grey dot representing the medium payment. The vertical axis ranges from $0 to $40,000 in increments of $5,000.&#10;2019. Average Payment $26,400. Median payment $11,100.&#10;2020. Average Payment $33,300. Median payment $13,900.&#10;2021. Average Payment $38,100. Median payment $16,300.&#10;2022. Average Payment $39,500. Median payment $16,900.&#10;There is a 14.4% increase per annum of the average payment represented by a purple arrow.&#10;There is a 15% increase per annum of the median payment represented by a grey arrow.&#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This is a purple vertical bar graph representing average and median payment for years ending 30 June for all participants not in SIL.&#10;The horizontal axis is in years from 2019 to 2022. Each bar represents the average payment and has a grey dot representing the medium payment. The vertical axis ranges from $0 to $40,000 in increments of $5,000.&#10;2019. Average Payment $26,400. Median payment $11,100.&#10;2020. Average Payment $33,300. Median payment $13,900.&#10;2021. Average Payment $38,100. Median payment $16,300.&#10;2022. Average Payment $39,500. Median payment $16,900.&#10;There is a 14.4% increase per annum of the average payment represented by a purple arrow.&#10;There is a 15% increase per annum of the median payment represented by a grey arrow.&#10;&#10;"/>
                    <pic:cNvPicPr/>
                  </pic:nvPicPr>
                  <pic:blipFill>
                    <a:blip r:embed="rId21"/>
                    <a:stretch>
                      <a:fillRect/>
                    </a:stretch>
                  </pic:blipFill>
                  <pic:spPr>
                    <a:xfrm>
                      <a:off x="0" y="0"/>
                      <a:ext cx="6372225" cy="3194050"/>
                    </a:xfrm>
                    <a:prstGeom prst="rect">
                      <a:avLst/>
                    </a:prstGeom>
                  </pic:spPr>
                </pic:pic>
              </a:graphicData>
            </a:graphic>
          </wp:inline>
        </w:drawing>
      </w:r>
    </w:p>
    <w:p w14:paraId="4020878F" w14:textId="77777777" w:rsidR="00970846" w:rsidRPr="00D2134C" w:rsidRDefault="00970846" w:rsidP="00970846">
      <w:pPr>
        <w:pStyle w:val="FGCNORMAL"/>
      </w:pPr>
      <w:r w:rsidRPr="00D2134C">
        <w:t>For participants not in SIL, average payments have increased at a faster rate for adults (particularly those aged over 35) and reflect a material increase in the hours of attendant care support these participants are receiving over time. Large increases are also evident in the median payment.</w:t>
      </w:r>
    </w:p>
    <w:p w14:paraId="3AFD4EAB" w14:textId="63624E08" w:rsidR="00970846" w:rsidRPr="00D2134C" w:rsidRDefault="00970846" w:rsidP="00970846">
      <w:pPr>
        <w:pStyle w:val="FGCNORMAL"/>
      </w:pPr>
      <w:r w:rsidRPr="00D2134C">
        <w:t xml:space="preserve">Although average and median payments have increased for all age groups, younger participants have significantly lower payments compared to older participants. For example, for participants not in SIL, those aged 0 to 14 years had average payments of $18,700 in the year to 30 June 2022, compared to $41,900 for those aged 15 to 24 years and $60,100 for those aged 45 to 54 years. With more younger participants entering the Scheme over time, the overall average and </w:t>
      </w:r>
      <w:r w:rsidRPr="00D2134C">
        <w:lastRenderedPageBreak/>
        <w:t>median payments will therefore be lower, partly offsetting the increases otherwise observed. Generally</w:t>
      </w:r>
      <w:r w:rsidR="00B10D64" w:rsidRPr="00D2134C">
        <w:t>,</w:t>
      </w:r>
      <w:r w:rsidRPr="00D2134C">
        <w:t xml:space="preserve"> increases were largest between 2019 and 2020, compared </w:t>
      </w:r>
      <w:r w:rsidR="00167EB9" w:rsidRPr="00D2134C">
        <w:t xml:space="preserve">to </w:t>
      </w:r>
      <w:r w:rsidRPr="00D2134C">
        <w:t>more recent years.</w:t>
      </w:r>
    </w:p>
    <w:p w14:paraId="22BFC82B" w14:textId="4D58722E" w:rsidR="00970846" w:rsidRPr="00D2134C" w:rsidRDefault="00970846" w:rsidP="00E74A1C">
      <w:pPr>
        <w:pStyle w:val="FGCNORMAL"/>
        <w:keepNext/>
      </w:pPr>
      <w:r w:rsidRPr="00D2134C">
        <w:rPr>
          <w:rFonts w:eastAsia="Calibri"/>
          <w:b/>
          <w:bCs/>
        </w:rPr>
        <w:t>Figure 2.1G:</w:t>
      </w:r>
      <w:r w:rsidRPr="00D2134C">
        <w:rPr>
          <w:rFonts w:eastAsia="DengXian"/>
        </w:rPr>
        <w:t xml:space="preserve"> </w:t>
      </w:r>
      <w:r w:rsidRPr="00D2134C">
        <w:t>Average and median payments per year – by age group (participants not in SIL)</w:t>
      </w:r>
    </w:p>
    <w:p w14:paraId="326EEF7D" w14:textId="5D52DF64" w:rsidR="00970846" w:rsidRDefault="00F6749A" w:rsidP="00970846">
      <w:r w:rsidRPr="00F6749A">
        <w:rPr>
          <w:noProof/>
        </w:rPr>
        <w:drawing>
          <wp:inline distT="0" distB="0" distL="0" distR="0" wp14:anchorId="5CB00BAC" wp14:editId="5F29691B">
            <wp:extent cx="6372225" cy="6322060"/>
            <wp:effectExtent l="0" t="0" r="9525" b="2540"/>
            <wp:docPr id="476" name="Picture 476" descr="This is a series of vertical bar graphs which represent the average and median payments per year by age group for participants not in SIL.&#10;It is a series of 7 groups of bar graphs, each group representing a different age group, ranging from 0 to 14 to 65 years and older. Each age group consists of 4 bars, one for each year ranging from 2019 to 2022. &#10;Each year is represented by a different purple pattern.&#10;2019 – squiggles.&#10;2020 – bricks.&#10;2021 – diagonal stripes.&#10;2022 – diamonds.&#10;The Vertical axis is Payments.&#10;Each bar represents the average payment and has a grey dot representing the medium payment. The vertical axis ranges from $0 to $70,000 in increments of $10,000.&#10;&#10;0-14 years.&#10;2019. Average Payment $14,100. Median payment $7,400.&#10;2020. Average Payment $17,000. Median payment $8,900.&#10;2021. Average Payment $18,600. Median payment $10,400.&#10;2022. Average Payment $18,700. Median payment $10,700.&#10;&#10;15 to 24 years.&#10;2019. Average Payment $32,200. Median payment $15,500.&#10;2020. Average Payment $37,300. Median payment $17,800.&#10;2021. Average Payment $41,600. Median payment $19,600.&#10;2022. Average Payment $41,900. Median payment $19,000.&#10;&#10;25 to 34 years.&#10;2019. Average Payment $42,100. Median payment $20,100.&#10;2020. Average Payment $48,700. Median payment $25,300.&#10;2021. Average Payment $55,100. Median payment $28,500.&#10;2022. Average Payment $57,800. Median payment $30,600.&#10;&#10;35 to 44 years.&#10;2019. Average Payment $36,600. Median payment $16,800.&#10;2020. Average Payment $46,100. Median payment $23,000.&#10;2021. Average Payment $54,800. Median payment $28,300.&#10;2022. Average Payment $58,700. Median payment $31,700.&#10;&#10;45 to 54 years.&#10;2019. Average Payment $34,200. Median payment $15,200.&#10;2020. Average Payment $46,400. Median payment $22,500.&#10;2021. Average Payment $56,000. Median payment $29,100.&#10;2022. Average Payment $60,100. Median payment $32,800.&#10;&#10;55 to 64 years.&#10;2019. Average Payment $32,900. Median payment $14,400.&#10;2020. Average Payment $49,800. Median payment $23,400.&#10;12021. Average Payment $61,100. Median payment $30,500.&#10;2022. Average Payment $64,700. Median payment $34,100.&#10;&#10;65 years and older.&#10;2019. Average Payment $38,800. Median payment $15,800.&#10;2020. Average Payment $55,900. Median payment $28,600.&#10;2021. Average Payment $66,200. Median payment $34,400.&#10;2022. Average Payment $67,400. Median payment $37,3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This is a series of vertical bar graphs which represent the average and median payments per year by age group for participants not in SIL.&#10;It is a series of 7 groups of bar graphs, each group representing a different age group, ranging from 0 to 14 to 65 years and older. Each age group consists of 4 bars, one for each year ranging from 2019 to 2022. &#10;Each year is represented by a different purple pattern.&#10;2019 – squiggles.&#10;2020 – bricks.&#10;2021 – diagonal stripes.&#10;2022 – diamonds.&#10;The Vertical axis is Payments.&#10;Each bar represents the average payment and has a grey dot representing the medium payment. The vertical axis ranges from $0 to $70,000 in increments of $10,000.&#10;&#10;0-14 years.&#10;2019. Average Payment $14,100. Median payment $7,400.&#10;2020. Average Payment $17,000. Median payment $8,900.&#10;2021. Average Payment $18,600. Median payment $10,400.&#10;2022. Average Payment $18,700. Median payment $10,700.&#10;&#10;15 to 24 years.&#10;2019. Average Payment $32,200. Median payment $15,500.&#10;2020. Average Payment $37,300. Median payment $17,800.&#10;2021. Average Payment $41,600. Median payment $19,600.&#10;2022. Average Payment $41,900. Median payment $19,000.&#10;&#10;25 to 34 years.&#10;2019. Average Payment $42,100. Median payment $20,100.&#10;2020. Average Payment $48,700. Median payment $25,300.&#10;2021. Average Payment $55,100. Median payment $28,500.&#10;2022. Average Payment $57,800. Median payment $30,600.&#10;&#10;35 to 44 years.&#10;2019. Average Payment $36,600. Median payment $16,800.&#10;2020. Average Payment $46,100. Median payment $23,000.&#10;2021. Average Payment $54,800. Median payment $28,300.&#10;2022. Average Payment $58,700. Median payment $31,700.&#10;&#10;45 to 54 years.&#10;2019. Average Payment $34,200. Median payment $15,200.&#10;2020. Average Payment $46,400. Median payment $22,500.&#10;2021. Average Payment $56,000. Median payment $29,100.&#10;2022. Average Payment $60,100. Median payment $32,800.&#10;&#10;55 to 64 years.&#10;2019. Average Payment $32,900. Median payment $14,400.&#10;2020. Average Payment $49,800. Median payment $23,400.&#10;12021. Average Payment $61,100. Median payment $30,500.&#10;2022. Average Payment $64,700. Median payment $34,100.&#10;&#10;65 years and older.&#10;2019. Average Payment $38,800. Median payment $15,800.&#10;2020. Average Payment $55,900. Median payment $28,600.&#10;2021. Average Payment $66,200. Median payment $34,400.&#10;2022. Average Payment $67,400. Median payment $37,300.&#10;"/>
                    <pic:cNvPicPr/>
                  </pic:nvPicPr>
                  <pic:blipFill>
                    <a:blip r:embed="rId22"/>
                    <a:stretch>
                      <a:fillRect/>
                    </a:stretch>
                  </pic:blipFill>
                  <pic:spPr>
                    <a:xfrm>
                      <a:off x="0" y="0"/>
                      <a:ext cx="6372225" cy="6322060"/>
                    </a:xfrm>
                    <a:prstGeom prst="rect">
                      <a:avLst/>
                    </a:prstGeom>
                  </pic:spPr>
                </pic:pic>
              </a:graphicData>
            </a:graphic>
          </wp:inline>
        </w:drawing>
      </w:r>
    </w:p>
    <w:p w14:paraId="4F50F7D0" w14:textId="77777777" w:rsidR="00811E98" w:rsidRPr="00D2134C" w:rsidRDefault="00811E98" w:rsidP="00970846"/>
    <w:p w14:paraId="64E66E64" w14:textId="77777777" w:rsidR="00970846" w:rsidRPr="00D2134C" w:rsidRDefault="00970846" w:rsidP="00EE2D88">
      <w:pPr>
        <w:pStyle w:val="FGCHEADING3"/>
        <w:numPr>
          <w:ilvl w:val="0"/>
          <w:numId w:val="0"/>
        </w:numPr>
        <w:ind w:left="652"/>
      </w:pPr>
      <w:bookmarkStart w:id="41" w:name="_Toc116414661"/>
      <w:bookmarkStart w:id="42" w:name="_Toc116473855"/>
      <w:r w:rsidRPr="00D2134C">
        <w:t>Plan budgets</w:t>
      </w:r>
      <w:bookmarkEnd w:id="41"/>
      <w:bookmarkEnd w:id="42"/>
    </w:p>
    <w:p w14:paraId="7725E650" w14:textId="4A0513CB" w:rsidR="00970846" w:rsidRPr="00D2134C" w:rsidRDefault="00970846" w:rsidP="00970846">
      <w:pPr>
        <w:pStyle w:val="FGCNORMAL"/>
      </w:pPr>
      <w:r w:rsidRPr="00D2134C">
        <w:rPr>
          <w:lang w:eastAsia="en-US"/>
        </w:rPr>
        <w:t xml:space="preserve">Plan budgets </w:t>
      </w:r>
      <w:r w:rsidR="009A4C9B">
        <w:rPr>
          <w:lang w:eastAsia="en-US"/>
        </w:rPr>
        <w:t xml:space="preserve">detail the financial value </w:t>
      </w:r>
      <w:r w:rsidRPr="00D2134C">
        <w:rPr>
          <w:lang w:eastAsia="en-US"/>
        </w:rPr>
        <w:t>of supports contained in a participant’s NDIS plan that are approved to support participant needs</w:t>
      </w:r>
      <w:r w:rsidR="00802C58">
        <w:rPr>
          <w:lang w:eastAsia="en-US"/>
        </w:rPr>
        <w:t xml:space="preserve"> and outcomes</w:t>
      </w:r>
      <w:r w:rsidRPr="00D2134C">
        <w:rPr>
          <w:lang w:eastAsia="en-US"/>
        </w:rPr>
        <w:t xml:space="preserve">. In some cases, participants do not use </w:t>
      </w:r>
      <w:proofErr w:type="gramStart"/>
      <w:r w:rsidRPr="00D2134C">
        <w:rPr>
          <w:lang w:eastAsia="en-US"/>
        </w:rPr>
        <w:t>all of</w:t>
      </w:r>
      <w:proofErr w:type="gramEnd"/>
      <w:r w:rsidRPr="00D2134C">
        <w:rPr>
          <w:lang w:eastAsia="en-US"/>
        </w:rPr>
        <w:t xml:space="preserve"> their plan budget. The amounts used are referred to as payments (see figures 2.1B and 2.1C). Over the last 5 years, total plan budgets have grown from $3,244</w:t>
      </w:r>
      <w:r w:rsidR="00BD46EB" w:rsidRPr="00D2134C">
        <w:rPr>
          <w:lang w:eastAsia="en-US"/>
        </w:rPr>
        <w:t> </w:t>
      </w:r>
      <w:r w:rsidRPr="00D2134C">
        <w:rPr>
          <w:lang w:eastAsia="en-US"/>
        </w:rPr>
        <w:t>million to $36,055</w:t>
      </w:r>
      <w:r w:rsidR="00BD46EB" w:rsidRPr="00D2134C">
        <w:rPr>
          <w:lang w:eastAsia="en-US"/>
        </w:rPr>
        <w:t> </w:t>
      </w:r>
      <w:r w:rsidRPr="00D2134C">
        <w:rPr>
          <w:lang w:eastAsia="en-US"/>
        </w:rPr>
        <w:t>million.</w:t>
      </w:r>
    </w:p>
    <w:p w14:paraId="4B50F58D" w14:textId="2C21E72C" w:rsidR="00970846" w:rsidRDefault="00970846" w:rsidP="00EE2D88">
      <w:pPr>
        <w:pStyle w:val="FGCNORMAL"/>
        <w:keepNext/>
      </w:pPr>
      <w:r w:rsidRPr="00D2134C">
        <w:rPr>
          <w:rStyle w:val="FGCEMPHASIS"/>
        </w:rPr>
        <w:lastRenderedPageBreak/>
        <w:t>Figure 2.1H</w:t>
      </w:r>
      <w:r w:rsidRPr="00D2134C">
        <w:rPr>
          <w:rStyle w:val="FGCEMPHASIS"/>
          <w:b w:val="0"/>
          <w:bCs w:val="0"/>
        </w:rPr>
        <w:t>:</w:t>
      </w:r>
      <w:r w:rsidRPr="00D2134C">
        <w:t xml:space="preserve"> Plan budgets</w:t>
      </w:r>
    </w:p>
    <w:p w14:paraId="2BAE4273" w14:textId="46149C59" w:rsidR="00F24EC0" w:rsidRPr="00D2134C" w:rsidRDefault="00F24EC0" w:rsidP="003D0F64">
      <w:pPr>
        <w:pStyle w:val="ImageStyle"/>
      </w:pPr>
      <w:r w:rsidRPr="00890361">
        <w:drawing>
          <wp:inline distT="0" distB="0" distL="0" distR="0" wp14:anchorId="1FBEDA13" wp14:editId="1233AEAA">
            <wp:extent cx="6372225" cy="2814320"/>
            <wp:effectExtent l="0" t="0" r="9525" b="5080"/>
            <wp:docPr id="477" name="Picture 477" descr="This is a purple vertical bar graph representing the plan budgets.&#10;The horizontal axis is in years ranging from 2016 - 2017 on the left to 2021 to 2022 on the right. The vertical axis ranges from 0 to $40 million in increments of $10 million.&#10;2016 to 2017. $3.244 million.&#10;2017 to 2018. $7.775 million.&#10;2018 to 2019. $14,578 million.&#10;2019 to 2020. $24,418 million.&#10;2020 to 2021. $32,345 million.&#10;2021 to 2022. $36,055 mill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This is a purple vertical bar graph representing the plan budgets.&#10;The horizontal axis is in years ranging from 2016 - 2017 on the left to 2021 to 2022 on the right. The vertical axis ranges from 0 to $40 million in increments of $10 million.&#10;2016 to 2017. $3.244 million.&#10;2017 to 2018. $7.775 million.&#10;2018 to 2019. $14,578 million.&#10;2019 to 2020. $24,418 million.&#10;2020 to 2021. $32,345 million.&#10;2021 to 2022. $36,055 million.&#10;"/>
                    <pic:cNvPicPr/>
                  </pic:nvPicPr>
                  <pic:blipFill>
                    <a:blip r:embed="rId23">
                      <a:extLst>
                        <a:ext uri="{28A0092B-C50C-407E-A947-70E740481C1C}">
                          <a14:useLocalDpi xmlns:a14="http://schemas.microsoft.com/office/drawing/2010/main" val="0"/>
                        </a:ext>
                      </a:extLst>
                    </a:blip>
                    <a:stretch>
                      <a:fillRect/>
                    </a:stretch>
                  </pic:blipFill>
                  <pic:spPr>
                    <a:xfrm>
                      <a:off x="0" y="0"/>
                      <a:ext cx="6372225" cy="2814320"/>
                    </a:xfrm>
                    <a:prstGeom prst="rect">
                      <a:avLst/>
                    </a:prstGeom>
                  </pic:spPr>
                </pic:pic>
              </a:graphicData>
            </a:graphic>
          </wp:inline>
        </w:drawing>
      </w:r>
    </w:p>
    <w:p w14:paraId="7BE90713" w14:textId="77777777" w:rsidR="00970846" w:rsidRPr="00D2134C" w:rsidRDefault="00970846" w:rsidP="00EE2D88">
      <w:pPr>
        <w:pStyle w:val="FGCHEADING3"/>
        <w:numPr>
          <w:ilvl w:val="0"/>
          <w:numId w:val="0"/>
        </w:numPr>
        <w:ind w:left="652"/>
      </w:pPr>
      <w:bookmarkStart w:id="43" w:name="_Toc116414662"/>
      <w:bookmarkStart w:id="44" w:name="_Toc116473856"/>
      <w:r w:rsidRPr="00D2134C">
        <w:t>Number of providers</w:t>
      </w:r>
      <w:bookmarkEnd w:id="43"/>
      <w:bookmarkEnd w:id="44"/>
    </w:p>
    <w:p w14:paraId="35C15079" w14:textId="6AA9A6A7" w:rsidR="00970846" w:rsidRPr="00D2134C" w:rsidRDefault="00970846" w:rsidP="00970846">
      <w:pPr>
        <w:autoSpaceDE w:val="0"/>
        <w:autoSpaceDN w:val="0"/>
        <w:adjustRightInd w:val="0"/>
        <w:spacing w:before="0" w:after="0"/>
        <w:rPr>
          <w:b/>
          <w:bCs/>
        </w:rPr>
      </w:pPr>
      <w:r w:rsidRPr="00D2134C">
        <w:t xml:space="preserve">There has also been an increase in the number of providers supporting </w:t>
      </w:r>
      <w:r w:rsidR="000741F8" w:rsidRPr="00D2134C">
        <w:t>NDIA</w:t>
      </w:r>
      <w:r w:rsidRPr="00D2134C">
        <w:t xml:space="preserve">-managed participants, from 4,005 </w:t>
      </w:r>
      <w:r w:rsidR="00EF3DFC" w:rsidRPr="00D2134C">
        <w:t xml:space="preserve">as </w:t>
      </w:r>
      <w:proofErr w:type="gramStart"/>
      <w:r w:rsidRPr="00D2134C">
        <w:t>at</w:t>
      </w:r>
      <w:proofErr w:type="gramEnd"/>
      <w:r w:rsidRPr="00D2134C">
        <w:t xml:space="preserve"> 30 June 2017 to 18,347 </w:t>
      </w:r>
      <w:r w:rsidR="00EF3DFC" w:rsidRPr="00D2134C">
        <w:t xml:space="preserve">as </w:t>
      </w:r>
      <w:r w:rsidRPr="00D2134C">
        <w:t>at 30 June 2022. This is growth of more than 4.5 times since 2017.</w:t>
      </w:r>
    </w:p>
    <w:p w14:paraId="0B3C9038" w14:textId="7328850F" w:rsidR="002A70CE" w:rsidRDefault="00D8233F" w:rsidP="002A70CE">
      <w:pPr>
        <w:pStyle w:val="FGCNORMAL"/>
      </w:pPr>
      <w:r w:rsidRPr="00D8233F">
        <w:rPr>
          <w:noProof/>
        </w:rPr>
        <w:t xml:space="preserve"> </w:t>
      </w:r>
      <w:r w:rsidR="002A70CE" w:rsidRPr="00D2134C">
        <w:rPr>
          <w:rStyle w:val="FGCEMPHASIS"/>
        </w:rPr>
        <w:t>Figure 2.1I</w:t>
      </w:r>
      <w:r w:rsidR="002A70CE" w:rsidRPr="00D2134C">
        <w:rPr>
          <w:rFonts w:eastAsia="DengXian"/>
          <w:b/>
        </w:rPr>
        <w:t xml:space="preserve"> </w:t>
      </w:r>
      <w:r w:rsidR="002A70CE" w:rsidRPr="00D2134C">
        <w:t>Change in number of providers registered to support participants since 2017</w:t>
      </w:r>
    </w:p>
    <w:p w14:paraId="74857B98" w14:textId="413C3189" w:rsidR="002F25F8" w:rsidRPr="00295C5E" w:rsidRDefault="002F25F8" w:rsidP="002A70CE">
      <w:pPr>
        <w:pStyle w:val="FGCNORMAL"/>
      </w:pPr>
      <w:r w:rsidRPr="00D8233F">
        <w:rPr>
          <w:rStyle w:val="FGCEMPHASIS"/>
          <w:noProof/>
        </w:rPr>
        <w:drawing>
          <wp:inline distT="0" distB="0" distL="0" distR="0" wp14:anchorId="3D453BA6" wp14:editId="17663395">
            <wp:extent cx="5964555" cy="2562225"/>
            <wp:effectExtent l="0" t="0" r="0" b="9525"/>
            <wp:docPr id="503" name="Picture 503" descr="This is a purple vertical bar graph representing the change in number of providers registered to support participants since 2017.&#10;The horizontal axis ranges from 30 June 2017 to 30 June 2022.&#10;The vertical axis is the number of providers and ranges from 0 to 20,000 in increments of 2,000.&#10;30 June 2017. 4,005 providers.&#10;30 June 2018. 8,457 providers.&#10;30 June 2019. 12,361 providers.&#10;30 June 2020. 14,882 providers.&#10;30 June 2021. 16,526 providers&#10;30 June 2022. 18,347 provid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This is a purple vertical bar graph representing the change in number of providers registered to support participants since 2017.&#10;The horizontal axis ranges from 30 June 2017 to 30 June 2022.&#10;The vertical axis is the number of providers and ranges from 0 to 20,000 in increments of 2,000.&#10;30 June 2017. 4,005 providers.&#10;30 June 2018. 8,457 providers.&#10;30 June 2019. 12,361 providers.&#10;30 June 2020. 14,882 providers.&#10;30 June 2021. 16,526 providers&#10;30 June 2022. 18,347 providers.&#10;"/>
                    <pic:cNvPicPr/>
                  </pic:nvPicPr>
                  <pic:blipFill>
                    <a:blip r:embed="rId24">
                      <a:extLst>
                        <a:ext uri="{28A0092B-C50C-407E-A947-70E740481C1C}">
                          <a14:useLocalDpi xmlns:a14="http://schemas.microsoft.com/office/drawing/2010/main" val="0"/>
                        </a:ext>
                      </a:extLst>
                    </a:blip>
                    <a:stretch>
                      <a:fillRect/>
                    </a:stretch>
                  </pic:blipFill>
                  <pic:spPr>
                    <a:xfrm>
                      <a:off x="0" y="0"/>
                      <a:ext cx="5964555" cy="2562225"/>
                    </a:xfrm>
                    <a:prstGeom prst="rect">
                      <a:avLst/>
                    </a:prstGeom>
                  </pic:spPr>
                </pic:pic>
              </a:graphicData>
            </a:graphic>
          </wp:inline>
        </w:drawing>
      </w:r>
    </w:p>
    <w:p w14:paraId="34C6AC24" w14:textId="4ECA9F67" w:rsidR="00EC4578" w:rsidRDefault="00EC4578" w:rsidP="00970846">
      <w:pPr>
        <w:pStyle w:val="FGCNORMAL"/>
        <w:keepNext/>
        <w:rPr>
          <w:rStyle w:val="FGCEMPHASIS"/>
        </w:rPr>
      </w:pPr>
    </w:p>
    <w:p w14:paraId="519F4454" w14:textId="77777777" w:rsidR="00F12BA1" w:rsidRDefault="00F12BA1" w:rsidP="009C222F">
      <w:pPr>
        <w:pStyle w:val="FGCHEADING3"/>
        <w:numPr>
          <w:ilvl w:val="0"/>
          <w:numId w:val="0"/>
        </w:numPr>
        <w:ind w:left="652"/>
        <w:sectPr w:rsidR="00F12BA1" w:rsidSect="00677C63">
          <w:pgSz w:w="11906" w:h="16838"/>
          <w:pgMar w:top="1021" w:right="907" w:bottom="1440" w:left="964" w:header="708" w:footer="708" w:gutter="0"/>
          <w:cols w:space="708"/>
          <w:titlePg/>
          <w:docGrid w:linePitch="360"/>
        </w:sectPr>
      </w:pPr>
    </w:p>
    <w:p w14:paraId="77884CBF" w14:textId="626BFE51" w:rsidR="009C222F" w:rsidRPr="00D2134C" w:rsidRDefault="009C222F" w:rsidP="00EE2D88">
      <w:pPr>
        <w:pStyle w:val="FGCHEADING3"/>
        <w:numPr>
          <w:ilvl w:val="0"/>
          <w:numId w:val="0"/>
        </w:numPr>
        <w:ind w:left="652"/>
      </w:pPr>
      <w:bookmarkStart w:id="45" w:name="_Toc116414663"/>
      <w:bookmarkStart w:id="46" w:name="_Toc116473857"/>
      <w:r w:rsidRPr="00295C5E">
        <w:lastRenderedPageBreak/>
        <w:t>Children in the NDIS</w:t>
      </w:r>
      <w:bookmarkEnd w:id="45"/>
      <w:bookmarkEnd w:id="46"/>
      <w:r w:rsidRPr="00D2134C" w:rsidDel="002A70CE">
        <w:rPr>
          <w:rStyle w:val="FGCEMPHASIS"/>
        </w:rPr>
        <w:t xml:space="preserve"> </w:t>
      </w:r>
    </w:p>
    <w:p w14:paraId="407C4C2E" w14:textId="71B8558B" w:rsidR="00A37C0A" w:rsidRPr="00D2134C" w:rsidRDefault="00A37C0A" w:rsidP="00A37C0A">
      <w:r w:rsidRPr="00D2134C">
        <w:t xml:space="preserve">The NDIA continues to build on the existing national early childhood approach to ensure the delivery of a world-leading model that provides evidence-based, </w:t>
      </w:r>
      <w:proofErr w:type="gramStart"/>
      <w:r w:rsidRPr="00D2134C">
        <w:t>high-quality</w:t>
      </w:r>
      <w:proofErr w:type="gramEnd"/>
      <w:r w:rsidRPr="00D2134C">
        <w:t xml:space="preserve"> and timely supports </w:t>
      </w:r>
      <w:r w:rsidR="00F1768B" w:rsidRPr="00D2134C">
        <w:t xml:space="preserve">to young children and families that are embedded </w:t>
      </w:r>
      <w:r w:rsidRPr="00D2134C">
        <w:t>in an integrated and collaborative early childhood ecosystem.</w:t>
      </w:r>
    </w:p>
    <w:p w14:paraId="7B835AD9" w14:textId="77777777" w:rsidR="00A37C0A" w:rsidRPr="00D2134C" w:rsidRDefault="00A37C0A" w:rsidP="00EE2D88">
      <w:pPr>
        <w:pStyle w:val="FGCHEADING4"/>
      </w:pPr>
      <w:r w:rsidRPr="00413EC3">
        <w:t>Early</w:t>
      </w:r>
      <w:r w:rsidRPr="00D2134C">
        <w:t xml:space="preserve"> connections</w:t>
      </w:r>
    </w:p>
    <w:p w14:paraId="79412460" w14:textId="435B9FA3" w:rsidR="00A37C0A" w:rsidRPr="00D2134C" w:rsidRDefault="00A37C0A" w:rsidP="00A37C0A">
      <w:r w:rsidRPr="00D2134C">
        <w:t xml:space="preserve">As part of the </w:t>
      </w:r>
      <w:r w:rsidR="000741F8" w:rsidRPr="00D2134C">
        <w:t>NDIA</w:t>
      </w:r>
      <w:r w:rsidRPr="00D2134C">
        <w:t xml:space="preserve">’s early childhood approach, early connections with NDIS supports are available for children younger than 7 </w:t>
      </w:r>
      <w:r w:rsidR="00262577" w:rsidRPr="00D2134C">
        <w:t xml:space="preserve">years old </w:t>
      </w:r>
      <w:r w:rsidRPr="00D2134C">
        <w:t>with disability or delays in their development. Early connections provide quick access to assistance in the crucial early years of a child’s development. Families can access this support regardless of whether the child is eligible for the NDIS.</w:t>
      </w:r>
    </w:p>
    <w:p w14:paraId="531D664B" w14:textId="77777777" w:rsidR="00A37C0A" w:rsidRPr="00D2134C" w:rsidRDefault="00A37C0A" w:rsidP="00A37C0A">
      <w:pPr>
        <w:pStyle w:val="FGCNORMAL"/>
      </w:pPr>
      <w:r w:rsidRPr="00D2134C">
        <w:t xml:space="preserve">As </w:t>
      </w:r>
      <w:proofErr w:type="gramStart"/>
      <w:r w:rsidRPr="00D2134C">
        <w:t>at</w:t>
      </w:r>
      <w:proofErr w:type="gramEnd"/>
      <w:r w:rsidRPr="00D2134C">
        <w:t xml:space="preserve"> 30 June 2022, there were 82,863 children younger than 7 years old with a NDIS plan, and a further 11,686 accessing early connections.</w:t>
      </w:r>
    </w:p>
    <w:p w14:paraId="29EA28FC" w14:textId="2E8BDEC0" w:rsidR="00A37C0A" w:rsidRPr="00D2134C" w:rsidRDefault="00A37C0A" w:rsidP="00A37C0A">
      <w:pPr>
        <w:pStyle w:val="FGCNORMAL"/>
      </w:pPr>
      <w:r w:rsidRPr="00D2134C">
        <w:rPr>
          <w:rStyle w:val="FGCEMPHASIS"/>
        </w:rPr>
        <w:t>Figure 2.</w:t>
      </w:r>
      <w:r w:rsidR="00D80188" w:rsidRPr="00D2134C">
        <w:rPr>
          <w:rStyle w:val="FGCEMPHASIS"/>
        </w:rPr>
        <w:t>1J</w:t>
      </w:r>
      <w:r w:rsidRPr="00D2134C">
        <w:rPr>
          <w:rStyle w:val="FGCEMPHASIS"/>
        </w:rPr>
        <w:t>:</w:t>
      </w:r>
      <w:r w:rsidRPr="00D2134C">
        <w:rPr>
          <w:b/>
        </w:rPr>
        <w:t xml:space="preserve"> </w:t>
      </w:r>
      <w:r w:rsidRPr="00D2134C">
        <w:t xml:space="preserve">Children younger than 7 years old in the NDIS as </w:t>
      </w:r>
      <w:proofErr w:type="gramStart"/>
      <w:r w:rsidRPr="00D2134C">
        <w:t>at</w:t>
      </w:r>
      <w:proofErr w:type="gramEnd"/>
      <w:r w:rsidRPr="00D2134C">
        <w:t xml:space="preserve"> 30 June 2022</w:t>
      </w:r>
    </w:p>
    <w:p w14:paraId="173307F1" w14:textId="0B6280BB" w:rsidR="00A37C0A" w:rsidRPr="00D2134C" w:rsidRDefault="00EB21CF" w:rsidP="00A37C0A">
      <w:pPr>
        <w:pStyle w:val="FGCNORMAL"/>
      </w:pPr>
      <w:r w:rsidRPr="00EB21CF">
        <w:rPr>
          <w:noProof/>
        </w:rPr>
        <w:drawing>
          <wp:inline distT="0" distB="0" distL="0" distR="0" wp14:anchorId="5CF14E2A" wp14:editId="38E53912">
            <wp:extent cx="6176210" cy="4833521"/>
            <wp:effectExtent l="0" t="0" r="0" b="5715"/>
            <wp:docPr id="1" name="Picture 1" descr="These 2 pie graphs represent children younger than 7 years old in the NDIS as at June 2022 in various stages of their approval process.&#10;Pie chart 1&#10;Dark purple. Number of Children with an approved plan. 82,863.&#10;Squiggly purple. Children awaiting an access decision. 3,462.&#10;Diamond purple. Children who have met access (awaiting plan approval). 4,847.&#10;Dashed purple. Children accessing or waiting for early connections (who have not made an access request). 12,044. &#10;The group forms a new pie chart. &#10;Striped purple. Children accessing early connections. 11,686.&#10;Grey. Children waiting for early connections. 358.&#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se 2 pie graphs represent children younger than 7 years old in the NDIS as at June 2022 in various stages of their approval process.&#10;Pie chart 1&#10;Dark purple. Number of Children with an approved plan. 82,863.&#10;Squiggly purple. Children awaiting an access decision. 3,462.&#10;Diamond purple. Children who have met access (awaiting plan approval). 4,847.&#10;Dashed purple. Children accessing or waiting for early connections (who have not made an access request). 12,044. &#10;The group forms a new pie chart. &#10;Striped purple. Children accessing early connections. 11,686.&#10;Grey. Children waiting for early connections. 358.&#10;&#10;"/>
                    <pic:cNvPicPr/>
                  </pic:nvPicPr>
                  <pic:blipFill rotWithShape="1">
                    <a:blip r:embed="rId25"/>
                    <a:srcRect t="7443"/>
                    <a:stretch/>
                  </pic:blipFill>
                  <pic:spPr bwMode="auto">
                    <a:xfrm>
                      <a:off x="0" y="0"/>
                      <a:ext cx="6181515" cy="4837672"/>
                    </a:xfrm>
                    <a:prstGeom prst="rect">
                      <a:avLst/>
                    </a:prstGeom>
                    <a:ln>
                      <a:noFill/>
                    </a:ln>
                    <a:extLst>
                      <a:ext uri="{53640926-AAD7-44D8-BBD7-CCE9431645EC}">
                        <a14:shadowObscured xmlns:a14="http://schemas.microsoft.com/office/drawing/2010/main"/>
                      </a:ext>
                    </a:extLst>
                  </pic:spPr>
                </pic:pic>
              </a:graphicData>
            </a:graphic>
          </wp:inline>
        </w:drawing>
      </w:r>
    </w:p>
    <w:p w14:paraId="1BC46B77" w14:textId="5175692C" w:rsidR="00A37C0A" w:rsidRPr="00D2134C" w:rsidRDefault="00A37C0A" w:rsidP="00EE2D88">
      <w:pPr>
        <w:pStyle w:val="FGCHEADING4"/>
      </w:pPr>
      <w:r w:rsidRPr="00D2134C">
        <w:t xml:space="preserve">Early </w:t>
      </w:r>
      <w:r w:rsidR="00616BEF">
        <w:t>c</w:t>
      </w:r>
      <w:r w:rsidRPr="00D2134C">
        <w:t xml:space="preserve">hildhood </w:t>
      </w:r>
      <w:r w:rsidR="00616BEF">
        <w:t>e</w:t>
      </w:r>
      <w:r w:rsidRPr="00D2134C">
        <w:t xml:space="preserve">arly </w:t>
      </w:r>
      <w:r w:rsidR="00616BEF">
        <w:t>i</w:t>
      </w:r>
      <w:r w:rsidRPr="00D2134C">
        <w:t xml:space="preserve">ntervention </w:t>
      </w:r>
      <w:r w:rsidR="00616BEF">
        <w:t>r</w:t>
      </w:r>
      <w:r w:rsidRPr="00D2134C">
        <w:t>eset</w:t>
      </w:r>
    </w:p>
    <w:p w14:paraId="595B6F93" w14:textId="6FA0A03A" w:rsidR="00A37C0A" w:rsidRPr="00D2134C" w:rsidRDefault="00A37C0A" w:rsidP="00A37C0A">
      <w:pPr>
        <w:pStyle w:val="FGCNORMAL"/>
      </w:pPr>
      <w:r w:rsidRPr="00D2134C">
        <w:t xml:space="preserve">In November 2020, the </w:t>
      </w:r>
      <w:r w:rsidR="000741F8" w:rsidRPr="00D2134C">
        <w:t>NDIA</w:t>
      </w:r>
      <w:r w:rsidRPr="00D2134C">
        <w:t xml:space="preserve"> undertook a review of its </w:t>
      </w:r>
      <w:r w:rsidR="008D38C0">
        <w:t>e</w:t>
      </w:r>
      <w:r w:rsidRPr="00D2134C">
        <w:t xml:space="preserve">arly </w:t>
      </w:r>
      <w:r w:rsidR="008D38C0">
        <w:t>c</w:t>
      </w:r>
      <w:r w:rsidRPr="00D2134C">
        <w:t xml:space="preserve">hildhood </w:t>
      </w:r>
      <w:r w:rsidR="008D38C0">
        <w:t>e</w:t>
      </w:r>
      <w:r w:rsidRPr="00D2134C">
        <w:t xml:space="preserve">arly </w:t>
      </w:r>
      <w:r w:rsidR="008D38C0">
        <w:t>i</w:t>
      </w:r>
      <w:r w:rsidRPr="00D2134C">
        <w:t xml:space="preserve">ntervention (ECEI) approach. Good progress has been made on implementing the resulting ECEI </w:t>
      </w:r>
      <w:r w:rsidR="008D38C0">
        <w:t>r</w:t>
      </w:r>
      <w:r w:rsidRPr="00D2134C">
        <w:t>eset recommendations</w:t>
      </w:r>
      <w:r w:rsidR="00F1768B" w:rsidRPr="00D2134C">
        <w:t>. For example</w:t>
      </w:r>
      <w:r w:rsidRPr="00D2134C">
        <w:t>:</w:t>
      </w:r>
    </w:p>
    <w:p w14:paraId="23D42ED9" w14:textId="5863BCA3" w:rsidR="00A37C0A" w:rsidRPr="00D2134C" w:rsidRDefault="00A37C0A" w:rsidP="00A37C0A">
      <w:pPr>
        <w:pStyle w:val="FGCBULLET1"/>
      </w:pPr>
      <w:r w:rsidRPr="00D2134C">
        <w:t xml:space="preserve">We have provided updated information that explains what the early childhood approach is and how early connections and early supports fit into the approach. We have ensured this </w:t>
      </w:r>
      <w:r w:rsidRPr="00D2134C">
        <w:lastRenderedPageBreak/>
        <w:t xml:space="preserve">information is accessible, </w:t>
      </w:r>
      <w:proofErr w:type="gramStart"/>
      <w:r w:rsidRPr="00D2134C">
        <w:t>appropriate</w:t>
      </w:r>
      <w:proofErr w:type="gramEnd"/>
      <w:r w:rsidRPr="00D2134C">
        <w:t xml:space="preserve"> and translated for communities who need information in their language. Parents and carers told us that the early childhood approach was difficult to understand, and they helped us develop a clear and simple visual to explain the supports available. </w:t>
      </w:r>
    </w:p>
    <w:p w14:paraId="1E160982" w14:textId="0548A3C4" w:rsidR="00A37C0A" w:rsidRPr="00D2134C" w:rsidRDefault="00A37C0A" w:rsidP="00A37C0A">
      <w:pPr>
        <w:pStyle w:val="FGCBULLET1"/>
      </w:pPr>
      <w:r w:rsidRPr="00D2134C">
        <w:t xml:space="preserve">We have developed new guidance and an updated early childhood provider report form to ensure progress and outcomes are captured in a consistent format. The new form and additional guidance material explains what information the NDIS needs </w:t>
      </w:r>
      <w:proofErr w:type="gramStart"/>
      <w:r w:rsidRPr="00D2134C">
        <w:t>in order to</w:t>
      </w:r>
      <w:proofErr w:type="gramEnd"/>
      <w:r w:rsidRPr="00D2134C">
        <w:t xml:space="preserve"> understand how a type of support has been helping a child and family work towards their goals. It also helps providers understand NDIS expectations so they can streamline their processes and communicate clearly with families about the supports and outcomes being achieved.</w:t>
      </w:r>
    </w:p>
    <w:p w14:paraId="4E778F6D" w14:textId="77777777" w:rsidR="00A37C0A" w:rsidRPr="00D2134C" w:rsidRDefault="00A37C0A" w:rsidP="00A37C0A">
      <w:pPr>
        <w:pStyle w:val="FGCBULLET1"/>
      </w:pPr>
      <w:r w:rsidRPr="00D2134C">
        <w:t>We have implemented a streamlined early childhood planning process to allow early childhood partners to focus on their important work in early supports and early connections. This means that children and families will receive the supports they need early, to achieve the best possible outcomes.</w:t>
      </w:r>
    </w:p>
    <w:p w14:paraId="5BC62236" w14:textId="4EBF54EB" w:rsidR="00A37C0A" w:rsidRPr="00D2134C" w:rsidRDefault="00A37C0A" w:rsidP="00A37C0A">
      <w:pPr>
        <w:pStyle w:val="FGCBULLET1"/>
      </w:pPr>
      <w:r w:rsidRPr="00D2134C">
        <w:t xml:space="preserve">We have improved guidance and practice across the NDIA to better support families leaving the NDIS at the appropriate time. The early childhood approach aims to ensure children and families receive support when they need it. It is also expected that these supports will assist children and families to meet their </w:t>
      </w:r>
      <w:proofErr w:type="gramStart"/>
      <w:r w:rsidRPr="00D2134C">
        <w:t>goals</w:t>
      </w:r>
      <w:proofErr w:type="gramEnd"/>
      <w:r w:rsidRPr="00D2134C">
        <w:t xml:space="preserve"> so they are able to transition to the next stage of their life. </w:t>
      </w:r>
    </w:p>
    <w:p w14:paraId="5B1B54BF" w14:textId="59989CFE" w:rsidR="00A37C0A" w:rsidRPr="00D2134C" w:rsidRDefault="00A37C0A" w:rsidP="00A37C0A">
      <w:pPr>
        <w:pStyle w:val="FGCBULLET1"/>
      </w:pPr>
      <w:r w:rsidRPr="00D2134C">
        <w:t>Collaborative relationships are being developed with health services, educational services, and Aboriginal and Torres Strait Islander community organisations through consultation on</w:t>
      </w:r>
      <w:r w:rsidR="00F1768B" w:rsidRPr="00D2134C">
        <w:t xml:space="preserve"> remote</w:t>
      </w:r>
      <w:r w:rsidRPr="00D2134C">
        <w:t xml:space="preserve"> and very remote early childhood. Improved processes to support applications for Aboriginal and Torres Strait Islander children to access the NDIS have been put in place, with support from the NDIA for those who need more information or assistance. </w:t>
      </w:r>
    </w:p>
    <w:p w14:paraId="042B25B3" w14:textId="002FCF67" w:rsidR="00A37C0A" w:rsidRPr="00D2134C" w:rsidRDefault="00A37C0A" w:rsidP="00190E6F">
      <w:pPr>
        <w:pStyle w:val="FGCNORMAL"/>
      </w:pPr>
      <w:r w:rsidRPr="00D2134C">
        <w:t xml:space="preserve">Over the next 12 months, the ECEI </w:t>
      </w:r>
      <w:r w:rsidR="00207F54">
        <w:t>r</w:t>
      </w:r>
      <w:r w:rsidRPr="00D2134C">
        <w:t xml:space="preserve">eset will progress the remaining recommendations by working closely with the early childhood sector to ensure our work continues to improve access to timely, </w:t>
      </w:r>
      <w:proofErr w:type="gramStart"/>
      <w:r w:rsidRPr="00D2134C">
        <w:t>targeted</w:t>
      </w:r>
      <w:proofErr w:type="gramEnd"/>
      <w:r w:rsidRPr="00D2134C">
        <w:t xml:space="preserve"> and individualised early childhood supports for children with developmental delay or disability and their families.</w:t>
      </w:r>
    </w:p>
    <w:p w14:paraId="4D969CE5" w14:textId="77777777" w:rsidR="00970846" w:rsidRPr="0056725C" w:rsidRDefault="00970846" w:rsidP="00EE2D88">
      <w:pPr>
        <w:pStyle w:val="FGCHEADING3"/>
        <w:numPr>
          <w:ilvl w:val="0"/>
          <w:numId w:val="0"/>
        </w:numPr>
        <w:ind w:left="652"/>
      </w:pPr>
      <w:bookmarkStart w:id="47" w:name="_Toc116414664"/>
      <w:bookmarkStart w:id="48" w:name="_Toc116473858"/>
      <w:r w:rsidRPr="0056725C">
        <w:t>Participant experience and outcomes</w:t>
      </w:r>
      <w:bookmarkEnd w:id="47"/>
      <w:bookmarkEnd w:id="48"/>
    </w:p>
    <w:p w14:paraId="260DCB45" w14:textId="77777777" w:rsidR="00970846" w:rsidRPr="00D2134C" w:rsidRDefault="00970846" w:rsidP="00970846">
      <w:pPr>
        <w:pStyle w:val="FGCNORMAL"/>
      </w:pPr>
      <w:r w:rsidRPr="00D2134C">
        <w:t>Despite COVID-19, rates of participation in community and social activities have increased, while the overall rate of participation in work is stable.</w:t>
      </w:r>
    </w:p>
    <w:p w14:paraId="7A3BD3E1" w14:textId="6CBE270E" w:rsidR="00970846" w:rsidRPr="00D2134C" w:rsidRDefault="00FB5395" w:rsidP="00970846">
      <w:pPr>
        <w:pStyle w:val="FGCNORMAL"/>
      </w:pPr>
      <w:r w:rsidRPr="00D2134C">
        <w:t>F</w:t>
      </w:r>
      <w:r w:rsidR="00970846" w:rsidRPr="00D2134C">
        <w:t>igures</w:t>
      </w:r>
      <w:r w:rsidRPr="00D2134C">
        <w:t xml:space="preserve"> 2.1K and 2.1P</w:t>
      </w:r>
      <w:r w:rsidR="00970846" w:rsidRPr="00D2134C">
        <w:t xml:space="preserve"> highlight the outcomes for participants who have been in the </w:t>
      </w:r>
      <w:r w:rsidRPr="00D2134C">
        <w:t xml:space="preserve">Scheme </w:t>
      </w:r>
      <w:r w:rsidR="00970846" w:rsidRPr="00D2134C">
        <w:t xml:space="preserve">for at least 2 years. </w:t>
      </w:r>
    </w:p>
    <w:p w14:paraId="643C5952" w14:textId="77777777" w:rsidR="00970846" w:rsidRPr="00D2134C" w:rsidRDefault="00970846" w:rsidP="00EE2D88">
      <w:pPr>
        <w:pStyle w:val="FGCHEADING4"/>
      </w:pPr>
      <w:r w:rsidRPr="00D2134C">
        <w:t xml:space="preserve">Participation in community and social activities </w:t>
      </w:r>
    </w:p>
    <w:p w14:paraId="7A3B7EEB" w14:textId="55ED3168" w:rsidR="00970846" w:rsidRPr="00D2134C" w:rsidRDefault="00970846" w:rsidP="00E42A67">
      <w:pPr>
        <w:pStyle w:val="FGCNORMAL"/>
      </w:pPr>
      <w:r w:rsidRPr="00D2134C">
        <w:t>Participants’ community and social participation has increased in the 2 years since they first entered the Scheme</w:t>
      </w:r>
      <w:r w:rsidR="00FB5395" w:rsidRPr="00D2134C">
        <w:t>.</w:t>
      </w:r>
      <w:r w:rsidRPr="00D2134C">
        <w:rPr>
          <w:rStyle w:val="FootnoteReference"/>
          <w:sz w:val="18"/>
          <w:szCs w:val="18"/>
        </w:rPr>
        <w:footnoteReference w:id="2"/>
      </w:r>
      <w:r w:rsidRPr="00D2134C">
        <w:t xml:space="preserve"> In addition, participation in community and social activities has continued to increase, for all age groups, the longer participants have been in the Scheme. </w:t>
      </w:r>
    </w:p>
    <w:p w14:paraId="5780FF4C" w14:textId="57D7D0C5" w:rsidR="00970846" w:rsidRPr="00D2134C" w:rsidRDefault="00970846" w:rsidP="00E42A67">
      <w:pPr>
        <w:pStyle w:val="FGCNORMAL"/>
      </w:pPr>
      <w:r w:rsidRPr="00D2134C">
        <w:t>Combining all age groups, the increase for participants who have been in the Scheme for 2 years is 5 percentage points (from 35</w:t>
      </w:r>
      <w:r w:rsidR="00C650EB" w:rsidRPr="00D2134C">
        <w:t>%</w:t>
      </w:r>
      <w:r w:rsidRPr="00D2134C">
        <w:t xml:space="preserve"> to 40</w:t>
      </w:r>
      <w:r w:rsidR="00C650EB" w:rsidRPr="00D2134C">
        <w:t>%</w:t>
      </w:r>
      <w:r w:rsidRPr="00D2134C">
        <w:t>), and the increase for participants who have been in the Scheme for 5 years is 14 percentage points (from 35</w:t>
      </w:r>
      <w:r w:rsidR="00C650EB" w:rsidRPr="00D2134C">
        <w:t>%</w:t>
      </w:r>
      <w:r w:rsidRPr="00D2134C">
        <w:t xml:space="preserve"> to 49</w:t>
      </w:r>
      <w:r w:rsidR="00C650EB" w:rsidRPr="00D2134C">
        <w:t>%</w:t>
      </w:r>
      <w:r w:rsidRPr="00D2134C">
        <w:t>).</w:t>
      </w:r>
    </w:p>
    <w:p w14:paraId="5B4371B8" w14:textId="77777777" w:rsidR="00E40A71" w:rsidRDefault="00E40A71" w:rsidP="00970846">
      <w:pPr>
        <w:pStyle w:val="FGCNORMAL"/>
        <w:rPr>
          <w:rStyle w:val="FGCEMPHASIS"/>
        </w:rPr>
        <w:sectPr w:rsidR="00E40A71" w:rsidSect="00677C63">
          <w:pgSz w:w="11906" w:h="16838"/>
          <w:pgMar w:top="1021" w:right="907" w:bottom="1440" w:left="964" w:header="708" w:footer="708" w:gutter="0"/>
          <w:cols w:space="708"/>
          <w:titlePg/>
          <w:docGrid w:linePitch="360"/>
        </w:sectPr>
      </w:pPr>
    </w:p>
    <w:p w14:paraId="3D576F85" w14:textId="7B344838" w:rsidR="00970846" w:rsidRPr="00D2134C" w:rsidRDefault="00970846" w:rsidP="00970846">
      <w:pPr>
        <w:pStyle w:val="FGCNORMAL"/>
      </w:pPr>
      <w:r w:rsidRPr="00D2134C">
        <w:rPr>
          <w:rStyle w:val="FGCEMPHASIS"/>
        </w:rPr>
        <w:lastRenderedPageBreak/>
        <w:t>Figure 2.1</w:t>
      </w:r>
      <w:r w:rsidR="00D80188" w:rsidRPr="00D2134C">
        <w:rPr>
          <w:rStyle w:val="FGCEMPHASIS"/>
        </w:rPr>
        <w:t>K</w:t>
      </w:r>
      <w:r w:rsidRPr="00D2134C">
        <w:rPr>
          <w:rStyle w:val="FGCEMPHASIS"/>
        </w:rPr>
        <w:t>:</w:t>
      </w:r>
      <w:r w:rsidRPr="00D2134C">
        <w:rPr>
          <w:rFonts w:eastAsia="DengXian"/>
          <w:sz w:val="24"/>
          <w:szCs w:val="24"/>
        </w:rPr>
        <w:t xml:space="preserve"> </w:t>
      </w:r>
      <w:r w:rsidRPr="00D2134C">
        <w:t xml:space="preserve">Change in the percentage of participants engaging in social activities who have been in the Scheme for 2, 3, 4 or 5 years </w:t>
      </w:r>
      <w:r w:rsidR="00C725A8">
        <w:t>(participants aged 15 years and over)</w:t>
      </w:r>
    </w:p>
    <w:p w14:paraId="5E5E0FEA" w14:textId="45345F7C" w:rsidR="00970846" w:rsidRPr="00D2134C" w:rsidRDefault="007D379F" w:rsidP="00970846">
      <w:pPr>
        <w:rPr>
          <w:highlight w:val="yellow"/>
        </w:rPr>
      </w:pPr>
      <w:r w:rsidRPr="007D379F">
        <w:rPr>
          <w:noProof/>
        </w:rPr>
        <w:drawing>
          <wp:inline distT="0" distB="0" distL="0" distR="0" wp14:anchorId="3796109C" wp14:editId="710FDCEC">
            <wp:extent cx="6038851" cy="2853690"/>
            <wp:effectExtent l="0" t="0" r="0" b="3810"/>
            <wp:docPr id="481" name="Picture 481" descr="This set of vertical bar graphs represent the change in the percentage of participants aged 15 years and over engaging in social activitie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engaged in the scheme and ranges from 0 to 60% in increments of 20%.&#10;2 years. Baseline 35%. Latest review. 40%.&#10;3 years. Baseline 37%. Latest review. 44%.&#10;4 years. Baseline 36%. Latest review. 47%.&#10;5 years. Baseline 35%. Latest review. 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Picture 481" descr="This set of vertical bar graphs represent the change in the percentage of participants aged 15 years and over engaging in social activitie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engaged in the scheme and ranges from 0 to 60% in increments of 20%.&#10;2 years. Baseline 35%. Latest review. 40%.&#10;3 years. Baseline 37%. Latest review. 44%.&#10;4 years. Baseline 36%. Latest review. 47%.&#10;5 years. Baseline 35%. Latest review. 49%.&#10;"/>
                    <pic:cNvPicPr/>
                  </pic:nvPicPr>
                  <pic:blipFill rotWithShape="1">
                    <a:blip r:embed="rId26"/>
                    <a:srcRect t="11361"/>
                    <a:stretch/>
                  </pic:blipFill>
                  <pic:spPr bwMode="auto">
                    <a:xfrm>
                      <a:off x="0" y="0"/>
                      <a:ext cx="6039693" cy="2854088"/>
                    </a:xfrm>
                    <a:prstGeom prst="rect">
                      <a:avLst/>
                    </a:prstGeom>
                    <a:ln>
                      <a:noFill/>
                    </a:ln>
                    <a:extLst>
                      <a:ext uri="{53640926-AAD7-44D8-BBD7-CCE9431645EC}">
                        <a14:shadowObscured xmlns:a14="http://schemas.microsoft.com/office/drawing/2010/main"/>
                      </a:ext>
                    </a:extLst>
                  </pic:spPr>
                </pic:pic>
              </a:graphicData>
            </a:graphic>
          </wp:inline>
        </w:drawing>
      </w:r>
    </w:p>
    <w:p w14:paraId="5995729A" w14:textId="77777777" w:rsidR="00970846" w:rsidRPr="00D2134C" w:rsidRDefault="00970846" w:rsidP="00EE2D88">
      <w:pPr>
        <w:pStyle w:val="FGCHEADING4"/>
      </w:pPr>
      <w:r w:rsidRPr="00D2134C">
        <w:t>Participation in work</w:t>
      </w:r>
    </w:p>
    <w:p w14:paraId="555A5BAE" w14:textId="43412721" w:rsidR="00970846" w:rsidRPr="00D2134C" w:rsidRDefault="00970846" w:rsidP="00970846">
      <w:pPr>
        <w:pStyle w:val="FGCNORMAL"/>
      </w:pPr>
      <w:r w:rsidRPr="00D2134C">
        <w:t>Looking at all participants who are of working age (15 to 64</w:t>
      </w:r>
      <w:r w:rsidR="004633CC" w:rsidRPr="00D2134C">
        <w:t xml:space="preserve"> years</w:t>
      </w:r>
      <w:r w:rsidRPr="00D2134C">
        <w:t>), the percentage of participants in work has increased slightly, from 20</w:t>
      </w:r>
      <w:r w:rsidR="00C650EB" w:rsidRPr="00D2134C">
        <w:t>%</w:t>
      </w:r>
      <w:r w:rsidRPr="00D2134C">
        <w:t xml:space="preserve"> to 21</w:t>
      </w:r>
      <w:r w:rsidR="00C650EB" w:rsidRPr="00D2134C">
        <w:t>%</w:t>
      </w:r>
      <w:r w:rsidRPr="00D2134C">
        <w:t>, for those who have been in the Scheme for 2 years. There has also been an increase of 1 percentage point for participants who have been in the Scheme for 5 years (from 26</w:t>
      </w:r>
      <w:r w:rsidR="00C650EB" w:rsidRPr="00D2134C">
        <w:t>%</w:t>
      </w:r>
      <w:r w:rsidRPr="00D2134C">
        <w:t xml:space="preserve"> to 27</w:t>
      </w:r>
      <w:r w:rsidR="00C650EB" w:rsidRPr="00D2134C">
        <w:t>%</w:t>
      </w:r>
      <w:r w:rsidRPr="00D2134C">
        <w:t>).</w:t>
      </w:r>
    </w:p>
    <w:p w14:paraId="067C04F8" w14:textId="29428F22" w:rsidR="00970846" w:rsidRDefault="00970846" w:rsidP="00970846">
      <w:pPr>
        <w:pStyle w:val="FGCNORMAL"/>
        <w:keepNext/>
      </w:pPr>
      <w:r w:rsidRPr="00D2134C">
        <w:rPr>
          <w:rStyle w:val="FGCEMPHASIS"/>
        </w:rPr>
        <w:t>Figure 2.1</w:t>
      </w:r>
      <w:r w:rsidR="00D80188" w:rsidRPr="00D2134C">
        <w:rPr>
          <w:rStyle w:val="FGCEMPHASIS"/>
        </w:rPr>
        <w:t>L</w:t>
      </w:r>
      <w:r w:rsidRPr="00D2134C">
        <w:rPr>
          <w:rStyle w:val="FGCEMPHASIS"/>
        </w:rPr>
        <w:t>:</w:t>
      </w:r>
      <w:r w:rsidRPr="00D2134C">
        <w:rPr>
          <w:rFonts w:eastAsia="DengXian"/>
        </w:rPr>
        <w:t xml:space="preserve"> </w:t>
      </w:r>
      <w:r w:rsidRPr="00D2134C">
        <w:t>Change in the percentage of participants in work who have been in the Scheme for 2, 3, 4 or 5 years (participants aged 15 to 64 years)</w:t>
      </w:r>
    </w:p>
    <w:p w14:paraId="7979D7ED" w14:textId="5C3F6989" w:rsidR="00BC7F6E" w:rsidRPr="00D2134C" w:rsidRDefault="00BC7F6E" w:rsidP="00970846">
      <w:pPr>
        <w:pStyle w:val="FGCNORMAL"/>
        <w:keepNext/>
      </w:pPr>
      <w:r w:rsidRPr="005209A3">
        <w:rPr>
          <w:noProof/>
        </w:rPr>
        <w:drawing>
          <wp:inline distT="0" distB="0" distL="0" distR="0" wp14:anchorId="07C0A449" wp14:editId="046B2D22">
            <wp:extent cx="6334760" cy="2924175"/>
            <wp:effectExtent l="0" t="0" r="8890" b="9525"/>
            <wp:docPr id="482" name="Picture 482" descr="This set of vertical bar graphs represent the change in the percentage of participants aged 15 to 64 years, in work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engaged in the scheme and ranges from 0 to 30% in increments of 10%.&#10;2 years. Baseline 20%. Latest review. 21%.&#10;3 years. Baseline 21%. Latest review. 23%.&#10;4 years. Baseline 25%. Latest review. 26%.&#10;5 years. Baseline 26%. Latest review.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descr="This set of vertical bar graphs represent the change in the percentage of participants aged 15 to 64 years, in work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engaged in the scheme and ranges from 0 to 30% in increments of 10%.&#10;2 years. Baseline 20%. Latest review. 21%.&#10;3 years. Baseline 21%. Latest review. 23%.&#10;4 years. Baseline 25%. Latest review. 26%.&#10;5 years. Baseline 26%. Latest review. 27%.&#10;"/>
                    <pic:cNvPicPr/>
                  </pic:nvPicPr>
                  <pic:blipFill>
                    <a:blip r:embed="rId27">
                      <a:extLst>
                        <a:ext uri="{28A0092B-C50C-407E-A947-70E740481C1C}">
                          <a14:useLocalDpi xmlns:a14="http://schemas.microsoft.com/office/drawing/2010/main" val="0"/>
                        </a:ext>
                      </a:extLst>
                    </a:blip>
                    <a:stretch>
                      <a:fillRect/>
                    </a:stretch>
                  </pic:blipFill>
                  <pic:spPr>
                    <a:xfrm>
                      <a:off x="0" y="0"/>
                      <a:ext cx="6334760" cy="2924175"/>
                    </a:xfrm>
                    <a:prstGeom prst="rect">
                      <a:avLst/>
                    </a:prstGeom>
                  </pic:spPr>
                </pic:pic>
              </a:graphicData>
            </a:graphic>
          </wp:inline>
        </w:drawing>
      </w:r>
    </w:p>
    <w:p w14:paraId="5ED76101" w14:textId="053FF351" w:rsidR="00970846" w:rsidRPr="00D2134C" w:rsidRDefault="00970846" w:rsidP="00970846">
      <w:pPr>
        <w:pStyle w:val="FGCNORMAL"/>
      </w:pPr>
    </w:p>
    <w:p w14:paraId="01ABEF4D" w14:textId="77777777" w:rsidR="005209A3" w:rsidRDefault="005209A3">
      <w:pPr>
        <w:pStyle w:val="FGCHEADING4"/>
        <w:sectPr w:rsidR="005209A3" w:rsidSect="00677C63">
          <w:pgSz w:w="11906" w:h="16838"/>
          <w:pgMar w:top="1021" w:right="907" w:bottom="1440" w:left="964" w:header="708" w:footer="708" w:gutter="0"/>
          <w:cols w:space="708"/>
          <w:titlePg/>
          <w:docGrid w:linePitch="360"/>
        </w:sectPr>
      </w:pPr>
    </w:p>
    <w:p w14:paraId="07B14513" w14:textId="77777777" w:rsidR="00970846" w:rsidRPr="00D2134C" w:rsidRDefault="00970846" w:rsidP="00EE2D88">
      <w:pPr>
        <w:pStyle w:val="FGCHEADING4"/>
      </w:pPr>
      <w:r w:rsidRPr="00D2134C">
        <w:lastRenderedPageBreak/>
        <w:t>Participant views of outcomes</w:t>
      </w:r>
    </w:p>
    <w:p w14:paraId="36B397FC" w14:textId="50727066" w:rsidR="00970846" w:rsidRPr="00D2134C" w:rsidRDefault="00FB5395" w:rsidP="00970846">
      <w:pPr>
        <w:pStyle w:val="FGCNORMAL"/>
      </w:pPr>
      <w:r w:rsidRPr="00D2134C">
        <w:t>At each participant plan review, p</w:t>
      </w:r>
      <w:r w:rsidR="00970846" w:rsidRPr="00D2134C">
        <w:t>articipants who entered the Scheme on or after 1 July 2016 are asked ‘Has the NDIS helped?’ allowing the NDIA to gain valuable longitudinal insights.</w:t>
      </w:r>
    </w:p>
    <w:p w14:paraId="22DA6D39" w14:textId="529C8E76" w:rsidR="00970846" w:rsidRPr="00D2134C" w:rsidRDefault="00FB5395" w:rsidP="00970846">
      <w:pPr>
        <w:pStyle w:val="FGCNORMAL"/>
        <w:keepNext/>
      </w:pPr>
      <w:bookmarkStart w:id="49" w:name="_Hlk112936319"/>
      <w:r w:rsidRPr="00D2134C">
        <w:rPr>
          <w:rStyle w:val="FGCEMPHASIS"/>
        </w:rPr>
        <w:t>Figure 2.1M</w:t>
      </w:r>
      <w:bookmarkEnd w:id="49"/>
      <w:r w:rsidRPr="00D2134C">
        <w:rPr>
          <w:b/>
          <w:bCs/>
        </w:rPr>
        <w:t>:</w:t>
      </w:r>
      <w:r w:rsidRPr="00D2134C">
        <w:t xml:space="preserve"> </w:t>
      </w:r>
      <w:r w:rsidR="00970846" w:rsidRPr="00D2134C">
        <w:t>Has the NDIS improved how your child fits into community life? (</w:t>
      </w:r>
      <w:proofErr w:type="gramStart"/>
      <w:r w:rsidR="00970846" w:rsidRPr="00D2134C">
        <w:t>aged</w:t>
      </w:r>
      <w:proofErr w:type="gramEnd"/>
      <w:r w:rsidR="00970846" w:rsidRPr="00D2134C">
        <w:t xml:space="preserve"> 0 to before starting school) </w:t>
      </w:r>
    </w:p>
    <w:p w14:paraId="309CF2E8" w14:textId="01660F12" w:rsidR="00970846" w:rsidRPr="00D2134C" w:rsidRDefault="00C96341" w:rsidP="00970846">
      <w:pPr>
        <w:pStyle w:val="FGCNORMAL"/>
      </w:pPr>
      <w:r w:rsidRPr="00C96341">
        <w:rPr>
          <w:noProof/>
        </w:rPr>
        <w:drawing>
          <wp:inline distT="0" distB="0" distL="0" distR="0" wp14:anchorId="782DF1D9" wp14:editId="4601A266">
            <wp:extent cx="6134099" cy="2926825"/>
            <wp:effectExtent l="0" t="0" r="635" b="6985"/>
            <wp:docPr id="483" name="Picture 483" descr="This set of vertical bar graphs represent how the NDIS has improved how your child fits into community life for children aged 0 to before starting school,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5%. Latest review. 70%.&#10;3 years. Baseline 63%. Latest review. 69%.&#10;4 years. Baseline 60%. Latest review. 71%.&#10;5 years. Baseline 58%. Latest review. 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This set of vertical bar graphs represent how the NDIS has improved how your child fits into community life for children aged 0 to before starting school,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5%. Latest review. 70%.&#10;3 years. Baseline 63%. Latest review. 69%.&#10;4 years. Baseline 60%. Latest review. 71%.&#10;5 years. Baseline 58%. Latest review. 74%.&#10;"/>
                    <pic:cNvPicPr/>
                  </pic:nvPicPr>
                  <pic:blipFill rotWithShape="1">
                    <a:blip r:embed="rId28"/>
                    <a:srcRect t="9358"/>
                    <a:stretch/>
                  </pic:blipFill>
                  <pic:spPr bwMode="auto">
                    <a:xfrm>
                      <a:off x="0" y="0"/>
                      <a:ext cx="6134956" cy="2927234"/>
                    </a:xfrm>
                    <a:prstGeom prst="rect">
                      <a:avLst/>
                    </a:prstGeom>
                    <a:ln>
                      <a:noFill/>
                    </a:ln>
                    <a:extLst>
                      <a:ext uri="{53640926-AAD7-44D8-BBD7-CCE9431645EC}">
                        <a14:shadowObscured xmlns:a14="http://schemas.microsoft.com/office/drawing/2010/main"/>
                      </a:ext>
                    </a:extLst>
                  </pic:spPr>
                </pic:pic>
              </a:graphicData>
            </a:graphic>
          </wp:inline>
        </w:drawing>
      </w:r>
    </w:p>
    <w:p w14:paraId="101F87E6" w14:textId="77777777" w:rsidR="00970846" w:rsidRPr="00D2134C" w:rsidRDefault="00970846" w:rsidP="00970846">
      <w:pPr>
        <w:pStyle w:val="FGCNORMAL"/>
        <w:rPr>
          <w:rStyle w:val="FGCEMPHASIS"/>
        </w:rPr>
      </w:pPr>
    </w:p>
    <w:p w14:paraId="24AD3F53" w14:textId="2DDE29CD" w:rsidR="00970846" w:rsidRPr="00D2134C" w:rsidRDefault="00970846" w:rsidP="00970846">
      <w:pPr>
        <w:pStyle w:val="FGCNORMAL"/>
        <w:keepNext/>
      </w:pPr>
      <w:r w:rsidRPr="00D2134C">
        <w:rPr>
          <w:rStyle w:val="FGCEMPHASIS"/>
        </w:rPr>
        <w:t>Figure 2.1</w:t>
      </w:r>
      <w:r w:rsidR="00D80188" w:rsidRPr="00D2134C">
        <w:rPr>
          <w:rStyle w:val="FGCEMPHASIS"/>
        </w:rPr>
        <w:t>N</w:t>
      </w:r>
      <w:r w:rsidRPr="00D2134C">
        <w:rPr>
          <w:b/>
        </w:rPr>
        <w:t>:</w:t>
      </w:r>
      <w:r w:rsidRPr="00D2134C">
        <w:t xml:space="preserve"> Has the NDIS helped your child to become more independent? (</w:t>
      </w:r>
      <w:proofErr w:type="gramStart"/>
      <w:r w:rsidRPr="00D2134C">
        <w:t>children</w:t>
      </w:r>
      <w:proofErr w:type="gramEnd"/>
      <w:r w:rsidRPr="00D2134C">
        <w:t xml:space="preserve"> aged from starting school to 14 years) </w:t>
      </w:r>
    </w:p>
    <w:p w14:paraId="2563128B" w14:textId="435CD232" w:rsidR="00970846" w:rsidRPr="00D2134C" w:rsidRDefault="002A4799" w:rsidP="00970846">
      <w:pPr>
        <w:rPr>
          <w:highlight w:val="yellow"/>
        </w:rPr>
      </w:pPr>
      <w:r w:rsidRPr="002A4799">
        <w:rPr>
          <w:noProof/>
        </w:rPr>
        <w:drawing>
          <wp:inline distT="0" distB="0" distL="0" distR="0" wp14:anchorId="4DFB2703" wp14:editId="2CC0361A">
            <wp:extent cx="5800724" cy="2576140"/>
            <wp:effectExtent l="0" t="0" r="0" b="0"/>
            <wp:docPr id="484" name="Picture 484" descr="This set of vertical bar graphs represent how the NDIS has helped your child to become more independent  for children aged from starting school to 14 year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5%. Latest review. 73%.&#10;3 years. Baseline 61%. Latest review. 73%.&#10;4 years. Baseline 57%. Latest review. 74%.&#10;5 years. Baseline 54%. Latest review. 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descr="This set of vertical bar graphs represent how the NDIS has helped your child to become more independent  for children aged from starting school to 14 year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5%. Latest review. 73%.&#10;3 years. Baseline 61%. Latest review. 73%.&#10;4 years. Baseline 57%. Latest review. 74%.&#10;5 years. Baseline 54%. Latest review. 72%.&#10;"/>
                    <pic:cNvPicPr/>
                  </pic:nvPicPr>
                  <pic:blipFill rotWithShape="1">
                    <a:blip r:embed="rId29"/>
                    <a:srcRect t="7693"/>
                    <a:stretch/>
                  </pic:blipFill>
                  <pic:spPr bwMode="auto">
                    <a:xfrm>
                      <a:off x="0" y="0"/>
                      <a:ext cx="5801535" cy="2576500"/>
                    </a:xfrm>
                    <a:prstGeom prst="rect">
                      <a:avLst/>
                    </a:prstGeom>
                    <a:ln>
                      <a:noFill/>
                    </a:ln>
                    <a:extLst>
                      <a:ext uri="{53640926-AAD7-44D8-BBD7-CCE9431645EC}">
                        <a14:shadowObscured xmlns:a14="http://schemas.microsoft.com/office/drawing/2010/main"/>
                      </a:ext>
                    </a:extLst>
                  </pic:spPr>
                </pic:pic>
              </a:graphicData>
            </a:graphic>
          </wp:inline>
        </w:drawing>
      </w:r>
    </w:p>
    <w:p w14:paraId="64CB2B98" w14:textId="77777777" w:rsidR="00970846" w:rsidRPr="00D2134C" w:rsidRDefault="00970846" w:rsidP="00970846">
      <w:pPr>
        <w:rPr>
          <w:highlight w:val="yellow"/>
        </w:rPr>
      </w:pPr>
    </w:p>
    <w:p w14:paraId="615462E6" w14:textId="751CD51B" w:rsidR="00970846" w:rsidRPr="00D2134C" w:rsidRDefault="00970846" w:rsidP="00970846">
      <w:pPr>
        <w:pStyle w:val="FGCNORMAL"/>
        <w:keepNext/>
      </w:pPr>
      <w:r w:rsidRPr="00D2134C">
        <w:rPr>
          <w:rStyle w:val="FGCEMPHASIS"/>
        </w:rPr>
        <w:lastRenderedPageBreak/>
        <w:t>Figure 2.1</w:t>
      </w:r>
      <w:r w:rsidR="00D80188" w:rsidRPr="00D2134C">
        <w:rPr>
          <w:rStyle w:val="FGCEMPHASIS"/>
        </w:rPr>
        <w:t>O</w:t>
      </w:r>
      <w:r w:rsidRPr="00D2134C">
        <w:rPr>
          <w:rStyle w:val="FGCEMPHASIS"/>
        </w:rPr>
        <w:t>:</w:t>
      </w:r>
      <w:r w:rsidRPr="00D2134C">
        <w:rPr>
          <w:b/>
        </w:rPr>
        <w:t xml:space="preserve"> </w:t>
      </w:r>
      <w:r w:rsidRPr="00D2134C">
        <w:rPr>
          <w:bCs/>
        </w:rPr>
        <w:t xml:space="preserve">Has the NDIS helped you with daily living activities? </w:t>
      </w:r>
      <w:r w:rsidRPr="00D2134C">
        <w:t>(</w:t>
      </w:r>
      <w:proofErr w:type="gramStart"/>
      <w:r w:rsidRPr="00D2134C">
        <w:t>young</w:t>
      </w:r>
      <w:proofErr w:type="gramEnd"/>
      <w:r w:rsidRPr="00D2134C">
        <w:t xml:space="preserve"> adults aged 15 to 24 years) </w:t>
      </w:r>
    </w:p>
    <w:p w14:paraId="7D62F4FB" w14:textId="5AF8ABE5" w:rsidR="00970846" w:rsidRPr="00D2134C" w:rsidRDefault="002A4799" w:rsidP="00970846">
      <w:pPr>
        <w:pStyle w:val="FGCNORMAL"/>
      </w:pPr>
      <w:r w:rsidRPr="002A4799">
        <w:rPr>
          <w:noProof/>
        </w:rPr>
        <w:drawing>
          <wp:inline distT="0" distB="0" distL="0" distR="0" wp14:anchorId="374B302B" wp14:editId="49F66A4F">
            <wp:extent cx="5800725" cy="2963434"/>
            <wp:effectExtent l="0" t="0" r="0" b="8890"/>
            <wp:docPr id="485" name="Picture 485" descr="This set of vertical bar graphs represent how the NDIS has helped you with daily living activities for young adults aged from 15 to 24 year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2%. Latest review. 69%.&#10;3 years. Baseline 61%. Latest review. 73%.&#10;4 years. Baseline 57%. Latest review. 73%.&#10;5 years. Baseline 59%. Latest review. 75%.&#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Picture 485" descr="This set of vertical bar graphs represent how the NDIS has helped you with daily living activities for young adults aged from 15 to 24 years,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62%. Latest review. 69%.&#10;3 years. Baseline 61%. Latest review. 73%.&#10;4 years. Baseline 57%. Latest review. 73%.&#10;5 years. Baseline 59%. Latest review. 75%.&#10;&#10;"/>
                    <pic:cNvPicPr/>
                  </pic:nvPicPr>
                  <pic:blipFill rotWithShape="1">
                    <a:blip r:embed="rId30"/>
                    <a:srcRect t="7679"/>
                    <a:stretch/>
                  </pic:blipFill>
                  <pic:spPr bwMode="auto">
                    <a:xfrm>
                      <a:off x="0" y="0"/>
                      <a:ext cx="5801535" cy="2963848"/>
                    </a:xfrm>
                    <a:prstGeom prst="rect">
                      <a:avLst/>
                    </a:prstGeom>
                    <a:ln>
                      <a:noFill/>
                    </a:ln>
                    <a:extLst>
                      <a:ext uri="{53640926-AAD7-44D8-BBD7-CCE9431645EC}">
                        <a14:shadowObscured xmlns:a14="http://schemas.microsoft.com/office/drawing/2010/main"/>
                      </a:ext>
                    </a:extLst>
                  </pic:spPr>
                </pic:pic>
              </a:graphicData>
            </a:graphic>
          </wp:inline>
        </w:drawing>
      </w:r>
    </w:p>
    <w:p w14:paraId="585D42CF" w14:textId="77777777" w:rsidR="00970846" w:rsidRPr="00D2134C" w:rsidRDefault="00970846" w:rsidP="00970846">
      <w:pPr>
        <w:pStyle w:val="FGCNORMAL"/>
      </w:pPr>
    </w:p>
    <w:p w14:paraId="0CD8E255" w14:textId="767A1C4F" w:rsidR="00970846" w:rsidRPr="00D2134C" w:rsidRDefault="00970846" w:rsidP="00970846">
      <w:pPr>
        <w:pStyle w:val="FGCNORMAL"/>
        <w:keepNext/>
      </w:pPr>
      <w:r w:rsidRPr="00D2134C">
        <w:rPr>
          <w:rStyle w:val="FGCEMPHASIS"/>
        </w:rPr>
        <w:t>Figure 2.1</w:t>
      </w:r>
      <w:r w:rsidR="00D80188" w:rsidRPr="00D2134C">
        <w:rPr>
          <w:rStyle w:val="FGCEMPHASIS"/>
        </w:rPr>
        <w:t>P</w:t>
      </w:r>
      <w:r w:rsidRPr="00D2134C">
        <w:rPr>
          <w:rStyle w:val="FGCEMPHASIS"/>
        </w:rPr>
        <w:t>:</w:t>
      </w:r>
      <w:r w:rsidRPr="00D2134C">
        <w:t xml:space="preserve"> Has your involvement with the NDIS improved your health and wellbeing? (</w:t>
      </w:r>
      <w:proofErr w:type="gramStart"/>
      <w:r w:rsidRPr="00D2134C">
        <w:t>adults</w:t>
      </w:r>
      <w:proofErr w:type="gramEnd"/>
      <w:r w:rsidRPr="00D2134C">
        <w:t xml:space="preserve"> aged 25+ years)</w:t>
      </w:r>
    </w:p>
    <w:p w14:paraId="776F9644" w14:textId="10E74C6E" w:rsidR="00970846" w:rsidRDefault="002453C1" w:rsidP="00970846">
      <w:pPr>
        <w:spacing w:after="240"/>
      </w:pPr>
      <w:r w:rsidRPr="002453C1">
        <w:rPr>
          <w:noProof/>
        </w:rPr>
        <w:drawing>
          <wp:inline distT="0" distB="0" distL="0" distR="0" wp14:anchorId="35699B90" wp14:editId="4010607F">
            <wp:extent cx="5905500" cy="2899824"/>
            <wp:effectExtent l="0" t="0" r="0" b="0"/>
            <wp:docPr id="486" name="Picture 486" descr="This set of vertical bar graphs represent how the NDIS has improved your health and wellbeing for adults aged from 25 years and older,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52%. Latest review. 59%.&#10;3 years. Baseline 51%. Latest review. 61%.&#10;4 years. Baseline 48%. Latest review. 61%.&#10;5 years. Baseline 50%. Latest review. 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This set of vertical bar graphs represent how the NDIS has improved your health and wellbeing for adults aged from 25 years and older, who have been in the Scheme for 2,3,4 or 5 years.&#10;The horizontal axis represents time in the scheme and is per year from 2 years to 5 years.&#10;Each year has 2 adjacent bars, a striped purple representing the baseline and a solid purple representing the latest review.&#10;The vertical axis represents the percentage of participants who engaged in the scheme and ranges from 0 to 80% in increments of 20%.&#10;2 years. Baseline 52%. Latest review. 59%.&#10;3 years. Baseline 51%. Latest review. 61%.&#10;4 years. Baseline 48%. Latest review. 61%.&#10;5 years. Baseline 50%. Latest review. 64%.&#10;"/>
                    <pic:cNvPicPr/>
                  </pic:nvPicPr>
                  <pic:blipFill rotWithShape="1">
                    <a:blip r:embed="rId31"/>
                    <a:srcRect t="9661"/>
                    <a:stretch/>
                  </pic:blipFill>
                  <pic:spPr bwMode="auto">
                    <a:xfrm>
                      <a:off x="0" y="0"/>
                      <a:ext cx="5906324" cy="2900229"/>
                    </a:xfrm>
                    <a:prstGeom prst="rect">
                      <a:avLst/>
                    </a:prstGeom>
                    <a:ln>
                      <a:noFill/>
                    </a:ln>
                    <a:extLst>
                      <a:ext uri="{53640926-AAD7-44D8-BBD7-CCE9431645EC}">
                        <a14:shadowObscured xmlns:a14="http://schemas.microsoft.com/office/drawing/2010/main"/>
                      </a:ext>
                    </a:extLst>
                  </pic:spPr>
                </pic:pic>
              </a:graphicData>
            </a:graphic>
          </wp:inline>
        </w:drawing>
      </w:r>
    </w:p>
    <w:p w14:paraId="78FFC462" w14:textId="77777777" w:rsidR="002453C1" w:rsidRDefault="002453C1" w:rsidP="00EE2D88">
      <w:pPr>
        <w:spacing w:after="240"/>
        <w:ind w:left="0"/>
        <w:sectPr w:rsidR="002453C1" w:rsidSect="00677C63">
          <w:pgSz w:w="11906" w:h="16838"/>
          <w:pgMar w:top="1021" w:right="907" w:bottom="1440" w:left="964" w:header="708" w:footer="708" w:gutter="0"/>
          <w:cols w:space="708"/>
          <w:titlePg/>
          <w:docGrid w:linePitch="360"/>
        </w:sectPr>
      </w:pPr>
    </w:p>
    <w:p w14:paraId="1FCA0D1C" w14:textId="77777777" w:rsidR="002453C1" w:rsidRPr="00D2134C" w:rsidRDefault="002453C1" w:rsidP="00EE2D88">
      <w:pPr>
        <w:spacing w:after="240"/>
        <w:ind w:left="0"/>
      </w:pPr>
    </w:p>
    <w:p w14:paraId="3209EF4A" w14:textId="50412FD7" w:rsidR="009C3FB7" w:rsidRPr="00D2134C" w:rsidRDefault="00970846" w:rsidP="009C3FB7">
      <w:pPr>
        <w:pStyle w:val="FGCHEADING2"/>
      </w:pPr>
      <w:bookmarkStart w:id="50" w:name="_Toc51067964"/>
      <w:bookmarkStart w:id="51" w:name="_Toc110532518"/>
      <w:bookmarkStart w:id="52" w:name="_Toc114477494"/>
      <w:bookmarkStart w:id="53" w:name="_Toc116473859"/>
      <w:bookmarkStart w:id="54" w:name="_Toc79494910"/>
      <w:bookmarkStart w:id="55" w:name="_Toc83907105"/>
      <w:bookmarkStart w:id="56" w:name="_Toc84258315"/>
      <w:bookmarkStart w:id="57" w:name="_Toc84258469"/>
      <w:bookmarkStart w:id="58" w:name="_Toc84270222"/>
      <w:bookmarkStart w:id="59" w:name="_Toc85462130"/>
      <w:bookmarkStart w:id="60" w:name="_Toc85462422"/>
      <w:r w:rsidRPr="00D2134C">
        <w:t>Where we are today</w:t>
      </w:r>
      <w:bookmarkEnd w:id="50"/>
      <w:bookmarkEnd w:id="51"/>
      <w:bookmarkEnd w:id="52"/>
      <w:bookmarkEnd w:id="53"/>
      <w:r w:rsidRPr="00D2134C">
        <w:t xml:space="preserve"> </w:t>
      </w:r>
    </w:p>
    <w:p w14:paraId="3375751D" w14:textId="77777777" w:rsidR="00506243" w:rsidRPr="00D2134C" w:rsidRDefault="00506243" w:rsidP="00506243">
      <w:pPr>
        <w:pStyle w:val="FGCNORMAL"/>
      </w:pPr>
      <w:r w:rsidRPr="00D2134C">
        <w:t xml:space="preserve">Our continued focus is on delivering the Scheme of today while preparing for, and improving, the Scheme of the future. </w:t>
      </w:r>
    </w:p>
    <w:p w14:paraId="3C1AACC8" w14:textId="146BE271" w:rsidR="00506243" w:rsidRPr="00D2134C" w:rsidRDefault="00506243" w:rsidP="00506243">
      <w:pPr>
        <w:pStyle w:val="FGCNORMAL"/>
      </w:pPr>
      <w:r w:rsidRPr="00D2134C">
        <w:t xml:space="preserve">The </w:t>
      </w:r>
      <w:r w:rsidR="00F1768B" w:rsidRPr="00D2134C">
        <w:t>NDIA</w:t>
      </w:r>
      <w:r w:rsidRPr="00D2134C">
        <w:t xml:space="preserve"> has continued to respond to the ongoing impact of the COVID-19 global pandemic. </w:t>
      </w:r>
      <w:r w:rsidR="00F1768B" w:rsidRPr="00D2134C">
        <w:t>Initially our</w:t>
      </w:r>
      <w:r w:rsidRPr="00D2134C">
        <w:t xml:space="preserve"> attention was on ensuring continuity of support in the early stages of the pandemic</w:t>
      </w:r>
      <w:r w:rsidR="00F1768B" w:rsidRPr="00D2134C">
        <w:t>. However</w:t>
      </w:r>
      <w:r w:rsidRPr="00D2134C">
        <w:t xml:space="preserve">, our focus has shifted over the past year to supporting vaccination efforts and reinforcing the disability workforce to address staff shortages with ongoing attention on participant, </w:t>
      </w:r>
      <w:proofErr w:type="gramStart"/>
      <w:r w:rsidRPr="00D2134C">
        <w:t>staff</w:t>
      </w:r>
      <w:proofErr w:type="gramEnd"/>
      <w:r w:rsidRPr="00D2134C">
        <w:t xml:space="preserve"> and provider safety. The pandemic challenged us to be innovative and has resulted in some adjusted processes being adopted </w:t>
      </w:r>
      <w:r w:rsidR="00133D93">
        <w:t xml:space="preserve">on an </w:t>
      </w:r>
      <w:r w:rsidRPr="00D2134C">
        <w:t xml:space="preserve">ongoing </w:t>
      </w:r>
      <w:r w:rsidR="00133D93">
        <w:t xml:space="preserve">basis. </w:t>
      </w:r>
      <w:r w:rsidR="0050171D">
        <w:t>T</w:t>
      </w:r>
      <w:r w:rsidRPr="00D2134C">
        <w:t xml:space="preserve">he </w:t>
      </w:r>
      <w:r w:rsidR="00F1768B" w:rsidRPr="00D2134C">
        <w:t>NDIA</w:t>
      </w:r>
      <w:r w:rsidRPr="00D2134C">
        <w:t xml:space="preserve"> and Scheme</w:t>
      </w:r>
      <w:r w:rsidR="00F1768B" w:rsidRPr="00D2134C">
        <w:t xml:space="preserve"> are</w:t>
      </w:r>
      <w:r w:rsidRPr="00D2134C">
        <w:t xml:space="preserve"> better for it. </w:t>
      </w:r>
    </w:p>
    <w:p w14:paraId="666346ED" w14:textId="09DAD1A9" w:rsidR="00506243" w:rsidRPr="00D2134C" w:rsidRDefault="00506243" w:rsidP="00506243">
      <w:pPr>
        <w:pStyle w:val="FGCNORMAL"/>
      </w:pPr>
      <w:r w:rsidRPr="00D2134C">
        <w:t>The Scheme continues to grow rapidly, with 19,</w:t>
      </w:r>
      <w:r w:rsidR="00345F51" w:rsidRPr="00D2134C">
        <w:t>291</w:t>
      </w:r>
      <w:r w:rsidRPr="00D2134C">
        <w:t xml:space="preserve"> participants gaining access in the</w:t>
      </w:r>
      <w:r w:rsidR="00351F5A">
        <w:t xml:space="preserve"> last</w:t>
      </w:r>
      <w:r w:rsidRPr="00D2134C">
        <w:t xml:space="preserve"> quarter. However, in recent years, our attention has shifted from bringing </w:t>
      </w:r>
      <w:proofErr w:type="gramStart"/>
      <w:r w:rsidRPr="00D2134C">
        <w:t>a large number of</w:t>
      </w:r>
      <w:proofErr w:type="gramEnd"/>
      <w:r w:rsidRPr="00D2134C">
        <w:t xml:space="preserve"> participants into the Scheme to improving the experience and outcomes a participant </w:t>
      </w:r>
      <w:r w:rsidR="005F0F41">
        <w:t>has</w:t>
      </w:r>
      <w:r w:rsidR="005F0F41" w:rsidRPr="00D2134C">
        <w:t xml:space="preserve"> </w:t>
      </w:r>
      <w:r w:rsidRPr="00D2134C">
        <w:t xml:space="preserve">with the Scheme. </w:t>
      </w:r>
    </w:p>
    <w:p w14:paraId="09A4DCE0" w14:textId="70323ACD" w:rsidR="00506243" w:rsidRPr="00D2134C" w:rsidRDefault="00506243" w:rsidP="00506243">
      <w:pPr>
        <w:pStyle w:val="FGCNORMAL"/>
      </w:pPr>
      <w:r w:rsidRPr="00D2134C">
        <w:t xml:space="preserve">The </w:t>
      </w:r>
      <w:r w:rsidR="00624EAD" w:rsidRPr="00D2134C">
        <w:t>NDIA</w:t>
      </w:r>
      <w:r w:rsidRPr="00D2134C">
        <w:t xml:space="preserve"> has a strong emphasis on solutions-focused continuous improvement. We have delivered 24 of the 51 commitments in the </w:t>
      </w:r>
      <w:r w:rsidR="00624EAD" w:rsidRPr="00D2134C">
        <w:t>SIP</w:t>
      </w:r>
      <w:r w:rsidRPr="00D2134C">
        <w:t xml:space="preserve"> and continue to make progress on the remaining commitments.  </w:t>
      </w:r>
    </w:p>
    <w:p w14:paraId="14BA2AA2" w14:textId="610A897F" w:rsidR="00506243" w:rsidRPr="00D2134C" w:rsidRDefault="00506243" w:rsidP="00506243">
      <w:pPr>
        <w:pStyle w:val="FGCNORMAL"/>
      </w:pPr>
      <w:r w:rsidRPr="00D2134C">
        <w:t xml:space="preserve">The NDIA is committed to putting people with disability into the centre of the NDIS by co-designing changes to the Scheme </w:t>
      </w:r>
      <w:r w:rsidR="00624EAD" w:rsidRPr="00D2134C">
        <w:t xml:space="preserve">with </w:t>
      </w:r>
      <w:r w:rsidR="00805993" w:rsidRPr="00D2134C">
        <w:t xml:space="preserve">input from </w:t>
      </w:r>
      <w:r w:rsidRPr="00D2134C">
        <w:t xml:space="preserve">people with disability and the broader disability community. </w:t>
      </w:r>
    </w:p>
    <w:p w14:paraId="4502579A" w14:textId="2AA9F43F" w:rsidR="00506243" w:rsidRPr="00D2134C" w:rsidRDefault="00506243" w:rsidP="00506243">
      <w:pPr>
        <w:pStyle w:val="FGCNORMAL"/>
      </w:pPr>
      <w:r w:rsidRPr="00D2134C">
        <w:t xml:space="preserve">This year we launched a new Engagement Strategy that, at its heart, commits to rebuilding trust between the NDIA and the disability community. We are focusing on a transparent engagement process that gives people the opportunity to participate in co-designing improvements to the Scheme. The NDIA Engagement Framework has been developed with disability sector representatives to guide, </w:t>
      </w:r>
      <w:proofErr w:type="gramStart"/>
      <w:r w:rsidRPr="00D2134C">
        <w:t>support</w:t>
      </w:r>
      <w:proofErr w:type="gramEnd"/>
      <w:r w:rsidRPr="00D2134C">
        <w:t xml:space="preserve"> and strengthen NDIA engagement with the disability community now and into the future.</w:t>
      </w:r>
      <w:r w:rsidR="00417517" w:rsidRPr="00D2134C">
        <w:t xml:space="preserve"> More detail on the </w:t>
      </w:r>
      <w:r w:rsidR="00776F61" w:rsidRPr="00D2134C">
        <w:t xml:space="preserve">NDIA </w:t>
      </w:r>
      <w:r w:rsidR="00624EAD" w:rsidRPr="00D2134C">
        <w:t>Engagement F</w:t>
      </w:r>
      <w:r w:rsidR="00776F61" w:rsidRPr="00D2134C">
        <w:t xml:space="preserve">ramework is provided </w:t>
      </w:r>
      <w:r w:rsidR="00DC4391">
        <w:t>under</w:t>
      </w:r>
      <w:r w:rsidR="00085343" w:rsidRPr="00D2134C">
        <w:t xml:space="preserve"> </w:t>
      </w:r>
      <w:r w:rsidR="00933F6B" w:rsidRPr="00D2134C">
        <w:t>‘</w:t>
      </w:r>
      <w:r w:rsidR="003B2CDE">
        <w:t>A connected and engaged stakeholder sector</w:t>
      </w:r>
      <w:r w:rsidR="009553D8">
        <w:t xml:space="preserve">’ </w:t>
      </w:r>
      <w:r w:rsidR="00FF4FC0" w:rsidRPr="00D2134C">
        <w:t>in</w:t>
      </w:r>
      <w:r w:rsidR="001D0C2D" w:rsidRPr="00D2134C">
        <w:t xml:space="preserve"> </w:t>
      </w:r>
      <w:r w:rsidR="00462E07" w:rsidRPr="00D2134C">
        <w:t>sect</w:t>
      </w:r>
      <w:r w:rsidR="004951A9" w:rsidRPr="00D2134C">
        <w:t>ion</w:t>
      </w:r>
      <w:r w:rsidR="001D0C2D" w:rsidRPr="00D2134C">
        <w:t xml:space="preserve"> </w:t>
      </w:r>
      <w:r w:rsidR="003B2CDE">
        <w:fldChar w:fldCharType="begin"/>
      </w:r>
      <w:r w:rsidR="003B2CDE">
        <w:instrText xml:space="preserve"> REF _Ref113353786 \r \h </w:instrText>
      </w:r>
      <w:r w:rsidR="003B2CDE">
        <w:fldChar w:fldCharType="separate"/>
      </w:r>
      <w:r w:rsidR="003B2CDE">
        <w:t>2.2.3</w:t>
      </w:r>
      <w:r w:rsidR="003B2CDE">
        <w:fldChar w:fldCharType="end"/>
      </w:r>
      <w:r w:rsidR="00462E07" w:rsidRPr="00D2134C">
        <w:t>.</w:t>
      </w:r>
    </w:p>
    <w:p w14:paraId="05E7851E" w14:textId="77777777" w:rsidR="00506243" w:rsidRPr="00D2134C" w:rsidRDefault="00506243" w:rsidP="00506243">
      <w:pPr>
        <w:pStyle w:val="FGCNORMAL"/>
      </w:pPr>
      <w:r w:rsidRPr="00D2134C">
        <w:t xml:space="preserve">We are working with providers to address issues such as thin markets, particularly in rural and remote settings, and pricing. </w:t>
      </w:r>
    </w:p>
    <w:p w14:paraId="1DEA7F08" w14:textId="4411BB6B" w:rsidR="00506243" w:rsidRPr="00D2134C" w:rsidRDefault="00506243" w:rsidP="00506243">
      <w:pPr>
        <w:pStyle w:val="FGCNORMAL"/>
      </w:pPr>
      <w:r w:rsidRPr="00D2134C">
        <w:t xml:space="preserve">We have an increased focus on the role of digital platforms in improving the participant experience, launching </w:t>
      </w:r>
      <w:proofErr w:type="gramStart"/>
      <w:r w:rsidRPr="00D2134C">
        <w:t xml:space="preserve">the </w:t>
      </w:r>
      <w:r w:rsidR="00272B74" w:rsidRPr="00D2134C">
        <w:t>my</w:t>
      </w:r>
      <w:proofErr w:type="gramEnd"/>
      <w:r w:rsidR="00272B74" w:rsidRPr="00D2134C">
        <w:t> NDIS</w:t>
      </w:r>
      <w:r w:rsidRPr="00D2134C">
        <w:t xml:space="preserve"> app to make plan self-management easier. </w:t>
      </w:r>
    </w:p>
    <w:p w14:paraId="69B8B82D" w14:textId="36642BC1" w:rsidR="00970846" w:rsidRPr="00D2134C" w:rsidRDefault="00970846" w:rsidP="00873C47">
      <w:pPr>
        <w:pStyle w:val="FGCHEADING3"/>
        <w:numPr>
          <w:ilvl w:val="2"/>
          <w:numId w:val="14"/>
        </w:numPr>
      </w:pPr>
      <w:bookmarkStart w:id="61" w:name="_Toc51067965"/>
      <w:bookmarkStart w:id="62" w:name="_Toc110532519"/>
      <w:bookmarkStart w:id="63" w:name="_Toc114477495"/>
      <w:bookmarkStart w:id="64" w:name="_Toc116473860"/>
      <w:r w:rsidRPr="00D2134C">
        <w:t xml:space="preserve">NDIA </w:t>
      </w:r>
      <w:r w:rsidR="008231A8" w:rsidRPr="00D2134C">
        <w:t>a</w:t>
      </w:r>
      <w:r w:rsidRPr="00D2134C">
        <w:t>spirations</w:t>
      </w:r>
      <w:bookmarkEnd w:id="61"/>
      <w:bookmarkEnd w:id="62"/>
      <w:bookmarkEnd w:id="63"/>
      <w:bookmarkEnd w:id="64"/>
    </w:p>
    <w:p w14:paraId="6E7E85FD" w14:textId="77777777" w:rsidR="00970846" w:rsidRPr="00D2134C" w:rsidRDefault="00970846" w:rsidP="00EF450D">
      <w:pPr>
        <w:pStyle w:val="FGCNORMAL"/>
      </w:pPr>
      <w:r w:rsidRPr="00D2134C">
        <w:t>The purpose of the NDIA is to support individuals with a significant and permanent disability (participants) to be more independent and engage more socially and economically, while delivering a financially sustainable NDIS that builds genuinely connected and engaged communities and stakeholders.</w:t>
      </w:r>
    </w:p>
    <w:p w14:paraId="522604DF" w14:textId="774FC7F7" w:rsidR="00970846" w:rsidRPr="00D2134C" w:rsidRDefault="00970846" w:rsidP="00DE0563">
      <w:pPr>
        <w:pStyle w:val="FGCNORMAL"/>
      </w:pPr>
      <w:r w:rsidRPr="00D2134C">
        <w:rPr>
          <w:rFonts w:eastAsia="DengXian"/>
          <w:szCs w:val="24"/>
        </w:rPr>
        <w:t>This purpose is supported by 5 aspirations, as outlined in the NDIA Corporate Plan</w:t>
      </w:r>
      <w:r w:rsidRPr="00D2134C">
        <w:rPr>
          <w:rFonts w:eastAsia="Calibri"/>
          <w:szCs w:val="24"/>
        </w:rPr>
        <w:t xml:space="preserve"> 2021–25 and illustrated in Figure 2.2.1A. </w:t>
      </w:r>
      <w:r w:rsidRPr="00D2134C">
        <w:rPr>
          <w:rFonts w:eastAsia="DengXian" w:cs="Calibri"/>
          <w:szCs w:val="24"/>
        </w:rPr>
        <w:t xml:space="preserve">To view the current NDIA Corporate Plan, go to </w:t>
      </w:r>
      <w:hyperlink r:id="rId32" w:history="1">
        <w:r w:rsidRPr="00D2134C">
          <w:rPr>
            <w:rFonts w:eastAsia="DengXian" w:cs="Calibri"/>
            <w:color w:val="0000FF"/>
            <w:szCs w:val="24"/>
            <w:u w:val="single"/>
          </w:rPr>
          <w:t>ndis.gov.au</w:t>
        </w:r>
      </w:hyperlink>
      <w:r w:rsidRPr="00D2134C">
        <w:rPr>
          <w:rFonts w:eastAsia="DengXian" w:cs="Calibri"/>
          <w:szCs w:val="24"/>
        </w:rPr>
        <w:t xml:space="preserve">. </w:t>
      </w:r>
    </w:p>
    <w:p w14:paraId="1795C9F0" w14:textId="3230427C" w:rsidR="00970846" w:rsidRDefault="00970846" w:rsidP="000F1CE4">
      <w:pPr>
        <w:pStyle w:val="ImageStyle"/>
        <w:ind w:left="425"/>
      </w:pPr>
      <w:r w:rsidRPr="00D2134C">
        <w:rPr>
          <w:b/>
        </w:rPr>
        <w:lastRenderedPageBreak/>
        <w:t>Figure 2.2.1A:</w:t>
      </w:r>
      <w:r w:rsidRPr="00D2134C">
        <w:t xml:space="preserve"> National Disability Insurance Agency Purpose and Aspirations (2021–2025) </w:t>
      </w:r>
    </w:p>
    <w:p w14:paraId="00735CC0" w14:textId="3871C2EC" w:rsidR="00E25E80" w:rsidRPr="00D2134C" w:rsidRDefault="00E25E80" w:rsidP="00E25E80">
      <w:pPr>
        <w:pStyle w:val="ImageStyle"/>
        <w:ind w:left="-227"/>
        <w:rPr>
          <w:b/>
        </w:rPr>
      </w:pPr>
      <w:r w:rsidRPr="00D01CC1">
        <w:rPr>
          <w:lang w:eastAsia="en-US"/>
        </w:rPr>
        <w:drawing>
          <wp:inline distT="0" distB="0" distL="0" distR="0" wp14:anchorId="7F4F98D8" wp14:editId="5B0D2607">
            <wp:extent cx="6372225" cy="6912681"/>
            <wp:effectExtent l="0" t="0" r="0" b="2540"/>
            <wp:docPr id="487" name="Picture 487" descr="Our purpose is to ‘support individuals with a significant and permanent disability (participants) to be more independent and engage more socially and economically, while delivering a financially sustainable NDIS that builds genuinely connected and engaged communities and stakeholders.’&#10;1. A quality experience and improved outcomes for participants&#10;1.1 Improve participant economic and social outcomes &#10;1.2 Improve plan quality through equitable and more flexible budgets and streamlined decision making&#10;1.3 Deliver a quality experience in line with the Participant Service Charter and Guarantee&#10;1.4 Provide ongoing participant care, safety and support for decision making&#10;2. A competitive market with innovative supports&#10;2.1 Develop a market with high quality, competitive and innovative supports and services&#10;2.2 Improve the NDIS provider experience&#10;&#10;3. A genuinely connected and engaged stakeholder sector&#10;3.1 Enhance stakeholder sentiment and confidence through &#10;co-design, transparency and better communication &#10;3.2 Strengthen meaningful partnerships and consultation with governments and the community&#10;4. A high-performing NDIA&#10;4.1 Maintain strong staff engagement and wellbeing through a time of transformation&#10;4.2 Enhance efficiency and effectiveness of processes and systems&#10;5. A financially sustainable NDIS&#10;5.1 Ensure the NDIS is financially sustainable and achieves value for money&#10;5.2 Improve the control environment to maintain Scheme integr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Picture 487" descr="Our purpose is to ‘support individuals with a significant and permanent disability (participants) to be more independent and engage more socially and economically, while delivering a financially sustainable NDIS that builds genuinely connected and engaged communities and stakeholders.’&#10;1. A quality experience and improved outcomes for participants&#10;1.1 Improve participant economic and social outcomes &#10;1.2 Improve plan quality through equitable and more flexible budgets and streamlined decision making&#10;1.3 Deliver a quality experience in line with the Participant Service Charter and Guarantee&#10;1.4 Provide ongoing participant care, safety and support for decision making&#10;2. A competitive market with innovative supports&#10;2.1 Develop a market with high quality, competitive and innovative supports and services&#10;2.2 Improve the NDIS provider experience&#10;&#10;3. A genuinely connected and engaged stakeholder sector&#10;3.1 Enhance stakeholder sentiment and confidence through &#10;co-design, transparency and better communication &#10;3.2 Strengthen meaningful partnerships and consultation with governments and the community&#10;4. A high-performing NDIA&#10;4.1 Maintain strong staff engagement and wellbeing through a time of transformation&#10;4.2 Enhance efficiency and effectiveness of processes and systems&#10;5. A financially sustainable NDIS&#10;5.1 Ensure the NDIS is financially sustainable and achieves value for money&#10;5.2 Improve the control environment to maintain Scheme integrity&#10;"/>
                    <pic:cNvPicPr/>
                  </pic:nvPicPr>
                  <pic:blipFill>
                    <a:blip r:embed="rId33">
                      <a:extLst>
                        <a:ext uri="{28A0092B-C50C-407E-A947-70E740481C1C}">
                          <a14:useLocalDpi xmlns:a14="http://schemas.microsoft.com/office/drawing/2010/main" val="0"/>
                        </a:ext>
                      </a:extLst>
                    </a:blip>
                    <a:stretch>
                      <a:fillRect/>
                    </a:stretch>
                  </pic:blipFill>
                  <pic:spPr>
                    <a:xfrm>
                      <a:off x="0" y="0"/>
                      <a:ext cx="6372225" cy="6912681"/>
                    </a:xfrm>
                    <a:prstGeom prst="rect">
                      <a:avLst/>
                    </a:prstGeom>
                  </pic:spPr>
                </pic:pic>
              </a:graphicData>
            </a:graphic>
          </wp:inline>
        </w:drawing>
      </w:r>
    </w:p>
    <w:p w14:paraId="01CA8CC2" w14:textId="4AB7559A" w:rsidR="00675885" w:rsidRPr="00D2134C" w:rsidRDefault="00675885" w:rsidP="00871568">
      <w:pPr>
        <w:ind w:left="425"/>
        <w:rPr>
          <w:lang w:eastAsia="en-US"/>
        </w:rPr>
      </w:pPr>
    </w:p>
    <w:p w14:paraId="1FFC0DA8" w14:textId="77777777" w:rsidR="002453C1" w:rsidRDefault="002453C1" w:rsidP="00970846">
      <w:pPr>
        <w:pStyle w:val="FGCHEADING3"/>
        <w:sectPr w:rsidR="002453C1" w:rsidSect="00677C63">
          <w:pgSz w:w="11906" w:h="16838"/>
          <w:pgMar w:top="1021" w:right="907" w:bottom="1440" w:left="964" w:header="708" w:footer="708" w:gutter="0"/>
          <w:cols w:space="708"/>
          <w:titlePg/>
          <w:docGrid w:linePitch="360"/>
        </w:sectPr>
      </w:pPr>
      <w:bookmarkStart w:id="65" w:name="_Toc51067966"/>
      <w:bookmarkStart w:id="66" w:name="_Toc110532520"/>
      <w:bookmarkStart w:id="67" w:name="_Toc114477496"/>
    </w:p>
    <w:p w14:paraId="4737F11C" w14:textId="77777777" w:rsidR="00970846" w:rsidRPr="00D2134C" w:rsidRDefault="00970846" w:rsidP="00970846">
      <w:pPr>
        <w:pStyle w:val="FGCHEADING3"/>
      </w:pPr>
      <w:bookmarkStart w:id="68" w:name="_Toc116473861"/>
      <w:r w:rsidRPr="00D2134C">
        <w:lastRenderedPageBreak/>
        <w:t>NDIA Values</w:t>
      </w:r>
      <w:bookmarkEnd w:id="65"/>
      <w:bookmarkEnd w:id="66"/>
      <w:bookmarkEnd w:id="67"/>
      <w:bookmarkEnd w:id="68"/>
    </w:p>
    <w:p w14:paraId="48299617" w14:textId="765BCCFC" w:rsidR="00970846" w:rsidRPr="00D2134C" w:rsidRDefault="00970846" w:rsidP="00FF0970">
      <w:pPr>
        <w:pStyle w:val="FGCNORMAL"/>
      </w:pPr>
      <w:r w:rsidRPr="00D2134C">
        <w:t xml:space="preserve">The </w:t>
      </w:r>
      <w:r w:rsidR="008231A8" w:rsidRPr="00D2134C">
        <w:t>NDIA</w:t>
      </w:r>
      <w:r w:rsidRPr="00D2134C" w:rsidDel="0058614A">
        <w:t xml:space="preserve"> </w:t>
      </w:r>
      <w:r w:rsidRPr="00D2134C">
        <w:t xml:space="preserve">operates according to a set of 4 key values, illustrated in </w:t>
      </w:r>
      <w:r w:rsidR="00A642B4">
        <w:t>F</w:t>
      </w:r>
      <w:r w:rsidRPr="00D2134C">
        <w:t xml:space="preserve">igure 2.2.2A. These values, which were developed in consultation with staff and partners, reflect our passion for and commitment to an empowered, </w:t>
      </w:r>
      <w:proofErr w:type="gramStart"/>
      <w:r w:rsidRPr="00D2134C">
        <w:t>inclusive</w:t>
      </w:r>
      <w:proofErr w:type="gramEnd"/>
      <w:r w:rsidRPr="00D2134C">
        <w:t xml:space="preserve"> and participant-centred culture.</w:t>
      </w:r>
    </w:p>
    <w:p w14:paraId="7E6FBECD" w14:textId="77777777" w:rsidR="00970846" w:rsidRPr="00D2134C" w:rsidRDefault="00970846" w:rsidP="00FF0970">
      <w:pPr>
        <w:pStyle w:val="FGCNORMAL"/>
        <w:keepNext/>
      </w:pPr>
      <w:r w:rsidRPr="00D2134C">
        <w:rPr>
          <w:b/>
        </w:rPr>
        <w:t xml:space="preserve">Figure 2.2.2A: </w:t>
      </w:r>
      <w:r w:rsidRPr="00D2134C">
        <w:t>National Disability Insurance Agency Values</w:t>
      </w:r>
    </w:p>
    <w:p w14:paraId="176184A5" w14:textId="0493A2BA" w:rsidR="008B484D" w:rsidRPr="00D2134C" w:rsidRDefault="006C55BB" w:rsidP="00A30354">
      <w:pPr>
        <w:ind w:left="426"/>
        <w:rPr>
          <w:rFonts w:eastAsia="Calibri"/>
          <w:szCs w:val="24"/>
        </w:rPr>
      </w:pPr>
      <w:r w:rsidRPr="006C55BB">
        <w:rPr>
          <w:rFonts w:eastAsia="Calibri"/>
          <w:noProof/>
          <w:szCs w:val="24"/>
        </w:rPr>
        <w:drawing>
          <wp:inline distT="0" distB="0" distL="0" distR="0" wp14:anchorId="3A4AA9D5" wp14:editId="2915B62A">
            <wp:extent cx="6224958" cy="3946358"/>
            <wp:effectExtent l="0" t="0" r="4445" b="0"/>
            <wp:docPr id="488" name="Picture 488" descr="We value people&#10;We put participants at the heart of everything we do.&#10;&#10;We grow together&#10;We work together to deliver quality outcomes.&#10;&#10;We aim higher&#10;We are resilient and always have the courage to do better.&#10;&#10;We take care&#10;We own what we do and we do the right th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We value people&#10;We put participants at the heart of everything we do.&#10;&#10;We grow together&#10;We work together to deliver quality outcomes.&#10;&#10;We aim higher&#10;We are resilient and always have the courage to do better.&#10;&#10;We take care&#10;We own what we do and we do the right thing.&#10;"/>
                    <pic:cNvPicPr/>
                  </pic:nvPicPr>
                  <pic:blipFill rotWithShape="1">
                    <a:blip r:embed="rId34"/>
                    <a:srcRect t="984" b="2246"/>
                    <a:stretch/>
                  </pic:blipFill>
                  <pic:spPr bwMode="auto">
                    <a:xfrm>
                      <a:off x="0" y="0"/>
                      <a:ext cx="6234462" cy="3952383"/>
                    </a:xfrm>
                    <a:prstGeom prst="rect">
                      <a:avLst/>
                    </a:prstGeom>
                    <a:ln>
                      <a:noFill/>
                    </a:ln>
                    <a:extLst>
                      <a:ext uri="{53640926-AAD7-44D8-BBD7-CCE9431645EC}">
                        <a14:shadowObscured xmlns:a14="http://schemas.microsoft.com/office/drawing/2010/main"/>
                      </a:ext>
                    </a:extLst>
                  </pic:spPr>
                </pic:pic>
              </a:graphicData>
            </a:graphic>
          </wp:inline>
        </w:drawing>
      </w:r>
    </w:p>
    <w:p w14:paraId="7F6058E6" w14:textId="7D52CA8E" w:rsidR="00970846" w:rsidRPr="00D2134C" w:rsidRDefault="00970846" w:rsidP="00EE2D88">
      <w:pPr>
        <w:ind w:left="720"/>
        <w:rPr>
          <w:rFonts w:eastAsia="Calibri"/>
          <w:szCs w:val="24"/>
        </w:rPr>
      </w:pPr>
      <w:r w:rsidRPr="00D2134C">
        <w:rPr>
          <w:rFonts w:eastAsia="Calibri"/>
          <w:szCs w:val="24"/>
        </w:rPr>
        <w:t xml:space="preserve">Additionally, all </w:t>
      </w:r>
      <w:r w:rsidR="008231A8" w:rsidRPr="00D2134C">
        <w:rPr>
          <w:rFonts w:eastAsia="Calibri"/>
          <w:szCs w:val="24"/>
        </w:rPr>
        <w:t>NDIA</w:t>
      </w:r>
      <w:r w:rsidRPr="00D2134C">
        <w:rPr>
          <w:rFonts w:eastAsia="Calibri"/>
          <w:szCs w:val="24"/>
        </w:rPr>
        <w:t xml:space="preserve"> staff follow the APS Values and Code of Conduct, which require all staff to be impartial, committed to service, accountable, </w:t>
      </w:r>
      <w:proofErr w:type="gramStart"/>
      <w:r w:rsidRPr="00D2134C">
        <w:rPr>
          <w:rFonts w:eastAsia="Calibri"/>
          <w:szCs w:val="24"/>
        </w:rPr>
        <w:t>respectful</w:t>
      </w:r>
      <w:proofErr w:type="gramEnd"/>
      <w:r w:rsidRPr="00D2134C">
        <w:rPr>
          <w:rFonts w:eastAsia="Calibri"/>
          <w:szCs w:val="24"/>
        </w:rPr>
        <w:t xml:space="preserve"> and ethical.</w:t>
      </w:r>
    </w:p>
    <w:p w14:paraId="2E3F5F80" w14:textId="31D34BB6" w:rsidR="00970846" w:rsidRPr="00D2134C" w:rsidRDefault="00970846" w:rsidP="00F72A1F">
      <w:pPr>
        <w:pStyle w:val="FGCHEADING3"/>
      </w:pPr>
      <w:bookmarkStart w:id="69" w:name="_Toc110532521"/>
      <w:bookmarkStart w:id="70" w:name="_Ref113353786"/>
      <w:bookmarkStart w:id="71" w:name="_Ref113354940"/>
      <w:bookmarkStart w:id="72" w:name="_Toc114477497"/>
      <w:bookmarkStart w:id="73" w:name="_Toc116473862"/>
      <w:r w:rsidRPr="00D2134C">
        <w:t>Key achievements in 2021–22</w:t>
      </w:r>
      <w:bookmarkEnd w:id="54"/>
      <w:bookmarkEnd w:id="55"/>
      <w:bookmarkEnd w:id="56"/>
      <w:bookmarkEnd w:id="57"/>
      <w:bookmarkEnd w:id="58"/>
      <w:bookmarkEnd w:id="59"/>
      <w:bookmarkEnd w:id="60"/>
      <w:bookmarkEnd w:id="69"/>
      <w:bookmarkEnd w:id="70"/>
      <w:bookmarkEnd w:id="71"/>
      <w:bookmarkEnd w:id="72"/>
      <w:bookmarkEnd w:id="73"/>
    </w:p>
    <w:p w14:paraId="3DD66B17" w14:textId="3E84E665" w:rsidR="00792BEE" w:rsidRPr="00D2134C" w:rsidRDefault="00792BEE" w:rsidP="008520A6">
      <w:pPr>
        <w:pStyle w:val="FGCNORMAL"/>
      </w:pPr>
      <w:bookmarkStart w:id="74" w:name="_Toc85462131"/>
      <w:r w:rsidRPr="00D2134C">
        <w:t>While the challenges of the COVID-19 pandemic continued throughout 2021–22, the NDIA</w:t>
      </w:r>
      <w:r w:rsidRPr="00D2134C" w:rsidDel="003F2265">
        <w:t xml:space="preserve"> </w:t>
      </w:r>
      <w:r w:rsidRPr="00D2134C">
        <w:t xml:space="preserve">delivered positive outcomes for participants, providers, </w:t>
      </w:r>
      <w:proofErr w:type="gramStart"/>
      <w:r w:rsidRPr="00D2134C">
        <w:t>staff</w:t>
      </w:r>
      <w:proofErr w:type="gramEnd"/>
      <w:r w:rsidRPr="00D2134C">
        <w:t xml:space="preserve"> and partners. </w:t>
      </w:r>
      <w:r w:rsidR="00361A62">
        <w:t>K</w:t>
      </w:r>
      <w:r w:rsidR="00E35F96" w:rsidRPr="00D2134C">
        <w:t xml:space="preserve">ey achievements </w:t>
      </w:r>
      <w:r w:rsidRPr="00D2134C">
        <w:t xml:space="preserve">in 2021–22 </w:t>
      </w:r>
      <w:proofErr w:type="gramStart"/>
      <w:r w:rsidRPr="00D2134C">
        <w:t>are</w:t>
      </w:r>
      <w:proofErr w:type="gramEnd"/>
      <w:r w:rsidRPr="00D2134C">
        <w:t xml:space="preserve"> outlined </w:t>
      </w:r>
      <w:r w:rsidR="00D67CB3">
        <w:t xml:space="preserve">on this page </w:t>
      </w:r>
      <w:r w:rsidR="00E064EE">
        <w:t xml:space="preserve">and the next and are discussed </w:t>
      </w:r>
      <w:r w:rsidRPr="00D2134C">
        <w:t xml:space="preserve">in </w:t>
      </w:r>
      <w:r w:rsidR="00361A62">
        <w:t>greater</w:t>
      </w:r>
      <w:r w:rsidRPr="00D2134C">
        <w:t xml:space="preserve"> detail throughout the remainder of this </w:t>
      </w:r>
      <w:r w:rsidR="00E064EE">
        <w:t>s</w:t>
      </w:r>
      <w:r w:rsidRPr="00D2134C">
        <w:t>ection.</w:t>
      </w:r>
    </w:p>
    <w:p w14:paraId="65D72799" w14:textId="12504A3E" w:rsidR="00792BEE" w:rsidRPr="00D2134C" w:rsidRDefault="00792BEE" w:rsidP="008520A6">
      <w:pPr>
        <w:pStyle w:val="FGCNORMAL"/>
      </w:pPr>
      <w:r w:rsidRPr="00D2134C">
        <w:t xml:space="preserve">Our most important achievement is that we are making a difference </w:t>
      </w:r>
      <w:r w:rsidR="00301CA2" w:rsidRPr="00D2134C">
        <w:t>in</w:t>
      </w:r>
      <w:r w:rsidRPr="00D2134C">
        <w:t xml:space="preserve"> the lives of people with disability. Reported participant outcomes show the positive impacts the Scheme continues to have </w:t>
      </w:r>
      <w:r w:rsidR="0088155A" w:rsidRPr="00D2134C">
        <w:t>i</w:t>
      </w:r>
      <w:r w:rsidRPr="00D2134C">
        <w:t xml:space="preserve">n the lives of participants. </w:t>
      </w:r>
    </w:p>
    <w:p w14:paraId="0A16F50C" w14:textId="2F9A1936" w:rsidR="00792BEE" w:rsidRPr="00D2134C" w:rsidRDefault="00792BEE" w:rsidP="008520A6">
      <w:pPr>
        <w:pStyle w:val="FGCBULLET1"/>
      </w:pPr>
      <w:r w:rsidRPr="00D2134C">
        <w:t xml:space="preserve">We have </w:t>
      </w:r>
      <w:r w:rsidR="00400EDD" w:rsidRPr="00D2134C">
        <w:t>seen</w:t>
      </w:r>
      <w:r w:rsidRPr="00D2134C">
        <w:t xml:space="preserve"> improvements in employment supports and clearer pathways to employment for participants. The Scheme is positively influencing employment outcomes for families and carers of participants as well.</w:t>
      </w:r>
    </w:p>
    <w:p w14:paraId="2DC38662" w14:textId="65DB7D6A" w:rsidR="00792BEE" w:rsidRPr="00D2134C" w:rsidRDefault="00792BEE" w:rsidP="008520A6">
      <w:pPr>
        <w:pStyle w:val="FGCBULLET1"/>
      </w:pPr>
      <w:r w:rsidRPr="00D2134C">
        <w:t xml:space="preserve">There were notable improvements in the service standards </w:t>
      </w:r>
      <w:r w:rsidR="00275DBC" w:rsidRPr="00D2134C">
        <w:t>measured</w:t>
      </w:r>
      <w:r w:rsidRPr="00D2134C">
        <w:t xml:space="preserve"> in the PSG this year. The NDIA also delivered on 24 out of the 51 commitments in the SIP and </w:t>
      </w:r>
      <w:r w:rsidR="00525F58" w:rsidRPr="00D2134C">
        <w:t>began</w:t>
      </w:r>
      <w:r w:rsidRPr="00D2134C">
        <w:t xml:space="preserve"> implementing a further 21 commitments.</w:t>
      </w:r>
    </w:p>
    <w:p w14:paraId="410719D8" w14:textId="7430F186" w:rsidR="00792BEE" w:rsidRPr="00D2134C" w:rsidRDefault="00792BEE" w:rsidP="008520A6">
      <w:pPr>
        <w:pStyle w:val="FGCBULLET1"/>
      </w:pPr>
      <w:r w:rsidRPr="00D2134C">
        <w:t>There was a continued focus on participants entering the NDIS who are Aboriginal and Torres Strait Islander, culturally and linguistically diverse (CALD), or living in remote and very remote areas. This include</w:t>
      </w:r>
      <w:r w:rsidR="00525F58" w:rsidRPr="00D2134C">
        <w:t>d</w:t>
      </w:r>
      <w:r w:rsidRPr="00D2134C">
        <w:t xml:space="preserve"> co-designing strategies to support measurable outcomes </w:t>
      </w:r>
      <w:r w:rsidRPr="00D2134C">
        <w:lastRenderedPageBreak/>
        <w:t xml:space="preserve">for CALD and First Nations participants, and a </w:t>
      </w:r>
      <w:r w:rsidR="00F96BEC">
        <w:t>b</w:t>
      </w:r>
      <w:r w:rsidRPr="00D2134C">
        <w:t>ranch within the NDIA dedicated to supporting the delivery of the NDIS in remote communities across Australia.</w:t>
      </w:r>
    </w:p>
    <w:p w14:paraId="48774ECE" w14:textId="2C0C5D90" w:rsidR="00792BEE" w:rsidRPr="00D2134C" w:rsidRDefault="00792BEE" w:rsidP="008520A6">
      <w:pPr>
        <w:pStyle w:val="FGCBULLET1"/>
      </w:pPr>
      <w:r w:rsidRPr="00D2134C">
        <w:t>Participants continued to be supported to pursue their home and living goals to have more choice and control over where they live, who they live with, and how they are supported. This included</w:t>
      </w:r>
      <w:r w:rsidRPr="00D2134C" w:rsidDel="00E32A95">
        <w:t xml:space="preserve"> helping</w:t>
      </w:r>
      <w:r w:rsidRPr="00D2134C">
        <w:t xml:space="preserve"> younger participants currently living in residential aged care to explore alternative home and living options. </w:t>
      </w:r>
    </w:p>
    <w:p w14:paraId="24171EC9" w14:textId="3EADFC0C" w:rsidR="00792BEE" w:rsidRPr="00D2134C" w:rsidRDefault="00792BEE" w:rsidP="008520A6">
      <w:pPr>
        <w:pStyle w:val="FGCBULLET1"/>
      </w:pPr>
      <w:r w:rsidRPr="00D2134C">
        <w:t>There was extensive consultation with people with disability, their families and carers and other stakeholders to guide our approach to empowering participants to make decisions and remain in control of their lives. This included the development of a partnership with Inclusion Australia to</w:t>
      </w:r>
      <w:r w:rsidR="005706EA">
        <w:t xml:space="preserve"> engage participants and</w:t>
      </w:r>
      <w:r w:rsidRPr="00D2134C">
        <w:t xml:space="preserve"> people with disability to co-design a</w:t>
      </w:r>
      <w:r w:rsidR="006F7084" w:rsidRPr="00D2134C">
        <w:t xml:space="preserve"> proposed</w:t>
      </w:r>
      <w:r w:rsidR="00444B28" w:rsidRPr="00D2134C">
        <w:t xml:space="preserve"> policy on</w:t>
      </w:r>
      <w:r w:rsidR="00552078" w:rsidRPr="00D2134C">
        <w:t xml:space="preserve"> Support for Decision Making.</w:t>
      </w:r>
    </w:p>
    <w:p w14:paraId="2604D8B7" w14:textId="77777777" w:rsidR="00792BEE" w:rsidRPr="00D2134C" w:rsidRDefault="00792BEE" w:rsidP="008520A6">
      <w:pPr>
        <w:pStyle w:val="FGCBULLET1"/>
      </w:pPr>
      <w:r w:rsidRPr="00D2134C">
        <w:t xml:space="preserve">The NDIA continued to work with stakeholders to build an informed and sustainable provider marketplace that responds to the needs of all participants. Work to identify thin markets continued, including prioritising market intervention projects based on highest participant need. </w:t>
      </w:r>
    </w:p>
    <w:p w14:paraId="22FABA33" w14:textId="674043A5" w:rsidR="00792BEE" w:rsidRPr="00D2134C" w:rsidRDefault="00792BEE" w:rsidP="008520A6">
      <w:pPr>
        <w:pStyle w:val="FGCBULLET1"/>
      </w:pPr>
      <w:r w:rsidRPr="00D2134C">
        <w:t xml:space="preserve">There were notable improvements in </w:t>
      </w:r>
      <w:r w:rsidR="002E69B8">
        <w:t>s</w:t>
      </w:r>
      <w:r w:rsidRPr="00D2134C">
        <w:t xml:space="preserve">pecialist </w:t>
      </w:r>
      <w:r w:rsidR="002E69B8">
        <w:t>d</w:t>
      </w:r>
      <w:r w:rsidRPr="00D2134C">
        <w:t xml:space="preserve">isability </w:t>
      </w:r>
      <w:r w:rsidR="002E69B8">
        <w:t>a</w:t>
      </w:r>
      <w:r w:rsidRPr="00D2134C">
        <w:t xml:space="preserve">ccommodation (SDA), and the total number of enrolled SDA dwellings continued to increase this year. The NDIA launched an online interactive platform (the SDA Finder) to help participants to find suitable SDA homes, and use of this tool has been strong. </w:t>
      </w:r>
    </w:p>
    <w:p w14:paraId="07C60894" w14:textId="50CEE1A1" w:rsidR="00792BEE" w:rsidRPr="00D2134C" w:rsidRDefault="00792BEE" w:rsidP="008520A6">
      <w:pPr>
        <w:pStyle w:val="FGCBULLET1"/>
      </w:pPr>
      <w:r w:rsidRPr="00D2134C">
        <w:t>Work</w:t>
      </w:r>
      <w:r w:rsidR="00A50795" w:rsidRPr="00D2134C">
        <w:t xml:space="preserve"> began</w:t>
      </w:r>
      <w:r w:rsidRPr="00D2134C">
        <w:t xml:space="preserve"> on a co-design project to deliver the large-scale reform required to improve home and living</w:t>
      </w:r>
      <w:r w:rsidR="00C51621" w:rsidRPr="00D2134C">
        <w:t xml:space="preserve"> arrangements</w:t>
      </w:r>
      <w:r w:rsidRPr="00D2134C">
        <w:t xml:space="preserve"> for NDIS participants. The NDIA also established the Home and Living Demonstration Projects to bring participants and providers together to design and deliver better home and living supports. </w:t>
      </w:r>
    </w:p>
    <w:p w14:paraId="5343C545" w14:textId="27700468" w:rsidR="00792BEE" w:rsidRPr="00D2134C" w:rsidRDefault="00792BEE" w:rsidP="008520A6">
      <w:pPr>
        <w:pStyle w:val="FGCBULLET1"/>
      </w:pPr>
      <w:r w:rsidRPr="00D2134C">
        <w:t>There were significant improvements in our approach to engaging with stakeholders including through the establishment of a Participant Advocate</w:t>
      </w:r>
      <w:r w:rsidR="001D1E97" w:rsidRPr="00D2134C">
        <w:t xml:space="preserve"> to ensure participants are involved in decision</w:t>
      </w:r>
      <w:r w:rsidR="00D355D0">
        <w:t>-</w:t>
      </w:r>
      <w:r w:rsidR="001D1E97" w:rsidRPr="00D2134C">
        <w:t>making,</w:t>
      </w:r>
      <w:r w:rsidRPr="00D2134C">
        <w:t xml:space="preserve"> and the launch of the Participant First engagement initiative. We continued to build on our strong relationships with the disability sector and extended our engagements with rural and remote communities. </w:t>
      </w:r>
    </w:p>
    <w:p w14:paraId="69F3C80C" w14:textId="309B6E0E" w:rsidR="00792BEE" w:rsidRPr="00D2134C" w:rsidRDefault="00792BEE" w:rsidP="008520A6">
      <w:pPr>
        <w:pStyle w:val="FGCBULLET1"/>
      </w:pPr>
      <w:r w:rsidRPr="00D2134C">
        <w:t>The NDIA continued to invest in the development and use of research</w:t>
      </w:r>
      <w:r w:rsidR="009B3565" w:rsidRPr="00D2134C">
        <w:t xml:space="preserve"> and</w:t>
      </w:r>
      <w:r w:rsidRPr="00D2134C">
        <w:t xml:space="preserve"> evidence to inform decisions made by the </w:t>
      </w:r>
      <w:r w:rsidR="007E020C">
        <w:t>NDIA</w:t>
      </w:r>
      <w:r w:rsidRPr="00D2134C">
        <w:t>. The insights we generate continue to support positive participant outcomes and inform best practice policy and program activities.</w:t>
      </w:r>
      <w:r w:rsidRPr="00D2134C">
        <w:rPr>
          <w:shd w:val="clear" w:color="auto" w:fill="FFFFFF"/>
        </w:rPr>
        <w:t> </w:t>
      </w:r>
      <w:r w:rsidRPr="00D2134C">
        <w:t xml:space="preserve">We also continued our commitment to the public sharing </w:t>
      </w:r>
      <w:r w:rsidRPr="00D2134C">
        <w:rPr>
          <w:lang w:eastAsia="en-AU"/>
        </w:rPr>
        <w:t>of de-identified data.</w:t>
      </w:r>
    </w:p>
    <w:p w14:paraId="484E6859" w14:textId="6AD562BE" w:rsidR="00792BEE" w:rsidRPr="00D2134C" w:rsidRDefault="00792BEE" w:rsidP="008520A6">
      <w:pPr>
        <w:pStyle w:val="FGCBULLET1"/>
      </w:pPr>
      <w:r w:rsidRPr="00D2134C">
        <w:t xml:space="preserve">The NDIA National Contact Centre answered 1.085 million calls this year and customer satisfaction with the telephony service remained high. The use of webchat has grown since the release of the NDIA smartphone application. In 2021–22 the NCC answered 985,000 webchats, 80.8% of which were answered within 20 seconds. </w:t>
      </w:r>
    </w:p>
    <w:p w14:paraId="173A079D" w14:textId="0F65E01A" w:rsidR="005206D8" w:rsidRPr="00D2134C" w:rsidRDefault="005206D8" w:rsidP="008520A6">
      <w:pPr>
        <w:pStyle w:val="FGCBULLET1"/>
      </w:pPr>
      <w:r w:rsidRPr="00D2134C">
        <w:rPr>
          <w:bCs/>
        </w:rPr>
        <w:t xml:space="preserve">The </w:t>
      </w:r>
      <w:r w:rsidR="00A74DE4">
        <w:rPr>
          <w:bCs/>
        </w:rPr>
        <w:t xml:space="preserve">NDIA’s </w:t>
      </w:r>
      <w:r w:rsidRPr="00D2134C">
        <w:rPr>
          <w:bCs/>
        </w:rPr>
        <w:t xml:space="preserve">2022 </w:t>
      </w:r>
      <w:r w:rsidR="00A74DE4">
        <w:rPr>
          <w:bCs/>
        </w:rPr>
        <w:t xml:space="preserve">Australian Public Service </w:t>
      </w:r>
      <w:r w:rsidRPr="00D2134C">
        <w:rPr>
          <w:bCs/>
        </w:rPr>
        <w:t>Census results demonstrate an increase in the</w:t>
      </w:r>
      <w:r w:rsidRPr="00D2134C">
        <w:t xml:space="preserve"> Wellbeing Index from 66</w:t>
      </w:r>
      <w:r w:rsidR="003B0127">
        <w:t>%</w:t>
      </w:r>
      <w:r w:rsidRPr="00D2134C">
        <w:t xml:space="preserve"> from the 2021 </w:t>
      </w:r>
      <w:r w:rsidR="008304E0">
        <w:t>c</w:t>
      </w:r>
      <w:r w:rsidRPr="00D2134C">
        <w:t>ensus to 71</w:t>
      </w:r>
      <w:r w:rsidR="003B0127">
        <w:t>%</w:t>
      </w:r>
      <w:r w:rsidRPr="00D2134C">
        <w:t>. This is 5</w:t>
      </w:r>
      <w:r w:rsidR="003B0127">
        <w:t xml:space="preserve">% </w:t>
      </w:r>
      <w:r w:rsidRPr="00D2134C">
        <w:t xml:space="preserve">higher than the APS </w:t>
      </w:r>
      <w:r w:rsidR="00A74DE4">
        <w:t>o</w:t>
      </w:r>
      <w:r w:rsidRPr="00D2134C">
        <w:t>verall. It places the NDIA 44 of 98 agencies overall and is 29 places higher than 2021.</w:t>
      </w:r>
    </w:p>
    <w:p w14:paraId="546982DE" w14:textId="77777777" w:rsidR="003A2966" w:rsidRPr="00D2134C" w:rsidRDefault="00970846" w:rsidP="00EE2D88">
      <w:pPr>
        <w:pStyle w:val="FGCHEADING4"/>
      </w:pPr>
      <w:r w:rsidRPr="00D2134C">
        <w:t>Support for participants and disability workers through the COVID-19 pandemic</w:t>
      </w:r>
      <w:r w:rsidR="003A2966" w:rsidRPr="00D2134C">
        <w:t xml:space="preserve"> </w:t>
      </w:r>
    </w:p>
    <w:p w14:paraId="2D3983AA" w14:textId="494E3905" w:rsidR="00970846" w:rsidRPr="00D2134C" w:rsidRDefault="00970846" w:rsidP="00970846">
      <w:pPr>
        <w:pStyle w:val="FGCNORMAL"/>
      </w:pPr>
      <w:r w:rsidRPr="00D2134C">
        <w:t>Throughout 2021–22, the NDIA continued to support participants and disability workers during the COVID-19 pandemic. We coordinated our efforts across government, including with the Department of Social Services (DSS), the NDIS Quality and Safeguards Commission (NDIS Commission), Services Australia, the Department of Health</w:t>
      </w:r>
      <w:r w:rsidR="008231A8" w:rsidRPr="00D2134C">
        <w:t xml:space="preserve"> (DOH)</w:t>
      </w:r>
      <w:r w:rsidRPr="00D2134C">
        <w:t>, and state and territory governments. We engaged extensively with participant groups and advocates, peak provider bodies and the broader disability sector to inform our various measures and support arrangements. We also prioritised COVID-19 related calls to the NDIA through a dedicated phone line.</w:t>
      </w:r>
    </w:p>
    <w:p w14:paraId="127CD22C" w14:textId="3709B2FA" w:rsidR="00970846" w:rsidRPr="00D2134C" w:rsidRDefault="00970846" w:rsidP="00970846">
      <w:pPr>
        <w:pStyle w:val="FGCNORMAL"/>
      </w:pPr>
      <w:r w:rsidRPr="00D2134C">
        <w:lastRenderedPageBreak/>
        <w:t xml:space="preserve">As Australia responded to the </w:t>
      </w:r>
      <w:r w:rsidR="008231A8" w:rsidRPr="00D2134C">
        <w:t xml:space="preserve">COVID-19 </w:t>
      </w:r>
      <w:r w:rsidR="00246B9C">
        <w:t>O</w:t>
      </w:r>
      <w:r w:rsidRPr="00D2134C">
        <w:t xml:space="preserve">micron variant outbreak, the NDIA continuously refined its services to keep participants safe through a range of measures, including the following. </w:t>
      </w:r>
    </w:p>
    <w:p w14:paraId="5997AB6A" w14:textId="77777777" w:rsidR="00970846" w:rsidRPr="00D2134C" w:rsidRDefault="00970846" w:rsidP="00970846">
      <w:pPr>
        <w:pStyle w:val="FGCNORMAL"/>
      </w:pPr>
      <w:r w:rsidRPr="00D2134C">
        <w:t xml:space="preserve">To increase access to vaccinations and testing, we: </w:t>
      </w:r>
    </w:p>
    <w:p w14:paraId="2A97DBA6" w14:textId="22F1A1CA" w:rsidR="00970846" w:rsidRPr="00D2134C" w:rsidRDefault="00970846" w:rsidP="004E6736">
      <w:pPr>
        <w:pStyle w:val="FGCBULLET1"/>
      </w:pPr>
      <w:r w:rsidRPr="00D2134C">
        <w:t xml:space="preserve">expanded the availability of financial payments for providers supporting NDIS participants </w:t>
      </w:r>
      <w:r w:rsidR="009A1924" w:rsidRPr="00D2134C">
        <w:t xml:space="preserve">and workers </w:t>
      </w:r>
      <w:r w:rsidRPr="00D2134C">
        <w:t>to attend COVID-19 vaccination appointments</w:t>
      </w:r>
    </w:p>
    <w:p w14:paraId="1ED2367D" w14:textId="5B8C17B7" w:rsidR="00970846" w:rsidRPr="00D2134C" w:rsidRDefault="00970846" w:rsidP="004E6736">
      <w:pPr>
        <w:pStyle w:val="FGCBULLET1"/>
      </w:pPr>
      <w:r w:rsidRPr="00D2134C">
        <w:t>joined forces with the Pharmacy Guild of Australia to make it easier for participants to book and receive COVID-19 vaccinations through their local pharmacies</w:t>
      </w:r>
    </w:p>
    <w:p w14:paraId="01812252" w14:textId="000645D1" w:rsidR="00970846" w:rsidRPr="00D2134C" w:rsidRDefault="00970846" w:rsidP="004E6736">
      <w:pPr>
        <w:pStyle w:val="FGCBULLET1"/>
      </w:pPr>
      <w:r w:rsidRPr="00D2134C">
        <w:t xml:space="preserve">distributed </w:t>
      </w:r>
      <w:r w:rsidR="009A1924" w:rsidRPr="00D2134C">
        <w:t>6.8</w:t>
      </w:r>
      <w:r w:rsidR="009018BF" w:rsidRPr="00D2134C">
        <w:t xml:space="preserve"> </w:t>
      </w:r>
      <w:r w:rsidR="00794ACE" w:rsidRPr="00D2134C">
        <w:t>million</w:t>
      </w:r>
      <w:r w:rsidR="009A1924" w:rsidRPr="00D2134C">
        <w:t xml:space="preserve"> </w:t>
      </w:r>
      <w:r w:rsidRPr="00D2134C">
        <w:t xml:space="preserve">rapid antigen test (RAT) kits fortnightly to SIL providers and allowed participants and </w:t>
      </w:r>
      <w:r w:rsidR="008B438A" w:rsidRPr="00D2134C">
        <w:t xml:space="preserve">SIL </w:t>
      </w:r>
      <w:r w:rsidRPr="00D2134C">
        <w:t>providers to claim the cost of RATs when required to undergo testing.</w:t>
      </w:r>
    </w:p>
    <w:p w14:paraId="520E4D26" w14:textId="0BB11F2C" w:rsidR="00970846" w:rsidRPr="00D2134C" w:rsidRDefault="00970846" w:rsidP="00970846">
      <w:pPr>
        <w:pStyle w:val="FGCNORMAL"/>
      </w:pPr>
      <w:r w:rsidRPr="00D2134C">
        <w:t xml:space="preserve">To help with additional </w:t>
      </w:r>
      <w:r w:rsidR="005706EA">
        <w:t>expenditure</w:t>
      </w:r>
      <w:r w:rsidRPr="00D2134C">
        <w:t xml:space="preserve"> incurred </w:t>
      </w:r>
      <w:proofErr w:type="gramStart"/>
      <w:r w:rsidRPr="00D2134C">
        <w:t>as a result of</w:t>
      </w:r>
      <w:proofErr w:type="gramEnd"/>
      <w:r w:rsidRPr="00D2134C">
        <w:t xml:space="preserve"> COVID-19, we:</w:t>
      </w:r>
    </w:p>
    <w:p w14:paraId="09B28ED7" w14:textId="7AFE9011" w:rsidR="00970846" w:rsidRPr="00D2134C" w:rsidRDefault="00970846" w:rsidP="00970846">
      <w:pPr>
        <w:pStyle w:val="FGCBULLET1"/>
      </w:pPr>
      <w:r w:rsidRPr="00D2134C">
        <w:t xml:space="preserve">prioritised participant requests for additional or ‘top-up’ funding for their plans </w:t>
      </w:r>
      <w:proofErr w:type="gramStart"/>
      <w:r w:rsidRPr="00D2134C">
        <w:t>as a result of</w:t>
      </w:r>
      <w:proofErr w:type="gramEnd"/>
      <w:r w:rsidRPr="00D2134C">
        <w:t xml:space="preserve"> the impacts of COVID-19</w:t>
      </w:r>
    </w:p>
    <w:p w14:paraId="221E797E" w14:textId="25058FF6" w:rsidR="00970846" w:rsidRPr="00D2134C" w:rsidRDefault="00970846" w:rsidP="00970846">
      <w:pPr>
        <w:pStyle w:val="FGCBULLET1"/>
      </w:pPr>
      <w:r w:rsidRPr="00D2134C">
        <w:t xml:space="preserve">increased price limits for a range of supports in recognition of increased </w:t>
      </w:r>
      <w:r w:rsidR="005706EA">
        <w:t>expenditure</w:t>
      </w:r>
      <w:r w:rsidRPr="00D2134C">
        <w:t xml:space="preserve"> due to COVID-19</w:t>
      </w:r>
      <w:r w:rsidRPr="00D2134C" w:rsidDel="00F56C96">
        <w:t xml:space="preserve"> </w:t>
      </w:r>
    </w:p>
    <w:p w14:paraId="062790C6" w14:textId="24F0922A" w:rsidR="00970846" w:rsidRPr="00D2134C" w:rsidRDefault="00970846" w:rsidP="00970846">
      <w:pPr>
        <w:pStyle w:val="FGCBULLET1"/>
      </w:pPr>
      <w:r w:rsidRPr="00D2134C">
        <w:t xml:space="preserve">allowed participants to access core support funding to pay </w:t>
      </w:r>
      <w:r w:rsidR="00A47DA2" w:rsidRPr="00D2134C">
        <w:t>for low</w:t>
      </w:r>
      <w:r w:rsidR="006126D9">
        <w:t>-</w:t>
      </w:r>
      <w:r w:rsidR="00A47DA2" w:rsidRPr="00D2134C">
        <w:t xml:space="preserve">cost </w:t>
      </w:r>
      <w:r w:rsidR="006126D9">
        <w:t>a</w:t>
      </w:r>
      <w:r w:rsidR="00345C6B">
        <w:t>ssi</w:t>
      </w:r>
      <w:r w:rsidR="0051356C">
        <w:t>s</w:t>
      </w:r>
      <w:r w:rsidR="00345C6B">
        <w:t>tive</w:t>
      </w:r>
      <w:r w:rsidR="005E0382">
        <w:t xml:space="preserve"> </w:t>
      </w:r>
      <w:r w:rsidR="006126D9">
        <w:t>t</w:t>
      </w:r>
      <w:r w:rsidR="005E0382">
        <w:t>echnology (</w:t>
      </w:r>
      <w:r w:rsidR="00A47DA2" w:rsidRPr="00D2134C">
        <w:t>AT</w:t>
      </w:r>
      <w:r w:rsidR="005E0382">
        <w:t>)</w:t>
      </w:r>
      <w:r w:rsidR="00A47DA2" w:rsidRPr="00D2134C">
        <w:t xml:space="preserve"> items necessary to ensuring continuity of supports, and for </w:t>
      </w:r>
      <w:r w:rsidRPr="00D2134C">
        <w:t>someone to cook and shop for them.</w:t>
      </w:r>
    </w:p>
    <w:p w14:paraId="36E99FAC" w14:textId="77777777" w:rsidR="00970846" w:rsidRPr="00D2134C" w:rsidRDefault="00970846" w:rsidP="00970846">
      <w:pPr>
        <w:pStyle w:val="FGCNORMAL"/>
      </w:pPr>
      <w:r w:rsidRPr="00D2134C">
        <w:t>To better coordinate and support workforce responses to COVID-19, we:</w:t>
      </w:r>
    </w:p>
    <w:p w14:paraId="3B9F559D" w14:textId="00FC71DF" w:rsidR="00970846" w:rsidRPr="00D2134C" w:rsidRDefault="00970846" w:rsidP="00970846">
      <w:pPr>
        <w:pStyle w:val="FGCBULLET1"/>
      </w:pPr>
      <w:r w:rsidRPr="00D2134C">
        <w:t>worked with providers and sector representatives to develop the COVID-19 Workforce Response Framework</w:t>
      </w:r>
    </w:p>
    <w:p w14:paraId="6AA4307D" w14:textId="5E2B144F" w:rsidR="00970846" w:rsidRPr="00D2134C" w:rsidRDefault="00970846" w:rsidP="00970846">
      <w:pPr>
        <w:pStyle w:val="FGCBULLET1"/>
      </w:pPr>
      <w:r w:rsidRPr="00D2134C">
        <w:t xml:space="preserve">replaced the NDIA’s support for participant contingent care panels in Victoria, New South </w:t>
      </w:r>
      <w:proofErr w:type="gramStart"/>
      <w:r w:rsidRPr="00D2134C">
        <w:t>Wales</w:t>
      </w:r>
      <w:proofErr w:type="gramEnd"/>
      <w:r w:rsidRPr="00D2134C">
        <w:t xml:space="preserve"> and the Australian Capital Territory with a single national response to help providers in all jurisdictions manage COVID-19 workforce challenges </w:t>
      </w:r>
    </w:p>
    <w:p w14:paraId="37E51E0D" w14:textId="5D324855" w:rsidR="00970846" w:rsidRPr="00D2134C" w:rsidRDefault="00970846" w:rsidP="00970846">
      <w:pPr>
        <w:pStyle w:val="FGCBULLET1"/>
      </w:pPr>
      <w:r w:rsidRPr="00D2134C">
        <w:t xml:space="preserve">provided a national clinical first response support to SIL providers struggling to manage COVID-19 outbreaks </w:t>
      </w:r>
    </w:p>
    <w:p w14:paraId="6BBEAF1D" w14:textId="38F4ABBF" w:rsidR="00970846" w:rsidRPr="00D2134C" w:rsidRDefault="00970846" w:rsidP="00970846">
      <w:pPr>
        <w:pStyle w:val="FGCBULLET1"/>
      </w:pPr>
      <w:r w:rsidRPr="00D2134C">
        <w:t xml:space="preserve">provided online information sessions </w:t>
      </w:r>
      <w:r w:rsidR="009655AC" w:rsidRPr="00D2134C">
        <w:t xml:space="preserve">and webinars </w:t>
      </w:r>
      <w:r w:rsidRPr="00D2134C">
        <w:t xml:space="preserve">on COVID-19 preparedness, </w:t>
      </w:r>
      <w:r w:rsidR="009655AC" w:rsidRPr="00D2134C">
        <w:t xml:space="preserve">infection control and outbreak management practices, </w:t>
      </w:r>
      <w:r w:rsidRPr="00D2134C">
        <w:t xml:space="preserve">workforce supports, </w:t>
      </w:r>
      <w:r w:rsidR="009655AC" w:rsidRPr="00D2134C">
        <w:t xml:space="preserve">and support </w:t>
      </w:r>
      <w:r w:rsidRPr="00D2134C">
        <w:t>resources available.</w:t>
      </w:r>
    </w:p>
    <w:p w14:paraId="0D50D5F0" w14:textId="10D0CBC1" w:rsidR="00970846" w:rsidRDefault="00970846" w:rsidP="00970846">
      <w:pPr>
        <w:pStyle w:val="FGCNORMAL"/>
      </w:pPr>
      <w:r w:rsidRPr="00D2134C">
        <w:t>These initiatives have helped to lower infection rates for participants compared to the general population and have minimised the impact of COVID-19 outbreaks on the service provider workforce.</w:t>
      </w:r>
    </w:p>
    <w:p w14:paraId="3525639C" w14:textId="0D292B11" w:rsidR="001A31FA" w:rsidRPr="00D2134C" w:rsidRDefault="001A31FA" w:rsidP="00970846">
      <w:pPr>
        <w:pStyle w:val="FGCNORMAL"/>
      </w:pPr>
      <w:r>
        <w:t xml:space="preserve">In recognition of the significant work done </w:t>
      </w:r>
      <w:r w:rsidR="00C46C1E">
        <w:t xml:space="preserve">by providers and the additional costs </w:t>
      </w:r>
      <w:r w:rsidR="009B0937">
        <w:t xml:space="preserve">of </w:t>
      </w:r>
      <w:r w:rsidR="00C46C1E">
        <w:t>keeping participants safe during COVID-19</w:t>
      </w:r>
      <w:r w:rsidR="00385E35">
        <w:t xml:space="preserve"> and improvements to rostering systems to adapt to changes to the SCHADS Award, </w:t>
      </w:r>
      <w:r w:rsidR="00C46C1E">
        <w:t xml:space="preserve">the incoming government </w:t>
      </w:r>
      <w:r w:rsidR="00C46C1E" w:rsidRPr="00F3308A">
        <w:t xml:space="preserve">authorised the NDIA to make </w:t>
      </w:r>
      <w:r w:rsidR="00F3308A" w:rsidRPr="00EE2D88">
        <w:rPr>
          <w:rFonts w:eastAsiaTheme="minorHAnsi"/>
          <w:color w:val="000000"/>
          <w:lang w:eastAsia="en-US" w:bidi="th-TH"/>
        </w:rPr>
        <w:t xml:space="preserve">a </w:t>
      </w:r>
      <w:r w:rsidR="005B32E8" w:rsidRPr="005B32E8">
        <w:rPr>
          <w:rFonts w:eastAsiaTheme="minorHAnsi"/>
          <w:color w:val="000000"/>
          <w:lang w:eastAsia="en-US" w:bidi="th-TH"/>
        </w:rPr>
        <w:t>one-off</w:t>
      </w:r>
      <w:r w:rsidR="00F3308A" w:rsidRPr="00EE2D88">
        <w:rPr>
          <w:rFonts w:eastAsiaTheme="minorHAnsi"/>
          <w:color w:val="000000"/>
          <w:lang w:eastAsia="en-US" w:bidi="th-TH"/>
        </w:rPr>
        <w:t xml:space="preserve"> lump sum payment to eligible registered</w:t>
      </w:r>
      <w:r w:rsidR="00F3308A">
        <w:rPr>
          <w:rFonts w:eastAsiaTheme="minorHAnsi"/>
          <w:color w:val="000000"/>
          <w:lang w:eastAsia="en-US" w:bidi="th-TH"/>
        </w:rPr>
        <w:t xml:space="preserve"> providers</w:t>
      </w:r>
      <w:r w:rsidR="00330504">
        <w:rPr>
          <w:rFonts w:eastAsiaTheme="minorHAnsi"/>
          <w:color w:val="000000"/>
          <w:lang w:eastAsia="en-US" w:bidi="th-TH"/>
        </w:rPr>
        <w:t xml:space="preserve"> announced on 22 June 2022</w:t>
      </w:r>
      <w:r w:rsidR="00F3308A">
        <w:rPr>
          <w:rFonts w:eastAsiaTheme="minorHAnsi"/>
          <w:color w:val="000000"/>
          <w:lang w:eastAsia="en-US" w:bidi="th-TH"/>
        </w:rPr>
        <w:t>.</w:t>
      </w:r>
      <w:r w:rsidR="00F3308A" w:rsidRPr="00EE2D88">
        <w:rPr>
          <w:rFonts w:eastAsiaTheme="minorHAnsi"/>
          <w:color w:val="000000"/>
          <w:lang w:eastAsia="en-US" w:bidi="th-TH"/>
        </w:rPr>
        <w:t xml:space="preserve"> </w:t>
      </w:r>
      <w:r w:rsidR="002E5BDB" w:rsidRPr="00F3308A">
        <w:t>Work</w:t>
      </w:r>
      <w:r w:rsidR="002E5BDB">
        <w:t xml:space="preserve"> will continue next year</w:t>
      </w:r>
      <w:r w:rsidR="00591336">
        <w:t xml:space="preserve"> t</w:t>
      </w:r>
      <w:r w:rsidR="009473D3">
        <w:t>o implement</w:t>
      </w:r>
      <w:r w:rsidR="002E5BDB">
        <w:t xml:space="preserve"> </w:t>
      </w:r>
      <w:r w:rsidR="002B5520">
        <w:t>strengthened</w:t>
      </w:r>
      <w:r w:rsidR="002E5BDB">
        <w:t xml:space="preserve"> </w:t>
      </w:r>
      <w:r w:rsidR="002B5520">
        <w:t>measures to inform</w:t>
      </w:r>
      <w:r w:rsidR="00AB7740">
        <w:t>, support and protect people with disability from COVID-19.</w:t>
      </w:r>
    </w:p>
    <w:p w14:paraId="640082D9" w14:textId="77777777" w:rsidR="008E2211" w:rsidRPr="0056725C" w:rsidRDefault="008E2211" w:rsidP="0056725C">
      <w:pPr>
        <w:pStyle w:val="FGCHEADING4"/>
      </w:pPr>
      <w:r w:rsidRPr="0056725C">
        <w:t>Employment for participants and their families/carers</w:t>
      </w:r>
    </w:p>
    <w:p w14:paraId="02A89A06" w14:textId="7F65E2EB" w:rsidR="008E2211" w:rsidRPr="00D2134C" w:rsidRDefault="008E2211" w:rsidP="008E2211">
      <w:pPr>
        <w:pStyle w:val="FGCNORMAL"/>
      </w:pPr>
      <w:r w:rsidRPr="00D2134C">
        <w:t xml:space="preserve">The NDIA recognises the critical role of employment in boosting the wellbeing, economic </w:t>
      </w:r>
      <w:proofErr w:type="gramStart"/>
      <w:r w:rsidRPr="00D2134C">
        <w:t>security</w:t>
      </w:r>
      <w:proofErr w:type="gramEnd"/>
      <w:r w:rsidRPr="00D2134C">
        <w:t xml:space="preserve"> and social inclusion of people with disability. The COVID-19 pandemic continued to impact the economy and many job markets</w:t>
      </w:r>
      <w:r w:rsidR="009A60AD">
        <w:t>,</w:t>
      </w:r>
      <w:r w:rsidRPr="00D2134C">
        <w:t xml:space="preserve"> and significantly interrupted </w:t>
      </w:r>
      <w:r w:rsidR="00632EA6">
        <w:t>capacity-building</w:t>
      </w:r>
      <w:r w:rsidRPr="00D2134C">
        <w:t xml:space="preserve"> for participants to prepare for employment.</w:t>
      </w:r>
    </w:p>
    <w:p w14:paraId="19298DD5" w14:textId="02BF56F9" w:rsidR="008E2211" w:rsidRPr="00D2134C" w:rsidRDefault="008E2211" w:rsidP="008E2211">
      <w:pPr>
        <w:pStyle w:val="FGCNORMAL"/>
      </w:pPr>
      <w:r w:rsidRPr="00D2134C">
        <w:t>Despite these challenges, the NDIA delivered initiatives to improve employment supports and provide clear pathways to employment. Key achievements in 2021</w:t>
      </w:r>
      <w:r w:rsidR="005E0382">
        <w:t>-</w:t>
      </w:r>
      <w:r w:rsidRPr="00D2134C">
        <w:t>22 include:</w:t>
      </w:r>
    </w:p>
    <w:p w14:paraId="6A32D9F4" w14:textId="37FCE49B" w:rsidR="008E2211" w:rsidRPr="00D2134C" w:rsidRDefault="008E2211" w:rsidP="008E2211">
      <w:pPr>
        <w:pStyle w:val="FGCBULLET1"/>
      </w:pPr>
      <w:r w:rsidRPr="00D2134C">
        <w:lastRenderedPageBreak/>
        <w:t>collaborating with National Disability Services and Australian Disability Enterprises to establish a community of practice</w:t>
      </w:r>
      <w:r w:rsidR="002714D1" w:rsidRPr="00D2134C">
        <w:t xml:space="preserve"> and</w:t>
      </w:r>
      <w:r w:rsidRPr="00D2134C">
        <w:t xml:space="preserve"> facilitate change in the employment market by sharing good practice, research findings and examples of innovative employment models </w:t>
      </w:r>
    </w:p>
    <w:p w14:paraId="3BE0519D" w14:textId="7BDAE06D" w:rsidR="008E2211" w:rsidRPr="00D2134C" w:rsidRDefault="008E2211" w:rsidP="008E2211">
      <w:pPr>
        <w:pStyle w:val="FGCBULLET1"/>
      </w:pPr>
      <w:r w:rsidRPr="00D2134C">
        <w:t>commencing a review of school leaver employment supports to address concerns about the current structure and improve employment outcomes for participants</w:t>
      </w:r>
    </w:p>
    <w:p w14:paraId="27A7C40F" w14:textId="16E0B8CD" w:rsidR="008E2211" w:rsidRPr="00D2134C" w:rsidRDefault="008E2211" w:rsidP="008E2211">
      <w:pPr>
        <w:pStyle w:val="FGCBULLET1"/>
      </w:pPr>
      <w:r w:rsidRPr="00D2134C">
        <w:t xml:space="preserve">commissioning research to determine key factors that help people with disability, particularly those with intellectual disability, </w:t>
      </w:r>
      <w:proofErr w:type="gramStart"/>
      <w:r w:rsidRPr="00D2134C">
        <w:t>autism</w:t>
      </w:r>
      <w:proofErr w:type="gramEnd"/>
      <w:r w:rsidRPr="00D2134C">
        <w:t xml:space="preserve"> and psychosocial disability</w:t>
      </w:r>
      <w:r w:rsidR="00BF3E5F" w:rsidRPr="00D2134C">
        <w:t>, to find and sustain employment</w:t>
      </w:r>
    </w:p>
    <w:p w14:paraId="6A194CFC" w14:textId="77777777" w:rsidR="008E2211" w:rsidRPr="00D2134C" w:rsidRDefault="008E2211" w:rsidP="008E2211">
      <w:pPr>
        <w:pStyle w:val="FGCBULLET1"/>
      </w:pPr>
      <w:r w:rsidRPr="00D2134C">
        <w:t xml:space="preserve">refreshing the NDIA’s ‘Pathways to Post School Life’ presentation for school leavers, </w:t>
      </w:r>
      <w:proofErr w:type="gramStart"/>
      <w:r w:rsidRPr="00D2134C">
        <w:t>families</w:t>
      </w:r>
      <w:proofErr w:type="gramEnd"/>
      <w:r w:rsidRPr="00D2134C">
        <w:t xml:space="preserve"> and teachers</w:t>
      </w:r>
    </w:p>
    <w:p w14:paraId="67AB6212" w14:textId="12720F55" w:rsidR="008E2211" w:rsidRPr="00D2134C" w:rsidRDefault="008E2211" w:rsidP="008E2211">
      <w:pPr>
        <w:pStyle w:val="FGCBULLET1"/>
      </w:pPr>
      <w:r w:rsidRPr="00D2134C">
        <w:t xml:space="preserve">delivering a ‘Planning Essentials for Employment’ training module to more than 500 </w:t>
      </w:r>
      <w:r w:rsidR="009676B3" w:rsidRPr="00D2134C">
        <w:t xml:space="preserve">NDIA </w:t>
      </w:r>
      <w:r w:rsidRPr="00D2134C">
        <w:t>staff</w:t>
      </w:r>
      <w:r w:rsidR="009676B3" w:rsidRPr="00D2134C">
        <w:t xml:space="preserve"> and providers</w:t>
      </w:r>
    </w:p>
    <w:p w14:paraId="34DE366A" w14:textId="578ABAF5" w:rsidR="008E2211" w:rsidRPr="00D2134C" w:rsidRDefault="008E2211" w:rsidP="008E2211">
      <w:pPr>
        <w:pStyle w:val="FGCBULLET1"/>
      </w:pPr>
      <w:r w:rsidRPr="00D2134C">
        <w:t>establishing a National Employment Network</w:t>
      </w:r>
      <w:r w:rsidR="00B75DA7" w:rsidRPr="00D2134C">
        <w:t>,</w:t>
      </w:r>
      <w:r w:rsidRPr="00D2134C">
        <w:t xml:space="preserve"> consisting of planners, </w:t>
      </w:r>
      <w:r w:rsidR="00A346C7">
        <w:t>l</w:t>
      </w:r>
      <w:r w:rsidRPr="00D2134C">
        <w:t xml:space="preserve">ocal </w:t>
      </w:r>
      <w:r w:rsidR="00A346C7">
        <w:t>a</w:t>
      </w:r>
      <w:r w:rsidRPr="00D2134C">
        <w:t xml:space="preserve">rea </w:t>
      </w:r>
      <w:r w:rsidR="00A346C7">
        <w:t>c</w:t>
      </w:r>
      <w:r w:rsidRPr="00D2134C">
        <w:t>oordinators (LACs) and community and provider engagement staff, to increase capability to help participants find employment</w:t>
      </w:r>
    </w:p>
    <w:p w14:paraId="44F817AC" w14:textId="23D7A533" w:rsidR="008E2211" w:rsidRPr="00D2134C" w:rsidRDefault="008E2211" w:rsidP="00E665B7">
      <w:pPr>
        <w:pStyle w:val="FGCBULLET1"/>
      </w:pPr>
      <w:r w:rsidRPr="00D2134C">
        <w:t>raising the targets of LACs and Early Childhood Partners for employment of people with disability from 15% to 20%.</w:t>
      </w:r>
    </w:p>
    <w:p w14:paraId="6E1D2F53" w14:textId="77777777" w:rsidR="009655AC" w:rsidRPr="00D2134C" w:rsidRDefault="009655AC" w:rsidP="00EE2D88">
      <w:pPr>
        <w:pStyle w:val="FGCHEADING4"/>
      </w:pPr>
      <w:r w:rsidRPr="00D2134C">
        <w:t>A quality experience and improved outcomes for participants</w:t>
      </w:r>
    </w:p>
    <w:p w14:paraId="70AD68D4" w14:textId="3CC2E29B" w:rsidR="009655AC" w:rsidRPr="00D2134C" w:rsidRDefault="009655AC" w:rsidP="009655AC">
      <w:pPr>
        <w:pStyle w:val="FGCNORMAL"/>
      </w:pPr>
      <w:r w:rsidRPr="00D2134C">
        <w:t xml:space="preserve">The NDIA continues to focus on ensuring participants realise the full benefits of this social reform. Over the past 12 months, significant improvements have been made, resulting in performance improvements across many of the </w:t>
      </w:r>
      <w:r w:rsidR="00A906DF" w:rsidRPr="00D2134C">
        <w:t>PSG</w:t>
      </w:r>
      <w:r w:rsidRPr="00D2134C">
        <w:t xml:space="preserve"> measures.</w:t>
      </w:r>
    </w:p>
    <w:p w14:paraId="39F55370" w14:textId="77777777" w:rsidR="00970846" w:rsidRPr="00D2134C" w:rsidRDefault="00970846" w:rsidP="00EE2D88">
      <w:pPr>
        <w:pStyle w:val="FGCHEADING5"/>
        <w:numPr>
          <w:ilvl w:val="0"/>
          <w:numId w:val="0"/>
        </w:numPr>
        <w:ind w:left="652"/>
      </w:pPr>
      <w:r w:rsidRPr="00D2134C">
        <w:t xml:space="preserve">Participant Service Guarantee </w:t>
      </w:r>
    </w:p>
    <w:p w14:paraId="138EBE5E" w14:textId="03811F4E" w:rsidR="00970846" w:rsidRPr="00D2134C" w:rsidRDefault="00970846" w:rsidP="009A3C9A">
      <w:pPr>
        <w:pStyle w:val="FGCNORMAL"/>
      </w:pPr>
      <w:r w:rsidRPr="00D2134C">
        <w:t>In July 2020, the NDIA introduced the PSG to explain what participants can expect when they interact with the NDIA. The PSG sets timeframes for key NDIS processes such as access, plan approvals, plan reviews and nominee changes. The timeframes were legislated on 30 March 2022 and received Royal Assent on 1 April 2022. Prior to the legislation passing, we reduced the reported service level agreement (SLA) timeframes for several PSGs to align with the legislative requirements. This included reducing the participant-requested review SLA from 42 to 28 days, and reviewable decisions from 90 to 60 days. Over the last 12 months, targeted operational strategies have been implemented to manage work volumes and timeframes. This has seen an increase in performance across many of the PSGs</w:t>
      </w:r>
      <w:r w:rsidR="004C0782" w:rsidRPr="00D2134C">
        <w:t>. For example</w:t>
      </w:r>
      <w:r w:rsidRPr="00D2134C">
        <w:t xml:space="preserve">: </w:t>
      </w:r>
    </w:p>
    <w:p w14:paraId="6629C4FB" w14:textId="571A7A33" w:rsidR="00970846" w:rsidRPr="00D2134C" w:rsidRDefault="00970846" w:rsidP="00970846">
      <w:pPr>
        <w:pStyle w:val="FGCBULLET1"/>
      </w:pPr>
      <w:r w:rsidRPr="00D2134C">
        <w:t>99</w:t>
      </w:r>
      <w:r w:rsidR="00194D01" w:rsidRPr="00D2134C">
        <w:t>%</w:t>
      </w:r>
      <w:r w:rsidRPr="00D2134C">
        <w:t xml:space="preserve"> of decisions were explained within the 28-day timeframe after the request for explanation was received, compared to 70</w:t>
      </w:r>
      <w:r w:rsidR="00C650EB" w:rsidRPr="00D2134C">
        <w:t>%</w:t>
      </w:r>
      <w:r w:rsidRPr="00D2134C">
        <w:t xml:space="preserve"> a year ago</w:t>
      </w:r>
    </w:p>
    <w:p w14:paraId="6B76D129" w14:textId="6A9AB7B9" w:rsidR="00970846" w:rsidRPr="00D2134C" w:rsidRDefault="00970846" w:rsidP="00970846">
      <w:pPr>
        <w:pStyle w:val="FGCBULLET1"/>
      </w:pPr>
      <w:r w:rsidRPr="00D2134C">
        <w:t>100</w:t>
      </w:r>
      <w:r w:rsidR="00194D01" w:rsidRPr="00D2134C">
        <w:t>%</w:t>
      </w:r>
      <w:r w:rsidRPr="00D2134C">
        <w:t xml:space="preserve"> of access decisions were made within the service guarantee timeframe of 21 days, consistent across the last year</w:t>
      </w:r>
    </w:p>
    <w:p w14:paraId="4842F506" w14:textId="2CD7A20C" w:rsidR="00970846" w:rsidRPr="00D2134C" w:rsidRDefault="00970846" w:rsidP="00970846">
      <w:pPr>
        <w:pStyle w:val="FGCBULLET1"/>
      </w:pPr>
      <w:r w:rsidRPr="00D2134C">
        <w:t>96</w:t>
      </w:r>
      <w:r w:rsidR="00194D01" w:rsidRPr="00D2134C">
        <w:t>%</w:t>
      </w:r>
      <w:r w:rsidRPr="00D2134C">
        <w:t xml:space="preserve"> of plans were in the planning phase within 21 days after an access decision was made, compared to 82</w:t>
      </w:r>
      <w:r w:rsidR="00C650EB" w:rsidRPr="00D2134C">
        <w:t>%</w:t>
      </w:r>
      <w:r w:rsidRPr="00D2134C">
        <w:t xml:space="preserve"> a year ago (note that a new business process was introduced to measure this metric from 1 July 2021)</w:t>
      </w:r>
    </w:p>
    <w:p w14:paraId="4BBECD02" w14:textId="4784F280" w:rsidR="00970846" w:rsidRPr="00D2134C" w:rsidRDefault="00970846" w:rsidP="00970846">
      <w:pPr>
        <w:pStyle w:val="FGCBULLET1"/>
      </w:pPr>
      <w:r w:rsidRPr="00D2134C">
        <w:t>90</w:t>
      </w:r>
      <w:r w:rsidR="00194D01" w:rsidRPr="00D2134C">
        <w:t>%</w:t>
      </w:r>
      <w:r w:rsidRPr="00D2134C">
        <w:t xml:space="preserve"> of first plans for participants aged 7</w:t>
      </w:r>
      <w:r w:rsidR="00933F6B" w:rsidRPr="00D2134C">
        <w:t xml:space="preserve"> years</w:t>
      </w:r>
      <w:r w:rsidRPr="00D2134C">
        <w:t xml:space="preserve"> and above are approved within the 56-day timeframe, compared to 80</w:t>
      </w:r>
      <w:r w:rsidR="00C650EB" w:rsidRPr="00D2134C">
        <w:t>%</w:t>
      </w:r>
      <w:r w:rsidRPr="00D2134C">
        <w:t xml:space="preserve"> a year ago</w:t>
      </w:r>
    </w:p>
    <w:p w14:paraId="71CB99CB" w14:textId="0FABC5FA" w:rsidR="00970846" w:rsidRPr="00D2134C" w:rsidRDefault="00970846" w:rsidP="00970846">
      <w:pPr>
        <w:pStyle w:val="FGCBULLET1"/>
      </w:pPr>
      <w:r w:rsidRPr="00D2134C">
        <w:t>96</w:t>
      </w:r>
      <w:r w:rsidR="00194D01" w:rsidRPr="00D2134C">
        <w:t>%</w:t>
      </w:r>
      <w:r w:rsidRPr="00D2134C">
        <w:t xml:space="preserve"> of first plans for participants aged 0 to 6</w:t>
      </w:r>
      <w:r w:rsidR="00933F6B" w:rsidRPr="00D2134C">
        <w:t xml:space="preserve"> years</w:t>
      </w:r>
      <w:r w:rsidRPr="00D2134C">
        <w:t xml:space="preserve"> are within the 90-day timeframe, compared to 91</w:t>
      </w:r>
      <w:r w:rsidR="00C650EB" w:rsidRPr="00D2134C">
        <w:t>%</w:t>
      </w:r>
      <w:r w:rsidRPr="00D2134C">
        <w:t xml:space="preserve"> a year ago</w:t>
      </w:r>
    </w:p>
    <w:p w14:paraId="2AD7F94F" w14:textId="73F0A168" w:rsidR="00970846" w:rsidRPr="00D2134C" w:rsidRDefault="00970846" w:rsidP="00970846">
      <w:pPr>
        <w:pStyle w:val="FGCBULLET1"/>
      </w:pPr>
      <w:r w:rsidRPr="00D2134C">
        <w:t>100</w:t>
      </w:r>
      <w:r w:rsidR="00194D01" w:rsidRPr="00D2134C">
        <w:t>%</w:t>
      </w:r>
      <w:r w:rsidRPr="00D2134C">
        <w:t xml:space="preserve"> of participant-requested review decisions were completed within the 21-day timeframe, compared to 91</w:t>
      </w:r>
      <w:r w:rsidR="00C650EB" w:rsidRPr="00D2134C">
        <w:t>%</w:t>
      </w:r>
      <w:r w:rsidRPr="00D2134C">
        <w:t xml:space="preserve"> a year ago</w:t>
      </w:r>
    </w:p>
    <w:p w14:paraId="3A840937" w14:textId="42B50CED" w:rsidR="00970846" w:rsidRPr="00D2134C" w:rsidRDefault="00970846" w:rsidP="00970846">
      <w:pPr>
        <w:pStyle w:val="FGCBULLET1"/>
      </w:pPr>
      <w:r w:rsidRPr="00D2134C">
        <w:t>96</w:t>
      </w:r>
      <w:r w:rsidR="00194D01" w:rsidRPr="00D2134C">
        <w:t>%</w:t>
      </w:r>
      <w:r w:rsidRPr="00D2134C">
        <w:t xml:space="preserve"> of reviews of reviewable decisions were completed within the 60-day timeframe, compared </w:t>
      </w:r>
      <w:r w:rsidR="00BD1AFC" w:rsidRPr="00D2134C">
        <w:t>to 89% in the first quarter of the year</w:t>
      </w:r>
    </w:p>
    <w:p w14:paraId="766261B0" w14:textId="2805E43F" w:rsidR="00970846" w:rsidRPr="00D2134C" w:rsidRDefault="00970846" w:rsidP="00970846">
      <w:pPr>
        <w:pStyle w:val="FGCBULLET1"/>
      </w:pPr>
      <w:r w:rsidRPr="00D2134C">
        <w:lastRenderedPageBreak/>
        <w:t>99</w:t>
      </w:r>
      <w:r w:rsidR="00194D01" w:rsidRPr="00D2134C">
        <w:t>%</w:t>
      </w:r>
      <w:r w:rsidRPr="00D2134C">
        <w:t xml:space="preserve"> of participant-requested nominee requests were cancelled within the 14-day timeframe, compared to 86</w:t>
      </w:r>
      <w:r w:rsidR="00C650EB" w:rsidRPr="00D2134C">
        <w:t>%</w:t>
      </w:r>
      <w:r w:rsidRPr="00D2134C">
        <w:t xml:space="preserve"> a year ago. </w:t>
      </w:r>
    </w:p>
    <w:p w14:paraId="374A8D8E" w14:textId="4FDD161A" w:rsidR="00970846" w:rsidRPr="00A30354" w:rsidRDefault="00970846" w:rsidP="00F572E8">
      <w:pPr>
        <w:pStyle w:val="FGCHEADING5"/>
        <w:numPr>
          <w:ilvl w:val="0"/>
          <w:numId w:val="0"/>
        </w:numPr>
        <w:ind w:left="652"/>
      </w:pPr>
      <w:r w:rsidRPr="00A30354">
        <w:t>Participant Service Improvement Plan</w:t>
      </w:r>
    </w:p>
    <w:p w14:paraId="42255ABA" w14:textId="35D8635B" w:rsidR="00970846" w:rsidRPr="00D2134C" w:rsidRDefault="00970846" w:rsidP="00970846">
      <w:pPr>
        <w:pStyle w:val="FGCNORMAL"/>
      </w:pPr>
      <w:r w:rsidRPr="00D2134C">
        <w:t xml:space="preserve">The NDIA </w:t>
      </w:r>
      <w:r w:rsidR="009D475F" w:rsidRPr="00D2134C">
        <w:t xml:space="preserve">SIP </w:t>
      </w:r>
      <w:r w:rsidRPr="00D2134C">
        <w:t xml:space="preserve">sets out the tangible actions we will deliver to build a better NDIS and ensure the Scheme meets participants’ expectations. It makes good on our promises in the Participant Service Charter and PSG and reflects the feedback participants have given us. Over the past year, the NDIA delivered on </w:t>
      </w:r>
      <w:r w:rsidR="00364A13" w:rsidRPr="00D2134C">
        <w:t xml:space="preserve">24 </w:t>
      </w:r>
      <w:r w:rsidRPr="00D2134C">
        <w:t xml:space="preserve">out of the 51 commitments in the </w:t>
      </w:r>
      <w:r w:rsidR="009D475F" w:rsidRPr="00D2134C">
        <w:t>SIP</w:t>
      </w:r>
      <w:r w:rsidRPr="00D2134C">
        <w:t>, including:</w:t>
      </w:r>
    </w:p>
    <w:p w14:paraId="28D6ADF1" w14:textId="2774D189" w:rsidR="00091E9A" w:rsidRPr="00D2134C" w:rsidRDefault="00091E9A" w:rsidP="001471F0">
      <w:pPr>
        <w:pStyle w:val="FGCBULLET1"/>
      </w:pPr>
      <w:r w:rsidRPr="00D2134C">
        <w:t xml:space="preserve">more support </w:t>
      </w:r>
      <w:r w:rsidR="00517B47" w:rsidRPr="00D2134C">
        <w:t>to help</w:t>
      </w:r>
      <w:r w:rsidR="0043117A" w:rsidRPr="00D2134C">
        <w:t xml:space="preserve"> participants</w:t>
      </w:r>
      <w:r w:rsidRPr="00D2134C">
        <w:t xml:space="preserve"> </w:t>
      </w:r>
      <w:r w:rsidR="0043117A" w:rsidRPr="00D2134C">
        <w:t xml:space="preserve">to </w:t>
      </w:r>
      <w:r w:rsidRPr="00D2134C">
        <w:t>us</w:t>
      </w:r>
      <w:r w:rsidR="0043117A" w:rsidRPr="00D2134C">
        <w:t>e</w:t>
      </w:r>
      <w:r w:rsidRPr="00D2134C">
        <w:t xml:space="preserve"> </w:t>
      </w:r>
      <w:r w:rsidR="0043117A" w:rsidRPr="00D2134C">
        <w:t>their</w:t>
      </w:r>
      <w:r w:rsidRPr="00D2134C">
        <w:t xml:space="preserve"> plan, </w:t>
      </w:r>
      <w:r w:rsidR="00517B47" w:rsidRPr="00D2134C">
        <w:t>to</w:t>
      </w:r>
      <w:r w:rsidRPr="00D2134C">
        <w:t xml:space="preserve"> find both disability services and mainstream supports</w:t>
      </w:r>
    </w:p>
    <w:p w14:paraId="61995287" w14:textId="46EE1355" w:rsidR="00517B47" w:rsidRPr="00D2134C" w:rsidRDefault="00091E9A" w:rsidP="001471F0">
      <w:pPr>
        <w:pStyle w:val="FGCBULLET1"/>
      </w:pPr>
      <w:r w:rsidRPr="00D2134C">
        <w:t>proactively checking</w:t>
      </w:r>
      <w:r w:rsidR="005F4493" w:rsidRPr="00D2134C">
        <w:t xml:space="preserve"> </w:t>
      </w:r>
      <w:r w:rsidRPr="00D2134C">
        <w:t xml:space="preserve">in with </w:t>
      </w:r>
      <w:r w:rsidR="0043117A" w:rsidRPr="00D2134C">
        <w:t>participants</w:t>
      </w:r>
      <w:r w:rsidRPr="00D2134C">
        <w:t xml:space="preserve">, especially </w:t>
      </w:r>
      <w:r w:rsidR="00517B47" w:rsidRPr="00D2134C">
        <w:t xml:space="preserve">when they </w:t>
      </w:r>
      <w:r w:rsidRPr="00D2134C">
        <w:t xml:space="preserve">may be in a vulnerable situation </w:t>
      </w:r>
    </w:p>
    <w:p w14:paraId="1CDD99DF" w14:textId="5F2DAA39" w:rsidR="001471F0" w:rsidRPr="00D2134C" w:rsidRDefault="00091E9A" w:rsidP="001471F0">
      <w:pPr>
        <w:pStyle w:val="FGCBULLET1"/>
      </w:pPr>
      <w:r w:rsidRPr="00D2134C">
        <w:t>improved cultural and disability awareness training for ou</w:t>
      </w:r>
      <w:r w:rsidR="008A4ABE" w:rsidRPr="00D2134C">
        <w:t>r</w:t>
      </w:r>
      <w:r w:rsidRPr="00D2134C">
        <w:t xml:space="preserve"> frontline teams</w:t>
      </w:r>
    </w:p>
    <w:p w14:paraId="29057782" w14:textId="14B9D69F" w:rsidR="001471F0" w:rsidRPr="00D2134C" w:rsidRDefault="00091E9A" w:rsidP="001471F0">
      <w:pPr>
        <w:pStyle w:val="FGCBULLET1"/>
      </w:pPr>
      <w:r w:rsidRPr="00D2134C">
        <w:t>meet</w:t>
      </w:r>
      <w:r w:rsidR="001C2980" w:rsidRPr="00D2134C">
        <w:t>ing</w:t>
      </w:r>
      <w:r w:rsidRPr="00D2134C">
        <w:t xml:space="preserve"> and try</w:t>
      </w:r>
      <w:r w:rsidR="0088753D" w:rsidRPr="00D2134C">
        <w:t>ing</w:t>
      </w:r>
      <w:r w:rsidRPr="00D2134C">
        <w:t xml:space="preserve"> to exceed the time standard commitments for service levels </w:t>
      </w:r>
    </w:p>
    <w:p w14:paraId="18620D9F" w14:textId="46873639" w:rsidR="001471F0" w:rsidRPr="00D2134C" w:rsidRDefault="00091E9A" w:rsidP="001471F0">
      <w:pPr>
        <w:pStyle w:val="FGCBULLET1"/>
      </w:pPr>
      <w:r w:rsidRPr="00D2134C">
        <w:t xml:space="preserve">rolling out the new </w:t>
      </w:r>
      <w:r w:rsidR="00272B74" w:rsidRPr="00D2134C">
        <w:t>my NDIS</w:t>
      </w:r>
      <w:r w:rsidRPr="00D2134C">
        <w:t xml:space="preserve"> mobile app to help participants manage their plan more easily</w:t>
      </w:r>
    </w:p>
    <w:p w14:paraId="0095688B" w14:textId="6A1BDD8B" w:rsidR="00970846" w:rsidRPr="00D2134C" w:rsidRDefault="00091E9A" w:rsidP="001471F0">
      <w:pPr>
        <w:pStyle w:val="FGCBULLET1"/>
      </w:pPr>
      <w:r w:rsidRPr="00D2134C">
        <w:t>focus</w:t>
      </w:r>
      <w:r w:rsidR="006B4822" w:rsidRPr="00D2134C">
        <w:t>ing</w:t>
      </w:r>
      <w:r w:rsidRPr="00D2134C">
        <w:t xml:space="preserve"> on goals supporting our participants to gain employment if that is what they want.</w:t>
      </w:r>
    </w:p>
    <w:p w14:paraId="7ED85A29" w14:textId="4A0F0FFC" w:rsidR="00970846" w:rsidRPr="00D2134C" w:rsidRDefault="00970846" w:rsidP="00970846">
      <w:pPr>
        <w:pStyle w:val="FGCNORMAL"/>
      </w:pPr>
      <w:r w:rsidRPr="00D2134C">
        <w:t xml:space="preserve">The NDIA has commenced implementing a further </w:t>
      </w:r>
      <w:r w:rsidR="00364A13" w:rsidRPr="00D2134C">
        <w:t xml:space="preserve">21 </w:t>
      </w:r>
      <w:r w:rsidR="002366DD" w:rsidRPr="00D2134C">
        <w:t>commitments</w:t>
      </w:r>
      <w:r w:rsidRPr="00D2134C">
        <w:t>.</w:t>
      </w:r>
    </w:p>
    <w:p w14:paraId="4D07C38B" w14:textId="1E55F76F" w:rsidR="00970846" w:rsidRPr="00D2134C" w:rsidRDefault="00970846" w:rsidP="00970846">
      <w:pPr>
        <w:pStyle w:val="FGCNORMAL"/>
        <w:rPr>
          <w:b/>
        </w:rPr>
      </w:pPr>
      <w:r w:rsidRPr="00D2134C">
        <w:t xml:space="preserve">To help the community understand how we make decisions, we </w:t>
      </w:r>
      <w:r w:rsidR="0020758E" w:rsidRPr="00D2134C">
        <w:t>continue to improve</w:t>
      </w:r>
      <w:r w:rsidR="00E666D3">
        <w:t xml:space="preserve"> the NDIS</w:t>
      </w:r>
      <w:r w:rsidR="0020758E" w:rsidRPr="00D2134C">
        <w:t xml:space="preserve"> </w:t>
      </w:r>
      <w:r w:rsidR="00EA4E01" w:rsidRPr="00D2134C">
        <w:t>Operational Guidelines</w:t>
      </w:r>
      <w:r w:rsidRPr="00D2134C">
        <w:t xml:space="preserve">. They are being written in plain English and use more consistent language and less jargon. </w:t>
      </w:r>
      <w:r w:rsidR="00841290" w:rsidRPr="00D2134C">
        <w:t xml:space="preserve">We are supporting and promoting </w:t>
      </w:r>
      <w:r w:rsidR="00CD10AA" w:rsidRPr="00D2134C">
        <w:t xml:space="preserve">the voices of </w:t>
      </w:r>
      <w:r w:rsidR="00841290" w:rsidRPr="00D2134C">
        <w:t>children</w:t>
      </w:r>
      <w:r w:rsidR="00CD10AA" w:rsidRPr="00D2134C">
        <w:t>,</w:t>
      </w:r>
      <w:r w:rsidR="00841290" w:rsidRPr="00D2134C">
        <w:t xml:space="preserve"> young </w:t>
      </w:r>
      <w:proofErr w:type="gramStart"/>
      <w:r w:rsidR="00841290" w:rsidRPr="00D2134C">
        <w:t>people</w:t>
      </w:r>
      <w:proofErr w:type="gramEnd"/>
      <w:r w:rsidR="009C758E" w:rsidRPr="00D2134C">
        <w:t xml:space="preserve"> and adults</w:t>
      </w:r>
      <w:r w:rsidR="00841290" w:rsidRPr="00D2134C">
        <w:t xml:space="preserve"> in their own plans</w:t>
      </w:r>
      <w:r w:rsidR="009C758E" w:rsidRPr="00D2134C">
        <w:t>,</w:t>
      </w:r>
      <w:r w:rsidR="00841290" w:rsidRPr="00D2134C">
        <w:t xml:space="preserve"> while also working closely with parents and carers</w:t>
      </w:r>
      <w:r w:rsidRPr="00D2134C">
        <w:t>.</w:t>
      </w:r>
    </w:p>
    <w:bookmarkEnd w:id="74"/>
    <w:p w14:paraId="3DE5790C" w14:textId="77777777" w:rsidR="00970846" w:rsidRPr="00D2134C" w:rsidRDefault="00970846" w:rsidP="00EE2D88">
      <w:pPr>
        <w:pStyle w:val="FGCHEADING5"/>
        <w:numPr>
          <w:ilvl w:val="0"/>
          <w:numId w:val="0"/>
        </w:numPr>
        <w:ind w:left="652"/>
      </w:pPr>
      <w:r w:rsidRPr="00D2134C">
        <w:t>Participant satisfaction</w:t>
      </w:r>
    </w:p>
    <w:p w14:paraId="27619B20" w14:textId="63021F09" w:rsidR="00970846" w:rsidRPr="00D2134C" w:rsidRDefault="00970846" w:rsidP="00970846">
      <w:pPr>
        <w:pStyle w:val="FGCNORMAL"/>
      </w:pPr>
      <w:r w:rsidRPr="00D2134C">
        <w:t xml:space="preserve">The NDIA gathers responses at the 4 primary stages of the participant pathway – access, pre-planning, planning, and plan review – to allow for a comprehensive understanding of the participant experience at each stage of the pathway. The NDIA is focused on making fair, consistent, </w:t>
      </w:r>
      <w:proofErr w:type="gramStart"/>
      <w:r w:rsidRPr="00D2134C">
        <w:t>reasonable</w:t>
      </w:r>
      <w:proofErr w:type="gramEnd"/>
      <w:r w:rsidRPr="00D2134C">
        <w:t xml:space="preserve"> and necessary decisions. </w:t>
      </w:r>
    </w:p>
    <w:p w14:paraId="6688E554" w14:textId="40137DE4" w:rsidR="00970846" w:rsidRPr="00D2134C" w:rsidRDefault="00970846" w:rsidP="00970846">
      <w:pPr>
        <w:keepNext/>
        <w:rPr>
          <w:rFonts w:eastAsia="DengXian"/>
        </w:rPr>
      </w:pPr>
      <w:r w:rsidRPr="00D2134C">
        <w:rPr>
          <w:rFonts w:eastAsia="DengXian"/>
          <w:b/>
          <w:bCs/>
        </w:rPr>
        <w:t>Figure 2.2.3A</w:t>
      </w:r>
      <w:r w:rsidR="00D9620A">
        <w:rPr>
          <w:rFonts w:eastAsia="DengXian"/>
          <w:b/>
          <w:bCs/>
        </w:rPr>
        <w:t>:</w:t>
      </w:r>
      <w:r w:rsidRPr="00D2134C">
        <w:rPr>
          <w:rFonts w:eastAsia="DengXian"/>
          <w:b/>
          <w:bCs/>
        </w:rPr>
        <w:t xml:space="preserve"> </w:t>
      </w:r>
      <w:r w:rsidRPr="00D2134C">
        <w:rPr>
          <w:rFonts w:eastAsia="DengXian"/>
        </w:rPr>
        <w:t xml:space="preserve">Rating of experience with the NDIS as </w:t>
      </w:r>
      <w:proofErr w:type="gramStart"/>
      <w:r w:rsidRPr="00D2134C">
        <w:rPr>
          <w:rFonts w:eastAsia="DengXian"/>
        </w:rPr>
        <w:t>at</w:t>
      </w:r>
      <w:proofErr w:type="gramEnd"/>
      <w:r w:rsidRPr="00D2134C">
        <w:rPr>
          <w:rFonts w:eastAsia="DengXian"/>
        </w:rPr>
        <w:t xml:space="preserve"> 30 June 2022</w:t>
      </w:r>
    </w:p>
    <w:p w14:paraId="2CD2A507" w14:textId="636D8192" w:rsidR="00970846" w:rsidRPr="00D2134C" w:rsidRDefault="00B76B12" w:rsidP="00970846">
      <w:pPr>
        <w:keepNext/>
        <w:rPr>
          <w:rFonts w:eastAsia="DengXian"/>
        </w:rPr>
      </w:pPr>
      <w:r w:rsidRPr="00B76B12">
        <w:rPr>
          <w:rFonts w:eastAsia="DengXian"/>
          <w:noProof/>
        </w:rPr>
        <w:drawing>
          <wp:inline distT="0" distB="0" distL="0" distR="0" wp14:anchorId="6EF03B79" wp14:editId="6739B083">
            <wp:extent cx="6104317" cy="2488759"/>
            <wp:effectExtent l="0" t="0" r="0" b="6985"/>
            <wp:docPr id="489" name="Picture 489" descr="The following images are of 4 pie charts to show the rating of experience with the NDIS as at 30 June 2022. The question asked to participants was, Overall, how was your experience with us?&#10;The 4 pie charts represent the 4 primary stages of the participant pathway, Access. Pre-planning, Planning and Plan review.&#10;Access.&#10;Purple. Very good/good. 81%.&#10;Purple squares. Neutral. 10%.&#10;White. Poor/Very Poor. 8%.&#10;&#10;Pre-planning.&#10;Purple. Very good/good. 79%.&#10;Purple squares. Neutral. 13%.&#10;White. Poor/Very Poor. 8%.&#10;&#10;Planning.&#10;Purple. Very good/good. 85%.&#10;Purple squares. Neutral. 9%.&#10;White. Poor/Very Poor. 6%.&#10;&#10;Plan review.&#10;Purple. Very good/good. 70%.&#10;Purple squares. Neutral. 13%.&#10;White. Poor/Very Poor.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descr="The following images are of 4 pie charts to show the rating of experience with the NDIS as at 30 June 2022. The question asked to participants was, Overall, how was your experience with us?&#10;The 4 pie charts represent the 4 primary stages of the participant pathway, Access. Pre-planning, Planning and Plan review.&#10;Access.&#10;Purple. Very good/good. 81%.&#10;Purple squares. Neutral. 10%.&#10;White. Poor/Very Poor. 8%.&#10;&#10;Pre-planning.&#10;Purple. Very good/good. 79%.&#10;Purple squares. Neutral. 13%.&#10;White. Poor/Very Poor. 8%.&#10;&#10;Planning.&#10;Purple. Very good/good. 85%.&#10;Purple squares. Neutral. 9%.&#10;White. Poor/Very Poor. 6%.&#10;&#10;Plan review.&#10;Purple. Very good/good. 70%.&#10;Purple squares. Neutral. 13%.&#10;White. Poor/Very Poor. 16%.&#10;"/>
                    <pic:cNvPicPr/>
                  </pic:nvPicPr>
                  <pic:blipFill>
                    <a:blip r:embed="rId35"/>
                    <a:stretch>
                      <a:fillRect/>
                    </a:stretch>
                  </pic:blipFill>
                  <pic:spPr>
                    <a:xfrm>
                      <a:off x="0" y="0"/>
                      <a:ext cx="6109795" cy="2490993"/>
                    </a:xfrm>
                    <a:prstGeom prst="rect">
                      <a:avLst/>
                    </a:prstGeom>
                  </pic:spPr>
                </pic:pic>
              </a:graphicData>
            </a:graphic>
          </wp:inline>
        </w:drawing>
      </w:r>
    </w:p>
    <w:p w14:paraId="2811CB65" w14:textId="77777777" w:rsidR="00970846" w:rsidRPr="00D2134C" w:rsidRDefault="00970846" w:rsidP="00970846">
      <w:pPr>
        <w:rPr>
          <w:rFonts w:eastAsia="DengXian"/>
          <w:b/>
          <w:bCs/>
        </w:rPr>
      </w:pPr>
    </w:p>
    <w:p w14:paraId="4DB4B0F7" w14:textId="77777777" w:rsidR="00970846" w:rsidRPr="00D2134C" w:rsidRDefault="00970846" w:rsidP="00970846">
      <w:pPr>
        <w:keepNext/>
        <w:rPr>
          <w:rFonts w:eastAsia="DengXian"/>
        </w:rPr>
      </w:pPr>
      <w:r w:rsidRPr="00D2134C">
        <w:rPr>
          <w:rFonts w:eastAsia="DengXian"/>
          <w:b/>
          <w:bCs/>
        </w:rPr>
        <w:lastRenderedPageBreak/>
        <w:t xml:space="preserve">Figure 2.2.3B: </w:t>
      </w:r>
      <w:r w:rsidRPr="00D2134C">
        <w:rPr>
          <w:rFonts w:eastAsia="DengXian"/>
        </w:rPr>
        <w:t>Trend of satisfaction across the pathway (% very good/good)</w:t>
      </w:r>
      <w:r w:rsidRPr="00D2134C">
        <w:rPr>
          <w:rStyle w:val="FootnoteReference"/>
          <w:rFonts w:eastAsia="DengXian"/>
          <w:sz w:val="18"/>
          <w:szCs w:val="18"/>
        </w:rPr>
        <w:footnoteReference w:id="3"/>
      </w:r>
    </w:p>
    <w:p w14:paraId="27F5D451" w14:textId="7B10AE0E" w:rsidR="00970846" w:rsidRPr="00D2134C" w:rsidRDefault="00B76B12" w:rsidP="00970846">
      <w:r w:rsidRPr="00B76B12">
        <w:rPr>
          <w:noProof/>
        </w:rPr>
        <w:drawing>
          <wp:inline distT="0" distB="0" distL="0" distR="0" wp14:anchorId="1886388E" wp14:editId="5F8F9DA4">
            <wp:extent cx="5715798" cy="7287642"/>
            <wp:effectExtent l="0" t="0" r="0" b="8890"/>
            <wp:docPr id="490" name="Picture 490" descr="This is a series of horizontal bar charts to show the trend of satisfaction across the pathway for the % very good/good responses.&#10;This is divided into the 4 primary stages of the participant pathway, Access. Pre-planning, Planning and Plan review and is displayed for each quarter from Quarter 4 2019-2020 to Quarter 4 2021 – 2022.&#10;&#10;The Access Process&#10;2019 to 2020 Quarter 4. (striped purple). 81%.&#10;2020 to 2021 Quarter 1. (striped purple). 84%.&#10;2020 to 2021 Quarter 2. (purple). 78%.&#10;2020 to 2021 Quarter 3. (purple). 76%.&#10;2020 to 2021 Quarter 4. (purple). 77%.&#10;2021 to 2022 Quarter 1. (purple). 75%.&#10;2021 to 2022 Quarter 2. (purple). 77%.&#10;2021 to 2022 Quarter 3. (purple). 81%.&#10;2021 to 2022 Quarter 4. (purple). 81%.&#10;&#10;The Pre-planning Process&#10;2019 to 2020 Quarter 4. (striped purple). 83%.&#10;2020 to 2021 Quarter 1. (striped purple). 84%.&#10;2020 to 2021 Quarter 2. (purple). 77%.&#10;2020 to 2021 Quarter 3. (purple). 81%.&#10;2020 to 2021 Quarter 4. (purple). 77%.&#10;2021 to 2022 Quarter 1. (purple). 76%.&#10;2021 to 2022 Quarter 2. (purple). 76%.&#10;2021 to 2022 Quarter 3. (purple). 78%.&#10;2021 to 2022 Quarter 4. (purple). 79%.&#10;&#10;The Planning Process&#10;2019 to 2020 Quarter 4. (striped purple). 85%.&#10;2020 to 2021 Quarter 1. (striped purple). 85%.&#10;2020 to 2021 Quarter 2. (purple). 85%.&#10;2020 to 2021 Quarter 3. (purple). 85%.&#10;2020 to 2021 Quarter 4. (purple). 83%.&#10;2021 to 2022 Quarter 1. (purple). 84%.&#10;2021 to 2022 Quarter 2. (purple). 83%.&#10;2021 to 2022 Quarter 3. (purple). 86%.&#10;2021 to 2022 Quarter 4. (purple). 85%.&#10;&#10;The Review Process&#10;2019 to 2020 Quarter 4. (striped purple). 85%.&#10;2020 to 2021 Quarter 1. (striped purple). 87%.&#10;2020 to 2021 Quarter 2. (purple). 76%.&#10;2020 to 2021 Quarter 3. (purple). 74%.&#10;2020 to 2021 Quarter 4. (purple). 71%.&#10;2021 to 2022 Quarter 1. (purple). 70%.&#10;2021 to 2022 Quarter 2. (purple). 70%.&#10;2021 to 2022 Quarter 3. (purple). 72%.&#10;2021 to 2022 Quarter 4. (purple). 7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This is a series of horizontal bar charts to show the trend of satisfaction across the pathway for the % very good/good responses.&#10;This is divided into the 4 primary stages of the participant pathway, Access. Pre-planning, Planning and Plan review and is displayed for each quarter from Quarter 4 2019-2020 to Quarter 4 2021 – 2022.&#10;&#10;The Access Process&#10;2019 to 2020 Quarter 4. (striped purple). 81%.&#10;2020 to 2021 Quarter 1. (striped purple). 84%.&#10;2020 to 2021 Quarter 2. (purple). 78%.&#10;2020 to 2021 Quarter 3. (purple). 76%.&#10;2020 to 2021 Quarter 4. (purple). 77%.&#10;2021 to 2022 Quarter 1. (purple). 75%.&#10;2021 to 2022 Quarter 2. (purple). 77%.&#10;2021 to 2022 Quarter 3. (purple). 81%.&#10;2021 to 2022 Quarter 4. (purple). 81%.&#10;&#10;The Pre-planning Process&#10;2019 to 2020 Quarter 4. (striped purple). 83%.&#10;2020 to 2021 Quarter 1. (striped purple). 84%.&#10;2020 to 2021 Quarter 2. (purple). 77%.&#10;2020 to 2021 Quarter 3. (purple). 81%.&#10;2020 to 2021 Quarter 4. (purple). 77%.&#10;2021 to 2022 Quarter 1. (purple). 76%.&#10;2021 to 2022 Quarter 2. (purple). 76%.&#10;2021 to 2022 Quarter 3. (purple). 78%.&#10;2021 to 2022 Quarter 4. (purple). 79%.&#10;&#10;The Planning Process&#10;2019 to 2020 Quarter 4. (striped purple). 85%.&#10;2020 to 2021 Quarter 1. (striped purple). 85%.&#10;2020 to 2021 Quarter 2. (purple). 85%.&#10;2020 to 2021 Quarter 3. (purple). 85%.&#10;2020 to 2021 Quarter 4. (purple). 83%.&#10;2021 to 2022 Quarter 1. (purple). 84%.&#10;2021 to 2022 Quarter 2. (purple). 83%.&#10;2021 to 2022 Quarter 3. (purple). 86%.&#10;2021 to 2022 Quarter 4. (purple). 85%.&#10;&#10;The Review Process&#10;2019 to 2020 Quarter 4. (striped purple). 85%.&#10;2020 to 2021 Quarter 1. (striped purple). 87%.&#10;2020 to 2021 Quarter 2. (purple). 76%.&#10;2020 to 2021 Quarter 3. (purple). 74%.&#10;2020 to 2021 Quarter 4. (purple). 71%.&#10;2021 to 2022 Quarter 1. (purple). 70%.&#10;2021 to 2022 Quarter 2. (purple). 70%.&#10;2021 to 2022 Quarter 3. (purple). 72%.&#10;2021 to 2022 Quarter 4. (purple). 70%.&#10;"/>
                    <pic:cNvPicPr/>
                  </pic:nvPicPr>
                  <pic:blipFill>
                    <a:blip r:embed="rId36"/>
                    <a:stretch>
                      <a:fillRect/>
                    </a:stretch>
                  </pic:blipFill>
                  <pic:spPr>
                    <a:xfrm>
                      <a:off x="0" y="0"/>
                      <a:ext cx="5715798" cy="7287642"/>
                    </a:xfrm>
                    <a:prstGeom prst="rect">
                      <a:avLst/>
                    </a:prstGeom>
                  </pic:spPr>
                </pic:pic>
              </a:graphicData>
            </a:graphic>
          </wp:inline>
        </w:drawing>
      </w:r>
    </w:p>
    <w:p w14:paraId="1CDEE013" w14:textId="77777777" w:rsidR="00970846" w:rsidRPr="00D2134C" w:rsidRDefault="00970846" w:rsidP="00970846">
      <w:pPr>
        <w:rPr>
          <w:rFonts w:eastAsia="Georgia"/>
          <w:lang w:eastAsia="en-US"/>
        </w:rPr>
      </w:pPr>
    </w:p>
    <w:p w14:paraId="5BA7D9E4" w14:textId="77777777" w:rsidR="00622090" w:rsidRDefault="00622090">
      <w:pPr>
        <w:pStyle w:val="FGCHEADING5"/>
        <w:numPr>
          <w:ilvl w:val="0"/>
          <w:numId w:val="0"/>
        </w:numPr>
        <w:ind w:left="652"/>
        <w:sectPr w:rsidR="00622090" w:rsidSect="00677C63">
          <w:pgSz w:w="11906" w:h="16838"/>
          <w:pgMar w:top="1021" w:right="907" w:bottom="1440" w:left="964" w:header="708" w:footer="708" w:gutter="0"/>
          <w:cols w:space="708"/>
          <w:titlePg/>
          <w:docGrid w:linePitch="360"/>
        </w:sectPr>
      </w:pPr>
    </w:p>
    <w:p w14:paraId="2D46F8AB" w14:textId="77777777" w:rsidR="00970846" w:rsidRPr="00D2134C" w:rsidRDefault="00970846" w:rsidP="00EE2D88">
      <w:pPr>
        <w:pStyle w:val="FGCHEADING5"/>
        <w:numPr>
          <w:ilvl w:val="0"/>
          <w:numId w:val="0"/>
        </w:numPr>
        <w:ind w:left="652"/>
      </w:pPr>
      <w:r w:rsidRPr="00D2134C">
        <w:lastRenderedPageBreak/>
        <w:t xml:space="preserve">Key trends in complaints </w:t>
      </w:r>
    </w:p>
    <w:p w14:paraId="16BE81B4" w14:textId="5574E237" w:rsidR="00970846" w:rsidRPr="00D2134C" w:rsidRDefault="00970846" w:rsidP="009A3C9A">
      <w:pPr>
        <w:pStyle w:val="FGCNORMAL"/>
      </w:pPr>
      <w:r w:rsidRPr="00D2134C">
        <w:t>Over 2021–22, the percentage of total complaints that have been open for more than 21 days remained stable, with 3</w:t>
      </w:r>
      <w:r w:rsidR="00C650EB" w:rsidRPr="00D2134C">
        <w:t>%</w:t>
      </w:r>
      <w:r w:rsidRPr="00D2134C">
        <w:t xml:space="preserve"> still open after 21 days as </w:t>
      </w:r>
      <w:proofErr w:type="gramStart"/>
      <w:r w:rsidRPr="00D2134C">
        <w:t>at</w:t>
      </w:r>
      <w:proofErr w:type="gramEnd"/>
      <w:r w:rsidRPr="00D2134C">
        <w:t xml:space="preserve"> 30 June 2022.</w:t>
      </w:r>
    </w:p>
    <w:p w14:paraId="2582981B" w14:textId="281CCAC4" w:rsidR="00970846" w:rsidRDefault="00047EBD" w:rsidP="00E91553">
      <w:pPr>
        <w:keepNext/>
        <w:ind w:left="567"/>
        <w:rPr>
          <w:rFonts w:eastAsia="Calibri"/>
          <w:color w:val="000000" w:themeColor="text1"/>
        </w:rPr>
      </w:pPr>
      <w:r w:rsidRPr="00D2134C">
        <w:rPr>
          <w:rFonts w:eastAsia="Calibri"/>
          <w:b/>
          <w:bCs/>
          <w:color w:val="000000" w:themeColor="text1"/>
        </w:rPr>
        <w:t xml:space="preserve">Figure 2.2.3C: </w:t>
      </w:r>
      <w:r w:rsidRPr="00D2134C">
        <w:rPr>
          <w:rFonts w:eastAsia="Calibri"/>
          <w:color w:val="000000" w:themeColor="text1"/>
        </w:rPr>
        <w:t xml:space="preserve">Open complaints and percentage that have been open </w:t>
      </w:r>
      <w:r w:rsidR="00970846" w:rsidRPr="00D2134C">
        <w:rPr>
          <w:rFonts w:eastAsia="Calibri"/>
          <w:color w:val="000000" w:themeColor="text1"/>
        </w:rPr>
        <w:t>for more than 21 days</w:t>
      </w:r>
      <w:r w:rsidR="00970846" w:rsidRPr="00D2134C">
        <w:rPr>
          <w:rStyle w:val="FootnoteReference"/>
          <w:rFonts w:eastAsia="Calibri"/>
          <w:color w:val="000000" w:themeColor="text1"/>
          <w:sz w:val="18"/>
          <w:szCs w:val="18"/>
        </w:rPr>
        <w:footnoteReference w:id="4"/>
      </w:r>
    </w:p>
    <w:p w14:paraId="739B8B28" w14:textId="3C3C2F92" w:rsidR="001300A5" w:rsidRPr="00D2134C" w:rsidRDefault="001300A5" w:rsidP="00E91553">
      <w:pPr>
        <w:keepNext/>
        <w:ind w:left="567"/>
        <w:rPr>
          <w:rFonts w:eastAsia="Calibri"/>
          <w:color w:val="000000" w:themeColor="text1"/>
        </w:rPr>
      </w:pPr>
      <w:r w:rsidRPr="00EC69CC">
        <w:rPr>
          <w:rFonts w:eastAsia="DengXian"/>
          <w:b/>
          <w:bCs/>
          <w:noProof/>
        </w:rPr>
        <w:drawing>
          <wp:inline distT="0" distB="0" distL="0" distR="0" wp14:anchorId="6BF9C93B" wp14:editId="393DE525">
            <wp:extent cx="5848985" cy="2762250"/>
            <wp:effectExtent l="0" t="0" r="0" b="0"/>
            <wp:docPr id="491" name="Picture 491" descr="This is a purple vertical bar graph representing the number of open complaints and percentage that have been open for more than 21 days.&#10;The number of open complaints is a purple bar graph represented on the horizontal axis from June 2019 to June 2022 with quarterly increments, .The % is in a line graph&#10;The vertical axis is the number of open complaints and ranges from 0 to 8,000 in increments of 2,000.&#10;June 2019. Number of open complaints 2,029. % open more than 21 days 52%.&#10;September 2019. Number of open complaints 1,081. % open more than 21 days 18%.&#10;December 2019. Number of open complaints 1,362. % open more than 21 days 43%.&#10;March 2020. Number of open complaints 860. % open more than 21 days 17%.&#10;June 2020. Number of open complaints 684. % open more than 21 days 6%.&#10;September 2020. Number of open complaints 584. % open more than 21 days 4%.&#10;December 2020. Number of open complaints 597. % open more than 21 days 10%.&#10;March 2021. Number of open complaints 927. % open more than 21 days 4%.&#10;June 2021. Number of open complaints 763. % open more than 21 days 4%.&#10;September 2021. Number of open complaints 1,013. % open more than 21 days 2%.&#10;December 2021. Number of open complaints 630. % open more than 21 days 4%.&#10;March 2022. Number of open complaints 913. % open more than 21 days 4%.&#10;June 2022. Number of open complaints 1,091. % open more than 21 days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descr="This is a purple vertical bar graph representing the number of open complaints and percentage that have been open for more than 21 days.&#10;The number of open complaints is a purple bar graph represented on the horizontal axis from June 2019 to June 2022 with quarterly increments, .The % is in a line graph&#10;The vertical axis is the number of open complaints and ranges from 0 to 8,000 in increments of 2,000.&#10;June 2019. Number of open complaints 2,029. % open more than 21 days 52%.&#10;September 2019. Number of open complaints 1,081. % open more than 21 days 18%.&#10;December 2019. Number of open complaints 1,362. % open more than 21 days 43%.&#10;March 2020. Number of open complaints 860. % open more than 21 days 17%.&#10;June 2020. Number of open complaints 684. % open more than 21 days 6%.&#10;September 2020. Number of open complaints 584. % open more than 21 days 4%.&#10;December 2020. Number of open complaints 597. % open more than 21 days 10%.&#10;March 2021. Number of open complaints 927. % open more than 21 days 4%.&#10;June 2021. Number of open complaints 763. % open more than 21 days 4%.&#10;September 2021. Number of open complaints 1,013. % open more than 21 days 2%.&#10;December 2021. Number of open complaints 630. % open more than 21 days 4%.&#10;March 2022. Number of open complaints 913. % open more than 21 days 4%.&#10;June 2022. Number of open complaints 1,091. % open more than 21 days 3%.&#10;"/>
                    <pic:cNvPicPr/>
                  </pic:nvPicPr>
                  <pic:blipFill>
                    <a:blip r:embed="rId37">
                      <a:extLst>
                        <a:ext uri="{28A0092B-C50C-407E-A947-70E740481C1C}">
                          <a14:useLocalDpi xmlns:a14="http://schemas.microsoft.com/office/drawing/2010/main" val="0"/>
                        </a:ext>
                      </a:extLst>
                    </a:blip>
                    <a:stretch>
                      <a:fillRect/>
                    </a:stretch>
                  </pic:blipFill>
                  <pic:spPr>
                    <a:xfrm>
                      <a:off x="0" y="0"/>
                      <a:ext cx="5848985" cy="2762250"/>
                    </a:xfrm>
                    <a:prstGeom prst="rect">
                      <a:avLst/>
                    </a:prstGeom>
                  </pic:spPr>
                </pic:pic>
              </a:graphicData>
            </a:graphic>
          </wp:inline>
        </w:drawing>
      </w:r>
    </w:p>
    <w:p w14:paraId="1E1202C0" w14:textId="49F23E21" w:rsidR="00970846" w:rsidRPr="00D2134C" w:rsidRDefault="00970846" w:rsidP="00970846">
      <w:pPr>
        <w:ind w:left="426"/>
        <w:rPr>
          <w:rFonts w:eastAsia="DengXian"/>
          <w:b/>
          <w:bCs/>
        </w:rPr>
      </w:pPr>
    </w:p>
    <w:p w14:paraId="34004968" w14:textId="48CD0FE0" w:rsidR="00970846" w:rsidRPr="00D2134C" w:rsidRDefault="00970846" w:rsidP="00E91553">
      <w:pPr>
        <w:pStyle w:val="FGCNORMAL"/>
        <w:keepNext/>
      </w:pPr>
      <w:r w:rsidRPr="00D2134C">
        <w:rPr>
          <w:b/>
          <w:bCs/>
        </w:rPr>
        <w:t>Figure 2.2.3D</w:t>
      </w:r>
      <w:r w:rsidR="005619A3">
        <w:rPr>
          <w:b/>
          <w:bCs/>
        </w:rPr>
        <w:t>:</w:t>
      </w:r>
      <w:r w:rsidRPr="00D2134C">
        <w:rPr>
          <w:b/>
          <w:bCs/>
        </w:rPr>
        <w:t xml:space="preserve"> </w:t>
      </w:r>
      <w:r w:rsidRPr="00D2134C">
        <w:t>Closed complaints and percentage completed within 21-day timeframe</w:t>
      </w:r>
    </w:p>
    <w:p w14:paraId="0A0CE377" w14:textId="6D465951" w:rsidR="00970846" w:rsidRPr="00D2134C" w:rsidRDefault="006845A7" w:rsidP="00970846">
      <w:r w:rsidRPr="006845A7">
        <w:rPr>
          <w:noProof/>
        </w:rPr>
        <w:drawing>
          <wp:inline distT="0" distB="0" distL="0" distR="0" wp14:anchorId="607B5698" wp14:editId="29B6221B">
            <wp:extent cx="5677692" cy="2867425"/>
            <wp:effectExtent l="0" t="0" r="0" b="9525"/>
            <wp:docPr id="492" name="Picture 492" descr="This is a purple vertical bar graph representing the number of closed complaints and percentage that have been completed within a 21 day timeframe.&#10;The number of closed complaints is a purple bar graph represented on the horizontal axis from June 2019 to June 2022 with quarterly increments. The % is in a line graph&#10;The vertical axis is the number of closed complaints and ranges from 0 to 30,000 in increments of 5,000.&#10;June 2019. Number of closed complaints 7,258. % closed within 21 days 33%.&#10;September 2019. Number of closed complaints 7,641. % closed within 21 days 58%.&#10;December 2019. Number of closed complaints 6,418. % closed within 21 days 58%.&#10;March 2020. Number of closed complaints 7,015. % closed within 21 days 67%.&#10;June 2020. Number of closed complaints 5,.832. % closed within 21 days 85%.&#10;September 2020. Number of closed complaints 6,442. % closed within 21 days 95%.&#10;December 2020. Number of closed complaints 6,569. % closed within 21 days 92%.&#10;March 2021. Number of closed complaints 6,694. % closed within 21 days 91%.&#10;June 2021. Number of closed complaints 8,477. % closed within 21 days 94%.&#10;September 2021. Number of closed complaints 9,091. % closed within 21 days 95%.&#10;December 2021. Number of closed complaints 9,508. % closed within 21 days 97%.&#10;March 2022. Number of closed complaints 9,734. % closed within 21 days 96%.&#10;June 2022. Number of closed complaints 9,614. % closed within 21 days 9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This is a purple vertical bar graph representing the number of closed complaints and percentage that have been completed within a 21 day timeframe.&#10;The number of closed complaints is a purple bar graph represented on the horizontal axis from June 2019 to June 2022 with quarterly increments. The % is in a line graph&#10;The vertical axis is the number of closed complaints and ranges from 0 to 30,000 in increments of 5,000.&#10;June 2019. Number of closed complaints 7,258. % closed within 21 days 33%.&#10;September 2019. Number of closed complaints 7,641. % closed within 21 days 58%.&#10;December 2019. Number of closed complaints 6,418. % closed within 21 days 58%.&#10;March 2020. Number of closed complaints 7,015. % closed within 21 days 67%.&#10;June 2020. Number of closed complaints 5,.832. % closed within 21 days 85%.&#10;September 2020. Number of closed complaints 6,442. % closed within 21 days 95%.&#10;December 2020. Number of closed complaints 6,569. % closed within 21 days 92%.&#10;March 2021. Number of closed complaints 6,694. % closed within 21 days 91%.&#10;June 2021. Number of closed complaints 8,477. % closed within 21 days 94%.&#10;September 2021. Number of closed complaints 9,091. % closed within 21 days 95%.&#10;December 2021. Number of closed complaints 9,508. % closed within 21 days 97%.&#10;March 2022. Number of closed complaints 9,734. % closed within 21 days 96%.&#10;June 2022. Number of closed complaints 9,614. % closed within 21 days 93%.&#10;"/>
                    <pic:cNvPicPr/>
                  </pic:nvPicPr>
                  <pic:blipFill>
                    <a:blip r:embed="rId38"/>
                    <a:stretch>
                      <a:fillRect/>
                    </a:stretch>
                  </pic:blipFill>
                  <pic:spPr>
                    <a:xfrm>
                      <a:off x="0" y="0"/>
                      <a:ext cx="5677692" cy="2867425"/>
                    </a:xfrm>
                    <a:prstGeom prst="rect">
                      <a:avLst/>
                    </a:prstGeom>
                  </pic:spPr>
                </pic:pic>
              </a:graphicData>
            </a:graphic>
          </wp:inline>
        </w:drawing>
      </w:r>
    </w:p>
    <w:p w14:paraId="2B7F070D" w14:textId="77777777" w:rsidR="00970846" w:rsidRPr="00D2134C" w:rsidRDefault="00970846" w:rsidP="00EE2D88">
      <w:pPr>
        <w:pStyle w:val="FGCHEADING4"/>
      </w:pPr>
      <w:r w:rsidRPr="00D2134C">
        <w:t>Participant diversity</w:t>
      </w:r>
    </w:p>
    <w:p w14:paraId="7D902F51" w14:textId="3EDD76C1" w:rsidR="0055215D" w:rsidRPr="00D2134C" w:rsidRDefault="0055215D" w:rsidP="0055215D">
      <w:pPr>
        <w:pStyle w:val="FGCNORMAL"/>
      </w:pPr>
      <w:r w:rsidRPr="00D2134C">
        <w:t xml:space="preserve">The NDIA continues to </w:t>
      </w:r>
      <w:r w:rsidR="00C25A9F">
        <w:t>provide targeted support for people who</w:t>
      </w:r>
      <w:r w:rsidRPr="00D2134C">
        <w:t xml:space="preserve"> are Aboriginal and Torres Strait Islander, culturally and linguistically diverse (CALD), and living in remote and very remote areas</w:t>
      </w:r>
      <w:r w:rsidR="00C25A9F">
        <w:t>, to access the NDIS</w:t>
      </w:r>
      <w:r w:rsidRPr="00D2134C">
        <w:t>.</w:t>
      </w:r>
    </w:p>
    <w:p w14:paraId="1F742C5E" w14:textId="140B88C3" w:rsidR="0055215D" w:rsidRPr="00D2134C" w:rsidRDefault="0055215D" w:rsidP="0055215D">
      <w:pPr>
        <w:pStyle w:val="FGCNORMAL"/>
        <w:rPr>
          <w:lang w:eastAsia="en-AU"/>
        </w:rPr>
      </w:pPr>
      <w:r w:rsidRPr="00D2134C">
        <w:t xml:space="preserve">The NDIA </w:t>
      </w:r>
      <w:r w:rsidR="009473D3">
        <w:t xml:space="preserve">continues </w:t>
      </w:r>
      <w:r w:rsidRPr="00D2134C">
        <w:t xml:space="preserve">to co-design </w:t>
      </w:r>
      <w:r w:rsidR="00CC3B7C" w:rsidRPr="00D2134C">
        <w:t>s</w:t>
      </w:r>
      <w:r w:rsidRPr="00D2134C">
        <w:t>trategies to support measurable outcomes for CALD and First Nations participants.</w:t>
      </w:r>
      <w:r w:rsidR="00E00320" w:rsidRPr="00D2134C">
        <w:t xml:space="preserve"> </w:t>
      </w:r>
      <w:r w:rsidRPr="00D2134C">
        <w:t xml:space="preserve">Each strategy is being co-designed with CALD or First Nations stakeholders respectively, including participants, families, </w:t>
      </w:r>
      <w:proofErr w:type="gramStart"/>
      <w:r w:rsidRPr="00D2134C">
        <w:t>carers</w:t>
      </w:r>
      <w:proofErr w:type="gramEnd"/>
      <w:r w:rsidRPr="00D2134C">
        <w:t xml:space="preserve"> and the sector. As we </w:t>
      </w:r>
      <w:r w:rsidRPr="00D2134C">
        <w:lastRenderedPageBreak/>
        <w:t>progress</w:t>
      </w:r>
      <w:r w:rsidR="00F3420F" w:rsidRPr="00D2134C">
        <w:t>,</w:t>
      </w:r>
      <w:r w:rsidRPr="00D2134C">
        <w:t xml:space="preserve"> further information on the </w:t>
      </w:r>
      <w:hyperlink r:id="rId39" w:history="1">
        <w:r w:rsidR="007C37C5" w:rsidRPr="00D2134C">
          <w:rPr>
            <w:color w:val="0563C1"/>
            <w:u w:val="single"/>
            <w:lang w:eastAsia="en-AU"/>
          </w:rPr>
          <w:t xml:space="preserve">Aboriginal and Torres Strait Islander </w:t>
        </w:r>
        <w:r w:rsidR="00A46C82">
          <w:rPr>
            <w:color w:val="0563C1"/>
            <w:u w:val="single"/>
            <w:lang w:eastAsia="en-AU"/>
          </w:rPr>
          <w:t>S</w:t>
        </w:r>
        <w:r w:rsidR="007C37C5" w:rsidRPr="00D2134C">
          <w:rPr>
            <w:color w:val="0563C1"/>
            <w:u w:val="single"/>
            <w:lang w:eastAsia="en-AU"/>
          </w:rPr>
          <w:t xml:space="preserve">trategy </w:t>
        </w:r>
      </w:hyperlink>
      <w:r w:rsidRPr="00D2134C">
        <w:rPr>
          <w:lang w:eastAsia="en-AU"/>
        </w:rPr>
        <w:t xml:space="preserve">and </w:t>
      </w:r>
      <w:hyperlink r:id="rId40" w:history="1">
        <w:r w:rsidR="00712BB0" w:rsidRPr="00D2134C">
          <w:rPr>
            <w:color w:val="0563C1"/>
            <w:u w:val="single"/>
            <w:lang w:eastAsia="en-AU"/>
          </w:rPr>
          <w:t xml:space="preserve">Cultural and Linguistic Diversity </w:t>
        </w:r>
        <w:r w:rsidR="00CD0F97">
          <w:rPr>
            <w:color w:val="0563C1"/>
            <w:u w:val="single"/>
            <w:lang w:eastAsia="en-AU"/>
          </w:rPr>
          <w:t>S</w:t>
        </w:r>
        <w:r w:rsidR="00712BB0" w:rsidRPr="00D2134C">
          <w:rPr>
            <w:color w:val="0563C1"/>
            <w:u w:val="single"/>
            <w:lang w:eastAsia="en-AU"/>
          </w:rPr>
          <w:t>trategy</w:t>
        </w:r>
      </w:hyperlink>
      <w:r w:rsidR="008B1164" w:rsidRPr="00D2134C">
        <w:rPr>
          <w:lang w:eastAsia="en-AU"/>
        </w:rPr>
        <w:t xml:space="preserve"> </w:t>
      </w:r>
      <w:r w:rsidR="008B1164" w:rsidRPr="00D2134C">
        <w:t>will be available on the NDIS website.</w:t>
      </w:r>
    </w:p>
    <w:p w14:paraId="37DE6301" w14:textId="1D41048B" w:rsidR="0055215D" w:rsidRPr="00D2134C" w:rsidRDefault="0055215D" w:rsidP="0055215D">
      <w:pPr>
        <w:pStyle w:val="FGCNORMAL"/>
      </w:pPr>
      <w:r w:rsidRPr="00D2134C">
        <w:t xml:space="preserve">The </w:t>
      </w:r>
      <w:r w:rsidR="00C8716E" w:rsidRPr="00D2134C">
        <w:t xml:space="preserve">NDIA </w:t>
      </w:r>
      <w:r w:rsidR="009473D3">
        <w:t xml:space="preserve">continues to review and </w:t>
      </w:r>
      <w:r w:rsidRPr="00D2134C">
        <w:t xml:space="preserve">enhance the NDIS experience and outcomes for people with disability living in remote Australia. </w:t>
      </w:r>
    </w:p>
    <w:p w14:paraId="7BF6F714" w14:textId="747CAA0B" w:rsidR="0055215D" w:rsidRPr="00D2134C" w:rsidRDefault="0055215D" w:rsidP="0055215D">
      <w:pPr>
        <w:pStyle w:val="FGCNORMAL"/>
      </w:pPr>
      <w:r w:rsidRPr="00D2134C">
        <w:t xml:space="preserve">Currently the </w:t>
      </w:r>
      <w:r w:rsidR="00CA1D2C" w:rsidRPr="00D2134C">
        <w:t>NDIA</w:t>
      </w:r>
      <w:r w:rsidRPr="00D2134C">
        <w:t xml:space="preserve"> is working towards building an approach that supports prioritisation and better coordination of cross-functional activities, </w:t>
      </w:r>
      <w:proofErr w:type="gramStart"/>
      <w:r w:rsidRPr="00D2134C">
        <w:t>projects</w:t>
      </w:r>
      <w:proofErr w:type="gramEnd"/>
      <w:r w:rsidRPr="00D2134C">
        <w:t xml:space="preserve"> and programs to improve service delivery in remote and very remote areas.</w:t>
      </w:r>
    </w:p>
    <w:p w14:paraId="0894B705" w14:textId="2C1A03F7" w:rsidR="00D22C26" w:rsidRPr="00D2134C" w:rsidRDefault="00D22C26" w:rsidP="00FE000F">
      <w:pPr>
        <w:pStyle w:val="FGCNORMAL"/>
      </w:pPr>
      <w:r w:rsidRPr="00D2134C">
        <w:t xml:space="preserve">The </w:t>
      </w:r>
      <w:r w:rsidR="00105859" w:rsidRPr="00D2134C">
        <w:t xml:space="preserve">NDIA’s </w:t>
      </w:r>
      <w:r w:rsidRPr="00D2134C">
        <w:t>National Remote Services (NRS) Branch supports the delivery of the NDIS in remote communities across Australia. We want people with disability from every community to access the supports and services they need.</w:t>
      </w:r>
      <w:r w:rsidR="0079312A" w:rsidRPr="00D2134C">
        <w:t xml:space="preserve"> </w:t>
      </w:r>
      <w:r w:rsidR="00533947" w:rsidRPr="00D2134C">
        <w:t>We</w:t>
      </w:r>
      <w:r w:rsidR="0079312A" w:rsidRPr="00D2134C">
        <w:t xml:space="preserve"> </w:t>
      </w:r>
      <w:r w:rsidRPr="00D2134C">
        <w:t xml:space="preserve">respect First Nations cultures and the need to build on community strengths through collaboration, </w:t>
      </w:r>
      <w:proofErr w:type="gramStart"/>
      <w:r w:rsidRPr="00D2134C">
        <w:t>engagement</w:t>
      </w:r>
      <w:proofErr w:type="gramEnd"/>
      <w:r w:rsidRPr="00D2134C">
        <w:t xml:space="preserve"> and co-design.</w:t>
      </w:r>
      <w:r w:rsidR="00FE000F" w:rsidRPr="00D2134C">
        <w:t xml:space="preserve"> </w:t>
      </w:r>
      <w:proofErr w:type="gramStart"/>
      <w:r w:rsidRPr="00D2134C">
        <w:t>We</w:t>
      </w:r>
      <w:proofErr w:type="gramEnd"/>
      <w:r w:rsidRPr="00D2134C">
        <w:t xml:space="preserve"> also:</w:t>
      </w:r>
    </w:p>
    <w:p w14:paraId="4C3DED05" w14:textId="77777777" w:rsidR="00D22C26" w:rsidRPr="00D2134C" w:rsidRDefault="00D22C26" w:rsidP="00FE000F">
      <w:pPr>
        <w:pStyle w:val="FGCBULLET1"/>
      </w:pPr>
      <w:r w:rsidRPr="00D2134C">
        <w:t>develop innovative and sustainable solutions to unique challenges</w:t>
      </w:r>
    </w:p>
    <w:p w14:paraId="7EBAA71D" w14:textId="77777777" w:rsidR="00D22C26" w:rsidRPr="00D2134C" w:rsidRDefault="00D22C26" w:rsidP="00FE000F">
      <w:pPr>
        <w:pStyle w:val="FGCBULLET1"/>
      </w:pPr>
      <w:r w:rsidRPr="00D2134C">
        <w:t>engage with internal business areas to improve the outcomes for participants living in remote and Aboriginal and Torres Strait Islander communities and their families</w:t>
      </w:r>
    </w:p>
    <w:p w14:paraId="59A9FC9E" w14:textId="77777777" w:rsidR="00D22C26" w:rsidRPr="00D2134C" w:rsidRDefault="00D22C26" w:rsidP="00FE000F">
      <w:pPr>
        <w:pStyle w:val="FGCBULLET1"/>
      </w:pPr>
      <w:r w:rsidRPr="00D2134C">
        <w:t>manage and coordinate the delivery of a specialist community connector network (service partners)</w:t>
      </w:r>
    </w:p>
    <w:p w14:paraId="694D279E" w14:textId="7D16E907" w:rsidR="00D22C26" w:rsidRPr="00D2134C" w:rsidRDefault="00D22C26" w:rsidP="00FE000F">
      <w:pPr>
        <w:pStyle w:val="FGCBULLET1"/>
      </w:pPr>
      <w:r w:rsidRPr="00D2134C">
        <w:t xml:space="preserve">provide expert advice and input into </w:t>
      </w:r>
      <w:r w:rsidR="000B27DD" w:rsidRPr="00D2134C">
        <w:t xml:space="preserve">NDIA </w:t>
      </w:r>
      <w:r w:rsidRPr="00D2134C">
        <w:t xml:space="preserve">strategies, including the Rural and Remote Strategy, the Reconciliation Action </w:t>
      </w:r>
      <w:proofErr w:type="gramStart"/>
      <w:r w:rsidRPr="00D2134C">
        <w:t>Plan</w:t>
      </w:r>
      <w:proofErr w:type="gramEnd"/>
      <w:r w:rsidRPr="00D2134C">
        <w:t xml:space="preserve"> and the First Nations Employee Network.</w:t>
      </w:r>
    </w:p>
    <w:p w14:paraId="6D945324" w14:textId="72F6AAA0" w:rsidR="00D22C26" w:rsidRPr="00D2134C" w:rsidRDefault="00D22C26" w:rsidP="000B27DD">
      <w:pPr>
        <w:pStyle w:val="FGCNORMAL"/>
      </w:pPr>
      <w:r w:rsidRPr="00D2134C">
        <w:t xml:space="preserve">We are committed to working collaboratively with all stakeholders, including state and territory governments, to promote better outcomes for people with disability and improving their confidence </w:t>
      </w:r>
      <w:r w:rsidR="006772D6" w:rsidRPr="00D2134C">
        <w:t>in</w:t>
      </w:r>
      <w:r w:rsidRPr="00D2134C">
        <w:t xml:space="preserve"> the NDIA.</w:t>
      </w:r>
      <w:r w:rsidR="00585C16">
        <w:t xml:space="preserve"> This is a critical issue and work is underway to appoint a senior officer with responsibility to </w:t>
      </w:r>
      <w:r w:rsidR="00173F7D">
        <w:t>address service delivery issues in rural and remote locations.</w:t>
      </w:r>
    </w:p>
    <w:p w14:paraId="53753B65" w14:textId="1703F15B" w:rsidR="00EF7FB4" w:rsidRPr="00D2134C" w:rsidRDefault="00EF7FB4" w:rsidP="00EF7FB4">
      <w:pPr>
        <w:pStyle w:val="FGCNORMAL"/>
        <w:rPr>
          <w:rFonts w:eastAsia="Calibri"/>
          <w:szCs w:val="24"/>
        </w:rPr>
      </w:pPr>
      <w:r w:rsidRPr="00D2134C">
        <w:t xml:space="preserve">As part of its collaboration across government, private and community sectors, the NDIA is playing a pivotal role in driving outcomes through </w:t>
      </w:r>
      <w:hyperlink r:id="rId41" w:history="1">
        <w:r w:rsidRPr="00D2134C">
          <w:rPr>
            <w:rStyle w:val="Hyperlink"/>
          </w:rPr>
          <w:t>Australia’s Disability Strategy 2021–2031</w:t>
        </w:r>
        <w:r w:rsidRPr="00D2134C">
          <w:t xml:space="preserve"> (the Strategy)</w:t>
        </w:r>
      </w:hyperlink>
      <w:r w:rsidR="000769EA" w:rsidRPr="00D2134C">
        <w:t>. The Strategy</w:t>
      </w:r>
      <w:r w:rsidRPr="00D2134C">
        <w:t xml:space="preserve"> was launched on 3 December 2021 and is Australia’s national disability policy framework. </w:t>
      </w:r>
      <w:r w:rsidR="00370039" w:rsidRPr="00D2134C">
        <w:t xml:space="preserve">It sets out a plan for continuing to improve the lives of people with disability in Australia over the next 10 years. A range of reports on progress of the Strategy’s actions </w:t>
      </w:r>
      <w:r w:rsidR="00DF4817" w:rsidRPr="00D2134C">
        <w:t>and outcome areas will be published and available at</w:t>
      </w:r>
      <w:r w:rsidR="00BD3544">
        <w:t xml:space="preserve"> the</w:t>
      </w:r>
      <w:r w:rsidR="00DF4817" w:rsidRPr="00D2134C">
        <w:t xml:space="preserve"> </w:t>
      </w:r>
      <w:hyperlink r:id="rId42" w:history="1">
        <w:r w:rsidR="00797444" w:rsidRPr="00D2134C">
          <w:rPr>
            <w:rStyle w:val="Hyperlink"/>
          </w:rPr>
          <w:t>Disability Gateway</w:t>
        </w:r>
      </w:hyperlink>
      <w:r w:rsidR="00797444" w:rsidRPr="00D2134C">
        <w:rPr>
          <w:rFonts w:eastAsia="Calibri"/>
          <w:szCs w:val="24"/>
        </w:rPr>
        <w:t xml:space="preserve"> website.</w:t>
      </w:r>
    </w:p>
    <w:p w14:paraId="2FC434B8" w14:textId="77777777" w:rsidR="00970846" w:rsidRPr="0056725C" w:rsidRDefault="00970846" w:rsidP="0056725C">
      <w:pPr>
        <w:pStyle w:val="FGCHEADING4"/>
      </w:pPr>
      <w:bookmarkStart w:id="75" w:name="homeliving"/>
      <w:r w:rsidRPr="0056725C">
        <w:t>Supporting NDIS participants to pursue their home and living goals</w:t>
      </w:r>
      <w:bookmarkEnd w:id="75"/>
    </w:p>
    <w:p w14:paraId="15274572" w14:textId="77777777" w:rsidR="00970846" w:rsidRPr="00D2134C" w:rsidRDefault="00970846" w:rsidP="00970846">
      <w:pPr>
        <w:pStyle w:val="FGCNORMAL"/>
      </w:pPr>
      <w:r w:rsidRPr="00D2134C">
        <w:t xml:space="preserve">The NDIA is developing a policy to guide how we support participants to pursue their home and living goals. The aim is to give participants more choice and control over where they live, who they live with and the supports they use. </w:t>
      </w:r>
    </w:p>
    <w:p w14:paraId="1E9FEEA6" w14:textId="58B8ACCF" w:rsidR="00970846" w:rsidRPr="00D2134C" w:rsidRDefault="00970846" w:rsidP="00970846">
      <w:pPr>
        <w:pStyle w:val="FGCNORMAL"/>
      </w:pPr>
      <w:r w:rsidRPr="00D2134C">
        <w:t>The NDIA released a consultation paper on the proposed policy in June 2021</w:t>
      </w:r>
      <w:r w:rsidR="00347AB9" w:rsidRPr="00D2134C">
        <w:t>. We</w:t>
      </w:r>
      <w:r w:rsidR="00C6635F" w:rsidRPr="00D2134C">
        <w:t>:</w:t>
      </w:r>
    </w:p>
    <w:p w14:paraId="78930DAC" w14:textId="6BAAD77F" w:rsidR="00970846" w:rsidRPr="00D2134C" w:rsidRDefault="00970846" w:rsidP="00970846">
      <w:pPr>
        <w:pStyle w:val="FGCBULLET1"/>
      </w:pPr>
      <w:r w:rsidRPr="00D2134C">
        <w:t>talked with over 1,000 people in virtual and in-person engagement sessions, and published a report summarising what we heard during these consultations</w:t>
      </w:r>
    </w:p>
    <w:p w14:paraId="3C80889B" w14:textId="16C5CC93" w:rsidR="00970846" w:rsidRPr="00D2134C" w:rsidRDefault="00970846" w:rsidP="00970846">
      <w:pPr>
        <w:pStyle w:val="FGCBULLET1"/>
      </w:pPr>
      <w:r w:rsidRPr="00D2134C">
        <w:t>established a steering committee to advise on how we can work in partnership with the disability community and broader stakeholder groups to finalise the policy</w:t>
      </w:r>
    </w:p>
    <w:p w14:paraId="2A05655F" w14:textId="77777777" w:rsidR="00970846" w:rsidRPr="00D2134C" w:rsidRDefault="00970846" w:rsidP="00970846">
      <w:pPr>
        <w:pStyle w:val="FGCBULLET1"/>
      </w:pPr>
      <w:r w:rsidRPr="00D2134C">
        <w:t xml:space="preserve">started co-design of the policy with a ‘core design group’ of participants, </w:t>
      </w:r>
      <w:proofErr w:type="gramStart"/>
      <w:r w:rsidRPr="00D2134C">
        <w:t>providers</w:t>
      </w:r>
      <w:proofErr w:type="gramEnd"/>
      <w:r w:rsidRPr="00D2134C">
        <w:t xml:space="preserve"> and disability representative organisations in June 2022.</w:t>
      </w:r>
    </w:p>
    <w:p w14:paraId="2C0EB6CB" w14:textId="3FCA6CCC" w:rsidR="00970846" w:rsidRPr="00D2134C" w:rsidRDefault="00970846" w:rsidP="00EE2D88">
      <w:pPr>
        <w:pStyle w:val="FGCHEADING5"/>
        <w:ind w:left="567"/>
      </w:pPr>
      <w:r w:rsidRPr="00D2134C">
        <w:t>Younger People in Residential Aged Care Strategy</w:t>
      </w:r>
    </w:p>
    <w:p w14:paraId="4B8755F3" w14:textId="3B6227CE" w:rsidR="00970846" w:rsidRPr="00D2134C" w:rsidRDefault="00970846" w:rsidP="00970846">
      <w:pPr>
        <w:pStyle w:val="FGCNORMAL"/>
      </w:pPr>
      <w:r w:rsidRPr="00D2134C">
        <w:t xml:space="preserve">On 25 November 2019, in response to the </w:t>
      </w:r>
      <w:r w:rsidR="00A30119">
        <w:t>I</w:t>
      </w:r>
      <w:r w:rsidRPr="00D2134C">
        <w:t xml:space="preserve">nterim </w:t>
      </w:r>
      <w:r w:rsidR="00A30119">
        <w:t>R</w:t>
      </w:r>
      <w:r w:rsidRPr="00D2134C">
        <w:t>eport of the Royal Commission into Aged Care Quality and Safety, the Younger People in Residential Aged Care Strategy 2020–25</w:t>
      </w:r>
      <w:r w:rsidR="00B95178" w:rsidRPr="00D2134C">
        <w:t xml:space="preserve"> (YPIRAC Strategy)</w:t>
      </w:r>
      <w:r w:rsidRPr="00D2134C">
        <w:t xml:space="preserve"> was jointly developed by</w:t>
      </w:r>
      <w:r w:rsidR="00BB74CD">
        <w:t xml:space="preserve"> the</w:t>
      </w:r>
      <w:r w:rsidRPr="00D2134C">
        <w:t xml:space="preserve"> D</w:t>
      </w:r>
      <w:r w:rsidR="00DD79CB">
        <w:t>epartment of Social Se</w:t>
      </w:r>
      <w:r w:rsidR="00BB74CD">
        <w:t>rvices</w:t>
      </w:r>
      <w:r w:rsidR="00DD79CB">
        <w:t xml:space="preserve"> (D</w:t>
      </w:r>
      <w:r w:rsidRPr="00D2134C">
        <w:t>SS</w:t>
      </w:r>
      <w:r w:rsidR="00DD79CB">
        <w:t>)</w:t>
      </w:r>
      <w:r w:rsidRPr="00D2134C">
        <w:t xml:space="preserve">, </w:t>
      </w:r>
      <w:r w:rsidR="00E9470A">
        <w:t xml:space="preserve">the </w:t>
      </w:r>
      <w:r w:rsidR="00DD79CB">
        <w:t>Department of H</w:t>
      </w:r>
      <w:r w:rsidR="00E9470A">
        <w:t>ealth</w:t>
      </w:r>
      <w:r w:rsidR="008E1554">
        <w:t xml:space="preserve"> and Aged Care</w:t>
      </w:r>
      <w:r w:rsidR="00DD79CB">
        <w:t xml:space="preserve"> (</w:t>
      </w:r>
      <w:proofErr w:type="spellStart"/>
      <w:r w:rsidRPr="00D2134C">
        <w:t>D</w:t>
      </w:r>
      <w:r w:rsidR="008E1554">
        <w:t>o</w:t>
      </w:r>
      <w:r w:rsidRPr="00D2134C">
        <w:t>H</w:t>
      </w:r>
      <w:r w:rsidR="008E1554">
        <w:t>AC</w:t>
      </w:r>
      <w:proofErr w:type="spellEnd"/>
      <w:r w:rsidR="00DD79CB">
        <w:t>)</w:t>
      </w:r>
      <w:r w:rsidRPr="00D2134C">
        <w:t xml:space="preserve"> and the NDIA.</w:t>
      </w:r>
    </w:p>
    <w:p w14:paraId="21F91AB4" w14:textId="77777777" w:rsidR="00970846" w:rsidRPr="00D2134C" w:rsidRDefault="00970846" w:rsidP="00970846">
      <w:pPr>
        <w:pStyle w:val="FGCNORMAL"/>
      </w:pPr>
      <w:r w:rsidRPr="00D2134C">
        <w:t>The YPIRAC Strategy sets out targets which seek to ensure that, except in exceptional circumstances, there are:</w:t>
      </w:r>
    </w:p>
    <w:p w14:paraId="6C82338B" w14:textId="2E466964" w:rsidR="00970846" w:rsidRPr="00D2134C" w:rsidRDefault="00970846" w:rsidP="007615EB">
      <w:pPr>
        <w:pStyle w:val="FGCBULLET1"/>
      </w:pPr>
      <w:r w:rsidRPr="00D2134C">
        <w:lastRenderedPageBreak/>
        <w:t>no people under the age of 65 entering residential aged care by 2022</w:t>
      </w:r>
    </w:p>
    <w:p w14:paraId="5A0058A0" w14:textId="083635CB" w:rsidR="00970846" w:rsidRPr="00D2134C" w:rsidRDefault="00970846" w:rsidP="007615EB">
      <w:pPr>
        <w:pStyle w:val="FGCBULLET1"/>
      </w:pPr>
      <w:r w:rsidRPr="00D2134C">
        <w:t>no people under the age of 45 living in residential aged care by 2022</w:t>
      </w:r>
    </w:p>
    <w:p w14:paraId="5A54D926" w14:textId="77777777" w:rsidR="00970846" w:rsidRPr="00D2134C" w:rsidRDefault="00970846" w:rsidP="007615EB">
      <w:pPr>
        <w:pStyle w:val="FGCBULLET1"/>
      </w:pPr>
      <w:r w:rsidRPr="00D2134C">
        <w:t>no people under the age of 65 living in residential aged care by 2025.</w:t>
      </w:r>
    </w:p>
    <w:p w14:paraId="041B7DA5" w14:textId="339EF38B" w:rsidR="00970846" w:rsidRPr="00D2134C" w:rsidRDefault="00970846" w:rsidP="00970846">
      <w:pPr>
        <w:pStyle w:val="FGCNORMAL"/>
      </w:pPr>
      <w:r w:rsidRPr="00D2134C">
        <w:t xml:space="preserve">A Joint Agency Taskforce (combining DSS, DOH and the NDIA) continues to progress work on the YPIRAC Strategy in partnership with a Stakeholder Reference Group (consisting of sector representatives), state and territory governments, and younger people and their families. The </w:t>
      </w:r>
      <w:r w:rsidR="00371A20" w:rsidRPr="00D2134C">
        <w:t>YP</w:t>
      </w:r>
      <w:r w:rsidR="001A52C2" w:rsidRPr="00D2134C">
        <w:t>IRAC S</w:t>
      </w:r>
      <w:r w:rsidRPr="00D2134C">
        <w:t xml:space="preserve">trategy covers all people under the age of 65 living in, or at risk of entering, residential aged care. </w:t>
      </w:r>
      <w:r w:rsidR="00974BC3" w:rsidRPr="00D2134C">
        <w:t xml:space="preserve">It also </w:t>
      </w:r>
      <w:r w:rsidRPr="00D2134C">
        <w:t>provid</w:t>
      </w:r>
      <w:r w:rsidR="00694AFB" w:rsidRPr="00D2134C">
        <w:t>es</w:t>
      </w:r>
      <w:r w:rsidRPr="00D2134C">
        <w:t xml:space="preserve"> choice to Aboriginal and Torres Strait Islander people between 50 and 64 years of age who are eligible for the aged care system.</w:t>
      </w:r>
    </w:p>
    <w:p w14:paraId="2DAFD991" w14:textId="141BF735" w:rsidR="00970846" w:rsidRPr="00D2134C" w:rsidRDefault="00970846" w:rsidP="00970846">
      <w:pPr>
        <w:pStyle w:val="FGCNORMAL"/>
      </w:pPr>
      <w:r w:rsidRPr="00D2134C">
        <w:t xml:space="preserve">The NDIA continues to support participants at risk of entering residential aged care, and those already living in residential aged care, to move into more age-appropriate accommodation. </w:t>
      </w:r>
      <w:r w:rsidR="005312B9" w:rsidRPr="00D2134C">
        <w:t>Between</w:t>
      </w:r>
      <w:r w:rsidRPr="00D2134C">
        <w:t xml:space="preserve"> 1 July 2021 </w:t>
      </w:r>
      <w:r w:rsidR="001567F3">
        <w:t>and</w:t>
      </w:r>
      <w:r w:rsidRPr="00D2134C">
        <w:t xml:space="preserve"> 30 June 2022, 178 participants transitioned from residential aged care into age-appropriate settings. </w:t>
      </w:r>
      <w:r w:rsidR="00F37743" w:rsidRPr="00D2134C">
        <w:t>Of these,</w:t>
      </w:r>
      <w:r w:rsidRPr="00D2134C">
        <w:t xml:space="preserve"> 32 exited to their own home (rented or owned), 39 exited to SDA, 91 exited to other shared living arrangements using SIL funding or to other group residential settings, and 16 </w:t>
      </w:r>
      <w:r w:rsidR="00DA3127" w:rsidRPr="00D2134C">
        <w:t>are</w:t>
      </w:r>
      <w:r w:rsidRPr="00D2134C">
        <w:t xml:space="preserve"> in other types of accommodation settings.</w:t>
      </w:r>
    </w:p>
    <w:p w14:paraId="4E3A531C" w14:textId="77777777" w:rsidR="00970846" w:rsidRPr="00D2134C" w:rsidRDefault="00970846" w:rsidP="00970846">
      <w:pPr>
        <w:pStyle w:val="FGCHEADING4"/>
      </w:pPr>
      <w:r w:rsidRPr="00D2134C">
        <w:t>Supporting younger people living in residential aged care</w:t>
      </w:r>
    </w:p>
    <w:p w14:paraId="2E93454B" w14:textId="0FE7570B" w:rsidR="00970846" w:rsidRPr="00D2134C" w:rsidRDefault="00970846" w:rsidP="00970846">
      <w:pPr>
        <w:pStyle w:val="FGCNORMAL"/>
      </w:pPr>
      <w:r w:rsidRPr="00D2134C">
        <w:t xml:space="preserve">The NDIA continues to support younger participants currently living in residential aged care to explore alternative home and living options. The NDIA’s team of </w:t>
      </w:r>
      <w:r w:rsidR="003373E8">
        <w:t xml:space="preserve">88 </w:t>
      </w:r>
      <w:r w:rsidRPr="00D2134C">
        <w:t xml:space="preserve">specialist YPIRAC planners hold regular check-ins and dedicated conversations with participants, their </w:t>
      </w:r>
      <w:proofErr w:type="gramStart"/>
      <w:r w:rsidRPr="00D2134C">
        <w:t>families</w:t>
      </w:r>
      <w:proofErr w:type="gramEnd"/>
      <w:r w:rsidRPr="00D2134C">
        <w:t xml:space="preserve"> and carers to understand and support younger participants’ home and living goals and ensure </w:t>
      </w:r>
      <w:r w:rsidR="00234411">
        <w:br/>
      </w:r>
      <w:r w:rsidRPr="00D2134C">
        <w:t>decision</w:t>
      </w:r>
      <w:r w:rsidR="00234411">
        <w:t>-</w:t>
      </w:r>
      <w:r w:rsidRPr="00D2134C">
        <w:t>making is fully informed and current.</w:t>
      </w:r>
    </w:p>
    <w:p w14:paraId="62D62C34" w14:textId="2C3032FD" w:rsidR="00970846" w:rsidRPr="00D2134C" w:rsidRDefault="00970846" w:rsidP="00970846">
      <w:pPr>
        <w:pStyle w:val="FGCNORMAL"/>
      </w:pPr>
      <w:r w:rsidRPr="00D2134C">
        <w:t xml:space="preserve">To further support the work of the specialist YPIRAC planners, the NDIA has established a dedicated team to provide intensive, </w:t>
      </w:r>
      <w:proofErr w:type="gramStart"/>
      <w:r w:rsidRPr="00D2134C">
        <w:t>proactive</w:t>
      </w:r>
      <w:proofErr w:type="gramEnd"/>
      <w:r w:rsidRPr="00D2134C">
        <w:t xml:space="preserve"> and individualised support to source age-appropriate accommodation and services for NDIS participants under the age of 65 who are currently living in, or at risk of entering, residential aged care.</w:t>
      </w:r>
    </w:p>
    <w:p w14:paraId="4D6ABE8D" w14:textId="5020D83E" w:rsidR="00970846" w:rsidRPr="00D2134C" w:rsidRDefault="00970846" w:rsidP="00970846">
      <w:pPr>
        <w:pStyle w:val="FGCNORMAL"/>
      </w:pPr>
      <w:r w:rsidRPr="00D2134C">
        <w:t xml:space="preserve">As </w:t>
      </w:r>
      <w:proofErr w:type="gramStart"/>
      <w:r w:rsidRPr="00D2134C">
        <w:t>at</w:t>
      </w:r>
      <w:proofErr w:type="gramEnd"/>
      <w:r w:rsidRPr="00D2134C">
        <w:t xml:space="preserve"> 30 June 2022, there were 2,530 participants aged under 65 years in residential aged care with an approved NDIS plan, including 64 who were aged under 45 years (2.5</w:t>
      </w:r>
      <w:r w:rsidR="00C650EB" w:rsidRPr="00D2134C">
        <w:t>%</w:t>
      </w:r>
      <w:r w:rsidRPr="00D2134C">
        <w:t>)</w:t>
      </w:r>
      <w:r w:rsidR="00505C27" w:rsidRPr="00D2134C">
        <w:t>.</w:t>
      </w:r>
      <w:r w:rsidRPr="00D2134C">
        <w:rPr>
          <w:rStyle w:val="FootnoteReference"/>
          <w:sz w:val="18"/>
          <w:szCs w:val="18"/>
        </w:rPr>
        <w:footnoteReference w:id="5"/>
      </w:r>
    </w:p>
    <w:p w14:paraId="131D0423" w14:textId="1714B58B" w:rsidR="00970846" w:rsidRPr="00D2134C" w:rsidRDefault="00970846" w:rsidP="00970846">
      <w:pPr>
        <w:pStyle w:val="FGCNORMAL"/>
      </w:pPr>
      <w:r w:rsidRPr="00D2134C">
        <w:t>In addition to fewer participants entering residential aged care, since 1 July 2016,</w:t>
      </w:r>
      <w:r w:rsidR="00D41D06">
        <w:t xml:space="preserve"> a total of</w:t>
      </w:r>
      <w:r w:rsidRPr="00D2134C">
        <w:t xml:space="preserve"> 819 participants who had been in residential aged care </w:t>
      </w:r>
      <w:r w:rsidR="0041638C" w:rsidRPr="00D2134C">
        <w:t xml:space="preserve">have been </w:t>
      </w:r>
      <w:r w:rsidRPr="00D2134C">
        <w:t>moved to more appropriate accommodation.</w:t>
      </w:r>
    </w:p>
    <w:p w14:paraId="5B346F2E" w14:textId="77777777" w:rsidR="00970846" w:rsidRPr="00D2134C" w:rsidRDefault="00970846" w:rsidP="00970846">
      <w:pPr>
        <w:pStyle w:val="FGCNORMAL"/>
      </w:pPr>
      <w:r w:rsidRPr="00D2134C">
        <w:t>The NDIA has significantly reduced the number of participants entering residential aged care and continues to support participants already living in residential aged care to move into more age-appropriate accommodation, if that is their choice.</w:t>
      </w:r>
    </w:p>
    <w:p w14:paraId="672E4981" w14:textId="77777777" w:rsidR="00970846" w:rsidRPr="00D2134C" w:rsidRDefault="00970846" w:rsidP="008A259C">
      <w:pPr>
        <w:pStyle w:val="FGCHEADING4"/>
      </w:pPr>
      <w:bookmarkStart w:id="76" w:name="_Toc85462142"/>
      <w:r w:rsidRPr="00D2134C">
        <w:t>Empowering NDIS participants’ decisions</w:t>
      </w:r>
      <w:bookmarkEnd w:id="76"/>
      <w:r w:rsidRPr="00D2134C">
        <w:t xml:space="preserve"> </w:t>
      </w:r>
    </w:p>
    <w:p w14:paraId="75C6BD97" w14:textId="77777777" w:rsidR="00970846" w:rsidRPr="00D2134C" w:rsidRDefault="00970846" w:rsidP="00970846">
      <w:pPr>
        <w:pStyle w:val="FGCNORMAL"/>
      </w:pPr>
      <w:bookmarkStart w:id="77" w:name="_Toc85462141"/>
      <w:r w:rsidRPr="00D2134C">
        <w:t>The NDIA is developing a policy to guide our approach to empowering participants to make decisions and remain in control of their lives.</w:t>
      </w:r>
    </w:p>
    <w:p w14:paraId="646440FD" w14:textId="68E39B3F" w:rsidR="00970846" w:rsidRPr="00D2134C" w:rsidRDefault="00970846" w:rsidP="00970846">
      <w:pPr>
        <w:pStyle w:val="FGCNORMAL"/>
      </w:pPr>
      <w:r w:rsidRPr="00D2134C">
        <w:t xml:space="preserve">The NDIA released a consultation paper on the proposed </w:t>
      </w:r>
      <w:r w:rsidR="004129FB" w:rsidRPr="00D2134C">
        <w:t xml:space="preserve">Support for Decision Making </w:t>
      </w:r>
      <w:r w:rsidRPr="00D2134C">
        <w:t xml:space="preserve">policy in June 2021. In 2021–22, we: </w:t>
      </w:r>
    </w:p>
    <w:p w14:paraId="6924172D" w14:textId="3B26E669" w:rsidR="00461668" w:rsidRPr="00D2134C" w:rsidRDefault="00461668" w:rsidP="00461668">
      <w:pPr>
        <w:pStyle w:val="FGCBULLET1"/>
        <w:rPr>
          <w:rFonts w:ascii="Calibri" w:eastAsia="Times New Roman" w:hAnsi="Calibri" w:cs="Calibri"/>
          <w:lang w:eastAsia="en-AU"/>
        </w:rPr>
      </w:pPr>
      <w:r w:rsidRPr="00D2134C">
        <w:t>consulted widely with people with disability, their families and carers and other stakeholders about the consultation paper</w:t>
      </w:r>
      <w:r w:rsidR="00DB2673" w:rsidRPr="00D2134C">
        <w:t>;</w:t>
      </w:r>
      <w:r w:rsidRPr="00D2134C">
        <w:t xml:space="preserve"> and published a report about what stakeholders told us. Key themes in the report covered the development of the policy and implementation plan and what is required to support people with disability to make decisions</w:t>
      </w:r>
      <w:r w:rsidR="00A74DE4">
        <w:t>,</w:t>
      </w:r>
      <w:r w:rsidRPr="00D2134C">
        <w:t xml:space="preserve"> including that:</w:t>
      </w:r>
    </w:p>
    <w:p w14:paraId="289A1B5A" w14:textId="77777777" w:rsidR="00461668" w:rsidRPr="00D2134C" w:rsidRDefault="00461668" w:rsidP="006C3304">
      <w:pPr>
        <w:pStyle w:val="ListParagraph"/>
        <w:numPr>
          <w:ilvl w:val="1"/>
          <w:numId w:val="11"/>
        </w:numPr>
        <w:spacing w:before="60" w:after="60"/>
        <w:ind w:left="1491" w:hanging="357"/>
        <w:contextualSpacing w:val="0"/>
      </w:pPr>
      <w:r w:rsidRPr="00D2134C">
        <w:t>the policy should uphold the rights of people with disability and recognise the importance of relationships</w:t>
      </w:r>
    </w:p>
    <w:p w14:paraId="3B1804CB" w14:textId="3902E99C" w:rsidR="00461668" w:rsidRPr="00D2134C" w:rsidRDefault="00461668" w:rsidP="006C3304">
      <w:pPr>
        <w:pStyle w:val="ListParagraph"/>
        <w:numPr>
          <w:ilvl w:val="1"/>
          <w:numId w:val="11"/>
        </w:numPr>
        <w:spacing w:before="60" w:after="60"/>
        <w:ind w:left="1491" w:hanging="357"/>
        <w:contextualSpacing w:val="0"/>
      </w:pPr>
      <w:r w:rsidRPr="00D2134C">
        <w:lastRenderedPageBreak/>
        <w:t>effective supported decision</w:t>
      </w:r>
      <w:r w:rsidR="00D97455">
        <w:t>-</w:t>
      </w:r>
      <w:r w:rsidRPr="00D2134C">
        <w:t xml:space="preserve">making needs time, </w:t>
      </w:r>
      <w:proofErr w:type="gramStart"/>
      <w:r w:rsidRPr="00D2134C">
        <w:t>funding</w:t>
      </w:r>
      <w:proofErr w:type="gramEnd"/>
      <w:r w:rsidRPr="00D2134C">
        <w:t xml:space="preserve"> and choice of </w:t>
      </w:r>
      <w:r w:rsidR="007906DF" w:rsidRPr="00D2134C">
        <w:t xml:space="preserve">skilled </w:t>
      </w:r>
      <w:r w:rsidRPr="00D2134C">
        <w:t>decision supporters</w:t>
      </w:r>
    </w:p>
    <w:p w14:paraId="237CA2F5" w14:textId="684C0D9B" w:rsidR="00461668" w:rsidRPr="00D2134C" w:rsidRDefault="00461668" w:rsidP="006C3304">
      <w:pPr>
        <w:pStyle w:val="ListParagraph"/>
        <w:numPr>
          <w:ilvl w:val="1"/>
          <w:numId w:val="11"/>
        </w:numPr>
        <w:spacing w:before="60" w:after="60"/>
        <w:ind w:left="1491" w:hanging="357"/>
        <w:contextualSpacing w:val="0"/>
      </w:pPr>
      <w:r w:rsidRPr="00D2134C">
        <w:t xml:space="preserve">we need to co-design the policy and plan with the disability community </w:t>
      </w:r>
    </w:p>
    <w:p w14:paraId="6B616159" w14:textId="1C95ADCB" w:rsidR="00461668" w:rsidRPr="00D2134C" w:rsidRDefault="00461668" w:rsidP="006C3304">
      <w:pPr>
        <w:pStyle w:val="ListParagraph"/>
        <w:numPr>
          <w:ilvl w:val="1"/>
          <w:numId w:val="11"/>
        </w:numPr>
        <w:spacing w:before="60" w:after="60"/>
        <w:ind w:left="1491" w:hanging="357"/>
        <w:contextualSpacing w:val="0"/>
      </w:pPr>
      <w:r w:rsidRPr="00D2134C">
        <w:t>we need to make the policy and implementation plan as easy to understand as possible.</w:t>
      </w:r>
    </w:p>
    <w:p w14:paraId="202E78A0" w14:textId="0C22A9D0" w:rsidR="00970846" w:rsidRPr="00D2134C" w:rsidRDefault="00970846" w:rsidP="00970846">
      <w:pPr>
        <w:pStyle w:val="FGCBULLET1"/>
      </w:pPr>
      <w:r w:rsidRPr="00D2134C">
        <w:t xml:space="preserve">established a steering committee to advise on how we can work in partnership with the disability community and broader stakeholder groups to finalise the policy </w:t>
      </w:r>
    </w:p>
    <w:p w14:paraId="31D6514A" w14:textId="77777777" w:rsidR="00970846" w:rsidRPr="00D2134C" w:rsidRDefault="00970846" w:rsidP="00970846">
      <w:pPr>
        <w:pStyle w:val="FGCBULLET1"/>
      </w:pPr>
      <w:r w:rsidRPr="00D2134C">
        <w:t>established a partnership with Inclusion Australia to work with people with disability to co-design the policy.</w:t>
      </w:r>
    </w:p>
    <w:p w14:paraId="05F96272" w14:textId="77777777" w:rsidR="00970846" w:rsidRPr="00D2134C" w:rsidRDefault="00970846" w:rsidP="008A259C">
      <w:pPr>
        <w:pStyle w:val="FGCHEADING4"/>
      </w:pPr>
      <w:r w:rsidRPr="00D2134C">
        <w:t>Competitive market</w:t>
      </w:r>
    </w:p>
    <w:bookmarkEnd w:id="77"/>
    <w:p w14:paraId="4B426BBB" w14:textId="77777777" w:rsidR="00970846" w:rsidRPr="00D2134C" w:rsidRDefault="00970846" w:rsidP="00970846">
      <w:pPr>
        <w:pStyle w:val="FGCNORMAL"/>
      </w:pPr>
      <w:r w:rsidRPr="00D2134C">
        <w:t xml:space="preserve">The NDIA works with stakeholders to build an informed and sustainable provider marketplace that responds to the needs of all participants. </w:t>
      </w:r>
    </w:p>
    <w:p w14:paraId="4E2BC73D" w14:textId="77777777" w:rsidR="00970846" w:rsidRPr="00D2134C" w:rsidRDefault="00970846" w:rsidP="00970846">
      <w:pPr>
        <w:pStyle w:val="FGCNORMAL"/>
      </w:pPr>
      <w:r w:rsidRPr="00D2134C">
        <w:t>We aim to improve the NDIS provider experience through:</w:t>
      </w:r>
    </w:p>
    <w:p w14:paraId="008754FE" w14:textId="4BFDC3E7" w:rsidR="00970846" w:rsidRPr="00D2134C" w:rsidRDefault="00970846" w:rsidP="00970846">
      <w:pPr>
        <w:pStyle w:val="FGCBULLET1"/>
      </w:pPr>
      <w:r w:rsidRPr="00D2134C">
        <w:t xml:space="preserve">regular consultation, </w:t>
      </w:r>
      <w:proofErr w:type="gramStart"/>
      <w:r w:rsidRPr="00D2134C">
        <w:t>education</w:t>
      </w:r>
      <w:proofErr w:type="gramEnd"/>
      <w:r w:rsidRPr="00D2134C">
        <w:t xml:space="preserve"> and events</w:t>
      </w:r>
    </w:p>
    <w:p w14:paraId="62D441FA" w14:textId="41B7C407" w:rsidR="00970846" w:rsidRPr="00D2134C" w:rsidRDefault="00970846" w:rsidP="00970846">
      <w:pPr>
        <w:pStyle w:val="FGCBULLET1"/>
      </w:pPr>
      <w:r w:rsidRPr="00D2134C">
        <w:t>reducing barriers to investment and innovation by improving information</w:t>
      </w:r>
    </w:p>
    <w:p w14:paraId="03F40C63" w14:textId="0A7F0BBF" w:rsidR="00970846" w:rsidRPr="00D2134C" w:rsidRDefault="00970846" w:rsidP="00970846">
      <w:pPr>
        <w:pStyle w:val="FGCBULLET1"/>
      </w:pPr>
      <w:r w:rsidRPr="00D2134C">
        <w:t>simplifying how providers work with the NDIA, including how they get paid</w:t>
      </w:r>
    </w:p>
    <w:p w14:paraId="448BD482" w14:textId="7F92F8E2" w:rsidR="00970846" w:rsidRPr="00D2134C" w:rsidRDefault="00970846" w:rsidP="00970846">
      <w:pPr>
        <w:pStyle w:val="FGCBULLET1"/>
      </w:pPr>
      <w:r w:rsidRPr="00D2134C">
        <w:t>clarifying pricing arrangements and guidance</w:t>
      </w:r>
    </w:p>
    <w:p w14:paraId="43644EF3" w14:textId="0E6F23B5" w:rsidR="00970846" w:rsidRPr="00D2134C" w:rsidRDefault="00970846" w:rsidP="00970846">
      <w:pPr>
        <w:pStyle w:val="FGCBULLET1"/>
      </w:pPr>
      <w:r w:rsidRPr="00D2134C">
        <w:t>analysing data to identify markets with few providers and/or low uptake of NDIS supports (see ‘Thin markets’) and intervening to address the causes.</w:t>
      </w:r>
    </w:p>
    <w:p w14:paraId="7A35A44E" w14:textId="4077D08D" w:rsidR="00970846" w:rsidRPr="00D2134C" w:rsidRDefault="00970846" w:rsidP="00970846">
      <w:pPr>
        <w:pStyle w:val="FGCNORMAL"/>
      </w:pPr>
      <w:r w:rsidRPr="00D2134C">
        <w:t xml:space="preserve">In 2021–22, the NDIA held targeted education sessions for providers about operational and policy changes to the NDIS. We delivered more than 117 information and education sessions, with over 16,614 registered attendees. These </w:t>
      </w:r>
      <w:r w:rsidR="008849DA" w:rsidRPr="00D2134C">
        <w:t xml:space="preserve">sessions </w:t>
      </w:r>
      <w:r w:rsidRPr="00D2134C">
        <w:t>included monthly virtual engagement sessions to help providers to successfully operate within the Scheme, covering a broad range of topics including assistive technology and employment supports.</w:t>
      </w:r>
    </w:p>
    <w:p w14:paraId="76ED30FB" w14:textId="2AD87B6F" w:rsidR="00970846" w:rsidRPr="00D2134C" w:rsidRDefault="00970846" w:rsidP="00970846">
      <w:pPr>
        <w:pStyle w:val="FGCNORMAL"/>
      </w:pPr>
      <w:r w:rsidRPr="00D2134C">
        <w:t>In November 2021</w:t>
      </w:r>
      <w:r w:rsidR="005D3D7A" w:rsidRPr="00D2134C">
        <w:t>,</w:t>
      </w:r>
      <w:r w:rsidRPr="00D2134C">
        <w:t xml:space="preserve"> the NDIA released a paper</w:t>
      </w:r>
      <w:r w:rsidR="005825CC" w:rsidRPr="00D2134C">
        <w:t>,</w:t>
      </w:r>
      <w:r w:rsidRPr="00D2134C">
        <w:t xml:space="preserve"> ‘Improving Support Coordination for NDIS Participants’, which summarised what we heard during consultations and clarified the role of support coordinator</w:t>
      </w:r>
      <w:r w:rsidR="0078238A">
        <w:t>s</w:t>
      </w:r>
      <w:r w:rsidRPr="00D2134C">
        <w:t>. We held information sessions for support coordinators and other sector representatives to highlight the paper. We then offered capacity and skills development workshops covering topics and themes identified in our consultations.</w:t>
      </w:r>
    </w:p>
    <w:p w14:paraId="047CF5B6" w14:textId="77777777" w:rsidR="00970846" w:rsidRPr="00D2134C" w:rsidRDefault="00970846" w:rsidP="00EE2D88">
      <w:pPr>
        <w:pStyle w:val="FGCHEADING5"/>
        <w:numPr>
          <w:ilvl w:val="0"/>
          <w:numId w:val="0"/>
        </w:numPr>
        <w:ind w:left="652"/>
      </w:pPr>
      <w:r w:rsidRPr="00D2134C">
        <w:t xml:space="preserve">Thin </w:t>
      </w:r>
      <w:r w:rsidRPr="003765DD">
        <w:t>markets</w:t>
      </w:r>
    </w:p>
    <w:p w14:paraId="48EB0994" w14:textId="48B2D3BE" w:rsidR="00970846" w:rsidRPr="00D2134C" w:rsidRDefault="00970846" w:rsidP="00970846">
      <w:pPr>
        <w:pStyle w:val="FGCNORMAL"/>
      </w:pPr>
      <w:r w:rsidRPr="00D2134C">
        <w:t>The NDIA continues to identify thin markets and prioritise market intervention projects based on highest participant need. As of 30 June 2022</w:t>
      </w:r>
      <w:r w:rsidR="005D3D7A" w:rsidRPr="00D2134C">
        <w:t>,</w:t>
      </w:r>
      <w:r w:rsidRPr="00D2134C">
        <w:t xml:space="preserve"> there are 26 projects underway. Project teams work with the community to understand local needs</w:t>
      </w:r>
      <w:r w:rsidR="00523669" w:rsidRPr="00D2134C">
        <w:t>;</w:t>
      </w:r>
      <w:r w:rsidRPr="00D2134C">
        <w:t xml:space="preserve"> and with providers and others to resolve issues such as poor market connections, low </w:t>
      </w:r>
      <w:proofErr w:type="gramStart"/>
      <w:r w:rsidRPr="00D2134C">
        <w:t>demand</w:t>
      </w:r>
      <w:proofErr w:type="gramEnd"/>
      <w:r w:rsidRPr="00D2134C">
        <w:t xml:space="preserve"> and other barriers to service provision. </w:t>
      </w:r>
    </w:p>
    <w:p w14:paraId="7BDB5106" w14:textId="77777777" w:rsidR="00970846" w:rsidRPr="00D2134C" w:rsidRDefault="00970846" w:rsidP="00970846">
      <w:pPr>
        <w:pStyle w:val="FGCNORMAL"/>
      </w:pPr>
      <w:r w:rsidRPr="00D2134C">
        <w:t xml:space="preserve">In 2021–22, we completed 9 market intervention projects: </w:t>
      </w:r>
    </w:p>
    <w:p w14:paraId="27C0405A" w14:textId="0F71F119" w:rsidR="00970846" w:rsidRPr="00D2134C" w:rsidRDefault="00970846" w:rsidP="00970846">
      <w:pPr>
        <w:pStyle w:val="FGCBULLET1"/>
      </w:pPr>
      <w:r w:rsidRPr="00D2134C">
        <w:t xml:space="preserve">In Doomadgee, Queensland, we intervened to improve the market across all supports, for all NDIS participants. Most participants in the area identify as Aboriginal or Torres Strait Islander. The intervention resulted in 3 providers entering the market: a locally based core supports provider and 2 therapy providers – one fly-in-fly-out and the other offering virtual services. Average plan </w:t>
      </w:r>
      <w:proofErr w:type="gramStart"/>
      <w:r w:rsidRPr="00D2134C">
        <w:t>spend</w:t>
      </w:r>
      <w:proofErr w:type="gramEnd"/>
      <w:r w:rsidRPr="00D2134C">
        <w:t xml:space="preserve"> improved strongly, especially for core supports. Establishing a community-based core provider has increased participant engagement and plan uptake </w:t>
      </w:r>
      <w:proofErr w:type="gramStart"/>
      <w:r w:rsidRPr="00D2134C">
        <w:t>and also</w:t>
      </w:r>
      <w:proofErr w:type="gramEnd"/>
      <w:r w:rsidRPr="00D2134C">
        <w:t xml:space="preserve"> provides a more visible NDIS presence in the community.</w:t>
      </w:r>
    </w:p>
    <w:p w14:paraId="15718933" w14:textId="213B1417" w:rsidR="00970846" w:rsidRPr="00D2134C" w:rsidRDefault="00970846" w:rsidP="00970846">
      <w:pPr>
        <w:pStyle w:val="FGCBULLET1"/>
      </w:pPr>
      <w:r w:rsidRPr="00D2134C">
        <w:t xml:space="preserve">In Woorabinda, Queensland, we focused on a target cohort of 13 participants, all identifying as Aboriginal or Torres Strait Islander. The intervention resulted in 4 new providers entering the market, offering core supports and therapy and the establishment of a provider network. Average plan </w:t>
      </w:r>
      <w:proofErr w:type="gramStart"/>
      <w:r w:rsidRPr="00D2134C">
        <w:t>spend</w:t>
      </w:r>
      <w:proofErr w:type="gramEnd"/>
      <w:r w:rsidRPr="00D2134C">
        <w:t xml:space="preserve"> improved strongly, with several participants starting to access services having not previously been using their NDIS plan.</w:t>
      </w:r>
    </w:p>
    <w:p w14:paraId="3FA92E76" w14:textId="77777777" w:rsidR="00970846" w:rsidRPr="00D2134C" w:rsidRDefault="00970846" w:rsidP="00970846">
      <w:pPr>
        <w:pStyle w:val="FGCBULLET1"/>
      </w:pPr>
      <w:r w:rsidRPr="00D2134C">
        <w:lastRenderedPageBreak/>
        <w:t>In King Island, Tasmania, we intervened to improve participants’ connections to core daily activities providers. The intervention resulted in participants having better connections to NDIS providers and more choice and control. It also increased provider awareness of data and insights available to them to understand demand in the area.</w:t>
      </w:r>
    </w:p>
    <w:p w14:paraId="586842E7" w14:textId="7F9EDD42" w:rsidR="00970846" w:rsidRPr="00D2134C" w:rsidRDefault="00970846" w:rsidP="00970846">
      <w:pPr>
        <w:pStyle w:val="FGCBULLET1"/>
      </w:pPr>
      <w:r w:rsidRPr="00D2134C">
        <w:t xml:space="preserve">In Alice Springs, Northern Territory, we intervened to increase the use of all types of supports by 96 participants. Most of these participants identified as Aboriginal or Torres Strait Islander. The project resulted in improved market connections and support for participants to obtain the services they were seeking. Average plan </w:t>
      </w:r>
      <w:proofErr w:type="gramStart"/>
      <w:r w:rsidRPr="00D2134C">
        <w:t>spend</w:t>
      </w:r>
      <w:proofErr w:type="gramEnd"/>
      <w:r w:rsidRPr="00D2134C">
        <w:t xml:space="preserve"> increased by more than 300</w:t>
      </w:r>
      <w:r w:rsidR="00C650EB" w:rsidRPr="00D2134C">
        <w:t>%</w:t>
      </w:r>
      <w:r w:rsidRPr="00D2134C">
        <w:t xml:space="preserve"> and a number of providers commenced or recommenced NDIS service delivery in the area.</w:t>
      </w:r>
    </w:p>
    <w:p w14:paraId="32DB702F" w14:textId="497A9FC6" w:rsidR="00970846" w:rsidRPr="00D2134C" w:rsidRDefault="00970846" w:rsidP="00970846">
      <w:pPr>
        <w:pStyle w:val="FGCBULLET1"/>
      </w:pPr>
      <w:r w:rsidRPr="00D2134C">
        <w:t xml:space="preserve">In MacDonnell, Northern Territory, we intervened to improve the connectivity and functionality of the market for 41 NDIS participants. As a result of this work, the average </w:t>
      </w:r>
      <w:r w:rsidR="002D3BF2" w:rsidRPr="00D2134C">
        <w:t xml:space="preserve">plan </w:t>
      </w:r>
      <w:proofErr w:type="gramStart"/>
      <w:r w:rsidR="002D3BF2" w:rsidRPr="00D2134C">
        <w:t>spend</w:t>
      </w:r>
      <w:proofErr w:type="gramEnd"/>
      <w:r w:rsidR="002D3BF2" w:rsidRPr="00D2134C">
        <w:t xml:space="preserve"> </w:t>
      </w:r>
      <w:r w:rsidRPr="00D2134C">
        <w:t>per participant almost doubled and a range of providers commenced or recommenced NDIS service delivery in the area.</w:t>
      </w:r>
    </w:p>
    <w:p w14:paraId="276B93DE" w14:textId="77777777" w:rsidR="00970846" w:rsidRPr="00D2134C" w:rsidRDefault="00970846" w:rsidP="00970846">
      <w:pPr>
        <w:pStyle w:val="FGCBULLET1"/>
      </w:pPr>
      <w:r w:rsidRPr="00D2134C">
        <w:t xml:space="preserve">In Derwent Valley, Tasmania, we sought to understand why participants may not be connecting to services. This project supported 9 participants who had not previously received any services from the NDIS to connect to services. </w:t>
      </w:r>
    </w:p>
    <w:p w14:paraId="6514687D" w14:textId="77777777" w:rsidR="00970846" w:rsidRPr="00D2134C" w:rsidRDefault="00970846" w:rsidP="00970846">
      <w:pPr>
        <w:pStyle w:val="FGCBULLET1"/>
      </w:pPr>
      <w:r w:rsidRPr="00D2134C">
        <w:t xml:space="preserve">In Broome, Western Australia, we facilitated a coordinated funding proposal to deliver orthotics and prosthetic assessments and supports to 19 participants. The project enabled support coordinators to work together to pool participant funds and engage providers, resulting in successful delivery of assessments and services to participants. </w:t>
      </w:r>
    </w:p>
    <w:p w14:paraId="5AF97021" w14:textId="77777777" w:rsidR="00970846" w:rsidRPr="00D2134C" w:rsidRDefault="00970846" w:rsidP="00970846">
      <w:pPr>
        <w:pStyle w:val="FGCBULLET1"/>
      </w:pPr>
      <w:r w:rsidRPr="00D2134C">
        <w:t>In Golden Plains, Victoria, we sought to resolve participants’ barriers to implementing their NDIS plan. The project gave us a better understanding of participants’ readiness to engage with services in the area. It also promoted the Provider Finder as a helpful tool for connecting providers and participants.</w:t>
      </w:r>
    </w:p>
    <w:p w14:paraId="2E4F9155" w14:textId="727E7F2F" w:rsidR="00970846" w:rsidRPr="00D2134C" w:rsidRDefault="00970846" w:rsidP="00970846">
      <w:pPr>
        <w:pStyle w:val="FGCBULLET1"/>
      </w:pPr>
      <w:r w:rsidRPr="00D2134C">
        <w:t>In Circular Head, Tasmania, we intervened to support 18 participants who were using little of their plan budgets. Most of these participants identified as Aboriginal and Torres Strait Islander. Th</w:t>
      </w:r>
      <w:r w:rsidR="00EC4E3C" w:rsidRPr="00D2134C">
        <w:t>is</w:t>
      </w:r>
      <w:r w:rsidRPr="00D2134C">
        <w:t xml:space="preserve"> enabled all participants to activate their NDIS plans, connect with NDIS providers and increase their choice and control.</w:t>
      </w:r>
      <w:r w:rsidR="008D4BE6" w:rsidRPr="00D2134C">
        <w:t xml:space="preserve"> It also helped local providers understand better the support needs of local participant</w:t>
      </w:r>
      <w:r w:rsidR="005C3F54" w:rsidRPr="00D2134C">
        <w:t>s</w:t>
      </w:r>
      <w:r w:rsidR="008D4BE6" w:rsidRPr="00D2134C">
        <w:t>.</w:t>
      </w:r>
    </w:p>
    <w:p w14:paraId="3D874092" w14:textId="63F7BC0C" w:rsidR="00970846" w:rsidRPr="00D2134C" w:rsidRDefault="00970846" w:rsidP="00EE2D88">
      <w:pPr>
        <w:pStyle w:val="FGCHEADING5"/>
        <w:numPr>
          <w:ilvl w:val="0"/>
          <w:numId w:val="0"/>
        </w:numPr>
        <w:ind w:left="652"/>
      </w:pPr>
      <w:r w:rsidRPr="00D2134C">
        <w:t xml:space="preserve">Specialist </w:t>
      </w:r>
      <w:r w:rsidR="00A11927">
        <w:t>D</w:t>
      </w:r>
      <w:r w:rsidRPr="00D2134C">
        <w:t xml:space="preserve">isability </w:t>
      </w:r>
      <w:r w:rsidR="00A11927">
        <w:t>A</w:t>
      </w:r>
      <w:r w:rsidRPr="00D2134C">
        <w:t>ccommodation</w:t>
      </w:r>
    </w:p>
    <w:p w14:paraId="08C500F3" w14:textId="3EA097FB" w:rsidR="00970846" w:rsidRPr="00D2134C" w:rsidRDefault="00970846" w:rsidP="00970846">
      <w:pPr>
        <w:pStyle w:val="FGCNORMAL"/>
      </w:pPr>
      <w:r w:rsidRPr="00D2134C">
        <w:t>The NDIA works to continuously improve the</w:t>
      </w:r>
      <w:r w:rsidR="002545AD">
        <w:t xml:space="preserve"> </w:t>
      </w:r>
      <w:r w:rsidRPr="00D2134C">
        <w:t>SDA experience for participants and strengthen the market for providers. In 2021–22</w:t>
      </w:r>
      <w:r w:rsidR="005C3F54" w:rsidRPr="00D2134C">
        <w:t>,</w:t>
      </w:r>
      <w:r w:rsidRPr="00D2134C">
        <w:t xml:space="preserve"> we engaged extensively with participants, the SDA Reference </w:t>
      </w:r>
      <w:proofErr w:type="gramStart"/>
      <w:r w:rsidRPr="00D2134C">
        <w:t>Group</w:t>
      </w:r>
      <w:proofErr w:type="gramEnd"/>
      <w:r w:rsidRPr="00D2134C">
        <w:t xml:space="preserve"> and the SDA sector to understand how to provide greater clarity on SDA eligibility and how to improve processes and the timeliness of decisions. </w:t>
      </w:r>
    </w:p>
    <w:p w14:paraId="1CDC25AE" w14:textId="4150717F" w:rsidR="00970846" w:rsidRPr="00D2134C" w:rsidRDefault="00DB6A40" w:rsidP="00970846">
      <w:pPr>
        <w:pStyle w:val="FGCNORMAL"/>
      </w:pPr>
      <w:r w:rsidRPr="00D2134C">
        <w:t>W</w:t>
      </w:r>
      <w:r w:rsidR="00970846" w:rsidRPr="00D2134C">
        <w:t xml:space="preserve">e </w:t>
      </w:r>
      <w:r w:rsidRPr="00D2134C">
        <w:t xml:space="preserve">also </w:t>
      </w:r>
      <w:r w:rsidR="00970846" w:rsidRPr="00D2134C">
        <w:t xml:space="preserve">launched </w:t>
      </w:r>
      <w:r w:rsidRPr="00D2134C">
        <w:t xml:space="preserve">the </w:t>
      </w:r>
      <w:r w:rsidR="00970846" w:rsidRPr="00D2134C">
        <w:t xml:space="preserve">SDA Finder </w:t>
      </w:r>
      <w:r w:rsidR="000C4D77" w:rsidRPr="00D2134C">
        <w:sym w:font="Symbol" w:char="F02D"/>
      </w:r>
      <w:r w:rsidR="009F1F0C" w:rsidRPr="00D2134C">
        <w:t xml:space="preserve"> </w:t>
      </w:r>
      <w:r w:rsidR="00970846" w:rsidRPr="00D2134C">
        <w:t xml:space="preserve">an online interactive platform that helps participants to find suitable SDA homes and enables providers to advertise their SDA vacancies and access SDA demand data. Use of this tool has been strong. </w:t>
      </w:r>
    </w:p>
    <w:p w14:paraId="449E4A6B" w14:textId="2B3E8471" w:rsidR="00970846" w:rsidRPr="00D2134C" w:rsidRDefault="00970846" w:rsidP="00970846">
      <w:pPr>
        <w:pStyle w:val="FGCNORMAL"/>
      </w:pPr>
      <w:r w:rsidRPr="00D2134C">
        <w:t xml:space="preserve">The NDIA continues to improve SDA supply and demand data through the SDA Quarterly </w:t>
      </w:r>
      <w:r w:rsidR="005A0FB1" w:rsidRPr="00D2134C">
        <w:t>R</w:t>
      </w:r>
      <w:r w:rsidRPr="00D2134C">
        <w:t xml:space="preserve">eport. The SDA Quarterly Report can be accessed </w:t>
      </w:r>
      <w:r w:rsidR="005A0FB1" w:rsidRPr="00D2134C">
        <w:t xml:space="preserve">on </w:t>
      </w:r>
      <w:r w:rsidRPr="00D2134C">
        <w:t xml:space="preserve">the </w:t>
      </w:r>
      <w:hyperlink r:id="rId43" w:anchor="specialist-disability-accommodation-sda-quarterly-report" w:history="1">
        <w:r w:rsidRPr="00D2134C">
          <w:rPr>
            <w:rStyle w:val="Hyperlink"/>
          </w:rPr>
          <w:t>NDIS website</w:t>
        </w:r>
      </w:hyperlink>
      <w:r w:rsidRPr="00D2134C">
        <w:t xml:space="preserve">. </w:t>
      </w:r>
    </w:p>
    <w:p w14:paraId="323E9EBA" w14:textId="0B6C1936" w:rsidR="00970846" w:rsidRPr="00D2134C" w:rsidRDefault="00970846" w:rsidP="00970846">
      <w:pPr>
        <w:pStyle w:val="FGCNORMAL"/>
        <w:rPr>
          <w:lang w:eastAsia="en-US"/>
        </w:rPr>
      </w:pPr>
      <w:r w:rsidRPr="00D2134C">
        <w:rPr>
          <w:lang w:eastAsia="en-US"/>
        </w:rPr>
        <w:t>The number of active participants with SDA supports has increased by 13</w:t>
      </w:r>
      <w:r w:rsidR="00C650EB" w:rsidRPr="00D2134C">
        <w:rPr>
          <w:lang w:eastAsia="en-US"/>
        </w:rPr>
        <w:t>%</w:t>
      </w:r>
      <w:r w:rsidRPr="00D2134C">
        <w:rPr>
          <w:lang w:eastAsia="en-US"/>
        </w:rPr>
        <w:t xml:space="preserve"> annually over the last 3 years, reaching 19,358 as </w:t>
      </w:r>
      <w:proofErr w:type="gramStart"/>
      <w:r w:rsidRPr="00D2134C">
        <w:rPr>
          <w:lang w:eastAsia="en-US"/>
        </w:rPr>
        <w:t>at</w:t>
      </w:r>
      <w:proofErr w:type="gramEnd"/>
      <w:r w:rsidRPr="00D2134C">
        <w:rPr>
          <w:lang w:eastAsia="en-US"/>
        </w:rPr>
        <w:t xml:space="preserve"> 30 June 2022. The average plan budget for SDA supports </w:t>
      </w:r>
      <w:r w:rsidR="002B110F" w:rsidRPr="00D2134C">
        <w:rPr>
          <w:lang w:eastAsia="en-US"/>
        </w:rPr>
        <w:t xml:space="preserve">has </w:t>
      </w:r>
      <w:r w:rsidRPr="00D2134C">
        <w:rPr>
          <w:lang w:eastAsia="en-US"/>
        </w:rPr>
        <w:t>also increased by around 9</w:t>
      </w:r>
      <w:r w:rsidR="00C650EB" w:rsidRPr="00D2134C">
        <w:rPr>
          <w:lang w:eastAsia="en-US"/>
        </w:rPr>
        <w:t>%</w:t>
      </w:r>
      <w:r w:rsidRPr="00D2134C">
        <w:rPr>
          <w:lang w:eastAsia="en-US"/>
        </w:rPr>
        <w:t xml:space="preserve"> per annum, leading to an increase in total SDA supports in participant plans by around 23</w:t>
      </w:r>
      <w:r w:rsidR="00C650EB" w:rsidRPr="00D2134C">
        <w:rPr>
          <w:lang w:eastAsia="en-US"/>
        </w:rPr>
        <w:t>%</w:t>
      </w:r>
      <w:r w:rsidRPr="00D2134C">
        <w:rPr>
          <w:lang w:eastAsia="en-US"/>
        </w:rPr>
        <w:t xml:space="preserve"> per annum, from $144 million as </w:t>
      </w:r>
      <w:proofErr w:type="gramStart"/>
      <w:r w:rsidRPr="00D2134C">
        <w:rPr>
          <w:lang w:eastAsia="en-US"/>
        </w:rPr>
        <w:t>at</w:t>
      </w:r>
      <w:proofErr w:type="gramEnd"/>
      <w:r w:rsidRPr="00D2134C">
        <w:rPr>
          <w:lang w:eastAsia="en-US"/>
        </w:rPr>
        <w:t xml:space="preserve"> 30 June 2019 to $271 million as at 30 June 2022. </w:t>
      </w:r>
    </w:p>
    <w:p w14:paraId="275C24BB" w14:textId="7767CF9E" w:rsidR="00970846" w:rsidRPr="00D2134C" w:rsidRDefault="00970846" w:rsidP="00970846">
      <w:pPr>
        <w:pStyle w:val="FGCNORMAL"/>
      </w:pPr>
      <w:r w:rsidRPr="00D2134C">
        <w:rPr>
          <w:lang w:eastAsia="en-US"/>
        </w:rPr>
        <w:lastRenderedPageBreak/>
        <w:t>Total SDA payments have increased by 49</w:t>
      </w:r>
      <w:r w:rsidR="00C650EB" w:rsidRPr="00D2134C">
        <w:rPr>
          <w:lang w:eastAsia="en-US"/>
        </w:rPr>
        <w:t>%</w:t>
      </w:r>
      <w:r w:rsidRPr="00D2134C">
        <w:rPr>
          <w:lang w:eastAsia="en-US"/>
        </w:rPr>
        <w:t xml:space="preserve"> annually over the last 3 years, from $56 million to $186 million</w:t>
      </w:r>
      <w:r w:rsidR="002B110F" w:rsidRPr="00D2134C">
        <w:rPr>
          <w:lang w:eastAsia="en-US"/>
        </w:rPr>
        <w:t>.</w:t>
      </w:r>
      <w:r w:rsidRPr="00D2134C">
        <w:rPr>
          <w:rStyle w:val="FootnoteReference"/>
          <w:sz w:val="18"/>
          <w:szCs w:val="18"/>
          <w:lang w:eastAsia="en-US"/>
        </w:rPr>
        <w:footnoteReference w:id="6"/>
      </w:r>
      <w:r w:rsidRPr="00D2134C">
        <w:rPr>
          <w:lang w:eastAsia="en-US"/>
        </w:rPr>
        <w:t xml:space="preserve"> The average SDA payments per participant </w:t>
      </w:r>
      <w:r w:rsidR="002B110F" w:rsidRPr="00D2134C">
        <w:rPr>
          <w:lang w:eastAsia="en-US"/>
        </w:rPr>
        <w:t xml:space="preserve">has </w:t>
      </w:r>
      <w:r w:rsidRPr="00D2134C">
        <w:rPr>
          <w:lang w:eastAsia="en-US"/>
        </w:rPr>
        <w:t>also increased, by 27</w:t>
      </w:r>
      <w:r w:rsidR="00C650EB" w:rsidRPr="00D2134C">
        <w:rPr>
          <w:lang w:eastAsia="en-US"/>
        </w:rPr>
        <w:t>%</w:t>
      </w:r>
      <w:r w:rsidRPr="00D2134C">
        <w:rPr>
          <w:lang w:eastAsia="en-US"/>
        </w:rPr>
        <w:t xml:space="preserve"> per annum.</w:t>
      </w:r>
    </w:p>
    <w:p w14:paraId="14F9E7A3" w14:textId="6494D715" w:rsidR="00970846" w:rsidRPr="00D2134C" w:rsidRDefault="00970846" w:rsidP="00EE2D88">
      <w:pPr>
        <w:pStyle w:val="FGCHEADING5"/>
        <w:ind w:left="567"/>
      </w:pPr>
      <w:r w:rsidRPr="00D2134C">
        <w:t>Supported independent living pricing and policy reform</w:t>
      </w:r>
    </w:p>
    <w:p w14:paraId="5238198D" w14:textId="5BDB61AA" w:rsidR="00970846" w:rsidRPr="00D2134C" w:rsidRDefault="00970846" w:rsidP="00970846">
      <w:pPr>
        <w:pStyle w:val="FGCNORMAL"/>
      </w:pPr>
      <w:r w:rsidRPr="00D2134C">
        <w:t>The NDIA is undertaking a co-design project to deliver the large-scale reform required to improve home and living for NDIS participants (</w:t>
      </w:r>
      <w:r w:rsidR="004D033A">
        <w:t xml:space="preserve">refer to </w:t>
      </w:r>
      <w:r w:rsidR="00D174FA">
        <w:t>‘Supporting NDIS participants to pursue their home and living goals’</w:t>
      </w:r>
      <w:r w:rsidR="004D033A" w:rsidRPr="004D033A">
        <w:t xml:space="preserve"> </w:t>
      </w:r>
      <w:r w:rsidR="004D033A">
        <w:t xml:space="preserve">in section </w:t>
      </w:r>
      <w:r w:rsidR="004D033A">
        <w:fldChar w:fldCharType="begin"/>
      </w:r>
      <w:r w:rsidR="004D033A">
        <w:instrText xml:space="preserve"> REF _Ref113354940 \r \h </w:instrText>
      </w:r>
      <w:r w:rsidR="004D033A">
        <w:fldChar w:fldCharType="separate"/>
      </w:r>
      <w:r w:rsidR="004D033A">
        <w:t>2.2.3</w:t>
      </w:r>
      <w:r w:rsidR="004D033A">
        <w:fldChar w:fldCharType="end"/>
      </w:r>
      <w:r w:rsidRPr="00D2134C">
        <w:t xml:space="preserve">). </w:t>
      </w:r>
      <w:r w:rsidR="00D7017D">
        <w:t>We continue</w:t>
      </w:r>
      <w:r w:rsidRPr="00D2134C">
        <w:t xml:space="preserve"> to improve</w:t>
      </w:r>
      <w:r w:rsidR="00D7017D">
        <w:t xml:space="preserve"> and advance</w:t>
      </w:r>
      <w:r w:rsidRPr="00D2134C">
        <w:t xml:space="preserve"> participants’ SIL experience through our existing home and living systems and processes.</w:t>
      </w:r>
    </w:p>
    <w:p w14:paraId="4D391F0C" w14:textId="72A1F4F3" w:rsidR="00970846" w:rsidRPr="00D2134C" w:rsidRDefault="00970846" w:rsidP="00970846">
      <w:pPr>
        <w:pStyle w:val="FGCNORMAL"/>
      </w:pPr>
      <w:r w:rsidRPr="00D2134C">
        <w:t xml:space="preserve">In November 2021, the NDIA began a program of work called Making SIL Better. In phase </w:t>
      </w:r>
      <w:r w:rsidR="00602945" w:rsidRPr="00D2134C">
        <w:t>one</w:t>
      </w:r>
      <w:r w:rsidRPr="00D2134C">
        <w:t xml:space="preserve"> of this program, we have:</w:t>
      </w:r>
    </w:p>
    <w:p w14:paraId="2368ED9F" w14:textId="4A3EFF7E" w:rsidR="00970846" w:rsidRPr="00D2134C" w:rsidRDefault="00970846" w:rsidP="00970846">
      <w:pPr>
        <w:pStyle w:val="FGCBULLET1"/>
      </w:pPr>
      <w:r w:rsidRPr="00D2134C">
        <w:t>consolidated the decision and plan build and implementation functions to make the process quicker and less complicated</w:t>
      </w:r>
    </w:p>
    <w:p w14:paraId="0B70B393" w14:textId="6DDC704B" w:rsidR="00970846" w:rsidRPr="00D2134C" w:rsidRDefault="00970846" w:rsidP="00970846">
      <w:pPr>
        <w:pStyle w:val="FGCBULLET1"/>
      </w:pPr>
      <w:r w:rsidRPr="00D2134C">
        <w:t>improved the wording of the decision letters we send to providers and participants to make the reasoning clearer and the process more transparent</w:t>
      </w:r>
    </w:p>
    <w:p w14:paraId="7DA5B476" w14:textId="0A3EA07C" w:rsidR="00970846" w:rsidRPr="00D2134C" w:rsidRDefault="00970846" w:rsidP="00970846">
      <w:pPr>
        <w:pStyle w:val="FGCBULLET1"/>
      </w:pPr>
      <w:r w:rsidRPr="00D2134C">
        <w:t xml:space="preserve">improved our approach to managing material changes to SIL support needs, to provide </w:t>
      </w:r>
      <w:r w:rsidR="00F05F37" w:rsidRPr="00D2134C">
        <w:t xml:space="preserve">a minimum </w:t>
      </w:r>
      <w:proofErr w:type="gramStart"/>
      <w:r w:rsidR="00F05F37" w:rsidRPr="00D2134C">
        <w:t>period of time</w:t>
      </w:r>
      <w:proofErr w:type="gramEnd"/>
      <w:r w:rsidR="00F05F37" w:rsidRPr="00D2134C">
        <w:t xml:space="preserve"> for a participant to safe</w:t>
      </w:r>
      <w:r w:rsidR="00187AF0">
        <w:t>l</w:t>
      </w:r>
      <w:r w:rsidR="00F05F37" w:rsidRPr="00D2134C">
        <w:t>y transition</w:t>
      </w:r>
      <w:r w:rsidR="00187AF0">
        <w:t>,</w:t>
      </w:r>
      <w:r w:rsidR="00F05F37" w:rsidRPr="00D2134C">
        <w:t xml:space="preserve"> and standards of care while new support arrangements are put in place </w:t>
      </w:r>
    </w:p>
    <w:p w14:paraId="59091D8F" w14:textId="072C6C44" w:rsidR="00970846" w:rsidRPr="00D2134C" w:rsidRDefault="00970846" w:rsidP="00970846">
      <w:pPr>
        <w:pStyle w:val="FGCBULLET1"/>
      </w:pPr>
      <w:r w:rsidRPr="00D2134C">
        <w:t>implemented a simplified weekly claiming process to reduce administrative burden</w:t>
      </w:r>
    </w:p>
    <w:p w14:paraId="4DBFD92E" w14:textId="586F26AD" w:rsidR="00970846" w:rsidRPr="00D2134C" w:rsidRDefault="00970846" w:rsidP="00970846">
      <w:pPr>
        <w:pStyle w:val="FGCBULLET1"/>
      </w:pPr>
      <w:r w:rsidRPr="00D2134C">
        <w:t xml:space="preserve">implemented a payment to providers for unplanned exits to reduce unplanned </w:t>
      </w:r>
      <w:r w:rsidR="00D174FA">
        <w:t>spend</w:t>
      </w:r>
      <w:r w:rsidRPr="00D2134C">
        <w:t xml:space="preserve"> for providers and to help stabilise support arrangements for the remaining participants</w:t>
      </w:r>
    </w:p>
    <w:p w14:paraId="53FB9892" w14:textId="14F652F4" w:rsidR="00970846" w:rsidRPr="00D2134C" w:rsidRDefault="00970846" w:rsidP="00970846">
      <w:pPr>
        <w:pStyle w:val="FGCBULLET1"/>
      </w:pPr>
      <w:r w:rsidRPr="00D2134C">
        <w:t>designed a provider engagement approach for initiatives to improve understanding within the SIL market.</w:t>
      </w:r>
    </w:p>
    <w:p w14:paraId="7618F13A" w14:textId="77777777" w:rsidR="00970846" w:rsidRPr="00D2134C" w:rsidRDefault="00970846" w:rsidP="00970846">
      <w:pPr>
        <w:pStyle w:val="FGCNORMAL"/>
      </w:pPr>
      <w:r w:rsidRPr="00D2134C">
        <w:t>In addition, the NDIA is promoting growth in the individualised living options (ILO) market so that participants have alternatives to SIL.</w:t>
      </w:r>
    </w:p>
    <w:p w14:paraId="35EB3642" w14:textId="77777777" w:rsidR="00970846" w:rsidRPr="00D2134C" w:rsidRDefault="00970846" w:rsidP="003765DD">
      <w:pPr>
        <w:pStyle w:val="FGCHEADING6"/>
      </w:pPr>
      <w:r w:rsidRPr="00D2134C">
        <w:t>Home and Living Demonstration Projects</w:t>
      </w:r>
    </w:p>
    <w:p w14:paraId="1B8D42F1" w14:textId="48D915C2" w:rsidR="00970846" w:rsidRPr="00D2134C" w:rsidRDefault="00970846" w:rsidP="00970846">
      <w:pPr>
        <w:pStyle w:val="FGCNORMAL"/>
      </w:pPr>
      <w:r w:rsidRPr="00D2134C">
        <w:t xml:space="preserve">Participants and providers have told us about the importance of finding, </w:t>
      </w:r>
      <w:proofErr w:type="gramStart"/>
      <w:r w:rsidRPr="00D2134C">
        <w:t>recognising</w:t>
      </w:r>
      <w:proofErr w:type="gramEnd"/>
      <w:r w:rsidRPr="00D2134C">
        <w:t xml:space="preserve"> and promoting new ways for participants to pursue their home and living goals.</w:t>
      </w:r>
    </w:p>
    <w:p w14:paraId="154DDD89" w14:textId="77777777" w:rsidR="00970846" w:rsidRPr="00D2134C" w:rsidRDefault="00970846" w:rsidP="00970846">
      <w:pPr>
        <w:pStyle w:val="FGCNORMAL"/>
      </w:pPr>
      <w:r w:rsidRPr="00D2134C">
        <w:t xml:space="preserve">In response, the NDIA established a new initiative called Home and Living Demonstration Projects to bring participants and providers together to design and deliver better home and living supports. </w:t>
      </w:r>
    </w:p>
    <w:p w14:paraId="67389D45" w14:textId="561CF946" w:rsidR="00970846" w:rsidRPr="00D2134C" w:rsidRDefault="00970846" w:rsidP="00970846">
      <w:pPr>
        <w:pStyle w:val="FGCNORMAL"/>
      </w:pPr>
      <w:r w:rsidRPr="00D2134C">
        <w:t xml:space="preserve">The first round of </w:t>
      </w:r>
      <w:r w:rsidR="002B110F" w:rsidRPr="00D2134C">
        <w:t>p</w:t>
      </w:r>
      <w:r w:rsidRPr="00D2134C">
        <w:t xml:space="preserve">rojects focuses on designing better practices for participants receiving 24/7 support through SIL, using the existing funding in participant plans. </w:t>
      </w:r>
    </w:p>
    <w:p w14:paraId="01F64B5E" w14:textId="77777777" w:rsidR="00970846" w:rsidRPr="00D2134C" w:rsidRDefault="00970846" w:rsidP="00970846">
      <w:pPr>
        <w:pStyle w:val="FGCNORMAL"/>
      </w:pPr>
      <w:r w:rsidRPr="00D2134C">
        <w:t xml:space="preserve">In September 2021, the NDIA invited providers to submit proposals for projects that they would like to test and evaluate. From these, we selected a group of projects to implement. The selection process was based on each project’s potential to achieve positive outcomes for participants and the NDIS. </w:t>
      </w:r>
    </w:p>
    <w:p w14:paraId="60B60CD2" w14:textId="77777777" w:rsidR="00970846" w:rsidRPr="00D2134C" w:rsidRDefault="00970846" w:rsidP="00970846">
      <w:pPr>
        <w:pStyle w:val="FGCNORMAL"/>
      </w:pPr>
      <w:r w:rsidRPr="00D2134C">
        <w:t>The project implementation phase began in May 2022.</w:t>
      </w:r>
    </w:p>
    <w:p w14:paraId="3C0E483E" w14:textId="77777777" w:rsidR="00622090" w:rsidRDefault="00622090">
      <w:pPr>
        <w:pStyle w:val="FGCHEADING5"/>
        <w:numPr>
          <w:ilvl w:val="0"/>
          <w:numId w:val="0"/>
        </w:numPr>
        <w:ind w:left="652"/>
        <w:sectPr w:rsidR="00622090" w:rsidSect="00677C63">
          <w:pgSz w:w="11906" w:h="16838"/>
          <w:pgMar w:top="1021" w:right="907" w:bottom="1440" w:left="964" w:header="708" w:footer="708" w:gutter="0"/>
          <w:cols w:space="708"/>
          <w:titlePg/>
          <w:docGrid w:linePitch="360"/>
        </w:sectPr>
      </w:pPr>
    </w:p>
    <w:p w14:paraId="4316AC8F" w14:textId="61B2CF7D" w:rsidR="00970846" w:rsidRPr="00D2134C" w:rsidRDefault="00970846" w:rsidP="00EE2D88">
      <w:pPr>
        <w:pStyle w:val="FGCHEADING5"/>
        <w:numPr>
          <w:ilvl w:val="0"/>
          <w:numId w:val="0"/>
        </w:numPr>
        <w:ind w:left="652"/>
      </w:pPr>
      <w:r w:rsidRPr="00D2134C">
        <w:lastRenderedPageBreak/>
        <w:t>Pricing</w:t>
      </w:r>
    </w:p>
    <w:p w14:paraId="57E6B361" w14:textId="0271D7B1" w:rsidR="00970846" w:rsidRPr="00D2134C" w:rsidRDefault="00970846" w:rsidP="00D7120B">
      <w:pPr>
        <w:pStyle w:val="FGCNORMAL"/>
      </w:pPr>
      <w:r w:rsidRPr="00D2134C">
        <w:t>The NDIA announced the outcomes of the 2021–22 Annual Pricing Review on 22 June 2022. The review’s key decisions include</w:t>
      </w:r>
      <w:r w:rsidR="00C33424" w:rsidRPr="00D2134C">
        <w:t xml:space="preserve"> the following</w:t>
      </w:r>
      <w:r w:rsidRPr="00D2134C">
        <w:t>:</w:t>
      </w:r>
    </w:p>
    <w:p w14:paraId="487C6A60" w14:textId="1F9F73D7" w:rsidR="00970846" w:rsidRPr="00D2134C" w:rsidRDefault="009529C0" w:rsidP="007615EB">
      <w:pPr>
        <w:pStyle w:val="FGCBULLET1"/>
      </w:pPr>
      <w:r>
        <w:t>P</w:t>
      </w:r>
      <w:r w:rsidR="00970846" w:rsidRPr="00D2134C">
        <w:t>rice limits for supports delivered by disability support workers have increased by 9</w:t>
      </w:r>
      <w:r w:rsidR="00C650EB" w:rsidRPr="00D2134C">
        <w:t>%</w:t>
      </w:r>
      <w:r w:rsidR="00970846" w:rsidRPr="00D2134C">
        <w:t xml:space="preserve"> overall</w:t>
      </w:r>
      <w:r w:rsidR="0037108D">
        <w:t>.</w:t>
      </w:r>
    </w:p>
    <w:p w14:paraId="6809D26B" w14:textId="7FAB0192" w:rsidR="00970846" w:rsidRPr="00D2134C" w:rsidRDefault="009529C0" w:rsidP="007615EB">
      <w:pPr>
        <w:pStyle w:val="FGCBULLET1"/>
      </w:pPr>
      <w:r w:rsidRPr="00975487">
        <w:t>T</w:t>
      </w:r>
      <w:r w:rsidR="00970846" w:rsidRPr="00975487">
        <w:t xml:space="preserve">he </w:t>
      </w:r>
      <w:r w:rsidR="00C81FAC" w:rsidRPr="00975487">
        <w:t xml:space="preserve">NDIA </w:t>
      </w:r>
      <w:r w:rsidR="00CC3936" w:rsidRPr="00975487">
        <w:t>committed</w:t>
      </w:r>
      <w:r w:rsidR="0091587B" w:rsidRPr="00975487">
        <w:t xml:space="preserve"> on 22 June 2022</w:t>
      </w:r>
      <w:r w:rsidR="00CC3936" w:rsidRPr="00975487">
        <w:t xml:space="preserve"> </w:t>
      </w:r>
      <w:r w:rsidR="00970846" w:rsidRPr="00975487">
        <w:t>to making up to $514</w:t>
      </w:r>
      <w:r w:rsidR="005D3FFC" w:rsidRPr="00975487">
        <w:t> </w:t>
      </w:r>
      <w:r w:rsidR="00970846" w:rsidRPr="00975487">
        <w:t>million available in a one-off payment to eligible</w:t>
      </w:r>
      <w:r w:rsidR="0091587B" w:rsidRPr="00975487">
        <w:t xml:space="preserve"> registered</w:t>
      </w:r>
      <w:r w:rsidR="00970846" w:rsidRPr="00975487">
        <w:t xml:space="preserve"> providers to recognise the costs of keeping participants safe, particularly during COVID</w:t>
      </w:r>
      <w:r w:rsidR="00BB22CF" w:rsidRPr="00975487">
        <w:t>-19</w:t>
      </w:r>
      <w:r w:rsidR="00975487" w:rsidRPr="00975487">
        <w:t xml:space="preserve"> </w:t>
      </w:r>
      <w:proofErr w:type="gramStart"/>
      <w:r w:rsidR="00975487" w:rsidRPr="00EE2D88">
        <w:rPr>
          <w:rFonts w:eastAsiaTheme="minorHAnsi"/>
          <w:color w:val="000000"/>
          <w:lang w:eastAsia="en-US" w:bidi="th-TH"/>
        </w:rPr>
        <w:t>including;</w:t>
      </w:r>
      <w:proofErr w:type="gramEnd"/>
      <w:r w:rsidR="00975487" w:rsidRPr="00EE2D88">
        <w:rPr>
          <w:rFonts w:eastAsiaTheme="minorHAnsi"/>
          <w:color w:val="000000"/>
          <w:lang w:eastAsia="en-US" w:bidi="th-TH"/>
        </w:rPr>
        <w:t xml:space="preserve"> improving their rostering systems in response to the change to the SCHADS Award</w:t>
      </w:r>
      <w:r w:rsidR="00970846" w:rsidRPr="00975487">
        <w:t xml:space="preserve"> and the significant increases in overheads not previously taken into account during the 2021–22 financial year</w:t>
      </w:r>
      <w:r w:rsidR="0037108D">
        <w:t>.</w:t>
      </w:r>
    </w:p>
    <w:p w14:paraId="5BDA4223" w14:textId="5E6844D5" w:rsidR="00970846" w:rsidRPr="00D2134C" w:rsidRDefault="009529C0" w:rsidP="007615EB">
      <w:pPr>
        <w:pStyle w:val="FGCBULLET1"/>
      </w:pPr>
      <w:r>
        <w:t>T</w:t>
      </w:r>
      <w:r w:rsidR="00970846" w:rsidRPr="00D2134C">
        <w:t xml:space="preserve">he price limits for </w:t>
      </w:r>
      <w:r w:rsidR="004B6D02" w:rsidRPr="00D2134C">
        <w:t>SDA</w:t>
      </w:r>
      <w:r w:rsidR="00970846" w:rsidRPr="00D2134C">
        <w:t xml:space="preserve"> and other capital supports have increased by 5.1</w:t>
      </w:r>
      <w:r w:rsidR="00C650EB" w:rsidRPr="00D2134C">
        <w:t>%</w:t>
      </w:r>
      <w:r w:rsidR="00970846" w:rsidRPr="00D2134C">
        <w:t xml:space="preserve"> based on the change in the consumer price index</w:t>
      </w:r>
      <w:r w:rsidR="005B299E">
        <w:t>.</w:t>
      </w:r>
    </w:p>
    <w:p w14:paraId="5F282ECD" w14:textId="612596E3" w:rsidR="00970846" w:rsidRPr="00D2134C" w:rsidRDefault="009529C0" w:rsidP="007615EB">
      <w:pPr>
        <w:pStyle w:val="FGCBULLET1"/>
      </w:pPr>
      <w:r>
        <w:t>T</w:t>
      </w:r>
      <w:r w:rsidR="00970846" w:rsidRPr="00D2134C">
        <w:t>he Temporary Transformation Payment loading of 7.5</w:t>
      </w:r>
      <w:r w:rsidR="00C650EB" w:rsidRPr="00D2134C">
        <w:t>%</w:t>
      </w:r>
      <w:r w:rsidR="00970846" w:rsidRPr="00D2134C">
        <w:t>, initially established in 2019, reduces to 3.0</w:t>
      </w:r>
      <w:r w:rsidR="00C650EB" w:rsidRPr="00D2134C">
        <w:t>%</w:t>
      </w:r>
      <w:r w:rsidR="00970846" w:rsidRPr="00D2134C">
        <w:t xml:space="preserve"> from 1 July 2022</w:t>
      </w:r>
      <w:r w:rsidR="005B299E">
        <w:t>.</w:t>
      </w:r>
    </w:p>
    <w:p w14:paraId="23985281" w14:textId="7A1A77CD" w:rsidR="00970846" w:rsidRPr="00D2134C" w:rsidRDefault="009529C0" w:rsidP="007615EB">
      <w:pPr>
        <w:pStyle w:val="FGCBULLET1"/>
      </w:pPr>
      <w:r>
        <w:t>P</w:t>
      </w:r>
      <w:r w:rsidR="00970846" w:rsidRPr="00D2134C">
        <w:t>roviders will be able to use the transitional pricing arrangements for group-based supports for an additional 12 months.</w:t>
      </w:r>
    </w:p>
    <w:p w14:paraId="25A1E526" w14:textId="77777777" w:rsidR="00970846" w:rsidRPr="00D2134C" w:rsidRDefault="00970846" w:rsidP="00D7120B">
      <w:pPr>
        <w:pStyle w:val="FGCNORMAL"/>
      </w:pPr>
      <w:r w:rsidRPr="00D2134C">
        <w:t>As part of the new pricing arrangements, the NDIA clarified that:</w:t>
      </w:r>
    </w:p>
    <w:p w14:paraId="4EE0A4D1" w14:textId="05F27275" w:rsidR="00970846" w:rsidRPr="00D2134C" w:rsidRDefault="00970846" w:rsidP="006F1669">
      <w:pPr>
        <w:pStyle w:val="FGCBULLET1"/>
      </w:pPr>
      <w:r w:rsidRPr="00D2134C">
        <w:t xml:space="preserve">high-intensity supports are now in line with </w:t>
      </w:r>
      <w:r w:rsidR="00124BF7" w:rsidRPr="00D2134C">
        <w:t>NDIS Commission</w:t>
      </w:r>
      <w:r w:rsidRPr="00D2134C">
        <w:t xml:space="preserve"> definitions, with a single price limit varying by time and day of the week</w:t>
      </w:r>
    </w:p>
    <w:p w14:paraId="1B1FC0BE" w14:textId="6472DE8B" w:rsidR="00970846" w:rsidRPr="00D2134C" w:rsidRDefault="00970846" w:rsidP="006F1669">
      <w:pPr>
        <w:pStyle w:val="FGCBULLET1"/>
      </w:pPr>
      <w:r w:rsidRPr="00D2134C">
        <w:t xml:space="preserve">providers of core </w:t>
      </w:r>
      <w:proofErr w:type="gramStart"/>
      <w:r w:rsidRPr="00D2134C">
        <w:t>supports</w:t>
      </w:r>
      <w:proofErr w:type="gramEnd"/>
      <w:r w:rsidRPr="00D2134C">
        <w:t xml:space="preserve"> to participants in remote and very remote areas are now subject to the same pricing arrangements for provider travel as providers of </w:t>
      </w:r>
      <w:r w:rsidR="00632EA6">
        <w:t>capacity-building</w:t>
      </w:r>
      <w:r w:rsidRPr="00D2134C">
        <w:t xml:space="preserve"> supports in these areas</w:t>
      </w:r>
    </w:p>
    <w:p w14:paraId="2C31F232" w14:textId="3B9271CA" w:rsidR="00970846" w:rsidRPr="00D2134C" w:rsidRDefault="00970846" w:rsidP="006F1669">
      <w:pPr>
        <w:pStyle w:val="FGCBULLET1"/>
      </w:pPr>
      <w:r w:rsidRPr="00D2134C">
        <w:t>Geraldton (W</w:t>
      </w:r>
      <w:r w:rsidR="000C5908" w:rsidRPr="00D2134C">
        <w:t xml:space="preserve">estern </w:t>
      </w:r>
      <w:r w:rsidRPr="00D2134C">
        <w:t>A</w:t>
      </w:r>
      <w:r w:rsidR="000C5908" w:rsidRPr="00D2134C">
        <w:t>ustralia</w:t>
      </w:r>
      <w:r w:rsidRPr="00D2134C">
        <w:t>) and its surrounding area</w:t>
      </w:r>
      <w:r w:rsidR="007E4CE5">
        <w:t>, along with</w:t>
      </w:r>
      <w:r w:rsidRPr="00D2134C">
        <w:t xml:space="preserve"> Cardwell (</w:t>
      </w:r>
      <w:r w:rsidR="000C5908" w:rsidRPr="00D2134C">
        <w:t>Queensland</w:t>
      </w:r>
      <w:r w:rsidRPr="00D2134C">
        <w:t>) are classified as remote in an extension of the NDIA’s isolated towns policy</w:t>
      </w:r>
    </w:p>
    <w:p w14:paraId="13253259" w14:textId="25D06A11" w:rsidR="00970846" w:rsidRPr="00D2134C" w:rsidRDefault="00970846" w:rsidP="006F1669">
      <w:pPr>
        <w:pStyle w:val="FGCBULLET1"/>
      </w:pPr>
      <w:r w:rsidRPr="00D2134C">
        <w:t xml:space="preserve">providers of core and </w:t>
      </w:r>
      <w:r w:rsidR="00632EA6">
        <w:t>capacity-building</w:t>
      </w:r>
      <w:r w:rsidRPr="00D2134C">
        <w:t xml:space="preserve"> supports who travel to deliver supports to participants can now claim for ‘return provider travel’ when the provider is required to pay this to the worker</w:t>
      </w:r>
    </w:p>
    <w:p w14:paraId="15092D11" w14:textId="7C242BFE" w:rsidR="00970846" w:rsidRPr="00D2134C" w:rsidRDefault="00970846" w:rsidP="006F1669">
      <w:pPr>
        <w:pStyle w:val="FGCBULLET1"/>
      </w:pPr>
      <w:r w:rsidRPr="00D2134C">
        <w:t>the short-notice cancellation period has been extended to 7 days from 1 July 2022 in line with a change in the Social, Community, Home Care and Disability Services Industry Award.</w:t>
      </w:r>
    </w:p>
    <w:p w14:paraId="1C12A983" w14:textId="77777777" w:rsidR="00970846" w:rsidRPr="00D2134C" w:rsidRDefault="00970846" w:rsidP="00CB505B">
      <w:pPr>
        <w:pStyle w:val="FGCNORMAL"/>
      </w:pPr>
      <w:r w:rsidRPr="00D2134C">
        <w:t>As part of its ongoing role as market steward, the NDIA aims to continue partnering with the sector to assist providers with identifying opportunities for increased efficiency and to facilitate better participant access to pricing information.</w:t>
      </w:r>
    </w:p>
    <w:p w14:paraId="12FDD33F" w14:textId="77777777" w:rsidR="00970846" w:rsidRPr="00D2134C" w:rsidRDefault="00970846" w:rsidP="005D5766">
      <w:pPr>
        <w:pStyle w:val="FGCHEADING4"/>
      </w:pPr>
      <w:bookmarkStart w:id="78" w:name="Connected"/>
      <w:r w:rsidRPr="00D2134C">
        <w:t>A connected and engaged stakeholder sector</w:t>
      </w:r>
      <w:bookmarkEnd w:id="78"/>
      <w:r w:rsidRPr="00D2134C">
        <w:t xml:space="preserve"> </w:t>
      </w:r>
    </w:p>
    <w:p w14:paraId="2E9DC465" w14:textId="0D2A4943" w:rsidR="00970846" w:rsidRPr="00D2134C" w:rsidRDefault="00970846" w:rsidP="00970846">
      <w:pPr>
        <w:pStyle w:val="FGCNORMAL"/>
      </w:pPr>
      <w:r w:rsidRPr="00D2134C">
        <w:t xml:space="preserve">Improved engagement with stakeholders is key to effectively addressing the significant challenges facing the Scheme. The </w:t>
      </w:r>
      <w:r w:rsidR="00195EC9" w:rsidRPr="00D2134C">
        <w:t xml:space="preserve">NDIA </w:t>
      </w:r>
      <w:r w:rsidRPr="00D2134C">
        <w:t xml:space="preserve">has </w:t>
      </w:r>
      <w:r w:rsidR="00F51D9C">
        <w:t xml:space="preserve">developed a comprehensive sector framework for </w:t>
      </w:r>
      <w:r w:rsidRPr="00D2134C">
        <w:t>engaging with stakeholders and continue</w:t>
      </w:r>
      <w:r w:rsidR="00F51D9C">
        <w:t>s</w:t>
      </w:r>
      <w:r w:rsidRPr="00D2134C">
        <w:t xml:space="preserve"> to build and maintain collaborative partnerships with participants, their families, carers, providers, the disability sector, the community,</w:t>
      </w:r>
      <w:r w:rsidR="00847543" w:rsidRPr="00D2134C">
        <w:t xml:space="preserve"> </w:t>
      </w:r>
      <w:r w:rsidR="00195EC9" w:rsidRPr="00D2134C">
        <w:t>and</w:t>
      </w:r>
      <w:r w:rsidRPr="00D2134C">
        <w:t xml:space="preserve"> the Commonwealth and state and territory governments throughout 2021–22.</w:t>
      </w:r>
    </w:p>
    <w:p w14:paraId="66189233" w14:textId="2A4940B8" w:rsidR="00FB5573" w:rsidRPr="00D2134C" w:rsidRDefault="00FB5573" w:rsidP="003A2966">
      <w:pPr>
        <w:pStyle w:val="NormalWeb"/>
        <w:shd w:val="clear" w:color="auto" w:fill="FFFFFF"/>
        <w:spacing w:before="0" w:beforeAutospacing="0" w:after="120" w:afterAutospacing="0"/>
        <w:rPr>
          <w:rFonts w:ascii="Arial" w:eastAsiaTheme="minorEastAsia" w:hAnsi="Arial" w:cs="Arial"/>
          <w:sz w:val="22"/>
          <w:lang w:eastAsia="ja-JP"/>
        </w:rPr>
      </w:pPr>
      <w:r w:rsidRPr="00D2134C">
        <w:rPr>
          <w:rFonts w:ascii="Arial" w:eastAsiaTheme="minorEastAsia" w:hAnsi="Arial" w:cs="Arial"/>
          <w:sz w:val="22"/>
          <w:lang w:eastAsia="ja-JP"/>
        </w:rPr>
        <w:t xml:space="preserve">As part of our commitment to strengthening our engagement with the disability community, we have developed the </w:t>
      </w:r>
      <w:hyperlink r:id="rId44" w:anchor="ndia-engagement-framework" w:history="1">
        <w:r w:rsidRPr="00D2134C">
          <w:rPr>
            <w:rStyle w:val="Hyperlink"/>
            <w:rFonts w:eastAsiaTheme="minorEastAsia" w:cs="Arial"/>
            <w:lang w:eastAsia="ja-JP"/>
          </w:rPr>
          <w:t>NDIA Engagement Framework</w:t>
        </w:r>
      </w:hyperlink>
      <w:r w:rsidRPr="00D2134C">
        <w:rPr>
          <w:rFonts w:ascii="Arial" w:eastAsiaTheme="minorEastAsia" w:hAnsi="Arial" w:cs="Arial"/>
          <w:sz w:val="22"/>
          <w:lang w:eastAsia="ja-JP"/>
        </w:rPr>
        <w:t>.</w:t>
      </w:r>
    </w:p>
    <w:p w14:paraId="57AD904F" w14:textId="5744A138" w:rsidR="00FB5573" w:rsidRPr="00D2134C" w:rsidRDefault="00FB5573" w:rsidP="003A2966">
      <w:pPr>
        <w:pStyle w:val="NormalWeb"/>
        <w:shd w:val="clear" w:color="auto" w:fill="FFFFFF"/>
        <w:spacing w:before="0" w:beforeAutospacing="0" w:after="120" w:afterAutospacing="0"/>
        <w:rPr>
          <w:rFonts w:ascii="Arial" w:eastAsiaTheme="minorEastAsia" w:hAnsi="Arial" w:cs="Arial"/>
          <w:sz w:val="22"/>
          <w:lang w:eastAsia="ja-JP"/>
        </w:rPr>
      </w:pPr>
      <w:r w:rsidRPr="00D2134C">
        <w:rPr>
          <w:rFonts w:ascii="Arial" w:eastAsiaTheme="minorEastAsia" w:hAnsi="Arial" w:cs="Arial"/>
          <w:sz w:val="22"/>
          <w:lang w:eastAsia="ja-JP"/>
        </w:rPr>
        <w:t>The</w:t>
      </w:r>
      <w:r w:rsidR="00017F9E" w:rsidRPr="00D2134C">
        <w:rPr>
          <w:rFonts w:ascii="Arial" w:eastAsiaTheme="minorEastAsia" w:hAnsi="Arial" w:cs="Arial"/>
          <w:sz w:val="22"/>
          <w:lang w:eastAsia="ja-JP"/>
        </w:rPr>
        <w:t xml:space="preserve"> </w:t>
      </w:r>
      <w:r w:rsidR="00017F9E" w:rsidRPr="00D2134C">
        <w:rPr>
          <w:rFonts w:ascii="Arial" w:eastAsiaTheme="minorEastAsia" w:hAnsi="Arial"/>
          <w:sz w:val="22"/>
        </w:rPr>
        <w:t xml:space="preserve">NDIA Engagement Framework </w:t>
      </w:r>
      <w:r w:rsidRPr="00D2134C">
        <w:rPr>
          <w:rFonts w:ascii="Arial" w:eastAsiaTheme="minorEastAsia" w:hAnsi="Arial" w:cs="Arial"/>
          <w:sz w:val="22"/>
          <w:lang w:eastAsia="ja-JP"/>
        </w:rPr>
        <w:t xml:space="preserve">has been developed with disability sector representatives to guide, </w:t>
      </w:r>
      <w:proofErr w:type="gramStart"/>
      <w:r w:rsidRPr="00D2134C">
        <w:rPr>
          <w:rFonts w:ascii="Arial" w:eastAsiaTheme="minorEastAsia" w:hAnsi="Arial" w:cs="Arial"/>
          <w:sz w:val="22"/>
          <w:lang w:eastAsia="ja-JP"/>
        </w:rPr>
        <w:t>support</w:t>
      </w:r>
      <w:proofErr w:type="gramEnd"/>
      <w:r w:rsidRPr="00D2134C">
        <w:rPr>
          <w:rFonts w:ascii="Arial" w:eastAsiaTheme="minorEastAsia" w:hAnsi="Arial" w:cs="Arial"/>
          <w:sz w:val="22"/>
          <w:lang w:eastAsia="ja-JP"/>
        </w:rPr>
        <w:t xml:space="preserve"> and strengthen our engagement with the disability community now and into the future. </w:t>
      </w:r>
    </w:p>
    <w:p w14:paraId="39B577DE" w14:textId="388A0807" w:rsidR="00A11927" w:rsidRDefault="00FB5573" w:rsidP="007930DF">
      <w:pPr>
        <w:pStyle w:val="NormalWeb"/>
        <w:shd w:val="clear" w:color="auto" w:fill="FFFFFF"/>
        <w:spacing w:before="0" w:beforeAutospacing="0" w:after="120" w:afterAutospacing="0"/>
        <w:rPr>
          <w:rFonts w:ascii="Arial" w:eastAsiaTheme="minorEastAsia" w:hAnsi="Arial" w:cs="Arial"/>
          <w:sz w:val="22"/>
          <w:lang w:eastAsia="ja-JP"/>
        </w:rPr>
      </w:pPr>
      <w:r w:rsidRPr="00D2134C">
        <w:rPr>
          <w:rFonts w:ascii="Arial" w:eastAsiaTheme="minorEastAsia" w:hAnsi="Arial" w:cs="Arial"/>
          <w:sz w:val="22"/>
          <w:lang w:eastAsia="ja-JP"/>
        </w:rPr>
        <w:t xml:space="preserve">The disability community has strongly encouraged us to take a ‘learn by doing’ approach when co-designing important NDIS projects or initiatives. This means we will continually review our </w:t>
      </w:r>
      <w:r w:rsidRPr="00D2134C">
        <w:rPr>
          <w:rFonts w:ascii="Arial" w:eastAsiaTheme="minorEastAsia" w:hAnsi="Arial" w:cs="Arial"/>
          <w:sz w:val="22"/>
          <w:lang w:eastAsia="ja-JP"/>
        </w:rPr>
        <w:lastRenderedPageBreak/>
        <w:t>approaches and this framework to make sure we engage in meaningful ways that deliver improved outcomes for people with disability.</w:t>
      </w:r>
    </w:p>
    <w:p w14:paraId="0E3711C3" w14:textId="029F3976" w:rsidR="00070597" w:rsidRPr="00D2134C" w:rsidRDefault="00FB5573" w:rsidP="00293489">
      <w:pPr>
        <w:pStyle w:val="NormalWeb"/>
        <w:shd w:val="clear" w:color="auto" w:fill="FFFFFF"/>
        <w:spacing w:before="0" w:beforeAutospacing="0" w:after="120" w:afterAutospacing="0"/>
        <w:rPr>
          <w:rFonts w:ascii="Arial" w:eastAsiaTheme="minorEastAsia" w:hAnsi="Arial" w:cs="Arial"/>
          <w:sz w:val="22"/>
          <w:lang w:eastAsia="ja-JP"/>
        </w:rPr>
      </w:pPr>
      <w:r w:rsidRPr="00D2134C">
        <w:rPr>
          <w:rFonts w:ascii="Arial" w:eastAsiaTheme="minorEastAsia" w:hAnsi="Arial" w:cs="Arial"/>
          <w:sz w:val="22"/>
          <w:lang w:eastAsia="ja-JP"/>
        </w:rPr>
        <w:t>As we learn by doing, we will also document and publish the processes and lessons we have learned in partnership with the disability community.</w:t>
      </w:r>
    </w:p>
    <w:p w14:paraId="75842C7B" w14:textId="77777777" w:rsidR="00970846" w:rsidRPr="00D2134C" w:rsidRDefault="00970846" w:rsidP="00EE2D88">
      <w:pPr>
        <w:pStyle w:val="FGCHEADING5"/>
        <w:numPr>
          <w:ilvl w:val="0"/>
          <w:numId w:val="0"/>
        </w:numPr>
        <w:ind w:left="652"/>
      </w:pPr>
      <w:r w:rsidRPr="00D2134C">
        <w:t>Participant advocacy</w:t>
      </w:r>
    </w:p>
    <w:p w14:paraId="6AAB6A0F" w14:textId="77777777" w:rsidR="00970846" w:rsidRPr="00D2134C" w:rsidRDefault="00970846" w:rsidP="00970846">
      <w:pPr>
        <w:pStyle w:val="FGCNORMAL"/>
      </w:pPr>
      <w:r w:rsidRPr="00D2134C">
        <w:t xml:space="preserve">The NDIA recognises that participants are the experts in disability. To learn from participants, hear their voices and keep their interests at the heart of everything we do, we need our business teams to be talking directly with them. </w:t>
      </w:r>
    </w:p>
    <w:p w14:paraId="4D10B98F" w14:textId="145E57E5" w:rsidR="00970846" w:rsidRPr="00D2134C" w:rsidRDefault="00970846" w:rsidP="00970846">
      <w:pPr>
        <w:pStyle w:val="FGCNORMAL"/>
      </w:pPr>
      <w:r w:rsidRPr="00D2134C">
        <w:t>In 2021–22</w:t>
      </w:r>
      <w:r w:rsidR="00AE3A9A" w:rsidRPr="00D2134C">
        <w:t>,</w:t>
      </w:r>
      <w:r w:rsidRPr="00D2134C">
        <w:t xml:space="preserve"> we appointed Donna Purcell as the NDIS Participant Advocate and Branch Manager of Participant Advocacy. </w:t>
      </w:r>
      <w:r w:rsidR="004A3CF4" w:rsidRPr="00D2134C">
        <w:t>Donna</w:t>
      </w:r>
      <w:r w:rsidRPr="00D2134C">
        <w:t xml:space="preserve"> is also the NDIA Disability Champion. </w:t>
      </w:r>
    </w:p>
    <w:p w14:paraId="15AB834F" w14:textId="77777777" w:rsidR="00970846" w:rsidRPr="00D2134C" w:rsidRDefault="00970846" w:rsidP="00EE2D88">
      <w:pPr>
        <w:pStyle w:val="FGCHEADING5"/>
        <w:numPr>
          <w:ilvl w:val="0"/>
          <w:numId w:val="0"/>
        </w:numPr>
        <w:ind w:left="652"/>
      </w:pPr>
      <w:r w:rsidRPr="00D2134C">
        <w:t>Participant First</w:t>
      </w:r>
    </w:p>
    <w:p w14:paraId="3217BBDE" w14:textId="77777777" w:rsidR="003F36C2" w:rsidRPr="00D2134C" w:rsidRDefault="00970846" w:rsidP="00970846">
      <w:pPr>
        <w:pStyle w:val="FGCNORMAL"/>
      </w:pPr>
      <w:r w:rsidRPr="00D2134C">
        <w:t xml:space="preserve">The Participant First engagement initiative, launched in 2020, gives NDIA business teams direct access to the experience and expertise of participants and their families and carers. </w:t>
      </w:r>
    </w:p>
    <w:p w14:paraId="6FD937CD" w14:textId="7EE9BB08" w:rsidR="00970846" w:rsidRPr="00D2134C" w:rsidRDefault="00970846" w:rsidP="00970846">
      <w:pPr>
        <w:pStyle w:val="FGCNORMAL"/>
      </w:pPr>
      <w:r w:rsidRPr="00D2134C">
        <w:t>Membership of this initiative has almost doubled since July 2021, with over 4,000 participants, families and carers electing to be involved in activities to improve the NDIS.</w:t>
      </w:r>
    </w:p>
    <w:p w14:paraId="7B3EA5F6" w14:textId="601EFB1C" w:rsidR="00970846" w:rsidRPr="00D2134C" w:rsidRDefault="00970846" w:rsidP="00970846">
      <w:pPr>
        <w:pStyle w:val="FGCNORMAL"/>
      </w:pPr>
      <w:r w:rsidRPr="00D2134C">
        <w:t xml:space="preserve">In 2021–22, NDIA staff engaged directly with over 1,200 Participant First members through focus groups, one-on-one interviews, working groups and testing groups for a range of projects. These projects include redeveloping </w:t>
      </w:r>
      <w:r w:rsidR="006457DB">
        <w:t>O</w:t>
      </w:r>
      <w:r w:rsidRPr="00D2134C">
        <w:t xml:space="preserve">perational </w:t>
      </w:r>
      <w:r w:rsidR="006457DB">
        <w:t>G</w:t>
      </w:r>
      <w:r w:rsidRPr="00D2134C">
        <w:t xml:space="preserve">uidelines, </w:t>
      </w:r>
      <w:proofErr w:type="gramStart"/>
      <w:r w:rsidRPr="00D2134C">
        <w:t>policies</w:t>
      </w:r>
      <w:proofErr w:type="gramEnd"/>
      <w:r w:rsidRPr="00D2134C">
        <w:t xml:space="preserve"> and processes; and revising easy</w:t>
      </w:r>
      <w:r w:rsidR="00F51D9C">
        <w:t xml:space="preserve"> read</w:t>
      </w:r>
      <w:r w:rsidRPr="00D2134C">
        <w:t xml:space="preserve"> guides and other publications on the NDIS website.</w:t>
      </w:r>
    </w:p>
    <w:p w14:paraId="2D71BD30" w14:textId="77777777" w:rsidR="00970846" w:rsidRPr="00D2134C" w:rsidRDefault="00970846" w:rsidP="00970846">
      <w:pPr>
        <w:pStyle w:val="FGCNORMAL"/>
      </w:pPr>
      <w:r w:rsidRPr="00D2134C">
        <w:t xml:space="preserve">Nine participants have become members of the NDIA’s priority policy co-design steering committees. We anticipate that over 300 participants will be involved in further co-design activities directly with the NDIA or through the Participant Engagement Panel (PEP). </w:t>
      </w:r>
    </w:p>
    <w:p w14:paraId="7F73A6C9" w14:textId="77777777" w:rsidR="00970846" w:rsidRPr="00D2134C" w:rsidRDefault="00970846" w:rsidP="00970846">
      <w:pPr>
        <w:pStyle w:val="FGCNORMAL"/>
        <w:rPr>
          <w:rFonts w:ascii="Calibri" w:hAnsi="Calibri" w:cs="Calibri"/>
          <w:lang w:eastAsia="zh-CN"/>
        </w:rPr>
      </w:pPr>
      <w:r w:rsidRPr="00D2134C">
        <w:t>The PEP was established in September 2021 to support engagement with harder to reach cohorts such as Aboriginal and Torres Strait Islander participants, CALD participants, and participants with intellectual disability and complex communication supports.</w:t>
      </w:r>
    </w:p>
    <w:p w14:paraId="12D270BF" w14:textId="77777777" w:rsidR="00970846" w:rsidRPr="00D2134C" w:rsidRDefault="00970846" w:rsidP="00EE2D88">
      <w:pPr>
        <w:pStyle w:val="FGCHEADING5"/>
        <w:numPr>
          <w:ilvl w:val="0"/>
          <w:numId w:val="0"/>
        </w:numPr>
        <w:ind w:left="652"/>
      </w:pPr>
      <w:r w:rsidRPr="00D2134C">
        <w:t xml:space="preserve">Reference groups </w:t>
      </w:r>
    </w:p>
    <w:p w14:paraId="2E3C0F74" w14:textId="1F945A55" w:rsidR="00970846" w:rsidRPr="00D2134C" w:rsidRDefault="00970846" w:rsidP="00970846">
      <w:pPr>
        <w:pStyle w:val="FGCNORMAL"/>
      </w:pPr>
      <w:r w:rsidRPr="00D2134C">
        <w:t xml:space="preserve">The NDIA has </w:t>
      </w:r>
      <w:proofErr w:type="gramStart"/>
      <w:r w:rsidRPr="00D2134C">
        <w:t>a number of</w:t>
      </w:r>
      <w:proofErr w:type="gramEnd"/>
      <w:r w:rsidRPr="00D2134C">
        <w:t xml:space="preserve"> reference groups, advisory groups and working groups drawn from stakeholders who provide advice to the </w:t>
      </w:r>
      <w:r w:rsidR="00224166" w:rsidRPr="00D2134C">
        <w:t xml:space="preserve">NDIA </w:t>
      </w:r>
      <w:r w:rsidRPr="00D2134C">
        <w:t>on the design, development and implementation of aspects of the Scheme. These groups have clear terms of reference and deliverables linked to the NDIA Corporate Plan. Current reference groups include our:</w:t>
      </w:r>
    </w:p>
    <w:p w14:paraId="5129943B" w14:textId="38B3E161" w:rsidR="00970846" w:rsidRPr="00D2134C" w:rsidRDefault="00BD718F" w:rsidP="00970846">
      <w:pPr>
        <w:pStyle w:val="FGCBULLET1"/>
      </w:pPr>
      <w:r w:rsidRPr="00D2134C">
        <w:t>Disability Representative and Carers Organisation (</w:t>
      </w:r>
      <w:r w:rsidR="00E96464" w:rsidRPr="00D2134C">
        <w:t>DR</w:t>
      </w:r>
      <w:r w:rsidR="00970846" w:rsidRPr="00D2134C">
        <w:t>CO</w:t>
      </w:r>
      <w:r w:rsidRPr="00D2134C">
        <w:t>)</w:t>
      </w:r>
      <w:r w:rsidR="00970846" w:rsidRPr="00D2134C">
        <w:t xml:space="preserve"> Forum</w:t>
      </w:r>
    </w:p>
    <w:p w14:paraId="43287306" w14:textId="3BBF3417" w:rsidR="00970846" w:rsidRPr="00D2134C" w:rsidRDefault="00970846" w:rsidP="00970846">
      <w:pPr>
        <w:pStyle w:val="FGCBULLET1"/>
      </w:pPr>
      <w:r w:rsidRPr="00D2134C">
        <w:t>Participant Reference Group (PRG)</w:t>
      </w:r>
    </w:p>
    <w:p w14:paraId="01D193FC" w14:textId="31BCE875" w:rsidR="00970846" w:rsidRPr="00D2134C" w:rsidRDefault="00970846" w:rsidP="00970846">
      <w:pPr>
        <w:pStyle w:val="FGCBULLET1"/>
      </w:pPr>
      <w:r w:rsidRPr="00D2134C">
        <w:t>Autism Advisory Group (AAG)</w:t>
      </w:r>
    </w:p>
    <w:p w14:paraId="6026E61D" w14:textId="5A5AED20" w:rsidR="00970846" w:rsidRPr="00D2134C" w:rsidRDefault="00970846" w:rsidP="00970846">
      <w:pPr>
        <w:pStyle w:val="FGCBULLET1"/>
      </w:pPr>
      <w:r w:rsidRPr="00D2134C">
        <w:t>NDIS Mental Health Sector Reference Group (NMHSRG)</w:t>
      </w:r>
    </w:p>
    <w:p w14:paraId="4F56CFE3" w14:textId="7B477F45" w:rsidR="00970846" w:rsidRPr="00D2134C" w:rsidRDefault="00970846" w:rsidP="00970846">
      <w:pPr>
        <w:pStyle w:val="FGCBULLET1"/>
      </w:pPr>
      <w:r w:rsidRPr="00D2134C">
        <w:t>Industry Chief Executive (ICE) Forum</w:t>
      </w:r>
    </w:p>
    <w:p w14:paraId="507210C7" w14:textId="01F07DF5" w:rsidR="00970846" w:rsidRPr="00D2134C" w:rsidRDefault="00970846" w:rsidP="00970846">
      <w:pPr>
        <w:pStyle w:val="FGCBULLET1"/>
      </w:pPr>
      <w:r w:rsidRPr="00D2134C">
        <w:t>Pricing Reference Group</w:t>
      </w:r>
    </w:p>
    <w:p w14:paraId="42FA8FEA" w14:textId="7EC3F94D" w:rsidR="00970846" w:rsidRPr="00D2134C" w:rsidRDefault="00970846" w:rsidP="00970846">
      <w:pPr>
        <w:pStyle w:val="FGCBULLET1"/>
        <w:rPr>
          <w:rFonts w:eastAsia="Georgia"/>
          <w:b/>
          <w:sz w:val="24"/>
          <w:szCs w:val="24"/>
          <w:lang w:eastAsia="en-US"/>
        </w:rPr>
      </w:pPr>
      <w:r w:rsidRPr="00D2134C">
        <w:t>Specialist Disability Accommodation (SDA) Reference Group</w:t>
      </w:r>
    </w:p>
    <w:p w14:paraId="216FD3E2" w14:textId="77777777" w:rsidR="00970846" w:rsidRPr="00D2134C" w:rsidRDefault="00970846" w:rsidP="00970846">
      <w:pPr>
        <w:pStyle w:val="FGCBULLET1"/>
        <w:rPr>
          <w:rFonts w:eastAsia="Georgia"/>
          <w:b/>
          <w:sz w:val="24"/>
          <w:szCs w:val="24"/>
          <w:lang w:eastAsia="en-US"/>
        </w:rPr>
      </w:pPr>
      <w:r w:rsidRPr="00D2134C">
        <w:t>Co-design Advisory Group.</w:t>
      </w:r>
    </w:p>
    <w:p w14:paraId="5A2050B4" w14:textId="35FDFF87" w:rsidR="00970846" w:rsidRPr="00D2134C" w:rsidRDefault="00E61CBF" w:rsidP="003765DD">
      <w:pPr>
        <w:pStyle w:val="FGCHEADING6"/>
      </w:pPr>
      <w:r w:rsidRPr="00D2134C">
        <w:t xml:space="preserve">Disability Representative and Carers Organisation </w:t>
      </w:r>
      <w:r w:rsidR="00970846" w:rsidRPr="00D2134C">
        <w:t>Forum</w:t>
      </w:r>
    </w:p>
    <w:p w14:paraId="24C4EDCC" w14:textId="08965964" w:rsidR="00970846" w:rsidRPr="00D2134C" w:rsidRDefault="00970846" w:rsidP="00970846">
      <w:pPr>
        <w:pStyle w:val="FGCNORMAL"/>
      </w:pPr>
      <w:r w:rsidRPr="00D2134C">
        <w:t xml:space="preserve">The NDIS </w:t>
      </w:r>
      <w:r w:rsidR="00866DBC" w:rsidRPr="00D2134C">
        <w:t>DRCO</w:t>
      </w:r>
      <w:r w:rsidRPr="00D2134C">
        <w:t xml:space="preserve"> Forum continues to be a platform for the disability sector to engage, discuss and collaborate directly with the </w:t>
      </w:r>
      <w:r w:rsidR="00E61CBF" w:rsidRPr="00D2134C">
        <w:t>NDIA</w:t>
      </w:r>
      <w:r w:rsidRPr="00D2134C">
        <w:t xml:space="preserve"> on important areas of work relating to the operation and implementation of the NDIS. Membership consists of 27 CEOs from disability representative and carer organisations. The</w:t>
      </w:r>
      <w:r w:rsidR="00A8186C" w:rsidRPr="00D2134C">
        <w:t xml:space="preserve"> DRC</w:t>
      </w:r>
      <w:r w:rsidRPr="00D2134C">
        <w:t>O Forum met 4 times in the past 12 months</w:t>
      </w:r>
      <w:r w:rsidR="007F0EB1" w:rsidRPr="00D2134C">
        <w:t xml:space="preserve">, including a </w:t>
      </w:r>
      <w:r w:rsidRPr="00D2134C">
        <w:t xml:space="preserve">CALD Strategy Workshop and a Home </w:t>
      </w:r>
      <w:r w:rsidR="00464B90" w:rsidRPr="00D2134C">
        <w:t>and</w:t>
      </w:r>
      <w:r w:rsidRPr="00D2134C">
        <w:t xml:space="preserve"> Living Workshop with all </w:t>
      </w:r>
      <w:r w:rsidR="00464B90" w:rsidRPr="00D2134C">
        <w:t xml:space="preserve">DRCO </w:t>
      </w:r>
      <w:r w:rsidRPr="00D2134C">
        <w:t>members</w:t>
      </w:r>
      <w:r w:rsidR="007F0EB1" w:rsidRPr="00D2134C">
        <w:t xml:space="preserve"> invited to participate. </w:t>
      </w:r>
    </w:p>
    <w:p w14:paraId="7CFAD7C7" w14:textId="4BADBAFE" w:rsidR="00970846" w:rsidRPr="00D2134C" w:rsidRDefault="00970846" w:rsidP="003765DD">
      <w:pPr>
        <w:pStyle w:val="FGCHEADING6"/>
      </w:pPr>
      <w:r w:rsidRPr="00D2134C">
        <w:lastRenderedPageBreak/>
        <w:t>Participant Reference Group</w:t>
      </w:r>
    </w:p>
    <w:p w14:paraId="3E34F058" w14:textId="62EB75E4" w:rsidR="00970846" w:rsidRPr="00D2134C" w:rsidRDefault="00970846" w:rsidP="00970846">
      <w:pPr>
        <w:pStyle w:val="FGCNORMAL"/>
      </w:pPr>
      <w:r w:rsidRPr="00D2134C">
        <w:t>The PRG was refreshed in January 2022 with 7 new members and 13 members extended for another year. In 2021–22</w:t>
      </w:r>
      <w:r w:rsidR="002844BE" w:rsidRPr="00D2134C">
        <w:t>,</w:t>
      </w:r>
      <w:r w:rsidRPr="00D2134C">
        <w:t xml:space="preserve"> the group met 10 times</w:t>
      </w:r>
      <w:r w:rsidR="008D5EDA" w:rsidRPr="00D2134C">
        <w:t>, with a</w:t>
      </w:r>
      <w:r w:rsidRPr="00D2134C">
        <w:t>ctivities includ</w:t>
      </w:r>
      <w:r w:rsidR="008D5EDA" w:rsidRPr="00D2134C">
        <w:t>ing</w:t>
      </w:r>
      <w:r w:rsidRPr="00D2134C">
        <w:t xml:space="preserve"> supporting the development of a Self-Management Policy, a LAC Best Practice Service </w:t>
      </w:r>
      <w:proofErr w:type="gramStart"/>
      <w:r w:rsidRPr="00D2134C">
        <w:t>Model</w:t>
      </w:r>
      <w:proofErr w:type="gramEnd"/>
      <w:r w:rsidRPr="00D2134C">
        <w:t xml:space="preserve"> and a Market Intervention Model. The </w:t>
      </w:r>
      <w:r w:rsidR="000D79E8" w:rsidRPr="00D2134C">
        <w:t>PRG</w:t>
      </w:r>
      <w:r w:rsidRPr="00D2134C">
        <w:t xml:space="preserve"> has also reviewed and provided input to the NDIS website’s Plan Implementation Directory, the access process for participants applying to the Scheme, and resources on pricing arrangements and limits.</w:t>
      </w:r>
    </w:p>
    <w:p w14:paraId="0FF52DF9" w14:textId="79C81D61" w:rsidR="00970846" w:rsidRPr="00D2134C" w:rsidRDefault="00970846" w:rsidP="003765DD">
      <w:pPr>
        <w:pStyle w:val="FGCHEADING6"/>
      </w:pPr>
      <w:r w:rsidRPr="00D2134C">
        <w:t>Autism Advisory Group</w:t>
      </w:r>
    </w:p>
    <w:p w14:paraId="4BF1604E" w14:textId="6B53AF4A" w:rsidR="00970846" w:rsidRPr="00D2134C" w:rsidRDefault="00970846" w:rsidP="00970846">
      <w:r w:rsidRPr="00D2134C">
        <w:t xml:space="preserve">The AAG continued to provide advice to the NDIA on how to deliver the best outcomes for </w:t>
      </w:r>
      <w:r w:rsidR="00145168">
        <w:t>autistic people</w:t>
      </w:r>
      <w:r w:rsidR="00C00B5A">
        <w:t xml:space="preserve"> </w:t>
      </w:r>
      <w:r w:rsidRPr="00D2134C">
        <w:t xml:space="preserve">in Australia. </w:t>
      </w:r>
    </w:p>
    <w:p w14:paraId="060868AE" w14:textId="77777777" w:rsidR="00970846" w:rsidRPr="00D2134C" w:rsidRDefault="00970846" w:rsidP="00970846">
      <w:r w:rsidRPr="00D2134C">
        <w:t xml:space="preserve">The AAG’s members contribute their expertise and access to a broad range of networks on autism to ensure the NDIA is taking an informed approach to issues relating to autism and the NDIS that is collaborative and evidence based. </w:t>
      </w:r>
    </w:p>
    <w:p w14:paraId="0BA4949C" w14:textId="77777777" w:rsidR="00970846" w:rsidRPr="00D2134C" w:rsidRDefault="00970846" w:rsidP="00970846">
      <w:r w:rsidRPr="00D2134C">
        <w:t>The AAG met 4 times in 2021–22 and focused on 3 key functions in the delivery of the annual work plan:</w:t>
      </w:r>
    </w:p>
    <w:p w14:paraId="43E5DD65" w14:textId="45600473" w:rsidR="00970846" w:rsidRPr="00D2134C" w:rsidRDefault="00E42C25" w:rsidP="002172E8">
      <w:pPr>
        <w:pStyle w:val="FGCBULLET1"/>
      </w:pPr>
      <w:r w:rsidRPr="00D2134C">
        <w:t>p</w:t>
      </w:r>
      <w:r w:rsidR="00970846" w:rsidRPr="00D2134C">
        <w:t xml:space="preserve">rovision of expert advice to the NDIA on delivering the best outcomes for </w:t>
      </w:r>
      <w:r w:rsidR="00E52E9B">
        <w:t>autistic adults and children</w:t>
      </w:r>
    </w:p>
    <w:p w14:paraId="646B326C" w14:textId="21E2FECD" w:rsidR="00970846" w:rsidRPr="00D2134C" w:rsidRDefault="002172E8" w:rsidP="002172E8">
      <w:pPr>
        <w:pStyle w:val="FGCBULLET1"/>
      </w:pPr>
      <w:r w:rsidRPr="00D2134C">
        <w:t>i</w:t>
      </w:r>
      <w:r w:rsidR="00970846" w:rsidRPr="00D2134C">
        <w:t xml:space="preserve">dentification of emerging issues and concerns in relation to the design, </w:t>
      </w:r>
      <w:proofErr w:type="gramStart"/>
      <w:r w:rsidR="00970846" w:rsidRPr="00D2134C">
        <w:t>development</w:t>
      </w:r>
      <w:proofErr w:type="gramEnd"/>
      <w:r w:rsidR="00970846" w:rsidRPr="00D2134C">
        <w:t xml:space="preserve"> and implementation of the NDIS for </w:t>
      </w:r>
      <w:r w:rsidR="00E52E9B">
        <w:t>autistic people</w:t>
      </w:r>
      <w:r w:rsidR="00C00B5A">
        <w:t xml:space="preserve"> </w:t>
      </w:r>
      <w:r w:rsidR="00970846" w:rsidRPr="00D2134C">
        <w:t xml:space="preserve">and collaboration with the NDIA to determine solutions </w:t>
      </w:r>
    </w:p>
    <w:p w14:paraId="7F7A450D" w14:textId="46C6D901" w:rsidR="00970846" w:rsidRPr="00D2134C" w:rsidRDefault="002172E8" w:rsidP="002172E8">
      <w:pPr>
        <w:pStyle w:val="FGCBULLET1"/>
      </w:pPr>
      <w:r w:rsidRPr="00D2134C">
        <w:t>a</w:t>
      </w:r>
      <w:r w:rsidR="00970846" w:rsidRPr="00D2134C">
        <w:t>ssistance to the NDIA in the provision of clear and consistent communications to</w:t>
      </w:r>
      <w:r w:rsidR="00C00B5A">
        <w:t xml:space="preserve"> autis</w:t>
      </w:r>
      <w:r w:rsidR="005E146D">
        <w:t>tic people</w:t>
      </w:r>
      <w:r w:rsidR="00C00B5A">
        <w:t xml:space="preserve"> </w:t>
      </w:r>
      <w:r w:rsidR="00970846" w:rsidRPr="00D2134C">
        <w:t xml:space="preserve">and their families about the NDIS. </w:t>
      </w:r>
    </w:p>
    <w:p w14:paraId="10B8128A" w14:textId="557FC3AB" w:rsidR="00970846" w:rsidRPr="00D2134C" w:rsidRDefault="00970846" w:rsidP="00970846">
      <w:r w:rsidRPr="00D2134C">
        <w:t xml:space="preserve">Key areas of focus for the AAG in 2021–22 included the </w:t>
      </w:r>
      <w:r w:rsidR="00E171FB" w:rsidRPr="00D2134C">
        <w:t>ECEI</w:t>
      </w:r>
      <w:r w:rsidRPr="00D2134C">
        <w:t xml:space="preserve"> </w:t>
      </w:r>
      <w:r w:rsidR="002138D4">
        <w:t>r</w:t>
      </w:r>
      <w:r w:rsidRPr="00D2134C">
        <w:t xml:space="preserve">eset; person-centred assessments; research on early interventions for children with </w:t>
      </w:r>
      <w:r w:rsidR="0003114E" w:rsidRPr="00D2134C">
        <w:t>autism spectrum disorder</w:t>
      </w:r>
      <w:r w:rsidRPr="00D2134C">
        <w:t>; and NDIS supports for participants with challenging and complex issues.</w:t>
      </w:r>
    </w:p>
    <w:p w14:paraId="00ABF3B4" w14:textId="23685971" w:rsidR="00970846" w:rsidRPr="00D2134C" w:rsidRDefault="00970846" w:rsidP="00970846">
      <w:r w:rsidRPr="00D2134C">
        <w:t>Through the past year the AAG has welcomed 3 new members who bring further lived experience, sector leadership and practice knowledge to the group.</w:t>
      </w:r>
    </w:p>
    <w:p w14:paraId="5FB10360" w14:textId="5F990AA9" w:rsidR="00970846" w:rsidRPr="00D2134C" w:rsidRDefault="00970846" w:rsidP="003765DD">
      <w:pPr>
        <w:pStyle w:val="FGCHEADING6"/>
      </w:pPr>
      <w:r w:rsidRPr="00D2134C">
        <w:t>NDIS Mental Health Sector Reference Group</w:t>
      </w:r>
    </w:p>
    <w:p w14:paraId="24DB628E" w14:textId="77777777" w:rsidR="00970846" w:rsidRPr="00D2134C" w:rsidRDefault="00970846" w:rsidP="00970846">
      <w:r w:rsidRPr="00D2134C">
        <w:t xml:space="preserve">The NMHSRG continues to be a strong national advisory mechanism between the NDIA and national stakeholder representatives involved in the psychosocial disability and mental health sectors. Through this platform, the NDIA and a broad range of psychosocial disability stakeholders collaborate directly, hear feedback about issues affecting participants with psychosocial disability in the NDIS, and address policy and practice issues in the psychosocial disability space. </w:t>
      </w:r>
    </w:p>
    <w:p w14:paraId="0F609703" w14:textId="0D3AECE9" w:rsidR="00970846" w:rsidRPr="00D2134C" w:rsidRDefault="00970846" w:rsidP="00970846">
      <w:r w:rsidRPr="00D2134C">
        <w:t xml:space="preserve">The NMHSRG met 4 times in the last 12 months. Its membership consists of </w:t>
      </w:r>
      <w:r w:rsidR="001334DF" w:rsidRPr="00D2134C">
        <w:t xml:space="preserve">22 member organisations, representing key parts of the psychosocial disability and mental health sectors and including </w:t>
      </w:r>
      <w:r w:rsidR="00B96F94" w:rsidRPr="00D2134C">
        <w:t>4</w:t>
      </w:r>
      <w:r w:rsidR="001334DF" w:rsidRPr="00D2134C">
        <w:t xml:space="preserve"> consumer representatives and 2 family and carer representatives</w:t>
      </w:r>
      <w:r w:rsidR="00B96F94" w:rsidRPr="00D2134C">
        <w:t xml:space="preserve">. </w:t>
      </w:r>
      <w:r w:rsidRPr="00D2134C">
        <w:t>Members of the NMHSRG have been integral in guiding the development of the NDIS Psychosocial Disability Recovery-Oriented Framework. In the last 12 months, the terms of reference and membership were refreshed to place the NMHSRG in a strong position to guide the implementation of this framework over the next 3 years.</w:t>
      </w:r>
    </w:p>
    <w:p w14:paraId="078E1520" w14:textId="289F4F42" w:rsidR="00970846" w:rsidRPr="00D2134C" w:rsidRDefault="00970846" w:rsidP="003765DD">
      <w:pPr>
        <w:pStyle w:val="FGCHEADING6"/>
      </w:pPr>
      <w:r w:rsidRPr="00D2134C">
        <w:t>Industry Chief Executive Forum</w:t>
      </w:r>
    </w:p>
    <w:p w14:paraId="70CD2797" w14:textId="77777777" w:rsidR="00970846" w:rsidRPr="00D2134C" w:rsidRDefault="00970846" w:rsidP="00970846">
      <w:pPr>
        <w:pStyle w:val="FGCNORMAL"/>
      </w:pPr>
      <w:r w:rsidRPr="00D2134C">
        <w:t xml:space="preserve">The purpose of the ICE Forum is to engage with NDIS provider peak bodies and provider representatives on improvements to the NDIS and the NDIA’s processes and practices. </w:t>
      </w:r>
    </w:p>
    <w:p w14:paraId="0974CA30" w14:textId="77777777" w:rsidR="00970846" w:rsidRPr="00D2134C" w:rsidRDefault="00970846" w:rsidP="00970846">
      <w:pPr>
        <w:pStyle w:val="FGCNORMAL"/>
      </w:pPr>
      <w:r w:rsidRPr="00D2134C">
        <w:t xml:space="preserve">The ICE Forum provides an opportunity for 2-way collaboration whereby the NDIA can test policies, </w:t>
      </w:r>
      <w:proofErr w:type="gramStart"/>
      <w:r w:rsidRPr="00D2134C">
        <w:t>practices</w:t>
      </w:r>
      <w:proofErr w:type="gramEnd"/>
      <w:r w:rsidRPr="00D2134C">
        <w:t xml:space="preserve"> and processes to improve the NDIS with ICE Forum members and to gather </w:t>
      </w:r>
      <w:r w:rsidRPr="00D2134C">
        <w:lastRenderedPageBreak/>
        <w:t xml:space="preserve">views and feedback on key issues from members. The ICE Forum gives members the opportunity to engage directly with the NDIA CEO. </w:t>
      </w:r>
    </w:p>
    <w:p w14:paraId="607D5081" w14:textId="77777777" w:rsidR="00970846" w:rsidRPr="00D2134C" w:rsidRDefault="00970846" w:rsidP="00970846">
      <w:pPr>
        <w:pStyle w:val="FGCNORMAL"/>
      </w:pPr>
      <w:r w:rsidRPr="00D2134C">
        <w:t xml:space="preserve">The ICE Forum has provided advice on </w:t>
      </w:r>
      <w:proofErr w:type="gramStart"/>
      <w:r w:rsidRPr="00D2134C">
        <w:t>a number of</w:t>
      </w:r>
      <w:proofErr w:type="gramEnd"/>
      <w:r w:rsidRPr="00D2134C">
        <w:t xml:space="preserve"> topics, including thin markets, workforce and employment, payment systems, the NDIA’s COVID-19 response, participant advocacy and service delivery, assistive technology, home and living policy development, market intermediaries (support coordination and plan management) and pricing. The ICE Forum met virtually 3 times during the past 12 months. </w:t>
      </w:r>
    </w:p>
    <w:p w14:paraId="42864020" w14:textId="77777777" w:rsidR="00970846" w:rsidRPr="00D2134C" w:rsidRDefault="00970846" w:rsidP="003765DD">
      <w:pPr>
        <w:pStyle w:val="FGCHEADING6"/>
      </w:pPr>
      <w:r w:rsidRPr="00D2134C">
        <w:t>Pricing Reference Group</w:t>
      </w:r>
    </w:p>
    <w:p w14:paraId="3356EE9B" w14:textId="42BA3811" w:rsidR="00970846" w:rsidRPr="00D2134C" w:rsidRDefault="00970846" w:rsidP="00970846">
      <w:pPr>
        <w:pStyle w:val="FGCNORMAL"/>
      </w:pPr>
      <w:r w:rsidRPr="00D2134C">
        <w:t xml:space="preserve">The Pricing Reference Group was established in 2018 in response to the Independent Pricing Review. It provides advice to the Board through the CEO. Through the Pricing Reference Group, the </w:t>
      </w:r>
      <w:r w:rsidR="007E020C">
        <w:t>NDIA</w:t>
      </w:r>
      <w:r w:rsidRPr="00D2134C">
        <w:t xml:space="preserve"> has a formal process to review NDIS pricing arrangements, conduct robust market reviews and determine how to consult and engage with sector stakeholders. This process includes evaluation and endorsement of the Annual Pric</w:t>
      </w:r>
      <w:r w:rsidR="00966AAA" w:rsidRPr="00D2134C">
        <w:t>ing</w:t>
      </w:r>
      <w:r w:rsidRPr="00D2134C">
        <w:t xml:space="preserve"> Review outcomes. </w:t>
      </w:r>
    </w:p>
    <w:p w14:paraId="290C8820" w14:textId="20A9BAA5" w:rsidR="00970846" w:rsidRPr="00D2134C" w:rsidRDefault="00970846" w:rsidP="00970846">
      <w:pPr>
        <w:pStyle w:val="FGCNORMAL"/>
      </w:pPr>
      <w:r w:rsidRPr="00D2134C">
        <w:t xml:space="preserve">During 2021–22, the group provided advice on the pricing arrangements for disability support workers, support coordination, plan management, therapy, group supports, Temporary Transformation Payment, </w:t>
      </w:r>
      <w:r w:rsidR="002E0443">
        <w:t>SIL</w:t>
      </w:r>
      <w:r w:rsidRPr="00D2134C">
        <w:t xml:space="preserve"> and </w:t>
      </w:r>
      <w:r w:rsidR="0045411A">
        <w:t>SDA</w:t>
      </w:r>
      <w:r w:rsidRPr="00D2134C">
        <w:t xml:space="preserve">. The group met 6 times over the past 12 months. </w:t>
      </w:r>
    </w:p>
    <w:p w14:paraId="60CF08F7" w14:textId="2A6A0B2F" w:rsidR="00970846" w:rsidRPr="00D2134C" w:rsidRDefault="00970846" w:rsidP="003765DD">
      <w:pPr>
        <w:pStyle w:val="FGCHEADING6"/>
      </w:pPr>
      <w:r w:rsidRPr="00D2134C">
        <w:t xml:space="preserve">Specialist Disability Accommodation Reference Group </w:t>
      </w:r>
    </w:p>
    <w:p w14:paraId="0197E7AA" w14:textId="77777777" w:rsidR="00970846" w:rsidRPr="00D2134C" w:rsidRDefault="00970846" w:rsidP="00970846">
      <w:pPr>
        <w:pStyle w:val="FGCNORMAL"/>
      </w:pPr>
      <w:r w:rsidRPr="00D2134C">
        <w:t xml:space="preserve">The SDA Reference Group was established in early 2019. Its membership was refreshed through an expression of interest in early 2021. Another review of membership is planned in early 2023. </w:t>
      </w:r>
    </w:p>
    <w:p w14:paraId="3B9F28DE" w14:textId="77777777" w:rsidR="00970846" w:rsidRPr="00D2134C" w:rsidRDefault="00970846" w:rsidP="00970846">
      <w:pPr>
        <w:pStyle w:val="FGCNORMAL"/>
      </w:pPr>
      <w:r w:rsidRPr="00D2134C">
        <w:t xml:space="preserve">The mandate of the SDA Reference Group is to continue to advise and provide support on the development of the SDA market. </w:t>
      </w:r>
    </w:p>
    <w:p w14:paraId="63EFAAC2" w14:textId="21825BD4" w:rsidR="00970846" w:rsidRPr="00D2134C" w:rsidRDefault="00970846" w:rsidP="00970846">
      <w:pPr>
        <w:pStyle w:val="FGCNORMAL"/>
      </w:pPr>
      <w:r w:rsidRPr="00D2134C">
        <w:t>The NDIA has commenced engagement with the SDA Reference Group on the 2022</w:t>
      </w:r>
      <w:r w:rsidR="00941531">
        <w:t>-</w:t>
      </w:r>
      <w:r w:rsidRPr="00D2134C">
        <w:t xml:space="preserve">23 SDA Pricing Review Terms of Reference, as required under the SDA Pricing and Payments Framework. SDA Reference Group members have also provided apposite feedback in the early-stage development of the SDA Quarterly Data Report. </w:t>
      </w:r>
    </w:p>
    <w:p w14:paraId="7C76BF2C" w14:textId="21098C4A" w:rsidR="00970846" w:rsidRPr="00D2134C" w:rsidRDefault="00970846" w:rsidP="00970846">
      <w:pPr>
        <w:pStyle w:val="FGCNORMAL"/>
      </w:pPr>
      <w:r w:rsidRPr="00D2134C">
        <w:t>The SDA Reference Group met 3 times in 2021</w:t>
      </w:r>
      <w:r w:rsidR="00941531">
        <w:t>-</w:t>
      </w:r>
      <w:r w:rsidRPr="00D2134C">
        <w:t>22.</w:t>
      </w:r>
    </w:p>
    <w:p w14:paraId="7290EDFF" w14:textId="77777777" w:rsidR="00970846" w:rsidRPr="00D2134C" w:rsidRDefault="00970846" w:rsidP="003765DD">
      <w:pPr>
        <w:pStyle w:val="FGCHEADING6"/>
      </w:pPr>
      <w:r w:rsidRPr="00D2134C">
        <w:t>Co-design Advisory Group</w:t>
      </w:r>
    </w:p>
    <w:p w14:paraId="3D0748F2" w14:textId="413BC93D" w:rsidR="00970846" w:rsidRPr="00D2134C" w:rsidRDefault="00970846" w:rsidP="00970846">
      <w:pPr>
        <w:pStyle w:val="FGCNORMAL"/>
      </w:pPr>
      <w:r w:rsidRPr="00D2134C">
        <w:t xml:space="preserve">The Co-design Advisory Group provides strategic advice to the NDIA on the implementation of co-design and other engagement processes with the disability community. Its members include a cross-section of representatives from the disability sector, IAC, DSS and the NDIA. </w:t>
      </w:r>
    </w:p>
    <w:p w14:paraId="5B8648C0" w14:textId="08C90087" w:rsidR="00970846" w:rsidRPr="00D2134C" w:rsidRDefault="00970846" w:rsidP="00970846">
      <w:pPr>
        <w:pStyle w:val="FGCNORMAL"/>
      </w:pPr>
      <w:r w:rsidRPr="00D2134C">
        <w:t xml:space="preserve">Co-design Advisory Group members meet monthly and work collaboratively to build a shared understanding of the issues the NDIS is facing and other current and emerging priorities for co-design and consultation. Members provide strategic advice on the timing and approaches to implement and evaluate co-design and other engagement processes. They also represent the disability community’s perspective on issues facing the NDIS and gather feedback on the co-design priorities and approaches with peers and members to ensure disability community representation and appropriate expertise is included in co-design initiatives. </w:t>
      </w:r>
    </w:p>
    <w:p w14:paraId="49A1C99D" w14:textId="77777777" w:rsidR="00970846" w:rsidRPr="00D2134C" w:rsidRDefault="00970846" w:rsidP="00970846">
      <w:pPr>
        <w:pStyle w:val="FGCNORMAL"/>
      </w:pPr>
      <w:r w:rsidRPr="00D2134C">
        <w:t>The Co-design Advisory Group met 10 times in the past 12 months.</w:t>
      </w:r>
    </w:p>
    <w:p w14:paraId="5EC05A09" w14:textId="77777777" w:rsidR="00970846" w:rsidRPr="00D2134C" w:rsidRDefault="00970846" w:rsidP="00EE2D88">
      <w:pPr>
        <w:pStyle w:val="FGCHEADING5"/>
        <w:numPr>
          <w:ilvl w:val="0"/>
          <w:numId w:val="0"/>
        </w:numPr>
        <w:ind w:left="652"/>
      </w:pPr>
      <w:r w:rsidRPr="00D2134C">
        <w:t>Community engagement</w:t>
      </w:r>
    </w:p>
    <w:p w14:paraId="144AE87C" w14:textId="3F81A167" w:rsidR="00970846" w:rsidRPr="00D2134C" w:rsidRDefault="00970846" w:rsidP="00970846">
      <w:pPr>
        <w:pStyle w:val="FGCNORMAL"/>
      </w:pPr>
      <w:r w:rsidRPr="00D2134C">
        <w:t xml:space="preserve">In 2021–22, NDIA representatives attended conferences and other events to speak to participants, families, carers, the disability sector, community organisations and government agencies about the NDIS. In total we participated in more than 1,500 engagements across the country. A large percentage of these were virtual events. </w:t>
      </w:r>
    </w:p>
    <w:p w14:paraId="1045BF60" w14:textId="2225F6FD" w:rsidR="00484ED4" w:rsidRPr="00D2134C" w:rsidRDefault="00A67616" w:rsidP="00484ED4">
      <w:pPr>
        <w:pStyle w:val="FGCNORMAL"/>
      </w:pPr>
      <w:r w:rsidRPr="00D2134C">
        <w:t>These engagements involved s</w:t>
      </w:r>
      <w:r w:rsidR="00484ED4" w:rsidRPr="00D2134C">
        <w:t>peaking with key NDIS audiences, including participants, families and carers, disability advocates and peak organisations and a wide variety of state and territory services that interact with the NDIS.</w:t>
      </w:r>
    </w:p>
    <w:p w14:paraId="3F306B7B" w14:textId="6204C1F1" w:rsidR="00484ED4" w:rsidRPr="00D2134C" w:rsidRDefault="00484ED4" w:rsidP="00484ED4">
      <w:pPr>
        <w:pStyle w:val="FGCNORMAL"/>
      </w:pPr>
      <w:r w:rsidRPr="00D2134C">
        <w:lastRenderedPageBreak/>
        <w:t xml:space="preserve">We engaged in a variety of ways, from forums to workshops and expos, as well as monthly community stakeholder updates in each </w:t>
      </w:r>
      <w:r w:rsidR="00FF5869" w:rsidRPr="00D2134C">
        <w:t>s</w:t>
      </w:r>
      <w:r w:rsidRPr="00D2134C">
        <w:t xml:space="preserve">tate and </w:t>
      </w:r>
      <w:r w:rsidR="00FF5869" w:rsidRPr="00D2134C">
        <w:t>t</w:t>
      </w:r>
      <w:r w:rsidRPr="00D2134C">
        <w:t>erritory.</w:t>
      </w:r>
    </w:p>
    <w:p w14:paraId="6B19C55B" w14:textId="378DB876" w:rsidR="00484ED4" w:rsidRPr="00D2134C" w:rsidRDefault="00484ED4" w:rsidP="00484ED4">
      <w:pPr>
        <w:pStyle w:val="FGCNORMAL"/>
      </w:pPr>
      <w:r w:rsidRPr="00D2134C">
        <w:t xml:space="preserve">Our community engagement focuses on supporting NDIS participants, improving the participant </w:t>
      </w:r>
      <w:proofErr w:type="gramStart"/>
      <w:r w:rsidRPr="00D2134C">
        <w:t>experience</w:t>
      </w:r>
      <w:proofErr w:type="gramEnd"/>
      <w:r w:rsidRPr="00D2134C">
        <w:t xml:space="preserve"> and building strong relationships with the disability sector.</w:t>
      </w:r>
    </w:p>
    <w:p w14:paraId="18C58F07" w14:textId="77777777" w:rsidR="00970846" w:rsidRPr="00D2134C" w:rsidRDefault="00970846" w:rsidP="003765DD">
      <w:pPr>
        <w:pStyle w:val="FGCHEADING6"/>
      </w:pPr>
      <w:r w:rsidRPr="00D2134C">
        <w:t>Community Sector Updates</w:t>
      </w:r>
    </w:p>
    <w:p w14:paraId="6E0CB8F0" w14:textId="0D131DA1" w:rsidR="00970846" w:rsidRPr="00D2134C" w:rsidRDefault="00970846" w:rsidP="00970846">
      <w:pPr>
        <w:pStyle w:val="FGCNORMAL"/>
      </w:pPr>
      <w:r w:rsidRPr="00D2134C">
        <w:t>In 2021–22</w:t>
      </w:r>
      <w:r w:rsidR="000E302A" w:rsidRPr="00D2134C">
        <w:t>,</w:t>
      </w:r>
      <w:r w:rsidRPr="00D2134C">
        <w:t xml:space="preserve"> the NDIA started holding Community Sector Update sessions to keep community stakeholders informed about the latest changes to the NDIS. The sessions </w:t>
      </w:r>
      <w:r w:rsidR="00AA6F55">
        <w:t>were</w:t>
      </w:r>
      <w:r w:rsidR="00AA6F55" w:rsidRPr="00D2134C">
        <w:t xml:space="preserve"> </w:t>
      </w:r>
      <w:r w:rsidRPr="00D2134C">
        <w:t xml:space="preserve">held online and followed by a written update. We held 46 update sessions, with 3,800 attendees and/or email recipients. Topics included the </w:t>
      </w:r>
      <w:r w:rsidR="000E302A" w:rsidRPr="00D2134C">
        <w:t>PEP</w:t>
      </w:r>
      <w:r w:rsidRPr="00D2134C">
        <w:t>, the NDIS</w:t>
      </w:r>
      <w:r w:rsidR="00A67616" w:rsidRPr="00D2134C">
        <w:t xml:space="preserve"> </w:t>
      </w:r>
      <w:r w:rsidRPr="00D2134C">
        <w:t>Commission, and the latest advice on supporting participants during the COVID-19 pandemic.</w:t>
      </w:r>
    </w:p>
    <w:p w14:paraId="791FAE45" w14:textId="77777777" w:rsidR="00970846" w:rsidRPr="00D2134C" w:rsidRDefault="00970846" w:rsidP="003765DD">
      <w:pPr>
        <w:pStyle w:val="FGCHEADING6"/>
      </w:pPr>
      <w:r w:rsidRPr="00D2134C">
        <w:t>Engagement with rural and remote communities</w:t>
      </w:r>
    </w:p>
    <w:p w14:paraId="4F6D7A3C" w14:textId="74BF0556" w:rsidR="00970846" w:rsidRPr="00D2134C" w:rsidRDefault="00970846" w:rsidP="00970846">
      <w:pPr>
        <w:pStyle w:val="FGCNORMAL"/>
      </w:pPr>
      <w:r w:rsidRPr="00D2134C">
        <w:t xml:space="preserve">As part of its Aboriginal and Torres Strait Islander Strategy, the NDIA commenced a pilot project to trial a new solution – Mobile Max hubs – to deliver information and resources to remote communities in Australia. Mobile Max hubs are outdoor digital devices that connect people to the NDIS via a touchscreen and free </w:t>
      </w:r>
      <w:r w:rsidR="000E302A" w:rsidRPr="00D2134C">
        <w:t>w</w:t>
      </w:r>
      <w:r w:rsidR="003A2966" w:rsidRPr="00D2134C">
        <w:t>i-</w:t>
      </w:r>
      <w:r w:rsidR="000E302A" w:rsidRPr="00D2134C">
        <w:t>f</w:t>
      </w:r>
      <w:r w:rsidR="003A2966" w:rsidRPr="00D2134C">
        <w:t>i</w:t>
      </w:r>
      <w:r w:rsidRPr="00D2134C">
        <w:t xml:space="preserve"> hotspot. This innovation makes NDIS information accessible to people without a private internet connection. It also provides a platform for the community to share local information and stories. The first Mobile Max hub arrived at the MacDonnell Regional Shire Office in Kintore, Northern Territory</w:t>
      </w:r>
      <w:r w:rsidR="00FD7B41" w:rsidRPr="00D2134C">
        <w:t>,</w:t>
      </w:r>
      <w:r w:rsidRPr="00D2134C">
        <w:t xml:space="preserve"> in May 2022. A second unit was installed in the Townsville NDIA office 29 June 2022. </w:t>
      </w:r>
    </w:p>
    <w:p w14:paraId="35F742AA" w14:textId="6DF46DCE" w:rsidR="00970846" w:rsidRPr="00D2134C" w:rsidRDefault="00970846" w:rsidP="00970846">
      <w:pPr>
        <w:pStyle w:val="FGCNORMAL"/>
      </w:pPr>
      <w:r w:rsidRPr="00D2134C">
        <w:t xml:space="preserve">To increase support for First Nations Australians with disability, the NDIA has engaged the National Aboriginal Community Controlled Health Organisation to provide Aboriginal Disability Liaison Officers (ADLOs). ADLOs work with </w:t>
      </w:r>
      <w:r w:rsidR="00230D6E">
        <w:t>p</w:t>
      </w:r>
      <w:r w:rsidRPr="00D2134C">
        <w:t xml:space="preserve">artners in the </w:t>
      </w:r>
      <w:r w:rsidR="00230D6E">
        <w:t>c</w:t>
      </w:r>
      <w:r w:rsidRPr="00D2134C">
        <w:t>ommunity to identify and support First Nations people to access the NDIS. This initiative contributes to the NDIA’s actions under the National Agreement on Closing the Gap.</w:t>
      </w:r>
    </w:p>
    <w:p w14:paraId="69C538B1" w14:textId="77777777" w:rsidR="00970846" w:rsidRPr="00D2134C" w:rsidRDefault="00970846" w:rsidP="00EE2D88">
      <w:pPr>
        <w:pStyle w:val="FGCHEADING5"/>
        <w:numPr>
          <w:ilvl w:val="0"/>
          <w:numId w:val="0"/>
        </w:numPr>
        <w:ind w:left="652"/>
      </w:pPr>
      <w:r w:rsidRPr="00D2134C">
        <w:t>Improved communications with participants</w:t>
      </w:r>
    </w:p>
    <w:p w14:paraId="4E1CBC56" w14:textId="77777777" w:rsidR="00970846" w:rsidRPr="00D2134C" w:rsidRDefault="00970846" w:rsidP="00970846">
      <w:pPr>
        <w:pStyle w:val="FGCNORMAL"/>
        <w:rPr>
          <w:lang w:eastAsia="en-US"/>
        </w:rPr>
      </w:pPr>
      <w:r w:rsidRPr="00D2134C">
        <w:rPr>
          <w:lang w:eastAsia="en-US"/>
        </w:rPr>
        <w:t>In 2021–22, the NDIA used proactive and targeted communications to keep participants up to date about new NDIS initiatives, how to access NDIS services, and how to request changes to their NDIS plans or access funding if they were affected by COVID-19 or by natural disasters.</w:t>
      </w:r>
    </w:p>
    <w:p w14:paraId="3F720782" w14:textId="77777777" w:rsidR="00970846" w:rsidRPr="00D2134C" w:rsidRDefault="00970846" w:rsidP="003765DD">
      <w:pPr>
        <w:pStyle w:val="FGCHEADING6"/>
      </w:pPr>
      <w:r w:rsidRPr="00D2134C">
        <w:t>COVID-19 vaccination</w:t>
      </w:r>
    </w:p>
    <w:p w14:paraId="1496DF05" w14:textId="77777777" w:rsidR="00970846" w:rsidRPr="00D2134C" w:rsidRDefault="00970846" w:rsidP="00970846">
      <w:pPr>
        <w:pStyle w:val="FGCNORMAL"/>
      </w:pPr>
      <w:r w:rsidRPr="00D2134C">
        <w:t xml:space="preserve">A key priority in 2021–22 was to remove barriers to COVID-19 vaccination for participants. We promoted accessible vaccination venues and the support available from providers and governments. We geographically targeted this communication to areas with lower vaccination rates. </w:t>
      </w:r>
    </w:p>
    <w:p w14:paraId="7AF67FA8" w14:textId="1595762F" w:rsidR="00970846" w:rsidRPr="00D2134C" w:rsidRDefault="00970846" w:rsidP="00970846">
      <w:pPr>
        <w:pStyle w:val="FGCNORMAL"/>
      </w:pPr>
      <w:r w:rsidRPr="00D2134C">
        <w:t xml:space="preserve">One of our </w:t>
      </w:r>
      <w:r w:rsidR="00C602EE">
        <w:t>p</w:t>
      </w:r>
      <w:r w:rsidRPr="00D2134C">
        <w:t xml:space="preserve">artners in the </w:t>
      </w:r>
      <w:r w:rsidR="00C602EE">
        <w:t>c</w:t>
      </w:r>
      <w:r w:rsidRPr="00D2134C">
        <w:t xml:space="preserve">ommunity, Settlement Services International, trialled a proactive outreach program to help participants access the vaccine. We also delivered information sessions and reached out to </w:t>
      </w:r>
      <w:r w:rsidRPr="00D2134C">
        <w:rPr>
          <w:lang w:eastAsia="en-US"/>
        </w:rPr>
        <w:t>providers located near vaccine service hubs</w:t>
      </w:r>
      <w:r w:rsidRPr="00D2134C">
        <w:t>.</w:t>
      </w:r>
    </w:p>
    <w:p w14:paraId="5D8C3CC0" w14:textId="3567E42A" w:rsidR="00970846" w:rsidRPr="00D2134C" w:rsidRDefault="00970846" w:rsidP="003765DD">
      <w:pPr>
        <w:pStyle w:val="FGCHEADING6"/>
      </w:pPr>
      <w:r w:rsidRPr="00D2134C">
        <w:t>Fraud and noncompliance</w:t>
      </w:r>
    </w:p>
    <w:p w14:paraId="6803812B" w14:textId="21E3A6AB" w:rsidR="00970846" w:rsidRPr="00D2134C" w:rsidRDefault="00625E3D" w:rsidP="00970846">
      <w:pPr>
        <w:pStyle w:val="FGCNORMAL"/>
      </w:pPr>
      <w:r w:rsidRPr="00D2134C">
        <w:t>In November 2021, t</w:t>
      </w:r>
      <w:r w:rsidR="00970846" w:rsidRPr="00D2134C">
        <w:t>he NDIA ran an information campaign focused on fraud and noncompliance issues to help participants and providers understand their responsibilities. The campaign coincide</w:t>
      </w:r>
      <w:r w:rsidR="00F26BB4" w:rsidRPr="00D2134C">
        <w:t>d</w:t>
      </w:r>
      <w:r w:rsidR="00970846" w:rsidRPr="00D2134C">
        <w:t xml:space="preserve"> with Scam Awareness Week and Fraud Awareness Week. It included information sessions, fact sheets, an animation about noncompliance, updated website information, a social media campaign and engagement through NDIS newsletters.</w:t>
      </w:r>
    </w:p>
    <w:p w14:paraId="697F2C47" w14:textId="77777777" w:rsidR="00970846" w:rsidRPr="00D2134C" w:rsidRDefault="00970846" w:rsidP="003765DD">
      <w:pPr>
        <w:pStyle w:val="FGCHEADING6"/>
      </w:pPr>
      <w:r w:rsidRPr="00D2134C">
        <w:t xml:space="preserve">Changes to the Scheme </w:t>
      </w:r>
    </w:p>
    <w:p w14:paraId="4ED2A1F1" w14:textId="503D265C" w:rsidR="00970846" w:rsidRPr="00D2134C" w:rsidRDefault="00970846" w:rsidP="00970846">
      <w:pPr>
        <w:pStyle w:val="FGCNORMAL"/>
      </w:pPr>
      <w:r w:rsidRPr="00D2134C">
        <w:rPr>
          <w:lang w:eastAsia="en-US"/>
        </w:rPr>
        <w:t xml:space="preserve">As part of our commitment in the </w:t>
      </w:r>
      <w:r w:rsidR="00F26BB4" w:rsidRPr="00D2134C">
        <w:rPr>
          <w:lang w:eastAsia="en-US"/>
        </w:rPr>
        <w:t>SIP</w:t>
      </w:r>
      <w:r w:rsidRPr="00D2134C">
        <w:rPr>
          <w:lang w:eastAsia="en-US"/>
        </w:rPr>
        <w:t>, the NDIA kept</w:t>
      </w:r>
      <w:r w:rsidRPr="00D2134C">
        <w:t xml:space="preserve"> participants informed of changes being made to improve the NDIS. We </w:t>
      </w:r>
      <w:r w:rsidRPr="00D2134C">
        <w:rPr>
          <w:lang w:eastAsia="en-US"/>
        </w:rPr>
        <w:t xml:space="preserve">released new and improved </w:t>
      </w:r>
      <w:r w:rsidR="001D4281">
        <w:rPr>
          <w:lang w:eastAsia="en-US"/>
        </w:rPr>
        <w:t>S</w:t>
      </w:r>
      <w:r w:rsidRPr="00D2134C">
        <w:rPr>
          <w:lang w:eastAsia="en-US"/>
        </w:rPr>
        <w:t xml:space="preserve">cheme guidelines and produced accessible information resources to help participants understand the </w:t>
      </w:r>
      <w:r w:rsidRPr="00D2134C">
        <w:t>simplified process to get funding for assistive technology.</w:t>
      </w:r>
    </w:p>
    <w:p w14:paraId="019B87F3" w14:textId="77777777" w:rsidR="00970846" w:rsidRPr="00D2134C" w:rsidRDefault="00970846" w:rsidP="00EE2D88">
      <w:pPr>
        <w:pStyle w:val="FGCHEADING5"/>
        <w:numPr>
          <w:ilvl w:val="0"/>
          <w:numId w:val="0"/>
        </w:numPr>
        <w:ind w:left="652"/>
      </w:pPr>
      <w:r w:rsidRPr="00D2134C">
        <w:lastRenderedPageBreak/>
        <w:t>Research and evaluation</w:t>
      </w:r>
    </w:p>
    <w:p w14:paraId="46BB303F" w14:textId="357DAD70" w:rsidR="00970846" w:rsidRPr="00D2134C" w:rsidRDefault="00970846" w:rsidP="00970846">
      <w:pPr>
        <w:pStyle w:val="FGCNORMAL"/>
      </w:pPr>
      <w:r w:rsidRPr="00D2134C">
        <w:t>The NDIA is committed to investing in the development and use of research evidence to inform decisions</w:t>
      </w:r>
      <w:r w:rsidR="00F26BB4" w:rsidRPr="00D2134C">
        <w:t xml:space="preserve"> it</w:t>
      </w:r>
      <w:r w:rsidR="0083251C" w:rsidRPr="00D2134C">
        <w:t xml:space="preserve"> makes</w:t>
      </w:r>
      <w:r w:rsidRPr="00D2134C">
        <w:t xml:space="preserve">. </w:t>
      </w:r>
      <w:r w:rsidR="00586810" w:rsidRPr="00D2134C">
        <w:t>The new Research and Evaluation Strategy (2022</w:t>
      </w:r>
      <w:r w:rsidR="00161C03">
        <w:t>–</w:t>
      </w:r>
      <w:r w:rsidR="00586810" w:rsidRPr="00D2134C">
        <w:t xml:space="preserve">27) was endorsed by the Board at its 30 June 2022 meeting. The strategy focuses </w:t>
      </w:r>
      <w:r w:rsidRPr="00D2134C">
        <w:t xml:space="preserve">on building evidence across 4 broad topic areas: home and living; early interventions; information gathering for access and planning; and markets and employment. Each topic area will focus on generating new evidence, measuring outcomes and benefits, exploring new innovative approaches and technologies to benefit participants, and identifying research translation opportunities. </w:t>
      </w:r>
    </w:p>
    <w:p w14:paraId="1636B8DB" w14:textId="77777777" w:rsidR="00970846" w:rsidRPr="00D2134C" w:rsidRDefault="00970846" w:rsidP="00970846">
      <w:pPr>
        <w:pStyle w:val="FGCNORMAL"/>
        <w:rPr>
          <w:rFonts w:ascii="Calibri" w:eastAsiaTheme="minorHAnsi" w:hAnsi="Calibri" w:cs="Calibri"/>
          <w:lang w:eastAsia="en-AU"/>
        </w:rPr>
      </w:pPr>
      <w:r w:rsidRPr="00D2134C">
        <w:t xml:space="preserve">Over the past year, 12 research or evaluation projects have been completed. Examples of these projects are: </w:t>
      </w:r>
    </w:p>
    <w:p w14:paraId="4C5E71F0" w14:textId="3362BDBB" w:rsidR="00970846" w:rsidRPr="00D2134C" w:rsidRDefault="0083251C" w:rsidP="003650C2">
      <w:pPr>
        <w:pStyle w:val="FGCBULLET1"/>
      </w:pPr>
      <w:r w:rsidRPr="00D2134C">
        <w:t>the p</w:t>
      </w:r>
      <w:r w:rsidR="00970846" w:rsidRPr="00D2134C">
        <w:t xml:space="preserve">ublication of ‘Guides for understanding supports’ on the NDIS website. These guides provide NDIS participants with information about evidence-based supports and are designed in collaboration with NDIS participants and their families and carers, peak </w:t>
      </w:r>
      <w:proofErr w:type="gramStart"/>
      <w:r w:rsidR="00970846" w:rsidRPr="00D2134C">
        <w:t>bodies</w:t>
      </w:r>
      <w:proofErr w:type="gramEnd"/>
      <w:r w:rsidR="00970846" w:rsidRPr="00D2134C">
        <w:t xml:space="preserve"> and </w:t>
      </w:r>
      <w:r w:rsidR="0078739C" w:rsidRPr="00D2134C">
        <w:t xml:space="preserve">NDIA </w:t>
      </w:r>
      <w:r w:rsidR="00970846" w:rsidRPr="00D2134C">
        <w:t xml:space="preserve">staff. They are located alongside the </w:t>
      </w:r>
      <w:r w:rsidR="00EA4E01" w:rsidRPr="00D2134C">
        <w:t>Operational Guidelines</w:t>
      </w:r>
      <w:r w:rsidR="00970846" w:rsidRPr="00D2134C">
        <w:t xml:space="preserve"> and ‘Would we fund it?’ resources. The first guides – on understanding employment supports – were released in April 2022. There is also a checklist to help NDIS participants gather information about supports. New guides will focus on early interventions for children who are deaf or hard of hearing; social</w:t>
      </w:r>
      <w:r w:rsidR="005034CE">
        <w:t>,</w:t>
      </w:r>
      <w:r w:rsidR="00970846" w:rsidRPr="00D2134C">
        <w:t xml:space="preserve"> civic and community participation; and assistive technology</w:t>
      </w:r>
      <w:r w:rsidR="00113DFB">
        <w:t>.</w:t>
      </w:r>
    </w:p>
    <w:p w14:paraId="5E45EFDC" w14:textId="2A74ECA8" w:rsidR="00970846" w:rsidRPr="00D2134C" w:rsidRDefault="00835C9B" w:rsidP="003650C2">
      <w:pPr>
        <w:pStyle w:val="FGCBULLET1"/>
      </w:pPr>
      <w:r w:rsidRPr="00D2134C">
        <w:t>a</w:t>
      </w:r>
      <w:r w:rsidR="00970846" w:rsidRPr="00D2134C">
        <w:t xml:space="preserve">n evidence </w:t>
      </w:r>
      <w:proofErr w:type="gramStart"/>
      <w:r w:rsidR="00970846" w:rsidRPr="00D2134C">
        <w:t>review</w:t>
      </w:r>
      <w:proofErr w:type="gramEnd"/>
      <w:r w:rsidR="00970846" w:rsidRPr="00D2134C">
        <w:t xml:space="preserve"> and mixed-methods research on understanding the barriers and enablers to social and community participation and the effectiveness of interventions to support NDIS participants with autism, intellectual disability or psychosocial disability. The findings from this research described which interventions/supports improve community participation outcomes and the information and supports required by participants</w:t>
      </w:r>
      <w:r w:rsidR="001D4281">
        <w:t>,</w:t>
      </w:r>
      <w:r w:rsidR="00970846" w:rsidRPr="00D2134C">
        <w:t xml:space="preserve"> and their families, </w:t>
      </w:r>
      <w:proofErr w:type="gramStart"/>
      <w:r w:rsidR="00970846" w:rsidRPr="00D2134C">
        <w:t>carers</w:t>
      </w:r>
      <w:proofErr w:type="gramEnd"/>
      <w:r w:rsidR="00970846" w:rsidRPr="00D2134C">
        <w:t xml:space="preserve"> and service delivery staff to help develop community participation goals and enable participants to be more connected and included in their community. These findings have been built into service design and delivery to embed best practice principles into the work of partners and planners. The NDIA will also use this research to develop guides for participants that can help them have conversations with their support team about social participation opportunities and the types of support that can assist</w:t>
      </w:r>
      <w:r w:rsidR="00113DFB">
        <w:t>.</w:t>
      </w:r>
    </w:p>
    <w:p w14:paraId="3C0FA570" w14:textId="521C3433" w:rsidR="00970846" w:rsidRPr="00D2134C" w:rsidRDefault="00B6283A" w:rsidP="003650C2">
      <w:pPr>
        <w:pStyle w:val="FGCBULLET1"/>
      </w:pPr>
      <w:r w:rsidRPr="00D2134C">
        <w:t>a</w:t>
      </w:r>
      <w:r w:rsidR="00970846" w:rsidRPr="00D2134C">
        <w:t xml:space="preserve"> review of published literature, a horizon scan of similar funding schemes, and engagement with around 850 NDIS participants to hear their views and experiences of self-directed or self-managed disability funding. The NDIA used this information to inform a new policy to support participants to self-manage their budgets in a way that is efficient, </w:t>
      </w:r>
      <w:proofErr w:type="gramStart"/>
      <w:r w:rsidR="00970846" w:rsidRPr="00D2134C">
        <w:t>consistent</w:t>
      </w:r>
      <w:proofErr w:type="gramEnd"/>
      <w:r w:rsidR="00970846" w:rsidRPr="00D2134C">
        <w:t xml:space="preserve"> and easier than before</w:t>
      </w:r>
      <w:r w:rsidR="00113DFB">
        <w:t>.</w:t>
      </w:r>
    </w:p>
    <w:p w14:paraId="3F4A7D59" w14:textId="6E156B9F" w:rsidR="00970846" w:rsidRPr="00D2134C" w:rsidRDefault="00B6283A" w:rsidP="003650C2">
      <w:pPr>
        <w:pStyle w:val="FGCBULLET1"/>
      </w:pPr>
      <w:r w:rsidRPr="00D2134C">
        <w:t>m</w:t>
      </w:r>
      <w:r w:rsidR="00970846" w:rsidRPr="00D2134C">
        <w:t xml:space="preserve">ixed-methods research that examined how </w:t>
      </w:r>
      <w:r w:rsidR="00632EA6">
        <w:t>capacity-building</w:t>
      </w:r>
      <w:r w:rsidR="00970846" w:rsidRPr="00D2134C">
        <w:t xml:space="preserve"> supports enable NDIS participants to live in or progress towards individualised living. This research was undertaken in partnership with Scope Australia. The findings provide an understanding of the support participants require to build their daily life skills and knowledge and an awareness that this might come from many different systems and services, as well as informal supporters. The NDIA will use these findings to support implementation of the new Home and Living Policy</w:t>
      </w:r>
      <w:r w:rsidR="00113DFB">
        <w:t>.</w:t>
      </w:r>
    </w:p>
    <w:p w14:paraId="27B799FF" w14:textId="77777777" w:rsidR="00970846" w:rsidRPr="00D2134C" w:rsidRDefault="00970846" w:rsidP="00EE2D88">
      <w:pPr>
        <w:pStyle w:val="FGCHEADING5"/>
        <w:numPr>
          <w:ilvl w:val="0"/>
          <w:numId w:val="0"/>
        </w:numPr>
        <w:ind w:left="652"/>
      </w:pPr>
      <w:r w:rsidRPr="00D2134C">
        <w:t xml:space="preserve">Public data sharing </w:t>
      </w:r>
    </w:p>
    <w:p w14:paraId="499B9D3C" w14:textId="77777777" w:rsidR="00970846" w:rsidRPr="00D2134C" w:rsidRDefault="00970846" w:rsidP="00970846">
      <w:pPr>
        <w:pStyle w:val="FGCNORMAL"/>
        <w:rPr>
          <w:lang w:eastAsia="en-AU"/>
        </w:rPr>
      </w:pPr>
      <w:r w:rsidRPr="00D2134C">
        <w:rPr>
          <w:lang w:eastAsia="en-AU"/>
        </w:rPr>
        <w:t>Data sharing is critical to the success of the NDIS.</w:t>
      </w:r>
    </w:p>
    <w:p w14:paraId="71EBD937" w14:textId="6023FCC1" w:rsidR="00970846" w:rsidRPr="00D2134C" w:rsidRDefault="00970846" w:rsidP="00970846">
      <w:pPr>
        <w:pStyle w:val="FGCNORMAL"/>
        <w:rPr>
          <w:lang w:eastAsia="en-AU"/>
        </w:rPr>
      </w:pPr>
      <w:r w:rsidRPr="00D2134C">
        <w:rPr>
          <w:lang w:eastAsia="en-AU"/>
        </w:rPr>
        <w:t>Public data sharing and open data allows people with disabilities, and their families and carers, to benefit more from the Scheme. Transparency of this data will drive continuous improvement in participant outcomes</w:t>
      </w:r>
      <w:r w:rsidR="001D4281">
        <w:rPr>
          <w:lang w:eastAsia="en-AU"/>
        </w:rPr>
        <w:t>, ensure value for money investment</w:t>
      </w:r>
      <w:r w:rsidRPr="00D2134C">
        <w:rPr>
          <w:lang w:eastAsia="en-AU"/>
        </w:rPr>
        <w:t xml:space="preserve"> and support a financially sustainable NDIS.</w:t>
      </w:r>
    </w:p>
    <w:p w14:paraId="7FF90BB0" w14:textId="77777777" w:rsidR="00970846" w:rsidRPr="00D2134C" w:rsidRDefault="00970846" w:rsidP="00970846">
      <w:pPr>
        <w:pStyle w:val="FGCNORMAL"/>
        <w:rPr>
          <w:lang w:eastAsia="en-AU"/>
        </w:rPr>
      </w:pPr>
      <w:r w:rsidRPr="00D2134C">
        <w:rPr>
          <w:lang w:eastAsia="en-AU"/>
        </w:rPr>
        <w:t>The privacy of participants is of paramount importance. The NDIA has applied de-identification methods so that the only data being released is non-personal and does not identify individuals. </w:t>
      </w:r>
    </w:p>
    <w:p w14:paraId="104250C2" w14:textId="77777777" w:rsidR="00970846" w:rsidRPr="00D2134C" w:rsidRDefault="00970846" w:rsidP="00970846">
      <w:pPr>
        <w:pStyle w:val="FGCNORMAL"/>
        <w:rPr>
          <w:lang w:eastAsia="en-AU"/>
        </w:rPr>
      </w:pPr>
      <w:r w:rsidRPr="00D2134C">
        <w:rPr>
          <w:lang w:eastAsia="en-AU"/>
        </w:rPr>
        <w:t>Public data sharing also enables the NDIA to better exercise its functions under the NDIS Act, including its requirement to:</w:t>
      </w:r>
    </w:p>
    <w:p w14:paraId="5B20D2A7" w14:textId="228C4024" w:rsidR="00970846" w:rsidRPr="00D2134C" w:rsidRDefault="00970846" w:rsidP="003650C2">
      <w:pPr>
        <w:pStyle w:val="FGCBULLET1"/>
      </w:pPr>
      <w:r w:rsidRPr="00D2134C">
        <w:lastRenderedPageBreak/>
        <w:t>deliver the NDIS</w:t>
      </w:r>
    </w:p>
    <w:p w14:paraId="153E4901" w14:textId="037236F2" w:rsidR="00970846" w:rsidRPr="00D2134C" w:rsidRDefault="00970846" w:rsidP="003650C2">
      <w:pPr>
        <w:pStyle w:val="FGCBULLET1"/>
      </w:pPr>
      <w:r w:rsidRPr="00D2134C">
        <w:t xml:space="preserve">manage, </w:t>
      </w:r>
      <w:proofErr w:type="gramStart"/>
      <w:r w:rsidRPr="00D2134C">
        <w:t>advise</w:t>
      </w:r>
      <w:proofErr w:type="gramEnd"/>
      <w:r w:rsidRPr="00D2134C">
        <w:t xml:space="preserve"> and report on the financial sustainability of the NDIS</w:t>
      </w:r>
    </w:p>
    <w:p w14:paraId="11837A44" w14:textId="7FB41DDC" w:rsidR="00970846" w:rsidRPr="00D2134C" w:rsidRDefault="00970846" w:rsidP="003650C2">
      <w:pPr>
        <w:pStyle w:val="FGCBULLET1"/>
      </w:pPr>
      <w:r w:rsidRPr="00D2134C">
        <w:t xml:space="preserve">develop and enhance the disability sector, including by facilitating innovation, </w:t>
      </w:r>
      <w:proofErr w:type="gramStart"/>
      <w:r w:rsidRPr="00D2134C">
        <w:t>research</w:t>
      </w:r>
      <w:proofErr w:type="gramEnd"/>
      <w:r w:rsidRPr="00D2134C">
        <w:t xml:space="preserve"> and contemporary best practice in the sector</w:t>
      </w:r>
    </w:p>
    <w:p w14:paraId="7BF64071" w14:textId="66CB165F" w:rsidR="00970846" w:rsidRPr="00D2134C" w:rsidRDefault="00970846" w:rsidP="003650C2">
      <w:pPr>
        <w:pStyle w:val="FGCBULLET1"/>
      </w:pPr>
      <w:r w:rsidRPr="00D2134C">
        <w:t>build community awareness of disabilities and the social contributors to disabilities</w:t>
      </w:r>
    </w:p>
    <w:p w14:paraId="311322AB" w14:textId="77777777" w:rsidR="00970846" w:rsidRPr="00D2134C" w:rsidRDefault="00970846" w:rsidP="003650C2">
      <w:pPr>
        <w:pStyle w:val="FGCBULLET1"/>
      </w:pPr>
      <w:r w:rsidRPr="00D2134C">
        <w:t xml:space="preserve">collect, </w:t>
      </w:r>
      <w:proofErr w:type="gramStart"/>
      <w:r w:rsidRPr="00D2134C">
        <w:t>analyse</w:t>
      </w:r>
      <w:proofErr w:type="gramEnd"/>
      <w:r w:rsidRPr="00D2134C">
        <w:t xml:space="preserve"> and exchange data about disabilities and the supports (including early intervention supports) for people with disability</w:t>
      </w:r>
    </w:p>
    <w:p w14:paraId="4625B816" w14:textId="77777777" w:rsidR="00970846" w:rsidRPr="00D2134C" w:rsidRDefault="00970846" w:rsidP="003650C2">
      <w:pPr>
        <w:pStyle w:val="FGCBULLET1"/>
      </w:pPr>
      <w:r w:rsidRPr="00D2134C">
        <w:t>undertake research relating to disabilities, the supports (including early intervention supports) for people with disability, and the social contributors to disabilities.</w:t>
      </w:r>
    </w:p>
    <w:p w14:paraId="30140626" w14:textId="545C9861" w:rsidR="00970846" w:rsidRPr="00D2134C" w:rsidRDefault="00970846" w:rsidP="00970846">
      <w:pPr>
        <w:pStyle w:val="FGCNORMAL"/>
      </w:pPr>
      <w:r w:rsidRPr="00D2134C">
        <w:t>On 31 May 2022</w:t>
      </w:r>
      <w:r w:rsidR="008E3AA1" w:rsidRPr="00D2134C">
        <w:t>,</w:t>
      </w:r>
      <w:r w:rsidRPr="00D2134C">
        <w:t xml:space="preserve"> the </w:t>
      </w:r>
      <w:r w:rsidR="008E3AA1" w:rsidRPr="00D2134C">
        <w:t>NDIA</w:t>
      </w:r>
      <w:r w:rsidRPr="00D2134C">
        <w:t xml:space="preserve"> released NDIS data, refreshing </w:t>
      </w:r>
      <w:hyperlink r:id="rId45" w:history="1">
        <w:r w:rsidRPr="00D2134C">
          <w:rPr>
            <w:rStyle w:val="Hyperlink"/>
          </w:rPr>
          <w:t>downloadable data</w:t>
        </w:r>
      </w:hyperlink>
      <w:r w:rsidRPr="00D2134C">
        <w:rPr>
          <w:rStyle w:val="A12"/>
          <w:rFonts w:ascii="Arial" w:hAnsi="Arial" w:cs="Arial"/>
          <w:color w:val="auto"/>
          <w:sz w:val="22"/>
          <w:szCs w:val="22"/>
        </w:rPr>
        <w:t xml:space="preserve"> </w:t>
      </w:r>
      <w:r w:rsidRPr="00D2134C">
        <w:t xml:space="preserve">and the </w:t>
      </w:r>
      <w:hyperlink r:id="rId46" w:history="1">
        <w:r w:rsidRPr="00D2134C">
          <w:rPr>
            <w:rStyle w:val="Hyperlink"/>
          </w:rPr>
          <w:t>explore data</w:t>
        </w:r>
      </w:hyperlink>
      <w:r w:rsidRPr="00D2134C">
        <w:rPr>
          <w:rStyle w:val="A12"/>
          <w:rFonts w:ascii="Arial" w:hAnsi="Arial" w:cs="Arial"/>
          <w:color w:val="auto"/>
          <w:sz w:val="22"/>
          <w:szCs w:val="22"/>
        </w:rPr>
        <w:t xml:space="preserve"> </w:t>
      </w:r>
      <w:r w:rsidRPr="00D2134C">
        <w:t xml:space="preserve">visualisation tool on </w:t>
      </w:r>
      <w:hyperlink r:id="rId47" w:history="1">
        <w:r w:rsidRPr="00D2134C">
          <w:rPr>
            <w:rStyle w:val="Hyperlink"/>
          </w:rPr>
          <w:t>data.ndis.gov.au</w:t>
        </w:r>
      </w:hyperlink>
      <w:r w:rsidRPr="00D2134C">
        <w:t xml:space="preserve"> with information up to the end of 31 March 2022.</w:t>
      </w:r>
    </w:p>
    <w:p w14:paraId="0B3CB7B3" w14:textId="7F03A68C" w:rsidR="00970846" w:rsidRPr="00D2134C" w:rsidRDefault="00970846" w:rsidP="00970846">
      <w:pPr>
        <w:pStyle w:val="FGCNORMAL"/>
      </w:pPr>
      <w:r w:rsidRPr="00D2134C">
        <w:t>The NDIA will be providing more data for public access in stages as the Scheme grows and will provide it in various formats.</w:t>
      </w:r>
    </w:p>
    <w:p w14:paraId="336003FA" w14:textId="77777777" w:rsidR="00970846" w:rsidRPr="00D2134C" w:rsidRDefault="00970846" w:rsidP="00EE2D88">
      <w:pPr>
        <w:pStyle w:val="FGCHEADING5"/>
        <w:numPr>
          <w:ilvl w:val="0"/>
          <w:numId w:val="0"/>
        </w:numPr>
        <w:ind w:left="652"/>
      </w:pPr>
      <w:r w:rsidRPr="00D2134C">
        <w:t>A high-performing NDIA</w:t>
      </w:r>
    </w:p>
    <w:p w14:paraId="05855F45" w14:textId="51BE69BF" w:rsidR="00970846" w:rsidRPr="00D2134C" w:rsidRDefault="00970846" w:rsidP="00970846">
      <w:pPr>
        <w:pStyle w:val="FGCNORMAL"/>
      </w:pPr>
      <w:r w:rsidRPr="00D2134C">
        <w:t xml:space="preserve">The NDIA aspires to be a high-performing organisation with the right people, </w:t>
      </w:r>
      <w:proofErr w:type="gramStart"/>
      <w:r w:rsidRPr="00D2134C">
        <w:t>capabilities</w:t>
      </w:r>
      <w:proofErr w:type="gramEnd"/>
      <w:r w:rsidRPr="00D2134C">
        <w:t xml:space="preserve"> and systems to deliver its operational goals in a participant-centric way.</w:t>
      </w:r>
      <w:r w:rsidR="00CD5C3B" w:rsidRPr="00D2134C">
        <w:t xml:space="preserve"> As </w:t>
      </w:r>
      <w:proofErr w:type="gramStart"/>
      <w:r w:rsidR="00CD5C3B" w:rsidRPr="00D2134C">
        <w:t>at</w:t>
      </w:r>
      <w:proofErr w:type="gramEnd"/>
      <w:r w:rsidR="00CD5C3B" w:rsidRPr="00D2134C">
        <w:t xml:space="preserve"> 30 June 2022, the total NDIS workforce was 12,596, including 5,070 Australian Public Service employees, 1,893 labour-hire workers and contractors, and 5,633 people employed by the NDIA’s </w:t>
      </w:r>
      <w:r w:rsidR="00231298">
        <w:t>p</w:t>
      </w:r>
      <w:r w:rsidR="00CD5C3B" w:rsidRPr="00D2134C">
        <w:t xml:space="preserve">artners in the </w:t>
      </w:r>
      <w:r w:rsidR="00231298">
        <w:t>c</w:t>
      </w:r>
      <w:r w:rsidR="00CD5C3B" w:rsidRPr="00D2134C">
        <w:t xml:space="preserve">ommunity and </w:t>
      </w:r>
      <w:r w:rsidR="00231298">
        <w:t>c</w:t>
      </w:r>
      <w:r w:rsidR="00CD5C3B" w:rsidRPr="00D2134C">
        <w:t xml:space="preserve">ontact </w:t>
      </w:r>
      <w:r w:rsidR="00231298">
        <w:t>c</w:t>
      </w:r>
      <w:r w:rsidR="00CD5C3B" w:rsidRPr="00D2134C">
        <w:t xml:space="preserve">entre </w:t>
      </w:r>
      <w:r w:rsidR="00231298">
        <w:t>p</w:t>
      </w:r>
      <w:r w:rsidR="00CD5C3B" w:rsidRPr="00D2134C">
        <w:t>artners</w:t>
      </w:r>
      <w:r w:rsidRPr="00D2134C">
        <w:t>. In 2021</w:t>
      </w:r>
      <w:r w:rsidR="009C349D">
        <w:t>-</w:t>
      </w:r>
      <w:r w:rsidRPr="00D2134C">
        <w:t>22</w:t>
      </w:r>
      <w:r w:rsidR="00D730B1" w:rsidRPr="00D2134C">
        <w:t>,</w:t>
      </w:r>
      <w:r w:rsidRPr="00D2134C">
        <w:t xml:space="preserve"> the </w:t>
      </w:r>
      <w:r w:rsidR="00D730B1" w:rsidRPr="00D2134C">
        <w:t>NDIA</w:t>
      </w:r>
      <w:r w:rsidRPr="00D2134C">
        <w:t xml:space="preserve"> continued to deliver further improvements in systems, </w:t>
      </w:r>
      <w:proofErr w:type="gramStart"/>
      <w:r w:rsidRPr="00D2134C">
        <w:t>processes</w:t>
      </w:r>
      <w:proofErr w:type="gramEnd"/>
      <w:r w:rsidRPr="00D2134C">
        <w:t xml:space="preserve"> and data management to deliver the Scheme more efficiently and effectively.</w:t>
      </w:r>
    </w:p>
    <w:p w14:paraId="68A49E8C" w14:textId="77777777" w:rsidR="00970846" w:rsidRPr="00D2134C" w:rsidRDefault="00970846" w:rsidP="00EE2D88">
      <w:pPr>
        <w:pStyle w:val="FGCHEADING5"/>
        <w:numPr>
          <w:ilvl w:val="0"/>
          <w:numId w:val="0"/>
        </w:numPr>
        <w:ind w:left="652"/>
      </w:pPr>
      <w:r w:rsidRPr="00D2134C">
        <w:t>An engaged and capable NDIA</w:t>
      </w:r>
    </w:p>
    <w:p w14:paraId="0E6361D0" w14:textId="10EBA559" w:rsidR="00970846" w:rsidRPr="00D2134C" w:rsidRDefault="00970846" w:rsidP="00970846">
      <w:pPr>
        <w:pStyle w:val="FGCNORMAL"/>
      </w:pPr>
      <w:r w:rsidRPr="00D2134C">
        <w:t>A key focus in 2021</w:t>
      </w:r>
      <w:r w:rsidR="009C349D">
        <w:t>-</w:t>
      </w:r>
      <w:r w:rsidRPr="00D2134C">
        <w:t>22 was the development and deployment of a continuous improvement approach for the frontline workforce. This approach, known as CI Connect, uses quantitative analysis to make informed decisions about topics that would have the greatest impact on participant outcomes.</w:t>
      </w:r>
    </w:p>
    <w:p w14:paraId="15AC3332" w14:textId="11D10D45" w:rsidR="00970846" w:rsidRPr="00D2134C" w:rsidRDefault="00970846" w:rsidP="00970846">
      <w:pPr>
        <w:pStyle w:val="FGCNORMAL"/>
      </w:pPr>
      <w:r w:rsidRPr="00D2134C">
        <w:t xml:space="preserve">Since the launch of CI Connect in May 2021, there have been 10 topics deployed across 19 eLearning training modules to a target audience of over 7,000 employees. As </w:t>
      </w:r>
      <w:proofErr w:type="gramStart"/>
      <w:r w:rsidRPr="00D2134C">
        <w:t>at</w:t>
      </w:r>
      <w:proofErr w:type="gramEnd"/>
      <w:r w:rsidRPr="00D2134C">
        <w:t xml:space="preserve"> 30 June 2022, the eLearning modules have been completed 64,295 times.</w:t>
      </w:r>
    </w:p>
    <w:p w14:paraId="0A34B559" w14:textId="330EDCD0" w:rsidR="00970846" w:rsidRPr="00D2134C" w:rsidRDefault="00970846" w:rsidP="00970846">
      <w:pPr>
        <w:pStyle w:val="FGCNORMAL"/>
      </w:pPr>
      <w:r w:rsidRPr="00D2134C">
        <w:rPr>
          <w:rFonts w:eastAsia="Calibri"/>
        </w:rPr>
        <w:t xml:space="preserve">Each year the </w:t>
      </w:r>
      <w:r w:rsidR="00D730B1" w:rsidRPr="00D2134C">
        <w:rPr>
          <w:rFonts w:eastAsia="Calibri"/>
        </w:rPr>
        <w:t xml:space="preserve">NDIA </w:t>
      </w:r>
      <w:r w:rsidRPr="00D2134C">
        <w:rPr>
          <w:rFonts w:eastAsia="Calibri"/>
        </w:rPr>
        <w:t xml:space="preserve">participates in the APS Census. The </w:t>
      </w:r>
      <w:r w:rsidR="001B399D">
        <w:rPr>
          <w:rFonts w:eastAsia="Calibri"/>
        </w:rPr>
        <w:t>c</w:t>
      </w:r>
      <w:r w:rsidRPr="00D2134C">
        <w:rPr>
          <w:rFonts w:eastAsia="Calibri"/>
        </w:rPr>
        <w:t xml:space="preserve">ensus is a staff perception survey open to both APS employees and labour-hire workers. </w:t>
      </w:r>
      <w:r w:rsidR="00D730B1" w:rsidRPr="00D2134C">
        <w:rPr>
          <w:rFonts w:eastAsia="Calibri"/>
        </w:rPr>
        <w:t>It</w:t>
      </w:r>
      <w:r w:rsidRPr="00D2134C">
        <w:rPr>
          <w:rFonts w:eastAsia="Calibri"/>
        </w:rPr>
        <w:t xml:space="preserve"> captures attitude and opinion data on important issues such as wellbeing, innovation, leadership, learning and development, and engagement of the APS workforce. </w:t>
      </w:r>
      <w:r w:rsidRPr="00D2134C">
        <w:t xml:space="preserve">The results of the 2022 APS Census showed an increase in the </w:t>
      </w:r>
      <w:r w:rsidR="00E6015E" w:rsidRPr="00D2134C">
        <w:t xml:space="preserve">NDIA’s </w:t>
      </w:r>
      <w:r w:rsidR="00183D1E">
        <w:t>E</w:t>
      </w:r>
      <w:r w:rsidRPr="00D2134C">
        <w:t xml:space="preserve">ngagement </w:t>
      </w:r>
      <w:r w:rsidR="00183D1E">
        <w:t>I</w:t>
      </w:r>
      <w:r w:rsidRPr="00D2134C">
        <w:t>ndex from 74</w:t>
      </w:r>
      <w:r w:rsidR="00C650EB" w:rsidRPr="00D2134C">
        <w:t>%</w:t>
      </w:r>
      <w:r w:rsidRPr="00D2134C">
        <w:t xml:space="preserve"> in 2021 to 76</w:t>
      </w:r>
      <w:r w:rsidR="00C650EB" w:rsidRPr="00D2134C">
        <w:t>%</w:t>
      </w:r>
      <w:r w:rsidRPr="00D2134C">
        <w:t xml:space="preserve"> in 2022</w:t>
      </w:r>
      <w:r w:rsidR="00CF6767" w:rsidRPr="00D2134C">
        <w:t>.</w:t>
      </w:r>
      <w:r w:rsidRPr="00D2134C">
        <w:t xml:space="preserve"> </w:t>
      </w:r>
      <w:r w:rsidR="00CF6767" w:rsidRPr="00D2134C">
        <w:t>T</w:t>
      </w:r>
      <w:r w:rsidRPr="00D2134C">
        <w:t xml:space="preserve">his remained above the overall </w:t>
      </w:r>
      <w:r w:rsidR="00183D1E">
        <w:t>E</w:t>
      </w:r>
      <w:r w:rsidRPr="00D2134C">
        <w:t xml:space="preserve">ngagement </w:t>
      </w:r>
      <w:r w:rsidR="00183D1E">
        <w:t>I</w:t>
      </w:r>
      <w:r w:rsidRPr="00D2134C">
        <w:t xml:space="preserve">ndex of all APS agencies. </w:t>
      </w:r>
      <w:r w:rsidR="00CF6767" w:rsidRPr="00D2134C">
        <w:t>It</w:t>
      </w:r>
      <w:r w:rsidRPr="00D2134C">
        <w:t xml:space="preserve"> places the NDIA 29th of 98 APS agencies for engagement. Positive results showed that inclusive workplace culture continues to drive engagement, while 91</w:t>
      </w:r>
      <w:r w:rsidR="00C650EB" w:rsidRPr="00D2134C">
        <w:t>%</w:t>
      </w:r>
      <w:r w:rsidRPr="00D2134C">
        <w:t xml:space="preserve"> of survey respondents believed strongly in the </w:t>
      </w:r>
      <w:r w:rsidR="00CF6767" w:rsidRPr="00D2134C">
        <w:t xml:space="preserve">NDIA’s </w:t>
      </w:r>
      <w:r w:rsidRPr="00D2134C">
        <w:t xml:space="preserve">purpose and were committed to </w:t>
      </w:r>
      <w:r w:rsidR="0065163A" w:rsidRPr="00D2134C">
        <w:t>its</w:t>
      </w:r>
      <w:r w:rsidRPr="00D2134C">
        <w:t xml:space="preserve"> goals.</w:t>
      </w:r>
      <w:r w:rsidR="00D504CE" w:rsidRPr="00D2134C">
        <w:t xml:space="preserve"> </w:t>
      </w:r>
      <w:r w:rsidR="00BC1CEA" w:rsidRPr="00D2134C">
        <w:t xml:space="preserve">Overall, NDIA results are higher than the APS average for all questions. Many </w:t>
      </w:r>
      <w:r w:rsidR="0011621A" w:rsidRPr="00D2134C">
        <w:t xml:space="preserve">NDIA </w:t>
      </w:r>
      <w:r w:rsidR="00BC1CEA" w:rsidRPr="00D2134C">
        <w:t xml:space="preserve">wellbeing results are the most positive they have been since the introduction of the </w:t>
      </w:r>
      <w:r w:rsidR="0011621A" w:rsidRPr="00D2134C">
        <w:t>W</w:t>
      </w:r>
      <w:r w:rsidR="00BC1CEA" w:rsidRPr="00D2134C">
        <w:t xml:space="preserve">ellbeing </w:t>
      </w:r>
      <w:r w:rsidR="0011621A" w:rsidRPr="00D2134C">
        <w:t>I</w:t>
      </w:r>
      <w:r w:rsidR="00BC1CEA" w:rsidRPr="00D2134C">
        <w:t>ndex in 2018.</w:t>
      </w:r>
    </w:p>
    <w:p w14:paraId="677AB477" w14:textId="77777777" w:rsidR="00417270" w:rsidRDefault="00417270">
      <w:pPr>
        <w:pStyle w:val="FGCHEADING5"/>
        <w:numPr>
          <w:ilvl w:val="0"/>
          <w:numId w:val="0"/>
        </w:numPr>
        <w:ind w:left="652"/>
        <w:sectPr w:rsidR="00417270" w:rsidSect="00677C63">
          <w:pgSz w:w="11906" w:h="16838"/>
          <w:pgMar w:top="1021" w:right="907" w:bottom="1440" w:left="964" w:header="708" w:footer="708" w:gutter="0"/>
          <w:cols w:space="708"/>
          <w:titlePg/>
          <w:docGrid w:linePitch="360"/>
        </w:sectPr>
      </w:pPr>
    </w:p>
    <w:p w14:paraId="231DC2F1" w14:textId="77777777" w:rsidR="00970846" w:rsidRPr="00D2134C" w:rsidRDefault="00970846" w:rsidP="00EE2D88">
      <w:pPr>
        <w:pStyle w:val="FGCHEADING5"/>
        <w:numPr>
          <w:ilvl w:val="0"/>
          <w:numId w:val="0"/>
        </w:numPr>
        <w:ind w:left="652"/>
      </w:pPr>
      <w:r w:rsidRPr="00D2134C">
        <w:lastRenderedPageBreak/>
        <w:t>Work health and safety</w:t>
      </w:r>
    </w:p>
    <w:p w14:paraId="47CC6673" w14:textId="4CCE91C4" w:rsidR="00970846" w:rsidRPr="00D2134C" w:rsidRDefault="00970846" w:rsidP="00970846">
      <w:pPr>
        <w:pStyle w:val="FGCNORMAL"/>
      </w:pPr>
      <w:r w:rsidRPr="00D2134C">
        <w:t xml:space="preserve">The </w:t>
      </w:r>
      <w:r w:rsidR="00DE1EFA" w:rsidRPr="00D2134C">
        <w:t xml:space="preserve">NDIA’s </w:t>
      </w:r>
      <w:r w:rsidRPr="00D2134C">
        <w:t xml:space="preserve">work health and safety management system continues to improve in line with organisational maturity. There has been an emphasis on enhancing and strengthening the existing control environment through targeted risk assessments, with the implementation of </w:t>
      </w:r>
      <w:r w:rsidR="00DE1EFA" w:rsidRPr="00D2134C">
        <w:t xml:space="preserve">NDIA </w:t>
      </w:r>
      <w:r w:rsidRPr="00D2134C">
        <w:t>site</w:t>
      </w:r>
      <w:r w:rsidR="003638D2">
        <w:t xml:space="preserve"> specific</w:t>
      </w:r>
      <w:r w:rsidRPr="00D2134C">
        <w:t xml:space="preserve"> risk registers providing assurance that risks are being controlled at the site level. The </w:t>
      </w:r>
      <w:r w:rsidR="0055535D" w:rsidRPr="00D2134C">
        <w:t xml:space="preserve">NDIA </w:t>
      </w:r>
      <w:r w:rsidRPr="00D2134C">
        <w:t>continues to focus on psychosocial risk and has worked closely with Comcare and worker representatives to improve consultation and implement risk management strategies.</w:t>
      </w:r>
    </w:p>
    <w:p w14:paraId="07832DE3" w14:textId="77777777" w:rsidR="00970846" w:rsidRPr="00D2134C" w:rsidRDefault="00970846" w:rsidP="00970846">
      <w:pPr>
        <w:pStyle w:val="FGCNORMAL"/>
      </w:pPr>
      <w:r w:rsidRPr="00D2134C">
        <w:t>In addition:</w:t>
      </w:r>
    </w:p>
    <w:p w14:paraId="6CB8AC55" w14:textId="6CE7FD8C" w:rsidR="00252FD4" w:rsidRPr="00D2134C" w:rsidRDefault="001C50D0" w:rsidP="00970846">
      <w:pPr>
        <w:pStyle w:val="FGCBULLET1"/>
      </w:pPr>
      <w:r w:rsidRPr="00D2134C">
        <w:t xml:space="preserve">The 2022 </w:t>
      </w:r>
      <w:r w:rsidR="00CD3B2B" w:rsidRPr="00D2134C">
        <w:t xml:space="preserve">APS </w:t>
      </w:r>
      <w:r w:rsidRPr="00D2134C">
        <w:t xml:space="preserve">Census results indicate NDIA staff wellbeing is improving. Compared to 2021, there was an </w:t>
      </w:r>
      <w:proofErr w:type="gramStart"/>
      <w:r w:rsidRPr="00D2134C">
        <w:t>11 percentage</w:t>
      </w:r>
      <w:proofErr w:type="gramEnd"/>
      <w:r w:rsidRPr="00D2134C">
        <w:t xml:space="preserve"> point increase in workers’ belief that the NDIA cared about their health and wellbeing, and a 9 percentage point increase in the </w:t>
      </w:r>
      <w:r w:rsidR="007E020C">
        <w:t>NDIA</w:t>
      </w:r>
      <w:r w:rsidRPr="00D2134C">
        <w:t>’s performance in promoting health and wellbeing.</w:t>
      </w:r>
    </w:p>
    <w:p w14:paraId="4E84045A" w14:textId="3AADECF7" w:rsidR="00970846" w:rsidRPr="00D2134C" w:rsidRDefault="0055535D" w:rsidP="00970846">
      <w:pPr>
        <w:pStyle w:val="FGCBULLET1"/>
      </w:pPr>
      <w:r w:rsidRPr="00D2134C">
        <w:t>T</w:t>
      </w:r>
      <w:r w:rsidR="00970846" w:rsidRPr="00D2134C">
        <w:t xml:space="preserve">he </w:t>
      </w:r>
      <w:r w:rsidRPr="00D2134C">
        <w:t xml:space="preserve">NDIA </w:t>
      </w:r>
      <w:r w:rsidR="00970846" w:rsidRPr="00D2134C">
        <w:t xml:space="preserve">National Health and Safety Committee reflects our commitment to worker consultation, with </w:t>
      </w:r>
      <w:proofErr w:type="gramStart"/>
      <w:r w:rsidR="00970846" w:rsidRPr="00D2134C">
        <w:t>a number of</w:t>
      </w:r>
      <w:proofErr w:type="gramEnd"/>
      <w:r w:rsidR="00970846" w:rsidRPr="00D2134C">
        <w:t xml:space="preserve"> key issues ranging from COVID-19 to psychosocial injury and wellbeing discussed at this forum.</w:t>
      </w:r>
    </w:p>
    <w:p w14:paraId="39A7D4F3" w14:textId="3D68A496" w:rsidR="00970846" w:rsidRPr="00D2134C" w:rsidRDefault="0055535D" w:rsidP="00970846">
      <w:pPr>
        <w:pStyle w:val="FGCBULLET1"/>
      </w:pPr>
      <w:r w:rsidRPr="00D2134C">
        <w:t>W</w:t>
      </w:r>
      <w:r w:rsidR="00970846" w:rsidRPr="00D2134C">
        <w:t xml:space="preserve">e have enhanced our wellbeing service offering to include SMS support, topical and targeted </w:t>
      </w:r>
      <w:proofErr w:type="gramStart"/>
      <w:r w:rsidR="00970846" w:rsidRPr="00D2134C">
        <w:t>webinars</w:t>
      </w:r>
      <w:proofErr w:type="gramEnd"/>
      <w:r w:rsidR="00970846" w:rsidRPr="00D2134C">
        <w:t xml:space="preserve"> and mental health first aid training in response to the challenges our workers have experienced during the pandemic.</w:t>
      </w:r>
    </w:p>
    <w:p w14:paraId="76A14976" w14:textId="1E310CCD" w:rsidR="00970846" w:rsidRPr="00D2134C" w:rsidRDefault="008777A6" w:rsidP="00970846">
      <w:pPr>
        <w:pStyle w:val="FGCBULLET1"/>
      </w:pPr>
      <w:r w:rsidRPr="00D2134C">
        <w:t>W</w:t>
      </w:r>
      <w:r w:rsidR="00970846" w:rsidRPr="00D2134C">
        <w:t>e have developed a suite of COVID-19 related documents and risk assessments, with the COVID</w:t>
      </w:r>
      <w:r w:rsidR="00F80CE3">
        <w:t xml:space="preserve"> </w:t>
      </w:r>
      <w:r w:rsidR="00970846" w:rsidRPr="00D2134C">
        <w:t xml:space="preserve">Safe plan key in outlining how the </w:t>
      </w:r>
      <w:r w:rsidRPr="00D2134C">
        <w:t xml:space="preserve">NDIA </w:t>
      </w:r>
      <w:r w:rsidR="00970846" w:rsidRPr="00D2134C">
        <w:t xml:space="preserve">provides a physically and psychologically safe workplace. This has enabled the </w:t>
      </w:r>
      <w:r w:rsidRPr="00D2134C">
        <w:t xml:space="preserve">NDIA </w:t>
      </w:r>
      <w:r w:rsidR="00970846" w:rsidRPr="00D2134C">
        <w:t>to reinforce its internal business continuity practices while providing continued support for NDIS participants during COVID-19 outbreaks.</w:t>
      </w:r>
    </w:p>
    <w:p w14:paraId="248C363F" w14:textId="521F1822" w:rsidR="00970846" w:rsidRPr="00D2134C" w:rsidRDefault="00970846" w:rsidP="00970846">
      <w:pPr>
        <w:pStyle w:val="FGCNORMAL"/>
      </w:pPr>
      <w:r w:rsidRPr="00D2134C">
        <w:t>During 2021–22</w:t>
      </w:r>
      <w:r w:rsidR="00A21C59" w:rsidRPr="00D2134C">
        <w:t>,</w:t>
      </w:r>
      <w:r w:rsidRPr="00D2134C">
        <w:t xml:space="preserve"> the </w:t>
      </w:r>
      <w:r w:rsidR="00A21C59" w:rsidRPr="00D2134C">
        <w:t xml:space="preserve">NDIA </w:t>
      </w:r>
      <w:r w:rsidRPr="00D2134C">
        <w:t>had 3,350 COVID-19 incidents and 1,700 COVID-19 positive cases reported; and reported 3 cases of workplace transmission to Comcare.</w:t>
      </w:r>
    </w:p>
    <w:p w14:paraId="3209C476" w14:textId="77777777" w:rsidR="00970846" w:rsidRPr="00D2134C" w:rsidRDefault="00970846" w:rsidP="00EE2D88">
      <w:pPr>
        <w:pStyle w:val="FGCHEADING5"/>
        <w:numPr>
          <w:ilvl w:val="0"/>
          <w:numId w:val="0"/>
        </w:numPr>
        <w:ind w:left="652"/>
      </w:pPr>
      <w:r w:rsidRPr="00D2134C">
        <w:t>NDIA National Contact Centre</w:t>
      </w:r>
    </w:p>
    <w:p w14:paraId="3BC2B7D6" w14:textId="77777777" w:rsidR="00970846" w:rsidRPr="00D2134C" w:rsidRDefault="00970846" w:rsidP="00970846">
      <w:pPr>
        <w:pStyle w:val="FGCNORMAL"/>
      </w:pPr>
      <w:r w:rsidRPr="00D2134C">
        <w:t xml:space="preserve">The NDIA National Contact Centre (NCC) delivers personal and high-quality NDIS contact services for people with disability, their families and carers, service providers and other organisations. Serco Citizen Services has been delivering the NCC service since June 2018, operating from Dandenong and Newborough in Victoria. </w:t>
      </w:r>
    </w:p>
    <w:p w14:paraId="381365D5" w14:textId="5C39EA95" w:rsidR="00970846" w:rsidRPr="00D2134C" w:rsidRDefault="00970846" w:rsidP="00970846">
      <w:pPr>
        <w:pStyle w:val="FGCNORMAL"/>
      </w:pPr>
      <w:r w:rsidRPr="00D2134C">
        <w:t>Financial year 2021</w:t>
      </w:r>
      <w:r w:rsidR="009C349D">
        <w:t>-</w:t>
      </w:r>
      <w:r w:rsidRPr="00D2134C">
        <w:t xml:space="preserve">22 was a challenging time for the NCC, with operations needing to be flexible to </w:t>
      </w:r>
      <w:r w:rsidR="00562E29" w:rsidRPr="00D2134C">
        <w:t>respond to various impacts</w:t>
      </w:r>
      <w:r w:rsidRPr="00D2134C">
        <w:t xml:space="preserve"> including COVID-19 response, vaccination programs, and natural disasters. At times</w:t>
      </w:r>
      <w:r w:rsidR="00086009" w:rsidRPr="00D2134C">
        <w:t>,</w:t>
      </w:r>
      <w:r w:rsidRPr="00D2134C">
        <w:t xml:space="preserve"> the NCC was also affected by staff resourcing issues related to the COVID-19 pandemic and natural disasters. However, results significantly improved in the second half of the financial year.</w:t>
      </w:r>
    </w:p>
    <w:p w14:paraId="5B367518" w14:textId="572D7BA5" w:rsidR="00970846" w:rsidRPr="00D2134C" w:rsidRDefault="00970846" w:rsidP="00970846">
      <w:pPr>
        <w:pStyle w:val="FGCNORMAL"/>
      </w:pPr>
      <w:r w:rsidRPr="00D2134C">
        <w:t>Telephony performance improved in the final quarter of the year to 78.8</w:t>
      </w:r>
      <w:r w:rsidR="00C650EB" w:rsidRPr="00D2134C">
        <w:t>%</w:t>
      </w:r>
      <w:r w:rsidRPr="00D2134C">
        <w:t xml:space="preserve"> of calls being answered within 60 seconds and an average answer time of 51 seconds. For the full financial year, the NCC achieved 71.1</w:t>
      </w:r>
      <w:r w:rsidR="00C650EB" w:rsidRPr="00D2134C">
        <w:t>%</w:t>
      </w:r>
      <w:r w:rsidRPr="00D2134C">
        <w:t xml:space="preserve"> of calls being answered within 60 seconds and an average answer time of 1 minute and 16 seconds. </w:t>
      </w:r>
    </w:p>
    <w:p w14:paraId="5336F5F4" w14:textId="59F0A441" w:rsidR="00970846" w:rsidRPr="00D2134C" w:rsidRDefault="00970846" w:rsidP="00970846">
      <w:pPr>
        <w:pStyle w:val="FGCNORMAL"/>
      </w:pPr>
      <w:r w:rsidRPr="00D2134C">
        <w:t>Customer satisfaction with the NCC telephony service remained strong throughout the year, with 82.2</w:t>
      </w:r>
      <w:r w:rsidR="00C650EB" w:rsidRPr="00D2134C">
        <w:t>%</w:t>
      </w:r>
      <w:r w:rsidRPr="00D2134C">
        <w:t xml:space="preserve"> of respondents indicating that their satisfaction with the service was ‘High’ or ‘Very High’ in the post-call survey. In the final quarter this increased to 84.2</w:t>
      </w:r>
      <w:r w:rsidR="00C650EB" w:rsidRPr="00D2134C">
        <w:t>%</w:t>
      </w:r>
      <w:r w:rsidRPr="00D2134C">
        <w:t xml:space="preserve">. Over the year there were 123,903 responses to the survey in total. Contributing to this positive result was the introduction of ‘virtual hold’ for peak periods – a technology which enables callers to hang up and receive an automatic call-back when a customer service officer is available, rather than waiting on hold. </w:t>
      </w:r>
    </w:p>
    <w:p w14:paraId="7E86827B" w14:textId="7594FE35" w:rsidR="00970846" w:rsidRPr="00D2134C" w:rsidRDefault="00970846" w:rsidP="00970846">
      <w:pPr>
        <w:pStyle w:val="FGCNORMAL"/>
        <w:rPr>
          <w:highlight w:val="yellow"/>
          <w:lang w:eastAsia="en-US"/>
        </w:rPr>
      </w:pPr>
      <w:r w:rsidRPr="00D2134C">
        <w:t>A total of 1.085 million calls were answered by the NCC, consistent with the prior year’s result (1.07</w:t>
      </w:r>
      <w:r w:rsidR="007D67BF" w:rsidRPr="00D2134C">
        <w:t> </w:t>
      </w:r>
      <w:r w:rsidRPr="00D2134C">
        <w:t>million)</w:t>
      </w:r>
      <w:r w:rsidR="00162095" w:rsidRPr="00D2134C">
        <w:t>.</w:t>
      </w:r>
    </w:p>
    <w:p w14:paraId="094897A8" w14:textId="77777777" w:rsidR="00970846" w:rsidRPr="00D2134C" w:rsidRDefault="00970846" w:rsidP="00246743">
      <w:pPr>
        <w:keepNext/>
        <w:rPr>
          <w:rFonts w:eastAsia="DengXian" w:cs="Calibri"/>
        </w:rPr>
      </w:pPr>
      <w:r w:rsidRPr="00D2134C">
        <w:rPr>
          <w:rFonts w:eastAsia="DengXian" w:cs="Calibri"/>
          <w:b/>
        </w:rPr>
        <w:lastRenderedPageBreak/>
        <w:t>Figure 2.2.3E:</w:t>
      </w:r>
      <w:r w:rsidRPr="00D2134C">
        <w:rPr>
          <w:rFonts w:eastAsia="DengXian" w:cs="Calibri"/>
        </w:rPr>
        <w:t xml:space="preserve"> National Contact Centre telephony performance 2021–22 </w:t>
      </w:r>
    </w:p>
    <w:p w14:paraId="40EEBBF5" w14:textId="4A15BB0E" w:rsidR="00970846" w:rsidRPr="00D2134C" w:rsidRDefault="00293489" w:rsidP="00970846">
      <w:pPr>
        <w:pStyle w:val="FGCNORMAL"/>
      </w:pPr>
      <w:r w:rsidRPr="00293489">
        <w:rPr>
          <w:noProof/>
        </w:rPr>
        <w:drawing>
          <wp:inline distT="0" distB="0" distL="0" distR="0" wp14:anchorId="3EB5E5F9" wp14:editId="2E36BD68">
            <wp:extent cx="5747018" cy="2975497"/>
            <wp:effectExtent l="0" t="0" r="6350" b="0"/>
            <wp:docPr id="451" name="Picture 451" descr="This is a purple vertical bar graph representing the National Contact Centre telephony performance from 2021 to 2022.&#10;The service level -  calls answered within 60 seconds is a purple bar graph represented on the horizontal axis 2020 - 2021 Quarter 1 to 2021-2022 Quarter 4.&#10;The Customer experiences rating – high or very high is represented by a purple line graph.&#10;The average speed of answer in minutes is represented by a dotted line graph.&#10;The vertical axis is the grade of service and experience  and ranges from 0 to 100% in increments of 20%.&#10;&#10;2020-2021 Quarter 1. &#10;Service level calls answered within 60 seconds. 85.2%. &#10;Customer experience rating – high or very high. 86%.&#10;Average speed of answer in minutes. 0.27.&#10;&#10;2020-2021 Quarter 2. &#10;Service level calls answered within 60 seconds. 81.1%. &#10;Customer experience rating – high or very high. 85%.&#10;Average speed of answer in minutes. 0.34.&#10;&#10;2020-2021 Quarter 3. &#10;Service level calls answered within 60 seconds. 73.0%. &#10;Customer experience rating – high or very high. 84%.&#10;Average speed of answer in minutes. 0.52.&#10;&#10;2020-2021 Quarter 4. &#10;Service level calls answered within 60 seconds. 41.2%. &#10;Customer experience rating – high or very high. 86%.&#10;Average speed of answer in minutes. 3.14.&#10;&#10;2021-2022 Quarter 1. &#10;Service level calls answered within 60 seconds. 79.0%. &#10;Customer experience rating – high or very high. 83%.&#10;Average speed of answer in minutes. 0.47.&#10;&#10;2021-2022 Quarter 2. &#10;Service level calls answered within 60 seconds. 63.6%. &#10;Customer experience rating – high or very high. 78%.&#10;Average speed of answer in minutes. 1.4.&#10;&#10;2021-2022 Quarter 3. &#10;Service level calls answered within 60 seconds. 62.5%. &#10;Customer experience rating – high or very high. 83%.&#10;Average speed of answer in minutes. 1.51.&#10;&#10;2021-2022 Quarter 4. &#10;Service level calls answered within 60 seconds. 78.8%. &#10;Customer experience rating – high or very high. 84%.&#10;Average speed of answer in minutes. 0.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descr="This is a purple vertical bar graph representing the National Contact Centre telephony performance from 2021 to 2022.&#10;The service level -  calls answered within 60 seconds is a purple bar graph represented on the horizontal axis 2020 - 2021 Quarter 1 to 2021-2022 Quarter 4.&#10;The Customer experiences rating – high or very high is represented by a purple line graph.&#10;The average speed of answer in minutes is represented by a dotted line graph.&#10;The vertical axis is the grade of service and experience  and ranges from 0 to 100% in increments of 20%.&#10;&#10;2020-2021 Quarter 1. &#10;Service level calls answered within 60 seconds. 85.2%. &#10;Customer experience rating – high or very high. 86%.&#10;Average speed of answer in minutes. 0.27.&#10;&#10;2020-2021 Quarter 2. &#10;Service level calls answered within 60 seconds. 81.1%. &#10;Customer experience rating – high or very high. 85%.&#10;Average speed of answer in minutes. 0.34.&#10;&#10;2020-2021 Quarter 3. &#10;Service level calls answered within 60 seconds. 73.0%. &#10;Customer experience rating – high or very high. 84%.&#10;Average speed of answer in minutes. 0.52.&#10;&#10;2020-2021 Quarter 4. &#10;Service level calls answered within 60 seconds. 41.2%. &#10;Customer experience rating – high or very high. 86%.&#10;Average speed of answer in minutes. 3.14.&#10;&#10;2021-2022 Quarter 1. &#10;Service level calls answered within 60 seconds. 79.0%. &#10;Customer experience rating – high or very high. 83%.&#10;Average speed of answer in minutes. 0.47.&#10;&#10;2021-2022 Quarter 2. &#10;Service level calls answered within 60 seconds. 63.6%. &#10;Customer experience rating – high or very high. 78%.&#10;Average speed of answer in minutes. 1.4.&#10;&#10;2021-2022 Quarter 3. &#10;Service level calls answered within 60 seconds. 62.5%. &#10;Customer experience rating – high or very high. 83%.&#10;Average speed of answer in minutes. 1.51.&#10;&#10;2021-2022 Quarter 4. &#10;Service level calls answered within 60 seconds. 78.8%. &#10;Customer experience rating – high or very high. 84%.&#10;Average speed of answer in minutes. 0.51.&#10;"/>
                    <pic:cNvPicPr/>
                  </pic:nvPicPr>
                  <pic:blipFill rotWithShape="1">
                    <a:blip r:embed="rId48"/>
                    <a:srcRect l="1647"/>
                    <a:stretch/>
                  </pic:blipFill>
                  <pic:spPr bwMode="auto">
                    <a:xfrm>
                      <a:off x="0" y="0"/>
                      <a:ext cx="5755011" cy="2979635"/>
                    </a:xfrm>
                    <a:prstGeom prst="rect">
                      <a:avLst/>
                    </a:prstGeom>
                    <a:ln>
                      <a:noFill/>
                    </a:ln>
                    <a:extLst>
                      <a:ext uri="{53640926-AAD7-44D8-BBD7-CCE9431645EC}">
                        <a14:shadowObscured xmlns:a14="http://schemas.microsoft.com/office/drawing/2010/main"/>
                      </a:ext>
                    </a:extLst>
                  </pic:spPr>
                </pic:pic>
              </a:graphicData>
            </a:graphic>
          </wp:inline>
        </w:drawing>
      </w:r>
    </w:p>
    <w:p w14:paraId="17593B4A" w14:textId="61251422" w:rsidR="00970846" w:rsidRPr="00D2134C" w:rsidRDefault="00970846" w:rsidP="00970846">
      <w:pPr>
        <w:pStyle w:val="FGCNORMAL"/>
      </w:pPr>
      <w:r w:rsidRPr="00D2134C">
        <w:t xml:space="preserve">The NCC’s non-voice channels continued to grow during the 2021–22 financial year. Email processing increased from 862,800 to </w:t>
      </w:r>
      <w:r w:rsidR="00293489">
        <w:t>$</w:t>
      </w:r>
      <w:r w:rsidRPr="00D2134C">
        <w:t xml:space="preserve">1.07 million year on year. In December 2021, the NCC transitioned to a new processing platform that reduced email response wait times to less than one day on average during the fourth quarter, resulting in significant service improvements for participants. Email volumes have reduced since the introduction of the new system, with faster response times and new system capability </w:t>
      </w:r>
      <w:r w:rsidR="009D62BA" w:rsidRPr="00D2134C">
        <w:t>avoiding the need for repeat and follow-up email requests</w:t>
      </w:r>
      <w:r w:rsidRPr="00D2134C">
        <w:t>.</w:t>
      </w:r>
    </w:p>
    <w:p w14:paraId="5544565B" w14:textId="255F4ACC" w:rsidR="00970846" w:rsidRPr="00D2134C" w:rsidRDefault="00970846" w:rsidP="00970846">
      <w:pPr>
        <w:pStyle w:val="FGCNORMAL"/>
      </w:pPr>
      <w:r w:rsidRPr="00D2134C">
        <w:t>The use of webchat has seen high growth since the release of the NDIA smartphone application. In 2021–22</w:t>
      </w:r>
      <w:r w:rsidR="00175BB0" w:rsidRPr="00D2134C">
        <w:t>,</w:t>
      </w:r>
      <w:r w:rsidRPr="00D2134C">
        <w:t xml:space="preserve"> the NCC answered 985,000 webchats</w:t>
      </w:r>
      <w:r w:rsidR="00175BB0" w:rsidRPr="00D2134C">
        <w:t xml:space="preserve"> </w:t>
      </w:r>
      <w:r w:rsidR="001206C8" w:rsidRPr="00D2134C">
        <w:sym w:font="Symbol" w:char="F02D"/>
      </w:r>
      <w:r w:rsidRPr="00D2134C">
        <w:t xml:space="preserve"> a significant increase from 525,000 in the prior year. Of these, 80.8</w:t>
      </w:r>
      <w:r w:rsidR="00C650EB" w:rsidRPr="00D2134C">
        <w:t>%</w:t>
      </w:r>
      <w:r w:rsidRPr="00D2134C">
        <w:t xml:space="preserve"> were answered within 20 seconds. This service continues to grow as a channel of choice for many participants. </w:t>
      </w:r>
    </w:p>
    <w:p w14:paraId="39B1BE0C" w14:textId="77777777" w:rsidR="00970846" w:rsidRPr="00D2134C" w:rsidRDefault="00970846" w:rsidP="00532208">
      <w:pPr>
        <w:pStyle w:val="FGCNORMAL"/>
        <w:keepNext/>
      </w:pPr>
      <w:r w:rsidRPr="00D2134C">
        <w:rPr>
          <w:b/>
          <w:bCs/>
        </w:rPr>
        <w:t>Figure 2.2.3F</w:t>
      </w:r>
      <w:r w:rsidRPr="00D2134C">
        <w:t>: National Contact Centre volume of work completed 2021‒22</w:t>
      </w:r>
    </w:p>
    <w:p w14:paraId="72D495CB" w14:textId="4BD571DD" w:rsidR="00970846" w:rsidRPr="00D2134C" w:rsidRDefault="00293489" w:rsidP="00970846">
      <w:pPr>
        <w:pStyle w:val="FGCNORMAL"/>
      </w:pPr>
      <w:r w:rsidRPr="00293489">
        <w:rPr>
          <w:noProof/>
        </w:rPr>
        <w:drawing>
          <wp:inline distT="0" distB="0" distL="0" distR="0" wp14:anchorId="567E0D37" wp14:editId="6D3C67AA">
            <wp:extent cx="5779601" cy="2847474"/>
            <wp:effectExtent l="0" t="0" r="0" b="0"/>
            <wp:docPr id="496" name="Picture 496" descr="This is a purple vertical stacked bar graph representing the National Contact Centre volume of work completed 2021‒2022.&#10;Different forms of communication are represented in different patterns of purple.&#10;There are 2 different bars, one for 2020 to 2021 and for 2021 to 2022.&#10;The vertical axis ranges from 0 to 3,000,000 in increments of 500,000.&#10;2020- 2021.&#10;Solid purple. Telephony 1,070,016.&#10;Striped.  Webchat 52,554.&#10;Cross-hatch. Emails 862,801.&#10;Squiggles. Portal updates 144,637.&#10;Dashed. Outbound telephony 55,175.&#10;&#10;2021- 2022.&#10;Solid purple. Telephony 1,085,324.&#10;Striped.  Webchat 98,423.&#10;Cross-hatch. Emails 1,071,465.&#10;Squiggles. Portal updates 146,538.&#10;Dashed. Outbound telephony 25,0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descr="This is a purple vertical stacked bar graph representing the National Contact Centre volume of work completed 2021‒2022.&#10;Different forms of communication are represented in different patterns of purple.&#10;There are 2 different bars, one for 2020 to 2021 and for 2021 to 2022.&#10;The vertical axis ranges from 0 to 3,000,000 in increments of 500,000.&#10;2020- 2021.&#10;Solid purple. Telephony 1,070,016.&#10;Striped.  Webchat 52,554.&#10;Cross-hatch. Emails 862,801.&#10;Squiggles. Portal updates 144,637.&#10;Dashed. Outbound telephony 55,175.&#10;&#10;2021- 2022.&#10;Solid purple. Telephony 1,085,324.&#10;Striped.  Webchat 98,423.&#10;Cross-hatch. Emails 1,071,465.&#10;Squiggles. Portal updates 146,538.&#10;Dashed. Outbound telephony 25,011.&#10;"/>
                    <pic:cNvPicPr/>
                  </pic:nvPicPr>
                  <pic:blipFill>
                    <a:blip r:embed="rId49"/>
                    <a:stretch>
                      <a:fillRect/>
                    </a:stretch>
                  </pic:blipFill>
                  <pic:spPr>
                    <a:xfrm>
                      <a:off x="0" y="0"/>
                      <a:ext cx="5795305" cy="2855211"/>
                    </a:xfrm>
                    <a:prstGeom prst="rect">
                      <a:avLst/>
                    </a:prstGeom>
                  </pic:spPr>
                </pic:pic>
              </a:graphicData>
            </a:graphic>
          </wp:inline>
        </w:drawing>
      </w:r>
    </w:p>
    <w:p w14:paraId="17B5C44D" w14:textId="77777777" w:rsidR="003604DB" w:rsidRDefault="003604DB">
      <w:pPr>
        <w:pStyle w:val="FGCHEADING5"/>
        <w:numPr>
          <w:ilvl w:val="0"/>
          <w:numId w:val="0"/>
        </w:numPr>
        <w:ind w:left="652"/>
        <w:sectPr w:rsidR="003604DB" w:rsidSect="00677C63">
          <w:pgSz w:w="11906" w:h="16838"/>
          <w:pgMar w:top="1021" w:right="907" w:bottom="1440" w:left="964" w:header="708" w:footer="708" w:gutter="0"/>
          <w:cols w:space="708"/>
          <w:titlePg/>
          <w:docGrid w:linePitch="360"/>
        </w:sectPr>
      </w:pPr>
    </w:p>
    <w:p w14:paraId="608378DE" w14:textId="53C54362" w:rsidR="00970846" w:rsidRPr="00D2134C" w:rsidRDefault="00970846" w:rsidP="00EE2D88">
      <w:pPr>
        <w:pStyle w:val="FGCHEADING5"/>
        <w:numPr>
          <w:ilvl w:val="0"/>
          <w:numId w:val="0"/>
        </w:numPr>
        <w:ind w:left="652"/>
      </w:pPr>
      <w:r w:rsidRPr="00D2134C">
        <w:lastRenderedPageBreak/>
        <w:t xml:space="preserve">Information and communications technology systems </w:t>
      </w:r>
    </w:p>
    <w:p w14:paraId="2EC0BAAF" w14:textId="51B6E72F" w:rsidR="00970846" w:rsidRPr="00D2134C" w:rsidRDefault="00970846" w:rsidP="00970846">
      <w:pPr>
        <w:pStyle w:val="FGCNORMAL"/>
        <w:rPr>
          <w:rFonts w:ascii="Calibri" w:eastAsiaTheme="minorHAnsi" w:hAnsi="Calibri" w:cs="Calibri"/>
          <w:lang w:eastAsia="en-AU"/>
        </w:rPr>
      </w:pPr>
      <w:r w:rsidRPr="00D2134C">
        <w:t xml:space="preserve">In 2021–22 the Office of the Chief Information Officer began delivery of the </w:t>
      </w:r>
      <w:r w:rsidR="001206C8" w:rsidRPr="00D2134C">
        <w:t xml:space="preserve">NDIA’s </w:t>
      </w:r>
      <w:r w:rsidRPr="00D2134C">
        <w:t>new ICT operational environment, including desktop and network services. This will be managed and controlled by NDIA staff. The new NDIA desktop and network services provide a modern workplace experience for staff and partners, which significantly enhances efficiency, choice and control and enables our staff to more effectively service participants. Key to this is the provision of improved accessibility options.</w:t>
      </w:r>
    </w:p>
    <w:p w14:paraId="32C6A3D7" w14:textId="68F64648" w:rsidR="00970846" w:rsidRPr="00D2134C" w:rsidRDefault="00970846" w:rsidP="00970846">
      <w:pPr>
        <w:pStyle w:val="FGCNORMAL"/>
      </w:pPr>
      <w:r w:rsidRPr="00D2134C">
        <w:t>The key focus of the ICT Strategic Projects team was the design and build of a new customer relationship management (CRM) business system, PACE, which will replace the existing CRM delivered and supported by Services Australia.</w:t>
      </w:r>
      <w:r w:rsidR="001D4281">
        <w:t xml:space="preserve"> Our new CRM</w:t>
      </w:r>
      <w:r w:rsidRPr="00D2134C">
        <w:t xml:space="preserve"> will support the end-to-end participant journey, moving all business processes for NDIA and </w:t>
      </w:r>
      <w:r w:rsidR="009C49D3">
        <w:t>p</w:t>
      </w:r>
      <w:r w:rsidRPr="00D2134C">
        <w:t xml:space="preserve">artners in the </w:t>
      </w:r>
      <w:r w:rsidR="009C49D3">
        <w:t>c</w:t>
      </w:r>
      <w:r w:rsidRPr="00D2134C">
        <w:t>ommunity onto one system. The new</w:t>
      </w:r>
      <w:r w:rsidR="001D4281">
        <w:t xml:space="preserve"> CRM</w:t>
      </w:r>
      <w:r w:rsidRPr="00D2134C">
        <w:t xml:space="preserve"> system will: </w:t>
      </w:r>
    </w:p>
    <w:p w14:paraId="098847E6" w14:textId="1E1D991C" w:rsidR="00970846" w:rsidRPr="00D2134C" w:rsidRDefault="00970846" w:rsidP="00970846">
      <w:pPr>
        <w:pStyle w:val="FGCBULLET1"/>
      </w:pPr>
      <w:r w:rsidRPr="00D2134C">
        <w:t xml:space="preserve">support the NDIA to meet key commitments in the </w:t>
      </w:r>
      <w:r w:rsidR="00227960" w:rsidRPr="00D2134C">
        <w:t>SIP</w:t>
      </w:r>
      <w:r w:rsidRPr="00D2134C">
        <w:t xml:space="preserve"> and the NDIA Corporate Plan, and requirements of recent amendments to the NDIS Act </w:t>
      </w:r>
    </w:p>
    <w:p w14:paraId="4C3AFF65" w14:textId="4AF32CBF" w:rsidR="00970846" w:rsidRPr="00D2134C" w:rsidRDefault="00970846" w:rsidP="00970846">
      <w:pPr>
        <w:pStyle w:val="FGCBULLET1"/>
      </w:pPr>
      <w:r w:rsidRPr="00D2134C">
        <w:t>better support planning processes and reasonable and necessary decision</w:t>
      </w:r>
      <w:r w:rsidR="00E00205">
        <w:t>-</w:t>
      </w:r>
      <w:r w:rsidRPr="00D2134C">
        <w:t>making </w:t>
      </w:r>
    </w:p>
    <w:p w14:paraId="0E64B26A" w14:textId="77777777" w:rsidR="00970846" w:rsidRPr="00D2134C" w:rsidRDefault="00970846" w:rsidP="00970846">
      <w:pPr>
        <w:pStyle w:val="FGCBULLET1"/>
      </w:pPr>
      <w:r w:rsidRPr="00D2134C">
        <w:t>introduce in-system controls to ensure practices comply with policy and legislation </w:t>
      </w:r>
    </w:p>
    <w:p w14:paraId="481D557D" w14:textId="53699C0E" w:rsidR="00970846" w:rsidRPr="00D2134C" w:rsidRDefault="00970846" w:rsidP="00970846">
      <w:pPr>
        <w:pStyle w:val="FGCBULLET1"/>
      </w:pPr>
      <w:r w:rsidRPr="00D2134C">
        <w:t xml:space="preserve">provide an improved experience for participants, frontline staff, </w:t>
      </w:r>
      <w:r w:rsidR="009C49D3">
        <w:t>p</w:t>
      </w:r>
      <w:r w:rsidRPr="00D2134C">
        <w:t xml:space="preserve">artners in the </w:t>
      </w:r>
      <w:r w:rsidR="009C49D3">
        <w:t>c</w:t>
      </w:r>
      <w:r w:rsidRPr="00D2134C">
        <w:t>ommunity, and providers</w:t>
      </w:r>
      <w:r w:rsidR="009018BF" w:rsidRPr="00D2134C">
        <w:t>, including meeting accessibility requirements WCAG 2.1AA</w:t>
      </w:r>
      <w:r w:rsidRPr="00D2134C">
        <w:t>. </w:t>
      </w:r>
    </w:p>
    <w:p w14:paraId="2865731B" w14:textId="3C236867" w:rsidR="00970846" w:rsidRPr="00D2134C" w:rsidRDefault="00970846" w:rsidP="00970846">
      <w:pPr>
        <w:pStyle w:val="FGCNORMAL"/>
      </w:pPr>
      <w:r w:rsidRPr="00D2134C">
        <w:t xml:space="preserve">A refreshed participant web portal solution was moved into the pilot phase, seeking feedback from 500 self-managed participants on its potential functionality. The pilot was successful, and the resulting feedback was used as input into development of the </w:t>
      </w:r>
      <w:r w:rsidR="001D4281">
        <w:t>new</w:t>
      </w:r>
      <w:r w:rsidRPr="00D2134C">
        <w:t xml:space="preserve"> participant portal.</w:t>
      </w:r>
    </w:p>
    <w:p w14:paraId="56FD8C5A" w14:textId="1346A405" w:rsidR="00970846" w:rsidRPr="00D2134C" w:rsidRDefault="00970846" w:rsidP="00970846">
      <w:pPr>
        <w:pStyle w:val="FGCNORMAL"/>
      </w:pPr>
      <w:r w:rsidRPr="00D2134C">
        <w:t xml:space="preserve">The </w:t>
      </w:r>
      <w:r w:rsidR="0025660A" w:rsidRPr="00D2134C">
        <w:t xml:space="preserve">NDIA’s </w:t>
      </w:r>
      <w:r w:rsidRPr="00D2134C">
        <w:t xml:space="preserve">Salesforce platform was further expanded to incorporate email-to-case capability for the </w:t>
      </w:r>
      <w:r w:rsidR="0025660A" w:rsidRPr="00D2134C">
        <w:t>NCC</w:t>
      </w:r>
      <w:r w:rsidRPr="00D2134C">
        <w:t>, enabling contact centre staff to respond to enquiries more efficiently.</w:t>
      </w:r>
    </w:p>
    <w:p w14:paraId="3F5A4373" w14:textId="02B5AF5C" w:rsidR="00970846" w:rsidRPr="00D2134C" w:rsidRDefault="00970846" w:rsidP="00970846">
      <w:pPr>
        <w:pStyle w:val="FGCNORMAL"/>
      </w:pPr>
      <w:proofErr w:type="gramStart"/>
      <w:r w:rsidRPr="00D2134C">
        <w:t xml:space="preserve">The </w:t>
      </w:r>
      <w:r w:rsidR="00272B74" w:rsidRPr="00D2134C">
        <w:t>my</w:t>
      </w:r>
      <w:proofErr w:type="gramEnd"/>
      <w:r w:rsidR="00272B74" w:rsidRPr="00D2134C">
        <w:t> NDIS</w:t>
      </w:r>
      <w:r w:rsidRPr="00D2134C">
        <w:t xml:space="preserve"> participant mobile app moved into general release in October 2021. There are now approximately 50,000 participants using the app to review their available budget, make claims and store receipts. The app has generally received excellent reviews on both the iOS and Android app stores.</w:t>
      </w:r>
    </w:p>
    <w:p w14:paraId="04DA7430" w14:textId="77777777" w:rsidR="00970846" w:rsidRPr="00D2134C" w:rsidRDefault="00970846" w:rsidP="00EE2D88">
      <w:pPr>
        <w:pStyle w:val="FGCHEADING5"/>
        <w:numPr>
          <w:ilvl w:val="0"/>
          <w:numId w:val="0"/>
        </w:numPr>
        <w:ind w:left="652"/>
      </w:pPr>
      <w:r w:rsidRPr="00F943E9">
        <w:t>Protective security</w:t>
      </w:r>
    </w:p>
    <w:p w14:paraId="4BA80E02" w14:textId="4BC2FD2A" w:rsidR="00970846" w:rsidRPr="00D2134C" w:rsidRDefault="00970846" w:rsidP="00970846">
      <w:pPr>
        <w:pStyle w:val="FGCNORMAL"/>
      </w:pPr>
      <w:r w:rsidRPr="00D2134C">
        <w:t xml:space="preserve">The </w:t>
      </w:r>
      <w:r w:rsidR="00227960" w:rsidRPr="00D2134C">
        <w:t xml:space="preserve">NDIA </w:t>
      </w:r>
      <w:r w:rsidRPr="00D2134C">
        <w:t xml:space="preserve">is committed to increasing its protective security maturity and awareness to assist staff and partners in the delivery of the Scheme. </w:t>
      </w:r>
    </w:p>
    <w:p w14:paraId="092E41E4" w14:textId="77777777" w:rsidR="00970846" w:rsidRPr="00D2134C" w:rsidRDefault="00970846" w:rsidP="00970846">
      <w:pPr>
        <w:pStyle w:val="FGCNORMAL"/>
      </w:pPr>
      <w:r w:rsidRPr="00D2134C">
        <w:t xml:space="preserve">The Protective and Cyber Security Branch is responsible for implementing the requirements of the Australian Government security frameworks and associated legislation. This is achieved by providing strategic and operational information, guidance, policy and procedures and advice across: </w:t>
      </w:r>
    </w:p>
    <w:p w14:paraId="4EA26F2A" w14:textId="77777777" w:rsidR="00970846" w:rsidRPr="00D2134C" w:rsidRDefault="00970846" w:rsidP="00970846">
      <w:pPr>
        <w:pStyle w:val="FGCBULLET1"/>
      </w:pPr>
      <w:r w:rsidRPr="00D2134C">
        <w:t xml:space="preserve">security governance </w:t>
      </w:r>
    </w:p>
    <w:p w14:paraId="488F85F5" w14:textId="77777777" w:rsidR="00970846" w:rsidRPr="00D2134C" w:rsidRDefault="00970846" w:rsidP="00970846">
      <w:pPr>
        <w:pStyle w:val="FGCBULLET1"/>
      </w:pPr>
      <w:r w:rsidRPr="00D2134C">
        <w:t xml:space="preserve">information security </w:t>
      </w:r>
    </w:p>
    <w:p w14:paraId="4512F0D4" w14:textId="77777777" w:rsidR="00970846" w:rsidRPr="00D2134C" w:rsidRDefault="00970846" w:rsidP="00970846">
      <w:pPr>
        <w:pStyle w:val="FGCBULLET1"/>
      </w:pPr>
      <w:r w:rsidRPr="00D2134C">
        <w:t xml:space="preserve">personnel security </w:t>
      </w:r>
    </w:p>
    <w:p w14:paraId="02ADD348" w14:textId="77777777" w:rsidR="00970846" w:rsidRPr="00D2134C" w:rsidRDefault="00970846" w:rsidP="00970846">
      <w:pPr>
        <w:pStyle w:val="FGCBULLET1"/>
      </w:pPr>
      <w:r w:rsidRPr="00D2134C">
        <w:t xml:space="preserve">physical security </w:t>
      </w:r>
    </w:p>
    <w:p w14:paraId="618F1199" w14:textId="77777777" w:rsidR="00970846" w:rsidRPr="00D2134C" w:rsidRDefault="00970846" w:rsidP="00970846">
      <w:pPr>
        <w:pStyle w:val="FGCBULLET1"/>
      </w:pPr>
      <w:r w:rsidRPr="00D2134C">
        <w:t>cyber security</w:t>
      </w:r>
    </w:p>
    <w:p w14:paraId="48A30D60" w14:textId="77777777" w:rsidR="00970846" w:rsidRPr="00D2134C" w:rsidRDefault="00970846" w:rsidP="00970846">
      <w:pPr>
        <w:pStyle w:val="FGCBULLET1"/>
      </w:pPr>
      <w:r w:rsidRPr="00D2134C">
        <w:t xml:space="preserve">security incident management and investigations. </w:t>
      </w:r>
    </w:p>
    <w:p w14:paraId="3244F0D8" w14:textId="77777777" w:rsidR="00970846" w:rsidRPr="00D2134C" w:rsidRDefault="00970846" w:rsidP="00970846">
      <w:pPr>
        <w:pStyle w:val="FGCNORMAL"/>
      </w:pPr>
      <w:r w:rsidRPr="00D2134C">
        <w:t>Key achievements include:</w:t>
      </w:r>
    </w:p>
    <w:p w14:paraId="19D86790" w14:textId="77777777" w:rsidR="00970846" w:rsidRPr="00D2134C" w:rsidRDefault="00970846" w:rsidP="00970846">
      <w:pPr>
        <w:pStyle w:val="FGCBULLET1"/>
      </w:pPr>
      <w:r w:rsidRPr="00D2134C">
        <w:t xml:space="preserve">increased security training (face to face or via eLearning) </w:t>
      </w:r>
    </w:p>
    <w:p w14:paraId="1E09B1AB" w14:textId="12771F55" w:rsidR="00970846" w:rsidRPr="00D2134C" w:rsidRDefault="00970846" w:rsidP="00970846">
      <w:pPr>
        <w:pStyle w:val="FGCBULLET1"/>
      </w:pPr>
      <w:r w:rsidRPr="00D2134C">
        <w:t>standard physical and electronic security requirements for</w:t>
      </w:r>
      <w:r w:rsidR="00E331FC" w:rsidRPr="00D2134C">
        <w:t xml:space="preserve"> NDIA</w:t>
      </w:r>
      <w:r w:rsidRPr="00D2134C">
        <w:t xml:space="preserve"> tenancies and buildings</w:t>
      </w:r>
    </w:p>
    <w:p w14:paraId="74F1A2FE" w14:textId="7EF9C901" w:rsidR="00970846" w:rsidRPr="00D2134C" w:rsidRDefault="00970846" w:rsidP="00970846">
      <w:pPr>
        <w:pStyle w:val="FGCBULLET1"/>
      </w:pPr>
      <w:r w:rsidRPr="00D2134C">
        <w:t xml:space="preserve">enhanced </w:t>
      </w:r>
      <w:r w:rsidR="00E331FC" w:rsidRPr="00D2134C">
        <w:t>NDIA</w:t>
      </w:r>
      <w:r w:rsidRPr="00D2134C">
        <w:t xml:space="preserve"> procurement guidelines and processes to support security considerations</w:t>
      </w:r>
    </w:p>
    <w:p w14:paraId="7506DB1D" w14:textId="4FA1365B" w:rsidR="00970846" w:rsidRPr="00D2134C" w:rsidRDefault="00970846" w:rsidP="00970846">
      <w:pPr>
        <w:pStyle w:val="FGCBULLET1"/>
      </w:pPr>
      <w:r w:rsidRPr="00D2134C">
        <w:lastRenderedPageBreak/>
        <w:t xml:space="preserve">enhanced pre-employment and ongoing suitability processes for the </w:t>
      </w:r>
      <w:r w:rsidR="00E331FC" w:rsidRPr="00D2134C">
        <w:t>NDIA</w:t>
      </w:r>
    </w:p>
    <w:p w14:paraId="2310D6A8" w14:textId="76AF18CC" w:rsidR="00970846" w:rsidRPr="00D2134C" w:rsidRDefault="00970846" w:rsidP="00970846">
      <w:pPr>
        <w:pStyle w:val="FGCBULLET1"/>
      </w:pPr>
      <w:r w:rsidRPr="00D2134C">
        <w:t xml:space="preserve">ongoing identification, </w:t>
      </w:r>
      <w:proofErr w:type="gramStart"/>
      <w:r w:rsidRPr="00D2134C">
        <w:t>management</w:t>
      </w:r>
      <w:proofErr w:type="gramEnd"/>
      <w:r w:rsidRPr="00D2134C">
        <w:t xml:space="preserve"> and strategy to mitigate </w:t>
      </w:r>
      <w:r w:rsidR="00E331FC" w:rsidRPr="00D2134C">
        <w:t>NDIA</w:t>
      </w:r>
      <w:r w:rsidRPr="00D2134C">
        <w:t>-specific security risks.</w:t>
      </w:r>
    </w:p>
    <w:p w14:paraId="5807ACE4" w14:textId="77777777" w:rsidR="00970846" w:rsidRPr="00D2134C" w:rsidRDefault="00970846" w:rsidP="00EE2D88">
      <w:pPr>
        <w:pStyle w:val="FGCHEADING5"/>
        <w:numPr>
          <w:ilvl w:val="0"/>
          <w:numId w:val="0"/>
        </w:numPr>
        <w:ind w:left="652"/>
      </w:pPr>
      <w:r w:rsidRPr="00D2134C">
        <w:t>A financially sustainable Scheme</w:t>
      </w:r>
    </w:p>
    <w:p w14:paraId="39809A12" w14:textId="64C598B2" w:rsidR="00970846" w:rsidRPr="00D2134C" w:rsidRDefault="00970846" w:rsidP="00970846">
      <w:pPr>
        <w:pStyle w:val="FGCNORMAL"/>
      </w:pPr>
      <w:r w:rsidRPr="00D2134C">
        <w:t>A financially sustainable Scheme achieves positive outcomes for participants throughout their lives and is affordable now and into the future.</w:t>
      </w:r>
      <w:r w:rsidR="001D4281">
        <w:t xml:space="preserve"> This relies on sound investment in supports that will deliver the positive outcomes people with disability deserve.</w:t>
      </w:r>
    </w:p>
    <w:p w14:paraId="15A365F4" w14:textId="343291B3" w:rsidR="00970846" w:rsidRPr="00D2134C" w:rsidRDefault="00970846" w:rsidP="00970846">
      <w:pPr>
        <w:pStyle w:val="FGCNORMAL"/>
        <w:rPr>
          <w:lang w:eastAsia="en-US"/>
        </w:rPr>
      </w:pPr>
      <w:r w:rsidRPr="00D2134C">
        <w:t>The A</w:t>
      </w:r>
      <w:r w:rsidR="00E22FA2">
        <w:t xml:space="preserve">nnual Financial </w:t>
      </w:r>
      <w:r w:rsidR="009203E6">
        <w:t>Sustainability Report (A</w:t>
      </w:r>
      <w:r w:rsidRPr="00D2134C">
        <w:t>FSR</w:t>
      </w:r>
      <w:r w:rsidR="009203E6">
        <w:t>) 2021</w:t>
      </w:r>
      <w:r w:rsidR="009C349D">
        <w:t>-</w:t>
      </w:r>
      <w:r w:rsidR="009203E6">
        <w:t>22</w:t>
      </w:r>
      <w:r w:rsidRPr="00D2134C">
        <w:t xml:space="preserve"> provides an assessment of the financial sustainability of the NDIS, as is required under the NDIS Act (section 180B). It is prepared by the Scheme Actuary, using data as </w:t>
      </w:r>
      <w:proofErr w:type="gramStart"/>
      <w:r w:rsidRPr="00D2134C">
        <w:t>at</w:t>
      </w:r>
      <w:proofErr w:type="gramEnd"/>
      <w:r w:rsidRPr="00D2134C">
        <w:t xml:space="preserve"> 30 June each year. </w:t>
      </w:r>
      <w:r w:rsidRPr="00D2134C">
        <w:rPr>
          <w:lang w:eastAsia="en-US"/>
        </w:rPr>
        <w:t>The AFSR was independently peer reviewed by the Australian Government Actuary</w:t>
      </w:r>
      <w:r w:rsidR="005F00E3">
        <w:rPr>
          <w:lang w:eastAsia="en-US"/>
        </w:rPr>
        <w:t>.</w:t>
      </w:r>
      <w:r w:rsidRPr="00D2134C">
        <w:rPr>
          <w:rStyle w:val="FootnoteReference"/>
          <w:sz w:val="18"/>
          <w:szCs w:val="18"/>
          <w:lang w:eastAsia="en-US"/>
        </w:rPr>
        <w:footnoteReference w:id="7"/>
      </w:r>
      <w:r w:rsidRPr="00D2134C">
        <w:t xml:space="preserve"> </w:t>
      </w:r>
      <w:r w:rsidR="00AD7408">
        <w:t>Refer to</w:t>
      </w:r>
      <w:r w:rsidRPr="00D2134C">
        <w:t xml:space="preserve"> </w:t>
      </w:r>
      <w:r w:rsidR="00AD7408" w:rsidRPr="00D2134C">
        <w:t xml:space="preserve">section </w:t>
      </w:r>
      <w:r w:rsidR="00AD7408" w:rsidRPr="00D2134C">
        <w:fldChar w:fldCharType="begin"/>
      </w:r>
      <w:r w:rsidR="00AD7408" w:rsidRPr="00D2134C">
        <w:instrText xml:space="preserve"> REF _Ref109373009 \r \h </w:instrText>
      </w:r>
      <w:r w:rsidR="00AD7408" w:rsidRPr="00D2134C">
        <w:fldChar w:fldCharType="separate"/>
      </w:r>
      <w:r w:rsidR="00AD7408" w:rsidRPr="00D2134C">
        <w:t>3.2</w:t>
      </w:r>
      <w:r w:rsidR="00AD7408" w:rsidRPr="00D2134C">
        <w:fldChar w:fldCharType="end"/>
      </w:r>
      <w:r w:rsidR="00AD7408">
        <w:t xml:space="preserve"> for a </w:t>
      </w:r>
      <w:r w:rsidRPr="00D2134C">
        <w:t>summary of the AFSR.</w:t>
      </w:r>
    </w:p>
    <w:p w14:paraId="67E39601" w14:textId="480A575F" w:rsidR="00C70983" w:rsidRPr="00D2134C" w:rsidRDefault="008620A8" w:rsidP="005A2AE3">
      <w:pPr>
        <w:pStyle w:val="FGCHEADING2"/>
      </w:pPr>
      <w:bookmarkStart w:id="79" w:name="_Toc113372204"/>
      <w:bookmarkStart w:id="80" w:name="_Toc113382941"/>
      <w:bookmarkStart w:id="81" w:name="_Toc113372205"/>
      <w:bookmarkStart w:id="82" w:name="_Toc113382942"/>
      <w:bookmarkStart w:id="83" w:name="_Toc113372206"/>
      <w:bookmarkStart w:id="84" w:name="_Toc113382943"/>
      <w:bookmarkStart w:id="85" w:name="_Toc113372207"/>
      <w:bookmarkStart w:id="86" w:name="_Toc113382944"/>
      <w:bookmarkStart w:id="87" w:name="_Toc114477498"/>
      <w:bookmarkStart w:id="88" w:name="_Toc116473863"/>
      <w:bookmarkEnd w:id="79"/>
      <w:bookmarkEnd w:id="80"/>
      <w:bookmarkEnd w:id="81"/>
      <w:bookmarkEnd w:id="82"/>
      <w:bookmarkEnd w:id="83"/>
      <w:bookmarkEnd w:id="84"/>
      <w:bookmarkEnd w:id="85"/>
      <w:bookmarkEnd w:id="86"/>
      <w:r w:rsidRPr="00D2134C">
        <w:t>How we intend to move forward</w:t>
      </w:r>
      <w:bookmarkEnd w:id="5"/>
      <w:bookmarkEnd w:id="87"/>
      <w:bookmarkEnd w:id="88"/>
    </w:p>
    <w:p w14:paraId="2D89A585" w14:textId="78246BA5" w:rsidR="0038626C" w:rsidRPr="00D2134C" w:rsidRDefault="0038626C" w:rsidP="00D81930">
      <w:pPr>
        <w:pStyle w:val="FGCNORMAL"/>
      </w:pPr>
      <w:r w:rsidRPr="00D2134C">
        <w:t xml:space="preserve">The </w:t>
      </w:r>
      <w:r w:rsidR="00630C36" w:rsidRPr="00D2134C">
        <w:t xml:space="preserve">NDIA </w:t>
      </w:r>
      <w:r w:rsidRPr="00D2134C">
        <w:t xml:space="preserve">continues to focus on improving participant experience and outcomes. </w:t>
      </w:r>
    </w:p>
    <w:p w14:paraId="49C36577" w14:textId="77777777" w:rsidR="007218E2" w:rsidRPr="00D2134C" w:rsidRDefault="007218E2" w:rsidP="007218E2">
      <w:pPr>
        <w:pStyle w:val="FGCNORMAL"/>
      </w:pPr>
      <w:r w:rsidRPr="00D2134C">
        <w:t>We will continue to put participants at the centre of everything we do – listening and responding to their needs so we can support people with disability to live the life they choose and contribute to a more inclusive Australia. </w:t>
      </w:r>
    </w:p>
    <w:p w14:paraId="149FAAD9" w14:textId="19EF20C0" w:rsidR="0038626C" w:rsidRPr="00D2134C" w:rsidRDefault="0038626C" w:rsidP="007218E2">
      <w:pPr>
        <w:pStyle w:val="FGCNORMAL"/>
      </w:pPr>
      <w:r w:rsidRPr="00D2134C">
        <w:t xml:space="preserve">While the NDIA looks for opportunities for improvement across the board, </w:t>
      </w:r>
      <w:r w:rsidR="00E879F8" w:rsidRPr="00D2134C">
        <w:t>it</w:t>
      </w:r>
      <w:r w:rsidRPr="00D2134C">
        <w:t xml:space="preserve"> is focused on key areas including employment opportunities for participants, fraud and compliance, hospital discharge and reducing the number of cases referred to the Administrative Appea</w:t>
      </w:r>
      <w:r w:rsidR="00246743" w:rsidRPr="00D2134C">
        <w:t>l</w:t>
      </w:r>
      <w:r w:rsidRPr="00D2134C">
        <w:t xml:space="preserve">s Tribunal. </w:t>
      </w:r>
    </w:p>
    <w:p w14:paraId="4C69FDE7" w14:textId="76331828" w:rsidR="0038626C" w:rsidRPr="00D2134C" w:rsidRDefault="0038626C" w:rsidP="00D81930">
      <w:pPr>
        <w:pStyle w:val="FGCNORMAL"/>
      </w:pPr>
      <w:r w:rsidRPr="00D2134C">
        <w:t xml:space="preserve">We are working to build, test and implement a bespoke </w:t>
      </w:r>
      <w:r w:rsidR="008F5811" w:rsidRPr="00D2134C">
        <w:t>c</w:t>
      </w:r>
      <w:r w:rsidRPr="00D2134C">
        <w:t xml:space="preserve">ustomer </w:t>
      </w:r>
      <w:r w:rsidR="008F5811" w:rsidRPr="00D2134C">
        <w:t>relationship m</w:t>
      </w:r>
      <w:r w:rsidRPr="00D2134C">
        <w:t xml:space="preserve">anagement </w:t>
      </w:r>
      <w:r w:rsidR="007D1643" w:rsidRPr="00D2134C">
        <w:t xml:space="preserve">business </w:t>
      </w:r>
      <w:r w:rsidRPr="00D2134C">
        <w:t xml:space="preserve">system that will improve processes for participants. It will also deliver efficiency benefits to staff and drive consistency and compliance through built-in quality and integrity controls. Extensive testing will ensure we get the system right for participants and staff. </w:t>
      </w:r>
    </w:p>
    <w:p w14:paraId="193E742B" w14:textId="6CEAB976" w:rsidR="0038626C" w:rsidRPr="00D2134C" w:rsidRDefault="0038626C" w:rsidP="00D81930">
      <w:pPr>
        <w:pStyle w:val="FGCNORMAL"/>
      </w:pPr>
      <w:r w:rsidRPr="00D2134C">
        <w:t xml:space="preserve">The way forward is </w:t>
      </w:r>
      <w:r w:rsidR="001F46C1" w:rsidRPr="00D2134C">
        <w:t>activ</w:t>
      </w:r>
      <w:r w:rsidR="00323E11" w:rsidRPr="00D2134C">
        <w:t xml:space="preserve">ely </w:t>
      </w:r>
      <w:r w:rsidRPr="00D2134C">
        <w:t xml:space="preserve">collaborative. Our </w:t>
      </w:r>
      <w:r w:rsidR="00BC0A78">
        <w:t>E</w:t>
      </w:r>
      <w:r w:rsidRPr="00D2134C">
        <w:t xml:space="preserve">ngagement </w:t>
      </w:r>
      <w:r w:rsidR="00BC0A78">
        <w:t>F</w:t>
      </w:r>
      <w:r w:rsidRPr="00D2134C">
        <w:t xml:space="preserve">ramework will ensure the views and experiences of people with disability underpin the decisions we make. In establishing our co-design function, we have taken a ‘learn by doing’ approach and we are working in partnership with the disability sector to design and implement improvements to the Scheme that will have a positive impact for participants. Critically, we will engage with people with disability, the sector and state and territory governments to develop a new person-centred model for assessments, consistent with the legislative requirements as set out in the NDIS Act. </w:t>
      </w:r>
    </w:p>
    <w:p w14:paraId="62473401" w14:textId="7736CB1B" w:rsidR="00C70983" w:rsidRDefault="00EC35FC" w:rsidP="005A2AE3">
      <w:pPr>
        <w:pStyle w:val="FGCHEADING1"/>
      </w:pPr>
      <w:bookmarkStart w:id="89" w:name="_Toc51067969"/>
      <w:bookmarkStart w:id="90" w:name="_Toc114477499"/>
      <w:bookmarkStart w:id="91" w:name="_Toc116473864"/>
      <w:r w:rsidRPr="00D2134C">
        <w:lastRenderedPageBreak/>
        <w:t>Financials</w:t>
      </w:r>
      <w:bookmarkEnd w:id="89"/>
      <w:bookmarkEnd w:id="90"/>
      <w:bookmarkEnd w:id="91"/>
    </w:p>
    <w:p w14:paraId="7C1E8F74" w14:textId="77777777" w:rsidR="003D1EB8" w:rsidRPr="00FF3436" w:rsidRDefault="003D1EB8" w:rsidP="003D1EB8">
      <w:pPr>
        <w:pStyle w:val="BodyText1"/>
        <w:rPr>
          <w:rFonts w:ascii="Arial" w:hAnsi="Arial" w:cs="Arial"/>
        </w:rPr>
      </w:pPr>
      <w:r w:rsidRPr="00FF3436">
        <w:rPr>
          <w:rFonts w:ascii="Arial" w:hAnsi="Arial" w:cs="Arial"/>
        </w:rPr>
        <w:t>Independent Auditor’s Report</w:t>
      </w:r>
    </w:p>
    <w:p w14:paraId="3B725DA9" w14:textId="77777777" w:rsidR="003D1EB8" w:rsidRPr="00FF3436" w:rsidRDefault="003D1EB8" w:rsidP="003D1EB8">
      <w:pPr>
        <w:pStyle w:val="BodyText1"/>
        <w:rPr>
          <w:rFonts w:ascii="Arial" w:hAnsi="Arial" w:cs="Arial"/>
        </w:rPr>
      </w:pPr>
      <w:r w:rsidRPr="00FF3436">
        <w:rPr>
          <w:rFonts w:ascii="Arial" w:hAnsi="Arial" w:cs="Arial"/>
        </w:rPr>
        <w:t xml:space="preserve">Statement by the Chairman, Chief Executive Officer, Chief Financial </w:t>
      </w:r>
      <w:proofErr w:type="gramStart"/>
      <w:r w:rsidRPr="00FF3436">
        <w:rPr>
          <w:rFonts w:ascii="Arial" w:hAnsi="Arial" w:cs="Arial"/>
        </w:rPr>
        <w:t>Officer</w:t>
      </w:r>
      <w:proofErr w:type="gramEnd"/>
      <w:r w:rsidRPr="00FF3436">
        <w:rPr>
          <w:rFonts w:ascii="Arial" w:hAnsi="Arial" w:cs="Arial"/>
        </w:rPr>
        <w:t xml:space="preserve"> and Chair of the Audit Committee</w:t>
      </w:r>
    </w:p>
    <w:p w14:paraId="2D7FF470" w14:textId="77777777" w:rsidR="003D1EB8" w:rsidRPr="00FF3436" w:rsidRDefault="003D1EB8" w:rsidP="003D1EB8">
      <w:pPr>
        <w:pStyle w:val="BodyText1"/>
        <w:rPr>
          <w:rFonts w:ascii="Arial" w:hAnsi="Arial" w:cs="Arial"/>
        </w:rPr>
      </w:pPr>
      <w:r w:rsidRPr="00FF3436">
        <w:rPr>
          <w:rFonts w:ascii="Arial" w:hAnsi="Arial" w:cs="Arial"/>
        </w:rPr>
        <w:t>Financial statements</w:t>
      </w:r>
    </w:p>
    <w:p w14:paraId="0C1ACE29" w14:textId="5507FCFC" w:rsidR="003D1EB8" w:rsidRDefault="003D1EB8" w:rsidP="00FF3436">
      <w:pPr>
        <w:pStyle w:val="BodyText1"/>
      </w:pPr>
    </w:p>
    <w:p w14:paraId="2E813E11" w14:textId="2F36E8F2" w:rsidR="004270C7" w:rsidRPr="005B3FA0" w:rsidRDefault="004270C7" w:rsidP="00EE2D88"/>
    <w:p w14:paraId="68934C6D" w14:textId="75E7DA7F" w:rsidR="004270C7" w:rsidRPr="005B3FA0" w:rsidRDefault="004270C7" w:rsidP="00EE2D88"/>
    <w:p w14:paraId="5AB61F5D" w14:textId="17DE1BEA" w:rsidR="004270C7" w:rsidRPr="005B3FA0" w:rsidRDefault="004270C7" w:rsidP="00EE2D88"/>
    <w:p w14:paraId="3EE18D6A" w14:textId="6DFAF831" w:rsidR="004270C7" w:rsidRPr="005B3FA0" w:rsidRDefault="004270C7" w:rsidP="00EE2D88"/>
    <w:p w14:paraId="50106417" w14:textId="1FDC9C9A" w:rsidR="004270C7" w:rsidRPr="005B3FA0" w:rsidRDefault="004270C7" w:rsidP="00EE2D88"/>
    <w:p w14:paraId="6D70760B" w14:textId="0E6D6362" w:rsidR="004270C7" w:rsidRPr="005B3FA0" w:rsidRDefault="004270C7" w:rsidP="00EE2D88"/>
    <w:p w14:paraId="158A62EC" w14:textId="7901B3AD" w:rsidR="004270C7" w:rsidRPr="005B3FA0" w:rsidRDefault="004270C7" w:rsidP="00EE2D88"/>
    <w:p w14:paraId="5156D9AD" w14:textId="0BE995FF" w:rsidR="004270C7" w:rsidRPr="005B3FA0" w:rsidRDefault="004270C7" w:rsidP="00EE2D88"/>
    <w:p w14:paraId="1B2C0A71" w14:textId="03994A60" w:rsidR="004270C7" w:rsidRDefault="004270C7" w:rsidP="004270C7">
      <w:pPr>
        <w:rPr>
          <w:rFonts w:ascii="Cambria" w:eastAsia="Times New Roman" w:hAnsi="Cambria" w:cs="Times New Roman"/>
          <w:szCs w:val="24"/>
          <w:lang w:eastAsia="en-US"/>
        </w:rPr>
      </w:pPr>
    </w:p>
    <w:p w14:paraId="2AC6F6A1" w14:textId="77777777" w:rsidR="004270C7" w:rsidRPr="005B3FA0" w:rsidRDefault="004270C7" w:rsidP="00EE2D88"/>
    <w:p w14:paraId="187D57B8" w14:textId="0D51750A" w:rsidR="003D1EB8" w:rsidRDefault="00E576F2" w:rsidP="00015F3C">
      <w:pPr>
        <w:ind w:left="0"/>
      </w:pPr>
      <w:bookmarkStart w:id="92" w:name="_Toc51067970"/>
      <w:bookmarkStart w:id="93" w:name="_Ref111638631"/>
      <w:r w:rsidRPr="00476DE3">
        <w:rPr>
          <w:noProof/>
        </w:rPr>
        <w:lastRenderedPageBreak/>
        <w:drawing>
          <wp:inline distT="0" distB="0" distL="0" distR="0" wp14:anchorId="0903BDB4" wp14:editId="12661FFF">
            <wp:extent cx="6372225" cy="9001125"/>
            <wp:effectExtent l="0" t="0" r="9525" b="9525"/>
            <wp:docPr id="30" name="Picture 30" descr="INDEPENDENT AUDITOR’S REPORT&#10;To the Minister for the National Disability Insurance Scheme&#10;Opinion&#10;In my opinion, the financial statements of the National Disability Insurance Agency (the Entity) for the year ended 30 June 2022:&#10;(a) comply with Australian Accounting Standards – Simplified Disclosures and the Public Governance, Performance and Accountability (Financial Reporting) Rule 2015; and&#10;(b) present fairly the financial position of the Entity as at 30 June 2022 and its financial performance and cash flows for the year then ended.&#10;The financial statements of the Entity, which I have audited, comprise the following as at 30 June 2022 and for the year then ended:&#10;• Statement by the Acting Chairman of the Board, Acting Chief Executive Officer, Chief Financial Officer and Chair of the Audit Committee;&#10;• Statement of Comprehensive Income;&#10;• Statement of Financial Position;&#10;• Statement of Changes in Equity;&#10;• Cash Flow Statement; and&#10;• 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INDEPENDENT AUDITOR’S REPORT&#10;To the Minister for the National Disability Insurance Scheme&#10;Opinion&#10;In my opinion, the financial statements of the National Disability Insurance Agency (the Entity) for the year ended 30 June 2022:&#10;(a) comply with Australian Accounting Standards – Simplified Disclosures and the Public Governance, Performance and Accountability (Financial Reporting) Rule 2015; and&#10;(b) present fairly the financial position of the Entity as at 30 June 2022 and its financial performance and cash flows for the year then ended.&#10;The financial statements of the Entity, which I have audited, comprise the following as at 30 June 2022 and for the year then ended:&#10;• Statement by the Acting Chairman of the Board, Acting Chief Executive Officer, Chief Financial Officer and Chair of the Audit Committee;&#10;• Statement of Comprehensive Income;&#10;• Statement of Financial Position;&#10;• Statement of Changes in Equity;&#10;• Cash Flow Statement; and&#10;• 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
                    <pic:cNvPicPr/>
                  </pic:nvPicPr>
                  <pic:blipFill>
                    <a:blip r:embed="rId50">
                      <a:extLst>
                        <a:ext uri="{28A0092B-C50C-407E-A947-70E740481C1C}">
                          <a14:useLocalDpi xmlns:a14="http://schemas.microsoft.com/office/drawing/2010/main" val="0"/>
                        </a:ext>
                      </a:extLst>
                    </a:blip>
                    <a:stretch>
                      <a:fillRect/>
                    </a:stretch>
                  </pic:blipFill>
                  <pic:spPr>
                    <a:xfrm>
                      <a:off x="0" y="0"/>
                      <a:ext cx="6372225" cy="9001125"/>
                    </a:xfrm>
                    <a:prstGeom prst="rect">
                      <a:avLst/>
                    </a:prstGeom>
                  </pic:spPr>
                </pic:pic>
              </a:graphicData>
            </a:graphic>
          </wp:inline>
        </w:drawing>
      </w:r>
    </w:p>
    <w:p w14:paraId="3165DCE0" w14:textId="3F7898D2" w:rsidR="003D1EB8" w:rsidRDefault="00B53AFE" w:rsidP="00015F3C">
      <w:pPr>
        <w:ind w:left="0"/>
      </w:pPr>
      <w:bookmarkStart w:id="94" w:name="_Toc114477501"/>
      <w:bookmarkStart w:id="95" w:name="_Toc116414672"/>
      <w:bookmarkStart w:id="96" w:name="_Toc116472651"/>
      <w:bookmarkStart w:id="97" w:name="_Toc116473866"/>
      <w:r w:rsidRPr="00B53AFE">
        <w:rPr>
          <w:noProof/>
        </w:rPr>
        <w:lastRenderedPageBreak/>
        <w:drawing>
          <wp:inline distT="0" distB="0" distL="0" distR="0" wp14:anchorId="1AF314B7" wp14:editId="2C9040DD">
            <wp:extent cx="6263005" cy="9271000"/>
            <wp:effectExtent l="0" t="0" r="4445" b="6350"/>
            <wp:docPr id="57" name="Picture 57" descr="Key audit matter&#10;Accuracy and occurrence of participant plan expenses&#10;Refer to Note 1.1H Participants’ plan expenses&#10;I focused on this area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2, participant plan expenses were $28.63 billion.&#10;How the audit addressed the matter&#10;The audit procedures I undertook to address this included:&#10;• testing the design, implementation and operating effectiveness of key controls related to the assessment of whether a participant meets the Scheme eligibility requirements, participant plan approvals, and claim validation and processing; and&#10;• examining the quality assurance framework implemented by the Entity including a compliance and assurance program over payment accuracy and integrity, scheme access and participant plan approvals.&#10;Key audit matter&#10;Valuation of participants’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2, the participant plan provision was $1.96 billion.&#10;How the audit addressed the matter&#10;The audit procedures I undertook to address this included:&#10;• assessing the competence and capability of the Scheme Actuary in making the estimation;&#10;• evaluating the reasonableness of the judgements and assumptions made on the advice of the Scheme Actuary in the estimation of the provision; and&#10;• assessing the data used in the estimation process for accuracy and completeness.&#10;Key audit matter&#10;Completeness, occurrence and accuracy of in-kind revenues and expenses&#10;Refer to Note 1.2D Other gains&#10;Refer to Note 1.1H Participant plan expenses&#10;In-kind revenue relates to the contributions provided by the States and Territories directly to organisations providing disability services.&#10;I focused on this area due to its significance to the financial statements. In-kind revenue may be misstated if services provided directly to eligible participants by States and Territories are not appropriately reported to the Entity in line with the&#10;How the audit addressed the matter&#10;The audit procedures I undertook to address this included:&#10;• assessing the design, implementation and operating effectiveness of controls over the appropriate utilisation of cash and in-kind contribution in a participant’s plan; and&#10;• testing the completeness and accuracy of the data provided by States and Terri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Key audit matter&#10;Accuracy and occurrence of participant plan expenses&#10;Refer to Note 1.1H Participants’ plan expenses&#10;I focused on this area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2, participant plan expenses were $28.63 billion.&#10;How the audit addressed the matter&#10;The audit procedures I undertook to address this included:&#10;• testing the design, implementation and operating effectiveness of key controls related to the assessment of whether a participant meets the Scheme eligibility requirements, participant plan approvals, and claim validation and processing; and&#10;• examining the quality assurance framework implemented by the Entity including a compliance and assurance program over payment accuracy and integrity, scheme access and participant plan approvals.&#10;Key audit matter&#10;Valuation of participants’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2, the participant plan provision was $1.96 billion.&#10;How the audit addressed the matter&#10;The audit procedures I undertook to address this included:&#10;• assessing the competence and capability of the Scheme Actuary in making the estimation;&#10;• evaluating the reasonableness of the judgements and assumptions made on the advice of the Scheme Actuary in the estimation of the provision; and&#10;• assessing the data used in the estimation process for accuracy and completeness.&#10;Key audit matter&#10;Completeness, occurrence and accuracy of in-kind revenues and expenses&#10;Refer to Note 1.2D Other gains&#10;Refer to Note 1.1H Participant plan expenses&#10;In-kind revenue relates to the contributions provided by the States and Territories directly to organisations providing disability services.&#10;I focused on this area due to its significance to the financial statements. In-kind revenue may be misstated if services provided directly to eligible participants by States and Territories are not appropriately reported to the Entity in line with the&#10;How the audit addressed the matter&#10;The audit procedures I undertook to address this included:&#10;• assessing the design, implementation and operating effectiveness of controls over the appropriate utilisation of cash and in-kind contribution in a participant’s plan; and&#10;• testing the completeness and accuracy of the data provided by States and Territories"/>
                    <pic:cNvPicPr/>
                  </pic:nvPicPr>
                  <pic:blipFill>
                    <a:blip r:embed="rId51">
                      <a:extLst>
                        <a:ext uri="{28A0092B-C50C-407E-A947-70E740481C1C}">
                          <a14:useLocalDpi xmlns:a14="http://schemas.microsoft.com/office/drawing/2010/main" val="0"/>
                        </a:ext>
                      </a:extLst>
                    </a:blip>
                    <a:stretch>
                      <a:fillRect/>
                    </a:stretch>
                  </pic:blipFill>
                  <pic:spPr>
                    <a:xfrm>
                      <a:off x="0" y="0"/>
                      <a:ext cx="6263005" cy="9271000"/>
                    </a:xfrm>
                    <a:prstGeom prst="rect">
                      <a:avLst/>
                    </a:prstGeom>
                  </pic:spPr>
                </pic:pic>
              </a:graphicData>
            </a:graphic>
          </wp:inline>
        </w:drawing>
      </w:r>
      <w:bookmarkEnd w:id="94"/>
      <w:bookmarkEnd w:id="95"/>
      <w:bookmarkEnd w:id="96"/>
      <w:bookmarkEnd w:id="97"/>
    </w:p>
    <w:p w14:paraId="50A3AEF8" w14:textId="39776217" w:rsidR="003D1EB8" w:rsidRDefault="00543113" w:rsidP="00015F3C">
      <w:pPr>
        <w:ind w:left="0"/>
      </w:pPr>
      <w:bookmarkStart w:id="98" w:name="_Toc114477502"/>
      <w:bookmarkStart w:id="99" w:name="_Toc116414673"/>
      <w:bookmarkStart w:id="100" w:name="_Toc116472652"/>
      <w:bookmarkStart w:id="101" w:name="_Toc116473867"/>
      <w:r>
        <w:rPr>
          <w:noProof/>
        </w:rPr>
        <w:lastRenderedPageBreak/>
        <w:drawing>
          <wp:inline distT="0" distB="0" distL="0" distR="0" wp14:anchorId="2A1264CF" wp14:editId="60E473B2">
            <wp:extent cx="6482080" cy="8989060"/>
            <wp:effectExtent l="0" t="0" r="0" b="2540"/>
            <wp:docPr id="17" name="Picture 17" descr="bilateral agreements.&#10;Participant expenses could be overstated if the available cash budgets within participant plans are not reduced to reflect the participant’s access to in kind services.&#10;For the year ended 30 June 2022, in-kind revenue and expenses were $1.02 billion.&#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 obtain an understanding of internal control relevant to the audit in order to design audit procedures that are appropriate in the circumstances, but not for the purpose of expressing an opinion on the effectiveness of the Entity’s internal control;&#10;• evaluate the appropriateness of accounting policies used and the reasonableness of accounting estimates and related disclosures made by the Accountable Authority;&#10;• 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 evaluate the overall presentation, structure and content of the financial statements, including the disclosures, and whether the financial statements represent the underlying transactions and events in a manner that achieves fair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bilateral agreements.&#10;Participant expenses could be overstated if the available cash budgets within participant plans are not reduced to reflect the participant’s access to in kind services.&#10;For the year ended 30 June 2022, in-kind revenue and expenses were $1.02 billion.&#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 obtain an understanding of internal control relevant to the audit in order to design audit procedures that are appropriate in the circumstances, but not for the purpose of expressing an opinion on the effectiveness of the Entity’s internal control;&#10;• evaluate the appropriateness of accounting policies used and the reasonableness of accounting estimates and related disclosures made by the Accountable Authority;&#10;• 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 evaluate the overall presentation, structure and content of the financial statements, including the disclosures, and whether the financial statements represent the underlying transactions and events in a manner that achieves fair presentation."/>
                    <pic:cNvPicPr/>
                  </pic:nvPicPr>
                  <pic:blipFill rotWithShape="1">
                    <a:blip r:embed="rId52">
                      <a:extLst>
                        <a:ext uri="{28A0092B-C50C-407E-A947-70E740481C1C}">
                          <a14:useLocalDpi xmlns:a14="http://schemas.microsoft.com/office/drawing/2010/main" val="0"/>
                        </a:ext>
                      </a:extLst>
                    </a:blip>
                    <a:srcRect l="28483" t="13245" r="32978" b="6587"/>
                    <a:stretch/>
                  </pic:blipFill>
                  <pic:spPr bwMode="auto">
                    <a:xfrm>
                      <a:off x="0" y="0"/>
                      <a:ext cx="6482080" cy="8989060"/>
                    </a:xfrm>
                    <a:prstGeom prst="rect">
                      <a:avLst/>
                    </a:prstGeom>
                    <a:ln>
                      <a:noFill/>
                    </a:ln>
                    <a:extLst>
                      <a:ext uri="{53640926-AAD7-44D8-BBD7-CCE9431645EC}">
                        <a14:shadowObscured xmlns:a14="http://schemas.microsoft.com/office/drawing/2010/main"/>
                      </a:ext>
                    </a:extLst>
                  </pic:spPr>
                </pic:pic>
              </a:graphicData>
            </a:graphic>
          </wp:inline>
        </w:drawing>
      </w:r>
      <w:bookmarkEnd w:id="98"/>
      <w:bookmarkEnd w:id="99"/>
      <w:bookmarkEnd w:id="100"/>
      <w:bookmarkEnd w:id="101"/>
    </w:p>
    <w:p w14:paraId="2837CCEE" w14:textId="108B7AFF" w:rsidR="003D1EB8" w:rsidRDefault="00035A35" w:rsidP="00015F3C">
      <w:pPr>
        <w:ind w:left="0"/>
        <w:sectPr w:rsidR="003D1EB8" w:rsidSect="00677C63">
          <w:pgSz w:w="11906" w:h="16838"/>
          <w:pgMar w:top="1021" w:right="907" w:bottom="1440" w:left="964" w:header="708" w:footer="708" w:gutter="0"/>
          <w:cols w:space="708"/>
          <w:titlePg/>
          <w:docGrid w:linePitch="360"/>
        </w:sectPr>
      </w:pPr>
      <w:bookmarkStart w:id="102" w:name="_Toc114477503"/>
      <w:bookmarkStart w:id="103" w:name="_Toc116414674"/>
      <w:bookmarkStart w:id="104" w:name="_Toc116472653"/>
      <w:bookmarkStart w:id="105" w:name="_Toc116473868"/>
      <w:r w:rsidRPr="00035A35">
        <w:rPr>
          <w:noProof/>
        </w:rPr>
        <w:lastRenderedPageBreak/>
        <w:drawing>
          <wp:inline distT="0" distB="0" distL="0" distR="0" wp14:anchorId="127D62CB" wp14:editId="1FCFD768">
            <wp:extent cx="6372225" cy="8629015"/>
            <wp:effectExtent l="0" t="0" r="9525" b="635"/>
            <wp:docPr id="454" name="Picture 454" descr="I communicate with the Accountable Authority regarding, among other matters, the planned scope and timing of the audit and significant audit findings, including any significant deficiencies in internal control that I identify during my audit.&#10;From the matters communicated with the Accountable Authority, I determine those matters that were of most significance in the audit of the financial statements of the current period and are therefore the key audit matters. I describe these matters in my auditor’s report unless law or regulation precludes public disclosure about the matter or when, in extremely rare circumstances, I determine that a matter should not be communicated in my report because the adverse consequences of doing so would reasonably be expected to outweigh the public interest benefits of such communication.&#10;Australian National Audit Office&#10;Rona Mellor PSM&#10;Deputy Auditor-General&#10;Canberra&#10;16 Septemb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descr="I communicate with the Accountable Authority regarding, among other matters, the planned scope and timing of the audit and significant audit findings, including any significant deficiencies in internal control that I identify during my audit.&#10;From the matters communicated with the Accountable Authority, I determine those matters that were of most significance in the audit of the financial statements of the current period and are therefore the key audit matters. I describe these matters in my auditor’s report unless law or regulation precludes public disclosure about the matter or when, in extremely rare circumstances, I determine that a matter should not be communicated in my report because the adverse consequences of doing so would reasonably be expected to outweigh the public interest benefits of such communication.&#10;Australian National Audit Office&#10;Rona Mellor PSM&#10;Deputy Auditor-General&#10;Canberra&#10;16 September 2022"/>
                    <pic:cNvPicPr/>
                  </pic:nvPicPr>
                  <pic:blipFill>
                    <a:blip r:embed="rId53">
                      <a:extLst>
                        <a:ext uri="{28A0092B-C50C-407E-A947-70E740481C1C}">
                          <a14:useLocalDpi xmlns:a14="http://schemas.microsoft.com/office/drawing/2010/main" val="0"/>
                        </a:ext>
                      </a:extLst>
                    </a:blip>
                    <a:stretch>
                      <a:fillRect/>
                    </a:stretch>
                  </pic:blipFill>
                  <pic:spPr>
                    <a:xfrm>
                      <a:off x="0" y="0"/>
                      <a:ext cx="6372225" cy="8629015"/>
                    </a:xfrm>
                    <a:prstGeom prst="rect">
                      <a:avLst/>
                    </a:prstGeom>
                  </pic:spPr>
                </pic:pic>
              </a:graphicData>
            </a:graphic>
          </wp:inline>
        </w:drawing>
      </w:r>
      <w:bookmarkEnd w:id="102"/>
      <w:bookmarkEnd w:id="103"/>
      <w:bookmarkEnd w:id="104"/>
      <w:bookmarkEnd w:id="105"/>
    </w:p>
    <w:p w14:paraId="60A2F057" w14:textId="67342476" w:rsidR="00815D62" w:rsidRPr="00D2134C" w:rsidRDefault="00815D62" w:rsidP="00873C47">
      <w:pPr>
        <w:pStyle w:val="FGCHEADING2"/>
        <w:numPr>
          <w:ilvl w:val="1"/>
          <w:numId w:val="15"/>
        </w:numPr>
      </w:pPr>
      <w:bookmarkStart w:id="106" w:name="_Toc114477504"/>
      <w:bookmarkStart w:id="107" w:name="_Toc116473869"/>
      <w:r w:rsidRPr="00D2134C">
        <w:lastRenderedPageBreak/>
        <w:t>Financial statements</w:t>
      </w:r>
      <w:bookmarkEnd w:id="92"/>
      <w:bookmarkEnd w:id="93"/>
      <w:bookmarkEnd w:id="106"/>
      <w:bookmarkEnd w:id="107"/>
    </w:p>
    <w:p w14:paraId="05222F64" w14:textId="38DFD084" w:rsidR="00FD06ED" w:rsidRPr="00FD06ED" w:rsidRDefault="0049456E" w:rsidP="00A452AB">
      <w:pPr>
        <w:spacing w:before="0" w:after="0"/>
        <w:ind w:left="-170"/>
        <w:rPr>
          <w:rFonts w:ascii="Times New Roman" w:eastAsia="Times New Roman" w:hAnsi="Times New Roman" w:cs="Times New Roman"/>
          <w:szCs w:val="20"/>
          <w:lang w:eastAsia="en-US"/>
        </w:rPr>
        <w:sectPr w:rsidR="00FD06ED" w:rsidRPr="00FD06ED" w:rsidSect="000C2603">
          <w:headerReference w:type="even" r:id="rId54"/>
          <w:headerReference w:type="default" r:id="rId55"/>
          <w:headerReference w:type="first" r:id="rId56"/>
          <w:pgSz w:w="11906" w:h="16838" w:code="9"/>
          <w:pgMar w:top="1134" w:right="1134" w:bottom="1134" w:left="1134" w:header="958" w:footer="737" w:gutter="0"/>
          <w:cols w:space="708"/>
          <w:docGrid w:linePitch="360"/>
        </w:sectPr>
      </w:pPr>
      <w:r w:rsidRPr="0049456E">
        <w:rPr>
          <w:rFonts w:ascii="Times New Roman" w:eastAsia="Times New Roman" w:hAnsi="Times New Roman" w:cs="Times New Roman"/>
          <w:noProof/>
          <w:szCs w:val="20"/>
          <w:lang w:eastAsia="en-US"/>
        </w:rPr>
        <w:drawing>
          <wp:inline distT="0" distB="0" distL="0" distR="0" wp14:anchorId="5F0C1031" wp14:editId="51689D65">
            <wp:extent cx="7009130" cy="5796280"/>
            <wp:effectExtent l="0" t="0" r="1270" b="0"/>
            <wp:docPr id="455" name="Picture 455" descr="&#10;In our opinion, the attached financial statements for the year ended 30 June 2022 comply with subsection 42(2) of the Public Governance, Performance and Accountability Act 2013 (PGPA Act), and are based on properly maintained financial records as per subsection 41(2) of the PGPA Act.&#10;&#10;In our opinion, at the date of this statement, there are reasonable grounds to believe that the National Disability Insurance Agency will be able to pay its debts as and when they fall due.&#10;&#10;This statement is made in accordance with a resolution of the directors.&#10;Signed:&#10;Jim Minto Acting Chairman, 15 September 2022.&#10;Lisa Studdert. Acting Chief Executive Officer, 15 September 2022.&#10;Nicole Glazebrook, Chief Financial Officer, 15 September 2022.&#10;Sandra Birkensleigh, Chair, Audit Committee, 15 September 202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Picture 455" descr="&#10;In our opinion, the attached financial statements for the year ended 30 June 2022 comply with subsection 42(2) of the Public Governance, Performance and Accountability Act 2013 (PGPA Act), and are based on properly maintained financial records as per subsection 41(2) of the PGPA Act.&#10;&#10;In our opinion, at the date of this statement, there are reasonable grounds to believe that the National Disability Insurance Agency will be able to pay its debts as and when they fall due.&#10;&#10;This statement is made in accordance with a resolution of the directors.&#10;Signed:&#10;Jim Minto Acting Chairman, 15 September 2022.&#10;Lisa Studdert. Acting Chief Executive Officer, 15 September 2022.&#10;Nicole Glazebrook, Chief Financial Officer, 15 September 2022.&#10;Sandra Birkensleigh, Chair, Audit Committee, 15 September 2022&#10;&#10;"/>
                    <pic:cNvPicPr/>
                  </pic:nvPicPr>
                  <pic:blipFill>
                    <a:blip r:embed="rId57">
                      <a:extLst>
                        <a:ext uri="{28A0092B-C50C-407E-A947-70E740481C1C}">
                          <a14:useLocalDpi xmlns:a14="http://schemas.microsoft.com/office/drawing/2010/main" val="0"/>
                        </a:ext>
                      </a:extLst>
                    </a:blip>
                    <a:stretch>
                      <a:fillRect/>
                    </a:stretch>
                  </pic:blipFill>
                  <pic:spPr>
                    <a:xfrm>
                      <a:off x="0" y="0"/>
                      <a:ext cx="7009130" cy="5796280"/>
                    </a:xfrm>
                    <a:prstGeom prst="rect">
                      <a:avLst/>
                    </a:prstGeom>
                  </pic:spPr>
                </pic:pic>
              </a:graphicData>
            </a:graphic>
          </wp:inline>
        </w:drawing>
      </w:r>
    </w:p>
    <w:tbl>
      <w:tblPr>
        <w:tblW w:w="9087" w:type="dxa"/>
        <w:tblLayout w:type="fixed"/>
        <w:tblCellMar>
          <w:left w:w="57" w:type="dxa"/>
          <w:right w:w="57" w:type="dxa"/>
        </w:tblCellMar>
        <w:tblLook w:val="04A0" w:firstRow="1" w:lastRow="0" w:firstColumn="1" w:lastColumn="0" w:noHBand="0" w:noVBand="1"/>
      </w:tblPr>
      <w:tblGrid>
        <w:gridCol w:w="4181"/>
        <w:gridCol w:w="955"/>
        <w:gridCol w:w="1127"/>
        <w:gridCol w:w="236"/>
        <w:gridCol w:w="1120"/>
        <w:gridCol w:w="236"/>
        <w:gridCol w:w="1232"/>
      </w:tblGrid>
      <w:tr w:rsidR="00FD06ED" w:rsidRPr="00FD06ED" w14:paraId="6C9DBA4D" w14:textId="77777777" w:rsidTr="005C33EF">
        <w:trPr>
          <w:trHeight w:val="510"/>
        </w:trPr>
        <w:tc>
          <w:tcPr>
            <w:tcW w:w="4181" w:type="dxa"/>
            <w:tcBorders>
              <w:top w:val="single" w:sz="8" w:space="0" w:color="800080"/>
              <w:left w:val="nil"/>
              <w:bottom w:val="nil"/>
              <w:right w:val="nil"/>
            </w:tcBorders>
            <w:shd w:val="clear" w:color="FFFFFF" w:fill="FFFFFF"/>
            <w:noWrap/>
            <w:vAlign w:val="bottom"/>
            <w:hideMark/>
          </w:tcPr>
          <w:p w14:paraId="0B80C2CF" w14:textId="77777777" w:rsidR="00FD06ED" w:rsidRPr="00FD06ED" w:rsidRDefault="00FD06ED" w:rsidP="00FD06ED">
            <w:pPr>
              <w:spacing w:before="0" w:after="0" w:line="260" w:lineRule="atLeast"/>
              <w:ind w:left="0"/>
              <w:rPr>
                <w:rFonts w:eastAsia="Times New Roman"/>
                <w:sz w:val="18"/>
                <w:szCs w:val="18"/>
                <w:lang w:eastAsia="en-US"/>
              </w:rPr>
            </w:pPr>
            <w:bookmarkStart w:id="108" w:name="Note_DPLTABLE1" w:colFirst="0" w:colLast="0"/>
            <w:r w:rsidRPr="00FD06ED">
              <w:rPr>
                <w:rFonts w:eastAsia="Times New Roman"/>
                <w:sz w:val="18"/>
                <w:szCs w:val="18"/>
                <w:lang w:eastAsia="en-US"/>
              </w:rPr>
              <w:lastRenderedPageBreak/>
              <w:t> </w:t>
            </w:r>
          </w:p>
        </w:tc>
        <w:tc>
          <w:tcPr>
            <w:tcW w:w="955" w:type="dxa"/>
            <w:tcBorders>
              <w:top w:val="single" w:sz="8" w:space="0" w:color="800080"/>
              <w:left w:val="nil"/>
              <w:bottom w:val="nil"/>
              <w:right w:val="nil"/>
            </w:tcBorders>
            <w:shd w:val="clear" w:color="FFFFFF" w:fill="FFFFFF"/>
            <w:noWrap/>
            <w:vAlign w:val="bottom"/>
            <w:hideMark/>
          </w:tcPr>
          <w:p w14:paraId="65BE2A8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7" w:type="dxa"/>
            <w:tcBorders>
              <w:top w:val="single" w:sz="8" w:space="0" w:color="800080"/>
              <w:left w:val="nil"/>
              <w:bottom w:val="nil"/>
              <w:right w:val="nil"/>
            </w:tcBorders>
            <w:shd w:val="clear" w:color="FFFFFF" w:fill="FFFFFF"/>
            <w:noWrap/>
            <w:vAlign w:val="bottom"/>
            <w:hideMark/>
          </w:tcPr>
          <w:p w14:paraId="4B71969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5FABF99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8" w:space="0" w:color="800080"/>
              <w:left w:val="nil"/>
              <w:bottom w:val="nil"/>
              <w:right w:val="nil"/>
            </w:tcBorders>
            <w:shd w:val="clear" w:color="FFFFFF" w:fill="FFFFFF"/>
            <w:noWrap/>
            <w:vAlign w:val="bottom"/>
            <w:hideMark/>
          </w:tcPr>
          <w:p w14:paraId="63943AE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48A395B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8" w:space="0" w:color="800080"/>
              <w:left w:val="nil"/>
              <w:bottom w:val="nil"/>
              <w:right w:val="nil"/>
            </w:tcBorders>
            <w:shd w:val="clear" w:color="FFFFFF" w:fill="FFFFFF"/>
            <w:vAlign w:val="bottom"/>
            <w:hideMark/>
          </w:tcPr>
          <w:p w14:paraId="46B36E5D"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r>
      <w:bookmarkEnd w:id="108"/>
      <w:tr w:rsidR="00FD06ED" w:rsidRPr="00FD06ED" w14:paraId="57469D1A" w14:textId="77777777" w:rsidTr="005C33EF">
        <w:trPr>
          <w:trHeight w:val="255"/>
        </w:trPr>
        <w:tc>
          <w:tcPr>
            <w:tcW w:w="4181" w:type="dxa"/>
            <w:tcBorders>
              <w:top w:val="nil"/>
              <w:left w:val="nil"/>
              <w:bottom w:val="nil"/>
              <w:right w:val="nil"/>
            </w:tcBorders>
            <w:shd w:val="clear" w:color="FFFFFF" w:fill="FFFFFF"/>
            <w:noWrap/>
            <w:vAlign w:val="bottom"/>
            <w:hideMark/>
          </w:tcPr>
          <w:p w14:paraId="7A0117F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1701C35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39AF9B4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36" w:type="dxa"/>
            <w:tcBorders>
              <w:top w:val="nil"/>
              <w:left w:val="nil"/>
              <w:bottom w:val="nil"/>
              <w:right w:val="nil"/>
            </w:tcBorders>
            <w:shd w:val="clear" w:color="FFFFFF" w:fill="FFFFFF"/>
            <w:noWrap/>
            <w:vAlign w:val="bottom"/>
            <w:hideMark/>
          </w:tcPr>
          <w:p w14:paraId="20E4AEE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01607D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c>
          <w:tcPr>
            <w:tcW w:w="236" w:type="dxa"/>
            <w:tcBorders>
              <w:top w:val="nil"/>
              <w:left w:val="nil"/>
              <w:bottom w:val="nil"/>
              <w:right w:val="nil"/>
            </w:tcBorders>
            <w:shd w:val="clear" w:color="FFFFFF" w:fill="FFFFFF"/>
            <w:noWrap/>
            <w:vAlign w:val="bottom"/>
            <w:hideMark/>
          </w:tcPr>
          <w:p w14:paraId="68389B7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EB16A44"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r>
      <w:tr w:rsidR="00FD06ED" w:rsidRPr="00FD06ED" w14:paraId="1183D12A" w14:textId="77777777" w:rsidTr="005C33EF">
        <w:trPr>
          <w:trHeight w:val="270"/>
        </w:trPr>
        <w:tc>
          <w:tcPr>
            <w:tcW w:w="4181" w:type="dxa"/>
            <w:tcBorders>
              <w:top w:val="nil"/>
              <w:left w:val="nil"/>
              <w:bottom w:val="single" w:sz="8" w:space="0" w:color="800080"/>
              <w:right w:val="nil"/>
            </w:tcBorders>
            <w:shd w:val="clear" w:color="FFFFFF" w:fill="FFFFFF"/>
            <w:noWrap/>
            <w:vAlign w:val="bottom"/>
            <w:hideMark/>
          </w:tcPr>
          <w:p w14:paraId="4B05C59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single" w:sz="8" w:space="0" w:color="800080"/>
              <w:right w:val="nil"/>
            </w:tcBorders>
            <w:shd w:val="clear" w:color="FFFFFF" w:fill="FFFFFF"/>
            <w:noWrap/>
            <w:vAlign w:val="bottom"/>
            <w:hideMark/>
          </w:tcPr>
          <w:p w14:paraId="3779EED9" w14:textId="77777777" w:rsidR="00FD06ED" w:rsidRPr="00FD06ED" w:rsidRDefault="00FD06ED" w:rsidP="00FD06ED">
            <w:pPr>
              <w:spacing w:before="0" w:after="0" w:line="260" w:lineRule="atLeast"/>
              <w:ind w:left="0"/>
              <w:jc w:val="center"/>
              <w:rPr>
                <w:rFonts w:eastAsia="Times New Roman"/>
                <w:b/>
                <w:bCs/>
                <w:sz w:val="18"/>
                <w:szCs w:val="18"/>
                <w:lang w:eastAsia="en-US"/>
              </w:rPr>
            </w:pPr>
            <w:r w:rsidRPr="00FD06ED">
              <w:rPr>
                <w:rFonts w:eastAsia="Times New Roman"/>
                <w:b/>
                <w:bCs/>
                <w:sz w:val="18"/>
                <w:szCs w:val="18"/>
                <w:lang w:eastAsia="en-US"/>
              </w:rPr>
              <w:t>Notes</w:t>
            </w:r>
          </w:p>
        </w:tc>
        <w:tc>
          <w:tcPr>
            <w:tcW w:w="1127" w:type="dxa"/>
            <w:tcBorders>
              <w:top w:val="nil"/>
              <w:left w:val="nil"/>
              <w:bottom w:val="single" w:sz="8" w:space="0" w:color="800080"/>
              <w:right w:val="nil"/>
            </w:tcBorders>
            <w:shd w:val="clear" w:color="FFFFFF" w:fill="FFFFFF"/>
            <w:noWrap/>
            <w:vAlign w:val="bottom"/>
            <w:hideMark/>
          </w:tcPr>
          <w:p w14:paraId="5BCCCF2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5B32E5B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single" w:sz="8" w:space="0" w:color="800080"/>
              <w:right w:val="nil"/>
            </w:tcBorders>
            <w:shd w:val="clear" w:color="FFFFFF" w:fill="FFFFFF"/>
            <w:noWrap/>
            <w:vAlign w:val="bottom"/>
            <w:hideMark/>
          </w:tcPr>
          <w:p w14:paraId="4AA3E80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0D0893F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single" w:sz="8" w:space="0" w:color="800080"/>
              <w:right w:val="nil"/>
            </w:tcBorders>
            <w:shd w:val="clear" w:color="FFFFFF" w:fill="FFFFFF"/>
            <w:noWrap/>
            <w:vAlign w:val="bottom"/>
            <w:hideMark/>
          </w:tcPr>
          <w:p w14:paraId="1D20E1D1"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r>
      <w:tr w:rsidR="00FD06ED" w:rsidRPr="00FD06ED" w14:paraId="6C3AC55F" w14:textId="77777777" w:rsidTr="005C33EF">
        <w:trPr>
          <w:trHeight w:val="255"/>
        </w:trPr>
        <w:tc>
          <w:tcPr>
            <w:tcW w:w="4181" w:type="dxa"/>
            <w:tcBorders>
              <w:top w:val="nil"/>
              <w:left w:val="nil"/>
              <w:bottom w:val="nil"/>
              <w:right w:val="nil"/>
            </w:tcBorders>
            <w:shd w:val="clear" w:color="FFFFFF" w:fill="FFFFFF"/>
            <w:noWrap/>
            <w:vAlign w:val="bottom"/>
            <w:hideMark/>
          </w:tcPr>
          <w:p w14:paraId="08FC019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COST OF SERVICES</w:t>
            </w:r>
          </w:p>
        </w:tc>
        <w:tc>
          <w:tcPr>
            <w:tcW w:w="955" w:type="dxa"/>
            <w:tcBorders>
              <w:top w:val="nil"/>
              <w:left w:val="nil"/>
              <w:bottom w:val="nil"/>
              <w:right w:val="nil"/>
            </w:tcBorders>
            <w:shd w:val="clear" w:color="FFFFFF" w:fill="FFFFFF"/>
            <w:noWrap/>
            <w:vAlign w:val="bottom"/>
            <w:hideMark/>
          </w:tcPr>
          <w:p w14:paraId="46D6B735" w14:textId="77777777" w:rsidR="00FD06ED" w:rsidRPr="00FD06ED" w:rsidRDefault="00FD06ED" w:rsidP="00FD06ED">
            <w:pPr>
              <w:spacing w:before="0" w:after="0" w:line="260" w:lineRule="atLeast"/>
              <w:ind w:left="0"/>
              <w:jc w:val="center"/>
              <w:rPr>
                <w:rFonts w:eastAsia="Times New Roman"/>
                <w:b/>
                <w:bCs/>
                <w:sz w:val="18"/>
                <w:szCs w:val="18"/>
                <w:lang w:eastAsia="en-US"/>
              </w:rPr>
            </w:pPr>
            <w:r w:rsidRPr="00FD06ED">
              <w:rPr>
                <w:rFonts w:eastAsia="Times New Roman"/>
                <w:b/>
                <w:bCs/>
                <w:sz w:val="18"/>
                <w:szCs w:val="18"/>
                <w:lang w:eastAsia="en-US"/>
              </w:rPr>
              <w:t> </w:t>
            </w:r>
          </w:p>
        </w:tc>
        <w:tc>
          <w:tcPr>
            <w:tcW w:w="1127" w:type="dxa"/>
            <w:tcBorders>
              <w:top w:val="nil"/>
              <w:left w:val="nil"/>
              <w:bottom w:val="nil"/>
              <w:right w:val="nil"/>
            </w:tcBorders>
            <w:shd w:val="clear" w:color="FFFFFF" w:fill="FFFFFF"/>
            <w:noWrap/>
            <w:vAlign w:val="bottom"/>
            <w:hideMark/>
          </w:tcPr>
          <w:p w14:paraId="363F378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243317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6CE0EE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A1F92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684CFAB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F9B4DF3" w14:textId="77777777" w:rsidTr="005C33EF">
        <w:trPr>
          <w:trHeight w:val="255"/>
        </w:trPr>
        <w:tc>
          <w:tcPr>
            <w:tcW w:w="4181" w:type="dxa"/>
            <w:tcBorders>
              <w:top w:val="nil"/>
              <w:left w:val="nil"/>
              <w:bottom w:val="nil"/>
              <w:right w:val="nil"/>
            </w:tcBorders>
            <w:shd w:val="clear" w:color="FFFFFF" w:fill="FFFFFF"/>
            <w:vAlign w:val="bottom"/>
            <w:hideMark/>
          </w:tcPr>
          <w:p w14:paraId="25B2C2A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Expenses</w:t>
            </w:r>
          </w:p>
        </w:tc>
        <w:tc>
          <w:tcPr>
            <w:tcW w:w="955" w:type="dxa"/>
            <w:tcBorders>
              <w:top w:val="nil"/>
              <w:left w:val="nil"/>
              <w:bottom w:val="nil"/>
              <w:right w:val="nil"/>
            </w:tcBorders>
            <w:shd w:val="clear" w:color="FFFFFF" w:fill="FFFFFF"/>
            <w:noWrap/>
            <w:vAlign w:val="bottom"/>
            <w:hideMark/>
          </w:tcPr>
          <w:p w14:paraId="55E14A5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3EEED49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B5F440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0C2AFB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7DAF4A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75E7FB2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41DC7CCC" w14:textId="77777777" w:rsidTr="005C33EF">
        <w:trPr>
          <w:trHeight w:val="255"/>
        </w:trPr>
        <w:tc>
          <w:tcPr>
            <w:tcW w:w="4181" w:type="dxa"/>
            <w:tcBorders>
              <w:top w:val="nil"/>
              <w:left w:val="nil"/>
              <w:bottom w:val="nil"/>
              <w:right w:val="nil"/>
            </w:tcBorders>
            <w:shd w:val="clear" w:color="FFFFFF" w:fill="FFFFFF"/>
            <w:vAlign w:val="bottom"/>
            <w:hideMark/>
          </w:tcPr>
          <w:p w14:paraId="640A5F6F"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Employee benefits</w:t>
            </w:r>
          </w:p>
        </w:tc>
        <w:tc>
          <w:tcPr>
            <w:tcW w:w="955" w:type="dxa"/>
            <w:tcBorders>
              <w:top w:val="nil"/>
              <w:left w:val="nil"/>
              <w:bottom w:val="nil"/>
              <w:right w:val="nil"/>
            </w:tcBorders>
            <w:shd w:val="clear" w:color="FFFFFF" w:fill="FFFFFF"/>
            <w:noWrap/>
            <w:vAlign w:val="bottom"/>
            <w:hideMark/>
          </w:tcPr>
          <w:p w14:paraId="7CFBFE5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1.1A</w:t>
            </w:r>
          </w:p>
        </w:tc>
        <w:tc>
          <w:tcPr>
            <w:tcW w:w="1127" w:type="dxa"/>
            <w:tcBorders>
              <w:top w:val="nil"/>
              <w:left w:val="nil"/>
              <w:bottom w:val="nil"/>
              <w:right w:val="nil"/>
            </w:tcBorders>
            <w:shd w:val="clear" w:color="FFFFFF" w:fill="FFFFFF"/>
            <w:noWrap/>
            <w:vAlign w:val="bottom"/>
            <w:hideMark/>
          </w:tcPr>
          <w:p w14:paraId="6A59215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482,219</w:t>
            </w:r>
          </w:p>
        </w:tc>
        <w:tc>
          <w:tcPr>
            <w:tcW w:w="236" w:type="dxa"/>
            <w:tcBorders>
              <w:top w:val="nil"/>
              <w:left w:val="nil"/>
              <w:bottom w:val="nil"/>
              <w:right w:val="nil"/>
            </w:tcBorders>
            <w:shd w:val="clear" w:color="FFFFFF" w:fill="FFFFFF"/>
            <w:noWrap/>
            <w:vAlign w:val="bottom"/>
            <w:hideMark/>
          </w:tcPr>
          <w:p w14:paraId="78615A2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9CB750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437,154</w:t>
            </w:r>
          </w:p>
        </w:tc>
        <w:tc>
          <w:tcPr>
            <w:tcW w:w="236" w:type="dxa"/>
            <w:tcBorders>
              <w:top w:val="nil"/>
              <w:left w:val="nil"/>
              <w:bottom w:val="nil"/>
              <w:right w:val="nil"/>
            </w:tcBorders>
            <w:shd w:val="clear" w:color="FFFFFF" w:fill="FFFFFF"/>
            <w:noWrap/>
            <w:vAlign w:val="bottom"/>
            <w:hideMark/>
          </w:tcPr>
          <w:p w14:paraId="1D56AEF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218336D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446,066</w:t>
            </w:r>
          </w:p>
        </w:tc>
      </w:tr>
      <w:tr w:rsidR="00FD06ED" w:rsidRPr="00FD06ED" w14:paraId="6C2A759E" w14:textId="77777777" w:rsidTr="005C33EF">
        <w:trPr>
          <w:trHeight w:val="255"/>
        </w:trPr>
        <w:tc>
          <w:tcPr>
            <w:tcW w:w="4181" w:type="dxa"/>
            <w:tcBorders>
              <w:top w:val="nil"/>
              <w:left w:val="nil"/>
              <w:bottom w:val="nil"/>
              <w:right w:val="nil"/>
            </w:tcBorders>
            <w:shd w:val="clear" w:color="FFFFFF" w:fill="FFFFFF"/>
            <w:vAlign w:val="bottom"/>
            <w:hideMark/>
          </w:tcPr>
          <w:p w14:paraId="42AC8702"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Suppliers</w:t>
            </w:r>
          </w:p>
        </w:tc>
        <w:tc>
          <w:tcPr>
            <w:tcW w:w="955" w:type="dxa"/>
            <w:tcBorders>
              <w:top w:val="nil"/>
              <w:left w:val="nil"/>
              <w:bottom w:val="nil"/>
              <w:right w:val="nil"/>
            </w:tcBorders>
            <w:shd w:val="clear" w:color="FFFFFF" w:fill="FFFFFF"/>
            <w:noWrap/>
            <w:vAlign w:val="bottom"/>
            <w:hideMark/>
          </w:tcPr>
          <w:p w14:paraId="6FC43CF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1.1B</w:t>
            </w:r>
          </w:p>
        </w:tc>
        <w:tc>
          <w:tcPr>
            <w:tcW w:w="1127" w:type="dxa"/>
            <w:tcBorders>
              <w:top w:val="nil"/>
              <w:left w:val="nil"/>
              <w:bottom w:val="nil"/>
              <w:right w:val="nil"/>
            </w:tcBorders>
            <w:shd w:val="clear" w:color="FFFFFF" w:fill="FFFFFF"/>
            <w:noWrap/>
            <w:vAlign w:val="bottom"/>
            <w:hideMark/>
          </w:tcPr>
          <w:p w14:paraId="566345B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480,327</w:t>
            </w:r>
          </w:p>
        </w:tc>
        <w:tc>
          <w:tcPr>
            <w:tcW w:w="236" w:type="dxa"/>
            <w:tcBorders>
              <w:top w:val="nil"/>
              <w:left w:val="nil"/>
              <w:bottom w:val="nil"/>
              <w:right w:val="nil"/>
            </w:tcBorders>
            <w:shd w:val="clear" w:color="FFFFFF" w:fill="FFFFFF"/>
            <w:noWrap/>
            <w:vAlign w:val="bottom"/>
            <w:hideMark/>
          </w:tcPr>
          <w:p w14:paraId="3975644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6793D9F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450,502</w:t>
            </w:r>
          </w:p>
        </w:tc>
        <w:tc>
          <w:tcPr>
            <w:tcW w:w="236" w:type="dxa"/>
            <w:tcBorders>
              <w:top w:val="nil"/>
              <w:left w:val="nil"/>
              <w:bottom w:val="nil"/>
              <w:right w:val="nil"/>
            </w:tcBorders>
            <w:shd w:val="clear" w:color="FFFFFF" w:fill="FFFFFF"/>
            <w:noWrap/>
            <w:vAlign w:val="bottom"/>
            <w:hideMark/>
          </w:tcPr>
          <w:p w14:paraId="2E1ED0F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6F42AE6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960,735</w:t>
            </w:r>
          </w:p>
        </w:tc>
      </w:tr>
      <w:tr w:rsidR="00FD06ED" w:rsidRPr="00FD06ED" w14:paraId="4C8FE3CA" w14:textId="77777777" w:rsidTr="005C33EF">
        <w:trPr>
          <w:trHeight w:val="255"/>
        </w:trPr>
        <w:tc>
          <w:tcPr>
            <w:tcW w:w="4181" w:type="dxa"/>
            <w:tcBorders>
              <w:top w:val="nil"/>
              <w:left w:val="nil"/>
              <w:bottom w:val="nil"/>
              <w:right w:val="nil"/>
            </w:tcBorders>
            <w:shd w:val="clear" w:color="FFFFFF" w:fill="FFFFFF"/>
            <w:vAlign w:val="bottom"/>
            <w:hideMark/>
          </w:tcPr>
          <w:p w14:paraId="33EF2F80"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Community partnership costs</w:t>
            </w:r>
          </w:p>
        </w:tc>
        <w:tc>
          <w:tcPr>
            <w:tcW w:w="955" w:type="dxa"/>
            <w:tcBorders>
              <w:top w:val="nil"/>
              <w:left w:val="nil"/>
              <w:bottom w:val="nil"/>
              <w:right w:val="nil"/>
            </w:tcBorders>
            <w:shd w:val="clear" w:color="FFFFFF" w:fill="FFFFFF"/>
            <w:noWrap/>
            <w:vAlign w:val="bottom"/>
            <w:hideMark/>
          </w:tcPr>
          <w:p w14:paraId="79FE1A2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1.1G</w:t>
            </w:r>
          </w:p>
        </w:tc>
        <w:tc>
          <w:tcPr>
            <w:tcW w:w="1127" w:type="dxa"/>
            <w:tcBorders>
              <w:top w:val="nil"/>
              <w:left w:val="nil"/>
              <w:bottom w:val="nil"/>
              <w:right w:val="nil"/>
            </w:tcBorders>
            <w:shd w:val="clear" w:color="FFFFFF" w:fill="FFFFFF"/>
            <w:noWrap/>
            <w:vAlign w:val="bottom"/>
            <w:hideMark/>
          </w:tcPr>
          <w:p w14:paraId="243DAC5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560,131</w:t>
            </w:r>
          </w:p>
        </w:tc>
        <w:tc>
          <w:tcPr>
            <w:tcW w:w="236" w:type="dxa"/>
            <w:tcBorders>
              <w:top w:val="nil"/>
              <w:left w:val="nil"/>
              <w:bottom w:val="nil"/>
              <w:right w:val="nil"/>
            </w:tcBorders>
            <w:shd w:val="clear" w:color="FFFFFF" w:fill="FFFFFF"/>
            <w:noWrap/>
            <w:vAlign w:val="bottom"/>
            <w:hideMark/>
          </w:tcPr>
          <w:p w14:paraId="6D09A11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257578C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524,050</w:t>
            </w:r>
          </w:p>
        </w:tc>
        <w:tc>
          <w:tcPr>
            <w:tcW w:w="236" w:type="dxa"/>
            <w:tcBorders>
              <w:top w:val="nil"/>
              <w:left w:val="nil"/>
              <w:bottom w:val="nil"/>
              <w:right w:val="nil"/>
            </w:tcBorders>
            <w:shd w:val="clear" w:color="FFFFFF" w:fill="FFFFFF"/>
            <w:noWrap/>
            <w:vAlign w:val="bottom"/>
            <w:hideMark/>
          </w:tcPr>
          <w:p w14:paraId="26A7FFC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160B5A3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2D591A50" w14:textId="77777777" w:rsidTr="005C33EF">
        <w:trPr>
          <w:trHeight w:val="255"/>
        </w:trPr>
        <w:tc>
          <w:tcPr>
            <w:tcW w:w="4181" w:type="dxa"/>
            <w:tcBorders>
              <w:top w:val="nil"/>
              <w:left w:val="nil"/>
              <w:bottom w:val="nil"/>
              <w:right w:val="nil"/>
            </w:tcBorders>
            <w:shd w:val="clear" w:color="FFFFFF" w:fill="FFFFFF"/>
            <w:vAlign w:val="bottom"/>
            <w:hideMark/>
          </w:tcPr>
          <w:p w14:paraId="47229BFE"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Grants</w:t>
            </w:r>
          </w:p>
        </w:tc>
        <w:tc>
          <w:tcPr>
            <w:tcW w:w="955" w:type="dxa"/>
            <w:tcBorders>
              <w:top w:val="nil"/>
              <w:left w:val="nil"/>
              <w:bottom w:val="nil"/>
              <w:right w:val="nil"/>
            </w:tcBorders>
            <w:shd w:val="clear" w:color="FFFFFF" w:fill="FFFFFF"/>
            <w:noWrap/>
            <w:vAlign w:val="bottom"/>
            <w:hideMark/>
          </w:tcPr>
          <w:p w14:paraId="15C7306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1.1C</w:t>
            </w:r>
          </w:p>
        </w:tc>
        <w:tc>
          <w:tcPr>
            <w:tcW w:w="1127" w:type="dxa"/>
            <w:tcBorders>
              <w:top w:val="nil"/>
              <w:left w:val="nil"/>
              <w:bottom w:val="nil"/>
              <w:right w:val="nil"/>
            </w:tcBorders>
            <w:shd w:val="clear" w:color="FFFFFF" w:fill="FFFFFF"/>
            <w:noWrap/>
            <w:vAlign w:val="bottom"/>
            <w:hideMark/>
          </w:tcPr>
          <w:p w14:paraId="15996E3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262</w:t>
            </w:r>
          </w:p>
        </w:tc>
        <w:tc>
          <w:tcPr>
            <w:tcW w:w="236" w:type="dxa"/>
            <w:tcBorders>
              <w:top w:val="nil"/>
              <w:left w:val="nil"/>
              <w:bottom w:val="nil"/>
              <w:right w:val="nil"/>
            </w:tcBorders>
            <w:shd w:val="clear" w:color="FFFFFF" w:fill="FFFFFF"/>
            <w:noWrap/>
            <w:vAlign w:val="bottom"/>
            <w:hideMark/>
          </w:tcPr>
          <w:p w14:paraId="3A25D25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802A9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27,127</w:t>
            </w:r>
          </w:p>
        </w:tc>
        <w:tc>
          <w:tcPr>
            <w:tcW w:w="236" w:type="dxa"/>
            <w:tcBorders>
              <w:top w:val="nil"/>
              <w:left w:val="nil"/>
              <w:bottom w:val="nil"/>
              <w:right w:val="nil"/>
            </w:tcBorders>
            <w:shd w:val="clear" w:color="FFFFFF" w:fill="FFFFFF"/>
            <w:noWrap/>
            <w:vAlign w:val="bottom"/>
            <w:hideMark/>
          </w:tcPr>
          <w:p w14:paraId="7933039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51CCFB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610D0959" w14:textId="77777777" w:rsidTr="005C33EF">
        <w:trPr>
          <w:trHeight w:val="255"/>
        </w:trPr>
        <w:tc>
          <w:tcPr>
            <w:tcW w:w="4181" w:type="dxa"/>
            <w:tcBorders>
              <w:top w:val="nil"/>
              <w:left w:val="nil"/>
              <w:bottom w:val="nil"/>
              <w:right w:val="nil"/>
            </w:tcBorders>
            <w:shd w:val="clear" w:color="FFFFFF" w:fill="FFFFFF"/>
            <w:vAlign w:val="bottom"/>
            <w:hideMark/>
          </w:tcPr>
          <w:p w14:paraId="4E533472"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Participant plan expenses</w:t>
            </w:r>
          </w:p>
        </w:tc>
        <w:tc>
          <w:tcPr>
            <w:tcW w:w="955" w:type="dxa"/>
            <w:tcBorders>
              <w:top w:val="nil"/>
              <w:left w:val="nil"/>
              <w:bottom w:val="nil"/>
              <w:right w:val="nil"/>
            </w:tcBorders>
            <w:shd w:val="clear" w:color="FFFFFF" w:fill="FFFFFF"/>
            <w:noWrap/>
            <w:vAlign w:val="bottom"/>
            <w:hideMark/>
          </w:tcPr>
          <w:p w14:paraId="690FDAE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1.1H</w:t>
            </w:r>
          </w:p>
        </w:tc>
        <w:tc>
          <w:tcPr>
            <w:tcW w:w="1127" w:type="dxa"/>
            <w:tcBorders>
              <w:top w:val="nil"/>
              <w:left w:val="nil"/>
              <w:bottom w:val="nil"/>
              <w:right w:val="nil"/>
            </w:tcBorders>
            <w:shd w:val="clear" w:color="FFFFFF" w:fill="FFFFFF"/>
            <w:noWrap/>
            <w:vAlign w:val="bottom"/>
            <w:hideMark/>
          </w:tcPr>
          <w:p w14:paraId="204D691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28,631,144</w:t>
            </w:r>
          </w:p>
        </w:tc>
        <w:tc>
          <w:tcPr>
            <w:tcW w:w="236" w:type="dxa"/>
            <w:tcBorders>
              <w:top w:val="nil"/>
              <w:left w:val="nil"/>
              <w:bottom w:val="nil"/>
              <w:right w:val="nil"/>
            </w:tcBorders>
            <w:shd w:val="clear" w:color="FFFFFF" w:fill="FFFFFF"/>
            <w:noWrap/>
            <w:vAlign w:val="bottom"/>
            <w:hideMark/>
          </w:tcPr>
          <w:p w14:paraId="54C598C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3B82188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23,347,597</w:t>
            </w:r>
          </w:p>
        </w:tc>
        <w:tc>
          <w:tcPr>
            <w:tcW w:w="236" w:type="dxa"/>
            <w:tcBorders>
              <w:top w:val="nil"/>
              <w:left w:val="nil"/>
              <w:bottom w:val="nil"/>
              <w:right w:val="nil"/>
            </w:tcBorders>
            <w:shd w:val="clear" w:color="FFFFFF" w:fill="FFFFFF"/>
            <w:noWrap/>
            <w:vAlign w:val="bottom"/>
            <w:hideMark/>
          </w:tcPr>
          <w:p w14:paraId="08F4BD6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012ECA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26,486,528</w:t>
            </w:r>
          </w:p>
        </w:tc>
      </w:tr>
      <w:tr w:rsidR="00FD06ED" w:rsidRPr="00FD06ED" w14:paraId="0EB3BB08" w14:textId="77777777" w:rsidTr="005C33EF">
        <w:trPr>
          <w:trHeight w:val="255"/>
        </w:trPr>
        <w:tc>
          <w:tcPr>
            <w:tcW w:w="4181" w:type="dxa"/>
            <w:tcBorders>
              <w:top w:val="nil"/>
              <w:left w:val="nil"/>
              <w:bottom w:val="nil"/>
              <w:right w:val="nil"/>
            </w:tcBorders>
            <w:shd w:val="clear" w:color="FFFFFF" w:fill="FFFFFF"/>
            <w:vAlign w:val="bottom"/>
            <w:hideMark/>
          </w:tcPr>
          <w:p w14:paraId="4C2C76E5"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Depreciation and amortisation</w:t>
            </w:r>
          </w:p>
        </w:tc>
        <w:tc>
          <w:tcPr>
            <w:tcW w:w="955" w:type="dxa"/>
            <w:tcBorders>
              <w:top w:val="nil"/>
              <w:left w:val="nil"/>
              <w:bottom w:val="nil"/>
              <w:right w:val="nil"/>
            </w:tcBorders>
            <w:shd w:val="clear" w:color="FFFFFF" w:fill="FFFFFF"/>
            <w:noWrap/>
            <w:vAlign w:val="bottom"/>
            <w:hideMark/>
          </w:tcPr>
          <w:p w14:paraId="60DA07A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2.2A</w:t>
            </w:r>
          </w:p>
        </w:tc>
        <w:tc>
          <w:tcPr>
            <w:tcW w:w="1127" w:type="dxa"/>
            <w:tcBorders>
              <w:top w:val="nil"/>
              <w:left w:val="nil"/>
              <w:bottom w:val="nil"/>
              <w:right w:val="nil"/>
            </w:tcBorders>
            <w:shd w:val="clear" w:color="FFFFFF" w:fill="FFFFFF"/>
            <w:noWrap/>
            <w:vAlign w:val="bottom"/>
            <w:hideMark/>
          </w:tcPr>
          <w:p w14:paraId="27658BE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67,131</w:t>
            </w:r>
          </w:p>
        </w:tc>
        <w:tc>
          <w:tcPr>
            <w:tcW w:w="236" w:type="dxa"/>
            <w:tcBorders>
              <w:top w:val="nil"/>
              <w:left w:val="nil"/>
              <w:bottom w:val="nil"/>
              <w:right w:val="nil"/>
            </w:tcBorders>
            <w:shd w:val="clear" w:color="FFFFFF" w:fill="FFFFFF"/>
            <w:noWrap/>
            <w:vAlign w:val="bottom"/>
            <w:hideMark/>
          </w:tcPr>
          <w:p w14:paraId="7DB51A1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27B8051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66,430</w:t>
            </w:r>
          </w:p>
        </w:tc>
        <w:tc>
          <w:tcPr>
            <w:tcW w:w="236" w:type="dxa"/>
            <w:tcBorders>
              <w:top w:val="nil"/>
              <w:left w:val="nil"/>
              <w:bottom w:val="nil"/>
              <w:right w:val="nil"/>
            </w:tcBorders>
            <w:shd w:val="clear" w:color="FFFFFF" w:fill="FFFFFF"/>
            <w:noWrap/>
            <w:vAlign w:val="bottom"/>
            <w:hideMark/>
          </w:tcPr>
          <w:p w14:paraId="59A8C1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A1D3CD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72,322</w:t>
            </w:r>
          </w:p>
        </w:tc>
      </w:tr>
      <w:tr w:rsidR="00FD06ED" w:rsidRPr="00FD06ED" w14:paraId="0E753BD6" w14:textId="77777777" w:rsidTr="005C33EF">
        <w:trPr>
          <w:trHeight w:val="255"/>
        </w:trPr>
        <w:tc>
          <w:tcPr>
            <w:tcW w:w="4181" w:type="dxa"/>
            <w:tcBorders>
              <w:top w:val="nil"/>
              <w:left w:val="nil"/>
              <w:bottom w:val="nil"/>
              <w:right w:val="nil"/>
            </w:tcBorders>
            <w:shd w:val="clear" w:color="FFFFFF" w:fill="FFFFFF"/>
            <w:vAlign w:val="bottom"/>
            <w:hideMark/>
          </w:tcPr>
          <w:p w14:paraId="201ADADB"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Finance costs</w:t>
            </w:r>
          </w:p>
        </w:tc>
        <w:tc>
          <w:tcPr>
            <w:tcW w:w="955" w:type="dxa"/>
            <w:tcBorders>
              <w:top w:val="nil"/>
              <w:left w:val="nil"/>
              <w:bottom w:val="nil"/>
              <w:right w:val="nil"/>
            </w:tcBorders>
            <w:shd w:val="clear" w:color="FFFFFF" w:fill="FFFFFF"/>
            <w:noWrap/>
            <w:vAlign w:val="bottom"/>
            <w:hideMark/>
          </w:tcPr>
          <w:p w14:paraId="414AB8D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1.1D</w:t>
            </w:r>
          </w:p>
        </w:tc>
        <w:tc>
          <w:tcPr>
            <w:tcW w:w="1127" w:type="dxa"/>
            <w:tcBorders>
              <w:top w:val="nil"/>
              <w:left w:val="nil"/>
              <w:bottom w:val="nil"/>
              <w:right w:val="nil"/>
            </w:tcBorders>
            <w:shd w:val="clear" w:color="FFFFFF" w:fill="FFFFFF"/>
            <w:noWrap/>
            <w:vAlign w:val="bottom"/>
            <w:hideMark/>
          </w:tcPr>
          <w:p w14:paraId="6AA1A2D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1,216</w:t>
            </w:r>
          </w:p>
        </w:tc>
        <w:tc>
          <w:tcPr>
            <w:tcW w:w="236" w:type="dxa"/>
            <w:tcBorders>
              <w:top w:val="nil"/>
              <w:left w:val="nil"/>
              <w:bottom w:val="nil"/>
              <w:right w:val="nil"/>
            </w:tcBorders>
            <w:shd w:val="clear" w:color="FFFFFF" w:fill="FFFFFF"/>
            <w:noWrap/>
            <w:vAlign w:val="bottom"/>
            <w:hideMark/>
          </w:tcPr>
          <w:p w14:paraId="55F0D55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13345B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2,394</w:t>
            </w:r>
          </w:p>
        </w:tc>
        <w:tc>
          <w:tcPr>
            <w:tcW w:w="236" w:type="dxa"/>
            <w:tcBorders>
              <w:top w:val="nil"/>
              <w:left w:val="nil"/>
              <w:bottom w:val="nil"/>
              <w:right w:val="nil"/>
            </w:tcBorders>
            <w:shd w:val="clear" w:color="FFFFFF" w:fill="FFFFFF"/>
            <w:noWrap/>
            <w:vAlign w:val="bottom"/>
            <w:hideMark/>
          </w:tcPr>
          <w:p w14:paraId="5AAC8CE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28A64A1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2,865</w:t>
            </w:r>
          </w:p>
        </w:tc>
      </w:tr>
      <w:tr w:rsidR="00FD06ED" w:rsidRPr="00FD06ED" w14:paraId="5770B147" w14:textId="77777777" w:rsidTr="005C33EF">
        <w:trPr>
          <w:trHeight w:val="255"/>
        </w:trPr>
        <w:tc>
          <w:tcPr>
            <w:tcW w:w="4181" w:type="dxa"/>
            <w:tcBorders>
              <w:top w:val="nil"/>
              <w:left w:val="nil"/>
              <w:bottom w:val="nil"/>
              <w:right w:val="nil"/>
            </w:tcBorders>
            <w:shd w:val="clear" w:color="FFFFFF" w:fill="FFFFFF"/>
            <w:vAlign w:val="bottom"/>
            <w:hideMark/>
          </w:tcPr>
          <w:p w14:paraId="42852E4C"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Impairment loss on financial instruments</w:t>
            </w:r>
          </w:p>
        </w:tc>
        <w:tc>
          <w:tcPr>
            <w:tcW w:w="955" w:type="dxa"/>
            <w:tcBorders>
              <w:top w:val="nil"/>
              <w:left w:val="nil"/>
              <w:bottom w:val="nil"/>
              <w:right w:val="nil"/>
            </w:tcBorders>
            <w:shd w:val="clear" w:color="FFFFFF" w:fill="FFFFFF"/>
            <w:noWrap/>
            <w:vAlign w:val="bottom"/>
            <w:hideMark/>
          </w:tcPr>
          <w:p w14:paraId="0A4E043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1.1E</w:t>
            </w:r>
          </w:p>
        </w:tc>
        <w:tc>
          <w:tcPr>
            <w:tcW w:w="1127" w:type="dxa"/>
            <w:tcBorders>
              <w:top w:val="nil"/>
              <w:left w:val="nil"/>
              <w:bottom w:val="nil"/>
              <w:right w:val="nil"/>
            </w:tcBorders>
            <w:shd w:val="clear" w:color="FFFFFF" w:fill="FFFFFF"/>
            <w:noWrap/>
            <w:vAlign w:val="bottom"/>
            <w:hideMark/>
          </w:tcPr>
          <w:p w14:paraId="6E05377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135</w:t>
            </w:r>
          </w:p>
        </w:tc>
        <w:tc>
          <w:tcPr>
            <w:tcW w:w="236" w:type="dxa"/>
            <w:tcBorders>
              <w:top w:val="nil"/>
              <w:left w:val="nil"/>
              <w:bottom w:val="nil"/>
              <w:right w:val="nil"/>
            </w:tcBorders>
            <w:shd w:val="clear" w:color="FFFFFF" w:fill="FFFFFF"/>
            <w:noWrap/>
            <w:vAlign w:val="bottom"/>
            <w:hideMark/>
          </w:tcPr>
          <w:p w14:paraId="592E40A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E74025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238AA71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1939BF6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03230B72" w14:textId="77777777" w:rsidTr="005C33EF">
        <w:trPr>
          <w:trHeight w:val="255"/>
        </w:trPr>
        <w:tc>
          <w:tcPr>
            <w:tcW w:w="4181" w:type="dxa"/>
            <w:tcBorders>
              <w:top w:val="nil"/>
              <w:left w:val="nil"/>
              <w:bottom w:val="nil"/>
              <w:right w:val="nil"/>
            </w:tcBorders>
            <w:shd w:val="clear" w:color="FFFFFF" w:fill="FFFFFF"/>
            <w:vAlign w:val="bottom"/>
            <w:hideMark/>
          </w:tcPr>
          <w:p w14:paraId="194DC8FC"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Write-down and impairment of other assets</w:t>
            </w:r>
          </w:p>
        </w:tc>
        <w:tc>
          <w:tcPr>
            <w:tcW w:w="955" w:type="dxa"/>
            <w:tcBorders>
              <w:top w:val="nil"/>
              <w:left w:val="nil"/>
              <w:bottom w:val="nil"/>
              <w:right w:val="nil"/>
            </w:tcBorders>
            <w:shd w:val="clear" w:color="FFFFFF" w:fill="FFFFFF"/>
            <w:noWrap/>
            <w:vAlign w:val="bottom"/>
            <w:hideMark/>
          </w:tcPr>
          <w:p w14:paraId="58243D5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1.1F</w:t>
            </w:r>
          </w:p>
        </w:tc>
        <w:tc>
          <w:tcPr>
            <w:tcW w:w="1127" w:type="dxa"/>
            <w:tcBorders>
              <w:top w:val="nil"/>
              <w:left w:val="nil"/>
              <w:bottom w:val="nil"/>
              <w:right w:val="nil"/>
            </w:tcBorders>
            <w:shd w:val="clear" w:color="FFFFFF" w:fill="FFFFFF"/>
            <w:noWrap/>
            <w:vAlign w:val="bottom"/>
            <w:hideMark/>
          </w:tcPr>
          <w:p w14:paraId="0153267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3,942</w:t>
            </w:r>
          </w:p>
        </w:tc>
        <w:tc>
          <w:tcPr>
            <w:tcW w:w="236" w:type="dxa"/>
            <w:tcBorders>
              <w:top w:val="nil"/>
              <w:left w:val="nil"/>
              <w:bottom w:val="nil"/>
              <w:right w:val="nil"/>
            </w:tcBorders>
            <w:shd w:val="clear" w:color="FFFFFF" w:fill="FFFFFF"/>
            <w:noWrap/>
            <w:vAlign w:val="bottom"/>
            <w:hideMark/>
          </w:tcPr>
          <w:p w14:paraId="6DF7DC4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8CB68D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65,078</w:t>
            </w:r>
          </w:p>
        </w:tc>
        <w:tc>
          <w:tcPr>
            <w:tcW w:w="236" w:type="dxa"/>
            <w:tcBorders>
              <w:top w:val="nil"/>
              <w:left w:val="nil"/>
              <w:bottom w:val="nil"/>
              <w:right w:val="nil"/>
            </w:tcBorders>
            <w:shd w:val="clear" w:color="FFFFFF" w:fill="FFFFFF"/>
            <w:noWrap/>
            <w:vAlign w:val="bottom"/>
            <w:hideMark/>
          </w:tcPr>
          <w:p w14:paraId="0E81D0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252E7AA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4D39849C" w14:textId="77777777" w:rsidTr="005C33EF">
        <w:trPr>
          <w:trHeight w:val="255"/>
        </w:trPr>
        <w:tc>
          <w:tcPr>
            <w:tcW w:w="4181" w:type="dxa"/>
            <w:tcBorders>
              <w:top w:val="nil"/>
              <w:left w:val="nil"/>
              <w:bottom w:val="nil"/>
              <w:right w:val="nil"/>
            </w:tcBorders>
            <w:shd w:val="clear" w:color="FFFFFF" w:fill="FFFFFF"/>
            <w:vAlign w:val="bottom"/>
            <w:hideMark/>
          </w:tcPr>
          <w:p w14:paraId="727AB42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expenses</w:t>
            </w:r>
          </w:p>
        </w:tc>
        <w:tc>
          <w:tcPr>
            <w:tcW w:w="955" w:type="dxa"/>
            <w:tcBorders>
              <w:top w:val="nil"/>
              <w:left w:val="nil"/>
              <w:bottom w:val="nil"/>
              <w:right w:val="nil"/>
            </w:tcBorders>
            <w:shd w:val="clear" w:color="FFFFFF" w:fill="FFFFFF"/>
            <w:noWrap/>
            <w:vAlign w:val="bottom"/>
            <w:hideMark/>
          </w:tcPr>
          <w:p w14:paraId="685F498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2A9420A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30,226,507</w:t>
            </w:r>
          </w:p>
        </w:tc>
        <w:tc>
          <w:tcPr>
            <w:tcW w:w="236" w:type="dxa"/>
            <w:tcBorders>
              <w:top w:val="nil"/>
              <w:left w:val="nil"/>
              <w:bottom w:val="nil"/>
              <w:right w:val="nil"/>
            </w:tcBorders>
            <w:shd w:val="clear" w:color="FFFFFF" w:fill="FFFFFF"/>
            <w:noWrap/>
            <w:vAlign w:val="bottom"/>
            <w:hideMark/>
          </w:tcPr>
          <w:p w14:paraId="0FB5560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3AB1F63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24,920,332</w:t>
            </w:r>
          </w:p>
        </w:tc>
        <w:tc>
          <w:tcPr>
            <w:tcW w:w="236" w:type="dxa"/>
            <w:tcBorders>
              <w:top w:val="nil"/>
              <w:left w:val="nil"/>
              <w:bottom w:val="nil"/>
              <w:right w:val="nil"/>
            </w:tcBorders>
            <w:shd w:val="clear" w:color="FFFFFF" w:fill="FFFFFF"/>
            <w:noWrap/>
            <w:vAlign w:val="bottom"/>
            <w:hideMark/>
          </w:tcPr>
          <w:p w14:paraId="583FE4F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263EAB2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27,968,516</w:t>
            </w:r>
          </w:p>
        </w:tc>
      </w:tr>
      <w:tr w:rsidR="00FD06ED" w:rsidRPr="00FD06ED" w14:paraId="7E92B7B8" w14:textId="77777777" w:rsidTr="005C33EF">
        <w:trPr>
          <w:trHeight w:val="255"/>
        </w:trPr>
        <w:tc>
          <w:tcPr>
            <w:tcW w:w="4181" w:type="dxa"/>
            <w:tcBorders>
              <w:top w:val="nil"/>
              <w:left w:val="nil"/>
              <w:bottom w:val="nil"/>
              <w:right w:val="nil"/>
            </w:tcBorders>
            <w:shd w:val="clear" w:color="FFFFFF" w:fill="FFFFFF"/>
            <w:vAlign w:val="bottom"/>
            <w:hideMark/>
          </w:tcPr>
          <w:p w14:paraId="32A1356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6D8A9D5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79C3D6A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90F4EE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B52428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DCF8D6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4E71CB5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06306CE3" w14:textId="77777777" w:rsidTr="005C33EF">
        <w:trPr>
          <w:trHeight w:val="255"/>
        </w:trPr>
        <w:tc>
          <w:tcPr>
            <w:tcW w:w="4181" w:type="dxa"/>
            <w:tcBorders>
              <w:top w:val="nil"/>
              <w:left w:val="nil"/>
              <w:bottom w:val="nil"/>
              <w:right w:val="nil"/>
            </w:tcBorders>
            <w:shd w:val="clear" w:color="FFFFFF" w:fill="FFFFFF"/>
            <w:noWrap/>
            <w:vAlign w:val="bottom"/>
            <w:hideMark/>
          </w:tcPr>
          <w:p w14:paraId="5D9F1C5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OWN-SOURCE INCOME</w:t>
            </w:r>
          </w:p>
        </w:tc>
        <w:tc>
          <w:tcPr>
            <w:tcW w:w="955" w:type="dxa"/>
            <w:tcBorders>
              <w:top w:val="nil"/>
              <w:left w:val="nil"/>
              <w:bottom w:val="nil"/>
              <w:right w:val="nil"/>
            </w:tcBorders>
            <w:shd w:val="clear" w:color="FFFFFF" w:fill="FFFFFF"/>
            <w:noWrap/>
            <w:vAlign w:val="bottom"/>
            <w:hideMark/>
          </w:tcPr>
          <w:p w14:paraId="3C0FBB7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4298312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3A28C5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6DEEEA6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1A25FF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4D490AC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14A73D56" w14:textId="77777777" w:rsidTr="005C33EF">
        <w:trPr>
          <w:trHeight w:val="255"/>
        </w:trPr>
        <w:tc>
          <w:tcPr>
            <w:tcW w:w="4181" w:type="dxa"/>
            <w:tcBorders>
              <w:top w:val="nil"/>
              <w:left w:val="nil"/>
              <w:bottom w:val="nil"/>
              <w:right w:val="nil"/>
            </w:tcBorders>
            <w:shd w:val="clear" w:color="FFFFFF" w:fill="FFFFFF"/>
            <w:vAlign w:val="bottom"/>
            <w:hideMark/>
          </w:tcPr>
          <w:p w14:paraId="0ACDFC9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Own-source revenue</w:t>
            </w:r>
          </w:p>
        </w:tc>
        <w:tc>
          <w:tcPr>
            <w:tcW w:w="955" w:type="dxa"/>
            <w:tcBorders>
              <w:top w:val="nil"/>
              <w:left w:val="nil"/>
              <w:bottom w:val="nil"/>
              <w:right w:val="nil"/>
            </w:tcBorders>
            <w:shd w:val="clear" w:color="FFFFFF" w:fill="FFFFFF"/>
            <w:noWrap/>
            <w:vAlign w:val="bottom"/>
            <w:hideMark/>
          </w:tcPr>
          <w:p w14:paraId="1B5EC75A"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1E12938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9B24EA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87F2CE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1E9D55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22AAFC8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3E006B3" w14:textId="77777777" w:rsidTr="005C33EF">
        <w:trPr>
          <w:trHeight w:val="255"/>
        </w:trPr>
        <w:tc>
          <w:tcPr>
            <w:tcW w:w="4181" w:type="dxa"/>
            <w:tcBorders>
              <w:top w:val="nil"/>
              <w:left w:val="nil"/>
              <w:bottom w:val="nil"/>
              <w:right w:val="nil"/>
            </w:tcBorders>
            <w:shd w:val="clear" w:color="FFFFFF" w:fill="FFFFFF"/>
            <w:vAlign w:val="bottom"/>
            <w:hideMark/>
          </w:tcPr>
          <w:p w14:paraId="6EE8C1BD"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Rendering of services</w:t>
            </w:r>
          </w:p>
        </w:tc>
        <w:tc>
          <w:tcPr>
            <w:tcW w:w="955" w:type="dxa"/>
            <w:tcBorders>
              <w:top w:val="nil"/>
              <w:left w:val="nil"/>
              <w:bottom w:val="nil"/>
              <w:right w:val="nil"/>
            </w:tcBorders>
            <w:shd w:val="clear" w:color="FFFFFF" w:fill="FFFFFF"/>
            <w:noWrap/>
            <w:vAlign w:val="bottom"/>
            <w:hideMark/>
          </w:tcPr>
          <w:p w14:paraId="725D640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1.2A</w:t>
            </w:r>
          </w:p>
        </w:tc>
        <w:tc>
          <w:tcPr>
            <w:tcW w:w="1127" w:type="dxa"/>
            <w:tcBorders>
              <w:top w:val="nil"/>
              <w:left w:val="nil"/>
              <w:bottom w:val="nil"/>
              <w:right w:val="nil"/>
            </w:tcBorders>
            <w:shd w:val="clear" w:color="FFFFFF" w:fill="FFFFFF"/>
            <w:noWrap/>
            <w:vAlign w:val="bottom"/>
            <w:hideMark/>
          </w:tcPr>
          <w:p w14:paraId="03D3177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28,179,885</w:t>
            </w:r>
          </w:p>
        </w:tc>
        <w:tc>
          <w:tcPr>
            <w:tcW w:w="236" w:type="dxa"/>
            <w:tcBorders>
              <w:top w:val="nil"/>
              <w:left w:val="nil"/>
              <w:bottom w:val="nil"/>
              <w:right w:val="nil"/>
            </w:tcBorders>
            <w:shd w:val="clear" w:color="FFFFFF" w:fill="FFFFFF"/>
            <w:noWrap/>
            <w:vAlign w:val="bottom"/>
            <w:hideMark/>
          </w:tcPr>
          <w:p w14:paraId="54380F9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5BBDC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22,091,325</w:t>
            </w:r>
          </w:p>
        </w:tc>
        <w:tc>
          <w:tcPr>
            <w:tcW w:w="236" w:type="dxa"/>
            <w:tcBorders>
              <w:top w:val="nil"/>
              <w:left w:val="nil"/>
              <w:bottom w:val="nil"/>
              <w:right w:val="nil"/>
            </w:tcBorders>
            <w:shd w:val="clear" w:color="FFFFFF" w:fill="FFFFFF"/>
            <w:noWrap/>
            <w:vAlign w:val="bottom"/>
            <w:hideMark/>
          </w:tcPr>
          <w:p w14:paraId="130C5AE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C08ACF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25,217,568</w:t>
            </w:r>
          </w:p>
        </w:tc>
      </w:tr>
      <w:tr w:rsidR="00FD06ED" w:rsidRPr="00FD06ED" w14:paraId="0A225CB8" w14:textId="77777777" w:rsidTr="005C33EF">
        <w:trPr>
          <w:trHeight w:val="255"/>
        </w:trPr>
        <w:tc>
          <w:tcPr>
            <w:tcW w:w="4181" w:type="dxa"/>
            <w:tcBorders>
              <w:top w:val="nil"/>
              <w:left w:val="nil"/>
              <w:bottom w:val="nil"/>
              <w:right w:val="nil"/>
            </w:tcBorders>
            <w:shd w:val="clear" w:color="FFFFFF" w:fill="FFFFFF"/>
            <w:vAlign w:val="bottom"/>
            <w:hideMark/>
          </w:tcPr>
          <w:p w14:paraId="546DD6BF"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Interest</w:t>
            </w:r>
          </w:p>
        </w:tc>
        <w:tc>
          <w:tcPr>
            <w:tcW w:w="955" w:type="dxa"/>
            <w:tcBorders>
              <w:top w:val="nil"/>
              <w:left w:val="nil"/>
              <w:bottom w:val="nil"/>
              <w:right w:val="nil"/>
            </w:tcBorders>
            <w:shd w:val="clear" w:color="FFFFFF" w:fill="FFFFFF"/>
            <w:noWrap/>
            <w:vAlign w:val="bottom"/>
            <w:hideMark/>
          </w:tcPr>
          <w:p w14:paraId="14D42F7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2B2C8B3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17,475</w:t>
            </w:r>
          </w:p>
        </w:tc>
        <w:tc>
          <w:tcPr>
            <w:tcW w:w="236" w:type="dxa"/>
            <w:tcBorders>
              <w:top w:val="nil"/>
              <w:left w:val="nil"/>
              <w:bottom w:val="nil"/>
              <w:right w:val="nil"/>
            </w:tcBorders>
            <w:shd w:val="clear" w:color="FFFFFF" w:fill="FFFFFF"/>
            <w:noWrap/>
            <w:vAlign w:val="bottom"/>
            <w:hideMark/>
          </w:tcPr>
          <w:p w14:paraId="66E4B6C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6F450A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9,854</w:t>
            </w:r>
          </w:p>
        </w:tc>
        <w:tc>
          <w:tcPr>
            <w:tcW w:w="236" w:type="dxa"/>
            <w:tcBorders>
              <w:top w:val="nil"/>
              <w:left w:val="nil"/>
              <w:bottom w:val="nil"/>
              <w:right w:val="nil"/>
            </w:tcBorders>
            <w:shd w:val="clear" w:color="FFFFFF" w:fill="FFFFFF"/>
            <w:noWrap/>
            <w:vAlign w:val="bottom"/>
            <w:hideMark/>
          </w:tcPr>
          <w:p w14:paraId="46B63CA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8427F8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8,563</w:t>
            </w:r>
          </w:p>
        </w:tc>
      </w:tr>
      <w:tr w:rsidR="00FD06ED" w:rsidRPr="00FD06ED" w14:paraId="56A9A60F" w14:textId="77777777" w:rsidTr="005C33EF">
        <w:trPr>
          <w:trHeight w:val="255"/>
        </w:trPr>
        <w:tc>
          <w:tcPr>
            <w:tcW w:w="4181" w:type="dxa"/>
            <w:tcBorders>
              <w:top w:val="nil"/>
              <w:left w:val="nil"/>
              <w:bottom w:val="nil"/>
              <w:right w:val="nil"/>
            </w:tcBorders>
            <w:shd w:val="clear" w:color="FFFFFF" w:fill="FFFFFF"/>
            <w:vAlign w:val="bottom"/>
            <w:hideMark/>
          </w:tcPr>
          <w:p w14:paraId="634BC50D"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Rental income</w:t>
            </w:r>
          </w:p>
        </w:tc>
        <w:tc>
          <w:tcPr>
            <w:tcW w:w="955" w:type="dxa"/>
            <w:tcBorders>
              <w:top w:val="nil"/>
              <w:left w:val="nil"/>
              <w:bottom w:val="nil"/>
              <w:right w:val="nil"/>
            </w:tcBorders>
            <w:shd w:val="clear" w:color="FFFFFF" w:fill="FFFFFF"/>
            <w:noWrap/>
            <w:vAlign w:val="bottom"/>
            <w:hideMark/>
          </w:tcPr>
          <w:p w14:paraId="6CD3652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1.2B</w:t>
            </w:r>
          </w:p>
        </w:tc>
        <w:tc>
          <w:tcPr>
            <w:tcW w:w="1127" w:type="dxa"/>
            <w:tcBorders>
              <w:top w:val="nil"/>
              <w:left w:val="nil"/>
              <w:bottom w:val="nil"/>
              <w:right w:val="nil"/>
            </w:tcBorders>
            <w:shd w:val="clear" w:color="FFFFFF" w:fill="FFFFFF"/>
            <w:noWrap/>
            <w:vAlign w:val="bottom"/>
            <w:hideMark/>
          </w:tcPr>
          <w:p w14:paraId="04DB81E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592</w:t>
            </w:r>
          </w:p>
        </w:tc>
        <w:tc>
          <w:tcPr>
            <w:tcW w:w="236" w:type="dxa"/>
            <w:tcBorders>
              <w:top w:val="nil"/>
              <w:left w:val="nil"/>
              <w:bottom w:val="nil"/>
              <w:right w:val="nil"/>
            </w:tcBorders>
            <w:shd w:val="clear" w:color="FFFFFF" w:fill="FFFFFF"/>
            <w:noWrap/>
            <w:vAlign w:val="bottom"/>
            <w:hideMark/>
          </w:tcPr>
          <w:p w14:paraId="741419F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23513C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2,833</w:t>
            </w:r>
          </w:p>
        </w:tc>
        <w:tc>
          <w:tcPr>
            <w:tcW w:w="236" w:type="dxa"/>
            <w:tcBorders>
              <w:top w:val="nil"/>
              <w:left w:val="nil"/>
              <w:bottom w:val="nil"/>
              <w:right w:val="nil"/>
            </w:tcBorders>
            <w:shd w:val="clear" w:color="FFFFFF" w:fill="FFFFFF"/>
            <w:noWrap/>
            <w:vAlign w:val="bottom"/>
            <w:hideMark/>
          </w:tcPr>
          <w:p w14:paraId="094403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1149C8D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0751A1E4" w14:textId="77777777" w:rsidTr="005C33EF">
        <w:trPr>
          <w:trHeight w:val="255"/>
        </w:trPr>
        <w:tc>
          <w:tcPr>
            <w:tcW w:w="4181" w:type="dxa"/>
            <w:tcBorders>
              <w:top w:val="nil"/>
              <w:left w:val="nil"/>
              <w:bottom w:val="nil"/>
              <w:right w:val="nil"/>
            </w:tcBorders>
            <w:shd w:val="clear" w:color="FFFFFF" w:fill="FFFFFF"/>
            <w:vAlign w:val="bottom"/>
            <w:hideMark/>
          </w:tcPr>
          <w:p w14:paraId="455466C4"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Other revenue</w:t>
            </w:r>
          </w:p>
        </w:tc>
        <w:tc>
          <w:tcPr>
            <w:tcW w:w="955" w:type="dxa"/>
            <w:tcBorders>
              <w:top w:val="nil"/>
              <w:left w:val="nil"/>
              <w:bottom w:val="nil"/>
              <w:right w:val="nil"/>
            </w:tcBorders>
            <w:shd w:val="clear" w:color="FFFFFF" w:fill="FFFFFF"/>
            <w:noWrap/>
            <w:vAlign w:val="bottom"/>
            <w:hideMark/>
          </w:tcPr>
          <w:p w14:paraId="51F7347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1.2C</w:t>
            </w:r>
          </w:p>
        </w:tc>
        <w:tc>
          <w:tcPr>
            <w:tcW w:w="1127" w:type="dxa"/>
            <w:tcBorders>
              <w:top w:val="nil"/>
              <w:left w:val="nil"/>
              <w:bottom w:val="nil"/>
              <w:right w:val="nil"/>
            </w:tcBorders>
            <w:shd w:val="clear" w:color="FFFFFF" w:fill="FFFFFF"/>
            <w:noWrap/>
            <w:vAlign w:val="bottom"/>
            <w:hideMark/>
          </w:tcPr>
          <w:p w14:paraId="13A462B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23,324</w:t>
            </w:r>
          </w:p>
        </w:tc>
        <w:tc>
          <w:tcPr>
            <w:tcW w:w="236" w:type="dxa"/>
            <w:tcBorders>
              <w:top w:val="nil"/>
              <w:left w:val="nil"/>
              <w:bottom w:val="nil"/>
              <w:right w:val="nil"/>
            </w:tcBorders>
            <w:shd w:val="clear" w:color="FFFFFF" w:fill="FFFFFF"/>
            <w:noWrap/>
            <w:vAlign w:val="bottom"/>
            <w:hideMark/>
          </w:tcPr>
          <w:p w14:paraId="246CDEA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7FA5848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24,583</w:t>
            </w:r>
          </w:p>
        </w:tc>
        <w:tc>
          <w:tcPr>
            <w:tcW w:w="236" w:type="dxa"/>
            <w:tcBorders>
              <w:top w:val="nil"/>
              <w:left w:val="nil"/>
              <w:bottom w:val="nil"/>
              <w:right w:val="nil"/>
            </w:tcBorders>
            <w:shd w:val="clear" w:color="FFFFFF" w:fill="FFFFFF"/>
            <w:noWrap/>
            <w:vAlign w:val="bottom"/>
            <w:hideMark/>
          </w:tcPr>
          <w:p w14:paraId="0BDA182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48DDFD7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64762F43" w14:textId="77777777" w:rsidTr="005C33EF">
        <w:trPr>
          <w:trHeight w:val="255"/>
        </w:trPr>
        <w:tc>
          <w:tcPr>
            <w:tcW w:w="4181" w:type="dxa"/>
            <w:tcBorders>
              <w:top w:val="nil"/>
              <w:left w:val="nil"/>
              <w:bottom w:val="nil"/>
              <w:right w:val="nil"/>
            </w:tcBorders>
            <w:shd w:val="clear" w:color="FFFFFF" w:fill="FFFFFF"/>
            <w:vAlign w:val="bottom"/>
            <w:hideMark/>
          </w:tcPr>
          <w:p w14:paraId="61BC4B4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own-source revenue</w:t>
            </w:r>
          </w:p>
        </w:tc>
        <w:tc>
          <w:tcPr>
            <w:tcW w:w="955" w:type="dxa"/>
            <w:tcBorders>
              <w:top w:val="nil"/>
              <w:left w:val="nil"/>
              <w:bottom w:val="nil"/>
              <w:right w:val="nil"/>
            </w:tcBorders>
            <w:shd w:val="clear" w:color="FFFFFF" w:fill="FFFFFF"/>
            <w:noWrap/>
            <w:vAlign w:val="bottom"/>
            <w:hideMark/>
          </w:tcPr>
          <w:p w14:paraId="0FA06CB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18764E8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28,221,276</w:t>
            </w:r>
          </w:p>
        </w:tc>
        <w:tc>
          <w:tcPr>
            <w:tcW w:w="236" w:type="dxa"/>
            <w:tcBorders>
              <w:top w:val="nil"/>
              <w:left w:val="nil"/>
              <w:bottom w:val="nil"/>
              <w:right w:val="nil"/>
            </w:tcBorders>
            <w:shd w:val="clear" w:color="FFFFFF" w:fill="FFFFFF"/>
            <w:noWrap/>
            <w:vAlign w:val="bottom"/>
            <w:hideMark/>
          </w:tcPr>
          <w:p w14:paraId="0DAEE8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0A23326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22,128,595</w:t>
            </w:r>
          </w:p>
        </w:tc>
        <w:tc>
          <w:tcPr>
            <w:tcW w:w="236" w:type="dxa"/>
            <w:tcBorders>
              <w:top w:val="nil"/>
              <w:left w:val="nil"/>
              <w:bottom w:val="nil"/>
              <w:right w:val="nil"/>
            </w:tcBorders>
            <w:shd w:val="clear" w:color="FFFFFF" w:fill="FFFFFF"/>
            <w:noWrap/>
            <w:vAlign w:val="bottom"/>
            <w:hideMark/>
          </w:tcPr>
          <w:p w14:paraId="0351D6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7594B1C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25,226,131</w:t>
            </w:r>
          </w:p>
        </w:tc>
      </w:tr>
      <w:tr w:rsidR="00FD06ED" w:rsidRPr="00FD06ED" w14:paraId="3D758C56" w14:textId="77777777" w:rsidTr="005C33EF">
        <w:trPr>
          <w:trHeight w:val="255"/>
        </w:trPr>
        <w:tc>
          <w:tcPr>
            <w:tcW w:w="4181" w:type="dxa"/>
            <w:tcBorders>
              <w:top w:val="nil"/>
              <w:left w:val="nil"/>
              <w:bottom w:val="nil"/>
              <w:right w:val="nil"/>
            </w:tcBorders>
            <w:shd w:val="clear" w:color="FFFFFF" w:fill="FFFFFF"/>
            <w:vAlign w:val="bottom"/>
            <w:hideMark/>
          </w:tcPr>
          <w:p w14:paraId="24FFFED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0BDFA43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1DAAC6D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B9AF42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2966CE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FDC3B0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ED21B7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5D90E84" w14:textId="77777777" w:rsidTr="005C33EF">
        <w:trPr>
          <w:trHeight w:val="255"/>
        </w:trPr>
        <w:tc>
          <w:tcPr>
            <w:tcW w:w="4181" w:type="dxa"/>
            <w:tcBorders>
              <w:top w:val="nil"/>
              <w:left w:val="nil"/>
              <w:bottom w:val="nil"/>
              <w:right w:val="nil"/>
            </w:tcBorders>
            <w:shd w:val="clear" w:color="FFFFFF" w:fill="FFFFFF"/>
            <w:vAlign w:val="bottom"/>
            <w:hideMark/>
          </w:tcPr>
          <w:p w14:paraId="619597B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Gains</w:t>
            </w:r>
          </w:p>
        </w:tc>
        <w:tc>
          <w:tcPr>
            <w:tcW w:w="955" w:type="dxa"/>
            <w:tcBorders>
              <w:top w:val="nil"/>
              <w:left w:val="nil"/>
              <w:bottom w:val="nil"/>
              <w:right w:val="nil"/>
            </w:tcBorders>
            <w:shd w:val="clear" w:color="FFFFFF" w:fill="FFFFFF"/>
            <w:noWrap/>
            <w:vAlign w:val="bottom"/>
            <w:hideMark/>
          </w:tcPr>
          <w:p w14:paraId="42EACEA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4505CD5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AA2FD5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29DE973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B5B652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C43888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73CC25B" w14:textId="77777777" w:rsidTr="005C33EF">
        <w:trPr>
          <w:trHeight w:val="255"/>
        </w:trPr>
        <w:tc>
          <w:tcPr>
            <w:tcW w:w="4181" w:type="dxa"/>
            <w:tcBorders>
              <w:top w:val="nil"/>
              <w:left w:val="nil"/>
              <w:bottom w:val="nil"/>
              <w:right w:val="nil"/>
            </w:tcBorders>
            <w:shd w:val="clear" w:color="FFFFFF" w:fill="FFFFFF"/>
            <w:vAlign w:val="bottom"/>
            <w:hideMark/>
          </w:tcPr>
          <w:p w14:paraId="130E9A46"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Other gains</w:t>
            </w:r>
          </w:p>
        </w:tc>
        <w:tc>
          <w:tcPr>
            <w:tcW w:w="955" w:type="dxa"/>
            <w:tcBorders>
              <w:top w:val="nil"/>
              <w:left w:val="nil"/>
              <w:bottom w:val="nil"/>
              <w:right w:val="nil"/>
            </w:tcBorders>
            <w:shd w:val="clear" w:color="FFFFFF" w:fill="FFFFFF"/>
            <w:noWrap/>
            <w:vAlign w:val="bottom"/>
            <w:hideMark/>
          </w:tcPr>
          <w:p w14:paraId="32412B6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1.2D</w:t>
            </w:r>
          </w:p>
        </w:tc>
        <w:tc>
          <w:tcPr>
            <w:tcW w:w="1127" w:type="dxa"/>
            <w:tcBorders>
              <w:top w:val="nil"/>
              <w:left w:val="nil"/>
              <w:bottom w:val="nil"/>
              <w:right w:val="nil"/>
            </w:tcBorders>
            <w:shd w:val="clear" w:color="FFFFFF" w:fill="FFFFFF"/>
            <w:noWrap/>
            <w:vAlign w:val="bottom"/>
            <w:hideMark/>
          </w:tcPr>
          <w:p w14:paraId="0929C15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1,015,002</w:t>
            </w:r>
          </w:p>
        </w:tc>
        <w:tc>
          <w:tcPr>
            <w:tcW w:w="236" w:type="dxa"/>
            <w:tcBorders>
              <w:top w:val="nil"/>
              <w:left w:val="nil"/>
              <w:bottom w:val="nil"/>
              <w:right w:val="nil"/>
            </w:tcBorders>
            <w:shd w:val="clear" w:color="FFFFFF" w:fill="FFFFFF"/>
            <w:noWrap/>
            <w:vAlign w:val="bottom"/>
            <w:hideMark/>
          </w:tcPr>
          <w:p w14:paraId="21EAFAA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E9F910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1,390,186</w:t>
            </w:r>
          </w:p>
        </w:tc>
        <w:tc>
          <w:tcPr>
            <w:tcW w:w="236" w:type="dxa"/>
            <w:tcBorders>
              <w:top w:val="nil"/>
              <w:left w:val="nil"/>
              <w:bottom w:val="nil"/>
              <w:right w:val="nil"/>
            </w:tcBorders>
            <w:shd w:val="clear" w:color="FFFFFF" w:fill="FFFFFF"/>
            <w:noWrap/>
            <w:vAlign w:val="bottom"/>
            <w:hideMark/>
          </w:tcPr>
          <w:p w14:paraId="5A8C36C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501F2E3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1,268,960</w:t>
            </w:r>
          </w:p>
        </w:tc>
      </w:tr>
      <w:tr w:rsidR="00FD06ED" w:rsidRPr="00FD06ED" w14:paraId="0C0EE5CD" w14:textId="77777777" w:rsidTr="005C33EF">
        <w:trPr>
          <w:trHeight w:val="255"/>
        </w:trPr>
        <w:tc>
          <w:tcPr>
            <w:tcW w:w="4181" w:type="dxa"/>
            <w:tcBorders>
              <w:top w:val="nil"/>
              <w:left w:val="nil"/>
              <w:bottom w:val="nil"/>
              <w:right w:val="nil"/>
            </w:tcBorders>
            <w:shd w:val="clear" w:color="FFFFFF" w:fill="FFFFFF"/>
            <w:vAlign w:val="bottom"/>
            <w:hideMark/>
          </w:tcPr>
          <w:p w14:paraId="50F8F6B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gains</w:t>
            </w:r>
          </w:p>
        </w:tc>
        <w:tc>
          <w:tcPr>
            <w:tcW w:w="955" w:type="dxa"/>
            <w:tcBorders>
              <w:top w:val="nil"/>
              <w:left w:val="nil"/>
              <w:bottom w:val="nil"/>
              <w:right w:val="nil"/>
            </w:tcBorders>
            <w:shd w:val="clear" w:color="FFFFFF" w:fill="FFFFFF"/>
            <w:noWrap/>
            <w:vAlign w:val="bottom"/>
            <w:hideMark/>
          </w:tcPr>
          <w:p w14:paraId="7A1EE77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0EA361A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1,015,002</w:t>
            </w:r>
          </w:p>
        </w:tc>
        <w:tc>
          <w:tcPr>
            <w:tcW w:w="236" w:type="dxa"/>
            <w:tcBorders>
              <w:top w:val="nil"/>
              <w:left w:val="nil"/>
              <w:bottom w:val="nil"/>
              <w:right w:val="nil"/>
            </w:tcBorders>
            <w:shd w:val="clear" w:color="FFFFFF" w:fill="FFFFFF"/>
            <w:noWrap/>
            <w:vAlign w:val="bottom"/>
            <w:hideMark/>
          </w:tcPr>
          <w:p w14:paraId="2CE71DC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396D9B9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1,390,186</w:t>
            </w:r>
          </w:p>
        </w:tc>
        <w:tc>
          <w:tcPr>
            <w:tcW w:w="236" w:type="dxa"/>
            <w:tcBorders>
              <w:top w:val="nil"/>
              <w:left w:val="nil"/>
              <w:bottom w:val="nil"/>
              <w:right w:val="nil"/>
            </w:tcBorders>
            <w:shd w:val="clear" w:color="FFFFFF" w:fill="FFFFFF"/>
            <w:noWrap/>
            <w:vAlign w:val="bottom"/>
            <w:hideMark/>
          </w:tcPr>
          <w:p w14:paraId="3CF754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775ED49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1,268,960</w:t>
            </w:r>
          </w:p>
        </w:tc>
      </w:tr>
      <w:tr w:rsidR="00FD06ED" w:rsidRPr="00FD06ED" w14:paraId="1653791C" w14:textId="77777777" w:rsidTr="005C33EF">
        <w:trPr>
          <w:trHeight w:val="255"/>
        </w:trPr>
        <w:tc>
          <w:tcPr>
            <w:tcW w:w="4181" w:type="dxa"/>
            <w:tcBorders>
              <w:top w:val="nil"/>
              <w:left w:val="nil"/>
              <w:bottom w:val="nil"/>
              <w:right w:val="nil"/>
            </w:tcBorders>
            <w:shd w:val="clear" w:color="FFFFFF" w:fill="FFFFFF"/>
            <w:vAlign w:val="bottom"/>
            <w:hideMark/>
          </w:tcPr>
          <w:p w14:paraId="32929276"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3C097A0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529C45F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03547F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27166E6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2971F1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1A8FB65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4B9E6840" w14:textId="77777777" w:rsidTr="005C33EF">
        <w:trPr>
          <w:trHeight w:val="255"/>
        </w:trPr>
        <w:tc>
          <w:tcPr>
            <w:tcW w:w="4181" w:type="dxa"/>
            <w:tcBorders>
              <w:top w:val="nil"/>
              <w:left w:val="nil"/>
              <w:bottom w:val="nil"/>
              <w:right w:val="nil"/>
            </w:tcBorders>
            <w:shd w:val="clear" w:color="FFFFFF" w:fill="FFFFFF"/>
            <w:vAlign w:val="bottom"/>
            <w:hideMark/>
          </w:tcPr>
          <w:p w14:paraId="1B59D58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own-source income</w:t>
            </w:r>
          </w:p>
        </w:tc>
        <w:tc>
          <w:tcPr>
            <w:tcW w:w="955" w:type="dxa"/>
            <w:tcBorders>
              <w:top w:val="nil"/>
              <w:left w:val="nil"/>
              <w:bottom w:val="nil"/>
              <w:right w:val="nil"/>
            </w:tcBorders>
            <w:shd w:val="clear" w:color="FFFFFF" w:fill="FFFFFF"/>
            <w:noWrap/>
            <w:vAlign w:val="bottom"/>
            <w:hideMark/>
          </w:tcPr>
          <w:p w14:paraId="60626CC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3AF3A6A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29,236,278</w:t>
            </w:r>
          </w:p>
        </w:tc>
        <w:tc>
          <w:tcPr>
            <w:tcW w:w="236" w:type="dxa"/>
            <w:tcBorders>
              <w:top w:val="nil"/>
              <w:left w:val="nil"/>
              <w:bottom w:val="nil"/>
              <w:right w:val="nil"/>
            </w:tcBorders>
            <w:shd w:val="clear" w:color="FFFFFF" w:fill="FFFFFF"/>
            <w:noWrap/>
            <w:vAlign w:val="bottom"/>
            <w:hideMark/>
          </w:tcPr>
          <w:p w14:paraId="304CE30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10AF652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23,518,781</w:t>
            </w:r>
          </w:p>
        </w:tc>
        <w:tc>
          <w:tcPr>
            <w:tcW w:w="236" w:type="dxa"/>
            <w:tcBorders>
              <w:top w:val="nil"/>
              <w:left w:val="nil"/>
              <w:bottom w:val="nil"/>
              <w:right w:val="nil"/>
            </w:tcBorders>
            <w:shd w:val="clear" w:color="FFFFFF" w:fill="FFFFFF"/>
            <w:noWrap/>
            <w:vAlign w:val="bottom"/>
            <w:hideMark/>
          </w:tcPr>
          <w:p w14:paraId="33C7830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07FB37F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26,495,091</w:t>
            </w:r>
          </w:p>
        </w:tc>
      </w:tr>
      <w:tr w:rsidR="00FD06ED" w:rsidRPr="00FD06ED" w14:paraId="56306183" w14:textId="77777777" w:rsidTr="005C33EF">
        <w:trPr>
          <w:trHeight w:val="255"/>
        </w:trPr>
        <w:tc>
          <w:tcPr>
            <w:tcW w:w="4181" w:type="dxa"/>
            <w:tcBorders>
              <w:top w:val="nil"/>
              <w:left w:val="nil"/>
              <w:bottom w:val="nil"/>
              <w:right w:val="nil"/>
            </w:tcBorders>
            <w:shd w:val="clear" w:color="FFFFFF" w:fill="FFFFFF"/>
            <w:vAlign w:val="bottom"/>
            <w:hideMark/>
          </w:tcPr>
          <w:p w14:paraId="17124C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3410576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71F5E68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198C5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CE7E76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7A5A6F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9037F1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3A2E10D" w14:textId="77777777" w:rsidTr="005C33EF">
        <w:trPr>
          <w:trHeight w:val="255"/>
        </w:trPr>
        <w:tc>
          <w:tcPr>
            <w:tcW w:w="4181" w:type="dxa"/>
            <w:tcBorders>
              <w:top w:val="nil"/>
              <w:left w:val="nil"/>
              <w:bottom w:val="nil"/>
              <w:right w:val="nil"/>
            </w:tcBorders>
            <w:shd w:val="clear" w:color="FFFFFF" w:fill="FFFFFF"/>
            <w:vAlign w:val="bottom"/>
            <w:hideMark/>
          </w:tcPr>
          <w:p w14:paraId="1919C09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(cost of)/contribution by services</w:t>
            </w:r>
          </w:p>
        </w:tc>
        <w:tc>
          <w:tcPr>
            <w:tcW w:w="955" w:type="dxa"/>
            <w:tcBorders>
              <w:top w:val="nil"/>
              <w:left w:val="nil"/>
              <w:bottom w:val="nil"/>
              <w:right w:val="nil"/>
            </w:tcBorders>
            <w:shd w:val="clear" w:color="FFFFFF" w:fill="FFFFFF"/>
            <w:noWrap/>
            <w:vAlign w:val="bottom"/>
            <w:hideMark/>
          </w:tcPr>
          <w:p w14:paraId="0BFE778A"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3C3CA75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(990,229)</w:t>
            </w:r>
          </w:p>
        </w:tc>
        <w:tc>
          <w:tcPr>
            <w:tcW w:w="236" w:type="dxa"/>
            <w:tcBorders>
              <w:top w:val="nil"/>
              <w:left w:val="nil"/>
              <w:bottom w:val="nil"/>
              <w:right w:val="nil"/>
            </w:tcBorders>
            <w:shd w:val="clear" w:color="FFFFFF" w:fill="FFFFFF"/>
            <w:noWrap/>
            <w:vAlign w:val="bottom"/>
            <w:hideMark/>
          </w:tcPr>
          <w:p w14:paraId="7DEBEBD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5EC3D5B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(1,401,551)</w:t>
            </w:r>
          </w:p>
        </w:tc>
        <w:tc>
          <w:tcPr>
            <w:tcW w:w="236" w:type="dxa"/>
            <w:tcBorders>
              <w:top w:val="nil"/>
              <w:left w:val="nil"/>
              <w:bottom w:val="nil"/>
              <w:right w:val="nil"/>
            </w:tcBorders>
            <w:shd w:val="clear" w:color="FFFFFF" w:fill="FFFFFF"/>
            <w:noWrap/>
            <w:vAlign w:val="bottom"/>
            <w:hideMark/>
          </w:tcPr>
          <w:p w14:paraId="19EAF7A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662B3BD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(1,473,425)</w:t>
            </w:r>
          </w:p>
        </w:tc>
      </w:tr>
      <w:tr w:rsidR="00FD06ED" w:rsidRPr="00FD06ED" w14:paraId="58698384" w14:textId="77777777" w:rsidTr="005C33EF">
        <w:trPr>
          <w:trHeight w:val="255"/>
        </w:trPr>
        <w:tc>
          <w:tcPr>
            <w:tcW w:w="4181" w:type="dxa"/>
            <w:tcBorders>
              <w:top w:val="nil"/>
              <w:left w:val="nil"/>
              <w:bottom w:val="nil"/>
              <w:right w:val="nil"/>
            </w:tcBorders>
            <w:shd w:val="clear" w:color="FFFFFF" w:fill="FFFFFF"/>
            <w:vAlign w:val="bottom"/>
            <w:hideMark/>
          </w:tcPr>
          <w:p w14:paraId="3AA0699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36FEC23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666D3F9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82EA4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07652B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64F76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4178F55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41A95F35" w14:textId="77777777" w:rsidTr="005C33EF">
        <w:trPr>
          <w:trHeight w:val="255"/>
        </w:trPr>
        <w:tc>
          <w:tcPr>
            <w:tcW w:w="4181" w:type="dxa"/>
            <w:tcBorders>
              <w:top w:val="nil"/>
              <w:left w:val="nil"/>
              <w:bottom w:val="nil"/>
              <w:right w:val="nil"/>
            </w:tcBorders>
            <w:shd w:val="clear" w:color="FFFFFF" w:fill="FFFFFF"/>
            <w:vAlign w:val="bottom"/>
            <w:hideMark/>
          </w:tcPr>
          <w:p w14:paraId="62E7488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Revenue from Government</w:t>
            </w:r>
          </w:p>
        </w:tc>
        <w:tc>
          <w:tcPr>
            <w:tcW w:w="955" w:type="dxa"/>
            <w:tcBorders>
              <w:top w:val="nil"/>
              <w:left w:val="nil"/>
              <w:bottom w:val="nil"/>
              <w:right w:val="nil"/>
            </w:tcBorders>
            <w:shd w:val="clear" w:color="FFFFFF" w:fill="FFFFFF"/>
            <w:noWrap/>
            <w:vAlign w:val="bottom"/>
            <w:hideMark/>
          </w:tcPr>
          <w:p w14:paraId="5DD63A4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7E85E04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1,263,386</w:t>
            </w:r>
          </w:p>
        </w:tc>
        <w:tc>
          <w:tcPr>
            <w:tcW w:w="236" w:type="dxa"/>
            <w:tcBorders>
              <w:top w:val="nil"/>
              <w:left w:val="nil"/>
              <w:bottom w:val="nil"/>
              <w:right w:val="nil"/>
            </w:tcBorders>
            <w:shd w:val="clear" w:color="FFFFFF" w:fill="FFFFFF"/>
            <w:noWrap/>
            <w:vAlign w:val="bottom"/>
            <w:hideMark/>
          </w:tcPr>
          <w:p w14:paraId="70FABA2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5DC4051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1,208,878</w:t>
            </w:r>
          </w:p>
        </w:tc>
        <w:tc>
          <w:tcPr>
            <w:tcW w:w="236" w:type="dxa"/>
            <w:tcBorders>
              <w:top w:val="nil"/>
              <w:left w:val="nil"/>
              <w:bottom w:val="nil"/>
              <w:right w:val="nil"/>
            </w:tcBorders>
            <w:shd w:val="clear" w:color="FFFFFF" w:fill="FFFFFF"/>
            <w:noWrap/>
            <w:vAlign w:val="bottom"/>
            <w:hideMark/>
          </w:tcPr>
          <w:p w14:paraId="44033F1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4B98D82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1,237,457</w:t>
            </w:r>
          </w:p>
        </w:tc>
      </w:tr>
      <w:tr w:rsidR="00FD06ED" w:rsidRPr="00FD06ED" w14:paraId="197ABB34" w14:textId="77777777" w:rsidTr="005C33EF">
        <w:trPr>
          <w:trHeight w:val="255"/>
        </w:trPr>
        <w:tc>
          <w:tcPr>
            <w:tcW w:w="4181" w:type="dxa"/>
            <w:tcBorders>
              <w:top w:val="nil"/>
              <w:left w:val="nil"/>
              <w:bottom w:val="nil"/>
              <w:right w:val="nil"/>
            </w:tcBorders>
            <w:shd w:val="clear" w:color="FFFFFF" w:fill="FFFFFF"/>
            <w:vAlign w:val="bottom"/>
            <w:hideMark/>
          </w:tcPr>
          <w:p w14:paraId="19B6449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Surplus/(Deficit) </w:t>
            </w:r>
          </w:p>
        </w:tc>
        <w:tc>
          <w:tcPr>
            <w:tcW w:w="955" w:type="dxa"/>
            <w:tcBorders>
              <w:top w:val="nil"/>
              <w:left w:val="nil"/>
              <w:bottom w:val="nil"/>
              <w:right w:val="nil"/>
            </w:tcBorders>
            <w:shd w:val="clear" w:color="FFFFFF" w:fill="FFFFFF"/>
            <w:noWrap/>
            <w:vAlign w:val="bottom"/>
            <w:hideMark/>
          </w:tcPr>
          <w:p w14:paraId="0071B0D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24990D9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273,157</w:t>
            </w:r>
          </w:p>
        </w:tc>
        <w:tc>
          <w:tcPr>
            <w:tcW w:w="236" w:type="dxa"/>
            <w:tcBorders>
              <w:top w:val="nil"/>
              <w:left w:val="nil"/>
              <w:bottom w:val="nil"/>
              <w:right w:val="nil"/>
            </w:tcBorders>
            <w:shd w:val="clear" w:color="FFFFFF" w:fill="FFFFFF"/>
            <w:noWrap/>
            <w:vAlign w:val="bottom"/>
            <w:hideMark/>
          </w:tcPr>
          <w:p w14:paraId="1EABB85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3CCAEBE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(192,673)</w:t>
            </w:r>
          </w:p>
        </w:tc>
        <w:tc>
          <w:tcPr>
            <w:tcW w:w="236" w:type="dxa"/>
            <w:tcBorders>
              <w:top w:val="nil"/>
              <w:left w:val="nil"/>
              <w:bottom w:val="nil"/>
              <w:right w:val="nil"/>
            </w:tcBorders>
            <w:shd w:val="clear" w:color="FFFFFF" w:fill="FFFFFF"/>
            <w:noWrap/>
            <w:vAlign w:val="bottom"/>
            <w:hideMark/>
          </w:tcPr>
          <w:p w14:paraId="4FC9EC4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1079533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(235,968)</w:t>
            </w:r>
          </w:p>
        </w:tc>
      </w:tr>
      <w:tr w:rsidR="00FD06ED" w:rsidRPr="00FD06ED" w14:paraId="58518EE4" w14:textId="77777777" w:rsidTr="005C33EF">
        <w:trPr>
          <w:trHeight w:val="255"/>
        </w:trPr>
        <w:tc>
          <w:tcPr>
            <w:tcW w:w="4181" w:type="dxa"/>
            <w:tcBorders>
              <w:top w:val="nil"/>
              <w:left w:val="nil"/>
              <w:bottom w:val="nil"/>
              <w:right w:val="nil"/>
            </w:tcBorders>
            <w:shd w:val="clear" w:color="FFFFFF" w:fill="FFFFFF"/>
            <w:vAlign w:val="bottom"/>
            <w:hideMark/>
          </w:tcPr>
          <w:p w14:paraId="146C794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20758C4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5892964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A9C9EA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35802E1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175CB2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6EFF6EF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409A61C" w14:textId="77777777" w:rsidTr="005C33EF">
        <w:trPr>
          <w:trHeight w:val="255"/>
        </w:trPr>
        <w:tc>
          <w:tcPr>
            <w:tcW w:w="4181" w:type="dxa"/>
            <w:tcBorders>
              <w:top w:val="nil"/>
              <w:left w:val="nil"/>
              <w:bottom w:val="nil"/>
              <w:right w:val="nil"/>
            </w:tcBorders>
            <w:shd w:val="clear" w:color="FFFFFF" w:fill="FFFFFF"/>
            <w:vAlign w:val="bottom"/>
            <w:hideMark/>
          </w:tcPr>
          <w:p w14:paraId="4BE3967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OTHER COMPREHENSIVE INCOME</w:t>
            </w:r>
          </w:p>
        </w:tc>
        <w:tc>
          <w:tcPr>
            <w:tcW w:w="955" w:type="dxa"/>
            <w:tcBorders>
              <w:top w:val="nil"/>
              <w:left w:val="nil"/>
              <w:bottom w:val="nil"/>
              <w:right w:val="nil"/>
            </w:tcBorders>
            <w:shd w:val="clear" w:color="FFFFFF" w:fill="FFFFFF"/>
            <w:noWrap/>
            <w:vAlign w:val="bottom"/>
            <w:hideMark/>
          </w:tcPr>
          <w:p w14:paraId="75106B0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11E7124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8B44D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6814248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7C9807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8515A8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CA6FFDF" w14:textId="77777777" w:rsidTr="005C33EF">
        <w:trPr>
          <w:trHeight w:val="480"/>
        </w:trPr>
        <w:tc>
          <w:tcPr>
            <w:tcW w:w="4181" w:type="dxa"/>
            <w:tcBorders>
              <w:top w:val="nil"/>
              <w:left w:val="nil"/>
              <w:bottom w:val="nil"/>
              <w:right w:val="nil"/>
            </w:tcBorders>
            <w:shd w:val="clear" w:color="FFFFFF" w:fill="FFFFFF"/>
            <w:vAlign w:val="bottom"/>
            <w:hideMark/>
          </w:tcPr>
          <w:p w14:paraId="2136503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Items not subject to subsequent reclassification to net cost of services</w:t>
            </w:r>
          </w:p>
        </w:tc>
        <w:tc>
          <w:tcPr>
            <w:tcW w:w="955" w:type="dxa"/>
            <w:tcBorders>
              <w:top w:val="nil"/>
              <w:left w:val="nil"/>
              <w:bottom w:val="nil"/>
              <w:right w:val="nil"/>
            </w:tcBorders>
            <w:shd w:val="clear" w:color="FFFFFF" w:fill="FFFFFF"/>
            <w:noWrap/>
            <w:vAlign w:val="bottom"/>
            <w:hideMark/>
          </w:tcPr>
          <w:p w14:paraId="3BAF67B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532A408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6FB4B1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417CCAC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B7D410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3F34EE4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4292C1D8" w14:textId="77777777" w:rsidTr="005C33EF">
        <w:trPr>
          <w:trHeight w:val="255"/>
        </w:trPr>
        <w:tc>
          <w:tcPr>
            <w:tcW w:w="4181" w:type="dxa"/>
            <w:tcBorders>
              <w:top w:val="nil"/>
              <w:left w:val="nil"/>
              <w:bottom w:val="nil"/>
              <w:right w:val="nil"/>
            </w:tcBorders>
            <w:shd w:val="clear" w:color="FFFFFF" w:fill="FFFFFF"/>
            <w:vAlign w:val="bottom"/>
            <w:hideMark/>
          </w:tcPr>
          <w:p w14:paraId="5DB31089"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Changes in asset revaluation reserve</w:t>
            </w:r>
          </w:p>
        </w:tc>
        <w:tc>
          <w:tcPr>
            <w:tcW w:w="955" w:type="dxa"/>
            <w:tcBorders>
              <w:top w:val="nil"/>
              <w:left w:val="nil"/>
              <w:bottom w:val="nil"/>
              <w:right w:val="nil"/>
            </w:tcBorders>
            <w:shd w:val="clear" w:color="FFFFFF" w:fill="FFFFFF"/>
            <w:noWrap/>
            <w:vAlign w:val="bottom"/>
            <w:hideMark/>
          </w:tcPr>
          <w:p w14:paraId="398E41C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217EE36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(1,058)</w:t>
            </w:r>
          </w:p>
        </w:tc>
        <w:tc>
          <w:tcPr>
            <w:tcW w:w="236" w:type="dxa"/>
            <w:tcBorders>
              <w:top w:val="nil"/>
              <w:left w:val="nil"/>
              <w:bottom w:val="nil"/>
              <w:right w:val="nil"/>
            </w:tcBorders>
            <w:shd w:val="clear" w:color="FFFFFF" w:fill="FFFFFF"/>
            <w:noWrap/>
            <w:vAlign w:val="bottom"/>
            <w:hideMark/>
          </w:tcPr>
          <w:p w14:paraId="1BE704B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8ADBF7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0C964AC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7CBEE63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07B7A071" w14:textId="77777777" w:rsidTr="005C33EF">
        <w:trPr>
          <w:trHeight w:val="255"/>
        </w:trPr>
        <w:tc>
          <w:tcPr>
            <w:tcW w:w="4181" w:type="dxa"/>
            <w:tcBorders>
              <w:top w:val="nil"/>
              <w:left w:val="nil"/>
              <w:bottom w:val="nil"/>
              <w:right w:val="nil"/>
            </w:tcBorders>
            <w:shd w:val="clear" w:color="FFFFFF" w:fill="FFFFFF"/>
            <w:vAlign w:val="bottom"/>
            <w:hideMark/>
          </w:tcPr>
          <w:p w14:paraId="13234AA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other comprehensive income</w:t>
            </w:r>
          </w:p>
        </w:tc>
        <w:tc>
          <w:tcPr>
            <w:tcW w:w="955" w:type="dxa"/>
            <w:tcBorders>
              <w:top w:val="nil"/>
              <w:left w:val="nil"/>
              <w:bottom w:val="nil"/>
              <w:right w:val="nil"/>
            </w:tcBorders>
            <w:shd w:val="clear" w:color="FFFFFF" w:fill="FFFFFF"/>
            <w:noWrap/>
            <w:vAlign w:val="bottom"/>
            <w:hideMark/>
          </w:tcPr>
          <w:p w14:paraId="4BF45BB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78701E6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(1,058)</w:t>
            </w:r>
          </w:p>
        </w:tc>
        <w:tc>
          <w:tcPr>
            <w:tcW w:w="236" w:type="dxa"/>
            <w:tcBorders>
              <w:top w:val="nil"/>
              <w:left w:val="nil"/>
              <w:bottom w:val="nil"/>
              <w:right w:val="nil"/>
            </w:tcBorders>
            <w:shd w:val="clear" w:color="FFFFFF" w:fill="FFFFFF"/>
            <w:noWrap/>
            <w:vAlign w:val="bottom"/>
            <w:hideMark/>
          </w:tcPr>
          <w:p w14:paraId="004C215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03A846F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69B6962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1CABD92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r>
      <w:tr w:rsidR="00FD06ED" w:rsidRPr="00FD06ED" w14:paraId="6A6CED53" w14:textId="77777777" w:rsidTr="005C33EF">
        <w:trPr>
          <w:trHeight w:val="255"/>
        </w:trPr>
        <w:tc>
          <w:tcPr>
            <w:tcW w:w="4181" w:type="dxa"/>
            <w:tcBorders>
              <w:top w:val="nil"/>
              <w:left w:val="nil"/>
              <w:bottom w:val="nil"/>
              <w:right w:val="nil"/>
            </w:tcBorders>
            <w:shd w:val="clear" w:color="FFFFFF" w:fill="FFFFFF"/>
            <w:vAlign w:val="bottom"/>
            <w:hideMark/>
          </w:tcPr>
          <w:p w14:paraId="2A92C3A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955" w:type="dxa"/>
            <w:tcBorders>
              <w:top w:val="nil"/>
              <w:left w:val="nil"/>
              <w:bottom w:val="nil"/>
              <w:right w:val="nil"/>
            </w:tcBorders>
            <w:shd w:val="clear" w:color="FFFFFF" w:fill="FFFFFF"/>
            <w:noWrap/>
            <w:vAlign w:val="bottom"/>
            <w:hideMark/>
          </w:tcPr>
          <w:p w14:paraId="5B68A4C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nil"/>
              <w:left w:val="nil"/>
              <w:bottom w:val="nil"/>
              <w:right w:val="nil"/>
            </w:tcBorders>
            <w:shd w:val="clear" w:color="FFFFFF" w:fill="FFFFFF"/>
            <w:noWrap/>
            <w:vAlign w:val="bottom"/>
            <w:hideMark/>
          </w:tcPr>
          <w:p w14:paraId="5886283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DC2334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nil"/>
              <w:left w:val="nil"/>
              <w:bottom w:val="nil"/>
              <w:right w:val="nil"/>
            </w:tcBorders>
            <w:shd w:val="clear" w:color="FFFFFF" w:fill="FFFFFF"/>
            <w:noWrap/>
            <w:vAlign w:val="bottom"/>
            <w:hideMark/>
          </w:tcPr>
          <w:p w14:paraId="0E360E7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AD51B9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nil"/>
              <w:left w:val="nil"/>
              <w:bottom w:val="nil"/>
              <w:right w:val="nil"/>
            </w:tcBorders>
            <w:shd w:val="clear" w:color="FFFFFF" w:fill="FFFFFF"/>
            <w:noWrap/>
            <w:vAlign w:val="bottom"/>
            <w:hideMark/>
          </w:tcPr>
          <w:p w14:paraId="6C8FF9B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538F410" w14:textId="77777777" w:rsidTr="005C33EF">
        <w:trPr>
          <w:trHeight w:val="255"/>
        </w:trPr>
        <w:tc>
          <w:tcPr>
            <w:tcW w:w="4181" w:type="dxa"/>
            <w:tcBorders>
              <w:top w:val="nil"/>
              <w:left w:val="nil"/>
              <w:bottom w:val="nil"/>
              <w:right w:val="nil"/>
            </w:tcBorders>
            <w:shd w:val="clear" w:color="FFFFFF" w:fill="FFFFFF"/>
            <w:vAlign w:val="bottom"/>
            <w:hideMark/>
          </w:tcPr>
          <w:p w14:paraId="6FD97A5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comprehensive income/(loss)</w:t>
            </w:r>
          </w:p>
        </w:tc>
        <w:tc>
          <w:tcPr>
            <w:tcW w:w="955" w:type="dxa"/>
            <w:tcBorders>
              <w:top w:val="nil"/>
              <w:left w:val="nil"/>
              <w:bottom w:val="nil"/>
              <w:right w:val="nil"/>
            </w:tcBorders>
            <w:shd w:val="clear" w:color="FFFFFF" w:fill="FFFFFF"/>
            <w:noWrap/>
            <w:vAlign w:val="bottom"/>
            <w:hideMark/>
          </w:tcPr>
          <w:p w14:paraId="0538539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5CEBDA5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272,099</w:t>
            </w:r>
          </w:p>
        </w:tc>
        <w:tc>
          <w:tcPr>
            <w:tcW w:w="236" w:type="dxa"/>
            <w:tcBorders>
              <w:top w:val="nil"/>
              <w:left w:val="nil"/>
              <w:bottom w:val="nil"/>
              <w:right w:val="nil"/>
            </w:tcBorders>
            <w:shd w:val="clear" w:color="FFFFFF" w:fill="FFFFFF"/>
            <w:noWrap/>
            <w:vAlign w:val="bottom"/>
            <w:hideMark/>
          </w:tcPr>
          <w:p w14:paraId="5F24199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20" w:type="dxa"/>
            <w:tcBorders>
              <w:top w:val="single" w:sz="4" w:space="0" w:color="auto"/>
              <w:left w:val="nil"/>
              <w:bottom w:val="single" w:sz="4" w:space="0" w:color="auto"/>
              <w:right w:val="nil"/>
            </w:tcBorders>
            <w:shd w:val="clear" w:color="FFFFFF" w:fill="FFFFFF"/>
            <w:noWrap/>
            <w:vAlign w:val="bottom"/>
            <w:hideMark/>
          </w:tcPr>
          <w:p w14:paraId="06F5A0F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(192,673)</w:t>
            </w:r>
          </w:p>
        </w:tc>
        <w:tc>
          <w:tcPr>
            <w:tcW w:w="236" w:type="dxa"/>
            <w:tcBorders>
              <w:top w:val="nil"/>
              <w:left w:val="nil"/>
              <w:bottom w:val="nil"/>
              <w:right w:val="nil"/>
            </w:tcBorders>
            <w:shd w:val="clear" w:color="FFFFFF" w:fill="FFFFFF"/>
            <w:noWrap/>
            <w:vAlign w:val="bottom"/>
            <w:hideMark/>
          </w:tcPr>
          <w:p w14:paraId="182D4D5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2" w:type="dxa"/>
            <w:tcBorders>
              <w:top w:val="single" w:sz="4" w:space="0" w:color="auto"/>
              <w:left w:val="nil"/>
              <w:bottom w:val="single" w:sz="4" w:space="0" w:color="auto"/>
              <w:right w:val="nil"/>
            </w:tcBorders>
            <w:shd w:val="clear" w:color="FFFFFF" w:fill="FFFFFF"/>
            <w:noWrap/>
            <w:vAlign w:val="bottom"/>
            <w:hideMark/>
          </w:tcPr>
          <w:p w14:paraId="1CFDF1F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(235,968)</w:t>
            </w:r>
          </w:p>
        </w:tc>
      </w:tr>
    </w:tbl>
    <w:p w14:paraId="04F7E767" w14:textId="77777777" w:rsidR="00FD06ED" w:rsidRPr="00FD06ED" w:rsidRDefault="00FD06ED" w:rsidP="00FD06ED">
      <w:pPr>
        <w:spacing w:before="0" w:after="0" w:line="260" w:lineRule="atLeast"/>
        <w:ind w:left="0"/>
        <w:rPr>
          <w:rFonts w:ascii="Times New Roman" w:eastAsia="Times New Roman" w:hAnsi="Times New Roman" w:cs="Times New Roman"/>
          <w:szCs w:val="20"/>
          <w:lang w:eastAsia="en-US"/>
        </w:rPr>
      </w:pPr>
    </w:p>
    <w:p w14:paraId="357508E0" w14:textId="77777777" w:rsidR="00FD06ED" w:rsidRPr="00FD06ED" w:rsidRDefault="00FD06ED" w:rsidP="00FD06ED">
      <w:pPr>
        <w:spacing w:before="0" w:after="80"/>
        <w:ind w:left="426" w:hanging="142"/>
        <w:rPr>
          <w:rFonts w:eastAsia="Times New Roman" w:cs="Times New Roman"/>
          <w:sz w:val="18"/>
          <w:szCs w:val="20"/>
          <w:lang w:eastAsia="en-AU"/>
        </w:rPr>
      </w:pPr>
    </w:p>
    <w:p w14:paraId="65E24487" w14:textId="77777777" w:rsidR="00FD06ED" w:rsidRPr="00FD06ED" w:rsidRDefault="00FD06ED" w:rsidP="00FD06ED">
      <w:pPr>
        <w:spacing w:before="0" w:after="80"/>
        <w:ind w:left="426" w:hanging="142"/>
        <w:rPr>
          <w:rFonts w:eastAsia="Times New Roman" w:cs="Times New Roman"/>
          <w:sz w:val="18"/>
          <w:szCs w:val="20"/>
          <w:lang w:eastAsia="en-AU"/>
        </w:rPr>
      </w:pPr>
      <w:r w:rsidRPr="00FD06ED">
        <w:rPr>
          <w:rFonts w:eastAsia="Times New Roman" w:cs="Times New Roman"/>
          <w:sz w:val="18"/>
          <w:szCs w:val="20"/>
          <w:lang w:eastAsia="en-AU"/>
        </w:rPr>
        <w:t>The above statement should be read in conjunction with the accompanying notes.</w:t>
      </w:r>
    </w:p>
    <w:p w14:paraId="346BD000" w14:textId="7D4F2D71" w:rsidR="00FD06ED" w:rsidRPr="00FD06ED" w:rsidRDefault="00FD06ED" w:rsidP="00FD06ED">
      <w:pPr>
        <w:spacing w:before="0" w:after="80"/>
        <w:ind w:left="426" w:hanging="142"/>
        <w:rPr>
          <w:rFonts w:eastAsia="Times New Roman" w:cs="Times New Roman"/>
          <w:sz w:val="18"/>
          <w:szCs w:val="20"/>
          <w:lang w:eastAsia="en-AU"/>
        </w:rPr>
      </w:pPr>
      <w:r w:rsidRPr="00FD06ED">
        <w:rPr>
          <w:rFonts w:eastAsia="Times New Roman" w:cs="Times New Roman"/>
          <w:sz w:val="18"/>
          <w:szCs w:val="20"/>
          <w:vertAlign w:val="superscript"/>
          <w:lang w:eastAsia="en-AU"/>
        </w:rPr>
        <w:t xml:space="preserve">1 </w:t>
      </w:r>
      <w:r w:rsidRPr="00FD06ED">
        <w:rPr>
          <w:rFonts w:eastAsia="Times New Roman" w:cs="Times New Roman"/>
          <w:sz w:val="14"/>
          <w:szCs w:val="16"/>
          <w:lang w:eastAsia="en-AU"/>
        </w:rPr>
        <w:t xml:space="preserve">Original Budget refers to the figures published in the Portfolio Budget Statements </w:t>
      </w:r>
      <w:r w:rsidR="00577731">
        <w:rPr>
          <w:rFonts w:eastAsia="Times New Roman" w:cs="Times New Roman"/>
          <w:sz w:val="14"/>
          <w:szCs w:val="16"/>
          <w:lang w:eastAsia="en-AU"/>
        </w:rPr>
        <w:t>2021–</w:t>
      </w:r>
      <w:proofErr w:type="gramStart"/>
      <w:r w:rsidR="00577731">
        <w:rPr>
          <w:rFonts w:eastAsia="Times New Roman" w:cs="Times New Roman"/>
          <w:sz w:val="14"/>
          <w:szCs w:val="16"/>
          <w:lang w:eastAsia="en-AU"/>
        </w:rPr>
        <w:t xml:space="preserve">22 </w:t>
      </w:r>
      <w:r w:rsidRPr="00FD06ED">
        <w:rPr>
          <w:rFonts w:eastAsia="Times New Roman" w:cs="Times New Roman"/>
          <w:sz w:val="14"/>
          <w:szCs w:val="16"/>
          <w:lang w:eastAsia="en-AU"/>
        </w:rPr>
        <w:t>.</w:t>
      </w:r>
      <w:proofErr w:type="gramEnd"/>
    </w:p>
    <w:p w14:paraId="27176B7D" w14:textId="77777777" w:rsidR="00FD06ED" w:rsidRPr="00FD06ED" w:rsidRDefault="00FD06ED" w:rsidP="00FD06ED">
      <w:pPr>
        <w:spacing w:before="0" w:after="0"/>
        <w:ind w:left="0"/>
        <w:rPr>
          <w:rFonts w:eastAsia="Times New Roman" w:cs="Times New Roman"/>
          <w:sz w:val="18"/>
          <w:szCs w:val="20"/>
          <w:lang w:eastAsia="en-AU"/>
        </w:rPr>
      </w:pPr>
      <w:r w:rsidRPr="00FD06ED">
        <w:rPr>
          <w:rFonts w:ascii="Times New Roman" w:eastAsia="Times New Roman" w:hAnsi="Times New Roman" w:cs="Times New Roman"/>
          <w:szCs w:val="20"/>
          <w:lang w:eastAsia="en-US"/>
        </w:rPr>
        <w:br w:type="page"/>
      </w:r>
    </w:p>
    <w:p w14:paraId="48836BEF" w14:textId="77777777" w:rsidR="00FD06ED" w:rsidRPr="00FD06ED" w:rsidRDefault="00FD06ED" w:rsidP="00FD06ED">
      <w:pPr>
        <w:spacing w:before="0" w:line="120" w:lineRule="atLeast"/>
        <w:ind w:left="0"/>
        <w:rPr>
          <w:rFonts w:eastAsia="Times New Roman"/>
          <w:b/>
          <w:bCs/>
          <w:color w:val="FF0000"/>
          <w:sz w:val="18"/>
          <w:szCs w:val="18"/>
          <w:lang w:eastAsia="en-US"/>
        </w:rPr>
      </w:pPr>
      <w:r w:rsidRPr="00FD06ED">
        <w:rPr>
          <w:rFonts w:eastAsia="Times New Roman"/>
          <w:b/>
          <w:bCs/>
          <w:sz w:val="18"/>
          <w:szCs w:val="18"/>
          <w:lang w:eastAsia="en-US"/>
        </w:rPr>
        <w:lastRenderedPageBreak/>
        <w:t xml:space="preserve">Budget Variances Commentary </w:t>
      </w:r>
    </w:p>
    <w:p w14:paraId="74D07B46"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Statement of Comprehensive Income</w:t>
      </w:r>
    </w:p>
    <w:tbl>
      <w:tblPr>
        <w:tblW w:w="9356"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4"/>
        <w:gridCol w:w="6662"/>
      </w:tblGrid>
      <w:tr w:rsidR="00FD06ED" w:rsidRPr="00FD06ED" w14:paraId="7FB454CD"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vAlign w:val="center"/>
          </w:tcPr>
          <w:p w14:paraId="7D162942" w14:textId="77777777" w:rsidR="00FD06ED" w:rsidRPr="00FD06ED" w:rsidRDefault="00FD06ED" w:rsidP="00FD06ED">
            <w:pPr>
              <w:spacing w:before="0" w:after="0" w:line="260" w:lineRule="atLeast"/>
              <w:ind w:left="0"/>
              <w:rPr>
                <w:rFonts w:eastAsia="Times New Roman" w:cs="Times New Roman"/>
                <w:b/>
                <w:sz w:val="18"/>
                <w:szCs w:val="20"/>
                <w:lang w:eastAsia="en-US"/>
              </w:rPr>
            </w:pPr>
            <w:r w:rsidRPr="00FD06ED">
              <w:rPr>
                <w:rFonts w:eastAsia="Times New Roman" w:cs="Times New Roman"/>
                <w:b/>
                <w:sz w:val="18"/>
                <w:szCs w:val="20"/>
                <w:lang w:eastAsia="en-US"/>
              </w:rPr>
              <w:t>Affected line items</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5639BA7E" w14:textId="77777777" w:rsidR="00FD06ED" w:rsidRPr="00FD06ED" w:rsidRDefault="00FD06ED" w:rsidP="00FD06ED">
            <w:pPr>
              <w:spacing w:before="0" w:after="0" w:line="260" w:lineRule="atLeast"/>
              <w:ind w:left="0"/>
              <w:rPr>
                <w:rFonts w:eastAsia="Times New Roman" w:cs="Times New Roman"/>
                <w:b/>
                <w:sz w:val="18"/>
                <w:szCs w:val="20"/>
                <w:lang w:eastAsia="en-US"/>
              </w:rPr>
            </w:pPr>
            <w:r w:rsidRPr="00FD06ED">
              <w:rPr>
                <w:rFonts w:eastAsia="Times New Roman" w:cs="Times New Roman"/>
                <w:b/>
                <w:sz w:val="18"/>
                <w:szCs w:val="20"/>
                <w:lang w:eastAsia="en-US"/>
              </w:rPr>
              <w:t>Explanations of major variances</w:t>
            </w:r>
          </w:p>
        </w:tc>
      </w:tr>
      <w:tr w:rsidR="00FD06ED" w:rsidRPr="00FD06ED" w14:paraId="4AEED2C7"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4426454B"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Expenses</w:t>
            </w:r>
          </w:p>
          <w:p w14:paraId="0B3D1BCD"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Grants</w:t>
            </w:r>
          </w:p>
          <w:p w14:paraId="42603AE0" w14:textId="77777777" w:rsidR="00FD06ED" w:rsidRPr="00FD06ED" w:rsidRDefault="00FD06ED" w:rsidP="00FD06ED">
            <w:pPr>
              <w:spacing w:before="0" w:after="0" w:line="260" w:lineRule="atLeast"/>
              <w:ind w:left="0"/>
              <w:rPr>
                <w:rFonts w:eastAsia="Times New Roman" w:cs="Times New Roman"/>
                <w:sz w:val="18"/>
                <w:szCs w:val="20"/>
                <w:lang w:eastAsia="en-US"/>
              </w:rPr>
            </w:pP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00BF6E15" w14:textId="5246869A"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s="Times New Roman"/>
                <w:sz w:val="18"/>
                <w:szCs w:val="20"/>
                <w:lang w:eastAsia="en-US"/>
              </w:rPr>
              <w:t xml:space="preserve">The responsibility for the Information, Linkages and </w:t>
            </w:r>
            <w:r w:rsidR="00632EA6">
              <w:rPr>
                <w:rFonts w:eastAsia="Times New Roman" w:cs="Times New Roman"/>
                <w:sz w:val="18"/>
                <w:szCs w:val="20"/>
                <w:lang w:eastAsia="en-US"/>
              </w:rPr>
              <w:t>Capacity-building</w:t>
            </w:r>
            <w:r w:rsidRPr="00FD06ED">
              <w:rPr>
                <w:rFonts w:eastAsia="Times New Roman" w:cs="Times New Roman"/>
                <w:sz w:val="18"/>
                <w:szCs w:val="20"/>
                <w:lang w:eastAsia="en-US"/>
              </w:rPr>
              <w:t xml:space="preserve"> Program was transferred from the Agency to the Department of Social Services effective 31 January 2021 and therefore the budget for grant payments was nil. The Agency introduced Home and Living grants program to support the demonstration project initiative during the </w:t>
            </w:r>
            <w:r w:rsidR="00577731">
              <w:rPr>
                <w:rFonts w:eastAsia="Times New Roman" w:cs="Times New Roman"/>
                <w:sz w:val="18"/>
                <w:szCs w:val="20"/>
                <w:lang w:eastAsia="en-US"/>
              </w:rPr>
              <w:t>2021–</w:t>
            </w:r>
            <w:proofErr w:type="gramStart"/>
            <w:r w:rsidR="00577731">
              <w:rPr>
                <w:rFonts w:eastAsia="Times New Roman" w:cs="Times New Roman"/>
                <w:sz w:val="18"/>
                <w:szCs w:val="20"/>
                <w:lang w:eastAsia="en-US"/>
              </w:rPr>
              <w:t xml:space="preserve">22 </w:t>
            </w:r>
            <w:r w:rsidRPr="00FD06ED">
              <w:rPr>
                <w:rFonts w:eastAsia="Times New Roman" w:cs="Times New Roman"/>
                <w:sz w:val="18"/>
                <w:szCs w:val="20"/>
                <w:lang w:eastAsia="en-US"/>
              </w:rPr>
              <w:t xml:space="preserve"> financial</w:t>
            </w:r>
            <w:proofErr w:type="gramEnd"/>
            <w:r w:rsidRPr="00FD06ED">
              <w:rPr>
                <w:rFonts w:eastAsia="Times New Roman" w:cs="Times New Roman"/>
                <w:sz w:val="18"/>
                <w:szCs w:val="20"/>
                <w:lang w:eastAsia="en-US"/>
              </w:rPr>
              <w:t xml:space="preserve"> year which was not anticipated at the time of the Budget.</w:t>
            </w:r>
          </w:p>
        </w:tc>
      </w:tr>
      <w:tr w:rsidR="00FD06ED" w:rsidRPr="00FD06ED" w14:paraId="085DC319"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4718EA25"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Expenses</w:t>
            </w:r>
          </w:p>
          <w:p w14:paraId="21DB682F"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Participant plan expenses</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79388546"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s="Times New Roman"/>
                <w:sz w:val="18"/>
                <w:szCs w:val="20"/>
                <w:lang w:eastAsia="en-US"/>
              </w:rPr>
              <w:t>The Scheme has continued to experience strong growth in participant plan expenses as more participants join the Scheme than anticipated and average package costs rise. Additional funding was provided at MYEFO of $2,737m to fund these additional expenses which is not reflected in the Original Budget disclosure.</w:t>
            </w:r>
          </w:p>
        </w:tc>
      </w:tr>
      <w:tr w:rsidR="00FD06ED" w:rsidRPr="00FD06ED" w14:paraId="2354FF6E"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10124285"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olor w:val="000000"/>
                <w:sz w:val="18"/>
                <w:szCs w:val="18"/>
                <w:lang w:eastAsia="en-US"/>
              </w:rPr>
              <w:t>Expenses</w:t>
            </w:r>
            <w:r w:rsidRPr="00FD06ED">
              <w:rPr>
                <w:rFonts w:eastAsia="Times New Roman"/>
                <w:color w:val="000000"/>
                <w:sz w:val="18"/>
                <w:szCs w:val="18"/>
                <w:lang w:eastAsia="en-US"/>
              </w:rPr>
              <w:br/>
            </w:r>
            <w:r w:rsidRPr="00FD06ED">
              <w:rPr>
                <w:rFonts w:eastAsia="Times New Roman"/>
                <w:i/>
                <w:iCs/>
                <w:color w:val="000000"/>
                <w:sz w:val="18"/>
                <w:szCs w:val="18"/>
                <w:lang w:eastAsia="en-US"/>
              </w:rPr>
              <w:t>Finance Costs</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278E90C8" w14:textId="77777777" w:rsidR="00FD06ED" w:rsidRPr="00FD06ED" w:rsidRDefault="00FD06ED" w:rsidP="00FD06ED">
            <w:pPr>
              <w:spacing w:before="0" w:after="0" w:line="260" w:lineRule="atLeast"/>
              <w:ind w:left="0"/>
              <w:jc w:val="both"/>
              <w:rPr>
                <w:rFonts w:eastAsia="Times New Roman" w:cs="Times New Roman"/>
                <w:sz w:val="18"/>
                <w:szCs w:val="20"/>
                <w:lang w:eastAsia="en-US"/>
              </w:rPr>
            </w:pPr>
            <w:r w:rsidRPr="00FD06ED">
              <w:rPr>
                <w:rFonts w:eastAsia="Times New Roman" w:cs="Times New Roman"/>
                <w:sz w:val="18"/>
                <w:szCs w:val="20"/>
                <w:lang w:eastAsia="en-US"/>
              </w:rPr>
              <w:t>Finance costs have reduced with a reduction in the number of building and fleet leases and the impact of the change in accounting standard which was not fully anticipated in the Budget.</w:t>
            </w:r>
          </w:p>
        </w:tc>
      </w:tr>
      <w:tr w:rsidR="00FD06ED" w:rsidRPr="00FD06ED" w14:paraId="64F4812F"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0ED7F056" w14:textId="77777777" w:rsidR="00FD06ED" w:rsidRPr="00FD06ED" w:rsidRDefault="00FD06ED" w:rsidP="00FD06ED">
            <w:pPr>
              <w:spacing w:before="0" w:after="0" w:line="260" w:lineRule="atLeast"/>
              <w:ind w:left="0"/>
              <w:rPr>
                <w:rFonts w:eastAsia="Times New Roman"/>
                <w:color w:val="000000"/>
                <w:sz w:val="18"/>
                <w:szCs w:val="18"/>
                <w:lang w:eastAsia="en-US"/>
              </w:rPr>
            </w:pPr>
            <w:r w:rsidRPr="00FD06ED">
              <w:rPr>
                <w:rFonts w:eastAsia="Times New Roman"/>
                <w:color w:val="000000"/>
                <w:sz w:val="18"/>
                <w:szCs w:val="18"/>
                <w:lang w:eastAsia="en-US"/>
              </w:rPr>
              <w:t>Expenses</w:t>
            </w:r>
            <w:r w:rsidRPr="00FD06ED">
              <w:rPr>
                <w:rFonts w:eastAsia="Times New Roman"/>
                <w:color w:val="000000"/>
                <w:sz w:val="18"/>
                <w:szCs w:val="18"/>
                <w:lang w:eastAsia="en-US"/>
              </w:rPr>
              <w:br/>
            </w:r>
            <w:r w:rsidRPr="00FD06ED">
              <w:rPr>
                <w:rFonts w:eastAsia="Times New Roman"/>
                <w:i/>
                <w:iCs/>
                <w:color w:val="000000"/>
                <w:sz w:val="18"/>
                <w:szCs w:val="18"/>
                <w:lang w:eastAsia="en-US"/>
              </w:rPr>
              <w:t xml:space="preserve">Impairment loss on financial instruments, </w:t>
            </w:r>
            <w:proofErr w:type="gramStart"/>
            <w:r w:rsidRPr="00FD06ED">
              <w:rPr>
                <w:rFonts w:eastAsia="Times New Roman"/>
                <w:i/>
                <w:iCs/>
                <w:color w:val="000000"/>
                <w:sz w:val="18"/>
                <w:szCs w:val="18"/>
                <w:lang w:eastAsia="en-US"/>
              </w:rPr>
              <w:t>Write-down</w:t>
            </w:r>
            <w:proofErr w:type="gramEnd"/>
            <w:r w:rsidRPr="00FD06ED">
              <w:rPr>
                <w:rFonts w:eastAsia="Times New Roman"/>
                <w:i/>
                <w:iCs/>
                <w:color w:val="000000"/>
                <w:sz w:val="18"/>
                <w:szCs w:val="18"/>
                <w:lang w:eastAsia="en-US"/>
              </w:rPr>
              <w:t xml:space="preserve"> and impairment of other assets</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0D2BD0C3" w14:textId="77777777" w:rsidR="00FD06ED" w:rsidRPr="00FD06ED" w:rsidRDefault="00FD06ED" w:rsidP="00FD06ED">
            <w:pPr>
              <w:spacing w:before="0" w:after="0" w:line="260" w:lineRule="atLeast"/>
              <w:ind w:left="0"/>
              <w:jc w:val="both"/>
              <w:rPr>
                <w:rFonts w:eastAsia="Times New Roman" w:cs="Times New Roman"/>
                <w:sz w:val="18"/>
                <w:szCs w:val="20"/>
                <w:lang w:eastAsia="en-US"/>
              </w:rPr>
            </w:pPr>
            <w:r w:rsidRPr="00FD06ED">
              <w:rPr>
                <w:rFonts w:eastAsia="Times New Roman"/>
                <w:color w:val="000000"/>
                <w:sz w:val="18"/>
                <w:szCs w:val="18"/>
                <w:lang w:eastAsia="en-US"/>
              </w:rPr>
              <w:t xml:space="preserve">The Agency has continued to improve its debt management procedures. </w:t>
            </w:r>
            <w:proofErr w:type="gramStart"/>
            <w:r w:rsidRPr="00FD06ED">
              <w:rPr>
                <w:rFonts w:eastAsia="Times New Roman"/>
                <w:color w:val="000000"/>
                <w:sz w:val="18"/>
                <w:szCs w:val="18"/>
                <w:lang w:eastAsia="en-US"/>
              </w:rPr>
              <w:t>The majority of</w:t>
            </w:r>
            <w:proofErr w:type="gramEnd"/>
            <w:r w:rsidRPr="00FD06ED">
              <w:rPr>
                <w:rFonts w:eastAsia="Times New Roman"/>
                <w:color w:val="000000"/>
                <w:sz w:val="18"/>
                <w:szCs w:val="18"/>
                <w:lang w:eastAsia="en-US"/>
              </w:rPr>
              <w:t xml:space="preserve"> the write-offs relate to low value debts not economically feasible to recover.</w:t>
            </w:r>
          </w:p>
        </w:tc>
      </w:tr>
      <w:tr w:rsidR="00FD06ED" w:rsidRPr="00FD06ED" w14:paraId="636912E2"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130CD8B2"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Own-source revenue</w:t>
            </w:r>
          </w:p>
          <w:p w14:paraId="6EE1D85D"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iCs/>
                <w:sz w:val="18"/>
                <w:szCs w:val="20"/>
                <w:lang w:eastAsia="en-US"/>
              </w:rPr>
              <w:t>Rendering of Services</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69364E5C"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s="Times New Roman"/>
                <w:sz w:val="18"/>
                <w:szCs w:val="20"/>
                <w:lang w:eastAsia="en-US"/>
              </w:rPr>
              <w:t>The Scheme has continued to experience strong growth in participant plan expenses as more participants join the Scheme than anticipated and average package costs rise. Additional funding was provided at MYEFO of $2,737m which is not reflected in the Original Budget disclosure.</w:t>
            </w:r>
          </w:p>
        </w:tc>
      </w:tr>
      <w:tr w:rsidR="00FD06ED" w:rsidRPr="00FD06ED" w14:paraId="48229741"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510664C8"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olor w:val="000000"/>
                <w:sz w:val="18"/>
                <w:szCs w:val="18"/>
                <w:lang w:eastAsia="en-US"/>
              </w:rPr>
              <w:t>Own-source revenue</w:t>
            </w:r>
            <w:r w:rsidRPr="00FD06ED">
              <w:rPr>
                <w:rFonts w:eastAsia="Times New Roman"/>
                <w:color w:val="000000"/>
                <w:sz w:val="18"/>
                <w:szCs w:val="18"/>
                <w:lang w:eastAsia="en-US"/>
              </w:rPr>
              <w:br/>
            </w:r>
            <w:r w:rsidRPr="00FD06ED">
              <w:rPr>
                <w:rFonts w:eastAsia="Times New Roman"/>
                <w:i/>
                <w:iCs/>
                <w:color w:val="000000"/>
                <w:sz w:val="18"/>
                <w:szCs w:val="18"/>
                <w:lang w:eastAsia="en-US"/>
              </w:rPr>
              <w:t>Interest, Rent, Other revenue</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7D553015" w14:textId="77777777" w:rsidR="00FD06ED" w:rsidRPr="00FD06ED" w:rsidRDefault="00FD06ED" w:rsidP="00FD06ED">
            <w:pPr>
              <w:spacing w:before="0" w:after="0" w:line="260" w:lineRule="atLeast"/>
              <w:ind w:left="0"/>
              <w:jc w:val="both"/>
              <w:rPr>
                <w:rFonts w:eastAsia="Times New Roman" w:cs="Times New Roman"/>
                <w:sz w:val="18"/>
                <w:szCs w:val="20"/>
                <w:lang w:eastAsia="en-US"/>
              </w:rPr>
            </w:pPr>
            <w:r w:rsidRPr="00FD06ED">
              <w:rPr>
                <w:rFonts w:eastAsia="Times New Roman"/>
                <w:color w:val="000000"/>
                <w:sz w:val="18"/>
                <w:szCs w:val="18"/>
                <w:lang w:eastAsia="en-US"/>
              </w:rPr>
              <w:t xml:space="preserve">The increase in </w:t>
            </w:r>
            <w:r w:rsidRPr="00FD06ED">
              <w:rPr>
                <w:rFonts w:eastAsia="Times New Roman"/>
                <w:i/>
                <w:iCs/>
                <w:color w:val="000000"/>
                <w:sz w:val="18"/>
                <w:szCs w:val="18"/>
                <w:lang w:eastAsia="en-US"/>
              </w:rPr>
              <w:t>Interest revenue</w:t>
            </w:r>
            <w:r w:rsidRPr="00FD06ED">
              <w:rPr>
                <w:rFonts w:eastAsia="Times New Roman"/>
                <w:color w:val="000000"/>
                <w:sz w:val="18"/>
                <w:szCs w:val="18"/>
                <w:lang w:eastAsia="en-US"/>
              </w:rPr>
              <w:t xml:space="preserve"> reflects higher than expected interest rates noting the Agency continues to actively invest surplus cash in term deposits to increase its returns, this is reflected in the </w:t>
            </w:r>
            <w:r w:rsidRPr="00FD06ED">
              <w:rPr>
                <w:rFonts w:eastAsia="Times New Roman"/>
                <w:i/>
                <w:iCs/>
                <w:color w:val="000000"/>
                <w:sz w:val="18"/>
                <w:szCs w:val="18"/>
                <w:lang w:eastAsia="en-US"/>
              </w:rPr>
              <w:t>Purchases of financial instruments</w:t>
            </w:r>
            <w:r w:rsidRPr="00FD06ED">
              <w:rPr>
                <w:rFonts w:eastAsia="Times New Roman"/>
                <w:color w:val="000000"/>
                <w:sz w:val="18"/>
                <w:szCs w:val="18"/>
                <w:lang w:eastAsia="en-US"/>
              </w:rPr>
              <w:t xml:space="preserve">.  </w:t>
            </w:r>
            <w:r w:rsidRPr="00FD06ED">
              <w:rPr>
                <w:rFonts w:eastAsia="Times New Roman"/>
                <w:i/>
                <w:iCs/>
                <w:color w:val="000000"/>
                <w:sz w:val="18"/>
                <w:szCs w:val="18"/>
                <w:lang w:eastAsia="en-US"/>
              </w:rPr>
              <w:t>Rent</w:t>
            </w:r>
            <w:r w:rsidRPr="00FD06ED">
              <w:rPr>
                <w:rFonts w:eastAsia="Times New Roman"/>
                <w:color w:val="000000"/>
                <w:sz w:val="18"/>
                <w:szCs w:val="18"/>
                <w:lang w:eastAsia="en-US"/>
              </w:rPr>
              <w:t xml:space="preserve"> reflects subleases to other Commonwealth entities to optimise utilisation of property resources. </w:t>
            </w:r>
            <w:r w:rsidRPr="00FD06ED">
              <w:rPr>
                <w:rFonts w:eastAsia="Times New Roman"/>
                <w:i/>
                <w:iCs/>
                <w:color w:val="000000"/>
                <w:sz w:val="18"/>
                <w:szCs w:val="18"/>
                <w:lang w:eastAsia="en-US"/>
              </w:rPr>
              <w:t>Other revenue</w:t>
            </w:r>
            <w:r w:rsidRPr="00FD06ED">
              <w:rPr>
                <w:rFonts w:eastAsia="Times New Roman"/>
                <w:color w:val="000000"/>
                <w:sz w:val="18"/>
                <w:szCs w:val="18"/>
                <w:lang w:eastAsia="en-US"/>
              </w:rPr>
              <w:t xml:space="preserve"> includes compensation payments received by the participants which are recovered by the Scheme for supports provided.  Rent and compensation receipts are not included in Agency budget considerations.</w:t>
            </w:r>
          </w:p>
        </w:tc>
      </w:tr>
      <w:tr w:rsidR="00FD06ED" w:rsidRPr="00FD06ED" w14:paraId="409490F0"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72117BBE"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 xml:space="preserve">Gains </w:t>
            </w:r>
          </w:p>
          <w:p w14:paraId="23C50DC7"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Other gains</w:t>
            </w:r>
          </w:p>
          <w:p w14:paraId="59AE588B" w14:textId="77777777" w:rsidR="00FD06ED" w:rsidRPr="00FD06ED" w:rsidRDefault="00FD06ED" w:rsidP="00FD06ED">
            <w:pPr>
              <w:spacing w:before="0" w:after="0" w:line="260" w:lineRule="atLeast"/>
              <w:ind w:left="0"/>
              <w:rPr>
                <w:rFonts w:eastAsia="Times New Roman" w:cs="Times New Roman"/>
                <w:sz w:val="18"/>
                <w:szCs w:val="20"/>
                <w:lang w:eastAsia="en-US"/>
              </w:rPr>
            </w:pP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1087B0C1"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i/>
                <w:iCs/>
                <w:color w:val="000000"/>
                <w:sz w:val="18"/>
                <w:szCs w:val="18"/>
                <w:lang w:eastAsia="en-US"/>
              </w:rPr>
              <w:t>Other gains</w:t>
            </w:r>
            <w:r w:rsidRPr="00FD06ED">
              <w:rPr>
                <w:rFonts w:eastAsia="Times New Roman"/>
                <w:color w:val="000000"/>
                <w:sz w:val="18"/>
                <w:szCs w:val="18"/>
                <w:lang w:eastAsia="en-US"/>
              </w:rPr>
              <w:t xml:space="preserve"> include in-kind contributions made to the Scheme by state and territory governments. The programs subject to in-kind contributions will continue to reduce as their services are transferred to the Scheme, the variance to budget reflects a higher than expected transition rate.  The value of in-kind contributions claimed by the states and territories was also lower than anticipated in the Budget.</w:t>
            </w:r>
          </w:p>
        </w:tc>
      </w:tr>
      <w:tr w:rsidR="00FD06ED" w:rsidRPr="00FD06ED" w14:paraId="7D126E9D"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1E892334"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Revenue from Government</w:t>
            </w:r>
          </w:p>
          <w:p w14:paraId="0E183778" w14:textId="77777777" w:rsidR="00FD06ED" w:rsidRPr="00FD06ED" w:rsidRDefault="00FD06ED" w:rsidP="00FD06ED">
            <w:pPr>
              <w:spacing w:before="0" w:after="0" w:line="260" w:lineRule="atLeast"/>
              <w:ind w:left="0"/>
              <w:rPr>
                <w:rFonts w:eastAsia="Times New Roman" w:cs="Times New Roman"/>
                <w:sz w:val="18"/>
                <w:szCs w:val="20"/>
                <w:lang w:eastAsia="en-US"/>
              </w:rPr>
            </w:pP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5214A533"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At MYEFO the Agency received additional Commonwealth funding of $25.9m to support NDIA initiatives.</w:t>
            </w:r>
          </w:p>
        </w:tc>
      </w:tr>
      <w:tr w:rsidR="00FD06ED" w:rsidRPr="00FD06ED" w14:paraId="4009B669" w14:textId="77777777" w:rsidTr="005C33EF">
        <w:trPr>
          <w:cantSplit/>
          <w:trHeight w:val="255"/>
          <w:tblHeader/>
        </w:trPr>
        <w:tc>
          <w:tcPr>
            <w:tcW w:w="2694" w:type="dxa"/>
            <w:tcBorders>
              <w:top w:val="single" w:sz="8" w:space="0" w:color="auto"/>
              <w:left w:val="single" w:sz="8" w:space="0" w:color="auto"/>
              <w:bottom w:val="single" w:sz="8" w:space="0" w:color="auto"/>
              <w:right w:val="single" w:sz="8" w:space="0" w:color="auto"/>
            </w:tcBorders>
            <w:shd w:val="clear" w:color="FFFFFF" w:fill="FFFFFF"/>
            <w:noWrap/>
          </w:tcPr>
          <w:p w14:paraId="472A7C1D"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olor w:val="000000"/>
                <w:sz w:val="18"/>
                <w:szCs w:val="18"/>
                <w:lang w:eastAsia="en-US"/>
              </w:rPr>
              <w:t>Other Comprehensive Income</w:t>
            </w:r>
            <w:r w:rsidRPr="00FD06ED">
              <w:rPr>
                <w:rFonts w:eastAsia="Times New Roman"/>
                <w:color w:val="000000"/>
                <w:sz w:val="18"/>
                <w:szCs w:val="18"/>
                <w:lang w:eastAsia="en-US"/>
              </w:rPr>
              <w:br/>
            </w:r>
            <w:r w:rsidRPr="00FD06ED">
              <w:rPr>
                <w:rFonts w:eastAsia="Times New Roman"/>
                <w:i/>
                <w:iCs/>
                <w:color w:val="000000"/>
                <w:sz w:val="18"/>
                <w:szCs w:val="18"/>
                <w:lang w:eastAsia="en-US"/>
              </w:rPr>
              <w:t>Changes in asset revaluation reserve</w:t>
            </w:r>
          </w:p>
        </w:tc>
        <w:tc>
          <w:tcPr>
            <w:tcW w:w="6662" w:type="dxa"/>
            <w:tcBorders>
              <w:top w:val="single" w:sz="8" w:space="0" w:color="auto"/>
              <w:left w:val="single" w:sz="8" w:space="0" w:color="auto"/>
              <w:bottom w:val="single" w:sz="8" w:space="0" w:color="auto"/>
              <w:right w:val="single" w:sz="8" w:space="0" w:color="auto"/>
            </w:tcBorders>
            <w:shd w:val="clear" w:color="FFFFFF" w:fill="FFFFFF"/>
            <w:vAlign w:val="center"/>
          </w:tcPr>
          <w:p w14:paraId="43E840C6" w14:textId="77777777" w:rsidR="00FD06ED" w:rsidRPr="00FD06ED" w:rsidRDefault="00FD06ED" w:rsidP="00FD06ED">
            <w:pPr>
              <w:spacing w:before="0" w:after="0" w:line="260" w:lineRule="atLeast"/>
              <w:ind w:left="0"/>
              <w:jc w:val="both"/>
              <w:rPr>
                <w:rFonts w:eastAsia="Times New Roman"/>
                <w:color w:val="000000"/>
                <w:sz w:val="18"/>
                <w:szCs w:val="18"/>
                <w:lang w:eastAsia="en-US"/>
              </w:rPr>
            </w:pPr>
            <w:r w:rsidRPr="00FD06ED">
              <w:rPr>
                <w:rFonts w:eastAsia="Times New Roman"/>
                <w:color w:val="000000"/>
                <w:sz w:val="18"/>
                <w:szCs w:val="18"/>
                <w:lang w:eastAsia="en-US"/>
              </w:rPr>
              <w:t>The review of the Agency's leasehold improvements resulted in a revaluation decrement of $1.1m during the year. This was recorded in the asset revaluation reserve. This was not considered in the budget.</w:t>
            </w:r>
          </w:p>
        </w:tc>
      </w:tr>
    </w:tbl>
    <w:p w14:paraId="4FA7A2C0" w14:textId="77777777" w:rsidR="00FD06ED" w:rsidRPr="00FD06ED" w:rsidRDefault="00FD06ED" w:rsidP="00FD06ED">
      <w:pPr>
        <w:spacing w:before="0" w:after="80"/>
        <w:ind w:left="426" w:hanging="142"/>
        <w:rPr>
          <w:rFonts w:eastAsia="Times New Roman" w:cs="Times New Roman"/>
          <w:sz w:val="18"/>
          <w:szCs w:val="20"/>
          <w:lang w:eastAsia="en-AU"/>
        </w:rPr>
        <w:sectPr w:rsidR="00FD06ED" w:rsidRPr="00FD06ED" w:rsidSect="00BE00CF">
          <w:headerReference w:type="even" r:id="rId58"/>
          <w:headerReference w:type="default" r:id="rId59"/>
          <w:headerReference w:type="first" r:id="rId60"/>
          <w:pgSz w:w="11906" w:h="16838" w:code="9"/>
          <w:pgMar w:top="1134" w:right="1700" w:bottom="1134" w:left="1134" w:header="958" w:footer="737" w:gutter="0"/>
          <w:cols w:space="708"/>
          <w:docGrid w:linePitch="360"/>
        </w:sectPr>
      </w:pPr>
    </w:p>
    <w:tbl>
      <w:tblPr>
        <w:tblW w:w="9087" w:type="dxa"/>
        <w:tblLayout w:type="fixed"/>
        <w:tblCellMar>
          <w:left w:w="57" w:type="dxa"/>
          <w:right w:w="57" w:type="dxa"/>
        </w:tblCellMar>
        <w:tblLook w:val="04A0" w:firstRow="1" w:lastRow="0" w:firstColumn="1" w:lastColumn="0" w:noHBand="0" w:noVBand="1"/>
      </w:tblPr>
      <w:tblGrid>
        <w:gridCol w:w="4214"/>
        <w:gridCol w:w="1267"/>
        <w:gridCol w:w="1050"/>
        <w:gridCol w:w="236"/>
        <w:gridCol w:w="1042"/>
        <w:gridCol w:w="236"/>
        <w:gridCol w:w="1042"/>
      </w:tblGrid>
      <w:tr w:rsidR="00FD06ED" w:rsidRPr="00FD06ED" w14:paraId="01EB6365" w14:textId="77777777" w:rsidTr="005C33EF">
        <w:trPr>
          <w:trHeight w:val="510"/>
        </w:trPr>
        <w:tc>
          <w:tcPr>
            <w:tcW w:w="4214" w:type="dxa"/>
            <w:tcBorders>
              <w:top w:val="single" w:sz="8" w:space="0" w:color="800080"/>
              <w:left w:val="nil"/>
              <w:bottom w:val="nil"/>
              <w:right w:val="nil"/>
            </w:tcBorders>
            <w:shd w:val="clear" w:color="FFFFFF" w:fill="FFFFFF"/>
            <w:noWrap/>
            <w:vAlign w:val="bottom"/>
            <w:hideMark/>
          </w:tcPr>
          <w:p w14:paraId="6D1B79F6" w14:textId="77777777" w:rsidR="00FD06ED" w:rsidRPr="00FD06ED" w:rsidRDefault="00FD06ED" w:rsidP="00FD06ED">
            <w:pPr>
              <w:spacing w:before="0" w:after="0" w:line="260" w:lineRule="atLeast"/>
              <w:ind w:left="0"/>
              <w:rPr>
                <w:rFonts w:eastAsia="Times New Roman"/>
                <w:sz w:val="18"/>
                <w:szCs w:val="18"/>
                <w:lang w:eastAsia="en-US"/>
              </w:rPr>
            </w:pPr>
            <w:bookmarkStart w:id="109" w:name="Note_DBSTABLE1" w:colFirst="0" w:colLast="0"/>
            <w:r w:rsidRPr="00FD06ED">
              <w:rPr>
                <w:rFonts w:eastAsia="Times New Roman"/>
                <w:sz w:val="18"/>
                <w:szCs w:val="18"/>
                <w:lang w:eastAsia="en-US"/>
              </w:rPr>
              <w:lastRenderedPageBreak/>
              <w:t> </w:t>
            </w:r>
          </w:p>
        </w:tc>
        <w:tc>
          <w:tcPr>
            <w:tcW w:w="1267" w:type="dxa"/>
            <w:tcBorders>
              <w:top w:val="single" w:sz="8" w:space="0" w:color="800080"/>
              <w:left w:val="nil"/>
              <w:bottom w:val="nil"/>
              <w:right w:val="nil"/>
            </w:tcBorders>
            <w:shd w:val="clear" w:color="FFFFFF" w:fill="FFFFFF"/>
            <w:noWrap/>
            <w:vAlign w:val="bottom"/>
            <w:hideMark/>
          </w:tcPr>
          <w:p w14:paraId="5222C6E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0" w:type="dxa"/>
            <w:tcBorders>
              <w:top w:val="single" w:sz="8" w:space="0" w:color="800080"/>
              <w:left w:val="nil"/>
              <w:bottom w:val="nil"/>
              <w:right w:val="nil"/>
            </w:tcBorders>
            <w:shd w:val="clear" w:color="FFFFFF" w:fill="FFFFFF"/>
            <w:noWrap/>
            <w:vAlign w:val="bottom"/>
            <w:hideMark/>
          </w:tcPr>
          <w:p w14:paraId="1B3490F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4AAA046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8" w:space="0" w:color="800080"/>
              <w:left w:val="nil"/>
              <w:bottom w:val="nil"/>
              <w:right w:val="nil"/>
            </w:tcBorders>
            <w:shd w:val="clear" w:color="FFFFFF" w:fill="FFFFFF"/>
            <w:noWrap/>
            <w:vAlign w:val="bottom"/>
            <w:hideMark/>
          </w:tcPr>
          <w:p w14:paraId="7778F2B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7604088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8" w:space="0" w:color="800080"/>
              <w:left w:val="nil"/>
              <w:bottom w:val="nil"/>
              <w:right w:val="nil"/>
            </w:tcBorders>
            <w:shd w:val="clear" w:color="FFFFFF" w:fill="FFFFFF"/>
            <w:vAlign w:val="bottom"/>
            <w:hideMark/>
          </w:tcPr>
          <w:p w14:paraId="13C83023"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r>
      <w:bookmarkEnd w:id="109"/>
      <w:tr w:rsidR="00FD06ED" w:rsidRPr="00FD06ED" w14:paraId="28667649" w14:textId="77777777" w:rsidTr="005C33EF">
        <w:trPr>
          <w:trHeight w:val="255"/>
        </w:trPr>
        <w:tc>
          <w:tcPr>
            <w:tcW w:w="4214" w:type="dxa"/>
            <w:tcBorders>
              <w:top w:val="nil"/>
              <w:left w:val="nil"/>
              <w:bottom w:val="nil"/>
              <w:right w:val="nil"/>
            </w:tcBorders>
            <w:shd w:val="clear" w:color="FFFFFF" w:fill="FFFFFF"/>
            <w:noWrap/>
            <w:vAlign w:val="bottom"/>
            <w:hideMark/>
          </w:tcPr>
          <w:p w14:paraId="3E50C16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3B18709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33A488C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36" w:type="dxa"/>
            <w:tcBorders>
              <w:top w:val="nil"/>
              <w:left w:val="nil"/>
              <w:bottom w:val="nil"/>
              <w:right w:val="nil"/>
            </w:tcBorders>
            <w:shd w:val="clear" w:color="FFFFFF" w:fill="FFFFFF"/>
            <w:noWrap/>
            <w:vAlign w:val="bottom"/>
            <w:hideMark/>
          </w:tcPr>
          <w:p w14:paraId="4A211DE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385034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c>
          <w:tcPr>
            <w:tcW w:w="236" w:type="dxa"/>
            <w:tcBorders>
              <w:top w:val="nil"/>
              <w:left w:val="nil"/>
              <w:bottom w:val="nil"/>
              <w:right w:val="nil"/>
            </w:tcBorders>
            <w:shd w:val="clear" w:color="FFFFFF" w:fill="FFFFFF"/>
            <w:noWrap/>
            <w:vAlign w:val="bottom"/>
            <w:hideMark/>
          </w:tcPr>
          <w:p w14:paraId="50DC9FC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AE96F7A"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r>
      <w:tr w:rsidR="00FD06ED" w:rsidRPr="00FD06ED" w14:paraId="6907822D" w14:textId="77777777" w:rsidTr="005C33EF">
        <w:trPr>
          <w:trHeight w:val="270"/>
        </w:trPr>
        <w:tc>
          <w:tcPr>
            <w:tcW w:w="4214" w:type="dxa"/>
            <w:tcBorders>
              <w:top w:val="nil"/>
              <w:left w:val="nil"/>
              <w:bottom w:val="single" w:sz="8" w:space="0" w:color="800080"/>
              <w:right w:val="nil"/>
            </w:tcBorders>
            <w:shd w:val="clear" w:color="FFFFFF" w:fill="FFFFFF"/>
            <w:noWrap/>
            <w:vAlign w:val="bottom"/>
            <w:hideMark/>
          </w:tcPr>
          <w:p w14:paraId="7DD4959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single" w:sz="8" w:space="0" w:color="800080"/>
              <w:right w:val="nil"/>
            </w:tcBorders>
            <w:shd w:val="clear" w:color="FFFFFF" w:fill="FFFFFF"/>
            <w:noWrap/>
            <w:vAlign w:val="bottom"/>
            <w:hideMark/>
          </w:tcPr>
          <w:p w14:paraId="5F7D036C" w14:textId="77777777" w:rsidR="00FD06ED" w:rsidRPr="00FD06ED" w:rsidRDefault="00FD06ED" w:rsidP="00FD06ED">
            <w:pPr>
              <w:spacing w:before="0" w:after="0" w:line="260" w:lineRule="atLeast"/>
              <w:ind w:left="0"/>
              <w:jc w:val="center"/>
              <w:rPr>
                <w:rFonts w:eastAsia="Times New Roman"/>
                <w:b/>
                <w:bCs/>
                <w:sz w:val="18"/>
                <w:szCs w:val="18"/>
                <w:lang w:eastAsia="en-US"/>
              </w:rPr>
            </w:pPr>
            <w:r w:rsidRPr="00FD06ED">
              <w:rPr>
                <w:rFonts w:eastAsia="Times New Roman"/>
                <w:b/>
                <w:bCs/>
                <w:sz w:val="18"/>
                <w:szCs w:val="18"/>
                <w:lang w:eastAsia="en-US"/>
              </w:rPr>
              <w:t>Notes</w:t>
            </w:r>
          </w:p>
        </w:tc>
        <w:tc>
          <w:tcPr>
            <w:tcW w:w="1050" w:type="dxa"/>
            <w:tcBorders>
              <w:top w:val="nil"/>
              <w:left w:val="nil"/>
              <w:bottom w:val="single" w:sz="8" w:space="0" w:color="800080"/>
              <w:right w:val="nil"/>
            </w:tcBorders>
            <w:shd w:val="clear" w:color="FFFFFF" w:fill="FFFFFF"/>
            <w:noWrap/>
            <w:vAlign w:val="bottom"/>
            <w:hideMark/>
          </w:tcPr>
          <w:p w14:paraId="59F9407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4A2A12B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single" w:sz="8" w:space="0" w:color="800080"/>
              <w:right w:val="nil"/>
            </w:tcBorders>
            <w:shd w:val="clear" w:color="FFFFFF" w:fill="FFFFFF"/>
            <w:noWrap/>
            <w:vAlign w:val="bottom"/>
            <w:hideMark/>
          </w:tcPr>
          <w:p w14:paraId="4B1C738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1D8A0B9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single" w:sz="8" w:space="0" w:color="800080"/>
              <w:right w:val="nil"/>
            </w:tcBorders>
            <w:shd w:val="clear" w:color="FFFFFF" w:fill="FFFFFF"/>
            <w:noWrap/>
            <w:vAlign w:val="bottom"/>
            <w:hideMark/>
          </w:tcPr>
          <w:p w14:paraId="53EA929D" w14:textId="77777777" w:rsidR="00FD06ED" w:rsidRPr="00FD06ED" w:rsidRDefault="00FD06ED" w:rsidP="00FD06ED">
            <w:pPr>
              <w:spacing w:before="0" w:after="0" w:line="260" w:lineRule="atLeast"/>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r>
      <w:tr w:rsidR="00FD06ED" w:rsidRPr="00FD06ED" w14:paraId="1E9D266D" w14:textId="77777777" w:rsidTr="005C33EF">
        <w:trPr>
          <w:trHeight w:val="255"/>
        </w:trPr>
        <w:tc>
          <w:tcPr>
            <w:tcW w:w="4214" w:type="dxa"/>
            <w:tcBorders>
              <w:top w:val="nil"/>
              <w:left w:val="nil"/>
              <w:bottom w:val="nil"/>
              <w:right w:val="nil"/>
            </w:tcBorders>
            <w:shd w:val="clear" w:color="FFFFFF" w:fill="FFFFFF"/>
            <w:vAlign w:val="bottom"/>
            <w:hideMark/>
          </w:tcPr>
          <w:p w14:paraId="6019DCD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ASSETS</w:t>
            </w:r>
          </w:p>
        </w:tc>
        <w:tc>
          <w:tcPr>
            <w:tcW w:w="1267" w:type="dxa"/>
            <w:tcBorders>
              <w:top w:val="nil"/>
              <w:left w:val="nil"/>
              <w:bottom w:val="nil"/>
              <w:right w:val="nil"/>
            </w:tcBorders>
            <w:shd w:val="clear" w:color="FFFFFF" w:fill="FFFFFF"/>
            <w:noWrap/>
            <w:vAlign w:val="bottom"/>
            <w:hideMark/>
          </w:tcPr>
          <w:p w14:paraId="5B397AB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4726C10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4C853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431AE4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0F7E82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19224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6874A49A" w14:textId="77777777" w:rsidTr="005C33EF">
        <w:trPr>
          <w:trHeight w:val="255"/>
        </w:trPr>
        <w:tc>
          <w:tcPr>
            <w:tcW w:w="4214" w:type="dxa"/>
            <w:tcBorders>
              <w:top w:val="nil"/>
              <w:left w:val="nil"/>
              <w:bottom w:val="nil"/>
              <w:right w:val="nil"/>
            </w:tcBorders>
            <w:shd w:val="clear" w:color="FFFFFF" w:fill="FFFFFF"/>
            <w:vAlign w:val="bottom"/>
            <w:hideMark/>
          </w:tcPr>
          <w:p w14:paraId="0DD7F75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Financial assets</w:t>
            </w:r>
          </w:p>
        </w:tc>
        <w:tc>
          <w:tcPr>
            <w:tcW w:w="1267" w:type="dxa"/>
            <w:tcBorders>
              <w:top w:val="nil"/>
              <w:left w:val="nil"/>
              <w:bottom w:val="nil"/>
              <w:right w:val="nil"/>
            </w:tcBorders>
            <w:shd w:val="clear" w:color="FFFFFF" w:fill="FFFFFF"/>
            <w:noWrap/>
            <w:vAlign w:val="bottom"/>
            <w:hideMark/>
          </w:tcPr>
          <w:p w14:paraId="3139ADD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0CCEB8A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18F4E5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21BE22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634AA6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D7ABB6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119BEC69" w14:textId="77777777" w:rsidTr="005C33EF">
        <w:trPr>
          <w:trHeight w:val="255"/>
        </w:trPr>
        <w:tc>
          <w:tcPr>
            <w:tcW w:w="4214" w:type="dxa"/>
            <w:tcBorders>
              <w:top w:val="nil"/>
              <w:left w:val="nil"/>
              <w:bottom w:val="nil"/>
              <w:right w:val="nil"/>
            </w:tcBorders>
            <w:shd w:val="clear" w:color="FFFFFF" w:fill="FFFFFF"/>
            <w:vAlign w:val="bottom"/>
            <w:hideMark/>
          </w:tcPr>
          <w:p w14:paraId="5DDB92B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Cash and cash equivalents</w:t>
            </w:r>
          </w:p>
        </w:tc>
        <w:tc>
          <w:tcPr>
            <w:tcW w:w="1267" w:type="dxa"/>
            <w:tcBorders>
              <w:top w:val="nil"/>
              <w:left w:val="nil"/>
              <w:bottom w:val="nil"/>
              <w:right w:val="nil"/>
            </w:tcBorders>
            <w:shd w:val="clear" w:color="FFFFFF" w:fill="FFFFFF"/>
            <w:noWrap/>
            <w:vAlign w:val="bottom"/>
            <w:hideMark/>
          </w:tcPr>
          <w:p w14:paraId="4B98707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2.1A</w:t>
            </w:r>
          </w:p>
        </w:tc>
        <w:tc>
          <w:tcPr>
            <w:tcW w:w="1050" w:type="dxa"/>
            <w:tcBorders>
              <w:top w:val="nil"/>
              <w:left w:val="nil"/>
              <w:bottom w:val="nil"/>
              <w:right w:val="nil"/>
            </w:tcBorders>
            <w:shd w:val="clear" w:color="FFFFFF" w:fill="FFFFFF"/>
            <w:noWrap/>
            <w:vAlign w:val="bottom"/>
            <w:hideMark/>
          </w:tcPr>
          <w:p w14:paraId="321F53F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1,918,956</w:t>
            </w:r>
          </w:p>
        </w:tc>
        <w:tc>
          <w:tcPr>
            <w:tcW w:w="236" w:type="dxa"/>
            <w:tcBorders>
              <w:top w:val="nil"/>
              <w:left w:val="nil"/>
              <w:bottom w:val="nil"/>
              <w:right w:val="nil"/>
            </w:tcBorders>
            <w:shd w:val="clear" w:color="FFFFFF" w:fill="FFFFFF"/>
            <w:noWrap/>
            <w:vAlign w:val="bottom"/>
            <w:hideMark/>
          </w:tcPr>
          <w:p w14:paraId="76E59A5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15F443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1,819,084</w:t>
            </w:r>
          </w:p>
        </w:tc>
        <w:tc>
          <w:tcPr>
            <w:tcW w:w="236" w:type="dxa"/>
            <w:tcBorders>
              <w:top w:val="nil"/>
              <w:left w:val="nil"/>
              <w:bottom w:val="nil"/>
              <w:right w:val="nil"/>
            </w:tcBorders>
            <w:shd w:val="clear" w:color="FFFFFF" w:fill="FFFFFF"/>
            <w:noWrap/>
            <w:vAlign w:val="bottom"/>
            <w:hideMark/>
          </w:tcPr>
          <w:p w14:paraId="1EC7C90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17787A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3,073,650</w:t>
            </w:r>
          </w:p>
        </w:tc>
      </w:tr>
      <w:tr w:rsidR="00FD06ED" w:rsidRPr="00FD06ED" w14:paraId="0BB26D93" w14:textId="77777777" w:rsidTr="005C33EF">
        <w:trPr>
          <w:trHeight w:val="255"/>
        </w:trPr>
        <w:tc>
          <w:tcPr>
            <w:tcW w:w="4214" w:type="dxa"/>
            <w:tcBorders>
              <w:top w:val="nil"/>
              <w:left w:val="nil"/>
              <w:bottom w:val="nil"/>
              <w:right w:val="nil"/>
            </w:tcBorders>
            <w:shd w:val="clear" w:color="FFFFFF" w:fill="FFFFFF"/>
            <w:vAlign w:val="bottom"/>
            <w:hideMark/>
          </w:tcPr>
          <w:p w14:paraId="25C92A6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Trade and other receivables</w:t>
            </w:r>
          </w:p>
        </w:tc>
        <w:tc>
          <w:tcPr>
            <w:tcW w:w="1267" w:type="dxa"/>
            <w:tcBorders>
              <w:top w:val="nil"/>
              <w:left w:val="nil"/>
              <w:bottom w:val="nil"/>
              <w:right w:val="nil"/>
            </w:tcBorders>
            <w:shd w:val="clear" w:color="FFFFFF" w:fill="FFFFFF"/>
            <w:noWrap/>
            <w:vAlign w:val="bottom"/>
            <w:hideMark/>
          </w:tcPr>
          <w:p w14:paraId="316D468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2.1B</w:t>
            </w:r>
          </w:p>
        </w:tc>
        <w:tc>
          <w:tcPr>
            <w:tcW w:w="1050" w:type="dxa"/>
            <w:tcBorders>
              <w:top w:val="nil"/>
              <w:left w:val="nil"/>
              <w:bottom w:val="nil"/>
              <w:right w:val="nil"/>
            </w:tcBorders>
            <w:shd w:val="clear" w:color="FFFFFF" w:fill="FFFFFF"/>
            <w:noWrap/>
            <w:vAlign w:val="bottom"/>
            <w:hideMark/>
          </w:tcPr>
          <w:p w14:paraId="4836917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48,920</w:t>
            </w:r>
          </w:p>
        </w:tc>
        <w:tc>
          <w:tcPr>
            <w:tcW w:w="236" w:type="dxa"/>
            <w:tcBorders>
              <w:top w:val="nil"/>
              <w:left w:val="nil"/>
              <w:bottom w:val="nil"/>
              <w:right w:val="nil"/>
            </w:tcBorders>
            <w:shd w:val="clear" w:color="FFFFFF" w:fill="FFFFFF"/>
            <w:noWrap/>
            <w:vAlign w:val="bottom"/>
            <w:hideMark/>
          </w:tcPr>
          <w:p w14:paraId="70774A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2B706E9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55,498</w:t>
            </w:r>
          </w:p>
        </w:tc>
        <w:tc>
          <w:tcPr>
            <w:tcW w:w="236" w:type="dxa"/>
            <w:tcBorders>
              <w:top w:val="nil"/>
              <w:left w:val="nil"/>
              <w:bottom w:val="nil"/>
              <w:right w:val="nil"/>
            </w:tcBorders>
            <w:shd w:val="clear" w:color="FFFFFF" w:fill="FFFFFF"/>
            <w:noWrap/>
            <w:vAlign w:val="bottom"/>
            <w:hideMark/>
          </w:tcPr>
          <w:p w14:paraId="134FECC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C3B582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399,374</w:t>
            </w:r>
          </w:p>
        </w:tc>
      </w:tr>
      <w:tr w:rsidR="00FD06ED" w:rsidRPr="00FD06ED" w14:paraId="3718E8F0" w14:textId="77777777" w:rsidTr="005C33EF">
        <w:trPr>
          <w:trHeight w:val="255"/>
        </w:trPr>
        <w:tc>
          <w:tcPr>
            <w:tcW w:w="4214" w:type="dxa"/>
            <w:tcBorders>
              <w:top w:val="nil"/>
              <w:left w:val="nil"/>
              <w:bottom w:val="nil"/>
              <w:right w:val="nil"/>
            </w:tcBorders>
            <w:shd w:val="clear" w:color="FFFFFF" w:fill="FFFFFF"/>
            <w:vAlign w:val="bottom"/>
            <w:hideMark/>
          </w:tcPr>
          <w:p w14:paraId="57224EEF"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financial assets</w:t>
            </w:r>
          </w:p>
        </w:tc>
        <w:tc>
          <w:tcPr>
            <w:tcW w:w="1267" w:type="dxa"/>
            <w:tcBorders>
              <w:top w:val="nil"/>
              <w:left w:val="nil"/>
              <w:bottom w:val="nil"/>
              <w:right w:val="nil"/>
            </w:tcBorders>
            <w:shd w:val="clear" w:color="FFFFFF" w:fill="FFFFFF"/>
            <w:noWrap/>
            <w:vAlign w:val="bottom"/>
            <w:hideMark/>
          </w:tcPr>
          <w:p w14:paraId="5A3AF8F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2.1C</w:t>
            </w:r>
          </w:p>
        </w:tc>
        <w:tc>
          <w:tcPr>
            <w:tcW w:w="1050" w:type="dxa"/>
            <w:tcBorders>
              <w:top w:val="nil"/>
              <w:left w:val="nil"/>
              <w:bottom w:val="nil"/>
              <w:right w:val="nil"/>
            </w:tcBorders>
            <w:shd w:val="clear" w:color="FFFFFF" w:fill="FFFFFF"/>
            <w:noWrap/>
            <w:vAlign w:val="bottom"/>
            <w:hideMark/>
          </w:tcPr>
          <w:p w14:paraId="236D38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2,465,000</w:t>
            </w:r>
          </w:p>
        </w:tc>
        <w:tc>
          <w:tcPr>
            <w:tcW w:w="236" w:type="dxa"/>
            <w:tcBorders>
              <w:top w:val="nil"/>
              <w:left w:val="nil"/>
              <w:bottom w:val="nil"/>
              <w:right w:val="nil"/>
            </w:tcBorders>
            <w:shd w:val="clear" w:color="FFFFFF" w:fill="FFFFFF"/>
            <w:noWrap/>
            <w:vAlign w:val="bottom"/>
            <w:hideMark/>
          </w:tcPr>
          <w:p w14:paraId="3026F99D"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1042" w:type="dxa"/>
            <w:tcBorders>
              <w:top w:val="nil"/>
              <w:left w:val="nil"/>
              <w:bottom w:val="nil"/>
              <w:right w:val="nil"/>
            </w:tcBorders>
            <w:shd w:val="clear" w:color="FFFFFF" w:fill="FFFFFF"/>
            <w:noWrap/>
            <w:vAlign w:val="bottom"/>
            <w:hideMark/>
          </w:tcPr>
          <w:p w14:paraId="6242CA0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1,495,000</w:t>
            </w:r>
          </w:p>
        </w:tc>
        <w:tc>
          <w:tcPr>
            <w:tcW w:w="236" w:type="dxa"/>
            <w:tcBorders>
              <w:top w:val="nil"/>
              <w:left w:val="nil"/>
              <w:bottom w:val="nil"/>
              <w:right w:val="nil"/>
            </w:tcBorders>
            <w:shd w:val="clear" w:color="FFFFFF" w:fill="FFFFFF"/>
            <w:noWrap/>
            <w:vAlign w:val="bottom"/>
            <w:hideMark/>
          </w:tcPr>
          <w:p w14:paraId="374D987B"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1042" w:type="dxa"/>
            <w:tcBorders>
              <w:top w:val="nil"/>
              <w:left w:val="nil"/>
              <w:bottom w:val="nil"/>
              <w:right w:val="nil"/>
            </w:tcBorders>
            <w:shd w:val="clear" w:color="FFFFFF" w:fill="FFFFFF"/>
            <w:noWrap/>
            <w:vAlign w:val="bottom"/>
            <w:hideMark/>
          </w:tcPr>
          <w:p w14:paraId="36DF7F0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140,000</w:t>
            </w:r>
          </w:p>
        </w:tc>
      </w:tr>
      <w:tr w:rsidR="00FD06ED" w:rsidRPr="00FD06ED" w14:paraId="274683F8" w14:textId="77777777" w:rsidTr="005C33EF">
        <w:trPr>
          <w:trHeight w:val="255"/>
        </w:trPr>
        <w:tc>
          <w:tcPr>
            <w:tcW w:w="4214" w:type="dxa"/>
            <w:tcBorders>
              <w:top w:val="nil"/>
              <w:left w:val="nil"/>
              <w:bottom w:val="nil"/>
              <w:right w:val="nil"/>
            </w:tcBorders>
            <w:shd w:val="clear" w:color="FFFFFF" w:fill="FFFFFF"/>
            <w:vAlign w:val="bottom"/>
            <w:hideMark/>
          </w:tcPr>
          <w:p w14:paraId="51AD1E4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financial assets</w:t>
            </w:r>
          </w:p>
        </w:tc>
        <w:tc>
          <w:tcPr>
            <w:tcW w:w="1267" w:type="dxa"/>
            <w:tcBorders>
              <w:top w:val="nil"/>
              <w:left w:val="nil"/>
              <w:bottom w:val="nil"/>
              <w:right w:val="nil"/>
            </w:tcBorders>
            <w:shd w:val="clear" w:color="FFFFFF" w:fill="FFFFFF"/>
            <w:noWrap/>
            <w:vAlign w:val="bottom"/>
            <w:hideMark/>
          </w:tcPr>
          <w:p w14:paraId="796F2A2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38B152B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4,432,876</w:t>
            </w:r>
          </w:p>
        </w:tc>
        <w:tc>
          <w:tcPr>
            <w:tcW w:w="236" w:type="dxa"/>
            <w:tcBorders>
              <w:top w:val="nil"/>
              <w:left w:val="nil"/>
              <w:bottom w:val="nil"/>
              <w:right w:val="nil"/>
            </w:tcBorders>
            <w:shd w:val="clear" w:color="FFFFFF" w:fill="FFFFFF"/>
            <w:noWrap/>
            <w:vAlign w:val="bottom"/>
            <w:hideMark/>
          </w:tcPr>
          <w:p w14:paraId="05BF1F0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1015521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3,369,582</w:t>
            </w:r>
          </w:p>
        </w:tc>
        <w:tc>
          <w:tcPr>
            <w:tcW w:w="236" w:type="dxa"/>
            <w:tcBorders>
              <w:top w:val="nil"/>
              <w:left w:val="nil"/>
              <w:bottom w:val="nil"/>
              <w:right w:val="nil"/>
            </w:tcBorders>
            <w:shd w:val="clear" w:color="FFFFFF" w:fill="FFFFFF"/>
            <w:noWrap/>
            <w:vAlign w:val="bottom"/>
            <w:hideMark/>
          </w:tcPr>
          <w:p w14:paraId="1CFBF9D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09AC04F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3,613,024</w:t>
            </w:r>
          </w:p>
        </w:tc>
      </w:tr>
      <w:tr w:rsidR="00FD06ED" w:rsidRPr="00FD06ED" w14:paraId="382D944D" w14:textId="77777777" w:rsidTr="005C33EF">
        <w:trPr>
          <w:trHeight w:val="255"/>
        </w:trPr>
        <w:tc>
          <w:tcPr>
            <w:tcW w:w="4214" w:type="dxa"/>
            <w:tcBorders>
              <w:top w:val="nil"/>
              <w:left w:val="nil"/>
              <w:bottom w:val="nil"/>
              <w:right w:val="nil"/>
            </w:tcBorders>
            <w:shd w:val="clear" w:color="FFFFFF" w:fill="FFFFFF"/>
            <w:noWrap/>
            <w:vAlign w:val="bottom"/>
            <w:hideMark/>
          </w:tcPr>
          <w:p w14:paraId="5741829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073B5E8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0BA6371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29B286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56889E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67EF7A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2FF07E6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46EFA31A" w14:textId="77777777" w:rsidTr="005C33EF">
        <w:trPr>
          <w:trHeight w:val="270"/>
        </w:trPr>
        <w:tc>
          <w:tcPr>
            <w:tcW w:w="4214" w:type="dxa"/>
            <w:tcBorders>
              <w:top w:val="nil"/>
              <w:left w:val="nil"/>
              <w:bottom w:val="nil"/>
              <w:right w:val="nil"/>
            </w:tcBorders>
            <w:shd w:val="clear" w:color="FFFFFF" w:fill="FFFFFF"/>
            <w:vAlign w:val="bottom"/>
            <w:hideMark/>
          </w:tcPr>
          <w:p w14:paraId="479F1CD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Non-financial assets</w:t>
            </w:r>
            <w:r w:rsidRPr="00FD06ED">
              <w:rPr>
                <w:rFonts w:eastAsia="Times New Roman"/>
                <w:b/>
                <w:bCs/>
                <w:sz w:val="18"/>
                <w:szCs w:val="18"/>
                <w:vertAlign w:val="superscript"/>
                <w:lang w:eastAsia="en-US"/>
              </w:rPr>
              <w:t>2</w:t>
            </w:r>
          </w:p>
        </w:tc>
        <w:tc>
          <w:tcPr>
            <w:tcW w:w="1267" w:type="dxa"/>
            <w:tcBorders>
              <w:top w:val="nil"/>
              <w:left w:val="nil"/>
              <w:bottom w:val="nil"/>
              <w:right w:val="nil"/>
            </w:tcBorders>
            <w:shd w:val="clear" w:color="FFFFFF" w:fill="FFFFFF"/>
            <w:noWrap/>
            <w:vAlign w:val="bottom"/>
            <w:hideMark/>
          </w:tcPr>
          <w:p w14:paraId="3E237B1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7236FB2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24DC50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C8DAB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20427F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47E28C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1E832E35" w14:textId="77777777" w:rsidTr="005C33EF">
        <w:trPr>
          <w:trHeight w:val="255"/>
        </w:trPr>
        <w:tc>
          <w:tcPr>
            <w:tcW w:w="4214" w:type="dxa"/>
            <w:tcBorders>
              <w:top w:val="nil"/>
              <w:left w:val="nil"/>
              <w:bottom w:val="nil"/>
              <w:right w:val="nil"/>
            </w:tcBorders>
            <w:shd w:val="clear" w:color="FFFFFF" w:fill="FFFFFF"/>
            <w:vAlign w:val="bottom"/>
            <w:hideMark/>
          </w:tcPr>
          <w:p w14:paraId="7250EE7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Buildings</w:t>
            </w:r>
          </w:p>
        </w:tc>
        <w:tc>
          <w:tcPr>
            <w:tcW w:w="1267" w:type="dxa"/>
            <w:tcBorders>
              <w:top w:val="nil"/>
              <w:left w:val="nil"/>
              <w:bottom w:val="nil"/>
              <w:right w:val="nil"/>
            </w:tcBorders>
            <w:shd w:val="clear" w:color="FFFFFF" w:fill="FFFFFF"/>
            <w:noWrap/>
            <w:vAlign w:val="bottom"/>
            <w:hideMark/>
          </w:tcPr>
          <w:p w14:paraId="25DA2DA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2.2A</w:t>
            </w:r>
          </w:p>
        </w:tc>
        <w:tc>
          <w:tcPr>
            <w:tcW w:w="1050" w:type="dxa"/>
            <w:tcBorders>
              <w:top w:val="nil"/>
              <w:left w:val="nil"/>
              <w:bottom w:val="nil"/>
              <w:right w:val="nil"/>
            </w:tcBorders>
            <w:shd w:val="clear" w:color="FFFFFF" w:fill="FFFFFF"/>
            <w:noWrap/>
            <w:vAlign w:val="bottom"/>
            <w:hideMark/>
          </w:tcPr>
          <w:p w14:paraId="3E15CCB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217,416</w:t>
            </w:r>
          </w:p>
        </w:tc>
        <w:tc>
          <w:tcPr>
            <w:tcW w:w="236" w:type="dxa"/>
            <w:tcBorders>
              <w:top w:val="nil"/>
              <w:left w:val="nil"/>
              <w:bottom w:val="nil"/>
              <w:right w:val="nil"/>
            </w:tcBorders>
            <w:shd w:val="clear" w:color="FFFFFF" w:fill="FFFFFF"/>
            <w:noWrap/>
            <w:vAlign w:val="bottom"/>
            <w:hideMark/>
          </w:tcPr>
          <w:p w14:paraId="655B3DA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85A14B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241,269</w:t>
            </w:r>
          </w:p>
        </w:tc>
        <w:tc>
          <w:tcPr>
            <w:tcW w:w="236" w:type="dxa"/>
            <w:tcBorders>
              <w:top w:val="nil"/>
              <w:left w:val="nil"/>
              <w:bottom w:val="nil"/>
              <w:right w:val="nil"/>
            </w:tcBorders>
            <w:shd w:val="clear" w:color="FFFFFF" w:fill="FFFFFF"/>
            <w:noWrap/>
            <w:vAlign w:val="bottom"/>
            <w:hideMark/>
          </w:tcPr>
          <w:p w14:paraId="32D904B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A97040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276,983</w:t>
            </w:r>
          </w:p>
        </w:tc>
      </w:tr>
      <w:tr w:rsidR="00FD06ED" w:rsidRPr="00FD06ED" w14:paraId="6E37F284" w14:textId="77777777" w:rsidTr="005C33EF">
        <w:trPr>
          <w:trHeight w:val="255"/>
        </w:trPr>
        <w:tc>
          <w:tcPr>
            <w:tcW w:w="4214" w:type="dxa"/>
            <w:tcBorders>
              <w:top w:val="nil"/>
              <w:left w:val="nil"/>
              <w:bottom w:val="nil"/>
              <w:right w:val="nil"/>
            </w:tcBorders>
            <w:shd w:val="clear" w:color="FFFFFF" w:fill="FFFFFF"/>
            <w:vAlign w:val="bottom"/>
            <w:hideMark/>
          </w:tcPr>
          <w:p w14:paraId="299065A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Plant and equipment</w:t>
            </w:r>
          </w:p>
        </w:tc>
        <w:tc>
          <w:tcPr>
            <w:tcW w:w="1267" w:type="dxa"/>
            <w:tcBorders>
              <w:top w:val="nil"/>
              <w:left w:val="nil"/>
              <w:bottom w:val="nil"/>
              <w:right w:val="nil"/>
            </w:tcBorders>
            <w:shd w:val="clear" w:color="FFFFFF" w:fill="FFFFFF"/>
            <w:noWrap/>
            <w:vAlign w:val="bottom"/>
            <w:hideMark/>
          </w:tcPr>
          <w:p w14:paraId="239936BA"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2.2A</w:t>
            </w:r>
          </w:p>
        </w:tc>
        <w:tc>
          <w:tcPr>
            <w:tcW w:w="1050" w:type="dxa"/>
            <w:tcBorders>
              <w:top w:val="nil"/>
              <w:left w:val="nil"/>
              <w:bottom w:val="nil"/>
              <w:right w:val="nil"/>
            </w:tcBorders>
            <w:shd w:val="clear" w:color="FFFFFF" w:fill="FFFFFF"/>
            <w:noWrap/>
            <w:vAlign w:val="bottom"/>
            <w:hideMark/>
          </w:tcPr>
          <w:p w14:paraId="47D53CB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10,373</w:t>
            </w:r>
          </w:p>
        </w:tc>
        <w:tc>
          <w:tcPr>
            <w:tcW w:w="236" w:type="dxa"/>
            <w:tcBorders>
              <w:top w:val="nil"/>
              <w:left w:val="nil"/>
              <w:bottom w:val="nil"/>
              <w:right w:val="nil"/>
            </w:tcBorders>
            <w:shd w:val="clear" w:color="FFFFFF" w:fill="FFFFFF"/>
            <w:noWrap/>
            <w:vAlign w:val="bottom"/>
            <w:hideMark/>
          </w:tcPr>
          <w:p w14:paraId="5A87D6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284A723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1,238</w:t>
            </w:r>
          </w:p>
        </w:tc>
        <w:tc>
          <w:tcPr>
            <w:tcW w:w="236" w:type="dxa"/>
            <w:tcBorders>
              <w:top w:val="nil"/>
              <w:left w:val="nil"/>
              <w:bottom w:val="nil"/>
              <w:right w:val="nil"/>
            </w:tcBorders>
            <w:shd w:val="clear" w:color="FFFFFF" w:fill="FFFFFF"/>
            <w:noWrap/>
            <w:vAlign w:val="bottom"/>
            <w:hideMark/>
          </w:tcPr>
          <w:p w14:paraId="4B0D707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5DA06B0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12,506</w:t>
            </w:r>
          </w:p>
        </w:tc>
      </w:tr>
      <w:tr w:rsidR="00FD06ED" w:rsidRPr="00FD06ED" w14:paraId="30003F98" w14:textId="77777777" w:rsidTr="005C33EF">
        <w:trPr>
          <w:trHeight w:val="255"/>
        </w:trPr>
        <w:tc>
          <w:tcPr>
            <w:tcW w:w="4214" w:type="dxa"/>
            <w:tcBorders>
              <w:top w:val="nil"/>
              <w:left w:val="nil"/>
              <w:bottom w:val="nil"/>
              <w:right w:val="nil"/>
            </w:tcBorders>
            <w:shd w:val="clear" w:color="FFFFFF" w:fill="FFFFFF"/>
            <w:vAlign w:val="bottom"/>
            <w:hideMark/>
          </w:tcPr>
          <w:p w14:paraId="735FAA8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non-financial assets</w:t>
            </w:r>
          </w:p>
        </w:tc>
        <w:tc>
          <w:tcPr>
            <w:tcW w:w="1267" w:type="dxa"/>
            <w:tcBorders>
              <w:top w:val="nil"/>
              <w:left w:val="nil"/>
              <w:bottom w:val="nil"/>
              <w:right w:val="nil"/>
            </w:tcBorders>
            <w:shd w:val="clear" w:color="FFFFFF" w:fill="FFFFFF"/>
            <w:noWrap/>
            <w:vAlign w:val="bottom"/>
            <w:hideMark/>
          </w:tcPr>
          <w:p w14:paraId="381D477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2.2B</w:t>
            </w:r>
          </w:p>
        </w:tc>
        <w:tc>
          <w:tcPr>
            <w:tcW w:w="1050" w:type="dxa"/>
            <w:tcBorders>
              <w:top w:val="nil"/>
              <w:left w:val="nil"/>
              <w:bottom w:val="nil"/>
              <w:right w:val="nil"/>
            </w:tcBorders>
            <w:shd w:val="clear" w:color="FFFFFF" w:fill="FFFFFF"/>
            <w:noWrap/>
            <w:vAlign w:val="bottom"/>
            <w:hideMark/>
          </w:tcPr>
          <w:p w14:paraId="564BA56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23,680</w:t>
            </w:r>
          </w:p>
        </w:tc>
        <w:tc>
          <w:tcPr>
            <w:tcW w:w="236" w:type="dxa"/>
            <w:tcBorders>
              <w:top w:val="nil"/>
              <w:left w:val="nil"/>
              <w:bottom w:val="nil"/>
              <w:right w:val="nil"/>
            </w:tcBorders>
            <w:shd w:val="clear" w:color="FFFFFF" w:fill="FFFFFF"/>
            <w:noWrap/>
            <w:vAlign w:val="bottom"/>
            <w:hideMark/>
          </w:tcPr>
          <w:p w14:paraId="2F144B7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89FC3D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18,615</w:t>
            </w:r>
          </w:p>
        </w:tc>
        <w:tc>
          <w:tcPr>
            <w:tcW w:w="236" w:type="dxa"/>
            <w:tcBorders>
              <w:top w:val="nil"/>
              <w:left w:val="nil"/>
              <w:bottom w:val="nil"/>
              <w:right w:val="nil"/>
            </w:tcBorders>
            <w:shd w:val="clear" w:color="FFFFFF" w:fill="FFFFFF"/>
            <w:noWrap/>
            <w:vAlign w:val="bottom"/>
            <w:hideMark/>
          </w:tcPr>
          <w:p w14:paraId="6427C32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47678A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7,566</w:t>
            </w:r>
          </w:p>
        </w:tc>
      </w:tr>
      <w:tr w:rsidR="00FD06ED" w:rsidRPr="00FD06ED" w14:paraId="69334772" w14:textId="77777777" w:rsidTr="005C33EF">
        <w:trPr>
          <w:trHeight w:val="255"/>
        </w:trPr>
        <w:tc>
          <w:tcPr>
            <w:tcW w:w="4214" w:type="dxa"/>
            <w:tcBorders>
              <w:top w:val="nil"/>
              <w:left w:val="nil"/>
              <w:bottom w:val="nil"/>
              <w:right w:val="nil"/>
            </w:tcBorders>
            <w:shd w:val="clear" w:color="FFFFFF" w:fill="FFFFFF"/>
            <w:vAlign w:val="bottom"/>
            <w:hideMark/>
          </w:tcPr>
          <w:p w14:paraId="14946D4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non-financial assets</w:t>
            </w:r>
          </w:p>
        </w:tc>
        <w:tc>
          <w:tcPr>
            <w:tcW w:w="1267" w:type="dxa"/>
            <w:tcBorders>
              <w:top w:val="nil"/>
              <w:left w:val="nil"/>
              <w:bottom w:val="nil"/>
              <w:right w:val="nil"/>
            </w:tcBorders>
            <w:shd w:val="clear" w:color="FFFFFF" w:fill="FFFFFF"/>
            <w:noWrap/>
            <w:vAlign w:val="bottom"/>
            <w:hideMark/>
          </w:tcPr>
          <w:p w14:paraId="1D312C7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028290E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251,469</w:t>
            </w:r>
          </w:p>
        </w:tc>
        <w:tc>
          <w:tcPr>
            <w:tcW w:w="236" w:type="dxa"/>
            <w:tcBorders>
              <w:top w:val="nil"/>
              <w:left w:val="nil"/>
              <w:bottom w:val="nil"/>
              <w:right w:val="nil"/>
            </w:tcBorders>
            <w:shd w:val="clear" w:color="FFFFFF" w:fill="FFFFFF"/>
            <w:noWrap/>
            <w:vAlign w:val="bottom"/>
            <w:hideMark/>
          </w:tcPr>
          <w:p w14:paraId="65FD4A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11667C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261,122</w:t>
            </w:r>
          </w:p>
        </w:tc>
        <w:tc>
          <w:tcPr>
            <w:tcW w:w="236" w:type="dxa"/>
            <w:tcBorders>
              <w:top w:val="nil"/>
              <w:left w:val="nil"/>
              <w:bottom w:val="nil"/>
              <w:right w:val="nil"/>
            </w:tcBorders>
            <w:shd w:val="clear" w:color="FFFFFF" w:fill="FFFFFF"/>
            <w:noWrap/>
            <w:vAlign w:val="bottom"/>
            <w:hideMark/>
          </w:tcPr>
          <w:p w14:paraId="1397DE5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439670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297,055</w:t>
            </w:r>
          </w:p>
        </w:tc>
      </w:tr>
      <w:tr w:rsidR="00FD06ED" w:rsidRPr="00FD06ED" w14:paraId="0486C609" w14:textId="77777777" w:rsidTr="005C33EF">
        <w:trPr>
          <w:trHeight w:val="255"/>
        </w:trPr>
        <w:tc>
          <w:tcPr>
            <w:tcW w:w="4214" w:type="dxa"/>
            <w:tcBorders>
              <w:top w:val="nil"/>
              <w:left w:val="nil"/>
              <w:bottom w:val="nil"/>
              <w:right w:val="nil"/>
            </w:tcBorders>
            <w:shd w:val="clear" w:color="FFFFFF" w:fill="FFFFFF"/>
            <w:vAlign w:val="bottom"/>
            <w:hideMark/>
          </w:tcPr>
          <w:p w14:paraId="6F48C59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assets</w:t>
            </w:r>
          </w:p>
        </w:tc>
        <w:tc>
          <w:tcPr>
            <w:tcW w:w="1267" w:type="dxa"/>
            <w:tcBorders>
              <w:top w:val="nil"/>
              <w:left w:val="nil"/>
              <w:bottom w:val="nil"/>
              <w:right w:val="nil"/>
            </w:tcBorders>
            <w:shd w:val="clear" w:color="FFFFFF" w:fill="FFFFFF"/>
            <w:noWrap/>
            <w:vAlign w:val="bottom"/>
            <w:hideMark/>
          </w:tcPr>
          <w:p w14:paraId="55D02DC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2E783C7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4,684,345</w:t>
            </w:r>
          </w:p>
        </w:tc>
        <w:tc>
          <w:tcPr>
            <w:tcW w:w="236" w:type="dxa"/>
            <w:tcBorders>
              <w:top w:val="nil"/>
              <w:left w:val="nil"/>
              <w:bottom w:val="nil"/>
              <w:right w:val="nil"/>
            </w:tcBorders>
            <w:shd w:val="clear" w:color="FFFFFF" w:fill="FFFFFF"/>
            <w:noWrap/>
            <w:vAlign w:val="bottom"/>
            <w:hideMark/>
          </w:tcPr>
          <w:p w14:paraId="55B4D55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1569F76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3,630,704</w:t>
            </w:r>
          </w:p>
        </w:tc>
        <w:tc>
          <w:tcPr>
            <w:tcW w:w="236" w:type="dxa"/>
            <w:tcBorders>
              <w:top w:val="nil"/>
              <w:left w:val="nil"/>
              <w:bottom w:val="nil"/>
              <w:right w:val="nil"/>
            </w:tcBorders>
            <w:shd w:val="clear" w:color="FFFFFF" w:fill="FFFFFF"/>
            <w:noWrap/>
            <w:vAlign w:val="bottom"/>
            <w:hideMark/>
          </w:tcPr>
          <w:p w14:paraId="1D43E64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50E5374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3,910,079</w:t>
            </w:r>
          </w:p>
        </w:tc>
      </w:tr>
      <w:tr w:rsidR="00FD06ED" w:rsidRPr="00FD06ED" w14:paraId="19929777" w14:textId="77777777" w:rsidTr="005C33EF">
        <w:trPr>
          <w:trHeight w:val="300"/>
        </w:trPr>
        <w:tc>
          <w:tcPr>
            <w:tcW w:w="4214" w:type="dxa"/>
            <w:tcBorders>
              <w:top w:val="nil"/>
              <w:left w:val="nil"/>
              <w:bottom w:val="nil"/>
              <w:right w:val="nil"/>
            </w:tcBorders>
            <w:shd w:val="clear" w:color="FFFFFF" w:fill="FFFFFF"/>
            <w:vAlign w:val="bottom"/>
            <w:hideMark/>
          </w:tcPr>
          <w:p w14:paraId="41680AE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4F78272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4F81C83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0EB052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330955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9DDCF9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5D72D64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1AD40DA3" w14:textId="77777777" w:rsidTr="005C33EF">
        <w:trPr>
          <w:trHeight w:val="255"/>
        </w:trPr>
        <w:tc>
          <w:tcPr>
            <w:tcW w:w="4214" w:type="dxa"/>
            <w:tcBorders>
              <w:top w:val="nil"/>
              <w:left w:val="nil"/>
              <w:bottom w:val="nil"/>
              <w:right w:val="nil"/>
            </w:tcBorders>
            <w:shd w:val="clear" w:color="FFFFFF" w:fill="FFFFFF"/>
            <w:vAlign w:val="bottom"/>
            <w:hideMark/>
          </w:tcPr>
          <w:p w14:paraId="27C982E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LIABILITIES</w:t>
            </w:r>
          </w:p>
        </w:tc>
        <w:tc>
          <w:tcPr>
            <w:tcW w:w="1267" w:type="dxa"/>
            <w:tcBorders>
              <w:top w:val="nil"/>
              <w:left w:val="nil"/>
              <w:bottom w:val="nil"/>
              <w:right w:val="nil"/>
            </w:tcBorders>
            <w:shd w:val="clear" w:color="FFFFFF" w:fill="FFFFFF"/>
            <w:noWrap/>
            <w:vAlign w:val="bottom"/>
            <w:hideMark/>
          </w:tcPr>
          <w:p w14:paraId="78AEB2A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6107898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932EA8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15D61D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67F528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D8E656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79676297" w14:textId="77777777" w:rsidTr="005C33EF">
        <w:trPr>
          <w:trHeight w:val="255"/>
        </w:trPr>
        <w:tc>
          <w:tcPr>
            <w:tcW w:w="4214" w:type="dxa"/>
            <w:tcBorders>
              <w:top w:val="nil"/>
              <w:left w:val="nil"/>
              <w:bottom w:val="nil"/>
              <w:right w:val="nil"/>
            </w:tcBorders>
            <w:shd w:val="clear" w:color="FFFFFF" w:fill="FFFFFF"/>
            <w:vAlign w:val="bottom"/>
            <w:hideMark/>
          </w:tcPr>
          <w:p w14:paraId="541BE00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Payables</w:t>
            </w:r>
          </w:p>
        </w:tc>
        <w:tc>
          <w:tcPr>
            <w:tcW w:w="1267" w:type="dxa"/>
            <w:tcBorders>
              <w:top w:val="nil"/>
              <w:left w:val="nil"/>
              <w:bottom w:val="nil"/>
              <w:right w:val="nil"/>
            </w:tcBorders>
            <w:shd w:val="clear" w:color="FFFFFF" w:fill="FFFFFF"/>
            <w:noWrap/>
            <w:vAlign w:val="bottom"/>
            <w:hideMark/>
          </w:tcPr>
          <w:p w14:paraId="4C6F81F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6CDA4E8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E04654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59AEC1A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04790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48A518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6F1E163" w14:textId="77777777" w:rsidTr="005C33EF">
        <w:trPr>
          <w:trHeight w:val="255"/>
        </w:trPr>
        <w:tc>
          <w:tcPr>
            <w:tcW w:w="4214" w:type="dxa"/>
            <w:tcBorders>
              <w:top w:val="nil"/>
              <w:left w:val="nil"/>
              <w:bottom w:val="nil"/>
              <w:right w:val="nil"/>
            </w:tcBorders>
            <w:shd w:val="clear" w:color="FFFFFF" w:fill="FFFFFF"/>
            <w:vAlign w:val="bottom"/>
            <w:hideMark/>
          </w:tcPr>
          <w:p w14:paraId="0E3E2914"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Suppliers</w:t>
            </w:r>
          </w:p>
        </w:tc>
        <w:tc>
          <w:tcPr>
            <w:tcW w:w="1267" w:type="dxa"/>
            <w:tcBorders>
              <w:top w:val="nil"/>
              <w:left w:val="nil"/>
              <w:bottom w:val="nil"/>
              <w:right w:val="nil"/>
            </w:tcBorders>
            <w:shd w:val="clear" w:color="FFFFFF" w:fill="FFFFFF"/>
            <w:noWrap/>
            <w:vAlign w:val="bottom"/>
            <w:hideMark/>
          </w:tcPr>
          <w:p w14:paraId="01BA9F3D"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2.3A</w:t>
            </w:r>
          </w:p>
        </w:tc>
        <w:tc>
          <w:tcPr>
            <w:tcW w:w="1050" w:type="dxa"/>
            <w:tcBorders>
              <w:top w:val="nil"/>
              <w:left w:val="nil"/>
              <w:bottom w:val="nil"/>
              <w:right w:val="nil"/>
            </w:tcBorders>
            <w:shd w:val="clear" w:color="FFFFFF" w:fill="FFFFFF"/>
            <w:noWrap/>
            <w:vAlign w:val="bottom"/>
            <w:hideMark/>
          </w:tcPr>
          <w:p w14:paraId="6F7B98C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250,705</w:t>
            </w:r>
          </w:p>
        </w:tc>
        <w:tc>
          <w:tcPr>
            <w:tcW w:w="236" w:type="dxa"/>
            <w:tcBorders>
              <w:top w:val="nil"/>
              <w:left w:val="nil"/>
              <w:bottom w:val="nil"/>
              <w:right w:val="nil"/>
            </w:tcBorders>
            <w:shd w:val="clear" w:color="FFFFFF" w:fill="FFFFFF"/>
            <w:noWrap/>
            <w:vAlign w:val="bottom"/>
            <w:hideMark/>
          </w:tcPr>
          <w:p w14:paraId="73A0541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8C80D9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206,540</w:t>
            </w:r>
          </w:p>
        </w:tc>
        <w:tc>
          <w:tcPr>
            <w:tcW w:w="236" w:type="dxa"/>
            <w:tcBorders>
              <w:top w:val="nil"/>
              <w:left w:val="nil"/>
              <w:bottom w:val="nil"/>
              <w:right w:val="nil"/>
            </w:tcBorders>
            <w:shd w:val="clear" w:color="FFFFFF" w:fill="FFFFFF"/>
            <w:noWrap/>
            <w:vAlign w:val="bottom"/>
            <w:hideMark/>
          </w:tcPr>
          <w:p w14:paraId="5DBE3C1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613F6D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168,708</w:t>
            </w:r>
          </w:p>
        </w:tc>
      </w:tr>
      <w:tr w:rsidR="00FD06ED" w:rsidRPr="00FD06ED" w14:paraId="70E24566" w14:textId="77777777" w:rsidTr="005C33EF">
        <w:trPr>
          <w:trHeight w:val="255"/>
        </w:trPr>
        <w:tc>
          <w:tcPr>
            <w:tcW w:w="4214" w:type="dxa"/>
            <w:tcBorders>
              <w:top w:val="nil"/>
              <w:left w:val="nil"/>
              <w:bottom w:val="nil"/>
              <w:right w:val="nil"/>
            </w:tcBorders>
            <w:shd w:val="clear" w:color="FFFFFF" w:fill="FFFFFF"/>
            <w:vAlign w:val="bottom"/>
            <w:hideMark/>
          </w:tcPr>
          <w:p w14:paraId="286064C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payables</w:t>
            </w:r>
          </w:p>
        </w:tc>
        <w:tc>
          <w:tcPr>
            <w:tcW w:w="1267" w:type="dxa"/>
            <w:tcBorders>
              <w:top w:val="nil"/>
              <w:left w:val="nil"/>
              <w:bottom w:val="nil"/>
              <w:right w:val="nil"/>
            </w:tcBorders>
            <w:shd w:val="clear" w:color="FFFFFF" w:fill="FFFFFF"/>
            <w:noWrap/>
            <w:vAlign w:val="bottom"/>
            <w:hideMark/>
          </w:tcPr>
          <w:p w14:paraId="15075A5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2.3B</w:t>
            </w:r>
          </w:p>
        </w:tc>
        <w:tc>
          <w:tcPr>
            <w:tcW w:w="1050" w:type="dxa"/>
            <w:tcBorders>
              <w:top w:val="nil"/>
              <w:left w:val="nil"/>
              <w:bottom w:val="nil"/>
              <w:right w:val="nil"/>
            </w:tcBorders>
            <w:shd w:val="clear" w:color="FFFFFF" w:fill="FFFFFF"/>
            <w:noWrap/>
            <w:vAlign w:val="bottom"/>
            <w:hideMark/>
          </w:tcPr>
          <w:p w14:paraId="5621CE5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10,984</w:t>
            </w:r>
          </w:p>
        </w:tc>
        <w:tc>
          <w:tcPr>
            <w:tcW w:w="236" w:type="dxa"/>
            <w:tcBorders>
              <w:top w:val="nil"/>
              <w:left w:val="nil"/>
              <w:bottom w:val="nil"/>
              <w:right w:val="nil"/>
            </w:tcBorders>
            <w:shd w:val="clear" w:color="FFFFFF" w:fill="FFFFFF"/>
            <w:noWrap/>
            <w:vAlign w:val="bottom"/>
            <w:hideMark/>
          </w:tcPr>
          <w:p w14:paraId="69F4C5E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E5A006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7,612</w:t>
            </w:r>
          </w:p>
        </w:tc>
        <w:tc>
          <w:tcPr>
            <w:tcW w:w="236" w:type="dxa"/>
            <w:tcBorders>
              <w:top w:val="nil"/>
              <w:left w:val="nil"/>
              <w:bottom w:val="nil"/>
              <w:right w:val="nil"/>
            </w:tcBorders>
            <w:shd w:val="clear" w:color="FFFFFF" w:fill="FFFFFF"/>
            <w:noWrap/>
            <w:vAlign w:val="bottom"/>
            <w:hideMark/>
          </w:tcPr>
          <w:p w14:paraId="0DCE00B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2FEB7E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771,832</w:t>
            </w:r>
          </w:p>
        </w:tc>
      </w:tr>
      <w:tr w:rsidR="00FD06ED" w:rsidRPr="00FD06ED" w14:paraId="6B0D62CC" w14:textId="77777777" w:rsidTr="005C33EF">
        <w:trPr>
          <w:trHeight w:val="255"/>
        </w:trPr>
        <w:tc>
          <w:tcPr>
            <w:tcW w:w="4214" w:type="dxa"/>
            <w:tcBorders>
              <w:top w:val="nil"/>
              <w:left w:val="nil"/>
              <w:bottom w:val="nil"/>
              <w:right w:val="nil"/>
            </w:tcBorders>
            <w:shd w:val="clear" w:color="FFFFFF" w:fill="FFFFFF"/>
            <w:vAlign w:val="bottom"/>
            <w:hideMark/>
          </w:tcPr>
          <w:p w14:paraId="338D5F8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payables</w:t>
            </w:r>
          </w:p>
        </w:tc>
        <w:tc>
          <w:tcPr>
            <w:tcW w:w="1267" w:type="dxa"/>
            <w:tcBorders>
              <w:top w:val="nil"/>
              <w:left w:val="nil"/>
              <w:bottom w:val="nil"/>
              <w:right w:val="nil"/>
            </w:tcBorders>
            <w:shd w:val="clear" w:color="FFFFFF" w:fill="FFFFFF"/>
            <w:noWrap/>
            <w:vAlign w:val="bottom"/>
            <w:hideMark/>
          </w:tcPr>
          <w:p w14:paraId="51959EA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73F4F8E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261,689</w:t>
            </w:r>
          </w:p>
        </w:tc>
        <w:tc>
          <w:tcPr>
            <w:tcW w:w="236" w:type="dxa"/>
            <w:tcBorders>
              <w:top w:val="nil"/>
              <w:left w:val="nil"/>
              <w:bottom w:val="nil"/>
              <w:right w:val="nil"/>
            </w:tcBorders>
            <w:shd w:val="clear" w:color="FFFFFF" w:fill="FFFFFF"/>
            <w:noWrap/>
            <w:vAlign w:val="bottom"/>
            <w:hideMark/>
          </w:tcPr>
          <w:p w14:paraId="17FDE6F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0292C0B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214,152</w:t>
            </w:r>
          </w:p>
        </w:tc>
        <w:tc>
          <w:tcPr>
            <w:tcW w:w="236" w:type="dxa"/>
            <w:tcBorders>
              <w:top w:val="nil"/>
              <w:left w:val="nil"/>
              <w:bottom w:val="nil"/>
              <w:right w:val="nil"/>
            </w:tcBorders>
            <w:shd w:val="clear" w:color="FFFFFF" w:fill="FFFFFF"/>
            <w:noWrap/>
            <w:vAlign w:val="bottom"/>
            <w:hideMark/>
          </w:tcPr>
          <w:p w14:paraId="52F6FEC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6899B04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940,540</w:t>
            </w:r>
          </w:p>
        </w:tc>
      </w:tr>
      <w:tr w:rsidR="00FD06ED" w:rsidRPr="00FD06ED" w14:paraId="21381C64" w14:textId="77777777" w:rsidTr="005C33EF">
        <w:trPr>
          <w:trHeight w:val="255"/>
        </w:trPr>
        <w:tc>
          <w:tcPr>
            <w:tcW w:w="4214" w:type="dxa"/>
            <w:tcBorders>
              <w:top w:val="nil"/>
              <w:left w:val="nil"/>
              <w:bottom w:val="nil"/>
              <w:right w:val="nil"/>
            </w:tcBorders>
            <w:shd w:val="clear" w:color="FFFFFF" w:fill="FFFFFF"/>
            <w:noWrap/>
            <w:vAlign w:val="bottom"/>
            <w:hideMark/>
          </w:tcPr>
          <w:p w14:paraId="7B940A5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795EA57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3EFEC70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F26610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E657C0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653BF4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5DE037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BDDE5C2" w14:textId="77777777" w:rsidTr="005C33EF">
        <w:trPr>
          <w:trHeight w:val="255"/>
        </w:trPr>
        <w:tc>
          <w:tcPr>
            <w:tcW w:w="4214" w:type="dxa"/>
            <w:tcBorders>
              <w:top w:val="nil"/>
              <w:left w:val="nil"/>
              <w:bottom w:val="nil"/>
              <w:right w:val="nil"/>
            </w:tcBorders>
            <w:shd w:val="clear" w:color="FFFFFF" w:fill="FFFFFF"/>
            <w:vAlign w:val="bottom"/>
            <w:hideMark/>
          </w:tcPr>
          <w:p w14:paraId="00A5DD3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Interest bearing liabilities</w:t>
            </w:r>
          </w:p>
        </w:tc>
        <w:tc>
          <w:tcPr>
            <w:tcW w:w="1267" w:type="dxa"/>
            <w:tcBorders>
              <w:top w:val="nil"/>
              <w:left w:val="nil"/>
              <w:bottom w:val="nil"/>
              <w:right w:val="nil"/>
            </w:tcBorders>
            <w:shd w:val="clear" w:color="FFFFFF" w:fill="FFFFFF"/>
            <w:noWrap/>
            <w:vAlign w:val="bottom"/>
            <w:hideMark/>
          </w:tcPr>
          <w:p w14:paraId="7624DD0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7F41138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E9776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3974C0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E4D450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55EAB4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3B3D712B" w14:textId="77777777" w:rsidTr="005C33EF">
        <w:trPr>
          <w:trHeight w:val="255"/>
        </w:trPr>
        <w:tc>
          <w:tcPr>
            <w:tcW w:w="4214" w:type="dxa"/>
            <w:tcBorders>
              <w:top w:val="nil"/>
              <w:left w:val="nil"/>
              <w:bottom w:val="nil"/>
              <w:right w:val="nil"/>
            </w:tcBorders>
            <w:shd w:val="clear" w:color="FFFFFF" w:fill="FFFFFF"/>
            <w:vAlign w:val="bottom"/>
            <w:hideMark/>
          </w:tcPr>
          <w:p w14:paraId="0AC4464E"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Leases</w:t>
            </w:r>
          </w:p>
        </w:tc>
        <w:tc>
          <w:tcPr>
            <w:tcW w:w="1267" w:type="dxa"/>
            <w:tcBorders>
              <w:top w:val="nil"/>
              <w:left w:val="nil"/>
              <w:bottom w:val="nil"/>
              <w:right w:val="nil"/>
            </w:tcBorders>
            <w:shd w:val="clear" w:color="FFFFFF" w:fill="FFFFFF"/>
            <w:noWrap/>
            <w:vAlign w:val="bottom"/>
            <w:hideMark/>
          </w:tcPr>
          <w:p w14:paraId="26C9D78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2.5</w:t>
            </w:r>
          </w:p>
        </w:tc>
        <w:tc>
          <w:tcPr>
            <w:tcW w:w="1050" w:type="dxa"/>
            <w:tcBorders>
              <w:top w:val="nil"/>
              <w:left w:val="nil"/>
              <w:bottom w:val="nil"/>
              <w:right w:val="nil"/>
            </w:tcBorders>
            <w:shd w:val="clear" w:color="FFFFFF" w:fill="FFFFFF"/>
            <w:noWrap/>
            <w:vAlign w:val="bottom"/>
            <w:hideMark/>
          </w:tcPr>
          <w:p w14:paraId="285D606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156,897</w:t>
            </w:r>
          </w:p>
        </w:tc>
        <w:tc>
          <w:tcPr>
            <w:tcW w:w="236" w:type="dxa"/>
            <w:tcBorders>
              <w:top w:val="nil"/>
              <w:left w:val="nil"/>
              <w:bottom w:val="nil"/>
              <w:right w:val="nil"/>
            </w:tcBorders>
            <w:shd w:val="clear" w:color="FFFFFF" w:fill="FFFFFF"/>
            <w:noWrap/>
            <w:vAlign w:val="bottom"/>
            <w:hideMark/>
          </w:tcPr>
          <w:p w14:paraId="214848E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D20A41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163,871</w:t>
            </w:r>
          </w:p>
        </w:tc>
        <w:tc>
          <w:tcPr>
            <w:tcW w:w="236" w:type="dxa"/>
            <w:tcBorders>
              <w:top w:val="nil"/>
              <w:left w:val="nil"/>
              <w:bottom w:val="nil"/>
              <w:right w:val="nil"/>
            </w:tcBorders>
            <w:shd w:val="clear" w:color="FFFFFF" w:fill="FFFFFF"/>
            <w:noWrap/>
            <w:vAlign w:val="bottom"/>
            <w:hideMark/>
          </w:tcPr>
          <w:p w14:paraId="1843398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603CF8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208,267</w:t>
            </w:r>
          </w:p>
        </w:tc>
      </w:tr>
      <w:tr w:rsidR="00FD06ED" w:rsidRPr="00FD06ED" w14:paraId="36611B88" w14:textId="77777777" w:rsidTr="005C33EF">
        <w:trPr>
          <w:trHeight w:val="255"/>
        </w:trPr>
        <w:tc>
          <w:tcPr>
            <w:tcW w:w="4214" w:type="dxa"/>
            <w:tcBorders>
              <w:top w:val="nil"/>
              <w:left w:val="nil"/>
              <w:bottom w:val="nil"/>
              <w:right w:val="nil"/>
            </w:tcBorders>
            <w:shd w:val="clear" w:color="FFFFFF" w:fill="FFFFFF"/>
            <w:vAlign w:val="bottom"/>
            <w:hideMark/>
          </w:tcPr>
          <w:p w14:paraId="3F2B538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Total </w:t>
            </w:r>
            <w:proofErr w:type="gramStart"/>
            <w:r w:rsidRPr="00FD06ED">
              <w:rPr>
                <w:rFonts w:eastAsia="Times New Roman"/>
                <w:b/>
                <w:bCs/>
                <w:sz w:val="18"/>
                <w:szCs w:val="18"/>
                <w:lang w:eastAsia="en-US"/>
              </w:rPr>
              <w:t>interest bearing</w:t>
            </w:r>
            <w:proofErr w:type="gramEnd"/>
            <w:r w:rsidRPr="00FD06ED">
              <w:rPr>
                <w:rFonts w:eastAsia="Times New Roman"/>
                <w:b/>
                <w:bCs/>
                <w:sz w:val="18"/>
                <w:szCs w:val="18"/>
                <w:lang w:eastAsia="en-US"/>
              </w:rPr>
              <w:t xml:space="preserve"> liabilities</w:t>
            </w:r>
          </w:p>
        </w:tc>
        <w:tc>
          <w:tcPr>
            <w:tcW w:w="1267" w:type="dxa"/>
            <w:tcBorders>
              <w:top w:val="nil"/>
              <w:left w:val="nil"/>
              <w:bottom w:val="nil"/>
              <w:right w:val="nil"/>
            </w:tcBorders>
            <w:shd w:val="clear" w:color="FFFFFF" w:fill="FFFFFF"/>
            <w:noWrap/>
            <w:vAlign w:val="bottom"/>
            <w:hideMark/>
          </w:tcPr>
          <w:p w14:paraId="7C2FC11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4F0ED2B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156,897</w:t>
            </w:r>
          </w:p>
        </w:tc>
        <w:tc>
          <w:tcPr>
            <w:tcW w:w="236" w:type="dxa"/>
            <w:tcBorders>
              <w:top w:val="nil"/>
              <w:left w:val="nil"/>
              <w:bottom w:val="nil"/>
              <w:right w:val="nil"/>
            </w:tcBorders>
            <w:shd w:val="clear" w:color="FFFFFF" w:fill="FFFFFF"/>
            <w:noWrap/>
            <w:vAlign w:val="bottom"/>
            <w:hideMark/>
          </w:tcPr>
          <w:p w14:paraId="06B7789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79A5A8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163,871</w:t>
            </w:r>
          </w:p>
        </w:tc>
        <w:tc>
          <w:tcPr>
            <w:tcW w:w="236" w:type="dxa"/>
            <w:tcBorders>
              <w:top w:val="nil"/>
              <w:left w:val="nil"/>
              <w:bottom w:val="nil"/>
              <w:right w:val="nil"/>
            </w:tcBorders>
            <w:shd w:val="clear" w:color="FFFFFF" w:fill="FFFFFF"/>
            <w:noWrap/>
            <w:vAlign w:val="bottom"/>
            <w:hideMark/>
          </w:tcPr>
          <w:p w14:paraId="0790AC5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542F51C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208,267</w:t>
            </w:r>
          </w:p>
        </w:tc>
      </w:tr>
      <w:tr w:rsidR="00FD06ED" w:rsidRPr="00FD06ED" w14:paraId="780B4C8A" w14:textId="77777777" w:rsidTr="005C33EF">
        <w:trPr>
          <w:trHeight w:val="255"/>
        </w:trPr>
        <w:tc>
          <w:tcPr>
            <w:tcW w:w="4214" w:type="dxa"/>
            <w:tcBorders>
              <w:top w:val="nil"/>
              <w:left w:val="nil"/>
              <w:bottom w:val="nil"/>
              <w:right w:val="nil"/>
            </w:tcBorders>
            <w:shd w:val="clear" w:color="FFFFFF" w:fill="FFFFFF"/>
            <w:noWrap/>
            <w:vAlign w:val="bottom"/>
            <w:hideMark/>
          </w:tcPr>
          <w:p w14:paraId="4669FAE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6ACA9F1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7A454FC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0116D4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7998E9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8FF016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9E4C2A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8B722DF" w14:textId="77777777" w:rsidTr="005C33EF">
        <w:trPr>
          <w:trHeight w:val="255"/>
        </w:trPr>
        <w:tc>
          <w:tcPr>
            <w:tcW w:w="4214" w:type="dxa"/>
            <w:tcBorders>
              <w:top w:val="nil"/>
              <w:left w:val="nil"/>
              <w:bottom w:val="nil"/>
              <w:right w:val="nil"/>
            </w:tcBorders>
            <w:shd w:val="clear" w:color="FFFFFF" w:fill="FFFFFF"/>
            <w:vAlign w:val="bottom"/>
            <w:hideMark/>
          </w:tcPr>
          <w:p w14:paraId="648430D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Unearned revenue</w:t>
            </w:r>
          </w:p>
        </w:tc>
        <w:tc>
          <w:tcPr>
            <w:tcW w:w="1267" w:type="dxa"/>
            <w:tcBorders>
              <w:top w:val="nil"/>
              <w:left w:val="nil"/>
              <w:bottom w:val="nil"/>
              <w:right w:val="nil"/>
            </w:tcBorders>
            <w:shd w:val="clear" w:color="FFFFFF" w:fill="FFFFFF"/>
            <w:noWrap/>
            <w:vAlign w:val="bottom"/>
            <w:hideMark/>
          </w:tcPr>
          <w:p w14:paraId="3E5342F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1B3CA57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0A3C43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25ABDF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DAFE9C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0A9448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42E1DDC0" w14:textId="77777777" w:rsidTr="005C33EF">
        <w:trPr>
          <w:trHeight w:val="267"/>
        </w:trPr>
        <w:tc>
          <w:tcPr>
            <w:tcW w:w="4214" w:type="dxa"/>
            <w:tcBorders>
              <w:top w:val="nil"/>
              <w:left w:val="nil"/>
              <w:bottom w:val="nil"/>
              <w:right w:val="nil"/>
            </w:tcBorders>
            <w:shd w:val="clear" w:color="FFFFFF" w:fill="FFFFFF"/>
            <w:vAlign w:val="bottom"/>
            <w:hideMark/>
          </w:tcPr>
          <w:p w14:paraId="14C19C7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Unearned revenue</w:t>
            </w:r>
          </w:p>
        </w:tc>
        <w:tc>
          <w:tcPr>
            <w:tcW w:w="1267" w:type="dxa"/>
            <w:tcBorders>
              <w:top w:val="nil"/>
              <w:left w:val="nil"/>
              <w:bottom w:val="nil"/>
              <w:right w:val="nil"/>
            </w:tcBorders>
            <w:shd w:val="clear" w:color="FFFFFF" w:fill="FFFFFF"/>
            <w:noWrap/>
            <w:vAlign w:val="bottom"/>
            <w:hideMark/>
          </w:tcPr>
          <w:p w14:paraId="629BE70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2.4</w:t>
            </w:r>
          </w:p>
        </w:tc>
        <w:tc>
          <w:tcPr>
            <w:tcW w:w="1050" w:type="dxa"/>
            <w:tcBorders>
              <w:top w:val="nil"/>
              <w:left w:val="nil"/>
              <w:bottom w:val="nil"/>
              <w:right w:val="nil"/>
            </w:tcBorders>
            <w:shd w:val="clear" w:color="FFFFFF" w:fill="FFFFFF"/>
            <w:noWrap/>
            <w:vAlign w:val="bottom"/>
            <w:hideMark/>
          </w:tcPr>
          <w:p w14:paraId="11F9FB8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477,070</w:t>
            </w:r>
          </w:p>
        </w:tc>
        <w:tc>
          <w:tcPr>
            <w:tcW w:w="236" w:type="dxa"/>
            <w:tcBorders>
              <w:top w:val="nil"/>
              <w:left w:val="nil"/>
              <w:bottom w:val="nil"/>
              <w:right w:val="nil"/>
            </w:tcBorders>
            <w:shd w:val="clear" w:color="FFFFFF" w:fill="FFFFFF"/>
            <w:noWrap/>
            <w:vAlign w:val="bottom"/>
            <w:hideMark/>
          </w:tcPr>
          <w:p w14:paraId="3E339F5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5D75C8D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522,576</w:t>
            </w:r>
          </w:p>
        </w:tc>
        <w:tc>
          <w:tcPr>
            <w:tcW w:w="236" w:type="dxa"/>
            <w:tcBorders>
              <w:top w:val="nil"/>
              <w:left w:val="nil"/>
              <w:bottom w:val="nil"/>
              <w:right w:val="nil"/>
            </w:tcBorders>
            <w:shd w:val="clear" w:color="FFFFFF" w:fill="FFFFFF"/>
            <w:noWrap/>
            <w:vAlign w:val="bottom"/>
            <w:hideMark/>
          </w:tcPr>
          <w:p w14:paraId="0AA7BFD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076A69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16E5F9AC" w14:textId="77777777" w:rsidTr="005C33EF">
        <w:trPr>
          <w:trHeight w:val="267"/>
        </w:trPr>
        <w:tc>
          <w:tcPr>
            <w:tcW w:w="4214" w:type="dxa"/>
            <w:tcBorders>
              <w:top w:val="nil"/>
              <w:left w:val="nil"/>
              <w:bottom w:val="nil"/>
              <w:right w:val="nil"/>
            </w:tcBorders>
            <w:shd w:val="clear" w:color="FFFFFF" w:fill="FFFFFF"/>
            <w:vAlign w:val="bottom"/>
            <w:hideMark/>
          </w:tcPr>
          <w:p w14:paraId="6E04E1F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unearned revenue</w:t>
            </w:r>
          </w:p>
        </w:tc>
        <w:tc>
          <w:tcPr>
            <w:tcW w:w="1267" w:type="dxa"/>
            <w:tcBorders>
              <w:top w:val="nil"/>
              <w:left w:val="nil"/>
              <w:bottom w:val="nil"/>
              <w:right w:val="nil"/>
            </w:tcBorders>
            <w:shd w:val="clear" w:color="FFFFFF" w:fill="FFFFFF"/>
            <w:noWrap/>
            <w:vAlign w:val="bottom"/>
            <w:hideMark/>
          </w:tcPr>
          <w:p w14:paraId="4C5EC5E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6ADB403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477,070</w:t>
            </w:r>
          </w:p>
        </w:tc>
        <w:tc>
          <w:tcPr>
            <w:tcW w:w="236" w:type="dxa"/>
            <w:tcBorders>
              <w:top w:val="nil"/>
              <w:left w:val="nil"/>
              <w:bottom w:val="nil"/>
              <w:right w:val="nil"/>
            </w:tcBorders>
            <w:shd w:val="clear" w:color="FFFFFF" w:fill="FFFFFF"/>
            <w:noWrap/>
            <w:vAlign w:val="bottom"/>
            <w:hideMark/>
          </w:tcPr>
          <w:p w14:paraId="783AEC7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078DBE7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522,576</w:t>
            </w:r>
          </w:p>
        </w:tc>
        <w:tc>
          <w:tcPr>
            <w:tcW w:w="236" w:type="dxa"/>
            <w:tcBorders>
              <w:top w:val="nil"/>
              <w:left w:val="nil"/>
              <w:bottom w:val="nil"/>
              <w:right w:val="nil"/>
            </w:tcBorders>
            <w:shd w:val="clear" w:color="FFFFFF" w:fill="FFFFFF"/>
            <w:noWrap/>
            <w:vAlign w:val="bottom"/>
            <w:hideMark/>
          </w:tcPr>
          <w:p w14:paraId="63CF8D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2C6AC3C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r>
      <w:tr w:rsidR="00FD06ED" w:rsidRPr="00FD06ED" w14:paraId="3DED00F9" w14:textId="77777777" w:rsidTr="005C33EF">
        <w:trPr>
          <w:trHeight w:val="267"/>
        </w:trPr>
        <w:tc>
          <w:tcPr>
            <w:tcW w:w="4214" w:type="dxa"/>
            <w:tcBorders>
              <w:top w:val="nil"/>
              <w:left w:val="nil"/>
              <w:bottom w:val="nil"/>
              <w:right w:val="nil"/>
            </w:tcBorders>
            <w:shd w:val="clear" w:color="FFFFFF" w:fill="FFFFFF"/>
            <w:vAlign w:val="bottom"/>
            <w:hideMark/>
          </w:tcPr>
          <w:p w14:paraId="0FA7F46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3958FB9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25B8FC0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4A9F53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730C97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5ADEAE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C1A098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D6169B6" w14:textId="77777777" w:rsidTr="005C33EF">
        <w:trPr>
          <w:trHeight w:val="255"/>
        </w:trPr>
        <w:tc>
          <w:tcPr>
            <w:tcW w:w="4214" w:type="dxa"/>
            <w:tcBorders>
              <w:top w:val="nil"/>
              <w:left w:val="nil"/>
              <w:bottom w:val="nil"/>
              <w:right w:val="nil"/>
            </w:tcBorders>
            <w:shd w:val="clear" w:color="FFFFFF" w:fill="FFFFFF"/>
            <w:vAlign w:val="bottom"/>
            <w:hideMark/>
          </w:tcPr>
          <w:p w14:paraId="484B247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Provisions</w:t>
            </w:r>
          </w:p>
        </w:tc>
        <w:tc>
          <w:tcPr>
            <w:tcW w:w="1267" w:type="dxa"/>
            <w:tcBorders>
              <w:top w:val="nil"/>
              <w:left w:val="nil"/>
              <w:bottom w:val="nil"/>
              <w:right w:val="nil"/>
            </w:tcBorders>
            <w:shd w:val="clear" w:color="FFFFFF" w:fill="FFFFFF"/>
            <w:noWrap/>
            <w:vAlign w:val="bottom"/>
            <w:hideMark/>
          </w:tcPr>
          <w:p w14:paraId="05C2415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08529B1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413FF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E34CBF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A818AA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56B15D9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DB1665B" w14:textId="77777777" w:rsidTr="005C33EF">
        <w:trPr>
          <w:trHeight w:val="255"/>
        </w:trPr>
        <w:tc>
          <w:tcPr>
            <w:tcW w:w="4214" w:type="dxa"/>
            <w:tcBorders>
              <w:top w:val="nil"/>
              <w:left w:val="nil"/>
              <w:bottom w:val="nil"/>
              <w:right w:val="nil"/>
            </w:tcBorders>
            <w:shd w:val="clear" w:color="FFFFFF" w:fill="FFFFFF"/>
            <w:vAlign w:val="bottom"/>
            <w:hideMark/>
          </w:tcPr>
          <w:p w14:paraId="4D2159D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Employee leave provisions</w:t>
            </w:r>
          </w:p>
        </w:tc>
        <w:tc>
          <w:tcPr>
            <w:tcW w:w="1267" w:type="dxa"/>
            <w:tcBorders>
              <w:top w:val="nil"/>
              <w:left w:val="nil"/>
              <w:bottom w:val="nil"/>
              <w:right w:val="nil"/>
            </w:tcBorders>
            <w:shd w:val="clear" w:color="FFFFFF" w:fill="FFFFFF"/>
            <w:noWrap/>
            <w:vAlign w:val="bottom"/>
            <w:hideMark/>
          </w:tcPr>
          <w:p w14:paraId="138138B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5F6AB97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97,943</w:t>
            </w:r>
          </w:p>
        </w:tc>
        <w:tc>
          <w:tcPr>
            <w:tcW w:w="236" w:type="dxa"/>
            <w:tcBorders>
              <w:top w:val="nil"/>
              <w:left w:val="nil"/>
              <w:bottom w:val="nil"/>
              <w:right w:val="nil"/>
            </w:tcBorders>
            <w:shd w:val="clear" w:color="FFFFFF" w:fill="FFFFFF"/>
            <w:noWrap/>
            <w:vAlign w:val="bottom"/>
            <w:hideMark/>
          </w:tcPr>
          <w:p w14:paraId="1C5A38B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C3F861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92,109</w:t>
            </w:r>
          </w:p>
        </w:tc>
        <w:tc>
          <w:tcPr>
            <w:tcW w:w="236" w:type="dxa"/>
            <w:tcBorders>
              <w:top w:val="nil"/>
              <w:left w:val="nil"/>
              <w:bottom w:val="nil"/>
              <w:right w:val="nil"/>
            </w:tcBorders>
            <w:shd w:val="clear" w:color="FFFFFF" w:fill="FFFFFF"/>
            <w:noWrap/>
            <w:vAlign w:val="bottom"/>
            <w:hideMark/>
          </w:tcPr>
          <w:p w14:paraId="3C0751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FCCC51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80,226</w:t>
            </w:r>
          </w:p>
        </w:tc>
      </w:tr>
      <w:tr w:rsidR="00FD06ED" w:rsidRPr="00FD06ED" w14:paraId="4887D297" w14:textId="77777777" w:rsidTr="005C33EF">
        <w:trPr>
          <w:trHeight w:val="255"/>
        </w:trPr>
        <w:tc>
          <w:tcPr>
            <w:tcW w:w="4214" w:type="dxa"/>
            <w:tcBorders>
              <w:top w:val="nil"/>
              <w:left w:val="nil"/>
              <w:bottom w:val="nil"/>
              <w:right w:val="nil"/>
            </w:tcBorders>
            <w:shd w:val="clear" w:color="FFFFFF" w:fill="FFFFFF"/>
            <w:vAlign w:val="bottom"/>
            <w:hideMark/>
          </w:tcPr>
          <w:p w14:paraId="49B0A60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plan provisions</w:t>
            </w:r>
          </w:p>
        </w:tc>
        <w:tc>
          <w:tcPr>
            <w:tcW w:w="1267" w:type="dxa"/>
            <w:tcBorders>
              <w:top w:val="nil"/>
              <w:left w:val="nil"/>
              <w:bottom w:val="nil"/>
              <w:right w:val="nil"/>
            </w:tcBorders>
            <w:shd w:val="clear" w:color="FFFFFF" w:fill="FFFFFF"/>
            <w:noWrap/>
            <w:vAlign w:val="bottom"/>
            <w:hideMark/>
          </w:tcPr>
          <w:p w14:paraId="18DDFC7D"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2.6</w:t>
            </w:r>
          </w:p>
        </w:tc>
        <w:tc>
          <w:tcPr>
            <w:tcW w:w="1050" w:type="dxa"/>
            <w:tcBorders>
              <w:top w:val="nil"/>
              <w:left w:val="nil"/>
              <w:bottom w:val="nil"/>
              <w:right w:val="nil"/>
            </w:tcBorders>
            <w:shd w:val="clear" w:color="FFFFFF" w:fill="FFFFFF"/>
            <w:noWrap/>
            <w:vAlign w:val="bottom"/>
            <w:hideMark/>
          </w:tcPr>
          <w:p w14:paraId="172C05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1,963,712</w:t>
            </w:r>
          </w:p>
        </w:tc>
        <w:tc>
          <w:tcPr>
            <w:tcW w:w="236" w:type="dxa"/>
            <w:tcBorders>
              <w:top w:val="nil"/>
              <w:left w:val="nil"/>
              <w:bottom w:val="nil"/>
              <w:right w:val="nil"/>
            </w:tcBorders>
            <w:shd w:val="clear" w:color="FFFFFF" w:fill="FFFFFF"/>
            <w:noWrap/>
            <w:vAlign w:val="bottom"/>
            <w:hideMark/>
          </w:tcPr>
          <w:p w14:paraId="0EE5756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3D51A4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1,658,922</w:t>
            </w:r>
          </w:p>
        </w:tc>
        <w:tc>
          <w:tcPr>
            <w:tcW w:w="236" w:type="dxa"/>
            <w:tcBorders>
              <w:top w:val="nil"/>
              <w:left w:val="nil"/>
              <w:bottom w:val="nil"/>
              <w:right w:val="nil"/>
            </w:tcBorders>
            <w:shd w:val="clear" w:color="FFFFFF" w:fill="FFFFFF"/>
            <w:noWrap/>
            <w:vAlign w:val="bottom"/>
            <w:hideMark/>
          </w:tcPr>
          <w:p w14:paraId="715CE76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427738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1,898,980</w:t>
            </w:r>
          </w:p>
        </w:tc>
      </w:tr>
      <w:tr w:rsidR="00FD06ED" w:rsidRPr="00FD06ED" w14:paraId="2F956EA1" w14:textId="77777777" w:rsidTr="005C33EF">
        <w:trPr>
          <w:trHeight w:val="255"/>
        </w:trPr>
        <w:tc>
          <w:tcPr>
            <w:tcW w:w="4214" w:type="dxa"/>
            <w:tcBorders>
              <w:top w:val="nil"/>
              <w:left w:val="nil"/>
              <w:bottom w:val="nil"/>
              <w:right w:val="nil"/>
            </w:tcBorders>
            <w:shd w:val="clear" w:color="FFFFFF" w:fill="FFFFFF"/>
            <w:vAlign w:val="bottom"/>
            <w:hideMark/>
          </w:tcPr>
          <w:p w14:paraId="1DA6CED0"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Provision for provider additional costs</w:t>
            </w:r>
          </w:p>
        </w:tc>
        <w:tc>
          <w:tcPr>
            <w:tcW w:w="1267" w:type="dxa"/>
            <w:tcBorders>
              <w:top w:val="nil"/>
              <w:left w:val="nil"/>
              <w:bottom w:val="nil"/>
              <w:right w:val="nil"/>
            </w:tcBorders>
            <w:shd w:val="clear" w:color="FFFFFF" w:fill="FFFFFF"/>
            <w:noWrap/>
            <w:vAlign w:val="bottom"/>
            <w:hideMark/>
          </w:tcPr>
          <w:p w14:paraId="2358C0E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2.6</w:t>
            </w:r>
          </w:p>
        </w:tc>
        <w:tc>
          <w:tcPr>
            <w:tcW w:w="1050" w:type="dxa"/>
            <w:tcBorders>
              <w:top w:val="nil"/>
              <w:left w:val="nil"/>
              <w:bottom w:val="nil"/>
              <w:right w:val="nil"/>
            </w:tcBorders>
            <w:shd w:val="clear" w:color="FFFFFF" w:fill="FFFFFF"/>
            <w:noWrap/>
            <w:vAlign w:val="bottom"/>
            <w:hideMark/>
          </w:tcPr>
          <w:p w14:paraId="1EEC3DE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475,644</w:t>
            </w:r>
          </w:p>
        </w:tc>
        <w:tc>
          <w:tcPr>
            <w:tcW w:w="236" w:type="dxa"/>
            <w:tcBorders>
              <w:top w:val="nil"/>
              <w:left w:val="nil"/>
              <w:bottom w:val="nil"/>
              <w:right w:val="nil"/>
            </w:tcBorders>
            <w:shd w:val="clear" w:color="FFFFFF" w:fill="FFFFFF"/>
            <w:noWrap/>
            <w:vAlign w:val="bottom"/>
            <w:hideMark/>
          </w:tcPr>
          <w:p w14:paraId="680E6E7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CB014D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5A1C0E2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158327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585164F5" w14:textId="77777777" w:rsidTr="005C33EF">
        <w:trPr>
          <w:trHeight w:val="255"/>
        </w:trPr>
        <w:tc>
          <w:tcPr>
            <w:tcW w:w="4214" w:type="dxa"/>
            <w:tcBorders>
              <w:top w:val="nil"/>
              <w:left w:val="nil"/>
              <w:bottom w:val="nil"/>
              <w:right w:val="nil"/>
            </w:tcBorders>
            <w:shd w:val="clear" w:color="FFFFFF" w:fill="FFFFFF"/>
            <w:vAlign w:val="bottom"/>
            <w:hideMark/>
          </w:tcPr>
          <w:p w14:paraId="12C1D71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Provision for restoration obligations</w:t>
            </w:r>
          </w:p>
        </w:tc>
        <w:tc>
          <w:tcPr>
            <w:tcW w:w="1267" w:type="dxa"/>
            <w:tcBorders>
              <w:top w:val="nil"/>
              <w:left w:val="nil"/>
              <w:bottom w:val="nil"/>
              <w:right w:val="nil"/>
            </w:tcBorders>
            <w:shd w:val="clear" w:color="FFFFFF" w:fill="FFFFFF"/>
            <w:noWrap/>
            <w:vAlign w:val="bottom"/>
            <w:hideMark/>
          </w:tcPr>
          <w:p w14:paraId="3164EF4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2.6</w:t>
            </w:r>
          </w:p>
        </w:tc>
        <w:tc>
          <w:tcPr>
            <w:tcW w:w="1050" w:type="dxa"/>
            <w:tcBorders>
              <w:top w:val="nil"/>
              <w:left w:val="nil"/>
              <w:bottom w:val="nil"/>
              <w:right w:val="nil"/>
            </w:tcBorders>
            <w:shd w:val="clear" w:color="FFFFFF" w:fill="FFFFFF"/>
            <w:noWrap/>
            <w:vAlign w:val="bottom"/>
            <w:hideMark/>
          </w:tcPr>
          <w:p w14:paraId="083C19D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7,301</w:t>
            </w:r>
          </w:p>
        </w:tc>
        <w:tc>
          <w:tcPr>
            <w:tcW w:w="236" w:type="dxa"/>
            <w:tcBorders>
              <w:top w:val="nil"/>
              <w:left w:val="nil"/>
              <w:bottom w:val="nil"/>
              <w:right w:val="nil"/>
            </w:tcBorders>
            <w:shd w:val="clear" w:color="FFFFFF" w:fill="FFFFFF"/>
            <w:noWrap/>
            <w:vAlign w:val="bottom"/>
            <w:hideMark/>
          </w:tcPr>
          <w:p w14:paraId="04B7772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D61E30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7,084</w:t>
            </w:r>
          </w:p>
        </w:tc>
        <w:tc>
          <w:tcPr>
            <w:tcW w:w="236" w:type="dxa"/>
            <w:tcBorders>
              <w:top w:val="nil"/>
              <w:left w:val="nil"/>
              <w:bottom w:val="nil"/>
              <w:right w:val="nil"/>
            </w:tcBorders>
            <w:shd w:val="clear" w:color="FFFFFF" w:fill="FFFFFF"/>
            <w:noWrap/>
            <w:vAlign w:val="bottom"/>
            <w:hideMark/>
          </w:tcPr>
          <w:p w14:paraId="7F50327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42ABEA8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7,980</w:t>
            </w:r>
          </w:p>
        </w:tc>
      </w:tr>
      <w:tr w:rsidR="00FD06ED" w:rsidRPr="00FD06ED" w14:paraId="610A31E5" w14:textId="77777777" w:rsidTr="005C33EF">
        <w:trPr>
          <w:trHeight w:val="255"/>
        </w:trPr>
        <w:tc>
          <w:tcPr>
            <w:tcW w:w="4214" w:type="dxa"/>
            <w:tcBorders>
              <w:top w:val="nil"/>
              <w:left w:val="nil"/>
              <w:bottom w:val="nil"/>
              <w:right w:val="nil"/>
            </w:tcBorders>
            <w:shd w:val="clear" w:color="FFFFFF" w:fill="FFFFFF"/>
            <w:vAlign w:val="bottom"/>
            <w:hideMark/>
          </w:tcPr>
          <w:p w14:paraId="459AE70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provisions</w:t>
            </w:r>
          </w:p>
        </w:tc>
        <w:tc>
          <w:tcPr>
            <w:tcW w:w="1267" w:type="dxa"/>
            <w:tcBorders>
              <w:top w:val="nil"/>
              <w:left w:val="nil"/>
              <w:bottom w:val="nil"/>
              <w:right w:val="nil"/>
            </w:tcBorders>
            <w:shd w:val="clear" w:color="FFFFFF" w:fill="FFFFFF"/>
            <w:noWrap/>
            <w:vAlign w:val="bottom"/>
            <w:hideMark/>
          </w:tcPr>
          <w:p w14:paraId="629D606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4A87B14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2,544,600</w:t>
            </w:r>
          </w:p>
        </w:tc>
        <w:tc>
          <w:tcPr>
            <w:tcW w:w="236" w:type="dxa"/>
            <w:tcBorders>
              <w:top w:val="nil"/>
              <w:left w:val="nil"/>
              <w:bottom w:val="nil"/>
              <w:right w:val="nil"/>
            </w:tcBorders>
            <w:shd w:val="clear" w:color="FFFFFF" w:fill="FFFFFF"/>
            <w:noWrap/>
            <w:vAlign w:val="bottom"/>
            <w:hideMark/>
          </w:tcPr>
          <w:p w14:paraId="52A989B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D1470B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1,758,115</w:t>
            </w:r>
          </w:p>
        </w:tc>
        <w:tc>
          <w:tcPr>
            <w:tcW w:w="236" w:type="dxa"/>
            <w:tcBorders>
              <w:top w:val="nil"/>
              <w:left w:val="nil"/>
              <w:bottom w:val="nil"/>
              <w:right w:val="nil"/>
            </w:tcBorders>
            <w:shd w:val="clear" w:color="FFFFFF" w:fill="FFFFFF"/>
            <w:noWrap/>
            <w:vAlign w:val="bottom"/>
            <w:hideMark/>
          </w:tcPr>
          <w:p w14:paraId="2436054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774A5D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1,987,186</w:t>
            </w:r>
          </w:p>
        </w:tc>
      </w:tr>
      <w:tr w:rsidR="00FD06ED" w:rsidRPr="00FD06ED" w14:paraId="10255EAE" w14:textId="77777777" w:rsidTr="005C33EF">
        <w:trPr>
          <w:trHeight w:val="255"/>
        </w:trPr>
        <w:tc>
          <w:tcPr>
            <w:tcW w:w="4214" w:type="dxa"/>
            <w:tcBorders>
              <w:top w:val="nil"/>
              <w:left w:val="nil"/>
              <w:bottom w:val="nil"/>
              <w:right w:val="nil"/>
            </w:tcBorders>
            <w:shd w:val="clear" w:color="FFFFFF" w:fill="FFFFFF"/>
            <w:vAlign w:val="bottom"/>
            <w:hideMark/>
          </w:tcPr>
          <w:p w14:paraId="5F28F86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41CE7BE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2975449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2D5E4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2B63A1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3DEC2F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3E981C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DC4DE7D" w14:textId="77777777" w:rsidTr="005C33EF">
        <w:trPr>
          <w:trHeight w:val="255"/>
        </w:trPr>
        <w:tc>
          <w:tcPr>
            <w:tcW w:w="4214" w:type="dxa"/>
            <w:tcBorders>
              <w:top w:val="nil"/>
              <w:left w:val="nil"/>
              <w:bottom w:val="nil"/>
              <w:right w:val="nil"/>
            </w:tcBorders>
            <w:shd w:val="clear" w:color="FFFFFF" w:fill="FFFFFF"/>
            <w:vAlign w:val="bottom"/>
            <w:hideMark/>
          </w:tcPr>
          <w:p w14:paraId="04ADFE7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liabilities</w:t>
            </w:r>
          </w:p>
        </w:tc>
        <w:tc>
          <w:tcPr>
            <w:tcW w:w="1267" w:type="dxa"/>
            <w:tcBorders>
              <w:top w:val="nil"/>
              <w:left w:val="nil"/>
              <w:bottom w:val="nil"/>
              <w:right w:val="nil"/>
            </w:tcBorders>
            <w:shd w:val="clear" w:color="FFFFFF" w:fill="FFFFFF"/>
            <w:noWrap/>
            <w:vAlign w:val="bottom"/>
            <w:hideMark/>
          </w:tcPr>
          <w:p w14:paraId="22072EF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08A15B2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3,440,256</w:t>
            </w:r>
          </w:p>
        </w:tc>
        <w:tc>
          <w:tcPr>
            <w:tcW w:w="236" w:type="dxa"/>
            <w:tcBorders>
              <w:top w:val="nil"/>
              <w:left w:val="nil"/>
              <w:bottom w:val="nil"/>
              <w:right w:val="nil"/>
            </w:tcBorders>
            <w:shd w:val="clear" w:color="FFFFFF" w:fill="FFFFFF"/>
            <w:noWrap/>
            <w:vAlign w:val="bottom"/>
            <w:hideMark/>
          </w:tcPr>
          <w:p w14:paraId="31329B1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7D74BCD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2,658,714</w:t>
            </w:r>
          </w:p>
        </w:tc>
        <w:tc>
          <w:tcPr>
            <w:tcW w:w="236" w:type="dxa"/>
            <w:tcBorders>
              <w:top w:val="nil"/>
              <w:left w:val="nil"/>
              <w:bottom w:val="nil"/>
              <w:right w:val="nil"/>
            </w:tcBorders>
            <w:shd w:val="clear" w:color="FFFFFF" w:fill="FFFFFF"/>
            <w:noWrap/>
            <w:vAlign w:val="bottom"/>
            <w:hideMark/>
          </w:tcPr>
          <w:p w14:paraId="027D44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1AC40A1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3,135,993</w:t>
            </w:r>
          </w:p>
        </w:tc>
      </w:tr>
      <w:tr w:rsidR="00FD06ED" w:rsidRPr="00FD06ED" w14:paraId="5C2EE2E6" w14:textId="77777777" w:rsidTr="005C33EF">
        <w:trPr>
          <w:trHeight w:val="255"/>
        </w:trPr>
        <w:tc>
          <w:tcPr>
            <w:tcW w:w="4214" w:type="dxa"/>
            <w:tcBorders>
              <w:top w:val="nil"/>
              <w:left w:val="nil"/>
              <w:bottom w:val="nil"/>
              <w:right w:val="nil"/>
            </w:tcBorders>
            <w:shd w:val="clear" w:color="FFFFFF" w:fill="FFFFFF"/>
            <w:vAlign w:val="bottom"/>
            <w:hideMark/>
          </w:tcPr>
          <w:p w14:paraId="34985E1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assets</w:t>
            </w:r>
          </w:p>
        </w:tc>
        <w:tc>
          <w:tcPr>
            <w:tcW w:w="1267" w:type="dxa"/>
            <w:tcBorders>
              <w:top w:val="nil"/>
              <w:left w:val="nil"/>
              <w:bottom w:val="nil"/>
              <w:right w:val="nil"/>
            </w:tcBorders>
            <w:shd w:val="clear" w:color="FFFFFF" w:fill="FFFFFF"/>
            <w:noWrap/>
            <w:vAlign w:val="bottom"/>
            <w:hideMark/>
          </w:tcPr>
          <w:p w14:paraId="545E7BC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single" w:sz="4" w:space="0" w:color="auto"/>
              <w:right w:val="nil"/>
            </w:tcBorders>
            <w:shd w:val="clear" w:color="FFFFFF" w:fill="FFFFFF"/>
            <w:noWrap/>
            <w:vAlign w:val="bottom"/>
            <w:hideMark/>
          </w:tcPr>
          <w:p w14:paraId="47BFA94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1,244,089</w:t>
            </w:r>
          </w:p>
        </w:tc>
        <w:tc>
          <w:tcPr>
            <w:tcW w:w="236" w:type="dxa"/>
            <w:tcBorders>
              <w:top w:val="nil"/>
              <w:left w:val="nil"/>
              <w:bottom w:val="nil"/>
              <w:right w:val="nil"/>
            </w:tcBorders>
            <w:shd w:val="clear" w:color="FFFFFF" w:fill="FFFFFF"/>
            <w:noWrap/>
            <w:vAlign w:val="bottom"/>
            <w:hideMark/>
          </w:tcPr>
          <w:p w14:paraId="1ECE122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single" w:sz="4" w:space="0" w:color="auto"/>
              <w:right w:val="nil"/>
            </w:tcBorders>
            <w:shd w:val="clear" w:color="FFFFFF" w:fill="FFFFFF"/>
            <w:noWrap/>
            <w:vAlign w:val="bottom"/>
            <w:hideMark/>
          </w:tcPr>
          <w:p w14:paraId="629AA08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971,990</w:t>
            </w:r>
          </w:p>
        </w:tc>
        <w:tc>
          <w:tcPr>
            <w:tcW w:w="236" w:type="dxa"/>
            <w:tcBorders>
              <w:top w:val="nil"/>
              <w:left w:val="nil"/>
              <w:bottom w:val="nil"/>
              <w:right w:val="nil"/>
            </w:tcBorders>
            <w:shd w:val="clear" w:color="FFFFFF" w:fill="FFFFFF"/>
            <w:noWrap/>
            <w:vAlign w:val="bottom"/>
            <w:hideMark/>
          </w:tcPr>
          <w:p w14:paraId="610D56B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single" w:sz="4" w:space="0" w:color="auto"/>
              <w:right w:val="nil"/>
            </w:tcBorders>
            <w:shd w:val="clear" w:color="FFFFFF" w:fill="FFFFFF"/>
            <w:noWrap/>
            <w:vAlign w:val="bottom"/>
            <w:hideMark/>
          </w:tcPr>
          <w:p w14:paraId="57C5D95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774,086</w:t>
            </w:r>
          </w:p>
        </w:tc>
      </w:tr>
      <w:tr w:rsidR="00FD06ED" w:rsidRPr="00FD06ED" w14:paraId="5F19A84E" w14:textId="77777777" w:rsidTr="005C33EF">
        <w:trPr>
          <w:trHeight w:val="255"/>
        </w:trPr>
        <w:tc>
          <w:tcPr>
            <w:tcW w:w="4214" w:type="dxa"/>
            <w:tcBorders>
              <w:top w:val="nil"/>
              <w:left w:val="nil"/>
              <w:bottom w:val="nil"/>
              <w:right w:val="nil"/>
            </w:tcBorders>
            <w:shd w:val="clear" w:color="FFFFFF" w:fill="FFFFFF"/>
            <w:vAlign w:val="bottom"/>
            <w:hideMark/>
          </w:tcPr>
          <w:p w14:paraId="0DC36FA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67" w:type="dxa"/>
            <w:tcBorders>
              <w:top w:val="nil"/>
              <w:left w:val="nil"/>
              <w:bottom w:val="nil"/>
              <w:right w:val="nil"/>
            </w:tcBorders>
            <w:shd w:val="clear" w:color="FFFFFF" w:fill="FFFFFF"/>
            <w:noWrap/>
            <w:vAlign w:val="bottom"/>
            <w:hideMark/>
          </w:tcPr>
          <w:p w14:paraId="1D9FABF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119603F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322182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0E04933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08F732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A425DE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D926807" w14:textId="77777777" w:rsidTr="005C33EF">
        <w:trPr>
          <w:trHeight w:val="255"/>
        </w:trPr>
        <w:tc>
          <w:tcPr>
            <w:tcW w:w="4214" w:type="dxa"/>
            <w:tcBorders>
              <w:top w:val="nil"/>
              <w:left w:val="nil"/>
              <w:bottom w:val="nil"/>
              <w:right w:val="nil"/>
            </w:tcBorders>
            <w:shd w:val="clear" w:color="FFFFFF" w:fill="FFFFFF"/>
            <w:vAlign w:val="bottom"/>
            <w:hideMark/>
          </w:tcPr>
          <w:p w14:paraId="765AB17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EQUITY</w:t>
            </w:r>
          </w:p>
        </w:tc>
        <w:tc>
          <w:tcPr>
            <w:tcW w:w="1267" w:type="dxa"/>
            <w:tcBorders>
              <w:top w:val="nil"/>
              <w:left w:val="nil"/>
              <w:bottom w:val="nil"/>
              <w:right w:val="nil"/>
            </w:tcBorders>
            <w:shd w:val="clear" w:color="FFFFFF" w:fill="FFFFFF"/>
            <w:noWrap/>
            <w:vAlign w:val="bottom"/>
            <w:hideMark/>
          </w:tcPr>
          <w:p w14:paraId="105823F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2068718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1D7333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7D568A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11D938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6B29F3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51A6038" w14:textId="77777777" w:rsidTr="005C33EF">
        <w:trPr>
          <w:trHeight w:val="255"/>
        </w:trPr>
        <w:tc>
          <w:tcPr>
            <w:tcW w:w="4214" w:type="dxa"/>
            <w:tcBorders>
              <w:top w:val="nil"/>
              <w:left w:val="nil"/>
              <w:bottom w:val="nil"/>
              <w:right w:val="nil"/>
            </w:tcBorders>
            <w:shd w:val="clear" w:color="FFFFFF" w:fill="FFFFFF"/>
            <w:vAlign w:val="bottom"/>
            <w:hideMark/>
          </w:tcPr>
          <w:p w14:paraId="54ADC21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Contributed equity</w:t>
            </w:r>
          </w:p>
        </w:tc>
        <w:tc>
          <w:tcPr>
            <w:tcW w:w="1267" w:type="dxa"/>
            <w:tcBorders>
              <w:top w:val="nil"/>
              <w:left w:val="nil"/>
              <w:bottom w:val="nil"/>
              <w:right w:val="nil"/>
            </w:tcBorders>
            <w:shd w:val="clear" w:color="FFFFFF" w:fill="FFFFFF"/>
            <w:noWrap/>
            <w:vAlign w:val="bottom"/>
            <w:hideMark/>
          </w:tcPr>
          <w:p w14:paraId="28FBB54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5B659B1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205,733</w:t>
            </w:r>
          </w:p>
        </w:tc>
        <w:tc>
          <w:tcPr>
            <w:tcW w:w="236" w:type="dxa"/>
            <w:tcBorders>
              <w:top w:val="nil"/>
              <w:left w:val="nil"/>
              <w:bottom w:val="nil"/>
              <w:right w:val="nil"/>
            </w:tcBorders>
            <w:shd w:val="clear" w:color="FFFFFF" w:fill="FFFFFF"/>
            <w:noWrap/>
            <w:vAlign w:val="bottom"/>
            <w:hideMark/>
          </w:tcPr>
          <w:p w14:paraId="63FA98D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FC65CC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205,733</w:t>
            </w:r>
          </w:p>
        </w:tc>
        <w:tc>
          <w:tcPr>
            <w:tcW w:w="236" w:type="dxa"/>
            <w:tcBorders>
              <w:top w:val="nil"/>
              <w:left w:val="nil"/>
              <w:bottom w:val="nil"/>
              <w:right w:val="nil"/>
            </w:tcBorders>
            <w:shd w:val="clear" w:color="FFFFFF" w:fill="FFFFFF"/>
            <w:noWrap/>
            <w:vAlign w:val="bottom"/>
            <w:hideMark/>
          </w:tcPr>
          <w:p w14:paraId="17E11A2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31B4187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205,733</w:t>
            </w:r>
          </w:p>
        </w:tc>
      </w:tr>
      <w:tr w:rsidR="00FD06ED" w:rsidRPr="00FD06ED" w14:paraId="2A0FA7BF" w14:textId="77777777" w:rsidTr="005C33EF">
        <w:trPr>
          <w:trHeight w:val="255"/>
        </w:trPr>
        <w:tc>
          <w:tcPr>
            <w:tcW w:w="4214" w:type="dxa"/>
            <w:tcBorders>
              <w:top w:val="nil"/>
              <w:left w:val="nil"/>
              <w:bottom w:val="nil"/>
              <w:right w:val="nil"/>
            </w:tcBorders>
            <w:shd w:val="clear" w:color="FFFFFF" w:fill="FFFFFF"/>
            <w:vAlign w:val="bottom"/>
            <w:hideMark/>
          </w:tcPr>
          <w:p w14:paraId="3FEA34E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Asset revaluation reserve</w:t>
            </w:r>
          </w:p>
        </w:tc>
        <w:tc>
          <w:tcPr>
            <w:tcW w:w="1267" w:type="dxa"/>
            <w:tcBorders>
              <w:top w:val="nil"/>
              <w:left w:val="nil"/>
              <w:bottom w:val="nil"/>
              <w:right w:val="nil"/>
            </w:tcBorders>
            <w:shd w:val="clear" w:color="FFFFFF" w:fill="FFFFFF"/>
            <w:noWrap/>
            <w:vAlign w:val="bottom"/>
            <w:hideMark/>
          </w:tcPr>
          <w:p w14:paraId="16FBBB9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525747A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21,079</w:t>
            </w:r>
          </w:p>
        </w:tc>
        <w:tc>
          <w:tcPr>
            <w:tcW w:w="236" w:type="dxa"/>
            <w:tcBorders>
              <w:top w:val="nil"/>
              <w:left w:val="nil"/>
              <w:bottom w:val="nil"/>
              <w:right w:val="nil"/>
            </w:tcBorders>
            <w:shd w:val="clear" w:color="FFFFFF" w:fill="FFFFFF"/>
            <w:noWrap/>
            <w:vAlign w:val="bottom"/>
            <w:hideMark/>
          </w:tcPr>
          <w:p w14:paraId="796477F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1E5AC4E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22,137</w:t>
            </w:r>
          </w:p>
        </w:tc>
        <w:tc>
          <w:tcPr>
            <w:tcW w:w="236" w:type="dxa"/>
            <w:tcBorders>
              <w:top w:val="nil"/>
              <w:left w:val="nil"/>
              <w:bottom w:val="nil"/>
              <w:right w:val="nil"/>
            </w:tcBorders>
            <w:shd w:val="clear" w:color="FFFFFF" w:fill="FFFFFF"/>
            <w:noWrap/>
            <w:vAlign w:val="bottom"/>
            <w:hideMark/>
          </w:tcPr>
          <w:p w14:paraId="1B3F9B5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236596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22,137</w:t>
            </w:r>
          </w:p>
        </w:tc>
      </w:tr>
      <w:tr w:rsidR="00FD06ED" w:rsidRPr="00FD06ED" w14:paraId="1C266600" w14:textId="77777777" w:rsidTr="005C33EF">
        <w:trPr>
          <w:trHeight w:val="255"/>
        </w:trPr>
        <w:tc>
          <w:tcPr>
            <w:tcW w:w="4214" w:type="dxa"/>
            <w:tcBorders>
              <w:top w:val="nil"/>
              <w:left w:val="nil"/>
              <w:bottom w:val="nil"/>
              <w:right w:val="nil"/>
            </w:tcBorders>
            <w:shd w:val="clear" w:color="FFFFFF" w:fill="FFFFFF"/>
            <w:vAlign w:val="bottom"/>
            <w:hideMark/>
          </w:tcPr>
          <w:p w14:paraId="35A3053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Retained surplus</w:t>
            </w:r>
          </w:p>
        </w:tc>
        <w:tc>
          <w:tcPr>
            <w:tcW w:w="1267" w:type="dxa"/>
            <w:tcBorders>
              <w:top w:val="nil"/>
              <w:left w:val="nil"/>
              <w:bottom w:val="nil"/>
              <w:right w:val="nil"/>
            </w:tcBorders>
            <w:shd w:val="clear" w:color="FFFFFF" w:fill="FFFFFF"/>
            <w:noWrap/>
            <w:vAlign w:val="bottom"/>
            <w:hideMark/>
          </w:tcPr>
          <w:p w14:paraId="4A0B8C4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nil"/>
              <w:left w:val="nil"/>
              <w:bottom w:val="nil"/>
              <w:right w:val="nil"/>
            </w:tcBorders>
            <w:shd w:val="clear" w:color="FFFFFF" w:fill="FFFFFF"/>
            <w:noWrap/>
            <w:vAlign w:val="bottom"/>
            <w:hideMark/>
          </w:tcPr>
          <w:p w14:paraId="381191A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1,017,277</w:t>
            </w:r>
          </w:p>
        </w:tc>
        <w:tc>
          <w:tcPr>
            <w:tcW w:w="236" w:type="dxa"/>
            <w:tcBorders>
              <w:top w:val="nil"/>
              <w:left w:val="nil"/>
              <w:bottom w:val="nil"/>
              <w:right w:val="nil"/>
            </w:tcBorders>
            <w:shd w:val="clear" w:color="FFFFFF" w:fill="FFFFFF"/>
            <w:noWrap/>
            <w:vAlign w:val="bottom"/>
            <w:hideMark/>
          </w:tcPr>
          <w:p w14:paraId="150E8C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6A3BED4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744,120</w:t>
            </w:r>
          </w:p>
        </w:tc>
        <w:tc>
          <w:tcPr>
            <w:tcW w:w="236" w:type="dxa"/>
            <w:tcBorders>
              <w:top w:val="nil"/>
              <w:left w:val="nil"/>
              <w:bottom w:val="nil"/>
              <w:right w:val="nil"/>
            </w:tcBorders>
            <w:shd w:val="clear" w:color="FFFFFF" w:fill="FFFFFF"/>
            <w:noWrap/>
            <w:vAlign w:val="bottom"/>
            <w:hideMark/>
          </w:tcPr>
          <w:p w14:paraId="180AE37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nil"/>
              <w:left w:val="nil"/>
              <w:bottom w:val="nil"/>
              <w:right w:val="nil"/>
            </w:tcBorders>
            <w:shd w:val="clear" w:color="FFFFFF" w:fill="FFFFFF"/>
            <w:noWrap/>
            <w:vAlign w:val="bottom"/>
            <w:hideMark/>
          </w:tcPr>
          <w:p w14:paraId="74C3F1F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546,216</w:t>
            </w:r>
          </w:p>
        </w:tc>
      </w:tr>
      <w:tr w:rsidR="00FD06ED" w:rsidRPr="00FD06ED" w14:paraId="0EE3522B" w14:textId="77777777" w:rsidTr="005C33EF">
        <w:trPr>
          <w:trHeight w:val="255"/>
        </w:trPr>
        <w:tc>
          <w:tcPr>
            <w:tcW w:w="4214" w:type="dxa"/>
            <w:tcBorders>
              <w:top w:val="nil"/>
              <w:left w:val="nil"/>
              <w:bottom w:val="nil"/>
              <w:right w:val="nil"/>
            </w:tcBorders>
            <w:shd w:val="clear" w:color="FFFFFF" w:fill="FFFFFF"/>
            <w:vAlign w:val="bottom"/>
            <w:hideMark/>
          </w:tcPr>
          <w:p w14:paraId="0823DCC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equity</w:t>
            </w:r>
          </w:p>
        </w:tc>
        <w:tc>
          <w:tcPr>
            <w:tcW w:w="1267" w:type="dxa"/>
            <w:tcBorders>
              <w:top w:val="nil"/>
              <w:left w:val="nil"/>
              <w:bottom w:val="nil"/>
              <w:right w:val="nil"/>
            </w:tcBorders>
            <w:shd w:val="clear" w:color="FFFFFF" w:fill="FFFFFF"/>
            <w:noWrap/>
            <w:vAlign w:val="bottom"/>
            <w:hideMark/>
          </w:tcPr>
          <w:p w14:paraId="62D887EA"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050" w:type="dxa"/>
            <w:tcBorders>
              <w:top w:val="single" w:sz="4" w:space="0" w:color="auto"/>
              <w:left w:val="nil"/>
              <w:bottom w:val="single" w:sz="4" w:space="0" w:color="auto"/>
              <w:right w:val="nil"/>
            </w:tcBorders>
            <w:shd w:val="clear" w:color="FFFFFF" w:fill="FFFFFF"/>
            <w:noWrap/>
            <w:vAlign w:val="bottom"/>
            <w:hideMark/>
          </w:tcPr>
          <w:p w14:paraId="27E317D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1,244,089</w:t>
            </w:r>
          </w:p>
        </w:tc>
        <w:tc>
          <w:tcPr>
            <w:tcW w:w="236" w:type="dxa"/>
            <w:tcBorders>
              <w:top w:val="nil"/>
              <w:left w:val="nil"/>
              <w:bottom w:val="nil"/>
              <w:right w:val="nil"/>
            </w:tcBorders>
            <w:shd w:val="clear" w:color="FFFFFF" w:fill="FFFFFF"/>
            <w:noWrap/>
            <w:vAlign w:val="bottom"/>
            <w:hideMark/>
          </w:tcPr>
          <w:p w14:paraId="4E175C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714F939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971,990</w:t>
            </w:r>
          </w:p>
        </w:tc>
        <w:tc>
          <w:tcPr>
            <w:tcW w:w="236" w:type="dxa"/>
            <w:tcBorders>
              <w:top w:val="nil"/>
              <w:left w:val="nil"/>
              <w:bottom w:val="nil"/>
              <w:right w:val="nil"/>
            </w:tcBorders>
            <w:shd w:val="clear" w:color="FFFFFF" w:fill="FFFFFF"/>
            <w:noWrap/>
            <w:vAlign w:val="bottom"/>
            <w:hideMark/>
          </w:tcPr>
          <w:p w14:paraId="14DECCE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42" w:type="dxa"/>
            <w:tcBorders>
              <w:top w:val="single" w:sz="4" w:space="0" w:color="auto"/>
              <w:left w:val="nil"/>
              <w:bottom w:val="single" w:sz="4" w:space="0" w:color="auto"/>
              <w:right w:val="nil"/>
            </w:tcBorders>
            <w:shd w:val="clear" w:color="FFFFFF" w:fill="FFFFFF"/>
            <w:noWrap/>
            <w:vAlign w:val="bottom"/>
            <w:hideMark/>
          </w:tcPr>
          <w:p w14:paraId="4267458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774,086</w:t>
            </w:r>
          </w:p>
        </w:tc>
      </w:tr>
    </w:tbl>
    <w:p w14:paraId="41D3F458" w14:textId="77777777" w:rsidR="00FD06ED" w:rsidRPr="00FD06ED" w:rsidRDefault="00FD06ED" w:rsidP="00FD06ED">
      <w:pPr>
        <w:spacing w:before="0" w:after="80"/>
        <w:ind w:left="426" w:hanging="142"/>
        <w:rPr>
          <w:rFonts w:eastAsia="Times New Roman" w:cs="Times New Roman"/>
          <w:sz w:val="8"/>
          <w:szCs w:val="10"/>
          <w:lang w:eastAsia="en-AU"/>
        </w:rPr>
      </w:pPr>
    </w:p>
    <w:p w14:paraId="7B519AB3" w14:textId="77777777" w:rsidR="00FD06ED" w:rsidRPr="00FD06ED" w:rsidRDefault="00FD06ED" w:rsidP="00FD06ED">
      <w:pPr>
        <w:spacing w:before="0" w:after="80"/>
        <w:ind w:left="426" w:hanging="142"/>
        <w:rPr>
          <w:rFonts w:eastAsia="Times New Roman" w:cs="Times New Roman"/>
          <w:sz w:val="18"/>
          <w:szCs w:val="20"/>
          <w:lang w:eastAsia="en-AU"/>
        </w:rPr>
      </w:pPr>
      <w:r w:rsidRPr="00FD06ED">
        <w:rPr>
          <w:rFonts w:eastAsia="Times New Roman" w:cs="Times New Roman"/>
          <w:sz w:val="18"/>
          <w:szCs w:val="20"/>
          <w:lang w:eastAsia="en-AU"/>
        </w:rPr>
        <w:t>The above statement should be read in conjunction with the accompanying notes.</w:t>
      </w:r>
    </w:p>
    <w:p w14:paraId="04A8B0DA" w14:textId="76A6A0CD" w:rsidR="00FD06ED" w:rsidRPr="00FD06ED" w:rsidRDefault="00FD06ED" w:rsidP="00FD06ED">
      <w:pPr>
        <w:spacing w:before="0" w:after="0"/>
        <w:ind w:left="426" w:hanging="142"/>
        <w:rPr>
          <w:rFonts w:eastAsia="Times New Roman" w:cs="Times New Roman"/>
          <w:sz w:val="12"/>
          <w:szCs w:val="14"/>
          <w:lang w:eastAsia="en-AU"/>
        </w:rPr>
      </w:pPr>
      <w:r w:rsidRPr="00FD06ED">
        <w:rPr>
          <w:rFonts w:eastAsia="Times New Roman" w:cs="Times New Roman"/>
          <w:sz w:val="16"/>
          <w:szCs w:val="18"/>
          <w:vertAlign w:val="superscript"/>
          <w:lang w:eastAsia="en-AU"/>
        </w:rPr>
        <w:t xml:space="preserve">1 </w:t>
      </w:r>
      <w:r w:rsidRPr="00FD06ED">
        <w:rPr>
          <w:rFonts w:eastAsia="Times New Roman" w:cs="Times New Roman"/>
          <w:sz w:val="14"/>
          <w:szCs w:val="14"/>
          <w:lang w:eastAsia="en-AU"/>
        </w:rPr>
        <w:t xml:space="preserve">Original </w:t>
      </w:r>
      <w:r w:rsidRPr="00FD06ED">
        <w:rPr>
          <w:rFonts w:eastAsia="Times New Roman" w:cs="Times New Roman"/>
          <w:sz w:val="14"/>
          <w:szCs w:val="16"/>
          <w:lang w:eastAsia="en-AU"/>
        </w:rPr>
        <w:t xml:space="preserve">Budget refers to the figures published in the Portfolio Budget Statements </w:t>
      </w:r>
      <w:r w:rsidR="00577731">
        <w:rPr>
          <w:rFonts w:eastAsia="Times New Roman" w:cs="Times New Roman"/>
          <w:sz w:val="14"/>
          <w:szCs w:val="16"/>
          <w:lang w:eastAsia="en-AU"/>
        </w:rPr>
        <w:t>2021–</w:t>
      </w:r>
      <w:proofErr w:type="gramStart"/>
      <w:r w:rsidR="00577731">
        <w:rPr>
          <w:rFonts w:eastAsia="Times New Roman" w:cs="Times New Roman"/>
          <w:sz w:val="14"/>
          <w:szCs w:val="16"/>
          <w:lang w:eastAsia="en-AU"/>
        </w:rPr>
        <w:t xml:space="preserve">22 </w:t>
      </w:r>
      <w:r w:rsidRPr="00FD06ED">
        <w:rPr>
          <w:rFonts w:eastAsia="Times New Roman" w:cs="Times New Roman"/>
          <w:sz w:val="14"/>
          <w:szCs w:val="16"/>
          <w:lang w:eastAsia="en-AU"/>
        </w:rPr>
        <w:t>.</w:t>
      </w:r>
      <w:proofErr w:type="gramEnd"/>
    </w:p>
    <w:p w14:paraId="56955D5B" w14:textId="77777777" w:rsidR="00FD06ED" w:rsidRPr="00FD06ED" w:rsidRDefault="00FD06ED" w:rsidP="00FD06ED">
      <w:pPr>
        <w:spacing w:before="0" w:after="0"/>
        <w:ind w:left="426" w:hanging="142"/>
        <w:rPr>
          <w:rFonts w:eastAsia="Times New Roman" w:cs="Times New Roman"/>
          <w:sz w:val="14"/>
          <w:szCs w:val="14"/>
          <w:lang w:eastAsia="en-AU"/>
        </w:rPr>
      </w:pPr>
      <w:r w:rsidRPr="00FD06ED">
        <w:rPr>
          <w:rFonts w:eastAsia="Times New Roman" w:cs="Times New Roman"/>
          <w:sz w:val="14"/>
          <w:szCs w:val="14"/>
          <w:vertAlign w:val="superscript"/>
          <w:lang w:eastAsia="en-AU"/>
        </w:rPr>
        <w:t>2</w:t>
      </w:r>
      <w:r w:rsidRPr="00FD06ED">
        <w:rPr>
          <w:rFonts w:eastAsia="Times New Roman" w:cs="Times New Roman"/>
          <w:sz w:val="14"/>
          <w:szCs w:val="14"/>
          <w:lang w:eastAsia="en-AU"/>
        </w:rPr>
        <w:t xml:space="preserve"> Reported balances of buildings, plant and equipment right-of-use assets associated with the Agency’s leases. Refer to Note 2.5 for further details.  </w:t>
      </w:r>
      <w:r w:rsidRPr="00FD06ED">
        <w:rPr>
          <w:rFonts w:eastAsia="Times New Roman" w:cs="Times New Roman"/>
          <w:sz w:val="14"/>
          <w:szCs w:val="14"/>
          <w:lang w:eastAsia="en-AU"/>
        </w:rPr>
        <w:br w:type="page"/>
      </w:r>
    </w:p>
    <w:p w14:paraId="3B2B54CF"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lastRenderedPageBreak/>
        <w:t xml:space="preserve">Budget Variances Commentary </w:t>
      </w:r>
    </w:p>
    <w:p w14:paraId="0861607F"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Statement of Financial Position</w:t>
      </w:r>
    </w:p>
    <w:tbl>
      <w:tblPr>
        <w:tblW w:w="9077"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73"/>
        <w:gridCol w:w="6804"/>
      </w:tblGrid>
      <w:tr w:rsidR="00FD06ED" w:rsidRPr="00FD06ED" w14:paraId="3E8F53E7" w14:textId="77777777" w:rsidTr="005C33EF">
        <w:trPr>
          <w:cantSplit/>
          <w:trHeight w:val="255"/>
          <w:tblHeader/>
        </w:trPr>
        <w:tc>
          <w:tcPr>
            <w:tcW w:w="2273" w:type="dxa"/>
            <w:shd w:val="clear" w:color="FFFFFF" w:fill="FFFFFF"/>
            <w:noWrap/>
            <w:vAlign w:val="center"/>
          </w:tcPr>
          <w:p w14:paraId="1ABF8CB4" w14:textId="77777777" w:rsidR="00FD06ED" w:rsidRPr="00FD06ED" w:rsidRDefault="00FD06ED" w:rsidP="00FD06ED">
            <w:pPr>
              <w:spacing w:before="0" w:after="0" w:line="260" w:lineRule="atLeast"/>
              <w:ind w:left="0"/>
              <w:rPr>
                <w:rFonts w:eastAsia="Times New Roman" w:cs="Times New Roman"/>
                <w:b/>
                <w:sz w:val="18"/>
                <w:szCs w:val="20"/>
                <w:lang w:eastAsia="en-US"/>
              </w:rPr>
            </w:pPr>
            <w:r w:rsidRPr="00FD06ED">
              <w:rPr>
                <w:rFonts w:eastAsia="Times New Roman" w:cs="Times New Roman"/>
                <w:b/>
                <w:sz w:val="18"/>
                <w:szCs w:val="20"/>
                <w:lang w:eastAsia="en-US"/>
              </w:rPr>
              <w:t>Affected line items</w:t>
            </w:r>
          </w:p>
        </w:tc>
        <w:tc>
          <w:tcPr>
            <w:tcW w:w="6804" w:type="dxa"/>
            <w:shd w:val="clear" w:color="FFFFFF" w:fill="FFFFFF"/>
            <w:vAlign w:val="center"/>
          </w:tcPr>
          <w:p w14:paraId="4185A171" w14:textId="77777777" w:rsidR="00FD06ED" w:rsidRPr="00FD06ED" w:rsidRDefault="00FD06ED" w:rsidP="00FD06ED">
            <w:pPr>
              <w:spacing w:before="0" w:after="0" w:line="260" w:lineRule="atLeast"/>
              <w:ind w:left="0"/>
              <w:rPr>
                <w:rFonts w:eastAsia="Times New Roman" w:cs="Times New Roman"/>
                <w:b/>
                <w:sz w:val="18"/>
                <w:szCs w:val="20"/>
                <w:lang w:eastAsia="en-US"/>
              </w:rPr>
            </w:pPr>
            <w:r w:rsidRPr="00FD06ED">
              <w:rPr>
                <w:rFonts w:eastAsia="Times New Roman" w:cs="Times New Roman"/>
                <w:b/>
                <w:sz w:val="18"/>
                <w:szCs w:val="20"/>
                <w:lang w:eastAsia="en-US"/>
              </w:rPr>
              <w:t>Explanations of major variances</w:t>
            </w:r>
          </w:p>
        </w:tc>
      </w:tr>
      <w:tr w:rsidR="00FD06ED" w:rsidRPr="00FD06ED" w14:paraId="3E686BD7" w14:textId="77777777" w:rsidTr="005C33EF">
        <w:trPr>
          <w:cantSplit/>
          <w:trHeight w:val="255"/>
        </w:trPr>
        <w:tc>
          <w:tcPr>
            <w:tcW w:w="2273" w:type="dxa"/>
            <w:shd w:val="clear" w:color="auto" w:fill="auto"/>
            <w:noWrap/>
          </w:tcPr>
          <w:p w14:paraId="1B929552"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Financial assets</w:t>
            </w:r>
          </w:p>
          <w:p w14:paraId="61771A71"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Cash and cash equivalents</w:t>
            </w:r>
          </w:p>
        </w:tc>
        <w:tc>
          <w:tcPr>
            <w:tcW w:w="6804" w:type="dxa"/>
            <w:shd w:val="clear" w:color="auto" w:fill="auto"/>
            <w:noWrap/>
          </w:tcPr>
          <w:p w14:paraId="313E4EF9"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 xml:space="preserve">Cash comprises cash held on deposit and term deposits with an initial maturity of three months or less. The Budget assumed that </w:t>
            </w:r>
            <w:proofErr w:type="gramStart"/>
            <w:r w:rsidRPr="00FD06ED">
              <w:rPr>
                <w:rFonts w:eastAsia="Times New Roman"/>
                <w:color w:val="000000"/>
                <w:sz w:val="18"/>
                <w:szCs w:val="18"/>
                <w:lang w:eastAsia="en-US"/>
              </w:rPr>
              <w:t>the majority of</w:t>
            </w:r>
            <w:proofErr w:type="gramEnd"/>
            <w:r w:rsidRPr="00FD06ED">
              <w:rPr>
                <w:rFonts w:eastAsia="Times New Roman"/>
                <w:color w:val="000000"/>
                <w:sz w:val="18"/>
                <w:szCs w:val="18"/>
                <w:lang w:eastAsia="en-US"/>
              </w:rPr>
              <w:t xml:space="preserve"> the Agency's available funds would be held in Cash and cash equivalents due to a low interest environment at the time of the Budget. The Agency has actively sought to achieve higher investment returns through the use of </w:t>
            </w:r>
            <w:proofErr w:type="gramStart"/>
            <w:r w:rsidRPr="00FD06ED">
              <w:rPr>
                <w:rFonts w:eastAsia="Times New Roman"/>
                <w:color w:val="000000"/>
                <w:sz w:val="18"/>
                <w:szCs w:val="18"/>
                <w:lang w:eastAsia="en-US"/>
              </w:rPr>
              <w:t>longer term</w:t>
            </w:r>
            <w:proofErr w:type="gramEnd"/>
            <w:r w:rsidRPr="00FD06ED">
              <w:rPr>
                <w:rFonts w:eastAsia="Times New Roman"/>
                <w:color w:val="000000"/>
                <w:sz w:val="18"/>
                <w:szCs w:val="18"/>
                <w:lang w:eastAsia="en-US"/>
              </w:rPr>
              <w:t xml:space="preserve"> deposits which are included in </w:t>
            </w:r>
            <w:r w:rsidRPr="00FD06ED">
              <w:rPr>
                <w:rFonts w:eastAsia="Times New Roman"/>
                <w:i/>
                <w:iCs/>
                <w:color w:val="000000"/>
                <w:sz w:val="18"/>
                <w:szCs w:val="18"/>
                <w:lang w:eastAsia="en-US"/>
              </w:rPr>
              <w:t>Other financial assets</w:t>
            </w:r>
            <w:r w:rsidRPr="00FD06ED">
              <w:rPr>
                <w:rFonts w:eastAsia="Times New Roman"/>
                <w:color w:val="000000"/>
                <w:sz w:val="18"/>
                <w:szCs w:val="18"/>
                <w:lang w:eastAsia="en-US"/>
              </w:rPr>
              <w:t>.</w:t>
            </w:r>
          </w:p>
        </w:tc>
      </w:tr>
      <w:tr w:rsidR="00FD06ED" w:rsidRPr="00FD06ED" w14:paraId="5D3DF502" w14:textId="77777777" w:rsidTr="005C33EF">
        <w:trPr>
          <w:cantSplit/>
          <w:trHeight w:val="255"/>
        </w:trPr>
        <w:tc>
          <w:tcPr>
            <w:tcW w:w="2273" w:type="dxa"/>
            <w:shd w:val="clear" w:color="auto" w:fill="auto"/>
            <w:noWrap/>
          </w:tcPr>
          <w:p w14:paraId="46FDF896"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Financial assets</w:t>
            </w:r>
          </w:p>
          <w:p w14:paraId="18367866"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Trade and other receivables</w:t>
            </w:r>
          </w:p>
        </w:tc>
        <w:tc>
          <w:tcPr>
            <w:tcW w:w="6804" w:type="dxa"/>
            <w:shd w:val="clear" w:color="auto" w:fill="auto"/>
            <w:noWrap/>
          </w:tcPr>
          <w:p w14:paraId="7CB595BA"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bookmarkStart w:id="110" w:name="_Hlk111131646"/>
            <w:r w:rsidRPr="00FD06ED">
              <w:rPr>
                <w:rFonts w:eastAsia="Times New Roman"/>
                <w:color w:val="000000"/>
                <w:sz w:val="18"/>
                <w:szCs w:val="18"/>
                <w:lang w:eastAsia="en-US"/>
              </w:rPr>
              <w:t>The Budget assumed that cash contributions would be monthly in arrears and spread equally across the year, while actual contributions were received in advance in accordance with the Agency's quarterly in advance invoicing procedure.</w:t>
            </w:r>
            <w:bookmarkEnd w:id="110"/>
          </w:p>
        </w:tc>
      </w:tr>
      <w:tr w:rsidR="00FD06ED" w:rsidRPr="00FD06ED" w14:paraId="33F725D2" w14:textId="77777777" w:rsidTr="005C33EF">
        <w:trPr>
          <w:cantSplit/>
          <w:trHeight w:val="255"/>
        </w:trPr>
        <w:tc>
          <w:tcPr>
            <w:tcW w:w="2273" w:type="dxa"/>
            <w:shd w:val="clear" w:color="auto" w:fill="auto"/>
            <w:noWrap/>
          </w:tcPr>
          <w:p w14:paraId="2CED320F"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Financial assets</w:t>
            </w:r>
          </w:p>
          <w:p w14:paraId="22A6253E"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Other financial assets</w:t>
            </w:r>
          </w:p>
        </w:tc>
        <w:tc>
          <w:tcPr>
            <w:tcW w:w="6804" w:type="dxa"/>
            <w:shd w:val="clear" w:color="auto" w:fill="auto"/>
            <w:noWrap/>
          </w:tcPr>
          <w:p w14:paraId="5AEF936A"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i/>
                <w:iCs/>
                <w:color w:val="000000"/>
                <w:sz w:val="18"/>
                <w:szCs w:val="18"/>
                <w:lang w:eastAsia="en-US"/>
              </w:rPr>
              <w:t>Other financial assets</w:t>
            </w:r>
            <w:r w:rsidRPr="00FD06ED">
              <w:rPr>
                <w:rFonts w:eastAsia="Times New Roman"/>
                <w:color w:val="000000"/>
                <w:sz w:val="18"/>
                <w:szCs w:val="18"/>
                <w:lang w:eastAsia="en-US"/>
              </w:rPr>
              <w:t xml:space="preserve"> are term deposits with an initial maturity greater than three months. The Agency has actively sought to achieve higher investment gains through the use of </w:t>
            </w:r>
            <w:proofErr w:type="gramStart"/>
            <w:r w:rsidRPr="00FD06ED">
              <w:rPr>
                <w:rFonts w:eastAsia="Times New Roman"/>
                <w:color w:val="000000"/>
                <w:sz w:val="18"/>
                <w:szCs w:val="18"/>
                <w:lang w:eastAsia="en-US"/>
              </w:rPr>
              <w:t>longer term</w:t>
            </w:r>
            <w:proofErr w:type="gramEnd"/>
            <w:r w:rsidRPr="00FD06ED">
              <w:rPr>
                <w:rFonts w:eastAsia="Times New Roman"/>
                <w:color w:val="000000"/>
                <w:sz w:val="18"/>
                <w:szCs w:val="18"/>
                <w:lang w:eastAsia="en-US"/>
              </w:rPr>
              <w:t xml:space="preserve"> deposits.</w:t>
            </w:r>
          </w:p>
        </w:tc>
      </w:tr>
      <w:tr w:rsidR="00FD06ED" w:rsidRPr="00FD06ED" w14:paraId="46ACBC9C" w14:textId="77777777" w:rsidTr="005C33EF">
        <w:trPr>
          <w:cantSplit/>
          <w:trHeight w:val="255"/>
        </w:trPr>
        <w:tc>
          <w:tcPr>
            <w:tcW w:w="2273" w:type="dxa"/>
            <w:shd w:val="clear" w:color="FFFFFF" w:fill="FFFFFF"/>
            <w:noWrap/>
          </w:tcPr>
          <w:p w14:paraId="2B72BABD"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Non-financial assets</w:t>
            </w:r>
          </w:p>
          <w:p w14:paraId="6B72A924"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 xml:space="preserve">Buildings </w:t>
            </w:r>
          </w:p>
        </w:tc>
        <w:tc>
          <w:tcPr>
            <w:tcW w:w="6804" w:type="dxa"/>
            <w:shd w:val="clear" w:color="FFFFFF" w:fill="FFFFFF"/>
            <w:noWrap/>
          </w:tcPr>
          <w:p w14:paraId="28CFCB08" w14:textId="7173D706" w:rsidR="00FD06ED" w:rsidRPr="00FD06ED" w:rsidRDefault="00FD06ED" w:rsidP="00FD06ED">
            <w:pPr>
              <w:spacing w:before="0" w:after="0"/>
              <w:ind w:left="0"/>
              <w:jc w:val="both"/>
              <w:rPr>
                <w:rFonts w:eastAsia="Times New Roman"/>
                <w:color w:val="000000"/>
                <w:sz w:val="18"/>
                <w:szCs w:val="18"/>
                <w:lang w:eastAsia="zh-CN"/>
              </w:rPr>
            </w:pPr>
            <w:r w:rsidRPr="00FD06ED">
              <w:rPr>
                <w:rFonts w:eastAsia="Times New Roman"/>
                <w:color w:val="000000"/>
                <w:sz w:val="18"/>
                <w:szCs w:val="18"/>
                <w:lang w:eastAsia="en-US"/>
              </w:rPr>
              <w:t xml:space="preserve">The Budget assumed that the Agency would occupy a greater number of premises.  During </w:t>
            </w:r>
            <w:r w:rsidR="00577731">
              <w:rPr>
                <w:rFonts w:eastAsia="Times New Roman"/>
                <w:color w:val="000000"/>
                <w:sz w:val="18"/>
                <w:szCs w:val="18"/>
                <w:lang w:eastAsia="en-US"/>
              </w:rPr>
              <w:t>2021–</w:t>
            </w:r>
            <w:proofErr w:type="gramStart"/>
            <w:r w:rsidR="00577731">
              <w:rPr>
                <w:rFonts w:eastAsia="Times New Roman"/>
                <w:color w:val="000000"/>
                <w:sz w:val="18"/>
                <w:szCs w:val="18"/>
                <w:lang w:eastAsia="en-US"/>
              </w:rPr>
              <w:t xml:space="preserve">22 </w:t>
            </w:r>
            <w:r w:rsidRPr="00FD06ED">
              <w:rPr>
                <w:rFonts w:eastAsia="Times New Roman"/>
                <w:color w:val="000000"/>
                <w:sz w:val="18"/>
                <w:szCs w:val="18"/>
                <w:lang w:eastAsia="en-US"/>
              </w:rPr>
              <w:t>,</w:t>
            </w:r>
            <w:proofErr w:type="gramEnd"/>
            <w:r w:rsidRPr="00FD06ED">
              <w:rPr>
                <w:rFonts w:eastAsia="Times New Roman"/>
                <w:color w:val="000000"/>
                <w:sz w:val="18"/>
                <w:szCs w:val="18"/>
                <w:lang w:eastAsia="en-US"/>
              </w:rPr>
              <w:t xml:space="preserve"> the Agency has continued consolidate its property footprint, reducing both the number of lease arrangements and the value of right-of-use and leasehold improvement assets. In addition, there has been a delay in capital purchases, </w:t>
            </w:r>
            <w:proofErr w:type="gramStart"/>
            <w:r w:rsidRPr="00FD06ED">
              <w:rPr>
                <w:rFonts w:eastAsia="Times New Roman"/>
                <w:color w:val="000000"/>
                <w:sz w:val="18"/>
                <w:szCs w:val="18"/>
                <w:lang w:eastAsia="en-US"/>
              </w:rPr>
              <w:t>as a result of</w:t>
            </w:r>
            <w:proofErr w:type="gramEnd"/>
            <w:r w:rsidRPr="00FD06ED">
              <w:rPr>
                <w:rFonts w:eastAsia="Times New Roman"/>
                <w:color w:val="000000"/>
                <w:sz w:val="18"/>
                <w:szCs w:val="18"/>
                <w:lang w:eastAsia="en-US"/>
              </w:rPr>
              <w:t xml:space="preserve"> COVID-19 resource shortages.</w:t>
            </w:r>
          </w:p>
        </w:tc>
      </w:tr>
      <w:tr w:rsidR="00FD06ED" w:rsidRPr="00FD06ED" w14:paraId="5DD96DF7" w14:textId="77777777" w:rsidTr="005C33EF">
        <w:trPr>
          <w:cantSplit/>
          <w:trHeight w:val="255"/>
        </w:trPr>
        <w:tc>
          <w:tcPr>
            <w:tcW w:w="2273" w:type="dxa"/>
            <w:shd w:val="clear" w:color="FFFFFF" w:fill="FFFFFF"/>
            <w:noWrap/>
          </w:tcPr>
          <w:p w14:paraId="6BCC8A2E"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Non-financial assets</w:t>
            </w:r>
          </w:p>
          <w:p w14:paraId="20DDFAED"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Plant and equipment</w:t>
            </w:r>
          </w:p>
        </w:tc>
        <w:tc>
          <w:tcPr>
            <w:tcW w:w="6804" w:type="dxa"/>
            <w:shd w:val="clear" w:color="FFFFFF" w:fill="FFFFFF"/>
            <w:noWrap/>
          </w:tcPr>
          <w:p w14:paraId="7EF02571" w14:textId="040CF972" w:rsidR="00FD06ED" w:rsidRPr="00FD06ED" w:rsidRDefault="00FD06ED" w:rsidP="00FD06ED">
            <w:pPr>
              <w:spacing w:before="0" w:after="0"/>
              <w:ind w:left="0"/>
              <w:jc w:val="both"/>
              <w:rPr>
                <w:rFonts w:eastAsia="Times New Roman"/>
                <w:color w:val="000000"/>
                <w:sz w:val="18"/>
                <w:szCs w:val="18"/>
                <w:lang w:eastAsia="zh-CN"/>
              </w:rPr>
            </w:pPr>
            <w:r w:rsidRPr="00FD06ED">
              <w:rPr>
                <w:rFonts w:eastAsia="Times New Roman"/>
                <w:color w:val="000000"/>
                <w:sz w:val="18"/>
                <w:szCs w:val="18"/>
                <w:lang w:eastAsia="en-US"/>
              </w:rPr>
              <w:t xml:space="preserve">During </w:t>
            </w:r>
            <w:r w:rsidR="00577731">
              <w:rPr>
                <w:rFonts w:eastAsia="Times New Roman"/>
                <w:color w:val="000000"/>
                <w:sz w:val="18"/>
                <w:szCs w:val="18"/>
                <w:lang w:eastAsia="en-US"/>
              </w:rPr>
              <w:t>2021–</w:t>
            </w:r>
            <w:proofErr w:type="gramStart"/>
            <w:r w:rsidR="00577731">
              <w:rPr>
                <w:rFonts w:eastAsia="Times New Roman"/>
                <w:color w:val="000000"/>
                <w:sz w:val="18"/>
                <w:szCs w:val="18"/>
                <w:lang w:eastAsia="en-US"/>
              </w:rPr>
              <w:t xml:space="preserve">22 </w:t>
            </w:r>
            <w:r w:rsidRPr="00FD06ED">
              <w:rPr>
                <w:rFonts w:eastAsia="Times New Roman"/>
                <w:color w:val="000000"/>
                <w:sz w:val="18"/>
                <w:szCs w:val="18"/>
                <w:lang w:eastAsia="en-US"/>
              </w:rPr>
              <w:t xml:space="preserve"> the</w:t>
            </w:r>
            <w:proofErr w:type="gramEnd"/>
            <w:r w:rsidRPr="00FD06ED">
              <w:rPr>
                <w:rFonts w:eastAsia="Times New Roman"/>
                <w:color w:val="000000"/>
                <w:sz w:val="18"/>
                <w:szCs w:val="18"/>
                <w:lang w:eastAsia="en-US"/>
              </w:rPr>
              <w:t xml:space="preserve"> Agency initiated a program to deliver inhouse technology capability, providing a faster, more secure and accessible user experience, including the purchase of new laptop devices. The impact of COVID-19 has delayed the full roll out of this program, and it is now expected to finalise in 2022-23.</w:t>
            </w:r>
          </w:p>
        </w:tc>
      </w:tr>
      <w:tr w:rsidR="00FD06ED" w:rsidRPr="00FD06ED" w14:paraId="38BE5F83" w14:textId="77777777" w:rsidTr="005C33EF">
        <w:trPr>
          <w:cantSplit/>
          <w:trHeight w:val="255"/>
        </w:trPr>
        <w:tc>
          <w:tcPr>
            <w:tcW w:w="2273" w:type="dxa"/>
            <w:shd w:val="clear" w:color="FFFFFF" w:fill="FFFFFF"/>
            <w:noWrap/>
          </w:tcPr>
          <w:p w14:paraId="795C77C4"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Non-financial assets</w:t>
            </w:r>
          </w:p>
          <w:p w14:paraId="6B6B8EA4"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Other non-financial assets</w:t>
            </w:r>
          </w:p>
        </w:tc>
        <w:tc>
          <w:tcPr>
            <w:tcW w:w="6804" w:type="dxa"/>
            <w:shd w:val="clear" w:color="FFFFFF" w:fill="FFFFFF"/>
            <w:noWrap/>
          </w:tcPr>
          <w:p w14:paraId="184C0DE9"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 xml:space="preserve">The Agency negotiated to acquire key software licences at discounted pricing </w:t>
            </w:r>
            <w:proofErr w:type="gramStart"/>
            <w:r w:rsidRPr="00FD06ED">
              <w:rPr>
                <w:rFonts w:eastAsia="Times New Roman"/>
                <w:color w:val="000000"/>
                <w:sz w:val="18"/>
                <w:szCs w:val="18"/>
                <w:lang w:eastAsia="en-US"/>
              </w:rPr>
              <w:t>through the use of</w:t>
            </w:r>
            <w:proofErr w:type="gramEnd"/>
            <w:r w:rsidRPr="00FD06ED">
              <w:rPr>
                <w:rFonts w:eastAsia="Times New Roman"/>
                <w:color w:val="000000"/>
                <w:sz w:val="18"/>
                <w:szCs w:val="18"/>
                <w:lang w:eastAsia="en-US"/>
              </w:rPr>
              <w:t xml:space="preserve"> a prepayments mechanism at a higher rate than anticipated in the Budget.</w:t>
            </w:r>
          </w:p>
        </w:tc>
      </w:tr>
      <w:tr w:rsidR="00FD06ED" w:rsidRPr="00FD06ED" w14:paraId="4A880134" w14:textId="77777777" w:rsidTr="005C33EF">
        <w:trPr>
          <w:cantSplit/>
          <w:trHeight w:val="255"/>
        </w:trPr>
        <w:tc>
          <w:tcPr>
            <w:tcW w:w="2273" w:type="dxa"/>
            <w:shd w:val="clear" w:color="FFFFFF" w:fill="FFFFFF"/>
            <w:noWrap/>
          </w:tcPr>
          <w:p w14:paraId="7A630372"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Liabilities</w:t>
            </w:r>
          </w:p>
          <w:p w14:paraId="43882AF8"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Suppliers</w:t>
            </w:r>
          </w:p>
        </w:tc>
        <w:tc>
          <w:tcPr>
            <w:tcW w:w="6804" w:type="dxa"/>
            <w:shd w:val="clear" w:color="FFFFFF" w:fill="FFFFFF"/>
            <w:noWrap/>
          </w:tcPr>
          <w:p w14:paraId="59E53DFD" w14:textId="00CA2C10"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 xml:space="preserve">Suppliers includes an amount payable to the Department of Health for Younger People in Residential Aged Care that remains unpaid as at the end of </w:t>
            </w:r>
            <w:r w:rsidR="00577731">
              <w:rPr>
                <w:rFonts w:eastAsia="Times New Roman"/>
                <w:color w:val="000000"/>
                <w:sz w:val="18"/>
                <w:szCs w:val="18"/>
                <w:lang w:eastAsia="en-US"/>
              </w:rPr>
              <w:t>2021–</w:t>
            </w:r>
            <w:proofErr w:type="gramStart"/>
            <w:r w:rsidR="00577731">
              <w:rPr>
                <w:rFonts w:eastAsia="Times New Roman"/>
                <w:color w:val="000000"/>
                <w:sz w:val="18"/>
                <w:szCs w:val="18"/>
                <w:lang w:eastAsia="en-US"/>
              </w:rPr>
              <w:t xml:space="preserve">22 </w:t>
            </w:r>
            <w:r w:rsidRPr="00FD06ED">
              <w:rPr>
                <w:rFonts w:eastAsia="Times New Roman"/>
                <w:color w:val="000000"/>
                <w:sz w:val="18"/>
                <w:szCs w:val="18"/>
                <w:lang w:eastAsia="en-US"/>
              </w:rPr>
              <w:t>.</w:t>
            </w:r>
            <w:proofErr w:type="gramEnd"/>
            <w:r w:rsidRPr="00FD06ED">
              <w:rPr>
                <w:rFonts w:eastAsia="Times New Roman"/>
                <w:color w:val="000000"/>
                <w:sz w:val="18"/>
                <w:szCs w:val="18"/>
                <w:lang w:eastAsia="en-US"/>
              </w:rPr>
              <w:t xml:space="preserve"> The balance in Suppliers is predominantly driven by the timing of expenditure recognised and relevant payment terms.</w:t>
            </w:r>
          </w:p>
        </w:tc>
      </w:tr>
      <w:tr w:rsidR="00FD06ED" w:rsidRPr="00FD06ED" w14:paraId="3313832F" w14:textId="77777777" w:rsidTr="005C33EF">
        <w:trPr>
          <w:cantSplit/>
          <w:trHeight w:val="255"/>
        </w:trPr>
        <w:tc>
          <w:tcPr>
            <w:tcW w:w="2273" w:type="dxa"/>
            <w:shd w:val="clear" w:color="FFFFFF" w:fill="FFFFFF"/>
            <w:noWrap/>
          </w:tcPr>
          <w:p w14:paraId="5EA3101D"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Liabilities</w:t>
            </w:r>
          </w:p>
          <w:p w14:paraId="30AE1BC7"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Other payables, Unearned revenue</w:t>
            </w:r>
          </w:p>
        </w:tc>
        <w:tc>
          <w:tcPr>
            <w:tcW w:w="6804" w:type="dxa"/>
            <w:shd w:val="clear" w:color="FFFFFF" w:fill="FFFFFF"/>
            <w:noWrap/>
          </w:tcPr>
          <w:p w14:paraId="226C62B5"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 xml:space="preserve">The Budget does not separately disclose amounts attributable to </w:t>
            </w:r>
            <w:proofErr w:type="gramStart"/>
            <w:r w:rsidRPr="00FD06ED">
              <w:rPr>
                <w:rFonts w:eastAsia="Times New Roman"/>
                <w:i/>
                <w:iCs/>
                <w:color w:val="000000"/>
                <w:sz w:val="18"/>
                <w:szCs w:val="18"/>
                <w:lang w:eastAsia="en-US"/>
              </w:rPr>
              <w:t>Other</w:t>
            </w:r>
            <w:proofErr w:type="gramEnd"/>
            <w:r w:rsidRPr="00FD06ED">
              <w:rPr>
                <w:rFonts w:eastAsia="Times New Roman"/>
                <w:i/>
                <w:iCs/>
                <w:color w:val="000000"/>
                <w:sz w:val="18"/>
                <w:szCs w:val="18"/>
                <w:lang w:eastAsia="en-US"/>
              </w:rPr>
              <w:t xml:space="preserve"> payables</w:t>
            </w:r>
            <w:r w:rsidRPr="00FD06ED">
              <w:rPr>
                <w:rFonts w:eastAsia="Times New Roman"/>
                <w:color w:val="000000"/>
                <w:sz w:val="18"/>
                <w:szCs w:val="18"/>
                <w:lang w:eastAsia="en-US"/>
              </w:rPr>
              <w:t xml:space="preserve"> and </w:t>
            </w:r>
            <w:r w:rsidRPr="00FD06ED">
              <w:rPr>
                <w:rFonts w:eastAsia="Times New Roman"/>
                <w:i/>
                <w:iCs/>
                <w:color w:val="000000"/>
                <w:sz w:val="18"/>
                <w:szCs w:val="18"/>
                <w:lang w:eastAsia="en-US"/>
              </w:rPr>
              <w:t>Unearned revenue</w:t>
            </w:r>
            <w:r w:rsidRPr="00FD06ED">
              <w:rPr>
                <w:rFonts w:eastAsia="Times New Roman"/>
                <w:color w:val="000000"/>
                <w:sz w:val="18"/>
                <w:szCs w:val="18"/>
                <w:lang w:eastAsia="en-US"/>
              </w:rPr>
              <w:t>. Unearned revenue relates to credits for in-kind contributions estimated but not awarded. The balance of in-kind contributions has been decreasing as states and territories finalise the transfer of relevant programs to the Scheme. While a reduction in in-kind contributions was included in the Budget, the transfer of the programs has proceeded at a rate greater than anticipated.</w:t>
            </w:r>
          </w:p>
        </w:tc>
      </w:tr>
      <w:tr w:rsidR="00FD06ED" w:rsidRPr="00FD06ED" w14:paraId="0719B7FC" w14:textId="77777777" w:rsidTr="005C33EF">
        <w:trPr>
          <w:cantSplit/>
          <w:trHeight w:val="255"/>
        </w:trPr>
        <w:tc>
          <w:tcPr>
            <w:tcW w:w="2273" w:type="dxa"/>
            <w:shd w:val="clear" w:color="FFFFFF" w:fill="FFFFFF"/>
            <w:noWrap/>
          </w:tcPr>
          <w:p w14:paraId="0E9C7C37"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Interest bearing liabilities</w:t>
            </w:r>
          </w:p>
          <w:p w14:paraId="2456112A"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Leases</w:t>
            </w:r>
          </w:p>
        </w:tc>
        <w:tc>
          <w:tcPr>
            <w:tcW w:w="6804" w:type="dxa"/>
            <w:shd w:val="clear" w:color="FFFFFF" w:fill="FFFFFF"/>
            <w:noWrap/>
          </w:tcPr>
          <w:p w14:paraId="14DD412A"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There has been a reduction in the number of building and motor vehicle fleet leases, together with a decrease in liability resulting from the present value impact of lease modifications and terminations. In addition, these impacts were not envisaged in the Original Budget.</w:t>
            </w:r>
          </w:p>
        </w:tc>
      </w:tr>
      <w:tr w:rsidR="00FD06ED" w:rsidRPr="00FD06ED" w14:paraId="72424CCB" w14:textId="77777777" w:rsidTr="005C33EF">
        <w:trPr>
          <w:cantSplit/>
          <w:trHeight w:val="255"/>
        </w:trPr>
        <w:tc>
          <w:tcPr>
            <w:tcW w:w="2273" w:type="dxa"/>
            <w:shd w:val="clear" w:color="FFFFFF" w:fill="FFFFFF"/>
            <w:noWrap/>
          </w:tcPr>
          <w:p w14:paraId="00B3FC38"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Provisions</w:t>
            </w:r>
          </w:p>
          <w:p w14:paraId="13DF9044" w14:textId="77777777" w:rsidR="00FD06ED" w:rsidRPr="00FD06ED" w:rsidRDefault="00FD06ED" w:rsidP="00FD06ED">
            <w:pPr>
              <w:spacing w:before="0" w:after="0" w:line="260" w:lineRule="atLeast"/>
              <w:ind w:left="0"/>
              <w:rPr>
                <w:rFonts w:eastAsia="Times New Roman" w:cs="Times New Roman"/>
                <w:i/>
                <w:sz w:val="18"/>
                <w:szCs w:val="20"/>
                <w:lang w:eastAsia="en-US"/>
              </w:rPr>
            </w:pPr>
            <w:r w:rsidRPr="00FD06ED">
              <w:rPr>
                <w:rFonts w:eastAsia="Times New Roman" w:cs="Times New Roman"/>
                <w:i/>
                <w:sz w:val="18"/>
                <w:szCs w:val="20"/>
                <w:lang w:eastAsia="en-US"/>
              </w:rPr>
              <w:t>Employee provisions</w:t>
            </w:r>
          </w:p>
        </w:tc>
        <w:tc>
          <w:tcPr>
            <w:tcW w:w="6804" w:type="dxa"/>
            <w:shd w:val="clear" w:color="FFFFFF" w:fill="FFFFFF"/>
            <w:noWrap/>
          </w:tcPr>
          <w:p w14:paraId="02AE42B8"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 xml:space="preserve">The Agency has seen strong growth in staffing levels which has impacted on the level of employee leave provisions. In addition, employee leave provisions increased </w:t>
            </w:r>
            <w:proofErr w:type="gramStart"/>
            <w:r w:rsidRPr="00FD06ED">
              <w:rPr>
                <w:rFonts w:eastAsia="Times New Roman"/>
                <w:color w:val="000000"/>
                <w:sz w:val="18"/>
                <w:szCs w:val="18"/>
                <w:lang w:eastAsia="en-US"/>
              </w:rPr>
              <w:t>as a result of</w:t>
            </w:r>
            <w:proofErr w:type="gramEnd"/>
            <w:r w:rsidRPr="00FD06ED">
              <w:rPr>
                <w:rFonts w:eastAsia="Times New Roman"/>
                <w:color w:val="000000"/>
                <w:sz w:val="18"/>
                <w:szCs w:val="18"/>
                <w:lang w:eastAsia="en-US"/>
              </w:rPr>
              <w:t xml:space="preserve"> year-end actuarial assessment and changes in parameters. This balance is highly sensitive to the parameters and will fluctuate widely as a result. The budget is based on historic trend.</w:t>
            </w:r>
          </w:p>
        </w:tc>
      </w:tr>
      <w:tr w:rsidR="00FD06ED" w:rsidRPr="00FD06ED" w14:paraId="17E49F46" w14:textId="77777777" w:rsidTr="005C33EF">
        <w:trPr>
          <w:cantSplit/>
          <w:trHeight w:val="255"/>
        </w:trPr>
        <w:tc>
          <w:tcPr>
            <w:tcW w:w="2273" w:type="dxa"/>
            <w:shd w:val="clear" w:color="FFFFFF" w:fill="FFFFFF"/>
            <w:noWrap/>
          </w:tcPr>
          <w:p w14:paraId="7488F5ED" w14:textId="77777777" w:rsidR="00FD06ED" w:rsidRPr="00FD06ED" w:rsidRDefault="00FD06ED" w:rsidP="00FD06ED">
            <w:pPr>
              <w:spacing w:before="0" w:after="0"/>
              <w:ind w:left="0"/>
              <w:rPr>
                <w:rFonts w:eastAsia="Times New Roman"/>
                <w:i/>
                <w:iCs/>
                <w:color w:val="000000"/>
                <w:sz w:val="18"/>
                <w:szCs w:val="18"/>
                <w:lang w:eastAsia="zh-CN"/>
              </w:rPr>
            </w:pPr>
            <w:r w:rsidRPr="00FD06ED">
              <w:rPr>
                <w:rFonts w:eastAsia="Times New Roman"/>
                <w:color w:val="000000"/>
                <w:sz w:val="18"/>
                <w:szCs w:val="18"/>
                <w:lang w:eastAsia="en-US"/>
              </w:rPr>
              <w:t>Provisions</w:t>
            </w:r>
            <w:r w:rsidRPr="00FD06ED">
              <w:rPr>
                <w:rFonts w:eastAsia="Times New Roman"/>
                <w:i/>
                <w:iCs/>
                <w:color w:val="000000"/>
                <w:sz w:val="18"/>
                <w:szCs w:val="18"/>
                <w:lang w:eastAsia="en-US"/>
              </w:rPr>
              <w:br/>
              <w:t>Provision for provider additional costs</w:t>
            </w:r>
          </w:p>
        </w:tc>
        <w:tc>
          <w:tcPr>
            <w:tcW w:w="6804" w:type="dxa"/>
            <w:shd w:val="clear" w:color="FFFFFF" w:fill="FFFFFF"/>
            <w:noWrap/>
          </w:tcPr>
          <w:p w14:paraId="454F8D18" w14:textId="77777777" w:rsidR="00FD06ED" w:rsidRPr="00FD06ED" w:rsidRDefault="00FD06ED" w:rsidP="00FD06ED">
            <w:pPr>
              <w:spacing w:before="0" w:after="0" w:line="260" w:lineRule="atLeast"/>
              <w:ind w:left="0"/>
              <w:jc w:val="both"/>
              <w:rPr>
                <w:rFonts w:eastAsia="Times New Roman"/>
                <w:color w:val="000000"/>
                <w:sz w:val="18"/>
                <w:szCs w:val="18"/>
                <w:lang w:eastAsia="en-US"/>
              </w:rPr>
            </w:pPr>
            <w:r w:rsidRPr="00FD06ED">
              <w:rPr>
                <w:rFonts w:eastAsia="Times New Roman"/>
                <w:color w:val="000000"/>
                <w:sz w:val="18"/>
                <w:szCs w:val="18"/>
                <w:lang w:eastAsia="en-US"/>
              </w:rPr>
              <w:t>The provision for the one-off payments to providers arising from the 2022-23 Annual Pricing Review was not contemplated at the time of the Budget.</w:t>
            </w:r>
          </w:p>
        </w:tc>
      </w:tr>
      <w:tr w:rsidR="00FD06ED" w:rsidRPr="00FD06ED" w14:paraId="71A5EC23" w14:textId="77777777" w:rsidTr="005C33EF">
        <w:trPr>
          <w:cantSplit/>
          <w:trHeight w:val="255"/>
        </w:trPr>
        <w:tc>
          <w:tcPr>
            <w:tcW w:w="2273" w:type="dxa"/>
            <w:shd w:val="clear" w:color="FFFFFF" w:fill="FFFFFF"/>
            <w:noWrap/>
          </w:tcPr>
          <w:p w14:paraId="38BEF3D5" w14:textId="77777777" w:rsidR="00FD06ED" w:rsidRPr="00FD06ED" w:rsidRDefault="00FD06ED" w:rsidP="00FD06ED">
            <w:pPr>
              <w:spacing w:before="0" w:after="0" w:line="260" w:lineRule="atLeast"/>
              <w:ind w:left="0"/>
              <w:rPr>
                <w:rFonts w:eastAsia="Times New Roman" w:cs="Times New Roman"/>
                <w:sz w:val="18"/>
                <w:szCs w:val="20"/>
                <w:lang w:eastAsia="en-US"/>
              </w:rPr>
            </w:pPr>
            <w:r w:rsidRPr="00FD06ED">
              <w:rPr>
                <w:rFonts w:eastAsia="Times New Roman" w:cs="Times New Roman"/>
                <w:sz w:val="18"/>
                <w:szCs w:val="20"/>
                <w:lang w:eastAsia="en-US"/>
              </w:rPr>
              <w:t>Retained surplus</w:t>
            </w:r>
          </w:p>
        </w:tc>
        <w:tc>
          <w:tcPr>
            <w:tcW w:w="6804" w:type="dxa"/>
            <w:shd w:val="clear" w:color="FFFFFF" w:fill="FFFFFF"/>
            <w:noWrap/>
          </w:tcPr>
          <w:p w14:paraId="109CFD16" w14:textId="77777777" w:rsidR="00FD06ED" w:rsidRPr="00FD06ED" w:rsidRDefault="00FD06ED" w:rsidP="00FD06ED">
            <w:pPr>
              <w:spacing w:before="0" w:after="0" w:line="260" w:lineRule="atLeast"/>
              <w:ind w:left="0"/>
              <w:jc w:val="both"/>
              <w:rPr>
                <w:rFonts w:eastAsia="Times New Roman" w:cs="Times New Roman"/>
                <w:sz w:val="18"/>
                <w:szCs w:val="20"/>
                <w:highlight w:val="yellow"/>
                <w:lang w:eastAsia="en-US"/>
              </w:rPr>
            </w:pPr>
            <w:r w:rsidRPr="00FD06ED">
              <w:rPr>
                <w:rFonts w:eastAsia="Times New Roman"/>
                <w:color w:val="000000"/>
                <w:sz w:val="18"/>
                <w:szCs w:val="18"/>
                <w:lang w:eastAsia="en-US"/>
              </w:rPr>
              <w:t>The Budget did not anticipate the additional funding provided to the Agency at Additional Estimates.</w:t>
            </w:r>
          </w:p>
        </w:tc>
      </w:tr>
    </w:tbl>
    <w:p w14:paraId="0560EEEF" w14:textId="77777777" w:rsidR="00FD06ED" w:rsidRPr="00FD06ED" w:rsidRDefault="00FD06ED" w:rsidP="00FD06ED">
      <w:pPr>
        <w:spacing w:before="0" w:after="80"/>
        <w:ind w:left="426" w:hanging="142"/>
        <w:rPr>
          <w:rFonts w:eastAsia="Times New Roman" w:cs="Times New Roman"/>
          <w:sz w:val="18"/>
          <w:szCs w:val="20"/>
          <w:lang w:eastAsia="en-AU"/>
        </w:rPr>
        <w:sectPr w:rsidR="00FD06ED" w:rsidRPr="00FD06ED" w:rsidSect="00E12B5F">
          <w:headerReference w:type="default" r:id="rId61"/>
          <w:pgSz w:w="11906" w:h="16838" w:code="9"/>
          <w:pgMar w:top="1134" w:right="1700" w:bottom="993" w:left="1134" w:header="958" w:footer="737" w:gutter="0"/>
          <w:cols w:space="708"/>
          <w:docGrid w:linePitch="360"/>
        </w:sectPr>
      </w:pPr>
    </w:p>
    <w:p w14:paraId="72BAEFCF" w14:textId="77777777" w:rsidR="00FD06ED" w:rsidRPr="00FD06ED" w:rsidRDefault="00FD06ED" w:rsidP="00FD06ED">
      <w:pPr>
        <w:spacing w:before="0" w:after="0" w:line="260" w:lineRule="atLeast"/>
        <w:ind w:left="0"/>
        <w:rPr>
          <w:rFonts w:eastAsia="Times New Roman"/>
          <w:sz w:val="18"/>
          <w:szCs w:val="18"/>
          <w:lang w:eastAsia="en-US"/>
        </w:rPr>
      </w:pPr>
    </w:p>
    <w:tbl>
      <w:tblPr>
        <w:tblW w:w="14683" w:type="dxa"/>
        <w:tblLayout w:type="fixed"/>
        <w:tblCellMar>
          <w:left w:w="57" w:type="dxa"/>
          <w:right w:w="57" w:type="dxa"/>
        </w:tblCellMar>
        <w:tblLook w:val="04A0" w:firstRow="1" w:lastRow="0" w:firstColumn="1" w:lastColumn="0" w:noHBand="0" w:noVBand="1"/>
      </w:tblPr>
      <w:tblGrid>
        <w:gridCol w:w="2605"/>
        <w:gridCol w:w="995"/>
        <w:gridCol w:w="1067"/>
        <w:gridCol w:w="995"/>
        <w:gridCol w:w="994"/>
        <w:gridCol w:w="994"/>
        <w:gridCol w:w="995"/>
        <w:gridCol w:w="995"/>
        <w:gridCol w:w="994"/>
        <w:gridCol w:w="995"/>
        <w:gridCol w:w="995"/>
        <w:gridCol w:w="1064"/>
        <w:gridCol w:w="995"/>
      </w:tblGrid>
      <w:tr w:rsidR="00FD06ED" w:rsidRPr="00FD06ED" w14:paraId="6F5DA2E0" w14:textId="77777777" w:rsidTr="005C33EF">
        <w:trPr>
          <w:trHeight w:val="238"/>
        </w:trPr>
        <w:tc>
          <w:tcPr>
            <w:tcW w:w="2605" w:type="dxa"/>
            <w:tcBorders>
              <w:top w:val="single" w:sz="8" w:space="0" w:color="800080"/>
              <w:left w:val="nil"/>
              <w:bottom w:val="nil"/>
              <w:right w:val="nil"/>
            </w:tcBorders>
            <w:shd w:val="clear" w:color="FFFFFF" w:fill="FFFFFF"/>
            <w:noWrap/>
            <w:vAlign w:val="bottom"/>
            <w:hideMark/>
          </w:tcPr>
          <w:p w14:paraId="088EBFC1" w14:textId="77777777" w:rsidR="00FD06ED" w:rsidRPr="00FD06ED" w:rsidRDefault="00FD06ED" w:rsidP="00FD06ED">
            <w:pPr>
              <w:spacing w:before="0" w:after="0"/>
              <w:ind w:left="0"/>
              <w:rPr>
                <w:rFonts w:eastAsia="Times New Roman"/>
                <w:sz w:val="18"/>
                <w:szCs w:val="18"/>
                <w:lang w:eastAsia="en-US"/>
              </w:rPr>
            </w:pPr>
            <w:bookmarkStart w:id="111" w:name="Note_CEQTABLE1" w:colFirst="0" w:colLast="0"/>
            <w:r w:rsidRPr="00FD06ED">
              <w:rPr>
                <w:rFonts w:eastAsia="Times New Roman"/>
                <w:sz w:val="18"/>
                <w:szCs w:val="18"/>
                <w:lang w:eastAsia="en-US"/>
              </w:rPr>
              <w:t> </w:t>
            </w:r>
          </w:p>
        </w:tc>
        <w:tc>
          <w:tcPr>
            <w:tcW w:w="3057" w:type="dxa"/>
            <w:gridSpan w:val="3"/>
            <w:tcBorders>
              <w:top w:val="single" w:sz="8" w:space="0" w:color="800080"/>
              <w:left w:val="nil"/>
              <w:bottom w:val="nil"/>
              <w:right w:val="nil"/>
            </w:tcBorders>
            <w:shd w:val="clear" w:color="FFFFFF" w:fill="FFFFFF"/>
            <w:vAlign w:val="center"/>
            <w:hideMark/>
          </w:tcPr>
          <w:p w14:paraId="675F03C9" w14:textId="77777777" w:rsidR="00FD06ED" w:rsidRPr="00FD06ED" w:rsidRDefault="00FD06ED" w:rsidP="00FD06ED">
            <w:pPr>
              <w:spacing w:before="0" w:after="0"/>
              <w:ind w:left="0"/>
              <w:jc w:val="center"/>
              <w:rPr>
                <w:rFonts w:eastAsia="Times New Roman"/>
                <w:b/>
                <w:bCs/>
                <w:sz w:val="18"/>
                <w:szCs w:val="18"/>
                <w:lang w:eastAsia="en-US"/>
              </w:rPr>
            </w:pPr>
            <w:r w:rsidRPr="00FD06ED">
              <w:rPr>
                <w:rFonts w:eastAsia="Times New Roman"/>
                <w:b/>
                <w:bCs/>
                <w:sz w:val="18"/>
                <w:szCs w:val="18"/>
                <w:lang w:eastAsia="en-US"/>
              </w:rPr>
              <w:t>Retained Surplus</w:t>
            </w:r>
          </w:p>
        </w:tc>
        <w:tc>
          <w:tcPr>
            <w:tcW w:w="2983" w:type="dxa"/>
            <w:gridSpan w:val="3"/>
            <w:tcBorders>
              <w:top w:val="single" w:sz="8" w:space="0" w:color="800080"/>
              <w:left w:val="nil"/>
              <w:bottom w:val="nil"/>
              <w:right w:val="nil"/>
            </w:tcBorders>
            <w:shd w:val="clear" w:color="FFFFFF" w:fill="FFFFFF"/>
            <w:vAlign w:val="center"/>
            <w:hideMark/>
          </w:tcPr>
          <w:p w14:paraId="43212A75" w14:textId="77777777" w:rsidR="00FD06ED" w:rsidRPr="00FD06ED" w:rsidRDefault="00FD06ED" w:rsidP="00FD06ED">
            <w:pPr>
              <w:spacing w:before="0" w:after="0"/>
              <w:ind w:left="0"/>
              <w:jc w:val="center"/>
              <w:rPr>
                <w:rFonts w:eastAsia="Times New Roman"/>
                <w:b/>
                <w:bCs/>
                <w:sz w:val="18"/>
                <w:szCs w:val="18"/>
                <w:lang w:eastAsia="en-US"/>
              </w:rPr>
            </w:pPr>
            <w:r w:rsidRPr="00FD06ED">
              <w:rPr>
                <w:rFonts w:eastAsia="Times New Roman"/>
                <w:b/>
                <w:bCs/>
                <w:sz w:val="18"/>
                <w:szCs w:val="18"/>
                <w:lang w:eastAsia="en-US"/>
              </w:rPr>
              <w:t>Asset Revaluation Reserve</w:t>
            </w:r>
          </w:p>
        </w:tc>
        <w:tc>
          <w:tcPr>
            <w:tcW w:w="2984" w:type="dxa"/>
            <w:gridSpan w:val="3"/>
            <w:tcBorders>
              <w:top w:val="single" w:sz="8" w:space="0" w:color="800080"/>
              <w:left w:val="nil"/>
              <w:bottom w:val="nil"/>
              <w:right w:val="nil"/>
            </w:tcBorders>
            <w:shd w:val="clear" w:color="FFFFFF" w:fill="FFFFFF"/>
            <w:vAlign w:val="center"/>
            <w:hideMark/>
          </w:tcPr>
          <w:p w14:paraId="6A66AEAE" w14:textId="77777777" w:rsidR="00FD06ED" w:rsidRPr="00FD06ED" w:rsidRDefault="00FD06ED" w:rsidP="00FD06ED">
            <w:pPr>
              <w:spacing w:before="0" w:after="0"/>
              <w:ind w:left="0"/>
              <w:jc w:val="center"/>
              <w:rPr>
                <w:rFonts w:eastAsia="Times New Roman"/>
                <w:b/>
                <w:bCs/>
                <w:sz w:val="18"/>
                <w:szCs w:val="18"/>
                <w:lang w:eastAsia="en-US"/>
              </w:rPr>
            </w:pPr>
            <w:r w:rsidRPr="00FD06ED">
              <w:rPr>
                <w:rFonts w:eastAsia="Times New Roman"/>
                <w:b/>
                <w:bCs/>
                <w:sz w:val="18"/>
                <w:szCs w:val="18"/>
                <w:lang w:eastAsia="en-US"/>
              </w:rPr>
              <w:t>Contributed Equity</w:t>
            </w:r>
          </w:p>
        </w:tc>
        <w:tc>
          <w:tcPr>
            <w:tcW w:w="3054" w:type="dxa"/>
            <w:gridSpan w:val="3"/>
            <w:tcBorders>
              <w:top w:val="single" w:sz="8" w:space="0" w:color="800080"/>
              <w:left w:val="nil"/>
              <w:bottom w:val="nil"/>
              <w:right w:val="nil"/>
            </w:tcBorders>
            <w:shd w:val="clear" w:color="FFFFFF" w:fill="FFFFFF"/>
            <w:vAlign w:val="center"/>
            <w:hideMark/>
          </w:tcPr>
          <w:p w14:paraId="004843CC" w14:textId="77777777" w:rsidR="00FD06ED" w:rsidRPr="00FD06ED" w:rsidRDefault="00FD06ED" w:rsidP="00FD06ED">
            <w:pPr>
              <w:spacing w:before="0" w:after="0"/>
              <w:ind w:left="0"/>
              <w:jc w:val="center"/>
              <w:rPr>
                <w:rFonts w:eastAsia="Times New Roman"/>
                <w:b/>
                <w:bCs/>
                <w:sz w:val="18"/>
                <w:szCs w:val="18"/>
                <w:lang w:eastAsia="en-US"/>
              </w:rPr>
            </w:pPr>
            <w:r w:rsidRPr="00FD06ED">
              <w:rPr>
                <w:rFonts w:eastAsia="Times New Roman"/>
                <w:b/>
                <w:bCs/>
                <w:sz w:val="18"/>
                <w:szCs w:val="18"/>
                <w:lang w:eastAsia="en-US"/>
              </w:rPr>
              <w:t>Total Equity</w:t>
            </w:r>
          </w:p>
        </w:tc>
      </w:tr>
      <w:bookmarkEnd w:id="111"/>
      <w:tr w:rsidR="00FD06ED" w:rsidRPr="00FD06ED" w14:paraId="45FC2960" w14:textId="77777777" w:rsidTr="005C33EF">
        <w:trPr>
          <w:trHeight w:val="238"/>
        </w:trPr>
        <w:tc>
          <w:tcPr>
            <w:tcW w:w="2605" w:type="dxa"/>
            <w:tcBorders>
              <w:top w:val="nil"/>
              <w:left w:val="nil"/>
              <w:bottom w:val="nil"/>
              <w:right w:val="nil"/>
            </w:tcBorders>
            <w:shd w:val="clear" w:color="FFFFFF" w:fill="FFFFFF"/>
            <w:noWrap/>
            <w:vAlign w:val="bottom"/>
            <w:hideMark/>
          </w:tcPr>
          <w:p w14:paraId="763E6D4D"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vAlign w:val="center"/>
            <w:hideMark/>
          </w:tcPr>
          <w:p w14:paraId="53F409D9"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1067" w:type="dxa"/>
            <w:tcBorders>
              <w:top w:val="nil"/>
              <w:left w:val="nil"/>
              <w:bottom w:val="nil"/>
              <w:right w:val="nil"/>
            </w:tcBorders>
            <w:shd w:val="clear" w:color="FFFFFF" w:fill="FFFFFF"/>
            <w:vAlign w:val="center"/>
            <w:hideMark/>
          </w:tcPr>
          <w:p w14:paraId="542AB2CE"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vAlign w:val="bottom"/>
            <w:hideMark/>
          </w:tcPr>
          <w:p w14:paraId="051A7509"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c>
          <w:tcPr>
            <w:tcW w:w="994" w:type="dxa"/>
            <w:tcBorders>
              <w:top w:val="nil"/>
              <w:left w:val="nil"/>
              <w:bottom w:val="nil"/>
              <w:right w:val="nil"/>
            </w:tcBorders>
            <w:shd w:val="clear" w:color="FFFFFF" w:fill="FFFFFF"/>
            <w:vAlign w:val="center"/>
            <w:hideMark/>
          </w:tcPr>
          <w:p w14:paraId="630898D5"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vAlign w:val="center"/>
            <w:hideMark/>
          </w:tcPr>
          <w:p w14:paraId="5BDC16EB"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vAlign w:val="bottom"/>
            <w:hideMark/>
          </w:tcPr>
          <w:p w14:paraId="256812A9"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c>
          <w:tcPr>
            <w:tcW w:w="995" w:type="dxa"/>
            <w:tcBorders>
              <w:top w:val="nil"/>
              <w:left w:val="nil"/>
              <w:bottom w:val="nil"/>
              <w:right w:val="nil"/>
            </w:tcBorders>
            <w:shd w:val="clear" w:color="FFFFFF" w:fill="FFFFFF"/>
            <w:vAlign w:val="center"/>
            <w:hideMark/>
          </w:tcPr>
          <w:p w14:paraId="24A09658"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vAlign w:val="center"/>
            <w:hideMark/>
          </w:tcPr>
          <w:p w14:paraId="3FB4633E"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vAlign w:val="bottom"/>
            <w:hideMark/>
          </w:tcPr>
          <w:p w14:paraId="065020FC"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c>
          <w:tcPr>
            <w:tcW w:w="995" w:type="dxa"/>
            <w:tcBorders>
              <w:top w:val="nil"/>
              <w:left w:val="nil"/>
              <w:bottom w:val="nil"/>
              <w:right w:val="nil"/>
            </w:tcBorders>
            <w:shd w:val="clear" w:color="FFFFFF" w:fill="FFFFFF"/>
            <w:vAlign w:val="center"/>
            <w:hideMark/>
          </w:tcPr>
          <w:p w14:paraId="4B0E26C2"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1064" w:type="dxa"/>
            <w:tcBorders>
              <w:top w:val="nil"/>
              <w:left w:val="nil"/>
              <w:bottom w:val="nil"/>
              <w:right w:val="nil"/>
            </w:tcBorders>
            <w:shd w:val="clear" w:color="FFFFFF" w:fill="FFFFFF"/>
            <w:vAlign w:val="center"/>
            <w:hideMark/>
          </w:tcPr>
          <w:p w14:paraId="78F1B7B1"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vAlign w:val="bottom"/>
            <w:hideMark/>
          </w:tcPr>
          <w:p w14:paraId="6C20EB9F"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r>
      <w:tr w:rsidR="00FD06ED" w:rsidRPr="00FD06ED" w14:paraId="50BC7D0A" w14:textId="77777777" w:rsidTr="005C33EF">
        <w:trPr>
          <w:trHeight w:val="238"/>
        </w:trPr>
        <w:tc>
          <w:tcPr>
            <w:tcW w:w="2605" w:type="dxa"/>
            <w:tcBorders>
              <w:top w:val="nil"/>
              <w:left w:val="nil"/>
              <w:bottom w:val="nil"/>
              <w:right w:val="nil"/>
            </w:tcBorders>
            <w:shd w:val="clear" w:color="FFFFFF" w:fill="FFFFFF"/>
            <w:noWrap/>
            <w:vAlign w:val="bottom"/>
            <w:hideMark/>
          </w:tcPr>
          <w:p w14:paraId="75CC1007"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vAlign w:val="bottom"/>
            <w:hideMark/>
          </w:tcPr>
          <w:p w14:paraId="308FD9AD"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2022</w:t>
            </w:r>
          </w:p>
        </w:tc>
        <w:tc>
          <w:tcPr>
            <w:tcW w:w="1067" w:type="dxa"/>
            <w:tcBorders>
              <w:top w:val="nil"/>
              <w:left w:val="nil"/>
              <w:bottom w:val="nil"/>
              <w:right w:val="nil"/>
            </w:tcBorders>
            <w:shd w:val="clear" w:color="FFFFFF" w:fill="FFFFFF"/>
            <w:vAlign w:val="bottom"/>
            <w:hideMark/>
          </w:tcPr>
          <w:p w14:paraId="199E8283"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2021</w:t>
            </w:r>
          </w:p>
        </w:tc>
        <w:tc>
          <w:tcPr>
            <w:tcW w:w="995" w:type="dxa"/>
            <w:tcBorders>
              <w:top w:val="nil"/>
              <w:left w:val="nil"/>
              <w:bottom w:val="nil"/>
              <w:right w:val="nil"/>
            </w:tcBorders>
            <w:shd w:val="clear" w:color="FFFFFF" w:fill="FFFFFF"/>
            <w:vAlign w:val="bottom"/>
            <w:hideMark/>
          </w:tcPr>
          <w:p w14:paraId="7101AC0F"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c>
          <w:tcPr>
            <w:tcW w:w="994" w:type="dxa"/>
            <w:tcBorders>
              <w:top w:val="nil"/>
              <w:left w:val="nil"/>
              <w:bottom w:val="nil"/>
              <w:right w:val="nil"/>
            </w:tcBorders>
            <w:shd w:val="clear" w:color="FFFFFF" w:fill="FFFFFF"/>
            <w:vAlign w:val="bottom"/>
            <w:hideMark/>
          </w:tcPr>
          <w:p w14:paraId="6832BECC"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2022</w:t>
            </w:r>
          </w:p>
        </w:tc>
        <w:tc>
          <w:tcPr>
            <w:tcW w:w="994" w:type="dxa"/>
            <w:tcBorders>
              <w:top w:val="nil"/>
              <w:left w:val="nil"/>
              <w:bottom w:val="nil"/>
              <w:right w:val="nil"/>
            </w:tcBorders>
            <w:shd w:val="clear" w:color="FFFFFF" w:fill="FFFFFF"/>
            <w:vAlign w:val="bottom"/>
            <w:hideMark/>
          </w:tcPr>
          <w:p w14:paraId="7DCE81FB"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2021</w:t>
            </w:r>
          </w:p>
        </w:tc>
        <w:tc>
          <w:tcPr>
            <w:tcW w:w="995" w:type="dxa"/>
            <w:tcBorders>
              <w:top w:val="nil"/>
              <w:left w:val="nil"/>
              <w:bottom w:val="nil"/>
              <w:right w:val="nil"/>
            </w:tcBorders>
            <w:shd w:val="clear" w:color="FFFFFF" w:fill="FFFFFF"/>
            <w:vAlign w:val="bottom"/>
            <w:hideMark/>
          </w:tcPr>
          <w:p w14:paraId="765D6D45"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c>
          <w:tcPr>
            <w:tcW w:w="995" w:type="dxa"/>
            <w:tcBorders>
              <w:top w:val="nil"/>
              <w:left w:val="nil"/>
              <w:bottom w:val="nil"/>
              <w:right w:val="nil"/>
            </w:tcBorders>
            <w:shd w:val="clear" w:color="FFFFFF" w:fill="FFFFFF"/>
            <w:vAlign w:val="bottom"/>
            <w:hideMark/>
          </w:tcPr>
          <w:p w14:paraId="7935F044"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2022</w:t>
            </w:r>
          </w:p>
        </w:tc>
        <w:tc>
          <w:tcPr>
            <w:tcW w:w="994" w:type="dxa"/>
            <w:tcBorders>
              <w:top w:val="nil"/>
              <w:left w:val="nil"/>
              <w:bottom w:val="nil"/>
              <w:right w:val="nil"/>
            </w:tcBorders>
            <w:shd w:val="clear" w:color="FFFFFF" w:fill="FFFFFF"/>
            <w:vAlign w:val="bottom"/>
            <w:hideMark/>
          </w:tcPr>
          <w:p w14:paraId="254F58D1"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2021</w:t>
            </w:r>
          </w:p>
        </w:tc>
        <w:tc>
          <w:tcPr>
            <w:tcW w:w="995" w:type="dxa"/>
            <w:tcBorders>
              <w:top w:val="nil"/>
              <w:left w:val="nil"/>
              <w:bottom w:val="nil"/>
              <w:right w:val="nil"/>
            </w:tcBorders>
            <w:shd w:val="clear" w:color="FFFFFF" w:fill="FFFFFF"/>
            <w:vAlign w:val="bottom"/>
            <w:hideMark/>
          </w:tcPr>
          <w:p w14:paraId="700F03FE"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c>
          <w:tcPr>
            <w:tcW w:w="995" w:type="dxa"/>
            <w:tcBorders>
              <w:top w:val="nil"/>
              <w:left w:val="nil"/>
              <w:bottom w:val="nil"/>
              <w:right w:val="nil"/>
            </w:tcBorders>
            <w:shd w:val="clear" w:color="FFFFFF" w:fill="FFFFFF"/>
            <w:vAlign w:val="bottom"/>
            <w:hideMark/>
          </w:tcPr>
          <w:p w14:paraId="0B191EB6"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2022</w:t>
            </w:r>
          </w:p>
        </w:tc>
        <w:tc>
          <w:tcPr>
            <w:tcW w:w="1064" w:type="dxa"/>
            <w:tcBorders>
              <w:top w:val="nil"/>
              <w:left w:val="nil"/>
              <w:bottom w:val="nil"/>
              <w:right w:val="nil"/>
            </w:tcBorders>
            <w:shd w:val="clear" w:color="FFFFFF" w:fill="FFFFFF"/>
            <w:vAlign w:val="bottom"/>
            <w:hideMark/>
          </w:tcPr>
          <w:p w14:paraId="5DBBF446"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2021</w:t>
            </w:r>
          </w:p>
        </w:tc>
        <w:tc>
          <w:tcPr>
            <w:tcW w:w="995" w:type="dxa"/>
            <w:tcBorders>
              <w:top w:val="nil"/>
              <w:left w:val="nil"/>
              <w:bottom w:val="nil"/>
              <w:right w:val="nil"/>
            </w:tcBorders>
            <w:shd w:val="clear" w:color="FFFFFF" w:fill="FFFFFF"/>
            <w:vAlign w:val="bottom"/>
            <w:hideMark/>
          </w:tcPr>
          <w:p w14:paraId="0E96F833"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2022</w:t>
            </w:r>
          </w:p>
        </w:tc>
      </w:tr>
      <w:tr w:rsidR="00FD06ED" w:rsidRPr="00FD06ED" w14:paraId="192F5E57" w14:textId="77777777" w:rsidTr="005C33EF">
        <w:trPr>
          <w:trHeight w:val="238"/>
        </w:trPr>
        <w:tc>
          <w:tcPr>
            <w:tcW w:w="2605" w:type="dxa"/>
            <w:tcBorders>
              <w:top w:val="nil"/>
              <w:left w:val="nil"/>
              <w:bottom w:val="single" w:sz="8" w:space="0" w:color="800080"/>
              <w:right w:val="nil"/>
            </w:tcBorders>
            <w:shd w:val="clear" w:color="FFFFFF" w:fill="FFFFFF"/>
            <w:noWrap/>
            <w:vAlign w:val="bottom"/>
            <w:hideMark/>
          </w:tcPr>
          <w:p w14:paraId="6A15D188"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single" w:sz="8" w:space="0" w:color="800080"/>
              <w:right w:val="nil"/>
            </w:tcBorders>
            <w:shd w:val="clear" w:color="FFFFFF" w:fill="FFFFFF"/>
            <w:vAlign w:val="bottom"/>
            <w:hideMark/>
          </w:tcPr>
          <w:p w14:paraId="621433A2"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$'000</w:t>
            </w:r>
          </w:p>
        </w:tc>
        <w:tc>
          <w:tcPr>
            <w:tcW w:w="1067" w:type="dxa"/>
            <w:tcBorders>
              <w:top w:val="nil"/>
              <w:left w:val="nil"/>
              <w:bottom w:val="single" w:sz="8" w:space="0" w:color="800080"/>
              <w:right w:val="nil"/>
            </w:tcBorders>
            <w:shd w:val="clear" w:color="FFFFFF" w:fill="FFFFFF"/>
            <w:vAlign w:val="bottom"/>
            <w:hideMark/>
          </w:tcPr>
          <w:p w14:paraId="3C0DB6E7"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752E88B7"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c>
          <w:tcPr>
            <w:tcW w:w="994" w:type="dxa"/>
            <w:tcBorders>
              <w:top w:val="nil"/>
              <w:left w:val="nil"/>
              <w:bottom w:val="single" w:sz="8" w:space="0" w:color="800080"/>
              <w:right w:val="nil"/>
            </w:tcBorders>
            <w:shd w:val="clear" w:color="FFFFFF" w:fill="FFFFFF"/>
            <w:vAlign w:val="bottom"/>
            <w:hideMark/>
          </w:tcPr>
          <w:p w14:paraId="153FDBA7"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$'000</w:t>
            </w:r>
          </w:p>
        </w:tc>
        <w:tc>
          <w:tcPr>
            <w:tcW w:w="994" w:type="dxa"/>
            <w:tcBorders>
              <w:top w:val="nil"/>
              <w:left w:val="nil"/>
              <w:bottom w:val="single" w:sz="8" w:space="0" w:color="800080"/>
              <w:right w:val="nil"/>
            </w:tcBorders>
            <w:shd w:val="clear" w:color="FFFFFF" w:fill="FFFFFF"/>
            <w:vAlign w:val="bottom"/>
            <w:hideMark/>
          </w:tcPr>
          <w:p w14:paraId="4DDA633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4E1D351B"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518B3DE0"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$'000</w:t>
            </w:r>
          </w:p>
        </w:tc>
        <w:tc>
          <w:tcPr>
            <w:tcW w:w="994" w:type="dxa"/>
            <w:tcBorders>
              <w:top w:val="nil"/>
              <w:left w:val="nil"/>
              <w:bottom w:val="single" w:sz="8" w:space="0" w:color="800080"/>
              <w:right w:val="nil"/>
            </w:tcBorders>
            <w:shd w:val="clear" w:color="FFFFFF" w:fill="FFFFFF"/>
            <w:vAlign w:val="bottom"/>
            <w:hideMark/>
          </w:tcPr>
          <w:p w14:paraId="65D197E2"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34BCAD51"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4551CBB3"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$'000</w:t>
            </w:r>
          </w:p>
        </w:tc>
        <w:tc>
          <w:tcPr>
            <w:tcW w:w="1064" w:type="dxa"/>
            <w:tcBorders>
              <w:top w:val="nil"/>
              <w:left w:val="nil"/>
              <w:bottom w:val="single" w:sz="8" w:space="0" w:color="800080"/>
              <w:right w:val="nil"/>
            </w:tcBorders>
            <w:shd w:val="clear" w:color="FFFFFF" w:fill="FFFFFF"/>
            <w:vAlign w:val="bottom"/>
            <w:hideMark/>
          </w:tcPr>
          <w:p w14:paraId="6E00729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$'000</w:t>
            </w:r>
          </w:p>
        </w:tc>
        <w:tc>
          <w:tcPr>
            <w:tcW w:w="995" w:type="dxa"/>
            <w:tcBorders>
              <w:top w:val="nil"/>
              <w:left w:val="nil"/>
              <w:bottom w:val="single" w:sz="8" w:space="0" w:color="800080"/>
              <w:right w:val="nil"/>
            </w:tcBorders>
            <w:shd w:val="clear" w:color="FFFFFF" w:fill="FFFFFF"/>
            <w:vAlign w:val="bottom"/>
            <w:hideMark/>
          </w:tcPr>
          <w:p w14:paraId="2239A9AF" w14:textId="77777777" w:rsidR="00FD06ED" w:rsidRPr="00FD06ED" w:rsidRDefault="00FD06ED" w:rsidP="00FD06ED">
            <w:pPr>
              <w:spacing w:before="0" w:after="0"/>
              <w:ind w:left="0"/>
              <w:jc w:val="right"/>
              <w:rPr>
                <w:rFonts w:eastAsia="Times New Roman"/>
                <w:color w:val="800080"/>
                <w:sz w:val="18"/>
                <w:szCs w:val="18"/>
                <w:lang w:eastAsia="en-US"/>
              </w:rPr>
            </w:pPr>
            <w:r w:rsidRPr="00FD06ED">
              <w:rPr>
                <w:rFonts w:eastAsia="Times New Roman"/>
                <w:color w:val="800080"/>
                <w:sz w:val="18"/>
                <w:szCs w:val="18"/>
                <w:lang w:eastAsia="en-US"/>
              </w:rPr>
              <w:t>$'000</w:t>
            </w:r>
          </w:p>
        </w:tc>
      </w:tr>
      <w:tr w:rsidR="00FD06ED" w:rsidRPr="00FD06ED" w14:paraId="792A5E34" w14:textId="77777777" w:rsidTr="005C33EF">
        <w:trPr>
          <w:trHeight w:val="238"/>
        </w:trPr>
        <w:tc>
          <w:tcPr>
            <w:tcW w:w="2605" w:type="dxa"/>
            <w:tcBorders>
              <w:top w:val="single" w:sz="4" w:space="0" w:color="auto"/>
              <w:left w:val="nil"/>
              <w:bottom w:val="single" w:sz="4" w:space="0" w:color="auto"/>
              <w:right w:val="nil"/>
            </w:tcBorders>
            <w:shd w:val="clear" w:color="FFFFFF" w:fill="FFFFFF"/>
            <w:hideMark/>
          </w:tcPr>
          <w:p w14:paraId="4942F92F"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Adjusted opening balance</w:t>
            </w:r>
          </w:p>
        </w:tc>
        <w:tc>
          <w:tcPr>
            <w:tcW w:w="995" w:type="dxa"/>
            <w:tcBorders>
              <w:top w:val="single" w:sz="4" w:space="0" w:color="auto"/>
              <w:left w:val="nil"/>
              <w:bottom w:val="single" w:sz="4" w:space="0" w:color="auto"/>
              <w:right w:val="nil"/>
            </w:tcBorders>
            <w:shd w:val="clear" w:color="FFFFFF" w:fill="FFFFFF"/>
            <w:noWrap/>
            <w:hideMark/>
          </w:tcPr>
          <w:p w14:paraId="295E6827"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744,120</w:t>
            </w:r>
          </w:p>
        </w:tc>
        <w:tc>
          <w:tcPr>
            <w:tcW w:w="1067" w:type="dxa"/>
            <w:tcBorders>
              <w:top w:val="single" w:sz="4" w:space="0" w:color="auto"/>
              <w:left w:val="nil"/>
              <w:bottom w:val="single" w:sz="4" w:space="0" w:color="auto"/>
              <w:right w:val="nil"/>
            </w:tcBorders>
            <w:shd w:val="clear" w:color="FFFFFF" w:fill="FFFFFF"/>
            <w:noWrap/>
            <w:hideMark/>
          </w:tcPr>
          <w:p w14:paraId="25CE5F1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936,793</w:t>
            </w:r>
          </w:p>
        </w:tc>
        <w:tc>
          <w:tcPr>
            <w:tcW w:w="995" w:type="dxa"/>
            <w:tcBorders>
              <w:top w:val="single" w:sz="4" w:space="0" w:color="auto"/>
              <w:left w:val="nil"/>
              <w:bottom w:val="single" w:sz="4" w:space="0" w:color="auto"/>
              <w:right w:val="nil"/>
            </w:tcBorders>
            <w:shd w:val="clear" w:color="FFFFFF" w:fill="FFFFFF"/>
            <w:noWrap/>
            <w:hideMark/>
          </w:tcPr>
          <w:p w14:paraId="79237ED3"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782,184</w:t>
            </w:r>
          </w:p>
        </w:tc>
        <w:tc>
          <w:tcPr>
            <w:tcW w:w="994" w:type="dxa"/>
            <w:tcBorders>
              <w:top w:val="single" w:sz="4" w:space="0" w:color="auto"/>
              <w:left w:val="nil"/>
              <w:bottom w:val="single" w:sz="4" w:space="0" w:color="auto"/>
              <w:right w:val="nil"/>
            </w:tcBorders>
            <w:shd w:val="clear" w:color="FFFFFF" w:fill="FFFFFF"/>
            <w:noWrap/>
            <w:hideMark/>
          </w:tcPr>
          <w:p w14:paraId="61C553B2"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22,137</w:t>
            </w:r>
          </w:p>
        </w:tc>
        <w:tc>
          <w:tcPr>
            <w:tcW w:w="994" w:type="dxa"/>
            <w:tcBorders>
              <w:top w:val="single" w:sz="4" w:space="0" w:color="auto"/>
              <w:left w:val="nil"/>
              <w:bottom w:val="single" w:sz="4" w:space="0" w:color="auto"/>
              <w:right w:val="nil"/>
            </w:tcBorders>
            <w:shd w:val="clear" w:color="FFFFFF" w:fill="FFFFFF"/>
            <w:noWrap/>
            <w:hideMark/>
          </w:tcPr>
          <w:p w14:paraId="6A28B4FE"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22,137</w:t>
            </w:r>
          </w:p>
        </w:tc>
        <w:tc>
          <w:tcPr>
            <w:tcW w:w="995" w:type="dxa"/>
            <w:tcBorders>
              <w:top w:val="single" w:sz="4" w:space="0" w:color="auto"/>
              <w:left w:val="nil"/>
              <w:bottom w:val="single" w:sz="4" w:space="0" w:color="auto"/>
              <w:right w:val="nil"/>
            </w:tcBorders>
            <w:shd w:val="clear" w:color="FFFFFF" w:fill="FFFFFF"/>
            <w:noWrap/>
            <w:hideMark/>
          </w:tcPr>
          <w:p w14:paraId="36B4729A"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22,137</w:t>
            </w:r>
          </w:p>
        </w:tc>
        <w:tc>
          <w:tcPr>
            <w:tcW w:w="995" w:type="dxa"/>
            <w:tcBorders>
              <w:top w:val="single" w:sz="4" w:space="0" w:color="auto"/>
              <w:left w:val="nil"/>
              <w:bottom w:val="single" w:sz="4" w:space="0" w:color="auto"/>
              <w:right w:val="nil"/>
            </w:tcBorders>
            <w:shd w:val="clear" w:color="FFFFFF" w:fill="FFFFFF"/>
            <w:noWrap/>
            <w:hideMark/>
          </w:tcPr>
          <w:p w14:paraId="439D613A"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205,733</w:t>
            </w:r>
          </w:p>
        </w:tc>
        <w:tc>
          <w:tcPr>
            <w:tcW w:w="994" w:type="dxa"/>
            <w:tcBorders>
              <w:top w:val="single" w:sz="4" w:space="0" w:color="auto"/>
              <w:left w:val="nil"/>
              <w:bottom w:val="single" w:sz="4" w:space="0" w:color="auto"/>
              <w:right w:val="nil"/>
            </w:tcBorders>
            <w:shd w:val="clear" w:color="FFFFFF" w:fill="FFFFFF"/>
            <w:noWrap/>
            <w:hideMark/>
          </w:tcPr>
          <w:p w14:paraId="07A7BB66"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205,733</w:t>
            </w:r>
          </w:p>
        </w:tc>
        <w:tc>
          <w:tcPr>
            <w:tcW w:w="995" w:type="dxa"/>
            <w:tcBorders>
              <w:top w:val="single" w:sz="4" w:space="0" w:color="auto"/>
              <w:left w:val="nil"/>
              <w:bottom w:val="single" w:sz="4" w:space="0" w:color="auto"/>
              <w:right w:val="nil"/>
            </w:tcBorders>
            <w:shd w:val="clear" w:color="FFFFFF" w:fill="FFFFFF"/>
            <w:noWrap/>
            <w:hideMark/>
          </w:tcPr>
          <w:p w14:paraId="48CCFCEA"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205,733</w:t>
            </w:r>
          </w:p>
        </w:tc>
        <w:tc>
          <w:tcPr>
            <w:tcW w:w="995" w:type="dxa"/>
            <w:tcBorders>
              <w:top w:val="single" w:sz="4" w:space="0" w:color="auto"/>
              <w:left w:val="nil"/>
              <w:bottom w:val="single" w:sz="4" w:space="0" w:color="auto"/>
              <w:right w:val="nil"/>
            </w:tcBorders>
            <w:shd w:val="clear" w:color="FFFFFF" w:fill="FFFFFF"/>
            <w:noWrap/>
            <w:hideMark/>
          </w:tcPr>
          <w:p w14:paraId="7B0F7412"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971,990</w:t>
            </w:r>
          </w:p>
        </w:tc>
        <w:tc>
          <w:tcPr>
            <w:tcW w:w="1064" w:type="dxa"/>
            <w:tcBorders>
              <w:top w:val="single" w:sz="4" w:space="0" w:color="auto"/>
              <w:left w:val="nil"/>
              <w:bottom w:val="single" w:sz="4" w:space="0" w:color="auto"/>
              <w:right w:val="nil"/>
            </w:tcBorders>
            <w:shd w:val="clear" w:color="FFFFFF" w:fill="FFFFFF"/>
            <w:noWrap/>
            <w:hideMark/>
          </w:tcPr>
          <w:p w14:paraId="1AE4D94B"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1,164,663</w:t>
            </w:r>
          </w:p>
        </w:tc>
        <w:tc>
          <w:tcPr>
            <w:tcW w:w="995" w:type="dxa"/>
            <w:tcBorders>
              <w:top w:val="single" w:sz="4" w:space="0" w:color="auto"/>
              <w:left w:val="nil"/>
              <w:bottom w:val="single" w:sz="4" w:space="0" w:color="auto"/>
              <w:right w:val="nil"/>
            </w:tcBorders>
            <w:shd w:val="clear" w:color="FFFFFF" w:fill="FFFFFF"/>
            <w:noWrap/>
            <w:hideMark/>
          </w:tcPr>
          <w:p w14:paraId="5870C45F"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1,010,054</w:t>
            </w:r>
          </w:p>
        </w:tc>
      </w:tr>
      <w:tr w:rsidR="00FD06ED" w:rsidRPr="00FD06ED" w14:paraId="77D6D61F" w14:textId="77777777" w:rsidTr="005C33EF">
        <w:trPr>
          <w:trHeight w:val="238"/>
        </w:trPr>
        <w:tc>
          <w:tcPr>
            <w:tcW w:w="2605" w:type="dxa"/>
            <w:tcBorders>
              <w:top w:val="nil"/>
              <w:left w:val="nil"/>
              <w:bottom w:val="nil"/>
              <w:right w:val="nil"/>
            </w:tcBorders>
            <w:shd w:val="clear" w:color="FFFFFF" w:fill="FFFFFF"/>
            <w:noWrap/>
            <w:hideMark/>
          </w:tcPr>
          <w:p w14:paraId="696CEE18"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12F6FCA4"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1067" w:type="dxa"/>
            <w:tcBorders>
              <w:top w:val="nil"/>
              <w:left w:val="nil"/>
              <w:bottom w:val="nil"/>
              <w:right w:val="nil"/>
            </w:tcBorders>
            <w:shd w:val="clear" w:color="FFFFFF" w:fill="FFFFFF"/>
            <w:noWrap/>
            <w:hideMark/>
          </w:tcPr>
          <w:p w14:paraId="2846E4F7"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42CA92D9"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4" w:type="dxa"/>
            <w:tcBorders>
              <w:top w:val="nil"/>
              <w:left w:val="nil"/>
              <w:bottom w:val="nil"/>
              <w:right w:val="nil"/>
            </w:tcBorders>
            <w:shd w:val="clear" w:color="FFFFFF" w:fill="FFFFFF"/>
            <w:noWrap/>
            <w:hideMark/>
          </w:tcPr>
          <w:p w14:paraId="707074BB"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4" w:type="dxa"/>
            <w:tcBorders>
              <w:top w:val="nil"/>
              <w:left w:val="nil"/>
              <w:bottom w:val="nil"/>
              <w:right w:val="nil"/>
            </w:tcBorders>
            <w:shd w:val="clear" w:color="FFFFFF" w:fill="FFFFFF"/>
            <w:noWrap/>
            <w:hideMark/>
          </w:tcPr>
          <w:p w14:paraId="253B2B56"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69FA5064"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42EAF77A"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4" w:type="dxa"/>
            <w:tcBorders>
              <w:top w:val="nil"/>
              <w:left w:val="nil"/>
              <w:bottom w:val="nil"/>
              <w:right w:val="nil"/>
            </w:tcBorders>
            <w:shd w:val="clear" w:color="FFFFFF" w:fill="FFFFFF"/>
            <w:noWrap/>
            <w:hideMark/>
          </w:tcPr>
          <w:p w14:paraId="4B24D36B"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5ECF9061"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5BE2B147"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1064" w:type="dxa"/>
            <w:tcBorders>
              <w:top w:val="nil"/>
              <w:left w:val="nil"/>
              <w:bottom w:val="nil"/>
              <w:right w:val="nil"/>
            </w:tcBorders>
            <w:shd w:val="clear" w:color="FFFFFF" w:fill="FFFFFF"/>
            <w:noWrap/>
            <w:hideMark/>
          </w:tcPr>
          <w:p w14:paraId="22B7DB0B"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c>
          <w:tcPr>
            <w:tcW w:w="995" w:type="dxa"/>
            <w:tcBorders>
              <w:top w:val="nil"/>
              <w:left w:val="nil"/>
              <w:bottom w:val="nil"/>
              <w:right w:val="nil"/>
            </w:tcBorders>
            <w:shd w:val="clear" w:color="FFFFFF" w:fill="FFFFFF"/>
            <w:noWrap/>
            <w:hideMark/>
          </w:tcPr>
          <w:p w14:paraId="025AFE35" w14:textId="77777777" w:rsidR="00FD06ED" w:rsidRPr="00FD06ED" w:rsidRDefault="00FD06ED" w:rsidP="00FD06ED">
            <w:pPr>
              <w:spacing w:before="0" w:after="0"/>
              <w:ind w:left="0"/>
              <w:rPr>
                <w:rFonts w:eastAsia="Times New Roman"/>
                <w:sz w:val="16"/>
                <w:szCs w:val="16"/>
                <w:lang w:eastAsia="en-US"/>
              </w:rPr>
            </w:pPr>
            <w:r w:rsidRPr="00FD06ED">
              <w:rPr>
                <w:rFonts w:eastAsia="Times New Roman"/>
                <w:sz w:val="16"/>
                <w:szCs w:val="16"/>
                <w:lang w:eastAsia="en-US"/>
              </w:rPr>
              <w:t> </w:t>
            </w:r>
          </w:p>
        </w:tc>
      </w:tr>
      <w:tr w:rsidR="00FD06ED" w:rsidRPr="00FD06ED" w14:paraId="031CA32F" w14:textId="77777777" w:rsidTr="005C33EF">
        <w:trPr>
          <w:trHeight w:val="238"/>
        </w:trPr>
        <w:tc>
          <w:tcPr>
            <w:tcW w:w="2605" w:type="dxa"/>
            <w:tcBorders>
              <w:top w:val="nil"/>
              <w:left w:val="nil"/>
              <w:bottom w:val="nil"/>
              <w:right w:val="nil"/>
            </w:tcBorders>
            <w:shd w:val="clear" w:color="FFFFFF" w:fill="FFFFFF"/>
            <w:hideMark/>
          </w:tcPr>
          <w:p w14:paraId="07E15D2D"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Comprehensive income</w:t>
            </w:r>
          </w:p>
        </w:tc>
        <w:tc>
          <w:tcPr>
            <w:tcW w:w="995" w:type="dxa"/>
            <w:tcBorders>
              <w:top w:val="nil"/>
              <w:left w:val="nil"/>
              <w:bottom w:val="nil"/>
              <w:right w:val="nil"/>
            </w:tcBorders>
            <w:shd w:val="clear" w:color="FFFFFF" w:fill="FFFFFF"/>
            <w:noWrap/>
            <w:hideMark/>
          </w:tcPr>
          <w:p w14:paraId="6BC03FC4"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7" w:type="dxa"/>
            <w:tcBorders>
              <w:top w:val="nil"/>
              <w:left w:val="nil"/>
              <w:bottom w:val="nil"/>
              <w:right w:val="nil"/>
            </w:tcBorders>
            <w:shd w:val="clear" w:color="FFFFFF" w:fill="FFFFFF"/>
            <w:noWrap/>
            <w:hideMark/>
          </w:tcPr>
          <w:p w14:paraId="495B39CA"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4BC4D053"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5878E71A"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3146C051"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024C9E2C"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505CC10B"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1166B2A5"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2BE020C9"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50568560"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4" w:type="dxa"/>
            <w:tcBorders>
              <w:top w:val="nil"/>
              <w:left w:val="nil"/>
              <w:bottom w:val="nil"/>
              <w:right w:val="nil"/>
            </w:tcBorders>
            <w:shd w:val="clear" w:color="FFFFFF" w:fill="FFFFFF"/>
            <w:noWrap/>
            <w:hideMark/>
          </w:tcPr>
          <w:p w14:paraId="2247A338"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314D7209"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w:t>
            </w:r>
          </w:p>
        </w:tc>
      </w:tr>
      <w:tr w:rsidR="00FD06ED" w:rsidRPr="00FD06ED" w14:paraId="55E578DD" w14:textId="77777777" w:rsidTr="005C33EF">
        <w:trPr>
          <w:trHeight w:val="238"/>
        </w:trPr>
        <w:tc>
          <w:tcPr>
            <w:tcW w:w="2605" w:type="dxa"/>
            <w:tcBorders>
              <w:top w:val="nil"/>
              <w:left w:val="nil"/>
              <w:bottom w:val="nil"/>
              <w:right w:val="nil"/>
            </w:tcBorders>
            <w:shd w:val="clear" w:color="FFFFFF" w:fill="FFFFFF"/>
            <w:hideMark/>
          </w:tcPr>
          <w:p w14:paraId="7CACE25D"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Surplus/(Deficit) for the period</w:t>
            </w:r>
          </w:p>
        </w:tc>
        <w:tc>
          <w:tcPr>
            <w:tcW w:w="995" w:type="dxa"/>
            <w:tcBorders>
              <w:top w:val="nil"/>
              <w:left w:val="nil"/>
              <w:bottom w:val="nil"/>
              <w:right w:val="nil"/>
            </w:tcBorders>
            <w:shd w:val="clear" w:color="FFFFFF" w:fill="FFFFFF"/>
            <w:noWrap/>
            <w:hideMark/>
          </w:tcPr>
          <w:p w14:paraId="0F751502"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273,157</w:t>
            </w:r>
          </w:p>
        </w:tc>
        <w:tc>
          <w:tcPr>
            <w:tcW w:w="1067" w:type="dxa"/>
            <w:tcBorders>
              <w:top w:val="nil"/>
              <w:left w:val="nil"/>
              <w:bottom w:val="nil"/>
              <w:right w:val="nil"/>
            </w:tcBorders>
            <w:shd w:val="clear" w:color="FFFFFF" w:fill="FFFFFF"/>
            <w:noWrap/>
            <w:hideMark/>
          </w:tcPr>
          <w:p w14:paraId="19B3A4A7"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(192,673)</w:t>
            </w:r>
          </w:p>
        </w:tc>
        <w:tc>
          <w:tcPr>
            <w:tcW w:w="995" w:type="dxa"/>
            <w:tcBorders>
              <w:top w:val="nil"/>
              <w:left w:val="nil"/>
              <w:bottom w:val="nil"/>
              <w:right w:val="nil"/>
            </w:tcBorders>
            <w:shd w:val="clear" w:color="FFFFFF" w:fill="FFFFFF"/>
            <w:noWrap/>
            <w:hideMark/>
          </w:tcPr>
          <w:p w14:paraId="1BC0539E"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(235,968)</w:t>
            </w:r>
          </w:p>
        </w:tc>
        <w:tc>
          <w:tcPr>
            <w:tcW w:w="994" w:type="dxa"/>
            <w:tcBorders>
              <w:top w:val="nil"/>
              <w:left w:val="nil"/>
              <w:bottom w:val="nil"/>
              <w:right w:val="nil"/>
            </w:tcBorders>
            <w:shd w:val="clear" w:color="FFFFFF" w:fill="FFFFFF"/>
            <w:noWrap/>
            <w:hideMark/>
          </w:tcPr>
          <w:p w14:paraId="3C5489AC"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xml:space="preserve"> -</w:t>
            </w:r>
          </w:p>
        </w:tc>
        <w:tc>
          <w:tcPr>
            <w:tcW w:w="994" w:type="dxa"/>
            <w:tcBorders>
              <w:top w:val="nil"/>
              <w:left w:val="nil"/>
              <w:bottom w:val="nil"/>
              <w:right w:val="nil"/>
            </w:tcBorders>
            <w:shd w:val="clear" w:color="FFFFFF" w:fill="FFFFFF"/>
            <w:noWrap/>
            <w:hideMark/>
          </w:tcPr>
          <w:p w14:paraId="12326AF2"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xml:space="preserve"> -</w:t>
            </w:r>
          </w:p>
        </w:tc>
        <w:tc>
          <w:tcPr>
            <w:tcW w:w="995" w:type="dxa"/>
            <w:tcBorders>
              <w:top w:val="nil"/>
              <w:left w:val="nil"/>
              <w:bottom w:val="nil"/>
              <w:right w:val="nil"/>
            </w:tcBorders>
            <w:shd w:val="clear" w:color="FFFFFF" w:fill="FFFFFF"/>
            <w:noWrap/>
            <w:hideMark/>
          </w:tcPr>
          <w:p w14:paraId="333D8920"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xml:space="preserve"> -</w:t>
            </w:r>
          </w:p>
        </w:tc>
        <w:tc>
          <w:tcPr>
            <w:tcW w:w="995" w:type="dxa"/>
            <w:tcBorders>
              <w:top w:val="nil"/>
              <w:left w:val="nil"/>
              <w:bottom w:val="nil"/>
              <w:right w:val="nil"/>
            </w:tcBorders>
            <w:shd w:val="clear" w:color="FFFFFF" w:fill="FFFFFF"/>
            <w:noWrap/>
            <w:hideMark/>
          </w:tcPr>
          <w:p w14:paraId="5AC267D7"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w:t>
            </w:r>
          </w:p>
        </w:tc>
        <w:tc>
          <w:tcPr>
            <w:tcW w:w="994" w:type="dxa"/>
            <w:tcBorders>
              <w:top w:val="nil"/>
              <w:left w:val="nil"/>
              <w:bottom w:val="nil"/>
              <w:right w:val="nil"/>
            </w:tcBorders>
            <w:shd w:val="clear" w:color="FFFFFF" w:fill="FFFFFF"/>
            <w:noWrap/>
            <w:hideMark/>
          </w:tcPr>
          <w:p w14:paraId="6F168D6D"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xml:space="preserve"> -</w:t>
            </w:r>
          </w:p>
        </w:tc>
        <w:tc>
          <w:tcPr>
            <w:tcW w:w="995" w:type="dxa"/>
            <w:tcBorders>
              <w:top w:val="nil"/>
              <w:left w:val="nil"/>
              <w:bottom w:val="nil"/>
              <w:right w:val="nil"/>
            </w:tcBorders>
            <w:shd w:val="clear" w:color="FFFFFF" w:fill="FFFFFF"/>
            <w:noWrap/>
            <w:hideMark/>
          </w:tcPr>
          <w:p w14:paraId="4F3C8522"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xml:space="preserve"> -</w:t>
            </w:r>
          </w:p>
        </w:tc>
        <w:tc>
          <w:tcPr>
            <w:tcW w:w="995" w:type="dxa"/>
            <w:tcBorders>
              <w:top w:val="nil"/>
              <w:left w:val="nil"/>
              <w:bottom w:val="nil"/>
              <w:right w:val="nil"/>
            </w:tcBorders>
            <w:shd w:val="clear" w:color="FFFFFF" w:fill="FFFFFF"/>
            <w:noWrap/>
            <w:hideMark/>
          </w:tcPr>
          <w:p w14:paraId="5FCC50FA"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273,157</w:t>
            </w:r>
          </w:p>
        </w:tc>
        <w:tc>
          <w:tcPr>
            <w:tcW w:w="1064" w:type="dxa"/>
            <w:tcBorders>
              <w:top w:val="nil"/>
              <w:left w:val="nil"/>
              <w:bottom w:val="nil"/>
              <w:right w:val="nil"/>
            </w:tcBorders>
            <w:shd w:val="clear" w:color="FFFFFF" w:fill="FFFFFF"/>
            <w:noWrap/>
            <w:hideMark/>
          </w:tcPr>
          <w:p w14:paraId="3C4B68AD"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(192,673)</w:t>
            </w:r>
          </w:p>
        </w:tc>
        <w:tc>
          <w:tcPr>
            <w:tcW w:w="995" w:type="dxa"/>
            <w:tcBorders>
              <w:top w:val="nil"/>
              <w:left w:val="nil"/>
              <w:bottom w:val="nil"/>
              <w:right w:val="nil"/>
            </w:tcBorders>
            <w:shd w:val="clear" w:color="FFFFFF" w:fill="FFFFFF"/>
            <w:noWrap/>
            <w:hideMark/>
          </w:tcPr>
          <w:p w14:paraId="33FB973B"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(235,968)</w:t>
            </w:r>
          </w:p>
        </w:tc>
      </w:tr>
      <w:tr w:rsidR="00FD06ED" w:rsidRPr="00FD06ED" w14:paraId="7A9E8154" w14:textId="77777777" w:rsidTr="005C33EF">
        <w:trPr>
          <w:trHeight w:val="238"/>
        </w:trPr>
        <w:tc>
          <w:tcPr>
            <w:tcW w:w="2605" w:type="dxa"/>
            <w:tcBorders>
              <w:top w:val="nil"/>
              <w:left w:val="nil"/>
              <w:bottom w:val="nil"/>
              <w:right w:val="nil"/>
            </w:tcBorders>
            <w:shd w:val="clear" w:color="FFFFFF" w:fill="FFFFFF"/>
            <w:hideMark/>
          </w:tcPr>
          <w:p w14:paraId="5F5AAC98"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Other comprehensive income</w:t>
            </w:r>
          </w:p>
        </w:tc>
        <w:tc>
          <w:tcPr>
            <w:tcW w:w="995" w:type="dxa"/>
            <w:tcBorders>
              <w:top w:val="nil"/>
              <w:left w:val="nil"/>
              <w:bottom w:val="nil"/>
              <w:right w:val="nil"/>
            </w:tcBorders>
            <w:shd w:val="clear" w:color="FFFFFF" w:fill="FFFFFF"/>
            <w:noWrap/>
            <w:hideMark/>
          </w:tcPr>
          <w:p w14:paraId="349C3C27"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7" w:type="dxa"/>
            <w:tcBorders>
              <w:top w:val="nil"/>
              <w:left w:val="nil"/>
              <w:bottom w:val="nil"/>
              <w:right w:val="nil"/>
            </w:tcBorders>
            <w:shd w:val="clear" w:color="FFFFFF" w:fill="FFFFFF"/>
            <w:noWrap/>
            <w:hideMark/>
          </w:tcPr>
          <w:p w14:paraId="68BC8473"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23321947"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4" w:type="dxa"/>
            <w:tcBorders>
              <w:top w:val="nil"/>
              <w:left w:val="nil"/>
              <w:bottom w:val="nil"/>
              <w:right w:val="nil"/>
            </w:tcBorders>
            <w:shd w:val="clear" w:color="FFFFFF" w:fill="FFFFFF"/>
            <w:noWrap/>
            <w:hideMark/>
          </w:tcPr>
          <w:p w14:paraId="5400890A"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(1,058)</w:t>
            </w:r>
          </w:p>
        </w:tc>
        <w:tc>
          <w:tcPr>
            <w:tcW w:w="994" w:type="dxa"/>
            <w:tcBorders>
              <w:top w:val="nil"/>
              <w:left w:val="nil"/>
              <w:bottom w:val="nil"/>
              <w:right w:val="nil"/>
            </w:tcBorders>
            <w:shd w:val="clear" w:color="FFFFFF" w:fill="FFFFFF"/>
            <w:noWrap/>
            <w:hideMark/>
          </w:tcPr>
          <w:p w14:paraId="33963314"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24325611"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3A1C8ED0"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749F83B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268D38F5"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12CEE673"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(1,058)</w:t>
            </w:r>
          </w:p>
        </w:tc>
        <w:tc>
          <w:tcPr>
            <w:tcW w:w="1064" w:type="dxa"/>
            <w:tcBorders>
              <w:top w:val="nil"/>
              <w:left w:val="nil"/>
              <w:bottom w:val="nil"/>
              <w:right w:val="nil"/>
            </w:tcBorders>
            <w:shd w:val="clear" w:color="FFFFFF" w:fill="FFFFFF"/>
            <w:noWrap/>
            <w:hideMark/>
          </w:tcPr>
          <w:p w14:paraId="266B7C4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c>
          <w:tcPr>
            <w:tcW w:w="995" w:type="dxa"/>
            <w:tcBorders>
              <w:top w:val="nil"/>
              <w:left w:val="nil"/>
              <w:bottom w:val="nil"/>
              <w:right w:val="nil"/>
            </w:tcBorders>
            <w:shd w:val="clear" w:color="FFFFFF" w:fill="FFFFFF"/>
            <w:noWrap/>
            <w:hideMark/>
          </w:tcPr>
          <w:p w14:paraId="048B99F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r>
      <w:tr w:rsidR="00FD06ED" w:rsidRPr="00FD06ED" w14:paraId="2846F149" w14:textId="77777777" w:rsidTr="005C33EF">
        <w:trPr>
          <w:trHeight w:val="238"/>
        </w:trPr>
        <w:tc>
          <w:tcPr>
            <w:tcW w:w="2605" w:type="dxa"/>
            <w:tcBorders>
              <w:top w:val="single" w:sz="4" w:space="0" w:color="auto"/>
              <w:left w:val="nil"/>
              <w:bottom w:val="single" w:sz="4" w:space="0" w:color="auto"/>
              <w:right w:val="nil"/>
            </w:tcBorders>
            <w:shd w:val="clear" w:color="FFFFFF" w:fill="FFFFFF"/>
            <w:hideMark/>
          </w:tcPr>
          <w:p w14:paraId="2DD4633C"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Total comprehensive income/(loss)</w:t>
            </w:r>
          </w:p>
        </w:tc>
        <w:tc>
          <w:tcPr>
            <w:tcW w:w="995" w:type="dxa"/>
            <w:tcBorders>
              <w:top w:val="single" w:sz="4" w:space="0" w:color="auto"/>
              <w:left w:val="nil"/>
              <w:bottom w:val="single" w:sz="4" w:space="0" w:color="auto"/>
              <w:right w:val="nil"/>
            </w:tcBorders>
            <w:shd w:val="clear" w:color="FFFFFF" w:fill="FFFFFF"/>
            <w:noWrap/>
            <w:hideMark/>
          </w:tcPr>
          <w:p w14:paraId="47EFC80B"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273,157</w:t>
            </w:r>
          </w:p>
        </w:tc>
        <w:tc>
          <w:tcPr>
            <w:tcW w:w="1067" w:type="dxa"/>
            <w:tcBorders>
              <w:top w:val="single" w:sz="4" w:space="0" w:color="auto"/>
              <w:left w:val="nil"/>
              <w:bottom w:val="single" w:sz="4" w:space="0" w:color="auto"/>
              <w:right w:val="nil"/>
            </w:tcBorders>
            <w:shd w:val="clear" w:color="FFFFFF" w:fill="FFFFFF"/>
            <w:noWrap/>
            <w:hideMark/>
          </w:tcPr>
          <w:p w14:paraId="54DA2044"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(192,673)</w:t>
            </w:r>
          </w:p>
        </w:tc>
        <w:tc>
          <w:tcPr>
            <w:tcW w:w="995" w:type="dxa"/>
            <w:tcBorders>
              <w:top w:val="single" w:sz="4" w:space="0" w:color="auto"/>
              <w:left w:val="nil"/>
              <w:bottom w:val="single" w:sz="4" w:space="0" w:color="auto"/>
              <w:right w:val="nil"/>
            </w:tcBorders>
            <w:shd w:val="clear" w:color="FFFFFF" w:fill="FFFFFF"/>
            <w:noWrap/>
            <w:hideMark/>
          </w:tcPr>
          <w:p w14:paraId="4F14BB7A"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(235,968)</w:t>
            </w:r>
          </w:p>
        </w:tc>
        <w:tc>
          <w:tcPr>
            <w:tcW w:w="994" w:type="dxa"/>
            <w:tcBorders>
              <w:top w:val="single" w:sz="4" w:space="0" w:color="auto"/>
              <w:left w:val="nil"/>
              <w:bottom w:val="single" w:sz="4" w:space="0" w:color="auto"/>
              <w:right w:val="nil"/>
            </w:tcBorders>
            <w:shd w:val="clear" w:color="FFFFFF" w:fill="FFFFFF"/>
            <w:noWrap/>
            <w:hideMark/>
          </w:tcPr>
          <w:p w14:paraId="69690AF0"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(1,058)</w:t>
            </w:r>
          </w:p>
        </w:tc>
        <w:tc>
          <w:tcPr>
            <w:tcW w:w="994" w:type="dxa"/>
            <w:tcBorders>
              <w:top w:val="single" w:sz="4" w:space="0" w:color="auto"/>
              <w:left w:val="nil"/>
              <w:bottom w:val="single" w:sz="4" w:space="0" w:color="auto"/>
              <w:right w:val="nil"/>
            </w:tcBorders>
            <w:shd w:val="clear" w:color="FFFFFF" w:fill="FFFFFF"/>
            <w:noWrap/>
            <w:hideMark/>
          </w:tcPr>
          <w:p w14:paraId="7DD58E4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c>
          <w:tcPr>
            <w:tcW w:w="995" w:type="dxa"/>
            <w:tcBorders>
              <w:top w:val="single" w:sz="4" w:space="0" w:color="auto"/>
              <w:left w:val="nil"/>
              <w:bottom w:val="single" w:sz="4" w:space="0" w:color="auto"/>
              <w:right w:val="nil"/>
            </w:tcBorders>
            <w:shd w:val="clear" w:color="FFFFFF" w:fill="FFFFFF"/>
            <w:noWrap/>
            <w:hideMark/>
          </w:tcPr>
          <w:p w14:paraId="04C0F625"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c>
          <w:tcPr>
            <w:tcW w:w="995" w:type="dxa"/>
            <w:tcBorders>
              <w:top w:val="single" w:sz="4" w:space="0" w:color="auto"/>
              <w:left w:val="nil"/>
              <w:bottom w:val="single" w:sz="4" w:space="0" w:color="auto"/>
              <w:right w:val="nil"/>
            </w:tcBorders>
            <w:shd w:val="clear" w:color="FFFFFF" w:fill="FFFFFF"/>
            <w:noWrap/>
            <w:hideMark/>
          </w:tcPr>
          <w:p w14:paraId="79AF98B8"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w:t>
            </w:r>
          </w:p>
        </w:tc>
        <w:tc>
          <w:tcPr>
            <w:tcW w:w="994" w:type="dxa"/>
            <w:tcBorders>
              <w:top w:val="single" w:sz="4" w:space="0" w:color="auto"/>
              <w:left w:val="nil"/>
              <w:bottom w:val="single" w:sz="4" w:space="0" w:color="auto"/>
              <w:right w:val="nil"/>
            </w:tcBorders>
            <w:shd w:val="clear" w:color="FFFFFF" w:fill="FFFFFF"/>
            <w:noWrap/>
            <w:hideMark/>
          </w:tcPr>
          <w:p w14:paraId="6082BC4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c>
          <w:tcPr>
            <w:tcW w:w="995" w:type="dxa"/>
            <w:tcBorders>
              <w:top w:val="single" w:sz="4" w:space="0" w:color="auto"/>
              <w:left w:val="nil"/>
              <w:bottom w:val="single" w:sz="4" w:space="0" w:color="auto"/>
              <w:right w:val="nil"/>
            </w:tcBorders>
            <w:shd w:val="clear" w:color="FFFFFF" w:fill="FFFFFF"/>
            <w:noWrap/>
            <w:hideMark/>
          </w:tcPr>
          <w:p w14:paraId="127E16A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w:t>
            </w:r>
          </w:p>
        </w:tc>
        <w:tc>
          <w:tcPr>
            <w:tcW w:w="995" w:type="dxa"/>
            <w:tcBorders>
              <w:top w:val="single" w:sz="4" w:space="0" w:color="auto"/>
              <w:left w:val="nil"/>
              <w:bottom w:val="single" w:sz="4" w:space="0" w:color="auto"/>
              <w:right w:val="nil"/>
            </w:tcBorders>
            <w:shd w:val="clear" w:color="FFFFFF" w:fill="FFFFFF"/>
            <w:noWrap/>
            <w:hideMark/>
          </w:tcPr>
          <w:p w14:paraId="0A381894"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272,099</w:t>
            </w:r>
          </w:p>
        </w:tc>
        <w:tc>
          <w:tcPr>
            <w:tcW w:w="1064" w:type="dxa"/>
            <w:tcBorders>
              <w:top w:val="single" w:sz="4" w:space="0" w:color="auto"/>
              <w:left w:val="nil"/>
              <w:bottom w:val="single" w:sz="4" w:space="0" w:color="auto"/>
              <w:right w:val="nil"/>
            </w:tcBorders>
            <w:shd w:val="clear" w:color="FFFFFF" w:fill="FFFFFF"/>
            <w:noWrap/>
            <w:hideMark/>
          </w:tcPr>
          <w:p w14:paraId="2513AEA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(192,673)</w:t>
            </w:r>
          </w:p>
        </w:tc>
        <w:tc>
          <w:tcPr>
            <w:tcW w:w="995" w:type="dxa"/>
            <w:tcBorders>
              <w:top w:val="single" w:sz="4" w:space="0" w:color="auto"/>
              <w:left w:val="nil"/>
              <w:bottom w:val="single" w:sz="4" w:space="0" w:color="auto"/>
              <w:right w:val="nil"/>
            </w:tcBorders>
            <w:shd w:val="clear" w:color="FFFFFF" w:fill="FFFFFF"/>
            <w:noWrap/>
            <w:hideMark/>
          </w:tcPr>
          <w:p w14:paraId="7F20CC34"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(235,968)</w:t>
            </w:r>
          </w:p>
        </w:tc>
      </w:tr>
      <w:tr w:rsidR="00FD06ED" w:rsidRPr="00FD06ED" w14:paraId="6058A551" w14:textId="77777777" w:rsidTr="005C33EF">
        <w:trPr>
          <w:trHeight w:val="238"/>
        </w:trPr>
        <w:tc>
          <w:tcPr>
            <w:tcW w:w="2605" w:type="dxa"/>
            <w:tcBorders>
              <w:top w:val="nil"/>
              <w:left w:val="nil"/>
              <w:bottom w:val="nil"/>
              <w:right w:val="nil"/>
            </w:tcBorders>
            <w:shd w:val="clear" w:color="FFFFFF" w:fill="FFFFFF"/>
            <w:hideMark/>
          </w:tcPr>
          <w:p w14:paraId="44A343E1"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hideMark/>
          </w:tcPr>
          <w:p w14:paraId="466FD7B8"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7" w:type="dxa"/>
            <w:tcBorders>
              <w:top w:val="nil"/>
              <w:left w:val="nil"/>
              <w:bottom w:val="nil"/>
              <w:right w:val="nil"/>
            </w:tcBorders>
            <w:shd w:val="clear" w:color="FFFFFF" w:fill="FFFFFF"/>
            <w:noWrap/>
            <w:hideMark/>
          </w:tcPr>
          <w:p w14:paraId="4BB3848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40F05BAE"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4" w:type="dxa"/>
            <w:tcBorders>
              <w:top w:val="nil"/>
              <w:left w:val="nil"/>
              <w:bottom w:val="nil"/>
              <w:right w:val="nil"/>
            </w:tcBorders>
            <w:shd w:val="clear" w:color="FFFFFF" w:fill="FFFFFF"/>
            <w:noWrap/>
            <w:hideMark/>
          </w:tcPr>
          <w:p w14:paraId="5FF9E8DE"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11677181"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487A2812"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11601BF3"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hideMark/>
          </w:tcPr>
          <w:p w14:paraId="2F1CF1D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0476F0FF"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62080DF9"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4" w:type="dxa"/>
            <w:tcBorders>
              <w:top w:val="nil"/>
              <w:left w:val="nil"/>
              <w:bottom w:val="nil"/>
              <w:right w:val="nil"/>
            </w:tcBorders>
            <w:shd w:val="clear" w:color="FFFFFF" w:fill="FFFFFF"/>
            <w:noWrap/>
            <w:hideMark/>
          </w:tcPr>
          <w:p w14:paraId="6A0CF12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hideMark/>
          </w:tcPr>
          <w:p w14:paraId="0D8C745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EAA229E" w14:textId="77777777" w:rsidTr="005C33EF">
        <w:trPr>
          <w:trHeight w:val="238"/>
        </w:trPr>
        <w:tc>
          <w:tcPr>
            <w:tcW w:w="2605" w:type="dxa"/>
            <w:tcBorders>
              <w:top w:val="nil"/>
              <w:left w:val="nil"/>
              <w:bottom w:val="nil"/>
              <w:right w:val="nil"/>
            </w:tcBorders>
            <w:shd w:val="clear" w:color="FFFFFF" w:fill="FFFFFF"/>
            <w:vAlign w:val="bottom"/>
            <w:hideMark/>
          </w:tcPr>
          <w:p w14:paraId="43CB0199"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 </w:t>
            </w:r>
          </w:p>
        </w:tc>
        <w:tc>
          <w:tcPr>
            <w:tcW w:w="995" w:type="dxa"/>
            <w:tcBorders>
              <w:top w:val="nil"/>
              <w:left w:val="nil"/>
              <w:bottom w:val="nil"/>
              <w:right w:val="nil"/>
            </w:tcBorders>
            <w:shd w:val="clear" w:color="FFFFFF" w:fill="FFFFFF"/>
            <w:noWrap/>
            <w:vAlign w:val="bottom"/>
            <w:hideMark/>
          </w:tcPr>
          <w:p w14:paraId="5E091702"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7" w:type="dxa"/>
            <w:tcBorders>
              <w:top w:val="nil"/>
              <w:left w:val="nil"/>
              <w:bottom w:val="nil"/>
              <w:right w:val="nil"/>
            </w:tcBorders>
            <w:shd w:val="clear" w:color="FFFFFF" w:fill="FFFFFF"/>
            <w:noWrap/>
            <w:vAlign w:val="bottom"/>
            <w:hideMark/>
          </w:tcPr>
          <w:p w14:paraId="1DC48C0F"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183DD73F"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4" w:type="dxa"/>
            <w:tcBorders>
              <w:top w:val="nil"/>
              <w:left w:val="nil"/>
              <w:bottom w:val="nil"/>
              <w:right w:val="nil"/>
            </w:tcBorders>
            <w:shd w:val="clear" w:color="FFFFFF" w:fill="FFFFFF"/>
            <w:noWrap/>
            <w:vAlign w:val="bottom"/>
            <w:hideMark/>
          </w:tcPr>
          <w:p w14:paraId="17773D6B"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vAlign w:val="bottom"/>
            <w:hideMark/>
          </w:tcPr>
          <w:p w14:paraId="547BE7D2"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307934BD"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34E8FB25"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994" w:type="dxa"/>
            <w:tcBorders>
              <w:top w:val="nil"/>
              <w:left w:val="nil"/>
              <w:bottom w:val="nil"/>
              <w:right w:val="nil"/>
            </w:tcBorders>
            <w:shd w:val="clear" w:color="FFFFFF" w:fill="FFFFFF"/>
            <w:noWrap/>
            <w:vAlign w:val="bottom"/>
            <w:hideMark/>
          </w:tcPr>
          <w:p w14:paraId="68F79507"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7D1D1E8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6129444F"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 </w:t>
            </w:r>
          </w:p>
        </w:tc>
        <w:tc>
          <w:tcPr>
            <w:tcW w:w="1064" w:type="dxa"/>
            <w:tcBorders>
              <w:top w:val="nil"/>
              <w:left w:val="nil"/>
              <w:bottom w:val="nil"/>
              <w:right w:val="nil"/>
            </w:tcBorders>
            <w:shd w:val="clear" w:color="FFFFFF" w:fill="FFFFFF"/>
            <w:noWrap/>
            <w:vAlign w:val="bottom"/>
            <w:hideMark/>
          </w:tcPr>
          <w:p w14:paraId="072E831D"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c>
          <w:tcPr>
            <w:tcW w:w="995" w:type="dxa"/>
            <w:tcBorders>
              <w:top w:val="nil"/>
              <w:left w:val="nil"/>
              <w:bottom w:val="nil"/>
              <w:right w:val="nil"/>
            </w:tcBorders>
            <w:shd w:val="clear" w:color="FFFFFF" w:fill="FFFFFF"/>
            <w:noWrap/>
            <w:vAlign w:val="bottom"/>
            <w:hideMark/>
          </w:tcPr>
          <w:p w14:paraId="1E689F0B"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5773A217" w14:textId="77777777" w:rsidTr="005C33EF">
        <w:trPr>
          <w:trHeight w:val="238"/>
        </w:trPr>
        <w:tc>
          <w:tcPr>
            <w:tcW w:w="2605" w:type="dxa"/>
            <w:tcBorders>
              <w:top w:val="single" w:sz="4" w:space="0" w:color="auto"/>
              <w:left w:val="nil"/>
              <w:bottom w:val="single" w:sz="4" w:space="0" w:color="auto"/>
              <w:right w:val="nil"/>
            </w:tcBorders>
            <w:shd w:val="clear" w:color="FFFFFF" w:fill="FFFFFF"/>
            <w:vAlign w:val="bottom"/>
            <w:hideMark/>
          </w:tcPr>
          <w:p w14:paraId="4FFED506" w14:textId="77777777" w:rsidR="00FD06ED" w:rsidRPr="00FD06ED" w:rsidRDefault="00FD06ED" w:rsidP="00FD06ED">
            <w:pPr>
              <w:spacing w:before="0" w:after="0"/>
              <w:ind w:left="0"/>
              <w:rPr>
                <w:rFonts w:eastAsia="Times New Roman"/>
                <w:b/>
                <w:bCs/>
                <w:sz w:val="18"/>
                <w:szCs w:val="18"/>
                <w:lang w:eastAsia="en-US"/>
              </w:rPr>
            </w:pPr>
            <w:r w:rsidRPr="00FD06ED">
              <w:rPr>
                <w:rFonts w:eastAsia="Times New Roman"/>
                <w:b/>
                <w:bCs/>
                <w:sz w:val="18"/>
                <w:szCs w:val="18"/>
                <w:lang w:eastAsia="en-US"/>
              </w:rPr>
              <w:t>Closing balance</w:t>
            </w:r>
          </w:p>
        </w:tc>
        <w:tc>
          <w:tcPr>
            <w:tcW w:w="995" w:type="dxa"/>
            <w:tcBorders>
              <w:top w:val="single" w:sz="4" w:space="0" w:color="auto"/>
              <w:left w:val="nil"/>
              <w:bottom w:val="single" w:sz="4" w:space="0" w:color="auto"/>
              <w:right w:val="nil"/>
            </w:tcBorders>
            <w:shd w:val="clear" w:color="FFFFFF" w:fill="FFFFFF"/>
            <w:noWrap/>
            <w:vAlign w:val="bottom"/>
            <w:hideMark/>
          </w:tcPr>
          <w:p w14:paraId="7E3F27E9"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1,017,277</w:t>
            </w:r>
          </w:p>
        </w:tc>
        <w:tc>
          <w:tcPr>
            <w:tcW w:w="1067" w:type="dxa"/>
            <w:tcBorders>
              <w:top w:val="single" w:sz="4" w:space="0" w:color="auto"/>
              <w:left w:val="nil"/>
              <w:bottom w:val="single" w:sz="4" w:space="0" w:color="auto"/>
              <w:right w:val="nil"/>
            </w:tcBorders>
            <w:shd w:val="clear" w:color="FFFFFF" w:fill="FFFFFF"/>
            <w:noWrap/>
            <w:vAlign w:val="bottom"/>
            <w:hideMark/>
          </w:tcPr>
          <w:p w14:paraId="57EB0297"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744,120</w:t>
            </w:r>
          </w:p>
        </w:tc>
        <w:tc>
          <w:tcPr>
            <w:tcW w:w="995" w:type="dxa"/>
            <w:tcBorders>
              <w:top w:val="single" w:sz="4" w:space="0" w:color="auto"/>
              <w:left w:val="nil"/>
              <w:bottom w:val="single" w:sz="4" w:space="0" w:color="auto"/>
              <w:right w:val="nil"/>
            </w:tcBorders>
            <w:shd w:val="clear" w:color="FFFFFF" w:fill="FFFFFF"/>
            <w:noWrap/>
            <w:vAlign w:val="bottom"/>
            <w:hideMark/>
          </w:tcPr>
          <w:p w14:paraId="6DCF38E3"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546,216</w:t>
            </w:r>
          </w:p>
        </w:tc>
        <w:tc>
          <w:tcPr>
            <w:tcW w:w="994" w:type="dxa"/>
            <w:tcBorders>
              <w:top w:val="single" w:sz="4" w:space="0" w:color="auto"/>
              <w:left w:val="nil"/>
              <w:bottom w:val="single" w:sz="4" w:space="0" w:color="auto"/>
              <w:right w:val="nil"/>
            </w:tcBorders>
            <w:shd w:val="clear" w:color="FFFFFF" w:fill="FFFFFF"/>
            <w:noWrap/>
            <w:vAlign w:val="bottom"/>
            <w:hideMark/>
          </w:tcPr>
          <w:p w14:paraId="41C65B18"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21,079</w:t>
            </w:r>
          </w:p>
        </w:tc>
        <w:tc>
          <w:tcPr>
            <w:tcW w:w="994" w:type="dxa"/>
            <w:tcBorders>
              <w:top w:val="single" w:sz="4" w:space="0" w:color="auto"/>
              <w:left w:val="nil"/>
              <w:bottom w:val="single" w:sz="4" w:space="0" w:color="auto"/>
              <w:right w:val="nil"/>
            </w:tcBorders>
            <w:shd w:val="clear" w:color="FFFFFF" w:fill="FFFFFF"/>
            <w:noWrap/>
            <w:vAlign w:val="bottom"/>
            <w:hideMark/>
          </w:tcPr>
          <w:p w14:paraId="71A180A8"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22,137</w:t>
            </w:r>
          </w:p>
        </w:tc>
        <w:tc>
          <w:tcPr>
            <w:tcW w:w="995" w:type="dxa"/>
            <w:tcBorders>
              <w:top w:val="single" w:sz="4" w:space="0" w:color="auto"/>
              <w:left w:val="nil"/>
              <w:bottom w:val="single" w:sz="4" w:space="0" w:color="auto"/>
              <w:right w:val="nil"/>
            </w:tcBorders>
            <w:shd w:val="clear" w:color="FFFFFF" w:fill="FFFFFF"/>
            <w:noWrap/>
            <w:vAlign w:val="bottom"/>
            <w:hideMark/>
          </w:tcPr>
          <w:p w14:paraId="5BD19E2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22,137</w:t>
            </w:r>
          </w:p>
        </w:tc>
        <w:tc>
          <w:tcPr>
            <w:tcW w:w="995" w:type="dxa"/>
            <w:tcBorders>
              <w:top w:val="single" w:sz="4" w:space="0" w:color="auto"/>
              <w:left w:val="nil"/>
              <w:bottom w:val="single" w:sz="4" w:space="0" w:color="auto"/>
              <w:right w:val="nil"/>
            </w:tcBorders>
            <w:shd w:val="clear" w:color="FFFFFF" w:fill="FFFFFF"/>
            <w:noWrap/>
            <w:vAlign w:val="bottom"/>
            <w:hideMark/>
          </w:tcPr>
          <w:p w14:paraId="13ADE29E"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205,733</w:t>
            </w:r>
          </w:p>
        </w:tc>
        <w:tc>
          <w:tcPr>
            <w:tcW w:w="994" w:type="dxa"/>
            <w:tcBorders>
              <w:top w:val="single" w:sz="4" w:space="0" w:color="auto"/>
              <w:left w:val="nil"/>
              <w:bottom w:val="single" w:sz="4" w:space="0" w:color="auto"/>
              <w:right w:val="nil"/>
            </w:tcBorders>
            <w:shd w:val="clear" w:color="FFFFFF" w:fill="FFFFFF"/>
            <w:noWrap/>
            <w:vAlign w:val="bottom"/>
            <w:hideMark/>
          </w:tcPr>
          <w:p w14:paraId="10DB78B4"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205,733</w:t>
            </w:r>
          </w:p>
        </w:tc>
        <w:tc>
          <w:tcPr>
            <w:tcW w:w="995" w:type="dxa"/>
            <w:tcBorders>
              <w:top w:val="single" w:sz="4" w:space="0" w:color="auto"/>
              <w:left w:val="nil"/>
              <w:bottom w:val="single" w:sz="4" w:space="0" w:color="auto"/>
              <w:right w:val="nil"/>
            </w:tcBorders>
            <w:shd w:val="clear" w:color="FFFFFF" w:fill="FFFFFF"/>
            <w:noWrap/>
            <w:vAlign w:val="bottom"/>
            <w:hideMark/>
          </w:tcPr>
          <w:p w14:paraId="4EB258CC"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205,733</w:t>
            </w:r>
          </w:p>
        </w:tc>
        <w:tc>
          <w:tcPr>
            <w:tcW w:w="995" w:type="dxa"/>
            <w:tcBorders>
              <w:top w:val="single" w:sz="4" w:space="0" w:color="auto"/>
              <w:left w:val="nil"/>
              <w:bottom w:val="single" w:sz="4" w:space="0" w:color="auto"/>
              <w:right w:val="nil"/>
            </w:tcBorders>
            <w:shd w:val="clear" w:color="FFFFFF" w:fill="FFFFFF"/>
            <w:noWrap/>
            <w:vAlign w:val="bottom"/>
            <w:hideMark/>
          </w:tcPr>
          <w:p w14:paraId="2B0567EC" w14:textId="77777777" w:rsidR="00FD06ED" w:rsidRPr="00FD06ED" w:rsidRDefault="00FD06ED" w:rsidP="00FD06ED">
            <w:pPr>
              <w:spacing w:before="0" w:after="0"/>
              <w:ind w:left="0"/>
              <w:jc w:val="right"/>
              <w:rPr>
                <w:rFonts w:eastAsia="Times New Roman"/>
                <w:b/>
                <w:bCs/>
                <w:sz w:val="18"/>
                <w:szCs w:val="18"/>
                <w:lang w:eastAsia="en-US"/>
              </w:rPr>
            </w:pPr>
            <w:r w:rsidRPr="00FD06ED">
              <w:rPr>
                <w:rFonts w:eastAsia="Times New Roman"/>
                <w:b/>
                <w:bCs/>
                <w:sz w:val="18"/>
                <w:szCs w:val="18"/>
                <w:lang w:eastAsia="en-US"/>
              </w:rPr>
              <w:t>1,244,089</w:t>
            </w:r>
          </w:p>
        </w:tc>
        <w:tc>
          <w:tcPr>
            <w:tcW w:w="1064" w:type="dxa"/>
            <w:tcBorders>
              <w:top w:val="single" w:sz="4" w:space="0" w:color="auto"/>
              <w:left w:val="nil"/>
              <w:bottom w:val="single" w:sz="4" w:space="0" w:color="auto"/>
              <w:right w:val="nil"/>
            </w:tcBorders>
            <w:shd w:val="clear" w:color="FFFFFF" w:fill="FFFFFF"/>
            <w:noWrap/>
            <w:vAlign w:val="bottom"/>
            <w:hideMark/>
          </w:tcPr>
          <w:p w14:paraId="09708C19"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971,990</w:t>
            </w:r>
          </w:p>
        </w:tc>
        <w:tc>
          <w:tcPr>
            <w:tcW w:w="995" w:type="dxa"/>
            <w:tcBorders>
              <w:top w:val="single" w:sz="4" w:space="0" w:color="auto"/>
              <w:left w:val="nil"/>
              <w:bottom w:val="single" w:sz="4" w:space="0" w:color="auto"/>
              <w:right w:val="nil"/>
            </w:tcBorders>
            <w:shd w:val="clear" w:color="FFFFFF" w:fill="FFFFFF"/>
            <w:noWrap/>
            <w:vAlign w:val="bottom"/>
            <w:hideMark/>
          </w:tcPr>
          <w:p w14:paraId="3DBB59DF" w14:textId="77777777" w:rsidR="00FD06ED" w:rsidRPr="00FD06ED" w:rsidRDefault="00FD06ED" w:rsidP="00FD06ED">
            <w:pPr>
              <w:spacing w:before="0" w:after="0"/>
              <w:ind w:left="0"/>
              <w:jc w:val="right"/>
              <w:rPr>
                <w:rFonts w:eastAsia="Times New Roman"/>
                <w:sz w:val="18"/>
                <w:szCs w:val="18"/>
                <w:lang w:eastAsia="en-US"/>
              </w:rPr>
            </w:pPr>
            <w:r w:rsidRPr="00FD06ED">
              <w:rPr>
                <w:rFonts w:eastAsia="Times New Roman"/>
                <w:sz w:val="18"/>
                <w:szCs w:val="18"/>
                <w:lang w:eastAsia="en-US"/>
              </w:rPr>
              <w:t>774,086</w:t>
            </w:r>
          </w:p>
        </w:tc>
      </w:tr>
    </w:tbl>
    <w:p w14:paraId="0A1E43A5" w14:textId="77777777" w:rsidR="00FD06ED" w:rsidRPr="00FD06ED" w:rsidRDefault="00FD06ED" w:rsidP="00FD06ED">
      <w:pPr>
        <w:spacing w:before="0" w:after="0"/>
        <w:ind w:left="0"/>
        <w:rPr>
          <w:rFonts w:eastAsia="Times New Roman"/>
          <w:sz w:val="18"/>
          <w:szCs w:val="18"/>
          <w:lang w:eastAsia="en-US"/>
        </w:rPr>
      </w:pPr>
    </w:p>
    <w:p w14:paraId="4615CB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above statement should be read in conjunction with the accompanying notes.</w:t>
      </w:r>
    </w:p>
    <w:p w14:paraId="4D1A0329" w14:textId="77777777" w:rsidR="00FD06ED" w:rsidRPr="00FD06ED" w:rsidRDefault="00FD06ED" w:rsidP="00FD06ED">
      <w:pPr>
        <w:spacing w:before="0" w:after="0" w:line="260" w:lineRule="atLeast"/>
        <w:ind w:left="0"/>
        <w:rPr>
          <w:rFonts w:eastAsia="Times New Roman"/>
          <w:sz w:val="18"/>
          <w:szCs w:val="18"/>
          <w:lang w:eastAsia="en-US"/>
        </w:rPr>
      </w:pPr>
    </w:p>
    <w:p w14:paraId="79F82A4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after="40"/>
        <w:ind w:left="0"/>
        <w:rPr>
          <w:rFonts w:eastAsia="Times New Roman"/>
          <w:b/>
          <w:bCs/>
          <w:sz w:val="18"/>
          <w:szCs w:val="18"/>
          <w:lang w:eastAsia="en-US"/>
        </w:rPr>
      </w:pPr>
      <w:r w:rsidRPr="00FD06ED">
        <w:rPr>
          <w:rFonts w:eastAsia="Times New Roman"/>
          <w:b/>
          <w:bCs/>
          <w:sz w:val="18"/>
          <w:szCs w:val="18"/>
          <w:lang w:eastAsia="en-US"/>
        </w:rPr>
        <w:t>Budget Variances Commentary</w:t>
      </w:r>
    </w:p>
    <w:p w14:paraId="407A3B8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after="40"/>
        <w:ind w:left="0"/>
        <w:rPr>
          <w:rFonts w:eastAsia="Times New Roman"/>
          <w:b/>
          <w:bCs/>
          <w:sz w:val="18"/>
          <w:szCs w:val="18"/>
          <w:lang w:eastAsia="en-US"/>
        </w:rPr>
      </w:pPr>
      <w:r w:rsidRPr="00FD06ED">
        <w:rPr>
          <w:rFonts w:eastAsia="Times New Roman"/>
          <w:b/>
          <w:bCs/>
          <w:sz w:val="18"/>
          <w:szCs w:val="18"/>
          <w:lang w:eastAsia="en-US"/>
        </w:rPr>
        <w:t>Statement of Changes in Equity</w:t>
      </w:r>
    </w:p>
    <w:p w14:paraId="2C4ABF8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after="40"/>
        <w:ind w:left="0"/>
        <w:rPr>
          <w:rFonts w:eastAsia="Times New Roman"/>
          <w:bCs/>
          <w:sz w:val="18"/>
          <w:szCs w:val="18"/>
          <w:lang w:eastAsia="en-US"/>
        </w:rPr>
      </w:pPr>
      <w:r w:rsidRPr="00FD06ED">
        <w:rPr>
          <w:rFonts w:eastAsia="Times New Roman"/>
          <w:bCs/>
          <w:sz w:val="18"/>
          <w:szCs w:val="18"/>
          <w:lang w:eastAsia="en-US"/>
        </w:rPr>
        <w:t xml:space="preserve">Major budget variance for balances contained in the Statement of Changes in Equity have been included in the budget variances commentary for the Statement of Comprehensive Income and the Statement of Financial Position. </w:t>
      </w:r>
    </w:p>
    <w:p w14:paraId="4AA25FD4" w14:textId="77777777" w:rsidR="00FD06ED" w:rsidRPr="00FD06ED" w:rsidRDefault="00FD06ED" w:rsidP="00FD06ED">
      <w:pPr>
        <w:spacing w:before="0" w:after="0" w:line="260" w:lineRule="atLeast"/>
        <w:ind w:left="0"/>
        <w:rPr>
          <w:rFonts w:eastAsia="Times New Roman"/>
          <w:sz w:val="18"/>
          <w:szCs w:val="18"/>
          <w:lang w:eastAsia="en-US"/>
        </w:rPr>
      </w:pPr>
    </w:p>
    <w:p w14:paraId="52433449" w14:textId="67090447" w:rsidR="00FD06ED" w:rsidRPr="00FD06ED" w:rsidRDefault="00FD06ED" w:rsidP="00FD06ED">
      <w:pPr>
        <w:spacing w:before="0" w:after="80"/>
        <w:ind w:left="426" w:hanging="142"/>
        <w:rPr>
          <w:rFonts w:eastAsia="Times New Roman" w:cs="Times New Roman"/>
          <w:sz w:val="14"/>
          <w:szCs w:val="16"/>
          <w:lang w:eastAsia="en-AU"/>
        </w:rPr>
      </w:pPr>
      <w:r w:rsidRPr="00FD06ED">
        <w:rPr>
          <w:rFonts w:eastAsia="Times New Roman" w:cs="Times New Roman"/>
          <w:sz w:val="18"/>
          <w:szCs w:val="20"/>
          <w:vertAlign w:val="superscript"/>
          <w:lang w:eastAsia="en-AU"/>
        </w:rPr>
        <w:t xml:space="preserve">1 </w:t>
      </w:r>
      <w:r w:rsidRPr="00FD06ED">
        <w:rPr>
          <w:rFonts w:eastAsia="Times New Roman" w:cs="Times New Roman"/>
          <w:sz w:val="14"/>
          <w:szCs w:val="16"/>
          <w:lang w:eastAsia="en-AU"/>
        </w:rPr>
        <w:t xml:space="preserve">Original Budget refers to the figures published in the Portfolio Budget Statements </w:t>
      </w:r>
      <w:r w:rsidR="00577731">
        <w:rPr>
          <w:rFonts w:eastAsia="Times New Roman" w:cs="Times New Roman"/>
          <w:sz w:val="14"/>
          <w:szCs w:val="16"/>
          <w:lang w:eastAsia="en-AU"/>
        </w:rPr>
        <w:t>2021–</w:t>
      </w:r>
      <w:proofErr w:type="gramStart"/>
      <w:r w:rsidR="00577731">
        <w:rPr>
          <w:rFonts w:eastAsia="Times New Roman" w:cs="Times New Roman"/>
          <w:sz w:val="14"/>
          <w:szCs w:val="16"/>
          <w:lang w:eastAsia="en-AU"/>
        </w:rPr>
        <w:t xml:space="preserve">22 </w:t>
      </w:r>
      <w:r w:rsidRPr="00FD06ED">
        <w:rPr>
          <w:rFonts w:eastAsia="Times New Roman" w:cs="Times New Roman"/>
          <w:sz w:val="14"/>
          <w:szCs w:val="16"/>
          <w:lang w:eastAsia="en-AU"/>
        </w:rPr>
        <w:t>.</w:t>
      </w:r>
      <w:proofErr w:type="gramEnd"/>
    </w:p>
    <w:p w14:paraId="7739C06A" w14:textId="77777777" w:rsidR="00FD06ED" w:rsidRPr="00FD06ED" w:rsidRDefault="00FD06ED" w:rsidP="00FD06ED">
      <w:pPr>
        <w:spacing w:before="0" w:after="0" w:line="260" w:lineRule="atLeast"/>
        <w:ind w:left="0"/>
        <w:rPr>
          <w:rFonts w:eastAsia="Times New Roman"/>
          <w:sz w:val="18"/>
          <w:szCs w:val="18"/>
          <w:lang w:eastAsia="en-US"/>
        </w:rPr>
        <w:sectPr w:rsidR="00FD06ED" w:rsidRPr="00FD06ED" w:rsidSect="004475FD">
          <w:headerReference w:type="even" r:id="rId62"/>
          <w:headerReference w:type="default" r:id="rId63"/>
          <w:footerReference w:type="default" r:id="rId64"/>
          <w:headerReference w:type="first" r:id="rId65"/>
          <w:pgSz w:w="16838" w:h="11906" w:orient="landscape" w:code="9"/>
          <w:pgMar w:top="1134" w:right="1103" w:bottom="851" w:left="1134" w:header="958" w:footer="737" w:gutter="0"/>
          <w:cols w:space="708"/>
          <w:docGrid w:linePitch="360"/>
        </w:sectPr>
      </w:pPr>
    </w:p>
    <w:tbl>
      <w:tblPr>
        <w:tblW w:w="9087" w:type="dxa"/>
        <w:tblLayout w:type="fixed"/>
        <w:tblCellMar>
          <w:left w:w="57" w:type="dxa"/>
          <w:right w:w="57" w:type="dxa"/>
        </w:tblCellMar>
        <w:tblLook w:val="04A0" w:firstRow="1" w:lastRow="0" w:firstColumn="1" w:lastColumn="0" w:noHBand="0" w:noVBand="1"/>
      </w:tblPr>
      <w:tblGrid>
        <w:gridCol w:w="4437"/>
        <w:gridCol w:w="720"/>
        <w:gridCol w:w="1103"/>
        <w:gridCol w:w="236"/>
        <w:gridCol w:w="1067"/>
        <w:gridCol w:w="236"/>
        <w:gridCol w:w="1052"/>
        <w:gridCol w:w="236"/>
      </w:tblGrid>
      <w:tr w:rsidR="00FD06ED" w:rsidRPr="00FD06ED" w14:paraId="77A0CE82" w14:textId="77777777" w:rsidTr="005C33EF">
        <w:trPr>
          <w:trHeight w:val="510"/>
        </w:trPr>
        <w:tc>
          <w:tcPr>
            <w:tcW w:w="4437" w:type="dxa"/>
            <w:tcBorders>
              <w:top w:val="single" w:sz="8" w:space="0" w:color="800080"/>
              <w:left w:val="nil"/>
              <w:bottom w:val="nil"/>
              <w:right w:val="nil"/>
            </w:tcBorders>
            <w:shd w:val="clear" w:color="FFFFFF" w:fill="FFFFFF"/>
            <w:noWrap/>
            <w:vAlign w:val="bottom"/>
            <w:hideMark/>
          </w:tcPr>
          <w:p w14:paraId="7D9791EC" w14:textId="77777777" w:rsidR="00FD06ED" w:rsidRPr="00FD06ED" w:rsidRDefault="00FD06ED" w:rsidP="00FD06ED">
            <w:pPr>
              <w:spacing w:before="0" w:after="0" w:line="260" w:lineRule="atLeast"/>
              <w:ind w:left="0"/>
              <w:rPr>
                <w:rFonts w:eastAsia="Times New Roman"/>
                <w:sz w:val="18"/>
                <w:szCs w:val="18"/>
                <w:lang w:eastAsia="en-US"/>
              </w:rPr>
            </w:pPr>
            <w:bookmarkStart w:id="112" w:name="Note_DCFTABLE1" w:colFirst="0" w:colLast="0"/>
            <w:r w:rsidRPr="00FD06ED">
              <w:rPr>
                <w:rFonts w:eastAsia="Times New Roman"/>
                <w:sz w:val="18"/>
                <w:szCs w:val="18"/>
                <w:lang w:eastAsia="en-US"/>
              </w:rPr>
              <w:lastRenderedPageBreak/>
              <w:t> </w:t>
            </w:r>
          </w:p>
        </w:tc>
        <w:tc>
          <w:tcPr>
            <w:tcW w:w="720" w:type="dxa"/>
            <w:tcBorders>
              <w:top w:val="single" w:sz="8" w:space="0" w:color="800080"/>
              <w:left w:val="nil"/>
              <w:bottom w:val="nil"/>
              <w:right w:val="nil"/>
            </w:tcBorders>
            <w:shd w:val="clear" w:color="FFFFFF" w:fill="FFFFFF"/>
            <w:noWrap/>
            <w:vAlign w:val="bottom"/>
            <w:hideMark/>
          </w:tcPr>
          <w:p w14:paraId="3AC60ED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03" w:type="dxa"/>
            <w:tcBorders>
              <w:top w:val="single" w:sz="8" w:space="0" w:color="800080"/>
              <w:left w:val="nil"/>
              <w:bottom w:val="nil"/>
              <w:right w:val="nil"/>
            </w:tcBorders>
            <w:shd w:val="clear" w:color="FFFFFF" w:fill="FFFFFF"/>
            <w:noWrap/>
            <w:vAlign w:val="bottom"/>
            <w:hideMark/>
          </w:tcPr>
          <w:p w14:paraId="5B33E43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70C6B57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8" w:space="0" w:color="800080"/>
              <w:left w:val="nil"/>
              <w:bottom w:val="nil"/>
              <w:right w:val="nil"/>
            </w:tcBorders>
            <w:shd w:val="clear" w:color="FFFFFF" w:fill="FFFFFF"/>
            <w:noWrap/>
            <w:vAlign w:val="bottom"/>
            <w:hideMark/>
          </w:tcPr>
          <w:p w14:paraId="122DA6B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7C61DC1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88" w:type="dxa"/>
            <w:gridSpan w:val="2"/>
            <w:tcBorders>
              <w:top w:val="single" w:sz="8" w:space="0" w:color="800080"/>
              <w:left w:val="nil"/>
              <w:bottom w:val="nil"/>
              <w:right w:val="nil"/>
            </w:tcBorders>
            <w:shd w:val="clear" w:color="FFFFFF" w:fill="FFFFFF"/>
            <w:vAlign w:val="center"/>
            <w:hideMark/>
          </w:tcPr>
          <w:p w14:paraId="5145A391" w14:textId="77777777" w:rsidR="00FD06ED" w:rsidRPr="00FD06ED" w:rsidRDefault="00FD06ED" w:rsidP="00FD06ED">
            <w:pPr>
              <w:spacing w:before="0" w:after="0" w:line="260" w:lineRule="atLeast"/>
              <w:ind w:left="0"/>
              <w:jc w:val="center"/>
              <w:rPr>
                <w:rFonts w:eastAsia="Times New Roman"/>
                <w:color w:val="800080"/>
                <w:sz w:val="18"/>
                <w:szCs w:val="18"/>
                <w:lang w:eastAsia="en-US"/>
              </w:rPr>
            </w:pPr>
            <w:r w:rsidRPr="00FD06ED">
              <w:rPr>
                <w:rFonts w:eastAsia="Times New Roman"/>
                <w:color w:val="800080"/>
                <w:sz w:val="18"/>
                <w:szCs w:val="18"/>
                <w:lang w:eastAsia="en-US"/>
              </w:rPr>
              <w:t>Original</w:t>
            </w:r>
            <w:r w:rsidRPr="00FD06ED">
              <w:rPr>
                <w:rFonts w:eastAsia="Times New Roman"/>
                <w:color w:val="800080"/>
                <w:sz w:val="18"/>
                <w:szCs w:val="18"/>
                <w:lang w:eastAsia="en-US"/>
              </w:rPr>
              <w:br/>
              <w:t>Budget</w:t>
            </w:r>
            <w:r w:rsidRPr="00FD06ED">
              <w:rPr>
                <w:rFonts w:eastAsia="Times New Roman"/>
                <w:color w:val="800080"/>
                <w:sz w:val="18"/>
                <w:szCs w:val="18"/>
                <w:vertAlign w:val="superscript"/>
                <w:lang w:eastAsia="en-US"/>
              </w:rPr>
              <w:t>1</w:t>
            </w:r>
          </w:p>
        </w:tc>
      </w:tr>
      <w:bookmarkEnd w:id="112"/>
      <w:tr w:rsidR="00FD06ED" w:rsidRPr="00FD06ED" w14:paraId="0E203776" w14:textId="77777777" w:rsidTr="005C33EF">
        <w:trPr>
          <w:trHeight w:val="255"/>
        </w:trPr>
        <w:tc>
          <w:tcPr>
            <w:tcW w:w="4437" w:type="dxa"/>
            <w:tcBorders>
              <w:top w:val="nil"/>
              <w:left w:val="nil"/>
              <w:bottom w:val="nil"/>
              <w:right w:val="nil"/>
            </w:tcBorders>
            <w:shd w:val="clear" w:color="FFFFFF" w:fill="FFFFFF"/>
            <w:noWrap/>
            <w:vAlign w:val="bottom"/>
            <w:hideMark/>
          </w:tcPr>
          <w:p w14:paraId="6F1F537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nil"/>
              <w:right w:val="nil"/>
            </w:tcBorders>
            <w:shd w:val="clear" w:color="FFFFFF" w:fill="FFFFFF"/>
            <w:noWrap/>
            <w:vAlign w:val="bottom"/>
            <w:hideMark/>
          </w:tcPr>
          <w:p w14:paraId="1FD1574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3D0E9D1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36" w:type="dxa"/>
            <w:tcBorders>
              <w:top w:val="nil"/>
              <w:left w:val="nil"/>
              <w:bottom w:val="nil"/>
              <w:right w:val="nil"/>
            </w:tcBorders>
            <w:shd w:val="clear" w:color="FFFFFF" w:fill="FFFFFF"/>
            <w:noWrap/>
            <w:vAlign w:val="bottom"/>
            <w:hideMark/>
          </w:tcPr>
          <w:p w14:paraId="74ADEBD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4F3ECCC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c>
          <w:tcPr>
            <w:tcW w:w="236" w:type="dxa"/>
            <w:tcBorders>
              <w:top w:val="nil"/>
              <w:left w:val="nil"/>
              <w:bottom w:val="nil"/>
              <w:right w:val="nil"/>
            </w:tcBorders>
            <w:shd w:val="clear" w:color="FFFFFF" w:fill="FFFFFF"/>
            <w:noWrap/>
            <w:vAlign w:val="bottom"/>
            <w:hideMark/>
          </w:tcPr>
          <w:p w14:paraId="37422D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88" w:type="dxa"/>
            <w:gridSpan w:val="2"/>
            <w:tcBorders>
              <w:top w:val="nil"/>
              <w:left w:val="nil"/>
              <w:bottom w:val="nil"/>
              <w:right w:val="nil"/>
            </w:tcBorders>
            <w:shd w:val="clear" w:color="FFFFFF" w:fill="FFFFFF"/>
            <w:noWrap/>
            <w:vAlign w:val="bottom"/>
            <w:hideMark/>
          </w:tcPr>
          <w:p w14:paraId="00D1DD37" w14:textId="77777777" w:rsidR="00FD06ED" w:rsidRPr="00FD06ED" w:rsidRDefault="00FD06ED" w:rsidP="00FD06ED">
            <w:pPr>
              <w:spacing w:before="0" w:after="0" w:line="260" w:lineRule="atLeast"/>
              <w:ind w:left="0"/>
              <w:jc w:val="center"/>
              <w:rPr>
                <w:rFonts w:eastAsia="Times New Roman"/>
                <w:color w:val="800080"/>
                <w:sz w:val="18"/>
                <w:szCs w:val="18"/>
                <w:lang w:eastAsia="en-US"/>
              </w:rPr>
            </w:pPr>
            <w:r w:rsidRPr="00FD06ED">
              <w:rPr>
                <w:rFonts w:eastAsia="Times New Roman"/>
                <w:color w:val="800080"/>
                <w:sz w:val="18"/>
                <w:szCs w:val="18"/>
                <w:lang w:eastAsia="en-US"/>
              </w:rPr>
              <w:t>2022</w:t>
            </w:r>
          </w:p>
        </w:tc>
      </w:tr>
      <w:tr w:rsidR="00FD06ED" w:rsidRPr="00FD06ED" w14:paraId="7A71E3DB" w14:textId="77777777" w:rsidTr="005C33EF">
        <w:trPr>
          <w:trHeight w:val="270"/>
        </w:trPr>
        <w:tc>
          <w:tcPr>
            <w:tcW w:w="4437" w:type="dxa"/>
            <w:tcBorders>
              <w:top w:val="nil"/>
              <w:left w:val="nil"/>
              <w:bottom w:val="single" w:sz="8" w:space="0" w:color="800080"/>
              <w:right w:val="nil"/>
            </w:tcBorders>
            <w:shd w:val="clear" w:color="FFFFFF" w:fill="FFFFFF"/>
            <w:noWrap/>
            <w:vAlign w:val="bottom"/>
            <w:hideMark/>
          </w:tcPr>
          <w:p w14:paraId="04FC715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single" w:sz="8" w:space="0" w:color="800080"/>
              <w:right w:val="nil"/>
            </w:tcBorders>
            <w:shd w:val="clear" w:color="FFFFFF" w:fill="FFFFFF"/>
            <w:noWrap/>
            <w:vAlign w:val="bottom"/>
            <w:hideMark/>
          </w:tcPr>
          <w:p w14:paraId="6395539C" w14:textId="77777777" w:rsidR="00FD06ED" w:rsidRPr="00FD06ED" w:rsidRDefault="00FD06ED" w:rsidP="00FD06ED">
            <w:pPr>
              <w:spacing w:before="0" w:after="0" w:line="260" w:lineRule="atLeast"/>
              <w:ind w:left="0"/>
              <w:jc w:val="center"/>
              <w:rPr>
                <w:rFonts w:eastAsia="Times New Roman"/>
                <w:b/>
                <w:bCs/>
                <w:sz w:val="18"/>
                <w:szCs w:val="18"/>
                <w:lang w:eastAsia="en-US"/>
              </w:rPr>
            </w:pPr>
            <w:r w:rsidRPr="00FD06ED">
              <w:rPr>
                <w:rFonts w:eastAsia="Times New Roman"/>
                <w:b/>
                <w:bCs/>
                <w:sz w:val="18"/>
                <w:szCs w:val="18"/>
                <w:lang w:eastAsia="en-US"/>
              </w:rPr>
              <w:t>Notes</w:t>
            </w:r>
          </w:p>
        </w:tc>
        <w:tc>
          <w:tcPr>
            <w:tcW w:w="1103" w:type="dxa"/>
            <w:tcBorders>
              <w:top w:val="nil"/>
              <w:left w:val="nil"/>
              <w:bottom w:val="single" w:sz="8" w:space="0" w:color="800080"/>
              <w:right w:val="nil"/>
            </w:tcBorders>
            <w:shd w:val="clear" w:color="FFFFFF" w:fill="FFFFFF"/>
            <w:noWrap/>
            <w:vAlign w:val="bottom"/>
            <w:hideMark/>
          </w:tcPr>
          <w:p w14:paraId="72B57BE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375FF2A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single" w:sz="8" w:space="0" w:color="800080"/>
              <w:right w:val="nil"/>
            </w:tcBorders>
            <w:shd w:val="clear" w:color="FFFFFF" w:fill="FFFFFF"/>
            <w:noWrap/>
            <w:vAlign w:val="bottom"/>
            <w:hideMark/>
          </w:tcPr>
          <w:p w14:paraId="76EC324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5E50B5B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88" w:type="dxa"/>
            <w:gridSpan w:val="2"/>
            <w:tcBorders>
              <w:top w:val="nil"/>
              <w:left w:val="nil"/>
              <w:bottom w:val="single" w:sz="8" w:space="0" w:color="800080"/>
              <w:right w:val="nil"/>
            </w:tcBorders>
            <w:shd w:val="clear" w:color="FFFFFF" w:fill="FFFFFF"/>
            <w:noWrap/>
            <w:vAlign w:val="center"/>
            <w:hideMark/>
          </w:tcPr>
          <w:p w14:paraId="59570544" w14:textId="77777777" w:rsidR="00FD06ED" w:rsidRPr="00FD06ED" w:rsidRDefault="00FD06ED" w:rsidP="00FD06ED">
            <w:pPr>
              <w:spacing w:before="0" w:after="0" w:line="260" w:lineRule="atLeast"/>
              <w:ind w:left="0"/>
              <w:jc w:val="center"/>
              <w:rPr>
                <w:rFonts w:eastAsia="Times New Roman"/>
                <w:color w:val="800080"/>
                <w:sz w:val="18"/>
                <w:szCs w:val="18"/>
                <w:lang w:eastAsia="en-US"/>
              </w:rPr>
            </w:pPr>
            <w:r w:rsidRPr="00FD06ED">
              <w:rPr>
                <w:rFonts w:eastAsia="Times New Roman"/>
                <w:color w:val="800080"/>
                <w:sz w:val="18"/>
                <w:szCs w:val="18"/>
                <w:lang w:eastAsia="en-US"/>
              </w:rPr>
              <w:t>$'000</w:t>
            </w:r>
          </w:p>
        </w:tc>
      </w:tr>
      <w:tr w:rsidR="00FD06ED" w:rsidRPr="00FD06ED" w14:paraId="720875AC" w14:textId="77777777" w:rsidTr="005C33EF">
        <w:trPr>
          <w:trHeight w:val="255"/>
        </w:trPr>
        <w:tc>
          <w:tcPr>
            <w:tcW w:w="4437" w:type="dxa"/>
            <w:tcBorders>
              <w:top w:val="nil"/>
              <w:left w:val="nil"/>
              <w:bottom w:val="nil"/>
              <w:right w:val="nil"/>
            </w:tcBorders>
            <w:shd w:val="clear" w:color="FFFFFF" w:fill="FFFFFF"/>
            <w:noWrap/>
            <w:vAlign w:val="bottom"/>
            <w:hideMark/>
          </w:tcPr>
          <w:p w14:paraId="7E3F46C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nil"/>
              <w:right w:val="nil"/>
            </w:tcBorders>
            <w:shd w:val="clear" w:color="FFFFFF" w:fill="FFFFFF"/>
            <w:noWrap/>
            <w:vAlign w:val="bottom"/>
            <w:hideMark/>
          </w:tcPr>
          <w:p w14:paraId="5C8C75F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1395C3C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38423E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2F62056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E75E19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B5D09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single" w:sz="4" w:space="0" w:color="auto"/>
              <w:left w:val="nil"/>
              <w:bottom w:val="nil"/>
              <w:right w:val="nil"/>
            </w:tcBorders>
            <w:shd w:val="clear" w:color="FFFFFF" w:fill="FFFFFF"/>
            <w:noWrap/>
            <w:vAlign w:val="bottom"/>
            <w:hideMark/>
          </w:tcPr>
          <w:p w14:paraId="6B3F2F5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E509634" w14:textId="77777777" w:rsidTr="005C33EF">
        <w:trPr>
          <w:trHeight w:val="255"/>
        </w:trPr>
        <w:tc>
          <w:tcPr>
            <w:tcW w:w="4437" w:type="dxa"/>
            <w:tcBorders>
              <w:top w:val="nil"/>
              <w:left w:val="nil"/>
              <w:bottom w:val="nil"/>
              <w:right w:val="nil"/>
            </w:tcBorders>
            <w:shd w:val="clear" w:color="FFFFFF" w:fill="FFFFFF"/>
            <w:vAlign w:val="bottom"/>
            <w:hideMark/>
          </w:tcPr>
          <w:p w14:paraId="4997299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OPERATING ACTIVITIES</w:t>
            </w:r>
          </w:p>
        </w:tc>
        <w:tc>
          <w:tcPr>
            <w:tcW w:w="720" w:type="dxa"/>
            <w:tcBorders>
              <w:top w:val="nil"/>
              <w:left w:val="nil"/>
              <w:bottom w:val="nil"/>
              <w:right w:val="nil"/>
            </w:tcBorders>
            <w:shd w:val="clear" w:color="FFFFFF" w:fill="FFFFFF"/>
            <w:noWrap/>
            <w:vAlign w:val="bottom"/>
            <w:hideMark/>
          </w:tcPr>
          <w:p w14:paraId="472270A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F495DE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CA39A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B67C3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6BA59E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46188D5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6F273C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53BE1C3B" w14:textId="77777777" w:rsidTr="005C33EF">
        <w:trPr>
          <w:trHeight w:val="255"/>
        </w:trPr>
        <w:tc>
          <w:tcPr>
            <w:tcW w:w="4437" w:type="dxa"/>
            <w:tcBorders>
              <w:top w:val="nil"/>
              <w:left w:val="nil"/>
              <w:bottom w:val="nil"/>
              <w:right w:val="nil"/>
            </w:tcBorders>
            <w:shd w:val="clear" w:color="FFFFFF" w:fill="FFFFFF"/>
            <w:vAlign w:val="bottom"/>
            <w:hideMark/>
          </w:tcPr>
          <w:p w14:paraId="449EF48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received</w:t>
            </w:r>
          </w:p>
        </w:tc>
        <w:tc>
          <w:tcPr>
            <w:tcW w:w="720" w:type="dxa"/>
            <w:tcBorders>
              <w:top w:val="nil"/>
              <w:left w:val="nil"/>
              <w:bottom w:val="nil"/>
              <w:right w:val="nil"/>
            </w:tcBorders>
            <w:shd w:val="clear" w:color="FFFFFF" w:fill="FFFFFF"/>
            <w:noWrap/>
            <w:vAlign w:val="bottom"/>
            <w:hideMark/>
          </w:tcPr>
          <w:p w14:paraId="2116A16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7C3AAA2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19EB42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071D3C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9D60EC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0402870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003902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ED7440D" w14:textId="77777777" w:rsidTr="005C33EF">
        <w:trPr>
          <w:trHeight w:val="255"/>
        </w:trPr>
        <w:tc>
          <w:tcPr>
            <w:tcW w:w="4437" w:type="dxa"/>
            <w:tcBorders>
              <w:top w:val="nil"/>
              <w:left w:val="nil"/>
              <w:bottom w:val="nil"/>
              <w:right w:val="nil"/>
            </w:tcBorders>
            <w:shd w:val="clear" w:color="FFFFFF" w:fill="FFFFFF"/>
            <w:vAlign w:val="bottom"/>
            <w:hideMark/>
          </w:tcPr>
          <w:p w14:paraId="3F4DEB3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Receipts from Government</w:t>
            </w:r>
          </w:p>
        </w:tc>
        <w:tc>
          <w:tcPr>
            <w:tcW w:w="720" w:type="dxa"/>
            <w:tcBorders>
              <w:top w:val="nil"/>
              <w:left w:val="nil"/>
              <w:bottom w:val="nil"/>
              <w:right w:val="nil"/>
            </w:tcBorders>
            <w:shd w:val="clear" w:color="FFFFFF" w:fill="FFFFFF"/>
            <w:noWrap/>
            <w:vAlign w:val="bottom"/>
            <w:hideMark/>
          </w:tcPr>
          <w:p w14:paraId="2B45400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1AB6E68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1,263,386</w:t>
            </w:r>
          </w:p>
        </w:tc>
        <w:tc>
          <w:tcPr>
            <w:tcW w:w="236" w:type="dxa"/>
            <w:tcBorders>
              <w:top w:val="nil"/>
              <w:left w:val="nil"/>
              <w:bottom w:val="nil"/>
              <w:right w:val="nil"/>
            </w:tcBorders>
            <w:shd w:val="clear" w:color="FFFFFF" w:fill="FFFFFF"/>
            <w:noWrap/>
            <w:vAlign w:val="bottom"/>
            <w:hideMark/>
          </w:tcPr>
          <w:p w14:paraId="75B583A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4F89997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1,208,878</w:t>
            </w:r>
          </w:p>
        </w:tc>
        <w:tc>
          <w:tcPr>
            <w:tcW w:w="236" w:type="dxa"/>
            <w:tcBorders>
              <w:top w:val="nil"/>
              <w:left w:val="nil"/>
              <w:bottom w:val="nil"/>
              <w:right w:val="nil"/>
            </w:tcBorders>
            <w:shd w:val="clear" w:color="FFFFFF" w:fill="FFFFFF"/>
            <w:noWrap/>
            <w:vAlign w:val="bottom"/>
            <w:hideMark/>
          </w:tcPr>
          <w:p w14:paraId="6CD1D37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48AB00A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1,237,457</w:t>
            </w:r>
          </w:p>
        </w:tc>
        <w:tc>
          <w:tcPr>
            <w:tcW w:w="236" w:type="dxa"/>
            <w:tcBorders>
              <w:top w:val="nil"/>
              <w:left w:val="nil"/>
              <w:bottom w:val="nil"/>
              <w:right w:val="nil"/>
            </w:tcBorders>
            <w:shd w:val="clear" w:color="FFFFFF" w:fill="FFFFFF"/>
            <w:noWrap/>
            <w:vAlign w:val="bottom"/>
            <w:hideMark/>
          </w:tcPr>
          <w:p w14:paraId="6345FB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3FA24E93" w14:textId="77777777" w:rsidTr="005C33EF">
        <w:trPr>
          <w:trHeight w:val="255"/>
        </w:trPr>
        <w:tc>
          <w:tcPr>
            <w:tcW w:w="4437" w:type="dxa"/>
            <w:tcBorders>
              <w:top w:val="nil"/>
              <w:left w:val="nil"/>
              <w:bottom w:val="nil"/>
              <w:right w:val="nil"/>
            </w:tcBorders>
            <w:shd w:val="clear" w:color="FFFFFF" w:fill="FFFFFF"/>
            <w:vAlign w:val="bottom"/>
            <w:hideMark/>
          </w:tcPr>
          <w:p w14:paraId="735A57A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Rendering of services</w:t>
            </w:r>
          </w:p>
        </w:tc>
        <w:tc>
          <w:tcPr>
            <w:tcW w:w="720" w:type="dxa"/>
            <w:tcBorders>
              <w:top w:val="nil"/>
              <w:left w:val="nil"/>
              <w:bottom w:val="nil"/>
              <w:right w:val="nil"/>
            </w:tcBorders>
            <w:shd w:val="clear" w:color="FFFFFF" w:fill="FFFFFF"/>
            <w:noWrap/>
            <w:vAlign w:val="bottom"/>
            <w:hideMark/>
          </w:tcPr>
          <w:p w14:paraId="6BE16C9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20FF5A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28,171,098</w:t>
            </w:r>
          </w:p>
        </w:tc>
        <w:tc>
          <w:tcPr>
            <w:tcW w:w="236" w:type="dxa"/>
            <w:tcBorders>
              <w:top w:val="nil"/>
              <w:left w:val="nil"/>
              <w:bottom w:val="nil"/>
              <w:right w:val="nil"/>
            </w:tcBorders>
            <w:shd w:val="clear" w:color="FFFFFF" w:fill="FFFFFF"/>
            <w:noWrap/>
            <w:vAlign w:val="bottom"/>
            <w:hideMark/>
          </w:tcPr>
          <w:p w14:paraId="794F2F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6DE8BCA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22,232,204</w:t>
            </w:r>
          </w:p>
        </w:tc>
        <w:tc>
          <w:tcPr>
            <w:tcW w:w="236" w:type="dxa"/>
            <w:tcBorders>
              <w:top w:val="nil"/>
              <w:left w:val="nil"/>
              <w:bottom w:val="nil"/>
              <w:right w:val="nil"/>
            </w:tcBorders>
            <w:shd w:val="clear" w:color="FFFFFF" w:fill="FFFFFF"/>
            <w:noWrap/>
            <w:vAlign w:val="bottom"/>
            <w:hideMark/>
          </w:tcPr>
          <w:p w14:paraId="149A717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03FED1F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25,217,568</w:t>
            </w:r>
          </w:p>
        </w:tc>
        <w:tc>
          <w:tcPr>
            <w:tcW w:w="236" w:type="dxa"/>
            <w:tcBorders>
              <w:top w:val="nil"/>
              <w:left w:val="nil"/>
              <w:bottom w:val="nil"/>
              <w:right w:val="nil"/>
            </w:tcBorders>
            <w:shd w:val="clear" w:color="FFFFFF" w:fill="FFFFFF"/>
            <w:noWrap/>
            <w:vAlign w:val="bottom"/>
            <w:hideMark/>
          </w:tcPr>
          <w:p w14:paraId="61CAE43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435DA48C" w14:textId="77777777" w:rsidTr="005C33EF">
        <w:trPr>
          <w:trHeight w:val="255"/>
        </w:trPr>
        <w:tc>
          <w:tcPr>
            <w:tcW w:w="4437" w:type="dxa"/>
            <w:tcBorders>
              <w:top w:val="nil"/>
              <w:left w:val="nil"/>
              <w:bottom w:val="nil"/>
              <w:right w:val="nil"/>
            </w:tcBorders>
            <w:shd w:val="clear" w:color="FFFFFF" w:fill="FFFFFF"/>
            <w:vAlign w:val="bottom"/>
            <w:hideMark/>
          </w:tcPr>
          <w:p w14:paraId="50AD3E82"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Interest received</w:t>
            </w:r>
          </w:p>
        </w:tc>
        <w:tc>
          <w:tcPr>
            <w:tcW w:w="720" w:type="dxa"/>
            <w:tcBorders>
              <w:top w:val="nil"/>
              <w:left w:val="nil"/>
              <w:bottom w:val="nil"/>
              <w:right w:val="nil"/>
            </w:tcBorders>
            <w:shd w:val="clear" w:color="FFFFFF" w:fill="FFFFFF"/>
            <w:noWrap/>
            <w:vAlign w:val="bottom"/>
            <w:hideMark/>
          </w:tcPr>
          <w:p w14:paraId="2143EAA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58DD1F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11,797</w:t>
            </w:r>
          </w:p>
        </w:tc>
        <w:tc>
          <w:tcPr>
            <w:tcW w:w="236" w:type="dxa"/>
            <w:tcBorders>
              <w:top w:val="nil"/>
              <w:left w:val="nil"/>
              <w:bottom w:val="nil"/>
              <w:right w:val="nil"/>
            </w:tcBorders>
            <w:shd w:val="clear" w:color="FFFFFF" w:fill="FFFFFF"/>
            <w:noWrap/>
            <w:vAlign w:val="bottom"/>
            <w:hideMark/>
          </w:tcPr>
          <w:p w14:paraId="6CBC237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08A9F51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10,890</w:t>
            </w:r>
          </w:p>
        </w:tc>
        <w:tc>
          <w:tcPr>
            <w:tcW w:w="236" w:type="dxa"/>
            <w:tcBorders>
              <w:top w:val="nil"/>
              <w:left w:val="nil"/>
              <w:bottom w:val="nil"/>
              <w:right w:val="nil"/>
            </w:tcBorders>
            <w:shd w:val="clear" w:color="FFFFFF" w:fill="FFFFFF"/>
            <w:noWrap/>
            <w:vAlign w:val="bottom"/>
            <w:hideMark/>
          </w:tcPr>
          <w:p w14:paraId="7B2CFB5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07B29C4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8,563</w:t>
            </w:r>
          </w:p>
        </w:tc>
        <w:tc>
          <w:tcPr>
            <w:tcW w:w="236" w:type="dxa"/>
            <w:tcBorders>
              <w:top w:val="nil"/>
              <w:left w:val="nil"/>
              <w:bottom w:val="nil"/>
              <w:right w:val="nil"/>
            </w:tcBorders>
            <w:shd w:val="clear" w:color="FFFFFF" w:fill="FFFFFF"/>
            <w:noWrap/>
            <w:vAlign w:val="bottom"/>
            <w:hideMark/>
          </w:tcPr>
          <w:p w14:paraId="6A225D2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325A5882" w14:textId="77777777" w:rsidTr="005C33EF">
        <w:trPr>
          <w:trHeight w:val="255"/>
        </w:trPr>
        <w:tc>
          <w:tcPr>
            <w:tcW w:w="4437" w:type="dxa"/>
            <w:tcBorders>
              <w:top w:val="nil"/>
              <w:left w:val="nil"/>
              <w:bottom w:val="nil"/>
              <w:right w:val="nil"/>
            </w:tcBorders>
            <w:shd w:val="clear" w:color="FFFFFF" w:fill="FFFFFF"/>
            <w:vAlign w:val="bottom"/>
            <w:hideMark/>
          </w:tcPr>
          <w:p w14:paraId="7A7E6BD8"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GST received</w:t>
            </w:r>
          </w:p>
        </w:tc>
        <w:tc>
          <w:tcPr>
            <w:tcW w:w="720" w:type="dxa"/>
            <w:tcBorders>
              <w:top w:val="nil"/>
              <w:left w:val="nil"/>
              <w:bottom w:val="nil"/>
              <w:right w:val="nil"/>
            </w:tcBorders>
            <w:shd w:val="clear" w:color="FFFFFF" w:fill="FFFFFF"/>
            <w:noWrap/>
            <w:vAlign w:val="bottom"/>
            <w:hideMark/>
          </w:tcPr>
          <w:p w14:paraId="5EFC274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A7B47D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128,031</w:t>
            </w:r>
          </w:p>
        </w:tc>
        <w:tc>
          <w:tcPr>
            <w:tcW w:w="236" w:type="dxa"/>
            <w:tcBorders>
              <w:top w:val="nil"/>
              <w:left w:val="nil"/>
              <w:bottom w:val="nil"/>
              <w:right w:val="nil"/>
            </w:tcBorders>
            <w:shd w:val="clear" w:color="FFFFFF" w:fill="FFFFFF"/>
            <w:noWrap/>
            <w:vAlign w:val="bottom"/>
            <w:hideMark/>
          </w:tcPr>
          <w:p w14:paraId="367F479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4BEB235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133,134</w:t>
            </w:r>
          </w:p>
        </w:tc>
        <w:tc>
          <w:tcPr>
            <w:tcW w:w="236" w:type="dxa"/>
            <w:tcBorders>
              <w:top w:val="nil"/>
              <w:left w:val="nil"/>
              <w:bottom w:val="nil"/>
              <w:right w:val="nil"/>
            </w:tcBorders>
            <w:shd w:val="clear" w:color="FFFFFF" w:fill="FFFFFF"/>
            <w:noWrap/>
            <w:vAlign w:val="bottom"/>
            <w:hideMark/>
          </w:tcPr>
          <w:p w14:paraId="16B750C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11A3383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96,083</w:t>
            </w:r>
          </w:p>
        </w:tc>
        <w:tc>
          <w:tcPr>
            <w:tcW w:w="236" w:type="dxa"/>
            <w:tcBorders>
              <w:top w:val="nil"/>
              <w:left w:val="nil"/>
              <w:bottom w:val="nil"/>
              <w:right w:val="nil"/>
            </w:tcBorders>
            <w:shd w:val="clear" w:color="FFFFFF" w:fill="FFFFFF"/>
            <w:noWrap/>
            <w:vAlign w:val="bottom"/>
            <w:hideMark/>
          </w:tcPr>
          <w:p w14:paraId="3DB05FDC"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09222F68" w14:textId="77777777" w:rsidTr="005C33EF">
        <w:trPr>
          <w:trHeight w:val="255"/>
        </w:trPr>
        <w:tc>
          <w:tcPr>
            <w:tcW w:w="4437" w:type="dxa"/>
            <w:tcBorders>
              <w:top w:val="nil"/>
              <w:left w:val="nil"/>
              <w:bottom w:val="nil"/>
              <w:right w:val="nil"/>
            </w:tcBorders>
            <w:shd w:val="clear" w:color="FFFFFF" w:fill="FFFFFF"/>
            <w:vAlign w:val="bottom"/>
            <w:hideMark/>
          </w:tcPr>
          <w:p w14:paraId="4F02480B"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w:t>
            </w:r>
          </w:p>
        </w:tc>
        <w:tc>
          <w:tcPr>
            <w:tcW w:w="720" w:type="dxa"/>
            <w:tcBorders>
              <w:top w:val="nil"/>
              <w:left w:val="nil"/>
              <w:bottom w:val="nil"/>
              <w:right w:val="nil"/>
            </w:tcBorders>
            <w:shd w:val="clear" w:color="FFFFFF" w:fill="FFFFFF"/>
            <w:noWrap/>
            <w:vAlign w:val="bottom"/>
            <w:hideMark/>
          </w:tcPr>
          <w:p w14:paraId="2592BF8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9C9E58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22,631</w:t>
            </w:r>
          </w:p>
        </w:tc>
        <w:tc>
          <w:tcPr>
            <w:tcW w:w="236" w:type="dxa"/>
            <w:tcBorders>
              <w:top w:val="nil"/>
              <w:left w:val="nil"/>
              <w:bottom w:val="nil"/>
              <w:right w:val="nil"/>
            </w:tcBorders>
            <w:shd w:val="clear" w:color="FFFFFF" w:fill="FFFFFF"/>
            <w:noWrap/>
            <w:vAlign w:val="bottom"/>
            <w:hideMark/>
          </w:tcPr>
          <w:p w14:paraId="2178075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14BEB2D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27,667</w:t>
            </w:r>
          </w:p>
        </w:tc>
        <w:tc>
          <w:tcPr>
            <w:tcW w:w="236" w:type="dxa"/>
            <w:tcBorders>
              <w:top w:val="nil"/>
              <w:left w:val="nil"/>
              <w:bottom w:val="nil"/>
              <w:right w:val="nil"/>
            </w:tcBorders>
            <w:shd w:val="clear" w:color="FFFFFF" w:fill="FFFFFF"/>
            <w:noWrap/>
            <w:vAlign w:val="bottom"/>
            <w:hideMark/>
          </w:tcPr>
          <w:p w14:paraId="72E0470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2111148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274E7D1B"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6D2B397B" w14:textId="77777777" w:rsidTr="005C33EF">
        <w:trPr>
          <w:trHeight w:val="255"/>
        </w:trPr>
        <w:tc>
          <w:tcPr>
            <w:tcW w:w="4437" w:type="dxa"/>
            <w:tcBorders>
              <w:top w:val="nil"/>
              <w:left w:val="nil"/>
              <w:bottom w:val="nil"/>
              <w:right w:val="nil"/>
            </w:tcBorders>
            <w:shd w:val="clear" w:color="FFFFFF" w:fill="FFFFFF"/>
            <w:vAlign w:val="bottom"/>
            <w:hideMark/>
          </w:tcPr>
          <w:p w14:paraId="7F815DE7"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received</w:t>
            </w:r>
          </w:p>
        </w:tc>
        <w:tc>
          <w:tcPr>
            <w:tcW w:w="720" w:type="dxa"/>
            <w:tcBorders>
              <w:top w:val="nil"/>
              <w:left w:val="nil"/>
              <w:bottom w:val="nil"/>
              <w:right w:val="nil"/>
            </w:tcBorders>
            <w:shd w:val="clear" w:color="FFFFFF" w:fill="FFFFFF"/>
            <w:noWrap/>
            <w:vAlign w:val="bottom"/>
            <w:hideMark/>
          </w:tcPr>
          <w:p w14:paraId="20FC5EC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0CCDD04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29,596,943</w:t>
            </w:r>
          </w:p>
        </w:tc>
        <w:tc>
          <w:tcPr>
            <w:tcW w:w="236" w:type="dxa"/>
            <w:tcBorders>
              <w:top w:val="nil"/>
              <w:left w:val="nil"/>
              <w:bottom w:val="nil"/>
              <w:right w:val="nil"/>
            </w:tcBorders>
            <w:shd w:val="clear" w:color="FFFFFF" w:fill="FFFFFF"/>
            <w:noWrap/>
            <w:vAlign w:val="bottom"/>
            <w:hideMark/>
          </w:tcPr>
          <w:p w14:paraId="4EBC7D5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3021B0B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23,612,773</w:t>
            </w:r>
          </w:p>
        </w:tc>
        <w:tc>
          <w:tcPr>
            <w:tcW w:w="236" w:type="dxa"/>
            <w:tcBorders>
              <w:top w:val="nil"/>
              <w:left w:val="nil"/>
              <w:bottom w:val="nil"/>
              <w:right w:val="nil"/>
            </w:tcBorders>
            <w:shd w:val="clear" w:color="FFFFFF" w:fill="FFFFFF"/>
            <w:noWrap/>
            <w:vAlign w:val="bottom"/>
            <w:hideMark/>
          </w:tcPr>
          <w:p w14:paraId="1784960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547D2E1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26,559,671</w:t>
            </w:r>
          </w:p>
        </w:tc>
        <w:tc>
          <w:tcPr>
            <w:tcW w:w="236" w:type="dxa"/>
            <w:tcBorders>
              <w:top w:val="nil"/>
              <w:left w:val="nil"/>
              <w:bottom w:val="nil"/>
              <w:right w:val="nil"/>
            </w:tcBorders>
            <w:shd w:val="clear" w:color="FFFFFF" w:fill="FFFFFF"/>
            <w:noWrap/>
            <w:vAlign w:val="bottom"/>
            <w:hideMark/>
          </w:tcPr>
          <w:p w14:paraId="615DF920"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vertAlign w:val="superscript"/>
                <w:lang w:eastAsia="en-US"/>
              </w:rPr>
              <w:t> </w:t>
            </w:r>
          </w:p>
        </w:tc>
      </w:tr>
      <w:tr w:rsidR="00FD06ED" w:rsidRPr="00FD06ED" w14:paraId="4B2671E8" w14:textId="77777777" w:rsidTr="005C33EF">
        <w:trPr>
          <w:trHeight w:val="132"/>
        </w:trPr>
        <w:tc>
          <w:tcPr>
            <w:tcW w:w="4437" w:type="dxa"/>
            <w:tcBorders>
              <w:top w:val="nil"/>
              <w:left w:val="nil"/>
              <w:bottom w:val="nil"/>
              <w:right w:val="nil"/>
            </w:tcBorders>
            <w:shd w:val="clear" w:color="FFFFFF" w:fill="FFFFFF"/>
            <w:noWrap/>
            <w:vAlign w:val="bottom"/>
            <w:hideMark/>
          </w:tcPr>
          <w:p w14:paraId="2E49235D"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720" w:type="dxa"/>
            <w:tcBorders>
              <w:top w:val="nil"/>
              <w:left w:val="nil"/>
              <w:bottom w:val="nil"/>
              <w:right w:val="nil"/>
            </w:tcBorders>
            <w:shd w:val="clear" w:color="FFFFFF" w:fill="FFFFFF"/>
            <w:noWrap/>
            <w:vAlign w:val="bottom"/>
            <w:hideMark/>
          </w:tcPr>
          <w:p w14:paraId="46DE6E0B"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5E306B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2A7159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5EF50C7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9EB0DD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497DCF5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A87E9EF"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2B9A8027" w14:textId="77777777" w:rsidTr="005C33EF">
        <w:trPr>
          <w:trHeight w:val="255"/>
        </w:trPr>
        <w:tc>
          <w:tcPr>
            <w:tcW w:w="4437" w:type="dxa"/>
            <w:tcBorders>
              <w:top w:val="nil"/>
              <w:left w:val="nil"/>
              <w:bottom w:val="nil"/>
              <w:right w:val="nil"/>
            </w:tcBorders>
            <w:shd w:val="clear" w:color="FFFFFF" w:fill="FFFFFF"/>
            <w:vAlign w:val="bottom"/>
            <w:hideMark/>
          </w:tcPr>
          <w:p w14:paraId="1CECA35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used</w:t>
            </w:r>
          </w:p>
        </w:tc>
        <w:tc>
          <w:tcPr>
            <w:tcW w:w="720" w:type="dxa"/>
            <w:tcBorders>
              <w:top w:val="nil"/>
              <w:left w:val="nil"/>
              <w:bottom w:val="nil"/>
              <w:right w:val="nil"/>
            </w:tcBorders>
            <w:shd w:val="clear" w:color="FFFFFF" w:fill="FFFFFF"/>
            <w:noWrap/>
            <w:vAlign w:val="bottom"/>
            <w:hideMark/>
          </w:tcPr>
          <w:p w14:paraId="3D42A362"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082C69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409361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206DFDA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6A7F68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4A8BE1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890F1D6"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69689C5A" w14:textId="77777777" w:rsidTr="005C33EF">
        <w:trPr>
          <w:trHeight w:val="252"/>
        </w:trPr>
        <w:tc>
          <w:tcPr>
            <w:tcW w:w="4437" w:type="dxa"/>
            <w:tcBorders>
              <w:top w:val="nil"/>
              <w:left w:val="nil"/>
              <w:bottom w:val="nil"/>
              <w:right w:val="nil"/>
            </w:tcBorders>
            <w:shd w:val="clear" w:color="FFFFFF" w:fill="FFFFFF"/>
            <w:vAlign w:val="bottom"/>
            <w:hideMark/>
          </w:tcPr>
          <w:p w14:paraId="613310B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Employee benefits</w:t>
            </w:r>
          </w:p>
        </w:tc>
        <w:tc>
          <w:tcPr>
            <w:tcW w:w="720" w:type="dxa"/>
            <w:tcBorders>
              <w:top w:val="nil"/>
              <w:left w:val="nil"/>
              <w:bottom w:val="nil"/>
              <w:right w:val="nil"/>
            </w:tcBorders>
            <w:shd w:val="clear" w:color="FFFFFF" w:fill="FFFFFF"/>
            <w:noWrap/>
            <w:vAlign w:val="bottom"/>
            <w:hideMark/>
          </w:tcPr>
          <w:p w14:paraId="7F1601D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A50A2F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473,053</w:t>
            </w:r>
          </w:p>
        </w:tc>
        <w:tc>
          <w:tcPr>
            <w:tcW w:w="236" w:type="dxa"/>
            <w:tcBorders>
              <w:top w:val="nil"/>
              <w:left w:val="nil"/>
              <w:bottom w:val="nil"/>
              <w:right w:val="nil"/>
            </w:tcBorders>
            <w:shd w:val="clear" w:color="FFFFFF" w:fill="FFFFFF"/>
            <w:noWrap/>
            <w:vAlign w:val="bottom"/>
            <w:hideMark/>
          </w:tcPr>
          <w:p w14:paraId="5289ABA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068C485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423,079</w:t>
            </w:r>
          </w:p>
        </w:tc>
        <w:tc>
          <w:tcPr>
            <w:tcW w:w="236" w:type="dxa"/>
            <w:tcBorders>
              <w:top w:val="nil"/>
              <w:left w:val="nil"/>
              <w:bottom w:val="nil"/>
              <w:right w:val="nil"/>
            </w:tcBorders>
            <w:shd w:val="clear" w:color="FFFFFF" w:fill="FFFFFF"/>
            <w:noWrap/>
            <w:vAlign w:val="bottom"/>
            <w:hideMark/>
          </w:tcPr>
          <w:p w14:paraId="4EC1184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0CD961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444,964</w:t>
            </w:r>
          </w:p>
        </w:tc>
        <w:tc>
          <w:tcPr>
            <w:tcW w:w="236" w:type="dxa"/>
            <w:tcBorders>
              <w:top w:val="nil"/>
              <w:left w:val="nil"/>
              <w:bottom w:val="nil"/>
              <w:right w:val="nil"/>
            </w:tcBorders>
            <w:shd w:val="clear" w:color="FFFFFF" w:fill="FFFFFF"/>
            <w:noWrap/>
            <w:vAlign w:val="bottom"/>
            <w:hideMark/>
          </w:tcPr>
          <w:p w14:paraId="4A02D315"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0F778967" w14:textId="77777777" w:rsidTr="005C33EF">
        <w:trPr>
          <w:trHeight w:val="255"/>
        </w:trPr>
        <w:tc>
          <w:tcPr>
            <w:tcW w:w="4437" w:type="dxa"/>
            <w:tcBorders>
              <w:top w:val="nil"/>
              <w:left w:val="nil"/>
              <w:bottom w:val="nil"/>
              <w:right w:val="nil"/>
            </w:tcBorders>
            <w:shd w:val="clear" w:color="FFFFFF" w:fill="FFFFFF"/>
            <w:vAlign w:val="bottom"/>
            <w:hideMark/>
          </w:tcPr>
          <w:p w14:paraId="6D430CB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Supplier expenses</w:t>
            </w:r>
          </w:p>
        </w:tc>
        <w:tc>
          <w:tcPr>
            <w:tcW w:w="720" w:type="dxa"/>
            <w:tcBorders>
              <w:top w:val="nil"/>
              <w:left w:val="nil"/>
              <w:bottom w:val="nil"/>
              <w:right w:val="nil"/>
            </w:tcBorders>
            <w:shd w:val="clear" w:color="FFFFFF" w:fill="FFFFFF"/>
            <w:noWrap/>
            <w:vAlign w:val="bottom"/>
            <w:hideMark/>
          </w:tcPr>
          <w:p w14:paraId="404C01DA"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3EEFF0B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549,186</w:t>
            </w:r>
          </w:p>
        </w:tc>
        <w:tc>
          <w:tcPr>
            <w:tcW w:w="236" w:type="dxa"/>
            <w:tcBorders>
              <w:top w:val="nil"/>
              <w:left w:val="nil"/>
              <w:bottom w:val="nil"/>
              <w:right w:val="nil"/>
            </w:tcBorders>
            <w:shd w:val="clear" w:color="FFFFFF" w:fill="FFFFFF"/>
            <w:noWrap/>
            <w:vAlign w:val="bottom"/>
            <w:hideMark/>
          </w:tcPr>
          <w:p w14:paraId="15F2AB9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19ADBD8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689,361</w:t>
            </w:r>
          </w:p>
        </w:tc>
        <w:tc>
          <w:tcPr>
            <w:tcW w:w="236" w:type="dxa"/>
            <w:tcBorders>
              <w:top w:val="nil"/>
              <w:left w:val="nil"/>
              <w:bottom w:val="nil"/>
              <w:right w:val="nil"/>
            </w:tcBorders>
            <w:shd w:val="clear" w:color="FFFFFF" w:fill="FFFFFF"/>
            <w:noWrap/>
            <w:vAlign w:val="bottom"/>
            <w:hideMark/>
          </w:tcPr>
          <w:p w14:paraId="394C158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36E25B5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1,062,500</w:t>
            </w:r>
          </w:p>
        </w:tc>
        <w:tc>
          <w:tcPr>
            <w:tcW w:w="236" w:type="dxa"/>
            <w:tcBorders>
              <w:top w:val="nil"/>
              <w:left w:val="nil"/>
              <w:bottom w:val="nil"/>
              <w:right w:val="nil"/>
            </w:tcBorders>
            <w:shd w:val="clear" w:color="FFFFFF" w:fill="FFFFFF"/>
            <w:noWrap/>
            <w:vAlign w:val="bottom"/>
            <w:hideMark/>
          </w:tcPr>
          <w:p w14:paraId="24D80D00"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5F13CC0F" w14:textId="77777777" w:rsidTr="005C33EF">
        <w:trPr>
          <w:trHeight w:val="255"/>
        </w:trPr>
        <w:tc>
          <w:tcPr>
            <w:tcW w:w="4437" w:type="dxa"/>
            <w:tcBorders>
              <w:top w:val="nil"/>
              <w:left w:val="nil"/>
              <w:bottom w:val="nil"/>
              <w:right w:val="nil"/>
            </w:tcBorders>
            <w:shd w:val="clear" w:color="FFFFFF" w:fill="FFFFFF"/>
            <w:vAlign w:val="bottom"/>
            <w:hideMark/>
          </w:tcPr>
          <w:p w14:paraId="77DEE412"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Interest payments on lease liabilities</w:t>
            </w:r>
          </w:p>
        </w:tc>
        <w:tc>
          <w:tcPr>
            <w:tcW w:w="720" w:type="dxa"/>
            <w:tcBorders>
              <w:top w:val="nil"/>
              <w:left w:val="nil"/>
              <w:bottom w:val="nil"/>
              <w:right w:val="nil"/>
            </w:tcBorders>
            <w:shd w:val="clear" w:color="FFFFFF" w:fill="FFFFFF"/>
            <w:noWrap/>
            <w:vAlign w:val="bottom"/>
            <w:hideMark/>
          </w:tcPr>
          <w:p w14:paraId="3CE0747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9E0985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1,256</w:t>
            </w:r>
          </w:p>
        </w:tc>
        <w:tc>
          <w:tcPr>
            <w:tcW w:w="236" w:type="dxa"/>
            <w:tcBorders>
              <w:top w:val="nil"/>
              <w:left w:val="nil"/>
              <w:bottom w:val="nil"/>
              <w:right w:val="nil"/>
            </w:tcBorders>
            <w:shd w:val="clear" w:color="FFFFFF" w:fill="FFFFFF"/>
            <w:noWrap/>
            <w:vAlign w:val="bottom"/>
            <w:hideMark/>
          </w:tcPr>
          <w:p w14:paraId="0840909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2FF845B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2,249</w:t>
            </w:r>
          </w:p>
        </w:tc>
        <w:tc>
          <w:tcPr>
            <w:tcW w:w="236" w:type="dxa"/>
            <w:tcBorders>
              <w:top w:val="nil"/>
              <w:left w:val="nil"/>
              <w:bottom w:val="nil"/>
              <w:right w:val="nil"/>
            </w:tcBorders>
            <w:shd w:val="clear" w:color="FFFFFF" w:fill="FFFFFF"/>
            <w:noWrap/>
            <w:vAlign w:val="bottom"/>
            <w:hideMark/>
          </w:tcPr>
          <w:p w14:paraId="6297CBF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74794D1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2,322</w:t>
            </w:r>
          </w:p>
        </w:tc>
        <w:tc>
          <w:tcPr>
            <w:tcW w:w="236" w:type="dxa"/>
            <w:tcBorders>
              <w:top w:val="nil"/>
              <w:left w:val="nil"/>
              <w:bottom w:val="nil"/>
              <w:right w:val="nil"/>
            </w:tcBorders>
            <w:shd w:val="clear" w:color="FFFFFF" w:fill="FFFFFF"/>
            <w:noWrap/>
            <w:vAlign w:val="bottom"/>
            <w:hideMark/>
          </w:tcPr>
          <w:p w14:paraId="6C8FAE04"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01587A30" w14:textId="77777777" w:rsidTr="005C33EF">
        <w:trPr>
          <w:trHeight w:val="255"/>
        </w:trPr>
        <w:tc>
          <w:tcPr>
            <w:tcW w:w="4437" w:type="dxa"/>
            <w:tcBorders>
              <w:top w:val="nil"/>
              <w:left w:val="nil"/>
              <w:bottom w:val="nil"/>
              <w:right w:val="nil"/>
            </w:tcBorders>
            <w:shd w:val="clear" w:color="FFFFFF" w:fill="FFFFFF"/>
            <w:vAlign w:val="bottom"/>
            <w:hideMark/>
          </w:tcPr>
          <w:p w14:paraId="158837F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Community partnership costs</w:t>
            </w:r>
          </w:p>
        </w:tc>
        <w:tc>
          <w:tcPr>
            <w:tcW w:w="720" w:type="dxa"/>
            <w:tcBorders>
              <w:top w:val="nil"/>
              <w:left w:val="nil"/>
              <w:bottom w:val="nil"/>
              <w:right w:val="nil"/>
            </w:tcBorders>
            <w:shd w:val="clear" w:color="FFFFFF" w:fill="FFFFFF"/>
            <w:noWrap/>
            <w:vAlign w:val="bottom"/>
            <w:hideMark/>
          </w:tcPr>
          <w:p w14:paraId="25D8A4E7"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33AEA0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559,766</w:t>
            </w:r>
          </w:p>
        </w:tc>
        <w:tc>
          <w:tcPr>
            <w:tcW w:w="236" w:type="dxa"/>
            <w:tcBorders>
              <w:top w:val="nil"/>
              <w:left w:val="nil"/>
              <w:bottom w:val="nil"/>
              <w:right w:val="nil"/>
            </w:tcBorders>
            <w:shd w:val="clear" w:color="FFFFFF" w:fill="FFFFFF"/>
            <w:noWrap/>
            <w:vAlign w:val="bottom"/>
            <w:hideMark/>
          </w:tcPr>
          <w:p w14:paraId="06315D5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2ED6DF6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499,816</w:t>
            </w:r>
          </w:p>
        </w:tc>
        <w:tc>
          <w:tcPr>
            <w:tcW w:w="236" w:type="dxa"/>
            <w:tcBorders>
              <w:top w:val="nil"/>
              <w:left w:val="nil"/>
              <w:bottom w:val="nil"/>
              <w:right w:val="nil"/>
            </w:tcBorders>
            <w:shd w:val="clear" w:color="FFFFFF" w:fill="FFFFFF"/>
            <w:noWrap/>
            <w:vAlign w:val="bottom"/>
            <w:hideMark/>
          </w:tcPr>
          <w:p w14:paraId="0445222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B3B7E5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646B3EE3"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1296495B" w14:textId="77777777" w:rsidTr="005C33EF">
        <w:trPr>
          <w:trHeight w:val="255"/>
        </w:trPr>
        <w:tc>
          <w:tcPr>
            <w:tcW w:w="4437" w:type="dxa"/>
            <w:tcBorders>
              <w:top w:val="nil"/>
              <w:left w:val="nil"/>
              <w:bottom w:val="nil"/>
              <w:right w:val="nil"/>
            </w:tcBorders>
            <w:shd w:val="clear" w:color="FFFFFF" w:fill="FFFFFF"/>
            <w:vAlign w:val="bottom"/>
            <w:hideMark/>
          </w:tcPr>
          <w:p w14:paraId="3A54303F"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plan expenses</w:t>
            </w:r>
          </w:p>
        </w:tc>
        <w:tc>
          <w:tcPr>
            <w:tcW w:w="720" w:type="dxa"/>
            <w:tcBorders>
              <w:top w:val="nil"/>
              <w:left w:val="nil"/>
              <w:bottom w:val="nil"/>
              <w:right w:val="nil"/>
            </w:tcBorders>
            <w:shd w:val="clear" w:color="FFFFFF" w:fill="FFFFFF"/>
            <w:noWrap/>
            <w:vAlign w:val="bottom"/>
            <w:hideMark/>
          </w:tcPr>
          <w:p w14:paraId="4ACBAC3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299A7C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26,878,414</w:t>
            </w:r>
          </w:p>
        </w:tc>
        <w:tc>
          <w:tcPr>
            <w:tcW w:w="236" w:type="dxa"/>
            <w:tcBorders>
              <w:top w:val="nil"/>
              <w:left w:val="nil"/>
              <w:bottom w:val="nil"/>
              <w:right w:val="nil"/>
            </w:tcBorders>
            <w:shd w:val="clear" w:color="FFFFFF" w:fill="FFFFFF"/>
            <w:noWrap/>
            <w:vAlign w:val="bottom"/>
            <w:hideMark/>
          </w:tcPr>
          <w:p w14:paraId="5BC7085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D97B32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21,238,538</w:t>
            </w:r>
          </w:p>
        </w:tc>
        <w:tc>
          <w:tcPr>
            <w:tcW w:w="236" w:type="dxa"/>
            <w:tcBorders>
              <w:top w:val="nil"/>
              <w:left w:val="nil"/>
              <w:bottom w:val="nil"/>
              <w:right w:val="nil"/>
            </w:tcBorders>
            <w:shd w:val="clear" w:color="FFFFFF" w:fill="FFFFFF"/>
            <w:noWrap/>
            <w:vAlign w:val="bottom"/>
            <w:hideMark/>
          </w:tcPr>
          <w:p w14:paraId="3FC166F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7998E72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25,175,184</w:t>
            </w:r>
          </w:p>
        </w:tc>
        <w:tc>
          <w:tcPr>
            <w:tcW w:w="236" w:type="dxa"/>
            <w:tcBorders>
              <w:top w:val="nil"/>
              <w:left w:val="nil"/>
              <w:bottom w:val="nil"/>
              <w:right w:val="nil"/>
            </w:tcBorders>
            <w:shd w:val="clear" w:color="FFFFFF" w:fill="FFFFFF"/>
            <w:noWrap/>
            <w:vAlign w:val="bottom"/>
            <w:hideMark/>
          </w:tcPr>
          <w:p w14:paraId="79E99F6E"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68F8766B" w14:textId="77777777" w:rsidTr="005C33EF">
        <w:trPr>
          <w:trHeight w:val="255"/>
        </w:trPr>
        <w:tc>
          <w:tcPr>
            <w:tcW w:w="4437" w:type="dxa"/>
            <w:tcBorders>
              <w:top w:val="nil"/>
              <w:left w:val="nil"/>
              <w:bottom w:val="nil"/>
              <w:right w:val="nil"/>
            </w:tcBorders>
            <w:shd w:val="clear" w:color="FFFFFF" w:fill="FFFFFF"/>
            <w:vAlign w:val="bottom"/>
            <w:hideMark/>
          </w:tcPr>
          <w:p w14:paraId="2A88EE6B"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Grant payments</w:t>
            </w:r>
          </w:p>
        </w:tc>
        <w:tc>
          <w:tcPr>
            <w:tcW w:w="720" w:type="dxa"/>
            <w:tcBorders>
              <w:top w:val="nil"/>
              <w:left w:val="nil"/>
              <w:bottom w:val="nil"/>
              <w:right w:val="nil"/>
            </w:tcBorders>
            <w:shd w:val="clear" w:color="FFFFFF" w:fill="FFFFFF"/>
            <w:noWrap/>
            <w:vAlign w:val="bottom"/>
            <w:hideMark/>
          </w:tcPr>
          <w:p w14:paraId="622F47D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AE44CE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262</w:t>
            </w:r>
          </w:p>
        </w:tc>
        <w:tc>
          <w:tcPr>
            <w:tcW w:w="236" w:type="dxa"/>
            <w:tcBorders>
              <w:top w:val="nil"/>
              <w:left w:val="nil"/>
              <w:bottom w:val="nil"/>
              <w:right w:val="nil"/>
            </w:tcBorders>
            <w:shd w:val="clear" w:color="FFFFFF" w:fill="FFFFFF"/>
            <w:noWrap/>
            <w:vAlign w:val="bottom"/>
            <w:hideMark/>
          </w:tcPr>
          <w:p w14:paraId="3366806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E57A98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29,447</w:t>
            </w:r>
          </w:p>
        </w:tc>
        <w:tc>
          <w:tcPr>
            <w:tcW w:w="236" w:type="dxa"/>
            <w:tcBorders>
              <w:top w:val="nil"/>
              <w:left w:val="nil"/>
              <w:bottom w:val="nil"/>
              <w:right w:val="nil"/>
            </w:tcBorders>
            <w:shd w:val="clear" w:color="FFFFFF" w:fill="FFFFFF"/>
            <w:noWrap/>
            <w:vAlign w:val="bottom"/>
            <w:hideMark/>
          </w:tcPr>
          <w:p w14:paraId="040FAB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829EFB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2BDD6F02"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4B2C13E1" w14:textId="77777777" w:rsidTr="005C33EF">
        <w:trPr>
          <w:trHeight w:val="255"/>
        </w:trPr>
        <w:tc>
          <w:tcPr>
            <w:tcW w:w="4437" w:type="dxa"/>
            <w:tcBorders>
              <w:top w:val="nil"/>
              <w:left w:val="nil"/>
              <w:bottom w:val="nil"/>
              <w:right w:val="nil"/>
            </w:tcBorders>
            <w:shd w:val="clear" w:color="FFFFFF" w:fill="FFFFFF"/>
            <w:vAlign w:val="bottom"/>
            <w:hideMark/>
          </w:tcPr>
          <w:p w14:paraId="1EE3C6C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used</w:t>
            </w:r>
          </w:p>
        </w:tc>
        <w:tc>
          <w:tcPr>
            <w:tcW w:w="720" w:type="dxa"/>
            <w:tcBorders>
              <w:top w:val="nil"/>
              <w:left w:val="nil"/>
              <w:bottom w:val="nil"/>
              <w:right w:val="nil"/>
            </w:tcBorders>
            <w:shd w:val="clear" w:color="FFFFFF" w:fill="FFFFFF"/>
            <w:noWrap/>
            <w:vAlign w:val="bottom"/>
            <w:hideMark/>
          </w:tcPr>
          <w:p w14:paraId="234DAD5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75FEBAE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28,461,937</w:t>
            </w:r>
          </w:p>
        </w:tc>
        <w:tc>
          <w:tcPr>
            <w:tcW w:w="236" w:type="dxa"/>
            <w:tcBorders>
              <w:top w:val="nil"/>
              <w:left w:val="nil"/>
              <w:bottom w:val="nil"/>
              <w:right w:val="nil"/>
            </w:tcBorders>
            <w:shd w:val="clear" w:color="FFFFFF" w:fill="FFFFFF"/>
            <w:noWrap/>
            <w:vAlign w:val="bottom"/>
            <w:hideMark/>
          </w:tcPr>
          <w:p w14:paraId="48558F9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1572024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22,882,490</w:t>
            </w:r>
          </w:p>
        </w:tc>
        <w:tc>
          <w:tcPr>
            <w:tcW w:w="236" w:type="dxa"/>
            <w:tcBorders>
              <w:top w:val="nil"/>
              <w:left w:val="nil"/>
              <w:bottom w:val="nil"/>
              <w:right w:val="nil"/>
            </w:tcBorders>
            <w:shd w:val="clear" w:color="FFFFFF" w:fill="FFFFFF"/>
            <w:noWrap/>
            <w:vAlign w:val="bottom"/>
            <w:hideMark/>
          </w:tcPr>
          <w:p w14:paraId="51CD10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4309F06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26,684,970</w:t>
            </w:r>
          </w:p>
        </w:tc>
        <w:tc>
          <w:tcPr>
            <w:tcW w:w="236" w:type="dxa"/>
            <w:tcBorders>
              <w:top w:val="nil"/>
              <w:left w:val="nil"/>
              <w:bottom w:val="nil"/>
              <w:right w:val="nil"/>
            </w:tcBorders>
            <w:shd w:val="clear" w:color="FFFFFF" w:fill="FFFFFF"/>
            <w:noWrap/>
            <w:vAlign w:val="bottom"/>
            <w:hideMark/>
          </w:tcPr>
          <w:p w14:paraId="6F592D4F"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vertAlign w:val="superscript"/>
                <w:lang w:eastAsia="en-US"/>
              </w:rPr>
              <w:t> </w:t>
            </w:r>
          </w:p>
        </w:tc>
      </w:tr>
      <w:tr w:rsidR="00FD06ED" w:rsidRPr="00FD06ED" w14:paraId="3F900C9D" w14:textId="77777777" w:rsidTr="005C33EF">
        <w:trPr>
          <w:trHeight w:val="270"/>
        </w:trPr>
        <w:tc>
          <w:tcPr>
            <w:tcW w:w="4437" w:type="dxa"/>
            <w:tcBorders>
              <w:top w:val="nil"/>
              <w:left w:val="nil"/>
              <w:bottom w:val="nil"/>
              <w:right w:val="nil"/>
            </w:tcBorders>
            <w:shd w:val="clear" w:color="FFFFFF" w:fill="FFFFFF"/>
            <w:vAlign w:val="bottom"/>
            <w:hideMark/>
          </w:tcPr>
          <w:p w14:paraId="7503730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cash from / (used by) operating activities</w:t>
            </w:r>
          </w:p>
        </w:tc>
        <w:tc>
          <w:tcPr>
            <w:tcW w:w="720" w:type="dxa"/>
            <w:tcBorders>
              <w:top w:val="nil"/>
              <w:left w:val="nil"/>
              <w:bottom w:val="nil"/>
              <w:right w:val="nil"/>
            </w:tcBorders>
            <w:shd w:val="clear" w:color="FFFFFF" w:fill="FFFFFF"/>
            <w:noWrap/>
            <w:vAlign w:val="bottom"/>
            <w:hideMark/>
          </w:tcPr>
          <w:p w14:paraId="2060E10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single" w:sz="4" w:space="0" w:color="auto"/>
              <w:right w:val="nil"/>
            </w:tcBorders>
            <w:shd w:val="clear" w:color="FFFFFF" w:fill="FFFFFF"/>
            <w:noWrap/>
            <w:vAlign w:val="bottom"/>
            <w:hideMark/>
          </w:tcPr>
          <w:p w14:paraId="3FA4E12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1,135,006</w:t>
            </w:r>
          </w:p>
        </w:tc>
        <w:tc>
          <w:tcPr>
            <w:tcW w:w="236" w:type="dxa"/>
            <w:tcBorders>
              <w:top w:val="nil"/>
              <w:left w:val="nil"/>
              <w:bottom w:val="nil"/>
              <w:right w:val="nil"/>
            </w:tcBorders>
            <w:shd w:val="clear" w:color="FFFFFF" w:fill="FFFFFF"/>
            <w:noWrap/>
            <w:vAlign w:val="bottom"/>
            <w:hideMark/>
          </w:tcPr>
          <w:p w14:paraId="335F077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single" w:sz="4" w:space="0" w:color="auto"/>
              <w:right w:val="nil"/>
            </w:tcBorders>
            <w:shd w:val="clear" w:color="FFFFFF" w:fill="FFFFFF"/>
            <w:noWrap/>
            <w:vAlign w:val="bottom"/>
            <w:hideMark/>
          </w:tcPr>
          <w:p w14:paraId="5FAF0A3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730,283</w:t>
            </w:r>
          </w:p>
        </w:tc>
        <w:tc>
          <w:tcPr>
            <w:tcW w:w="236" w:type="dxa"/>
            <w:tcBorders>
              <w:top w:val="nil"/>
              <w:left w:val="nil"/>
              <w:bottom w:val="nil"/>
              <w:right w:val="nil"/>
            </w:tcBorders>
            <w:shd w:val="clear" w:color="FFFFFF" w:fill="FFFFFF"/>
            <w:noWrap/>
            <w:vAlign w:val="bottom"/>
            <w:hideMark/>
          </w:tcPr>
          <w:p w14:paraId="5927EEF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single" w:sz="4" w:space="0" w:color="auto"/>
              <w:right w:val="nil"/>
            </w:tcBorders>
            <w:shd w:val="clear" w:color="FFFFFF" w:fill="FFFFFF"/>
            <w:noWrap/>
            <w:vAlign w:val="bottom"/>
            <w:hideMark/>
          </w:tcPr>
          <w:p w14:paraId="6C06834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(125,299)</w:t>
            </w:r>
          </w:p>
        </w:tc>
        <w:tc>
          <w:tcPr>
            <w:tcW w:w="236" w:type="dxa"/>
            <w:tcBorders>
              <w:top w:val="nil"/>
              <w:left w:val="nil"/>
              <w:bottom w:val="nil"/>
              <w:right w:val="nil"/>
            </w:tcBorders>
            <w:shd w:val="clear" w:color="FFFFFF" w:fill="FFFFFF"/>
            <w:noWrap/>
            <w:vAlign w:val="bottom"/>
            <w:hideMark/>
          </w:tcPr>
          <w:p w14:paraId="50E6C13C"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vertAlign w:val="superscript"/>
                <w:lang w:eastAsia="en-US"/>
              </w:rPr>
              <w:t> </w:t>
            </w:r>
          </w:p>
        </w:tc>
      </w:tr>
      <w:tr w:rsidR="00FD06ED" w:rsidRPr="00FD06ED" w14:paraId="524AFFC4" w14:textId="77777777" w:rsidTr="005C33EF">
        <w:trPr>
          <w:trHeight w:val="229"/>
        </w:trPr>
        <w:tc>
          <w:tcPr>
            <w:tcW w:w="4437" w:type="dxa"/>
            <w:tcBorders>
              <w:top w:val="nil"/>
              <w:left w:val="nil"/>
              <w:bottom w:val="nil"/>
              <w:right w:val="nil"/>
            </w:tcBorders>
            <w:shd w:val="clear" w:color="FFFFFF" w:fill="FFFFFF"/>
            <w:noWrap/>
            <w:vAlign w:val="bottom"/>
            <w:hideMark/>
          </w:tcPr>
          <w:p w14:paraId="1440B98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nil"/>
              <w:right w:val="nil"/>
            </w:tcBorders>
            <w:shd w:val="clear" w:color="FFFFFF" w:fill="FFFFFF"/>
            <w:noWrap/>
            <w:vAlign w:val="bottom"/>
            <w:hideMark/>
          </w:tcPr>
          <w:p w14:paraId="121954D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70D99BA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735D2D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16E6C60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E486D7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2B9C1D1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F13B672"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31A19FD7" w14:textId="77777777" w:rsidTr="005C33EF">
        <w:trPr>
          <w:trHeight w:val="255"/>
        </w:trPr>
        <w:tc>
          <w:tcPr>
            <w:tcW w:w="4437" w:type="dxa"/>
            <w:tcBorders>
              <w:top w:val="nil"/>
              <w:left w:val="nil"/>
              <w:bottom w:val="nil"/>
              <w:right w:val="nil"/>
            </w:tcBorders>
            <w:shd w:val="clear" w:color="FFFFFF" w:fill="FFFFFF"/>
            <w:vAlign w:val="bottom"/>
            <w:hideMark/>
          </w:tcPr>
          <w:p w14:paraId="2242DF9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INVESTING ACTIVITIES</w:t>
            </w:r>
          </w:p>
        </w:tc>
        <w:tc>
          <w:tcPr>
            <w:tcW w:w="720" w:type="dxa"/>
            <w:tcBorders>
              <w:top w:val="nil"/>
              <w:left w:val="nil"/>
              <w:bottom w:val="nil"/>
              <w:right w:val="nil"/>
            </w:tcBorders>
            <w:shd w:val="clear" w:color="FFFFFF" w:fill="FFFFFF"/>
            <w:noWrap/>
            <w:vAlign w:val="bottom"/>
            <w:hideMark/>
          </w:tcPr>
          <w:p w14:paraId="7A877D9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3AE9E15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977D95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45D9EB0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41A07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05A9BC9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BB45EB1"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3FAD2B52" w14:textId="77777777" w:rsidTr="005C33EF">
        <w:trPr>
          <w:trHeight w:val="255"/>
        </w:trPr>
        <w:tc>
          <w:tcPr>
            <w:tcW w:w="4437" w:type="dxa"/>
            <w:tcBorders>
              <w:top w:val="nil"/>
              <w:left w:val="nil"/>
              <w:bottom w:val="nil"/>
              <w:right w:val="nil"/>
            </w:tcBorders>
            <w:shd w:val="clear" w:color="FFFFFF" w:fill="FFFFFF"/>
            <w:vAlign w:val="bottom"/>
            <w:hideMark/>
          </w:tcPr>
          <w:p w14:paraId="207DD86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received</w:t>
            </w:r>
          </w:p>
        </w:tc>
        <w:tc>
          <w:tcPr>
            <w:tcW w:w="720" w:type="dxa"/>
            <w:tcBorders>
              <w:top w:val="nil"/>
              <w:left w:val="nil"/>
              <w:bottom w:val="nil"/>
              <w:right w:val="nil"/>
            </w:tcBorders>
            <w:shd w:val="clear" w:color="FFFFFF" w:fill="FFFFFF"/>
            <w:noWrap/>
            <w:vAlign w:val="bottom"/>
            <w:hideMark/>
          </w:tcPr>
          <w:p w14:paraId="16E353A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2A0C6F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A2BDD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3FE339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B17D6B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2C95FAF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0CA65B9"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7AF873C4" w14:textId="77777777" w:rsidTr="005C33EF">
        <w:trPr>
          <w:trHeight w:val="255"/>
        </w:trPr>
        <w:tc>
          <w:tcPr>
            <w:tcW w:w="4437" w:type="dxa"/>
            <w:tcBorders>
              <w:top w:val="nil"/>
              <w:left w:val="nil"/>
              <w:bottom w:val="nil"/>
              <w:right w:val="nil"/>
            </w:tcBorders>
            <w:shd w:val="clear" w:color="FFFFFF" w:fill="FFFFFF"/>
            <w:vAlign w:val="bottom"/>
            <w:hideMark/>
          </w:tcPr>
          <w:p w14:paraId="7163BCB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 xml:space="preserve">Proceeds from sales of property, plant and </w:t>
            </w:r>
            <w:r w:rsidRPr="00FD06ED">
              <w:rPr>
                <w:rFonts w:eastAsia="Times New Roman"/>
                <w:sz w:val="18"/>
                <w:szCs w:val="18"/>
                <w:lang w:eastAsia="en-US"/>
              </w:rPr>
              <w:br/>
              <w:t xml:space="preserve">    equipment</w:t>
            </w:r>
          </w:p>
        </w:tc>
        <w:tc>
          <w:tcPr>
            <w:tcW w:w="720" w:type="dxa"/>
            <w:tcBorders>
              <w:top w:val="nil"/>
              <w:left w:val="nil"/>
              <w:bottom w:val="nil"/>
              <w:right w:val="nil"/>
            </w:tcBorders>
            <w:shd w:val="clear" w:color="FFFFFF" w:fill="FFFFFF"/>
            <w:noWrap/>
            <w:vAlign w:val="bottom"/>
            <w:hideMark/>
          </w:tcPr>
          <w:p w14:paraId="1A4B566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573D8CF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1,286</w:t>
            </w:r>
          </w:p>
        </w:tc>
        <w:tc>
          <w:tcPr>
            <w:tcW w:w="236" w:type="dxa"/>
            <w:tcBorders>
              <w:top w:val="nil"/>
              <w:left w:val="nil"/>
              <w:bottom w:val="nil"/>
              <w:right w:val="nil"/>
            </w:tcBorders>
            <w:shd w:val="clear" w:color="FFFFFF" w:fill="FFFFFF"/>
            <w:noWrap/>
            <w:vAlign w:val="bottom"/>
            <w:hideMark/>
          </w:tcPr>
          <w:p w14:paraId="6F56F09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558EEE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183</w:t>
            </w:r>
          </w:p>
        </w:tc>
        <w:tc>
          <w:tcPr>
            <w:tcW w:w="236" w:type="dxa"/>
            <w:tcBorders>
              <w:top w:val="nil"/>
              <w:left w:val="nil"/>
              <w:bottom w:val="nil"/>
              <w:right w:val="nil"/>
            </w:tcBorders>
            <w:shd w:val="clear" w:color="FFFFFF" w:fill="FFFFFF"/>
            <w:noWrap/>
            <w:vAlign w:val="bottom"/>
            <w:hideMark/>
          </w:tcPr>
          <w:p w14:paraId="6FD10AB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4195451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1688036F"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65C38BCC" w14:textId="77777777" w:rsidTr="005C33EF">
        <w:trPr>
          <w:trHeight w:val="255"/>
        </w:trPr>
        <w:tc>
          <w:tcPr>
            <w:tcW w:w="4437" w:type="dxa"/>
            <w:tcBorders>
              <w:top w:val="nil"/>
              <w:left w:val="nil"/>
              <w:bottom w:val="nil"/>
              <w:right w:val="nil"/>
            </w:tcBorders>
            <w:shd w:val="clear" w:color="FFFFFF" w:fill="FFFFFF"/>
            <w:vAlign w:val="bottom"/>
            <w:hideMark/>
          </w:tcPr>
          <w:p w14:paraId="287E1A1E"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Proceeds from sales of financial instruments</w:t>
            </w:r>
          </w:p>
        </w:tc>
        <w:tc>
          <w:tcPr>
            <w:tcW w:w="720" w:type="dxa"/>
            <w:tcBorders>
              <w:top w:val="nil"/>
              <w:left w:val="nil"/>
              <w:bottom w:val="nil"/>
              <w:right w:val="nil"/>
            </w:tcBorders>
            <w:shd w:val="clear" w:color="FFFFFF" w:fill="FFFFFF"/>
            <w:noWrap/>
            <w:vAlign w:val="bottom"/>
            <w:hideMark/>
          </w:tcPr>
          <w:p w14:paraId="08BCCABE"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DBA865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7,390,000</w:t>
            </w:r>
          </w:p>
        </w:tc>
        <w:tc>
          <w:tcPr>
            <w:tcW w:w="236" w:type="dxa"/>
            <w:tcBorders>
              <w:top w:val="nil"/>
              <w:left w:val="nil"/>
              <w:bottom w:val="nil"/>
              <w:right w:val="nil"/>
            </w:tcBorders>
            <w:shd w:val="clear" w:color="FFFFFF" w:fill="FFFFFF"/>
            <w:noWrap/>
            <w:vAlign w:val="bottom"/>
            <w:hideMark/>
          </w:tcPr>
          <w:p w14:paraId="07C0444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607D94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2,185,000</w:t>
            </w:r>
          </w:p>
        </w:tc>
        <w:tc>
          <w:tcPr>
            <w:tcW w:w="236" w:type="dxa"/>
            <w:tcBorders>
              <w:top w:val="nil"/>
              <w:left w:val="nil"/>
              <w:bottom w:val="nil"/>
              <w:right w:val="nil"/>
            </w:tcBorders>
            <w:shd w:val="clear" w:color="FFFFFF" w:fill="FFFFFF"/>
            <w:noWrap/>
            <w:vAlign w:val="bottom"/>
            <w:hideMark/>
          </w:tcPr>
          <w:p w14:paraId="2627DE0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27C720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5B30449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F36600B" w14:textId="77777777" w:rsidTr="005C33EF">
        <w:trPr>
          <w:trHeight w:val="255"/>
        </w:trPr>
        <w:tc>
          <w:tcPr>
            <w:tcW w:w="4437" w:type="dxa"/>
            <w:tcBorders>
              <w:top w:val="nil"/>
              <w:left w:val="nil"/>
              <w:bottom w:val="nil"/>
              <w:right w:val="nil"/>
            </w:tcBorders>
            <w:shd w:val="clear" w:color="FFFFFF" w:fill="FFFFFF"/>
            <w:vAlign w:val="bottom"/>
            <w:hideMark/>
          </w:tcPr>
          <w:p w14:paraId="19D70D7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received</w:t>
            </w:r>
          </w:p>
        </w:tc>
        <w:tc>
          <w:tcPr>
            <w:tcW w:w="720" w:type="dxa"/>
            <w:tcBorders>
              <w:top w:val="nil"/>
              <w:left w:val="nil"/>
              <w:bottom w:val="nil"/>
              <w:right w:val="nil"/>
            </w:tcBorders>
            <w:shd w:val="clear" w:color="FFFFFF" w:fill="FFFFFF"/>
            <w:noWrap/>
            <w:vAlign w:val="bottom"/>
            <w:hideMark/>
          </w:tcPr>
          <w:p w14:paraId="6A2D6254"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6A221C4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7,391,286</w:t>
            </w:r>
          </w:p>
        </w:tc>
        <w:tc>
          <w:tcPr>
            <w:tcW w:w="236" w:type="dxa"/>
            <w:tcBorders>
              <w:top w:val="nil"/>
              <w:left w:val="nil"/>
              <w:bottom w:val="nil"/>
              <w:right w:val="nil"/>
            </w:tcBorders>
            <w:shd w:val="clear" w:color="FFFFFF" w:fill="FFFFFF"/>
            <w:noWrap/>
            <w:vAlign w:val="bottom"/>
            <w:hideMark/>
          </w:tcPr>
          <w:p w14:paraId="39A317D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40D5B93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2,185,183</w:t>
            </w:r>
          </w:p>
        </w:tc>
        <w:tc>
          <w:tcPr>
            <w:tcW w:w="236" w:type="dxa"/>
            <w:tcBorders>
              <w:top w:val="nil"/>
              <w:left w:val="nil"/>
              <w:bottom w:val="nil"/>
              <w:right w:val="nil"/>
            </w:tcBorders>
            <w:shd w:val="clear" w:color="FFFFFF" w:fill="FFFFFF"/>
            <w:noWrap/>
            <w:vAlign w:val="bottom"/>
            <w:hideMark/>
          </w:tcPr>
          <w:p w14:paraId="622E67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2952712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c>
          <w:tcPr>
            <w:tcW w:w="236" w:type="dxa"/>
            <w:tcBorders>
              <w:top w:val="nil"/>
              <w:left w:val="nil"/>
              <w:bottom w:val="nil"/>
              <w:right w:val="nil"/>
            </w:tcBorders>
            <w:shd w:val="clear" w:color="FFFFFF" w:fill="FFFFFF"/>
            <w:noWrap/>
            <w:vAlign w:val="bottom"/>
            <w:hideMark/>
          </w:tcPr>
          <w:p w14:paraId="5ACCD5E4"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134F4671" w14:textId="77777777" w:rsidTr="005C33EF">
        <w:trPr>
          <w:trHeight w:val="255"/>
        </w:trPr>
        <w:tc>
          <w:tcPr>
            <w:tcW w:w="4437" w:type="dxa"/>
            <w:tcBorders>
              <w:top w:val="nil"/>
              <w:left w:val="nil"/>
              <w:bottom w:val="nil"/>
              <w:right w:val="nil"/>
            </w:tcBorders>
            <w:shd w:val="clear" w:color="FFFFFF" w:fill="FFFFFF"/>
            <w:vAlign w:val="bottom"/>
            <w:hideMark/>
          </w:tcPr>
          <w:p w14:paraId="640F8C7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720" w:type="dxa"/>
            <w:tcBorders>
              <w:top w:val="nil"/>
              <w:left w:val="nil"/>
              <w:bottom w:val="nil"/>
              <w:right w:val="nil"/>
            </w:tcBorders>
            <w:shd w:val="clear" w:color="FFFFFF" w:fill="FFFFFF"/>
            <w:noWrap/>
            <w:vAlign w:val="bottom"/>
            <w:hideMark/>
          </w:tcPr>
          <w:p w14:paraId="438D996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2A43309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EAC6D8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67F25E8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82171B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1614E31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A596A49"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295003EA" w14:textId="77777777" w:rsidTr="005C33EF">
        <w:trPr>
          <w:trHeight w:val="255"/>
        </w:trPr>
        <w:tc>
          <w:tcPr>
            <w:tcW w:w="4437" w:type="dxa"/>
            <w:tcBorders>
              <w:top w:val="nil"/>
              <w:left w:val="nil"/>
              <w:bottom w:val="nil"/>
              <w:right w:val="nil"/>
            </w:tcBorders>
            <w:shd w:val="clear" w:color="FFFFFF" w:fill="FFFFFF"/>
            <w:vAlign w:val="bottom"/>
            <w:hideMark/>
          </w:tcPr>
          <w:p w14:paraId="634E214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used</w:t>
            </w:r>
          </w:p>
        </w:tc>
        <w:tc>
          <w:tcPr>
            <w:tcW w:w="720" w:type="dxa"/>
            <w:tcBorders>
              <w:top w:val="nil"/>
              <w:left w:val="nil"/>
              <w:bottom w:val="nil"/>
              <w:right w:val="nil"/>
            </w:tcBorders>
            <w:shd w:val="clear" w:color="FFFFFF" w:fill="FFFFFF"/>
            <w:noWrap/>
            <w:vAlign w:val="bottom"/>
            <w:hideMark/>
          </w:tcPr>
          <w:p w14:paraId="4760BFB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65A8D96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9A833A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64D2909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D00F10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282B780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6A88055"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3146B180" w14:textId="77777777" w:rsidTr="005C33EF">
        <w:trPr>
          <w:trHeight w:val="255"/>
        </w:trPr>
        <w:tc>
          <w:tcPr>
            <w:tcW w:w="4437" w:type="dxa"/>
            <w:tcBorders>
              <w:top w:val="nil"/>
              <w:left w:val="nil"/>
              <w:bottom w:val="nil"/>
              <w:right w:val="nil"/>
            </w:tcBorders>
            <w:shd w:val="clear" w:color="FFFFFF" w:fill="FFFFFF"/>
            <w:vAlign w:val="bottom"/>
            <w:hideMark/>
          </w:tcPr>
          <w:p w14:paraId="7DB2E2F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Purchase of property, plant &amp; equipment</w:t>
            </w:r>
          </w:p>
        </w:tc>
        <w:tc>
          <w:tcPr>
            <w:tcW w:w="720" w:type="dxa"/>
            <w:tcBorders>
              <w:top w:val="nil"/>
              <w:left w:val="nil"/>
              <w:bottom w:val="nil"/>
              <w:right w:val="nil"/>
            </w:tcBorders>
            <w:shd w:val="clear" w:color="FFFFFF" w:fill="FFFFFF"/>
            <w:noWrap/>
            <w:vAlign w:val="bottom"/>
            <w:hideMark/>
          </w:tcPr>
          <w:p w14:paraId="52BA68C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5452CA7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27,299</w:t>
            </w:r>
          </w:p>
        </w:tc>
        <w:tc>
          <w:tcPr>
            <w:tcW w:w="236" w:type="dxa"/>
            <w:tcBorders>
              <w:top w:val="nil"/>
              <w:left w:val="nil"/>
              <w:bottom w:val="nil"/>
              <w:right w:val="nil"/>
            </w:tcBorders>
            <w:shd w:val="clear" w:color="FFFFFF" w:fill="FFFFFF"/>
            <w:noWrap/>
            <w:vAlign w:val="bottom"/>
            <w:hideMark/>
          </w:tcPr>
          <w:p w14:paraId="072D790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689579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13,162</w:t>
            </w:r>
          </w:p>
        </w:tc>
        <w:tc>
          <w:tcPr>
            <w:tcW w:w="236" w:type="dxa"/>
            <w:tcBorders>
              <w:top w:val="nil"/>
              <w:left w:val="nil"/>
              <w:bottom w:val="nil"/>
              <w:right w:val="nil"/>
            </w:tcBorders>
            <w:shd w:val="clear" w:color="FFFFFF" w:fill="FFFFFF"/>
            <w:noWrap/>
            <w:vAlign w:val="bottom"/>
            <w:hideMark/>
          </w:tcPr>
          <w:p w14:paraId="0DF2F9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3D67F58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22,667</w:t>
            </w:r>
          </w:p>
        </w:tc>
        <w:tc>
          <w:tcPr>
            <w:tcW w:w="236" w:type="dxa"/>
            <w:tcBorders>
              <w:top w:val="nil"/>
              <w:left w:val="nil"/>
              <w:bottom w:val="nil"/>
              <w:right w:val="nil"/>
            </w:tcBorders>
            <w:shd w:val="clear" w:color="FFFFFF" w:fill="FFFFFF"/>
            <w:noWrap/>
            <w:vAlign w:val="bottom"/>
            <w:hideMark/>
          </w:tcPr>
          <w:p w14:paraId="584384B3"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3C779397" w14:textId="77777777" w:rsidTr="005C33EF">
        <w:trPr>
          <w:trHeight w:val="255"/>
        </w:trPr>
        <w:tc>
          <w:tcPr>
            <w:tcW w:w="4437" w:type="dxa"/>
            <w:tcBorders>
              <w:top w:val="nil"/>
              <w:left w:val="nil"/>
              <w:bottom w:val="nil"/>
              <w:right w:val="nil"/>
            </w:tcBorders>
            <w:shd w:val="clear" w:color="FFFFFF" w:fill="FFFFFF"/>
            <w:vAlign w:val="bottom"/>
            <w:hideMark/>
          </w:tcPr>
          <w:p w14:paraId="0014599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Purchase of financial instruments</w:t>
            </w:r>
          </w:p>
        </w:tc>
        <w:tc>
          <w:tcPr>
            <w:tcW w:w="720" w:type="dxa"/>
            <w:tcBorders>
              <w:top w:val="nil"/>
              <w:left w:val="nil"/>
              <w:bottom w:val="nil"/>
              <w:right w:val="nil"/>
            </w:tcBorders>
            <w:shd w:val="clear" w:color="FFFFFF" w:fill="FFFFFF"/>
            <w:noWrap/>
            <w:vAlign w:val="bottom"/>
            <w:hideMark/>
          </w:tcPr>
          <w:p w14:paraId="27BE94E8"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55635CF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8,360,000</w:t>
            </w:r>
          </w:p>
        </w:tc>
        <w:tc>
          <w:tcPr>
            <w:tcW w:w="236" w:type="dxa"/>
            <w:tcBorders>
              <w:top w:val="nil"/>
              <w:left w:val="nil"/>
              <w:bottom w:val="nil"/>
              <w:right w:val="nil"/>
            </w:tcBorders>
            <w:shd w:val="clear" w:color="FFFFFF" w:fill="FFFFFF"/>
            <w:noWrap/>
            <w:vAlign w:val="bottom"/>
            <w:hideMark/>
          </w:tcPr>
          <w:p w14:paraId="5FF1C77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597F183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3,540,000</w:t>
            </w:r>
          </w:p>
        </w:tc>
        <w:tc>
          <w:tcPr>
            <w:tcW w:w="236" w:type="dxa"/>
            <w:tcBorders>
              <w:top w:val="nil"/>
              <w:left w:val="nil"/>
              <w:bottom w:val="nil"/>
              <w:right w:val="nil"/>
            </w:tcBorders>
            <w:shd w:val="clear" w:color="FFFFFF" w:fill="FFFFFF"/>
            <w:noWrap/>
            <w:vAlign w:val="bottom"/>
            <w:hideMark/>
          </w:tcPr>
          <w:p w14:paraId="7BD1085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1D38DB7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2947A452"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5F4A659D" w14:textId="77777777" w:rsidTr="005C33EF">
        <w:trPr>
          <w:trHeight w:val="255"/>
        </w:trPr>
        <w:tc>
          <w:tcPr>
            <w:tcW w:w="4437" w:type="dxa"/>
            <w:tcBorders>
              <w:top w:val="nil"/>
              <w:left w:val="nil"/>
              <w:bottom w:val="nil"/>
              <w:right w:val="nil"/>
            </w:tcBorders>
            <w:shd w:val="clear" w:color="FFFFFF" w:fill="FFFFFF"/>
            <w:vAlign w:val="bottom"/>
            <w:hideMark/>
          </w:tcPr>
          <w:p w14:paraId="5265CB5D"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used</w:t>
            </w:r>
          </w:p>
        </w:tc>
        <w:tc>
          <w:tcPr>
            <w:tcW w:w="720" w:type="dxa"/>
            <w:tcBorders>
              <w:top w:val="nil"/>
              <w:left w:val="nil"/>
              <w:bottom w:val="nil"/>
              <w:right w:val="nil"/>
            </w:tcBorders>
            <w:shd w:val="clear" w:color="FFFFFF" w:fill="FFFFFF"/>
            <w:noWrap/>
            <w:vAlign w:val="bottom"/>
            <w:hideMark/>
          </w:tcPr>
          <w:p w14:paraId="2637A1E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3F49E83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8,387,299</w:t>
            </w:r>
          </w:p>
        </w:tc>
        <w:tc>
          <w:tcPr>
            <w:tcW w:w="236" w:type="dxa"/>
            <w:tcBorders>
              <w:top w:val="nil"/>
              <w:left w:val="nil"/>
              <w:bottom w:val="nil"/>
              <w:right w:val="nil"/>
            </w:tcBorders>
            <w:shd w:val="clear" w:color="FFFFFF" w:fill="FFFFFF"/>
            <w:noWrap/>
            <w:vAlign w:val="bottom"/>
            <w:hideMark/>
          </w:tcPr>
          <w:p w14:paraId="115E57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6B557B0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3,553,162</w:t>
            </w:r>
          </w:p>
        </w:tc>
        <w:tc>
          <w:tcPr>
            <w:tcW w:w="236" w:type="dxa"/>
            <w:tcBorders>
              <w:top w:val="nil"/>
              <w:left w:val="nil"/>
              <w:bottom w:val="nil"/>
              <w:right w:val="nil"/>
            </w:tcBorders>
            <w:shd w:val="clear" w:color="FFFFFF" w:fill="FFFFFF"/>
            <w:noWrap/>
            <w:vAlign w:val="bottom"/>
            <w:hideMark/>
          </w:tcPr>
          <w:p w14:paraId="495EBCA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5279049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22,667</w:t>
            </w:r>
          </w:p>
        </w:tc>
        <w:tc>
          <w:tcPr>
            <w:tcW w:w="236" w:type="dxa"/>
            <w:tcBorders>
              <w:top w:val="nil"/>
              <w:left w:val="nil"/>
              <w:bottom w:val="nil"/>
              <w:right w:val="nil"/>
            </w:tcBorders>
            <w:shd w:val="clear" w:color="FFFFFF" w:fill="FFFFFF"/>
            <w:noWrap/>
            <w:vAlign w:val="bottom"/>
            <w:hideMark/>
          </w:tcPr>
          <w:p w14:paraId="07B253ED"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vertAlign w:val="superscript"/>
                <w:lang w:eastAsia="en-US"/>
              </w:rPr>
              <w:t> </w:t>
            </w:r>
          </w:p>
        </w:tc>
      </w:tr>
      <w:tr w:rsidR="00FD06ED" w:rsidRPr="00FD06ED" w14:paraId="52A864F4" w14:textId="77777777" w:rsidTr="005C33EF">
        <w:trPr>
          <w:trHeight w:val="255"/>
        </w:trPr>
        <w:tc>
          <w:tcPr>
            <w:tcW w:w="4437" w:type="dxa"/>
            <w:tcBorders>
              <w:top w:val="nil"/>
              <w:left w:val="nil"/>
              <w:bottom w:val="nil"/>
              <w:right w:val="nil"/>
            </w:tcBorders>
            <w:shd w:val="clear" w:color="FFFFFF" w:fill="FFFFFF"/>
            <w:vAlign w:val="bottom"/>
            <w:hideMark/>
          </w:tcPr>
          <w:p w14:paraId="442932E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cash from / (used by) investing activities</w:t>
            </w:r>
          </w:p>
        </w:tc>
        <w:tc>
          <w:tcPr>
            <w:tcW w:w="720" w:type="dxa"/>
            <w:tcBorders>
              <w:top w:val="nil"/>
              <w:left w:val="nil"/>
              <w:bottom w:val="nil"/>
              <w:right w:val="nil"/>
            </w:tcBorders>
            <w:shd w:val="clear" w:color="FFFFFF" w:fill="FFFFFF"/>
            <w:noWrap/>
            <w:vAlign w:val="bottom"/>
            <w:hideMark/>
          </w:tcPr>
          <w:p w14:paraId="7B933703"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single" w:sz="4" w:space="0" w:color="auto"/>
              <w:right w:val="nil"/>
            </w:tcBorders>
            <w:shd w:val="clear" w:color="FFFFFF" w:fill="FFFFFF"/>
            <w:noWrap/>
            <w:vAlign w:val="bottom"/>
            <w:hideMark/>
          </w:tcPr>
          <w:p w14:paraId="59B25F8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(996,013)</w:t>
            </w:r>
          </w:p>
        </w:tc>
        <w:tc>
          <w:tcPr>
            <w:tcW w:w="236" w:type="dxa"/>
            <w:tcBorders>
              <w:top w:val="nil"/>
              <w:left w:val="nil"/>
              <w:bottom w:val="nil"/>
              <w:right w:val="nil"/>
            </w:tcBorders>
            <w:shd w:val="clear" w:color="FFFFFF" w:fill="FFFFFF"/>
            <w:noWrap/>
            <w:vAlign w:val="bottom"/>
            <w:hideMark/>
          </w:tcPr>
          <w:p w14:paraId="2B07BE8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single" w:sz="4" w:space="0" w:color="auto"/>
              <w:right w:val="nil"/>
            </w:tcBorders>
            <w:shd w:val="clear" w:color="FFFFFF" w:fill="FFFFFF"/>
            <w:noWrap/>
            <w:vAlign w:val="bottom"/>
            <w:hideMark/>
          </w:tcPr>
          <w:p w14:paraId="6325C80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(1,367,979)</w:t>
            </w:r>
          </w:p>
        </w:tc>
        <w:tc>
          <w:tcPr>
            <w:tcW w:w="236" w:type="dxa"/>
            <w:tcBorders>
              <w:top w:val="nil"/>
              <w:left w:val="nil"/>
              <w:bottom w:val="nil"/>
              <w:right w:val="nil"/>
            </w:tcBorders>
            <w:shd w:val="clear" w:color="FFFFFF" w:fill="FFFFFF"/>
            <w:noWrap/>
            <w:vAlign w:val="bottom"/>
            <w:hideMark/>
          </w:tcPr>
          <w:p w14:paraId="3B7816E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single" w:sz="4" w:space="0" w:color="auto"/>
              <w:right w:val="nil"/>
            </w:tcBorders>
            <w:shd w:val="clear" w:color="FFFFFF" w:fill="FFFFFF"/>
            <w:noWrap/>
            <w:vAlign w:val="bottom"/>
            <w:hideMark/>
          </w:tcPr>
          <w:p w14:paraId="09136B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22,667</w:t>
            </w:r>
          </w:p>
        </w:tc>
        <w:tc>
          <w:tcPr>
            <w:tcW w:w="236" w:type="dxa"/>
            <w:tcBorders>
              <w:top w:val="nil"/>
              <w:left w:val="nil"/>
              <w:bottom w:val="nil"/>
              <w:right w:val="nil"/>
            </w:tcBorders>
            <w:shd w:val="clear" w:color="FFFFFF" w:fill="FFFFFF"/>
            <w:noWrap/>
            <w:vAlign w:val="bottom"/>
            <w:hideMark/>
          </w:tcPr>
          <w:p w14:paraId="4915569B"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vertAlign w:val="superscript"/>
                <w:lang w:eastAsia="en-US"/>
              </w:rPr>
              <w:t> </w:t>
            </w:r>
          </w:p>
        </w:tc>
      </w:tr>
      <w:tr w:rsidR="00FD06ED" w:rsidRPr="00FD06ED" w14:paraId="3DB87C8F" w14:textId="77777777" w:rsidTr="005C33EF">
        <w:trPr>
          <w:trHeight w:val="132"/>
        </w:trPr>
        <w:tc>
          <w:tcPr>
            <w:tcW w:w="4437" w:type="dxa"/>
            <w:tcBorders>
              <w:top w:val="nil"/>
              <w:left w:val="nil"/>
              <w:bottom w:val="nil"/>
              <w:right w:val="nil"/>
            </w:tcBorders>
            <w:shd w:val="clear" w:color="FFFFFF" w:fill="FFFFFF"/>
            <w:noWrap/>
            <w:vAlign w:val="bottom"/>
            <w:hideMark/>
          </w:tcPr>
          <w:p w14:paraId="2135CD0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nil"/>
              <w:right w:val="nil"/>
            </w:tcBorders>
            <w:shd w:val="clear" w:color="FFFFFF" w:fill="FFFFFF"/>
            <w:noWrap/>
            <w:vAlign w:val="bottom"/>
            <w:hideMark/>
          </w:tcPr>
          <w:p w14:paraId="2806ED4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2CC9293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C3FD35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79B83B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41854B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5477303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7B81CD93"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6379EC7C" w14:textId="77777777" w:rsidTr="005C33EF">
        <w:trPr>
          <w:trHeight w:val="255"/>
        </w:trPr>
        <w:tc>
          <w:tcPr>
            <w:tcW w:w="4437" w:type="dxa"/>
            <w:tcBorders>
              <w:top w:val="nil"/>
              <w:left w:val="nil"/>
              <w:bottom w:val="nil"/>
              <w:right w:val="nil"/>
            </w:tcBorders>
            <w:shd w:val="clear" w:color="FFFFFF" w:fill="FFFFFF"/>
            <w:vAlign w:val="bottom"/>
            <w:hideMark/>
          </w:tcPr>
          <w:p w14:paraId="698F530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FINANCING ACTIVITIES</w:t>
            </w:r>
          </w:p>
        </w:tc>
        <w:tc>
          <w:tcPr>
            <w:tcW w:w="720" w:type="dxa"/>
            <w:tcBorders>
              <w:top w:val="nil"/>
              <w:left w:val="nil"/>
              <w:bottom w:val="nil"/>
              <w:right w:val="nil"/>
            </w:tcBorders>
            <w:shd w:val="clear" w:color="FFFFFF" w:fill="FFFFFF"/>
            <w:noWrap/>
            <w:vAlign w:val="bottom"/>
            <w:hideMark/>
          </w:tcPr>
          <w:p w14:paraId="3A717F59"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2F2F559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5F28C8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050592E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1E241F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2008D56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DF0A1C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1F3E2945" w14:textId="77777777" w:rsidTr="005C33EF">
        <w:trPr>
          <w:trHeight w:val="255"/>
        </w:trPr>
        <w:tc>
          <w:tcPr>
            <w:tcW w:w="4437" w:type="dxa"/>
            <w:tcBorders>
              <w:top w:val="nil"/>
              <w:left w:val="nil"/>
              <w:bottom w:val="nil"/>
              <w:right w:val="nil"/>
            </w:tcBorders>
            <w:shd w:val="clear" w:color="FFFFFF" w:fill="FFFFFF"/>
            <w:vAlign w:val="bottom"/>
            <w:hideMark/>
          </w:tcPr>
          <w:p w14:paraId="5772318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used</w:t>
            </w:r>
          </w:p>
        </w:tc>
        <w:tc>
          <w:tcPr>
            <w:tcW w:w="720" w:type="dxa"/>
            <w:tcBorders>
              <w:top w:val="nil"/>
              <w:left w:val="nil"/>
              <w:bottom w:val="nil"/>
              <w:right w:val="nil"/>
            </w:tcBorders>
            <w:shd w:val="clear" w:color="FFFFFF" w:fill="FFFFFF"/>
            <w:noWrap/>
            <w:vAlign w:val="bottom"/>
            <w:hideMark/>
          </w:tcPr>
          <w:p w14:paraId="52E3ECA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CF9A06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F8A4C1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579586D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1E639FD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EF7762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67CDD2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E102A76" w14:textId="77777777" w:rsidTr="005C33EF">
        <w:trPr>
          <w:trHeight w:val="255"/>
        </w:trPr>
        <w:tc>
          <w:tcPr>
            <w:tcW w:w="4437" w:type="dxa"/>
            <w:tcBorders>
              <w:top w:val="nil"/>
              <w:left w:val="nil"/>
              <w:bottom w:val="nil"/>
              <w:right w:val="nil"/>
            </w:tcBorders>
            <w:shd w:val="clear" w:color="FFFFFF" w:fill="FFFFFF"/>
            <w:vAlign w:val="bottom"/>
            <w:hideMark/>
          </w:tcPr>
          <w:p w14:paraId="2EC203B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Principal payments of lease liabilities</w:t>
            </w:r>
          </w:p>
        </w:tc>
        <w:tc>
          <w:tcPr>
            <w:tcW w:w="720" w:type="dxa"/>
            <w:tcBorders>
              <w:top w:val="nil"/>
              <w:left w:val="nil"/>
              <w:bottom w:val="nil"/>
              <w:right w:val="nil"/>
            </w:tcBorders>
            <w:shd w:val="clear" w:color="FFFFFF" w:fill="FFFFFF"/>
            <w:noWrap/>
            <w:vAlign w:val="bottom"/>
            <w:hideMark/>
          </w:tcPr>
          <w:p w14:paraId="6414B661"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09A5849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39,121</w:t>
            </w:r>
          </w:p>
        </w:tc>
        <w:tc>
          <w:tcPr>
            <w:tcW w:w="236" w:type="dxa"/>
            <w:tcBorders>
              <w:top w:val="nil"/>
              <w:left w:val="nil"/>
              <w:bottom w:val="nil"/>
              <w:right w:val="nil"/>
            </w:tcBorders>
            <w:shd w:val="clear" w:color="FFFFFF" w:fill="FFFFFF"/>
            <w:noWrap/>
            <w:vAlign w:val="bottom"/>
            <w:hideMark/>
          </w:tcPr>
          <w:p w14:paraId="2DDCC7D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09EC1A7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40,460</w:t>
            </w:r>
          </w:p>
        </w:tc>
        <w:tc>
          <w:tcPr>
            <w:tcW w:w="236" w:type="dxa"/>
            <w:tcBorders>
              <w:top w:val="nil"/>
              <w:left w:val="nil"/>
              <w:bottom w:val="nil"/>
              <w:right w:val="nil"/>
            </w:tcBorders>
            <w:shd w:val="clear" w:color="FFFFFF" w:fill="FFFFFF"/>
            <w:noWrap/>
            <w:vAlign w:val="bottom"/>
            <w:hideMark/>
          </w:tcPr>
          <w:p w14:paraId="41BF1A8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5B69465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40,255</w:t>
            </w:r>
          </w:p>
        </w:tc>
        <w:tc>
          <w:tcPr>
            <w:tcW w:w="236" w:type="dxa"/>
            <w:tcBorders>
              <w:top w:val="nil"/>
              <w:left w:val="nil"/>
              <w:bottom w:val="nil"/>
              <w:right w:val="nil"/>
            </w:tcBorders>
            <w:shd w:val="clear" w:color="FFFFFF" w:fill="FFFFFF"/>
            <w:noWrap/>
            <w:vAlign w:val="bottom"/>
            <w:hideMark/>
          </w:tcPr>
          <w:p w14:paraId="70BD6D1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24239D8" w14:textId="77777777" w:rsidTr="005C33EF">
        <w:trPr>
          <w:trHeight w:val="255"/>
        </w:trPr>
        <w:tc>
          <w:tcPr>
            <w:tcW w:w="4437" w:type="dxa"/>
            <w:tcBorders>
              <w:top w:val="nil"/>
              <w:left w:val="nil"/>
              <w:bottom w:val="nil"/>
              <w:right w:val="nil"/>
            </w:tcBorders>
            <w:shd w:val="clear" w:color="FFFFFF" w:fill="FFFFFF"/>
            <w:vAlign w:val="bottom"/>
            <w:hideMark/>
          </w:tcPr>
          <w:p w14:paraId="3D39AF6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used</w:t>
            </w:r>
          </w:p>
        </w:tc>
        <w:tc>
          <w:tcPr>
            <w:tcW w:w="720" w:type="dxa"/>
            <w:tcBorders>
              <w:top w:val="nil"/>
              <w:left w:val="nil"/>
              <w:bottom w:val="nil"/>
              <w:right w:val="nil"/>
            </w:tcBorders>
            <w:shd w:val="clear" w:color="FFFFFF" w:fill="FFFFFF"/>
            <w:noWrap/>
            <w:vAlign w:val="bottom"/>
            <w:hideMark/>
          </w:tcPr>
          <w:p w14:paraId="690C0280"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0CC8C5C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39,121</w:t>
            </w:r>
          </w:p>
        </w:tc>
        <w:tc>
          <w:tcPr>
            <w:tcW w:w="236" w:type="dxa"/>
            <w:tcBorders>
              <w:top w:val="nil"/>
              <w:left w:val="nil"/>
              <w:bottom w:val="nil"/>
              <w:right w:val="nil"/>
            </w:tcBorders>
            <w:shd w:val="clear" w:color="FFFFFF" w:fill="FFFFFF"/>
            <w:noWrap/>
            <w:vAlign w:val="bottom"/>
            <w:hideMark/>
          </w:tcPr>
          <w:p w14:paraId="0D588F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197F652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40,460</w:t>
            </w:r>
          </w:p>
        </w:tc>
        <w:tc>
          <w:tcPr>
            <w:tcW w:w="236" w:type="dxa"/>
            <w:tcBorders>
              <w:top w:val="nil"/>
              <w:left w:val="nil"/>
              <w:bottom w:val="nil"/>
              <w:right w:val="nil"/>
            </w:tcBorders>
            <w:shd w:val="clear" w:color="FFFFFF" w:fill="FFFFFF"/>
            <w:noWrap/>
            <w:vAlign w:val="bottom"/>
            <w:hideMark/>
          </w:tcPr>
          <w:p w14:paraId="475868A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25B2ABB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40,255</w:t>
            </w:r>
          </w:p>
        </w:tc>
        <w:tc>
          <w:tcPr>
            <w:tcW w:w="236" w:type="dxa"/>
            <w:tcBorders>
              <w:top w:val="nil"/>
              <w:left w:val="nil"/>
              <w:bottom w:val="nil"/>
              <w:right w:val="nil"/>
            </w:tcBorders>
            <w:shd w:val="clear" w:color="FFFFFF" w:fill="FFFFFF"/>
            <w:noWrap/>
            <w:vAlign w:val="bottom"/>
            <w:hideMark/>
          </w:tcPr>
          <w:p w14:paraId="5271C9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4D291AE" w14:textId="77777777" w:rsidTr="005C33EF">
        <w:trPr>
          <w:trHeight w:val="270"/>
        </w:trPr>
        <w:tc>
          <w:tcPr>
            <w:tcW w:w="4437" w:type="dxa"/>
            <w:tcBorders>
              <w:top w:val="nil"/>
              <w:left w:val="nil"/>
              <w:bottom w:val="nil"/>
              <w:right w:val="nil"/>
            </w:tcBorders>
            <w:shd w:val="clear" w:color="FFFFFF" w:fill="FFFFFF"/>
            <w:vAlign w:val="bottom"/>
            <w:hideMark/>
          </w:tcPr>
          <w:p w14:paraId="71B20A0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cash from / (used by) financing activities</w:t>
            </w:r>
          </w:p>
        </w:tc>
        <w:tc>
          <w:tcPr>
            <w:tcW w:w="720" w:type="dxa"/>
            <w:tcBorders>
              <w:top w:val="nil"/>
              <w:left w:val="nil"/>
              <w:bottom w:val="nil"/>
              <w:right w:val="nil"/>
            </w:tcBorders>
            <w:shd w:val="clear" w:color="FFFFFF" w:fill="FFFFFF"/>
            <w:noWrap/>
            <w:vAlign w:val="bottom"/>
            <w:hideMark/>
          </w:tcPr>
          <w:p w14:paraId="5636AFFD"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single" w:sz="4" w:space="0" w:color="auto"/>
              <w:right w:val="nil"/>
            </w:tcBorders>
            <w:shd w:val="clear" w:color="FFFFFF" w:fill="FFFFFF"/>
            <w:noWrap/>
            <w:vAlign w:val="bottom"/>
            <w:hideMark/>
          </w:tcPr>
          <w:p w14:paraId="0B0A5ED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(39,121)</w:t>
            </w:r>
          </w:p>
        </w:tc>
        <w:tc>
          <w:tcPr>
            <w:tcW w:w="236" w:type="dxa"/>
            <w:tcBorders>
              <w:top w:val="nil"/>
              <w:left w:val="nil"/>
              <w:bottom w:val="nil"/>
              <w:right w:val="nil"/>
            </w:tcBorders>
            <w:shd w:val="clear" w:color="FFFFFF" w:fill="FFFFFF"/>
            <w:noWrap/>
            <w:vAlign w:val="bottom"/>
            <w:hideMark/>
          </w:tcPr>
          <w:p w14:paraId="27E547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single" w:sz="4" w:space="0" w:color="auto"/>
              <w:right w:val="nil"/>
            </w:tcBorders>
            <w:shd w:val="clear" w:color="FFFFFF" w:fill="FFFFFF"/>
            <w:noWrap/>
            <w:vAlign w:val="bottom"/>
            <w:hideMark/>
          </w:tcPr>
          <w:p w14:paraId="21F315D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(40,460)</w:t>
            </w:r>
          </w:p>
        </w:tc>
        <w:tc>
          <w:tcPr>
            <w:tcW w:w="236" w:type="dxa"/>
            <w:tcBorders>
              <w:top w:val="nil"/>
              <w:left w:val="nil"/>
              <w:bottom w:val="nil"/>
              <w:right w:val="nil"/>
            </w:tcBorders>
            <w:shd w:val="clear" w:color="FFFFFF" w:fill="FFFFFF"/>
            <w:noWrap/>
            <w:vAlign w:val="bottom"/>
            <w:hideMark/>
          </w:tcPr>
          <w:p w14:paraId="0598C34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single" w:sz="4" w:space="0" w:color="auto"/>
              <w:right w:val="nil"/>
            </w:tcBorders>
            <w:shd w:val="clear" w:color="FFFFFF" w:fill="FFFFFF"/>
            <w:noWrap/>
            <w:vAlign w:val="bottom"/>
            <w:hideMark/>
          </w:tcPr>
          <w:p w14:paraId="50873D4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(40,255)</w:t>
            </w:r>
          </w:p>
        </w:tc>
        <w:tc>
          <w:tcPr>
            <w:tcW w:w="236" w:type="dxa"/>
            <w:tcBorders>
              <w:top w:val="nil"/>
              <w:left w:val="nil"/>
              <w:bottom w:val="nil"/>
              <w:right w:val="nil"/>
            </w:tcBorders>
            <w:shd w:val="clear" w:color="FFFFFF" w:fill="FFFFFF"/>
            <w:noWrap/>
            <w:vAlign w:val="bottom"/>
            <w:hideMark/>
          </w:tcPr>
          <w:p w14:paraId="6F477EA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vertAlign w:val="superscript"/>
                <w:lang w:eastAsia="en-US"/>
              </w:rPr>
              <w:t> </w:t>
            </w:r>
          </w:p>
        </w:tc>
      </w:tr>
      <w:tr w:rsidR="00FD06ED" w:rsidRPr="00FD06ED" w14:paraId="1D0AA84C" w14:textId="77777777" w:rsidTr="005C33EF">
        <w:trPr>
          <w:trHeight w:val="132"/>
        </w:trPr>
        <w:tc>
          <w:tcPr>
            <w:tcW w:w="4437" w:type="dxa"/>
            <w:tcBorders>
              <w:top w:val="nil"/>
              <w:left w:val="nil"/>
              <w:bottom w:val="nil"/>
              <w:right w:val="nil"/>
            </w:tcBorders>
            <w:shd w:val="clear" w:color="FFFFFF" w:fill="FFFFFF"/>
            <w:noWrap/>
            <w:vAlign w:val="bottom"/>
            <w:hideMark/>
          </w:tcPr>
          <w:p w14:paraId="3D2B7EE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720" w:type="dxa"/>
            <w:tcBorders>
              <w:top w:val="nil"/>
              <w:left w:val="nil"/>
              <w:bottom w:val="nil"/>
              <w:right w:val="nil"/>
            </w:tcBorders>
            <w:shd w:val="clear" w:color="FFFFFF" w:fill="FFFFFF"/>
            <w:noWrap/>
            <w:vAlign w:val="bottom"/>
            <w:hideMark/>
          </w:tcPr>
          <w:p w14:paraId="48B12536"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4EED5DA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32EFC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3C97C2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51682E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6BA9029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DD5C59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B96D403" w14:textId="77777777" w:rsidTr="005C33EF">
        <w:trPr>
          <w:trHeight w:val="255"/>
        </w:trPr>
        <w:tc>
          <w:tcPr>
            <w:tcW w:w="4437" w:type="dxa"/>
            <w:tcBorders>
              <w:top w:val="nil"/>
              <w:left w:val="nil"/>
              <w:bottom w:val="nil"/>
              <w:right w:val="nil"/>
            </w:tcBorders>
            <w:shd w:val="clear" w:color="FFFFFF" w:fill="FFFFFF"/>
            <w:vAlign w:val="bottom"/>
            <w:hideMark/>
          </w:tcPr>
          <w:p w14:paraId="3CE72F0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increase / (decrease) in cash held</w:t>
            </w:r>
          </w:p>
        </w:tc>
        <w:tc>
          <w:tcPr>
            <w:tcW w:w="720" w:type="dxa"/>
            <w:tcBorders>
              <w:top w:val="nil"/>
              <w:left w:val="nil"/>
              <w:bottom w:val="nil"/>
              <w:right w:val="nil"/>
            </w:tcBorders>
            <w:shd w:val="clear" w:color="FFFFFF" w:fill="FFFFFF"/>
            <w:noWrap/>
            <w:vAlign w:val="bottom"/>
            <w:hideMark/>
          </w:tcPr>
          <w:p w14:paraId="0C04A51F"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single" w:sz="4" w:space="0" w:color="auto"/>
              <w:left w:val="nil"/>
              <w:bottom w:val="single" w:sz="4" w:space="0" w:color="auto"/>
              <w:right w:val="nil"/>
            </w:tcBorders>
            <w:shd w:val="clear" w:color="FFFFFF" w:fill="FFFFFF"/>
            <w:noWrap/>
            <w:vAlign w:val="bottom"/>
            <w:hideMark/>
          </w:tcPr>
          <w:p w14:paraId="293F4DD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99,872</w:t>
            </w:r>
          </w:p>
        </w:tc>
        <w:tc>
          <w:tcPr>
            <w:tcW w:w="236" w:type="dxa"/>
            <w:tcBorders>
              <w:top w:val="nil"/>
              <w:left w:val="nil"/>
              <w:bottom w:val="nil"/>
              <w:right w:val="nil"/>
            </w:tcBorders>
            <w:shd w:val="clear" w:color="FFFFFF" w:fill="FFFFFF"/>
            <w:noWrap/>
            <w:vAlign w:val="bottom"/>
            <w:hideMark/>
          </w:tcPr>
          <w:p w14:paraId="7C9AC23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5819BB4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(678,156)</w:t>
            </w:r>
          </w:p>
        </w:tc>
        <w:tc>
          <w:tcPr>
            <w:tcW w:w="236" w:type="dxa"/>
            <w:tcBorders>
              <w:top w:val="nil"/>
              <w:left w:val="nil"/>
              <w:bottom w:val="nil"/>
              <w:right w:val="nil"/>
            </w:tcBorders>
            <w:shd w:val="clear" w:color="FFFFFF" w:fill="FFFFFF"/>
            <w:noWrap/>
            <w:vAlign w:val="bottom"/>
            <w:hideMark/>
          </w:tcPr>
          <w:p w14:paraId="6E318F7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7E58D24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(188,221)</w:t>
            </w:r>
          </w:p>
        </w:tc>
        <w:tc>
          <w:tcPr>
            <w:tcW w:w="236" w:type="dxa"/>
            <w:tcBorders>
              <w:top w:val="nil"/>
              <w:left w:val="nil"/>
              <w:bottom w:val="nil"/>
              <w:right w:val="nil"/>
            </w:tcBorders>
            <w:shd w:val="clear" w:color="FFFFFF" w:fill="FFFFFF"/>
            <w:noWrap/>
            <w:vAlign w:val="bottom"/>
            <w:hideMark/>
          </w:tcPr>
          <w:p w14:paraId="308864F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47472934" w14:textId="77777777" w:rsidTr="005C33EF">
        <w:trPr>
          <w:trHeight w:val="255"/>
        </w:trPr>
        <w:tc>
          <w:tcPr>
            <w:tcW w:w="4437" w:type="dxa"/>
            <w:tcBorders>
              <w:top w:val="nil"/>
              <w:left w:val="nil"/>
              <w:bottom w:val="nil"/>
              <w:right w:val="nil"/>
            </w:tcBorders>
            <w:shd w:val="clear" w:color="FFFFFF" w:fill="FFFFFF"/>
            <w:vAlign w:val="bottom"/>
            <w:hideMark/>
          </w:tcPr>
          <w:p w14:paraId="6450675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Cash and cash equivalents at the beginning of the</w:t>
            </w:r>
            <w:r w:rsidRPr="00FD06ED">
              <w:rPr>
                <w:rFonts w:eastAsia="Times New Roman"/>
                <w:sz w:val="18"/>
                <w:szCs w:val="18"/>
                <w:lang w:eastAsia="en-US"/>
              </w:rPr>
              <w:br/>
              <w:t xml:space="preserve">    reporting period</w:t>
            </w:r>
          </w:p>
        </w:tc>
        <w:tc>
          <w:tcPr>
            <w:tcW w:w="720" w:type="dxa"/>
            <w:tcBorders>
              <w:top w:val="nil"/>
              <w:left w:val="nil"/>
              <w:bottom w:val="nil"/>
              <w:right w:val="nil"/>
            </w:tcBorders>
            <w:shd w:val="clear" w:color="FFFFFF" w:fill="FFFFFF"/>
            <w:noWrap/>
            <w:vAlign w:val="bottom"/>
            <w:hideMark/>
          </w:tcPr>
          <w:p w14:paraId="7B99059C"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 </w:t>
            </w:r>
          </w:p>
        </w:tc>
        <w:tc>
          <w:tcPr>
            <w:tcW w:w="1103" w:type="dxa"/>
            <w:tcBorders>
              <w:top w:val="nil"/>
              <w:left w:val="nil"/>
              <w:bottom w:val="nil"/>
              <w:right w:val="nil"/>
            </w:tcBorders>
            <w:shd w:val="clear" w:color="FFFFFF" w:fill="FFFFFF"/>
            <w:noWrap/>
            <w:vAlign w:val="bottom"/>
            <w:hideMark/>
          </w:tcPr>
          <w:p w14:paraId="38793AC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1,819,084</w:t>
            </w:r>
          </w:p>
        </w:tc>
        <w:tc>
          <w:tcPr>
            <w:tcW w:w="236" w:type="dxa"/>
            <w:tcBorders>
              <w:top w:val="nil"/>
              <w:left w:val="nil"/>
              <w:bottom w:val="nil"/>
              <w:right w:val="nil"/>
            </w:tcBorders>
            <w:shd w:val="clear" w:color="FFFFFF" w:fill="FFFFFF"/>
            <w:noWrap/>
            <w:vAlign w:val="bottom"/>
            <w:hideMark/>
          </w:tcPr>
          <w:p w14:paraId="1DD140C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nil"/>
              <w:left w:val="nil"/>
              <w:bottom w:val="nil"/>
              <w:right w:val="nil"/>
            </w:tcBorders>
            <w:shd w:val="clear" w:color="FFFFFF" w:fill="FFFFFF"/>
            <w:noWrap/>
            <w:vAlign w:val="bottom"/>
            <w:hideMark/>
          </w:tcPr>
          <w:p w14:paraId="7FB00E7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2,497,240</w:t>
            </w:r>
          </w:p>
        </w:tc>
        <w:tc>
          <w:tcPr>
            <w:tcW w:w="236" w:type="dxa"/>
            <w:tcBorders>
              <w:top w:val="nil"/>
              <w:left w:val="nil"/>
              <w:bottom w:val="nil"/>
              <w:right w:val="nil"/>
            </w:tcBorders>
            <w:shd w:val="clear" w:color="FFFFFF" w:fill="FFFFFF"/>
            <w:noWrap/>
            <w:vAlign w:val="bottom"/>
            <w:hideMark/>
          </w:tcPr>
          <w:p w14:paraId="202850E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nil"/>
              <w:left w:val="nil"/>
              <w:bottom w:val="nil"/>
              <w:right w:val="nil"/>
            </w:tcBorders>
            <w:shd w:val="clear" w:color="FFFFFF" w:fill="FFFFFF"/>
            <w:noWrap/>
            <w:vAlign w:val="bottom"/>
            <w:hideMark/>
          </w:tcPr>
          <w:p w14:paraId="45B3E3F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3,261,871</w:t>
            </w:r>
          </w:p>
        </w:tc>
        <w:tc>
          <w:tcPr>
            <w:tcW w:w="236" w:type="dxa"/>
            <w:tcBorders>
              <w:top w:val="nil"/>
              <w:left w:val="nil"/>
              <w:bottom w:val="nil"/>
              <w:right w:val="nil"/>
            </w:tcBorders>
            <w:shd w:val="clear" w:color="FFFFFF" w:fill="FFFFFF"/>
            <w:noWrap/>
            <w:vAlign w:val="bottom"/>
            <w:hideMark/>
          </w:tcPr>
          <w:p w14:paraId="213D49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6512D8D7" w14:textId="77777777" w:rsidTr="005C33EF">
        <w:trPr>
          <w:trHeight w:val="255"/>
        </w:trPr>
        <w:tc>
          <w:tcPr>
            <w:tcW w:w="4437" w:type="dxa"/>
            <w:tcBorders>
              <w:top w:val="nil"/>
              <w:left w:val="nil"/>
              <w:bottom w:val="nil"/>
              <w:right w:val="nil"/>
            </w:tcBorders>
            <w:shd w:val="clear" w:color="FFFFFF" w:fill="FFFFFF"/>
            <w:vAlign w:val="bottom"/>
            <w:hideMark/>
          </w:tcPr>
          <w:p w14:paraId="1004972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Cash and cash equivalents at the end of the reporting period</w:t>
            </w:r>
          </w:p>
        </w:tc>
        <w:tc>
          <w:tcPr>
            <w:tcW w:w="720" w:type="dxa"/>
            <w:tcBorders>
              <w:top w:val="nil"/>
              <w:left w:val="nil"/>
              <w:bottom w:val="nil"/>
              <w:right w:val="nil"/>
            </w:tcBorders>
            <w:shd w:val="clear" w:color="FFFFFF" w:fill="FFFFFF"/>
            <w:noWrap/>
            <w:vAlign w:val="bottom"/>
            <w:hideMark/>
          </w:tcPr>
          <w:p w14:paraId="1B272575" w14:textId="77777777" w:rsidR="00FD06ED" w:rsidRPr="00FD06ED" w:rsidRDefault="00FD06ED" w:rsidP="00FD06ED">
            <w:pPr>
              <w:spacing w:before="0" w:after="0" w:line="260" w:lineRule="atLeast"/>
              <w:ind w:left="0"/>
              <w:jc w:val="center"/>
              <w:rPr>
                <w:rFonts w:eastAsia="Times New Roman"/>
                <w:sz w:val="18"/>
                <w:szCs w:val="18"/>
                <w:lang w:eastAsia="en-US"/>
              </w:rPr>
            </w:pPr>
            <w:r w:rsidRPr="00FD06ED">
              <w:rPr>
                <w:rFonts w:eastAsia="Times New Roman"/>
                <w:sz w:val="18"/>
                <w:szCs w:val="18"/>
                <w:lang w:eastAsia="en-US"/>
              </w:rPr>
              <w:t>2.1A</w:t>
            </w:r>
          </w:p>
        </w:tc>
        <w:tc>
          <w:tcPr>
            <w:tcW w:w="1103" w:type="dxa"/>
            <w:tcBorders>
              <w:top w:val="single" w:sz="4" w:space="0" w:color="auto"/>
              <w:left w:val="nil"/>
              <w:bottom w:val="single" w:sz="4" w:space="0" w:color="auto"/>
              <w:right w:val="nil"/>
            </w:tcBorders>
            <w:shd w:val="clear" w:color="FFFFFF" w:fill="FFFFFF"/>
            <w:noWrap/>
            <w:vAlign w:val="bottom"/>
            <w:hideMark/>
          </w:tcPr>
          <w:p w14:paraId="47D4CA2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1,918,956</w:t>
            </w:r>
          </w:p>
        </w:tc>
        <w:tc>
          <w:tcPr>
            <w:tcW w:w="236" w:type="dxa"/>
            <w:tcBorders>
              <w:top w:val="nil"/>
              <w:left w:val="nil"/>
              <w:bottom w:val="nil"/>
              <w:right w:val="nil"/>
            </w:tcBorders>
            <w:shd w:val="clear" w:color="FFFFFF" w:fill="FFFFFF"/>
            <w:noWrap/>
            <w:vAlign w:val="bottom"/>
            <w:hideMark/>
          </w:tcPr>
          <w:p w14:paraId="495B188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67" w:type="dxa"/>
            <w:tcBorders>
              <w:top w:val="single" w:sz="4" w:space="0" w:color="auto"/>
              <w:left w:val="nil"/>
              <w:bottom w:val="single" w:sz="4" w:space="0" w:color="auto"/>
              <w:right w:val="nil"/>
            </w:tcBorders>
            <w:shd w:val="clear" w:color="FFFFFF" w:fill="FFFFFF"/>
            <w:noWrap/>
            <w:vAlign w:val="bottom"/>
            <w:hideMark/>
          </w:tcPr>
          <w:p w14:paraId="46C9946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1,819,084</w:t>
            </w:r>
          </w:p>
        </w:tc>
        <w:tc>
          <w:tcPr>
            <w:tcW w:w="236" w:type="dxa"/>
            <w:tcBorders>
              <w:top w:val="nil"/>
              <w:left w:val="nil"/>
              <w:bottom w:val="nil"/>
              <w:right w:val="nil"/>
            </w:tcBorders>
            <w:shd w:val="clear" w:color="FFFFFF" w:fill="FFFFFF"/>
            <w:noWrap/>
            <w:vAlign w:val="bottom"/>
            <w:hideMark/>
          </w:tcPr>
          <w:p w14:paraId="3E4F936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052" w:type="dxa"/>
            <w:tcBorders>
              <w:top w:val="single" w:sz="4" w:space="0" w:color="auto"/>
              <w:left w:val="nil"/>
              <w:bottom w:val="single" w:sz="4" w:space="0" w:color="auto"/>
              <w:right w:val="nil"/>
            </w:tcBorders>
            <w:shd w:val="clear" w:color="FFFFFF" w:fill="FFFFFF"/>
            <w:noWrap/>
            <w:vAlign w:val="bottom"/>
            <w:hideMark/>
          </w:tcPr>
          <w:p w14:paraId="0DD5C72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3,073,650</w:t>
            </w:r>
          </w:p>
        </w:tc>
        <w:tc>
          <w:tcPr>
            <w:tcW w:w="236" w:type="dxa"/>
            <w:tcBorders>
              <w:top w:val="nil"/>
              <w:left w:val="nil"/>
              <w:bottom w:val="nil"/>
              <w:right w:val="nil"/>
            </w:tcBorders>
            <w:shd w:val="clear" w:color="FFFFFF" w:fill="FFFFFF"/>
            <w:noWrap/>
            <w:vAlign w:val="bottom"/>
            <w:hideMark/>
          </w:tcPr>
          <w:p w14:paraId="5D4617F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bl>
    <w:p w14:paraId="1F159616" w14:textId="77777777" w:rsidR="00FD06ED" w:rsidRPr="00FD06ED" w:rsidRDefault="00FD06ED" w:rsidP="00FD06ED">
      <w:pPr>
        <w:spacing w:before="0" w:after="80"/>
        <w:ind w:left="426" w:hanging="142"/>
        <w:rPr>
          <w:rFonts w:eastAsia="Times New Roman" w:cs="Times New Roman"/>
          <w:sz w:val="20"/>
          <w:szCs w:val="20"/>
          <w:lang w:eastAsia="en-AU"/>
        </w:rPr>
      </w:pPr>
      <w:bookmarkStart w:id="113" w:name="OLE_LINK1"/>
      <w:bookmarkStart w:id="114" w:name="OLE_LINK4"/>
      <w:bookmarkStart w:id="115" w:name="OLE_LINK5"/>
      <w:bookmarkStart w:id="116" w:name="OLE_LINK6"/>
    </w:p>
    <w:p w14:paraId="1A2B85A3" w14:textId="77777777" w:rsidR="00FD06ED" w:rsidRPr="00FD06ED" w:rsidRDefault="00FD06ED" w:rsidP="00FD06ED">
      <w:pPr>
        <w:spacing w:before="0" w:after="80"/>
        <w:ind w:left="426" w:hanging="142"/>
        <w:rPr>
          <w:rFonts w:eastAsia="Times New Roman" w:cs="Times New Roman"/>
          <w:sz w:val="18"/>
          <w:szCs w:val="18"/>
          <w:lang w:eastAsia="en-AU"/>
        </w:rPr>
      </w:pPr>
      <w:r w:rsidRPr="00FD06ED">
        <w:rPr>
          <w:rFonts w:eastAsia="Times New Roman" w:cs="Times New Roman"/>
          <w:sz w:val="18"/>
          <w:szCs w:val="18"/>
          <w:lang w:eastAsia="en-AU"/>
        </w:rPr>
        <w:t>The above statement should be read in conjunction with the accompanying notes.</w:t>
      </w:r>
    </w:p>
    <w:bookmarkEnd w:id="113"/>
    <w:bookmarkEnd w:id="114"/>
    <w:bookmarkEnd w:id="115"/>
    <w:bookmarkEnd w:id="116"/>
    <w:p w14:paraId="12B2882C" w14:textId="5FF606E9" w:rsidR="00FD06ED" w:rsidRPr="00FD06ED" w:rsidRDefault="00FD06ED" w:rsidP="00FD06ED">
      <w:pPr>
        <w:spacing w:before="0" w:after="80"/>
        <w:ind w:left="426" w:hanging="142"/>
        <w:rPr>
          <w:rFonts w:eastAsia="Times New Roman" w:cs="Times New Roman"/>
          <w:sz w:val="14"/>
          <w:szCs w:val="16"/>
          <w:lang w:eastAsia="en-AU"/>
        </w:rPr>
      </w:pPr>
      <w:r w:rsidRPr="00FD06ED">
        <w:rPr>
          <w:rFonts w:eastAsia="Times New Roman" w:cs="Times New Roman"/>
          <w:sz w:val="16"/>
          <w:szCs w:val="18"/>
          <w:vertAlign w:val="superscript"/>
          <w:lang w:eastAsia="en-AU"/>
        </w:rPr>
        <w:t>1</w:t>
      </w:r>
      <w:r w:rsidRPr="00FD06ED">
        <w:rPr>
          <w:rFonts w:eastAsia="Times New Roman" w:cs="Times New Roman"/>
          <w:sz w:val="14"/>
          <w:szCs w:val="16"/>
          <w:lang w:eastAsia="en-AU"/>
        </w:rPr>
        <w:t xml:space="preserve">Original Budget refers to the figures published in the Portfolio Budget Statements </w:t>
      </w:r>
      <w:r w:rsidR="00577731">
        <w:rPr>
          <w:rFonts w:eastAsia="Times New Roman" w:cs="Times New Roman"/>
          <w:sz w:val="14"/>
          <w:szCs w:val="16"/>
          <w:lang w:eastAsia="en-AU"/>
        </w:rPr>
        <w:t>2021–</w:t>
      </w:r>
      <w:proofErr w:type="gramStart"/>
      <w:r w:rsidR="00577731">
        <w:rPr>
          <w:rFonts w:eastAsia="Times New Roman" w:cs="Times New Roman"/>
          <w:sz w:val="14"/>
          <w:szCs w:val="16"/>
          <w:lang w:eastAsia="en-AU"/>
        </w:rPr>
        <w:t xml:space="preserve">22 </w:t>
      </w:r>
      <w:r w:rsidRPr="00FD06ED">
        <w:rPr>
          <w:rFonts w:eastAsia="Times New Roman" w:cs="Times New Roman"/>
          <w:sz w:val="14"/>
          <w:szCs w:val="16"/>
          <w:lang w:eastAsia="en-AU"/>
        </w:rPr>
        <w:t>.</w:t>
      </w:r>
      <w:proofErr w:type="gramEnd"/>
    </w:p>
    <w:p w14:paraId="333A46BE" w14:textId="77777777" w:rsidR="002037A7" w:rsidRDefault="002037A7" w:rsidP="00FD06ED">
      <w:pPr>
        <w:spacing w:before="0" w:line="120" w:lineRule="atLeast"/>
        <w:ind w:left="0"/>
        <w:rPr>
          <w:rFonts w:eastAsia="Times New Roman"/>
          <w:b/>
          <w:bCs/>
          <w:sz w:val="18"/>
          <w:szCs w:val="18"/>
          <w:lang w:eastAsia="en-US"/>
        </w:rPr>
      </w:pPr>
    </w:p>
    <w:p w14:paraId="23A4B629" w14:textId="77777777" w:rsidR="002037A7" w:rsidRDefault="002037A7" w:rsidP="00FD06ED">
      <w:pPr>
        <w:spacing w:before="0" w:line="120" w:lineRule="atLeast"/>
        <w:ind w:left="0"/>
        <w:rPr>
          <w:rFonts w:eastAsia="Times New Roman"/>
          <w:b/>
          <w:bCs/>
          <w:sz w:val="18"/>
          <w:szCs w:val="18"/>
          <w:lang w:eastAsia="en-US"/>
        </w:rPr>
      </w:pPr>
    </w:p>
    <w:p w14:paraId="661EBE2C" w14:textId="42070DAE"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 xml:space="preserve">Budget Variances Commentary </w:t>
      </w:r>
    </w:p>
    <w:p w14:paraId="4472950C"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Cash Flow Statement</w:t>
      </w:r>
    </w:p>
    <w:tbl>
      <w:tblPr>
        <w:tblW w:w="9119"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40"/>
        <w:gridCol w:w="6379"/>
      </w:tblGrid>
      <w:tr w:rsidR="00FD06ED" w:rsidRPr="00FD06ED" w14:paraId="473199E0" w14:textId="77777777" w:rsidTr="005C33EF">
        <w:trPr>
          <w:cantSplit/>
          <w:trHeight w:val="255"/>
          <w:tblHeader/>
        </w:trPr>
        <w:tc>
          <w:tcPr>
            <w:tcW w:w="2740" w:type="dxa"/>
            <w:shd w:val="clear" w:color="FFFFFF" w:fill="FFFFFF"/>
            <w:noWrap/>
            <w:vAlign w:val="center"/>
          </w:tcPr>
          <w:p w14:paraId="7ACCB8E2" w14:textId="77777777" w:rsidR="00FD06ED" w:rsidRPr="00FD06ED" w:rsidRDefault="00FD06ED" w:rsidP="00FD06ED">
            <w:pPr>
              <w:spacing w:before="0" w:after="0" w:line="260" w:lineRule="atLeast"/>
              <w:ind w:left="0"/>
              <w:rPr>
                <w:rFonts w:eastAsia="Times New Roman"/>
                <w:b/>
                <w:sz w:val="18"/>
                <w:szCs w:val="18"/>
                <w:lang w:eastAsia="en-US"/>
              </w:rPr>
            </w:pPr>
            <w:r w:rsidRPr="00FD06ED">
              <w:rPr>
                <w:rFonts w:eastAsia="Times New Roman"/>
                <w:b/>
                <w:sz w:val="18"/>
                <w:szCs w:val="18"/>
                <w:lang w:eastAsia="en-US"/>
              </w:rPr>
              <w:t>Affected line items</w:t>
            </w:r>
          </w:p>
        </w:tc>
        <w:tc>
          <w:tcPr>
            <w:tcW w:w="6379" w:type="dxa"/>
            <w:shd w:val="clear" w:color="FFFFFF" w:fill="FFFFFF"/>
            <w:vAlign w:val="center"/>
          </w:tcPr>
          <w:p w14:paraId="1ADDB9E7" w14:textId="77777777" w:rsidR="00FD06ED" w:rsidRPr="00FD06ED" w:rsidRDefault="00FD06ED" w:rsidP="00FD06ED">
            <w:pPr>
              <w:spacing w:before="0" w:after="0" w:line="260" w:lineRule="atLeast"/>
              <w:ind w:left="0"/>
              <w:rPr>
                <w:rFonts w:eastAsia="Times New Roman"/>
                <w:b/>
                <w:sz w:val="18"/>
                <w:szCs w:val="18"/>
                <w:lang w:eastAsia="en-US"/>
              </w:rPr>
            </w:pPr>
            <w:r w:rsidRPr="00FD06ED">
              <w:rPr>
                <w:rFonts w:eastAsia="Times New Roman"/>
                <w:b/>
                <w:sz w:val="18"/>
                <w:szCs w:val="18"/>
                <w:lang w:eastAsia="en-US"/>
              </w:rPr>
              <w:t>Explanations of major variances</w:t>
            </w:r>
          </w:p>
        </w:tc>
      </w:tr>
      <w:tr w:rsidR="00FD06ED" w:rsidRPr="00FD06ED" w14:paraId="2A69802F" w14:textId="77777777" w:rsidTr="005C33EF">
        <w:trPr>
          <w:cantSplit/>
          <w:trHeight w:val="255"/>
        </w:trPr>
        <w:tc>
          <w:tcPr>
            <w:tcW w:w="2740" w:type="dxa"/>
            <w:shd w:val="clear" w:color="FFFFFF" w:fill="FFFFFF"/>
            <w:noWrap/>
          </w:tcPr>
          <w:p w14:paraId="54E900BD"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Operating activities</w:t>
            </w:r>
          </w:p>
          <w:p w14:paraId="09CE2EC0" w14:textId="77777777" w:rsidR="00FD06ED" w:rsidRPr="00FD06ED" w:rsidRDefault="00FD06ED" w:rsidP="00FD06ED">
            <w:pPr>
              <w:spacing w:before="0" w:after="0" w:line="260" w:lineRule="atLeast"/>
              <w:ind w:left="0"/>
              <w:rPr>
                <w:rFonts w:eastAsia="Times New Roman"/>
                <w:i/>
                <w:sz w:val="18"/>
                <w:szCs w:val="18"/>
                <w:lang w:eastAsia="en-US"/>
              </w:rPr>
            </w:pPr>
            <w:r w:rsidRPr="00FD06ED">
              <w:rPr>
                <w:rFonts w:eastAsia="Times New Roman"/>
                <w:i/>
                <w:sz w:val="18"/>
                <w:szCs w:val="18"/>
                <w:lang w:eastAsia="en-US"/>
              </w:rPr>
              <w:t>Rendering of Services</w:t>
            </w:r>
          </w:p>
          <w:p w14:paraId="45E4384B" w14:textId="77777777" w:rsidR="00FD06ED" w:rsidRPr="00FD06ED" w:rsidRDefault="00FD06ED" w:rsidP="00FD06ED">
            <w:pPr>
              <w:spacing w:before="0" w:after="0" w:line="260" w:lineRule="atLeast"/>
              <w:ind w:left="0"/>
              <w:rPr>
                <w:rFonts w:eastAsia="Times New Roman"/>
                <w:bCs/>
                <w:i/>
                <w:sz w:val="18"/>
                <w:szCs w:val="18"/>
                <w:lang w:eastAsia="en-US"/>
              </w:rPr>
            </w:pPr>
          </w:p>
        </w:tc>
        <w:tc>
          <w:tcPr>
            <w:tcW w:w="6379" w:type="dxa"/>
            <w:shd w:val="clear" w:color="FFFFFF" w:fill="FFFFFF"/>
            <w:noWrap/>
          </w:tcPr>
          <w:p w14:paraId="5F506618"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The Scheme has continued to experience strong growth in participant plan expenses as more participants join the Scheme than anticipated and average package costs rise. Additional funding was provided at MYEFO of $2,737m to fund these additional expenses.</w:t>
            </w:r>
          </w:p>
        </w:tc>
      </w:tr>
      <w:tr w:rsidR="00FD06ED" w:rsidRPr="00FD06ED" w14:paraId="536B9799" w14:textId="77777777" w:rsidTr="005C33EF">
        <w:trPr>
          <w:cantSplit/>
          <w:trHeight w:val="255"/>
        </w:trPr>
        <w:tc>
          <w:tcPr>
            <w:tcW w:w="2740" w:type="dxa"/>
            <w:shd w:val="clear" w:color="FFFFFF" w:fill="FFFFFF"/>
            <w:noWrap/>
          </w:tcPr>
          <w:p w14:paraId="2C676045"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Operating activities</w:t>
            </w:r>
          </w:p>
          <w:p w14:paraId="14E4FEB3"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i/>
                <w:sz w:val="18"/>
                <w:szCs w:val="18"/>
                <w:lang w:eastAsia="en-US"/>
              </w:rPr>
              <w:t>Interest received</w:t>
            </w:r>
          </w:p>
        </w:tc>
        <w:tc>
          <w:tcPr>
            <w:tcW w:w="6379" w:type="dxa"/>
            <w:shd w:val="clear" w:color="FFFFFF" w:fill="FFFFFF"/>
            <w:noWrap/>
          </w:tcPr>
          <w:p w14:paraId="300BE561"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 xml:space="preserve">Interest revenue reflects the impact of higher interest rates than anticipated in the Budget. The Agency has actively sought to achieve higher investment returns </w:t>
            </w:r>
            <w:proofErr w:type="gramStart"/>
            <w:r w:rsidRPr="00FD06ED">
              <w:rPr>
                <w:rFonts w:eastAsia="Times New Roman"/>
                <w:color w:val="000000"/>
                <w:sz w:val="18"/>
                <w:szCs w:val="18"/>
                <w:lang w:eastAsia="en-US"/>
              </w:rPr>
              <w:t>through the use of</w:t>
            </w:r>
            <w:proofErr w:type="gramEnd"/>
            <w:r w:rsidRPr="00FD06ED">
              <w:rPr>
                <w:rFonts w:eastAsia="Times New Roman"/>
                <w:color w:val="000000"/>
                <w:sz w:val="18"/>
                <w:szCs w:val="18"/>
                <w:lang w:eastAsia="en-US"/>
              </w:rPr>
              <w:t xml:space="preserve"> longer termed deposits that capitalise on the stronger interest rates through a balanced approach considering both the liquidity and potential returns.</w:t>
            </w:r>
          </w:p>
        </w:tc>
      </w:tr>
      <w:tr w:rsidR="00FD06ED" w:rsidRPr="00FD06ED" w14:paraId="1A757986" w14:textId="77777777" w:rsidTr="005C33EF">
        <w:trPr>
          <w:cantSplit/>
          <w:trHeight w:val="255"/>
        </w:trPr>
        <w:tc>
          <w:tcPr>
            <w:tcW w:w="2740" w:type="dxa"/>
            <w:shd w:val="clear" w:color="FFFFFF" w:fill="FFFFFF"/>
            <w:noWrap/>
          </w:tcPr>
          <w:p w14:paraId="61A3AEDB"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color w:val="000000"/>
                <w:sz w:val="18"/>
                <w:szCs w:val="18"/>
                <w:lang w:eastAsia="en-US"/>
              </w:rPr>
              <w:t>Operating activities</w:t>
            </w:r>
            <w:r w:rsidRPr="00FD06ED">
              <w:rPr>
                <w:rFonts w:eastAsia="Times New Roman"/>
                <w:color w:val="000000"/>
                <w:sz w:val="18"/>
                <w:szCs w:val="18"/>
                <w:lang w:eastAsia="en-US"/>
              </w:rPr>
              <w:br/>
            </w:r>
            <w:r w:rsidRPr="00FD06ED">
              <w:rPr>
                <w:rFonts w:eastAsia="Times New Roman"/>
                <w:i/>
                <w:iCs/>
                <w:color w:val="000000"/>
                <w:sz w:val="18"/>
                <w:szCs w:val="18"/>
                <w:lang w:eastAsia="en-US"/>
              </w:rPr>
              <w:t>GST received</w:t>
            </w:r>
          </w:p>
        </w:tc>
        <w:tc>
          <w:tcPr>
            <w:tcW w:w="6379" w:type="dxa"/>
            <w:shd w:val="clear" w:color="FFFFFF" w:fill="FFFFFF"/>
            <w:noWrap/>
          </w:tcPr>
          <w:p w14:paraId="5F780570"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The higher level of GST received reflects the budget assumption of an overall lower level of activity in the Scheme.</w:t>
            </w:r>
          </w:p>
        </w:tc>
      </w:tr>
      <w:tr w:rsidR="00FD06ED" w:rsidRPr="00FD06ED" w14:paraId="30D80576" w14:textId="77777777" w:rsidTr="005C33EF">
        <w:trPr>
          <w:cantSplit/>
          <w:trHeight w:val="255"/>
        </w:trPr>
        <w:tc>
          <w:tcPr>
            <w:tcW w:w="2740" w:type="dxa"/>
            <w:shd w:val="clear" w:color="FFFFFF" w:fill="FFFFFF"/>
            <w:noWrap/>
          </w:tcPr>
          <w:p w14:paraId="27C3C95F"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color w:val="000000"/>
                <w:sz w:val="18"/>
                <w:szCs w:val="18"/>
                <w:lang w:eastAsia="en-US"/>
              </w:rPr>
              <w:t>Operating activities</w:t>
            </w:r>
            <w:r w:rsidRPr="00FD06ED">
              <w:rPr>
                <w:rFonts w:eastAsia="Times New Roman"/>
                <w:color w:val="000000"/>
                <w:sz w:val="18"/>
                <w:szCs w:val="18"/>
                <w:lang w:eastAsia="en-US"/>
              </w:rPr>
              <w:br/>
            </w:r>
            <w:r w:rsidRPr="00FD06ED">
              <w:rPr>
                <w:rFonts w:eastAsia="Times New Roman"/>
                <w:i/>
                <w:iCs/>
                <w:color w:val="000000"/>
                <w:sz w:val="18"/>
                <w:szCs w:val="18"/>
                <w:lang w:eastAsia="en-US"/>
              </w:rPr>
              <w:t>Other</w:t>
            </w:r>
          </w:p>
        </w:tc>
        <w:tc>
          <w:tcPr>
            <w:tcW w:w="6379" w:type="dxa"/>
            <w:shd w:val="clear" w:color="FFFFFF" w:fill="FFFFFF"/>
            <w:noWrap/>
          </w:tcPr>
          <w:p w14:paraId="1D110420"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Primarily reflects compensation receipts which are reimbursements from participants where funded supports are also covered by compensation payments received by the participants. Compensation receipts were not included in the Budget estimates.</w:t>
            </w:r>
          </w:p>
        </w:tc>
      </w:tr>
      <w:tr w:rsidR="00FD06ED" w:rsidRPr="00FD06ED" w14:paraId="3EC80CC9" w14:textId="77777777" w:rsidTr="005C33EF">
        <w:trPr>
          <w:cantSplit/>
          <w:trHeight w:val="255"/>
        </w:trPr>
        <w:tc>
          <w:tcPr>
            <w:tcW w:w="2740" w:type="dxa"/>
            <w:shd w:val="clear" w:color="FFFFFF" w:fill="FFFFFF"/>
            <w:noWrap/>
          </w:tcPr>
          <w:p w14:paraId="6A563E6E" w14:textId="77777777" w:rsidR="00FD06ED" w:rsidRPr="00FD06ED" w:rsidRDefault="00FD06ED" w:rsidP="00FD06ED">
            <w:pPr>
              <w:spacing w:before="0" w:after="0" w:line="260" w:lineRule="atLeast"/>
              <w:ind w:left="0"/>
              <w:rPr>
                <w:rFonts w:eastAsia="Times New Roman"/>
                <w:bCs/>
                <w:i/>
                <w:sz w:val="18"/>
                <w:szCs w:val="18"/>
                <w:lang w:eastAsia="en-US"/>
              </w:rPr>
            </w:pPr>
            <w:r w:rsidRPr="00FD06ED">
              <w:rPr>
                <w:rFonts w:eastAsia="Times New Roman"/>
                <w:color w:val="000000"/>
                <w:sz w:val="18"/>
                <w:szCs w:val="18"/>
                <w:lang w:eastAsia="en-US"/>
              </w:rPr>
              <w:t>Operating Activities</w:t>
            </w:r>
            <w:r w:rsidRPr="00FD06ED">
              <w:rPr>
                <w:rFonts w:eastAsia="Times New Roman"/>
                <w:color w:val="000000"/>
                <w:sz w:val="18"/>
                <w:szCs w:val="18"/>
                <w:lang w:eastAsia="en-US"/>
              </w:rPr>
              <w:br/>
              <w:t>Interest payments on lease liabilities</w:t>
            </w:r>
          </w:p>
        </w:tc>
        <w:tc>
          <w:tcPr>
            <w:tcW w:w="6379" w:type="dxa"/>
            <w:shd w:val="clear" w:color="FFFFFF" w:fill="FFFFFF"/>
            <w:noWrap/>
          </w:tcPr>
          <w:p w14:paraId="09A5F581" w14:textId="77777777" w:rsidR="00FD06ED" w:rsidRPr="00FD06ED" w:rsidRDefault="00FD06ED" w:rsidP="00FD06ED">
            <w:pPr>
              <w:spacing w:before="0" w:after="0" w:line="288" w:lineRule="auto"/>
              <w:ind w:left="0"/>
              <w:jc w:val="both"/>
              <w:rPr>
                <w:rFonts w:eastAsia="Times New Roman"/>
                <w:sz w:val="18"/>
                <w:szCs w:val="18"/>
                <w:highlight w:val="yellow"/>
                <w:lang w:eastAsia="en-US"/>
              </w:rPr>
            </w:pPr>
            <w:r w:rsidRPr="00FD06ED">
              <w:rPr>
                <w:rFonts w:eastAsia="Times New Roman"/>
                <w:color w:val="000000"/>
                <w:sz w:val="18"/>
                <w:szCs w:val="18"/>
                <w:lang w:eastAsia="en-US"/>
              </w:rPr>
              <w:t>Interest payments have decreased due to higher reductions in the numbers of building and fleet leases than anticipated in the Budget.</w:t>
            </w:r>
          </w:p>
        </w:tc>
      </w:tr>
      <w:tr w:rsidR="00FD06ED" w:rsidRPr="00FD06ED" w14:paraId="35CCCBA1" w14:textId="77777777" w:rsidTr="005C33EF">
        <w:trPr>
          <w:cantSplit/>
          <w:trHeight w:val="255"/>
        </w:trPr>
        <w:tc>
          <w:tcPr>
            <w:tcW w:w="2740" w:type="dxa"/>
            <w:shd w:val="clear" w:color="FFFFFF" w:fill="FFFFFF"/>
            <w:noWrap/>
          </w:tcPr>
          <w:p w14:paraId="1B9F5A55" w14:textId="77777777" w:rsidR="00FD06ED" w:rsidRPr="00FD06ED" w:rsidRDefault="00FD06ED" w:rsidP="00FD06ED">
            <w:pPr>
              <w:spacing w:before="0" w:after="0" w:line="260" w:lineRule="atLeast"/>
              <w:ind w:left="0"/>
              <w:rPr>
                <w:rFonts w:eastAsia="Times New Roman"/>
                <w:bCs/>
                <w:i/>
                <w:sz w:val="18"/>
                <w:szCs w:val="18"/>
                <w:lang w:eastAsia="en-US"/>
              </w:rPr>
            </w:pPr>
            <w:r w:rsidRPr="00FD06ED">
              <w:rPr>
                <w:rFonts w:eastAsia="Times New Roman"/>
                <w:color w:val="000000"/>
                <w:sz w:val="18"/>
                <w:szCs w:val="18"/>
                <w:lang w:eastAsia="en-US"/>
              </w:rPr>
              <w:t>Operating activities</w:t>
            </w:r>
            <w:r w:rsidRPr="00FD06ED">
              <w:rPr>
                <w:rFonts w:eastAsia="Times New Roman"/>
                <w:color w:val="000000"/>
                <w:sz w:val="18"/>
                <w:szCs w:val="18"/>
                <w:lang w:eastAsia="en-US"/>
              </w:rPr>
              <w:br/>
            </w:r>
            <w:r w:rsidRPr="00FD06ED">
              <w:rPr>
                <w:rFonts w:eastAsia="Times New Roman"/>
                <w:i/>
                <w:iCs/>
                <w:color w:val="000000"/>
                <w:sz w:val="18"/>
                <w:szCs w:val="18"/>
                <w:lang w:eastAsia="en-US"/>
              </w:rPr>
              <w:t>Grant payments</w:t>
            </w:r>
          </w:p>
        </w:tc>
        <w:tc>
          <w:tcPr>
            <w:tcW w:w="6379" w:type="dxa"/>
            <w:shd w:val="clear" w:color="FFFFFF" w:fill="FFFFFF"/>
            <w:noWrap/>
          </w:tcPr>
          <w:p w14:paraId="4B592427" w14:textId="0B07243C"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s="Times New Roman"/>
                <w:sz w:val="18"/>
                <w:szCs w:val="20"/>
                <w:lang w:eastAsia="en-US"/>
              </w:rPr>
              <w:t xml:space="preserve">The responsibility for the Information, Linkages and </w:t>
            </w:r>
            <w:r w:rsidR="00632EA6">
              <w:rPr>
                <w:rFonts w:eastAsia="Times New Roman" w:cs="Times New Roman"/>
                <w:sz w:val="18"/>
                <w:szCs w:val="20"/>
                <w:lang w:eastAsia="en-US"/>
              </w:rPr>
              <w:t>Capacity-building</w:t>
            </w:r>
            <w:r w:rsidRPr="00FD06ED">
              <w:rPr>
                <w:rFonts w:eastAsia="Times New Roman" w:cs="Times New Roman"/>
                <w:sz w:val="18"/>
                <w:szCs w:val="20"/>
                <w:lang w:eastAsia="en-US"/>
              </w:rPr>
              <w:t xml:space="preserve"> Program was transferred from the Agency to the Department of Social Services effective 31 January 2021 and therefore the budget for grant payments was nil. The Agency introduced Home and Living grants program to support the demonstration project initiative during the </w:t>
            </w:r>
            <w:r w:rsidR="00577731">
              <w:rPr>
                <w:rFonts w:eastAsia="Times New Roman" w:cs="Times New Roman"/>
                <w:sz w:val="18"/>
                <w:szCs w:val="20"/>
                <w:lang w:eastAsia="en-US"/>
              </w:rPr>
              <w:t>2021–</w:t>
            </w:r>
            <w:proofErr w:type="gramStart"/>
            <w:r w:rsidR="00577731">
              <w:rPr>
                <w:rFonts w:eastAsia="Times New Roman" w:cs="Times New Roman"/>
                <w:sz w:val="18"/>
                <w:szCs w:val="20"/>
                <w:lang w:eastAsia="en-US"/>
              </w:rPr>
              <w:t xml:space="preserve">22 </w:t>
            </w:r>
            <w:r w:rsidRPr="00FD06ED">
              <w:rPr>
                <w:rFonts w:eastAsia="Times New Roman" w:cs="Times New Roman"/>
                <w:sz w:val="18"/>
                <w:szCs w:val="20"/>
                <w:lang w:eastAsia="en-US"/>
              </w:rPr>
              <w:t xml:space="preserve"> financial</w:t>
            </w:r>
            <w:proofErr w:type="gramEnd"/>
            <w:r w:rsidRPr="00FD06ED">
              <w:rPr>
                <w:rFonts w:eastAsia="Times New Roman" w:cs="Times New Roman"/>
                <w:sz w:val="18"/>
                <w:szCs w:val="20"/>
                <w:lang w:eastAsia="en-US"/>
              </w:rPr>
              <w:t xml:space="preserve"> year which was not anticipated at the time of the Budget.</w:t>
            </w:r>
          </w:p>
        </w:tc>
      </w:tr>
      <w:tr w:rsidR="00FD06ED" w:rsidRPr="00FD06ED" w14:paraId="20E028D9" w14:textId="77777777" w:rsidTr="005C33EF">
        <w:trPr>
          <w:cantSplit/>
          <w:trHeight w:val="255"/>
        </w:trPr>
        <w:tc>
          <w:tcPr>
            <w:tcW w:w="2740" w:type="dxa"/>
            <w:shd w:val="clear" w:color="FFFFFF" w:fill="FFFFFF"/>
            <w:noWrap/>
          </w:tcPr>
          <w:p w14:paraId="0CACA2B4"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color w:val="000000"/>
                <w:sz w:val="18"/>
                <w:szCs w:val="18"/>
                <w:lang w:eastAsia="en-US"/>
              </w:rPr>
              <w:t>Investing Activities</w:t>
            </w:r>
            <w:r w:rsidRPr="00FD06ED">
              <w:rPr>
                <w:rFonts w:eastAsia="Times New Roman"/>
                <w:color w:val="000000"/>
                <w:sz w:val="18"/>
                <w:szCs w:val="18"/>
                <w:lang w:eastAsia="en-US"/>
              </w:rPr>
              <w:br/>
            </w:r>
            <w:r w:rsidRPr="00FD06ED">
              <w:rPr>
                <w:rFonts w:eastAsia="Times New Roman"/>
                <w:i/>
                <w:iCs/>
                <w:color w:val="000000"/>
                <w:sz w:val="18"/>
                <w:szCs w:val="18"/>
                <w:lang w:eastAsia="en-US"/>
              </w:rPr>
              <w:t xml:space="preserve">Proceeds from sales of property, </w:t>
            </w:r>
            <w:proofErr w:type="gramStart"/>
            <w:r w:rsidRPr="00FD06ED">
              <w:rPr>
                <w:rFonts w:eastAsia="Times New Roman"/>
                <w:i/>
                <w:iCs/>
                <w:color w:val="000000"/>
                <w:sz w:val="18"/>
                <w:szCs w:val="18"/>
                <w:lang w:eastAsia="en-US"/>
              </w:rPr>
              <w:t>plant</w:t>
            </w:r>
            <w:proofErr w:type="gramEnd"/>
            <w:r w:rsidRPr="00FD06ED">
              <w:rPr>
                <w:rFonts w:eastAsia="Times New Roman"/>
                <w:i/>
                <w:iCs/>
                <w:color w:val="000000"/>
                <w:sz w:val="18"/>
                <w:szCs w:val="18"/>
                <w:lang w:eastAsia="en-US"/>
              </w:rPr>
              <w:t xml:space="preserve"> and equipment</w:t>
            </w:r>
          </w:p>
        </w:tc>
        <w:tc>
          <w:tcPr>
            <w:tcW w:w="6379" w:type="dxa"/>
            <w:shd w:val="clear" w:color="FFFFFF" w:fill="FFFFFF"/>
            <w:noWrap/>
          </w:tcPr>
          <w:p w14:paraId="55EA843E"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Proceeds from sales of property, plant and equipment relate primarily to the disposal of fleet assets. This disposal activity was not included in the Budget.</w:t>
            </w:r>
          </w:p>
        </w:tc>
      </w:tr>
      <w:tr w:rsidR="00FD06ED" w:rsidRPr="00FD06ED" w14:paraId="53D24A06" w14:textId="77777777" w:rsidTr="005C33EF">
        <w:trPr>
          <w:cantSplit/>
          <w:trHeight w:val="890"/>
        </w:trPr>
        <w:tc>
          <w:tcPr>
            <w:tcW w:w="2740" w:type="dxa"/>
            <w:shd w:val="clear" w:color="FFFFFF" w:fill="FFFFFF"/>
            <w:noWrap/>
          </w:tcPr>
          <w:p w14:paraId="528BDD01" w14:textId="77777777" w:rsidR="00FD06ED" w:rsidRPr="00FD06ED" w:rsidRDefault="00FD06ED" w:rsidP="00FD06ED">
            <w:pPr>
              <w:spacing w:before="0" w:after="0" w:line="260" w:lineRule="atLeast"/>
              <w:ind w:left="0"/>
              <w:rPr>
                <w:rFonts w:eastAsia="Times New Roman"/>
                <w:bCs/>
                <w:i/>
                <w:sz w:val="18"/>
                <w:szCs w:val="18"/>
                <w:lang w:eastAsia="en-US"/>
              </w:rPr>
            </w:pPr>
            <w:r w:rsidRPr="00FD06ED">
              <w:rPr>
                <w:rFonts w:eastAsia="Times New Roman"/>
                <w:color w:val="000000"/>
                <w:sz w:val="18"/>
                <w:szCs w:val="18"/>
                <w:lang w:eastAsia="en-US"/>
              </w:rPr>
              <w:t>Investing activities</w:t>
            </w:r>
            <w:r w:rsidRPr="00FD06ED">
              <w:rPr>
                <w:rFonts w:eastAsia="Times New Roman"/>
                <w:i/>
                <w:iCs/>
                <w:color w:val="000000"/>
                <w:sz w:val="18"/>
                <w:szCs w:val="18"/>
                <w:lang w:eastAsia="en-US"/>
              </w:rPr>
              <w:br/>
              <w:t>Purchase of Property, Plant and Equipment</w:t>
            </w:r>
          </w:p>
        </w:tc>
        <w:tc>
          <w:tcPr>
            <w:tcW w:w="6379" w:type="dxa"/>
            <w:shd w:val="clear" w:color="FFFFFF" w:fill="FFFFFF"/>
            <w:noWrap/>
          </w:tcPr>
          <w:p w14:paraId="5AAA56D7" w14:textId="77777777"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 xml:space="preserve">The Budget assumed a greater value of desktop computing acquisitions than </w:t>
            </w:r>
            <w:proofErr w:type="gramStart"/>
            <w:r w:rsidRPr="00FD06ED">
              <w:rPr>
                <w:rFonts w:eastAsia="Times New Roman"/>
                <w:color w:val="000000"/>
                <w:sz w:val="18"/>
                <w:szCs w:val="18"/>
                <w:lang w:eastAsia="en-US"/>
              </w:rPr>
              <w:t>actually occurred</w:t>
            </w:r>
            <w:proofErr w:type="gramEnd"/>
            <w:r w:rsidRPr="00FD06ED">
              <w:rPr>
                <w:rFonts w:eastAsia="Times New Roman"/>
                <w:color w:val="000000"/>
                <w:sz w:val="18"/>
                <w:szCs w:val="18"/>
                <w:lang w:eastAsia="en-US"/>
              </w:rPr>
              <w:t>. This reduction was offset by a greater than budgeted value of leasehold improvement expenditure predominately associated with the Parramatta (NSW) and Richmond (VIC) office developments.</w:t>
            </w:r>
          </w:p>
        </w:tc>
      </w:tr>
      <w:tr w:rsidR="00FD06ED" w:rsidRPr="00FD06ED" w14:paraId="7FA71B4E" w14:textId="77777777" w:rsidTr="005C33EF">
        <w:trPr>
          <w:cantSplit/>
          <w:trHeight w:val="255"/>
        </w:trPr>
        <w:tc>
          <w:tcPr>
            <w:tcW w:w="2740" w:type="dxa"/>
            <w:shd w:val="clear" w:color="FFFFFF" w:fill="FFFFFF"/>
            <w:noWrap/>
          </w:tcPr>
          <w:p w14:paraId="456EB2CD" w14:textId="77777777" w:rsidR="00FD06ED" w:rsidRPr="00FD06ED" w:rsidRDefault="00FD06ED" w:rsidP="00FD06ED">
            <w:pPr>
              <w:spacing w:before="0" w:after="0" w:line="260" w:lineRule="atLeast"/>
              <w:ind w:left="0"/>
              <w:rPr>
                <w:rFonts w:eastAsia="Times New Roman"/>
                <w:bCs/>
                <w:i/>
                <w:sz w:val="18"/>
                <w:szCs w:val="18"/>
                <w:lang w:eastAsia="en-US"/>
              </w:rPr>
            </w:pPr>
            <w:r w:rsidRPr="00FD06ED">
              <w:rPr>
                <w:rFonts w:eastAsia="Times New Roman"/>
                <w:color w:val="000000"/>
                <w:sz w:val="18"/>
                <w:szCs w:val="18"/>
                <w:lang w:eastAsia="en-US"/>
              </w:rPr>
              <w:t>Investing activities</w:t>
            </w:r>
            <w:r w:rsidRPr="00FD06ED">
              <w:rPr>
                <w:rFonts w:eastAsia="Times New Roman"/>
                <w:color w:val="000000"/>
                <w:sz w:val="18"/>
                <w:szCs w:val="18"/>
                <w:lang w:eastAsia="en-US"/>
              </w:rPr>
              <w:br/>
            </w:r>
            <w:r w:rsidRPr="00FD06ED">
              <w:rPr>
                <w:rFonts w:eastAsia="Times New Roman"/>
                <w:i/>
                <w:iCs/>
                <w:color w:val="000000"/>
                <w:sz w:val="18"/>
                <w:szCs w:val="18"/>
                <w:lang w:eastAsia="en-US"/>
              </w:rPr>
              <w:t>Proceeds from sale of financial instruments, Purchase of financial instruments</w:t>
            </w:r>
          </w:p>
        </w:tc>
        <w:tc>
          <w:tcPr>
            <w:tcW w:w="6379" w:type="dxa"/>
            <w:shd w:val="clear" w:color="FFFFFF" w:fill="FFFFFF"/>
            <w:noWrap/>
          </w:tcPr>
          <w:p w14:paraId="42CE4E85" w14:textId="2C05C6C6" w:rsidR="00FD06ED" w:rsidRPr="00FD06ED" w:rsidRDefault="00FD06ED" w:rsidP="00FD06ED">
            <w:pPr>
              <w:spacing w:before="0" w:after="0" w:line="260" w:lineRule="atLeast"/>
              <w:ind w:left="0"/>
              <w:jc w:val="both"/>
              <w:rPr>
                <w:rFonts w:eastAsia="Times New Roman"/>
                <w:sz w:val="18"/>
                <w:szCs w:val="18"/>
                <w:highlight w:val="yellow"/>
                <w:lang w:eastAsia="en-US"/>
              </w:rPr>
            </w:pPr>
            <w:r w:rsidRPr="00FD06ED">
              <w:rPr>
                <w:rFonts w:eastAsia="Times New Roman"/>
                <w:color w:val="000000"/>
                <w:sz w:val="18"/>
                <w:szCs w:val="18"/>
                <w:lang w:eastAsia="en-US"/>
              </w:rPr>
              <w:t xml:space="preserve">The Agency did not budget for investment in term deposits because of the low interest rate environment.  During </w:t>
            </w:r>
            <w:r w:rsidR="00577731">
              <w:rPr>
                <w:rFonts w:eastAsia="Times New Roman"/>
                <w:color w:val="000000"/>
                <w:sz w:val="18"/>
                <w:szCs w:val="18"/>
                <w:lang w:eastAsia="en-US"/>
              </w:rPr>
              <w:t>2021–</w:t>
            </w:r>
            <w:proofErr w:type="gramStart"/>
            <w:r w:rsidR="00577731">
              <w:rPr>
                <w:rFonts w:eastAsia="Times New Roman"/>
                <w:color w:val="000000"/>
                <w:sz w:val="18"/>
                <w:szCs w:val="18"/>
                <w:lang w:eastAsia="en-US"/>
              </w:rPr>
              <w:t xml:space="preserve">22 </w:t>
            </w:r>
            <w:r w:rsidRPr="00FD06ED">
              <w:rPr>
                <w:rFonts w:eastAsia="Times New Roman"/>
                <w:color w:val="000000"/>
                <w:sz w:val="18"/>
                <w:szCs w:val="18"/>
                <w:lang w:eastAsia="en-US"/>
              </w:rPr>
              <w:t>,</w:t>
            </w:r>
            <w:proofErr w:type="gramEnd"/>
            <w:r w:rsidRPr="00FD06ED">
              <w:rPr>
                <w:rFonts w:eastAsia="Times New Roman"/>
                <w:color w:val="000000"/>
                <w:sz w:val="18"/>
                <w:szCs w:val="18"/>
                <w:lang w:eastAsia="en-US"/>
              </w:rPr>
              <w:t xml:space="preserve"> the Agency has actively sought to achieve higher investment gains through the use of longer term deposits which is reflected in the value of the </w:t>
            </w:r>
            <w:r w:rsidRPr="00FD06ED">
              <w:rPr>
                <w:rFonts w:eastAsia="Times New Roman"/>
                <w:i/>
                <w:iCs/>
                <w:color w:val="000000"/>
                <w:sz w:val="18"/>
                <w:szCs w:val="18"/>
                <w:lang w:eastAsia="en-US"/>
              </w:rPr>
              <w:t>Purchase of financial instruments</w:t>
            </w:r>
            <w:r w:rsidRPr="00FD06ED">
              <w:rPr>
                <w:rFonts w:eastAsia="Times New Roman"/>
                <w:color w:val="000000"/>
                <w:sz w:val="18"/>
                <w:szCs w:val="18"/>
                <w:lang w:eastAsia="en-US"/>
              </w:rPr>
              <w:t>.</w:t>
            </w:r>
          </w:p>
        </w:tc>
      </w:tr>
    </w:tbl>
    <w:p w14:paraId="48CF7B1E" w14:textId="77777777" w:rsidR="00FD06ED" w:rsidRPr="00FD06ED" w:rsidRDefault="00FD06ED" w:rsidP="00FD06ED">
      <w:pPr>
        <w:spacing w:before="0" w:after="0" w:line="260" w:lineRule="atLeast"/>
        <w:ind w:left="0"/>
        <w:rPr>
          <w:rFonts w:eastAsia="Calibri"/>
          <w:sz w:val="18"/>
          <w:szCs w:val="18"/>
          <w:lang w:eastAsia="en-US"/>
        </w:rPr>
        <w:sectPr w:rsidR="00FD06ED" w:rsidRPr="00FD06ED" w:rsidSect="00BE00CF">
          <w:headerReference w:type="even" r:id="rId66"/>
          <w:headerReference w:type="default" r:id="rId67"/>
          <w:headerReference w:type="first" r:id="rId68"/>
          <w:pgSz w:w="11906" w:h="16838" w:code="9"/>
          <w:pgMar w:top="1134" w:right="1700" w:bottom="1134" w:left="1134" w:header="958" w:footer="737" w:gutter="0"/>
          <w:cols w:space="708"/>
          <w:docGrid w:linePitch="360"/>
        </w:sectPr>
      </w:pPr>
    </w:p>
    <w:p w14:paraId="6AA68B38" w14:textId="77777777" w:rsidR="00A53D7D" w:rsidRPr="00293489" w:rsidRDefault="00A53D7D" w:rsidP="00FD06ED">
      <w:pPr>
        <w:tabs>
          <w:tab w:val="left" w:pos="9214"/>
        </w:tabs>
        <w:spacing w:after="220" w:line="260" w:lineRule="atLeast"/>
        <w:ind w:left="0"/>
        <w:rPr>
          <w:rFonts w:eastAsia="Times New Roman"/>
          <w:b/>
          <w:bCs/>
          <w:noProof/>
          <w:sz w:val="24"/>
          <w:szCs w:val="24"/>
          <w:lang w:eastAsia="en-US"/>
        </w:rPr>
      </w:pPr>
      <w:r w:rsidRPr="00293489">
        <w:rPr>
          <w:rFonts w:eastAsia="Times New Roman"/>
          <w:b/>
          <w:bCs/>
          <w:noProof/>
          <w:sz w:val="24"/>
          <w:szCs w:val="24"/>
          <w:lang w:eastAsia="en-US"/>
        </w:rPr>
        <w:lastRenderedPageBreak/>
        <w:t>Financial Statements</w:t>
      </w:r>
    </w:p>
    <w:p w14:paraId="1AF68C6D" w14:textId="072B5041" w:rsidR="00F2420C" w:rsidRDefault="00FD06ED" w:rsidP="00850BDB">
      <w:pPr>
        <w:tabs>
          <w:tab w:val="left" w:pos="9214"/>
        </w:tabs>
        <w:spacing w:after="220" w:line="260" w:lineRule="atLeast"/>
        <w:ind w:left="0"/>
        <w:rPr>
          <w:rFonts w:asciiTheme="minorHAnsi" w:hAnsiTheme="minorHAnsi" w:cstheme="minorBidi"/>
          <w:noProof/>
          <w:szCs w:val="28"/>
          <w:lang w:eastAsia="zh-CN" w:bidi="th-TH"/>
        </w:rPr>
      </w:pPr>
      <w:r w:rsidRPr="00293489">
        <w:rPr>
          <w:rFonts w:eastAsia="Times New Roman"/>
          <w:b/>
          <w:bCs/>
          <w:noProof/>
          <w:sz w:val="24"/>
          <w:szCs w:val="24"/>
          <w:lang w:eastAsia="en-US"/>
        </w:rPr>
        <w:t>Table of Contents</w:t>
      </w:r>
      <w:r w:rsidRPr="00FD06ED">
        <w:rPr>
          <w:noProof/>
          <w:lang w:eastAsia="en-US"/>
        </w:rPr>
        <w:fldChar w:fldCharType="begin"/>
      </w:r>
      <w:r w:rsidRPr="00FD06ED">
        <w:rPr>
          <w:noProof/>
          <w:lang w:eastAsia="en-US"/>
        </w:rPr>
        <w:instrText xml:space="preserve"> TOC \o "1-3" \h \z \u </w:instrText>
      </w:r>
      <w:r w:rsidRPr="00FD06ED">
        <w:rPr>
          <w:noProof/>
          <w:lang w:eastAsia="en-US"/>
        </w:rPr>
        <w:fldChar w:fldCharType="separate"/>
      </w:r>
    </w:p>
    <w:p w14:paraId="7F75EDE9" w14:textId="4B7D1C8E" w:rsidR="00F2420C" w:rsidRPr="00FF3436" w:rsidRDefault="00000000" w:rsidP="006E1D91">
      <w:pPr>
        <w:pStyle w:val="TOC1"/>
        <w:rPr>
          <w:rFonts w:asciiTheme="minorHAnsi" w:hAnsiTheme="minorHAnsi" w:cstheme="minorBidi"/>
          <w:noProof/>
          <w:szCs w:val="28"/>
          <w:lang w:eastAsia="zh-CN" w:bidi="th-TH"/>
        </w:rPr>
      </w:pPr>
      <w:hyperlink w:anchor="_Toc114477505" w:history="1">
        <w:r w:rsidR="00F2420C" w:rsidRPr="00FF3436">
          <w:rPr>
            <w:rStyle w:val="Hyperlink"/>
            <w:rFonts w:ascii="Arial Bold" w:eastAsia="Times New Roman" w:hAnsi="Arial Bold" w:cs="Times New Roman"/>
            <w:b w:val="0"/>
            <w:bCs/>
            <w:noProof/>
            <w:lang w:eastAsia="en-US"/>
          </w:rPr>
          <w:t>Overview</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_Toc114477505 \h </w:instrText>
        </w:r>
        <w:r w:rsidR="00F2420C" w:rsidRPr="00FF3436">
          <w:rPr>
            <w:noProof/>
            <w:webHidden/>
          </w:rPr>
        </w:r>
        <w:r w:rsidR="00F2420C" w:rsidRPr="00FF3436">
          <w:rPr>
            <w:noProof/>
            <w:webHidden/>
          </w:rPr>
          <w:fldChar w:fldCharType="separate"/>
        </w:r>
        <w:r w:rsidR="00293489">
          <w:rPr>
            <w:noProof/>
            <w:webHidden/>
          </w:rPr>
          <w:t>61</w:t>
        </w:r>
        <w:r w:rsidR="00F2420C" w:rsidRPr="00FF3436">
          <w:rPr>
            <w:noProof/>
            <w:webHidden/>
          </w:rPr>
          <w:fldChar w:fldCharType="end"/>
        </w:r>
      </w:hyperlink>
    </w:p>
    <w:p w14:paraId="6A350C50" w14:textId="67E15891" w:rsidR="00F2420C" w:rsidRPr="00FF3436" w:rsidRDefault="00000000" w:rsidP="006E1D91">
      <w:pPr>
        <w:pStyle w:val="TOC1"/>
        <w:rPr>
          <w:rFonts w:asciiTheme="minorHAnsi" w:hAnsiTheme="minorHAnsi" w:cstheme="minorBidi"/>
          <w:noProof/>
          <w:szCs w:val="28"/>
          <w:lang w:eastAsia="zh-CN" w:bidi="th-TH"/>
        </w:rPr>
      </w:pPr>
      <w:hyperlink w:anchor="_Toc114477506" w:history="1">
        <w:r w:rsidR="00F2420C" w:rsidRPr="00FF3436">
          <w:rPr>
            <w:rStyle w:val="Hyperlink"/>
            <w:rFonts w:ascii="Arial Bold" w:eastAsia="Times New Roman" w:hAnsi="Arial Bold" w:cs="Times New Roman"/>
            <w:b w:val="0"/>
            <w:bCs/>
            <w:noProof/>
            <w:lang w:eastAsia="en-US"/>
          </w:rPr>
          <w:t>Financial Performance</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_Toc114477506 \h </w:instrText>
        </w:r>
        <w:r w:rsidR="00F2420C" w:rsidRPr="00FF3436">
          <w:rPr>
            <w:noProof/>
            <w:webHidden/>
          </w:rPr>
        </w:r>
        <w:r w:rsidR="00F2420C" w:rsidRPr="00FF3436">
          <w:rPr>
            <w:noProof/>
            <w:webHidden/>
          </w:rPr>
          <w:fldChar w:fldCharType="separate"/>
        </w:r>
        <w:r w:rsidR="00293489">
          <w:rPr>
            <w:noProof/>
            <w:webHidden/>
          </w:rPr>
          <w:t>62</w:t>
        </w:r>
        <w:r w:rsidR="00F2420C" w:rsidRPr="00FF3436">
          <w:rPr>
            <w:noProof/>
            <w:webHidden/>
          </w:rPr>
          <w:fldChar w:fldCharType="end"/>
        </w:r>
      </w:hyperlink>
    </w:p>
    <w:p w14:paraId="10263EE5" w14:textId="6E49E008" w:rsidR="00F2420C" w:rsidRPr="00F70728" w:rsidRDefault="00000000" w:rsidP="00CB028F">
      <w:pPr>
        <w:pStyle w:val="TOC2"/>
        <w:rPr>
          <w:rFonts w:asciiTheme="minorHAnsi" w:hAnsiTheme="minorHAnsi" w:cstheme="minorBidi"/>
          <w:szCs w:val="28"/>
          <w:lang w:eastAsia="zh-CN" w:bidi="th-TH"/>
        </w:rPr>
      </w:pPr>
      <w:hyperlink w:anchor="_Toc114477507" w:history="1">
        <w:r w:rsidR="00F2420C" w:rsidRPr="00FF3436">
          <w:rPr>
            <w:rStyle w:val="Hyperlink"/>
            <w:bCs/>
          </w:rPr>
          <w:t>Expenses</w:t>
        </w:r>
        <w:r w:rsidR="00F2420C" w:rsidRPr="00F70728">
          <w:rPr>
            <w:webHidden/>
          </w:rPr>
          <w:tab/>
        </w:r>
        <w:r w:rsidR="00F2420C" w:rsidRPr="00F70728">
          <w:rPr>
            <w:webHidden/>
          </w:rPr>
          <w:fldChar w:fldCharType="begin"/>
        </w:r>
        <w:r w:rsidR="00F2420C" w:rsidRPr="00F70728">
          <w:rPr>
            <w:webHidden/>
          </w:rPr>
          <w:instrText xml:space="preserve"> PAGEREF _Toc114477507 \h </w:instrText>
        </w:r>
        <w:r w:rsidR="00F2420C" w:rsidRPr="00F70728">
          <w:rPr>
            <w:webHidden/>
          </w:rPr>
        </w:r>
        <w:r w:rsidR="00F2420C" w:rsidRPr="00F70728">
          <w:rPr>
            <w:webHidden/>
          </w:rPr>
          <w:fldChar w:fldCharType="separate"/>
        </w:r>
        <w:r w:rsidR="00293489">
          <w:rPr>
            <w:webHidden/>
          </w:rPr>
          <w:t>62</w:t>
        </w:r>
        <w:r w:rsidR="00F2420C" w:rsidRPr="00F70728">
          <w:rPr>
            <w:webHidden/>
          </w:rPr>
          <w:fldChar w:fldCharType="end"/>
        </w:r>
      </w:hyperlink>
    </w:p>
    <w:p w14:paraId="264784E6" w14:textId="0B676E4E" w:rsidR="00F2420C" w:rsidRPr="00F70728" w:rsidRDefault="00000000" w:rsidP="00CB028F">
      <w:pPr>
        <w:pStyle w:val="TOC2"/>
        <w:rPr>
          <w:rFonts w:asciiTheme="minorHAnsi" w:hAnsiTheme="minorHAnsi" w:cstheme="minorBidi"/>
          <w:szCs w:val="28"/>
          <w:lang w:eastAsia="zh-CN" w:bidi="th-TH"/>
        </w:rPr>
      </w:pPr>
      <w:hyperlink w:anchor="_Toc114477508" w:history="1">
        <w:r w:rsidR="00F2420C" w:rsidRPr="00FF3436">
          <w:rPr>
            <w:rStyle w:val="Hyperlink"/>
            <w:bCs/>
          </w:rPr>
          <w:t>Own-Source Revenue and Gains</w:t>
        </w:r>
        <w:r w:rsidR="00F2420C" w:rsidRPr="00F70728">
          <w:rPr>
            <w:webHidden/>
          </w:rPr>
          <w:tab/>
        </w:r>
        <w:r w:rsidR="00F2420C" w:rsidRPr="00F70728">
          <w:rPr>
            <w:webHidden/>
          </w:rPr>
          <w:fldChar w:fldCharType="begin"/>
        </w:r>
        <w:r w:rsidR="00F2420C" w:rsidRPr="00F70728">
          <w:rPr>
            <w:webHidden/>
          </w:rPr>
          <w:instrText xml:space="preserve"> PAGEREF _Toc114477508 \h </w:instrText>
        </w:r>
        <w:r w:rsidR="00F2420C" w:rsidRPr="00F70728">
          <w:rPr>
            <w:webHidden/>
          </w:rPr>
        </w:r>
        <w:r w:rsidR="00F2420C" w:rsidRPr="00F70728">
          <w:rPr>
            <w:webHidden/>
          </w:rPr>
          <w:fldChar w:fldCharType="separate"/>
        </w:r>
        <w:r w:rsidR="00293489">
          <w:rPr>
            <w:webHidden/>
          </w:rPr>
          <w:t>65</w:t>
        </w:r>
        <w:r w:rsidR="00F2420C" w:rsidRPr="00F70728">
          <w:rPr>
            <w:webHidden/>
          </w:rPr>
          <w:fldChar w:fldCharType="end"/>
        </w:r>
      </w:hyperlink>
    </w:p>
    <w:p w14:paraId="20C23DC1" w14:textId="45746266" w:rsidR="00F2420C" w:rsidRPr="00FF3436" w:rsidRDefault="00000000" w:rsidP="006E1D91">
      <w:pPr>
        <w:pStyle w:val="TOC1"/>
        <w:rPr>
          <w:rFonts w:asciiTheme="minorHAnsi" w:hAnsiTheme="minorHAnsi" w:cstheme="minorBidi"/>
          <w:noProof/>
          <w:szCs w:val="28"/>
          <w:lang w:eastAsia="zh-CN" w:bidi="th-TH"/>
        </w:rPr>
      </w:pPr>
      <w:hyperlink w:anchor="_Toc114477509" w:history="1">
        <w:r w:rsidR="00F2420C" w:rsidRPr="00FF3436">
          <w:rPr>
            <w:rStyle w:val="Hyperlink"/>
            <w:rFonts w:ascii="Arial Bold" w:eastAsia="Times New Roman" w:hAnsi="Arial Bold" w:cs="Times New Roman"/>
            <w:b w:val="0"/>
            <w:bCs/>
            <w:noProof/>
            <w:lang w:eastAsia="en-US"/>
          </w:rPr>
          <w:t>Financial Position</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_Toc114477509 \h </w:instrText>
        </w:r>
        <w:r w:rsidR="00F2420C" w:rsidRPr="00FF3436">
          <w:rPr>
            <w:noProof/>
            <w:webHidden/>
          </w:rPr>
        </w:r>
        <w:r w:rsidR="00F2420C" w:rsidRPr="00FF3436">
          <w:rPr>
            <w:noProof/>
            <w:webHidden/>
          </w:rPr>
          <w:fldChar w:fldCharType="separate"/>
        </w:r>
        <w:r w:rsidR="00293489">
          <w:rPr>
            <w:noProof/>
            <w:webHidden/>
          </w:rPr>
          <w:t>68</w:t>
        </w:r>
        <w:r w:rsidR="00F2420C" w:rsidRPr="00FF3436">
          <w:rPr>
            <w:noProof/>
            <w:webHidden/>
          </w:rPr>
          <w:fldChar w:fldCharType="end"/>
        </w:r>
      </w:hyperlink>
    </w:p>
    <w:p w14:paraId="56C7D28E" w14:textId="60DE909B" w:rsidR="00F2420C" w:rsidRPr="00F70728" w:rsidRDefault="00000000" w:rsidP="00CB028F">
      <w:pPr>
        <w:pStyle w:val="TOC2"/>
        <w:rPr>
          <w:rFonts w:asciiTheme="minorHAnsi" w:hAnsiTheme="minorHAnsi" w:cstheme="minorBidi"/>
          <w:szCs w:val="28"/>
          <w:lang w:eastAsia="zh-CN" w:bidi="th-TH"/>
        </w:rPr>
      </w:pPr>
      <w:hyperlink w:anchor="_Toc114477510" w:history="1">
        <w:r w:rsidR="00F2420C" w:rsidRPr="00FF3436">
          <w:rPr>
            <w:rStyle w:val="Hyperlink"/>
            <w:bCs/>
          </w:rPr>
          <w:t>Financial Assets</w:t>
        </w:r>
        <w:r w:rsidR="00F2420C" w:rsidRPr="00F70728">
          <w:rPr>
            <w:webHidden/>
          </w:rPr>
          <w:tab/>
        </w:r>
        <w:r w:rsidR="00F2420C" w:rsidRPr="00F70728">
          <w:rPr>
            <w:webHidden/>
          </w:rPr>
          <w:fldChar w:fldCharType="begin"/>
        </w:r>
        <w:r w:rsidR="00F2420C" w:rsidRPr="00F70728">
          <w:rPr>
            <w:webHidden/>
          </w:rPr>
          <w:instrText xml:space="preserve"> PAGEREF _Toc114477510 \h </w:instrText>
        </w:r>
        <w:r w:rsidR="00F2420C" w:rsidRPr="00F70728">
          <w:rPr>
            <w:webHidden/>
          </w:rPr>
        </w:r>
        <w:r w:rsidR="00F2420C" w:rsidRPr="00F70728">
          <w:rPr>
            <w:webHidden/>
          </w:rPr>
          <w:fldChar w:fldCharType="separate"/>
        </w:r>
        <w:r w:rsidR="00293489">
          <w:rPr>
            <w:webHidden/>
          </w:rPr>
          <w:t>68</w:t>
        </w:r>
        <w:r w:rsidR="00F2420C" w:rsidRPr="00F70728">
          <w:rPr>
            <w:webHidden/>
          </w:rPr>
          <w:fldChar w:fldCharType="end"/>
        </w:r>
      </w:hyperlink>
    </w:p>
    <w:p w14:paraId="4AE56954" w14:textId="76B9DE5D" w:rsidR="00F2420C" w:rsidRPr="00F70728" w:rsidRDefault="00000000" w:rsidP="00CB028F">
      <w:pPr>
        <w:pStyle w:val="TOC2"/>
        <w:rPr>
          <w:rFonts w:asciiTheme="minorHAnsi" w:hAnsiTheme="minorHAnsi" w:cstheme="minorBidi"/>
          <w:szCs w:val="28"/>
          <w:lang w:eastAsia="zh-CN" w:bidi="th-TH"/>
        </w:rPr>
      </w:pPr>
      <w:hyperlink w:anchor="_Toc114477511" w:history="1">
        <w:r w:rsidR="00F2420C" w:rsidRPr="00FF3436">
          <w:rPr>
            <w:rStyle w:val="Hyperlink"/>
            <w:bCs/>
          </w:rPr>
          <w:t>Non-Financial Assets</w:t>
        </w:r>
        <w:r w:rsidR="00F2420C" w:rsidRPr="00F70728">
          <w:rPr>
            <w:webHidden/>
          </w:rPr>
          <w:tab/>
        </w:r>
        <w:r w:rsidR="00F2420C" w:rsidRPr="00F70728">
          <w:rPr>
            <w:webHidden/>
          </w:rPr>
          <w:fldChar w:fldCharType="begin"/>
        </w:r>
        <w:r w:rsidR="00F2420C" w:rsidRPr="00F70728">
          <w:rPr>
            <w:webHidden/>
          </w:rPr>
          <w:instrText xml:space="preserve"> PAGEREF _Toc114477511 \h </w:instrText>
        </w:r>
        <w:r w:rsidR="00F2420C" w:rsidRPr="00F70728">
          <w:rPr>
            <w:webHidden/>
          </w:rPr>
        </w:r>
        <w:r w:rsidR="00F2420C" w:rsidRPr="00F70728">
          <w:rPr>
            <w:webHidden/>
          </w:rPr>
          <w:fldChar w:fldCharType="separate"/>
        </w:r>
        <w:r w:rsidR="00293489">
          <w:rPr>
            <w:webHidden/>
          </w:rPr>
          <w:t>70</w:t>
        </w:r>
        <w:r w:rsidR="00F2420C" w:rsidRPr="00F70728">
          <w:rPr>
            <w:webHidden/>
          </w:rPr>
          <w:fldChar w:fldCharType="end"/>
        </w:r>
      </w:hyperlink>
    </w:p>
    <w:p w14:paraId="5E0689E4" w14:textId="4A87E488" w:rsidR="00F2420C" w:rsidRPr="00F70728" w:rsidRDefault="00000000" w:rsidP="00CB028F">
      <w:pPr>
        <w:pStyle w:val="TOC2"/>
        <w:rPr>
          <w:rFonts w:asciiTheme="minorHAnsi" w:hAnsiTheme="minorHAnsi" w:cstheme="minorBidi"/>
          <w:szCs w:val="28"/>
          <w:lang w:eastAsia="zh-CN" w:bidi="th-TH"/>
        </w:rPr>
      </w:pPr>
      <w:hyperlink w:anchor="_Toc114477512" w:history="1">
        <w:r w:rsidR="00F2420C" w:rsidRPr="00FF3436">
          <w:rPr>
            <w:rStyle w:val="Hyperlink"/>
            <w:bCs/>
          </w:rPr>
          <w:t>Payables</w:t>
        </w:r>
        <w:r w:rsidR="00F2420C" w:rsidRPr="00F70728">
          <w:rPr>
            <w:webHidden/>
          </w:rPr>
          <w:tab/>
        </w:r>
        <w:r w:rsidR="00F2420C" w:rsidRPr="00F70728">
          <w:rPr>
            <w:webHidden/>
          </w:rPr>
          <w:fldChar w:fldCharType="begin"/>
        </w:r>
        <w:r w:rsidR="00F2420C" w:rsidRPr="00F70728">
          <w:rPr>
            <w:webHidden/>
          </w:rPr>
          <w:instrText xml:space="preserve"> PAGEREF _Toc114477512 \h </w:instrText>
        </w:r>
        <w:r w:rsidR="00F2420C" w:rsidRPr="00F70728">
          <w:rPr>
            <w:webHidden/>
          </w:rPr>
        </w:r>
        <w:r w:rsidR="00F2420C" w:rsidRPr="00F70728">
          <w:rPr>
            <w:webHidden/>
          </w:rPr>
          <w:fldChar w:fldCharType="separate"/>
        </w:r>
        <w:r w:rsidR="00293489">
          <w:rPr>
            <w:webHidden/>
          </w:rPr>
          <w:t>73</w:t>
        </w:r>
        <w:r w:rsidR="00F2420C" w:rsidRPr="00F70728">
          <w:rPr>
            <w:webHidden/>
          </w:rPr>
          <w:fldChar w:fldCharType="end"/>
        </w:r>
      </w:hyperlink>
    </w:p>
    <w:p w14:paraId="3BE4C985" w14:textId="56185B63" w:rsidR="00F2420C" w:rsidRPr="00F70728" w:rsidRDefault="00000000" w:rsidP="00CB028F">
      <w:pPr>
        <w:pStyle w:val="TOC2"/>
        <w:rPr>
          <w:rFonts w:asciiTheme="minorHAnsi" w:hAnsiTheme="minorHAnsi" w:cstheme="minorBidi"/>
          <w:szCs w:val="28"/>
          <w:lang w:eastAsia="zh-CN" w:bidi="th-TH"/>
        </w:rPr>
      </w:pPr>
      <w:hyperlink w:anchor="_Toc114477513" w:history="1">
        <w:r w:rsidR="00F2420C" w:rsidRPr="00FF3436">
          <w:rPr>
            <w:rStyle w:val="Hyperlink"/>
            <w:bCs/>
          </w:rPr>
          <w:t>Unearned Income</w:t>
        </w:r>
        <w:r w:rsidR="00F2420C" w:rsidRPr="00F70728">
          <w:rPr>
            <w:webHidden/>
          </w:rPr>
          <w:tab/>
        </w:r>
        <w:r w:rsidR="00F2420C" w:rsidRPr="00F70728">
          <w:rPr>
            <w:webHidden/>
          </w:rPr>
          <w:fldChar w:fldCharType="begin"/>
        </w:r>
        <w:r w:rsidR="00F2420C" w:rsidRPr="00F70728">
          <w:rPr>
            <w:webHidden/>
          </w:rPr>
          <w:instrText xml:space="preserve"> PAGEREF _Toc114477513 \h </w:instrText>
        </w:r>
        <w:r w:rsidR="00F2420C" w:rsidRPr="00F70728">
          <w:rPr>
            <w:webHidden/>
          </w:rPr>
        </w:r>
        <w:r w:rsidR="00F2420C" w:rsidRPr="00F70728">
          <w:rPr>
            <w:webHidden/>
          </w:rPr>
          <w:fldChar w:fldCharType="separate"/>
        </w:r>
        <w:r w:rsidR="00293489">
          <w:rPr>
            <w:webHidden/>
          </w:rPr>
          <w:t>73</w:t>
        </w:r>
        <w:r w:rsidR="00F2420C" w:rsidRPr="00F70728">
          <w:rPr>
            <w:webHidden/>
          </w:rPr>
          <w:fldChar w:fldCharType="end"/>
        </w:r>
      </w:hyperlink>
    </w:p>
    <w:p w14:paraId="5313B70D" w14:textId="51082845" w:rsidR="00F2420C" w:rsidRPr="00F70728" w:rsidRDefault="00000000" w:rsidP="00CB028F">
      <w:pPr>
        <w:pStyle w:val="TOC2"/>
        <w:rPr>
          <w:rFonts w:asciiTheme="minorHAnsi" w:hAnsiTheme="minorHAnsi" w:cstheme="minorBidi"/>
          <w:szCs w:val="28"/>
          <w:lang w:eastAsia="zh-CN" w:bidi="th-TH"/>
        </w:rPr>
      </w:pPr>
      <w:hyperlink w:anchor="_Toc114477514" w:history="1">
        <w:r w:rsidR="00F2420C" w:rsidRPr="00FF3436">
          <w:rPr>
            <w:rStyle w:val="Hyperlink"/>
            <w:bCs/>
          </w:rPr>
          <w:t>Interest Bearing Liabilities</w:t>
        </w:r>
        <w:r w:rsidR="00F2420C" w:rsidRPr="00F70728">
          <w:rPr>
            <w:webHidden/>
          </w:rPr>
          <w:tab/>
        </w:r>
        <w:r w:rsidR="00F2420C" w:rsidRPr="00F70728">
          <w:rPr>
            <w:webHidden/>
          </w:rPr>
          <w:fldChar w:fldCharType="begin"/>
        </w:r>
        <w:r w:rsidR="00F2420C" w:rsidRPr="00F70728">
          <w:rPr>
            <w:webHidden/>
          </w:rPr>
          <w:instrText xml:space="preserve"> PAGEREF _Toc114477514 \h </w:instrText>
        </w:r>
        <w:r w:rsidR="00F2420C" w:rsidRPr="00F70728">
          <w:rPr>
            <w:webHidden/>
          </w:rPr>
        </w:r>
        <w:r w:rsidR="00F2420C" w:rsidRPr="00F70728">
          <w:rPr>
            <w:webHidden/>
          </w:rPr>
          <w:fldChar w:fldCharType="separate"/>
        </w:r>
        <w:r w:rsidR="00293489">
          <w:rPr>
            <w:webHidden/>
          </w:rPr>
          <w:t>73</w:t>
        </w:r>
        <w:r w:rsidR="00F2420C" w:rsidRPr="00F70728">
          <w:rPr>
            <w:webHidden/>
          </w:rPr>
          <w:fldChar w:fldCharType="end"/>
        </w:r>
      </w:hyperlink>
    </w:p>
    <w:p w14:paraId="36624F5B" w14:textId="3D5F9924" w:rsidR="00F2420C" w:rsidRPr="00F70728" w:rsidRDefault="00000000" w:rsidP="00CB028F">
      <w:pPr>
        <w:pStyle w:val="TOC2"/>
        <w:rPr>
          <w:rFonts w:asciiTheme="minorHAnsi" w:hAnsiTheme="minorHAnsi" w:cstheme="minorBidi"/>
          <w:szCs w:val="28"/>
          <w:lang w:eastAsia="zh-CN" w:bidi="th-TH"/>
        </w:rPr>
      </w:pPr>
      <w:hyperlink w:anchor="_Toc114477515" w:history="1">
        <w:r w:rsidR="00F2420C" w:rsidRPr="00FF3436">
          <w:rPr>
            <w:rStyle w:val="Hyperlink"/>
            <w:bCs/>
          </w:rPr>
          <w:t>Provisions</w:t>
        </w:r>
        <w:r w:rsidR="00F2420C" w:rsidRPr="00F70728">
          <w:rPr>
            <w:webHidden/>
          </w:rPr>
          <w:tab/>
        </w:r>
        <w:r w:rsidR="00F2420C" w:rsidRPr="00F70728">
          <w:rPr>
            <w:webHidden/>
          </w:rPr>
          <w:fldChar w:fldCharType="begin"/>
        </w:r>
        <w:r w:rsidR="00F2420C" w:rsidRPr="00F70728">
          <w:rPr>
            <w:webHidden/>
          </w:rPr>
          <w:instrText xml:space="preserve"> PAGEREF _Toc114477515 \h </w:instrText>
        </w:r>
        <w:r w:rsidR="00F2420C" w:rsidRPr="00F70728">
          <w:rPr>
            <w:webHidden/>
          </w:rPr>
        </w:r>
        <w:r w:rsidR="00F2420C" w:rsidRPr="00F70728">
          <w:rPr>
            <w:webHidden/>
          </w:rPr>
          <w:fldChar w:fldCharType="separate"/>
        </w:r>
        <w:r w:rsidR="00293489">
          <w:rPr>
            <w:webHidden/>
          </w:rPr>
          <w:t>74</w:t>
        </w:r>
        <w:r w:rsidR="00F2420C" w:rsidRPr="00F70728">
          <w:rPr>
            <w:webHidden/>
          </w:rPr>
          <w:fldChar w:fldCharType="end"/>
        </w:r>
      </w:hyperlink>
    </w:p>
    <w:p w14:paraId="748B2388" w14:textId="295440E2" w:rsidR="00F2420C" w:rsidRPr="00FF3436" w:rsidRDefault="00000000" w:rsidP="006E1D91">
      <w:pPr>
        <w:pStyle w:val="TOC1"/>
        <w:rPr>
          <w:rFonts w:asciiTheme="minorHAnsi" w:hAnsiTheme="minorHAnsi" w:cstheme="minorBidi"/>
          <w:noProof/>
          <w:szCs w:val="28"/>
          <w:lang w:eastAsia="zh-CN" w:bidi="th-TH"/>
        </w:rPr>
      </w:pPr>
      <w:hyperlink w:anchor="_Toc114477516" w:history="1">
        <w:r w:rsidR="00F2420C" w:rsidRPr="00FF3436">
          <w:rPr>
            <w:rStyle w:val="Hyperlink"/>
            <w:rFonts w:ascii="Arial Bold" w:eastAsia="Times New Roman" w:hAnsi="Arial Bold" w:cs="Times New Roman"/>
            <w:b w:val="0"/>
            <w:bCs/>
            <w:noProof/>
            <w:lang w:eastAsia="en-US"/>
          </w:rPr>
          <w:t>People and Relationships</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_Toc114477516 \h </w:instrText>
        </w:r>
        <w:r w:rsidR="00F2420C" w:rsidRPr="00FF3436">
          <w:rPr>
            <w:noProof/>
            <w:webHidden/>
          </w:rPr>
        </w:r>
        <w:r w:rsidR="00F2420C" w:rsidRPr="00FF3436">
          <w:rPr>
            <w:noProof/>
            <w:webHidden/>
          </w:rPr>
          <w:fldChar w:fldCharType="separate"/>
        </w:r>
        <w:r w:rsidR="00293489">
          <w:rPr>
            <w:noProof/>
            <w:webHidden/>
          </w:rPr>
          <w:t>76</w:t>
        </w:r>
        <w:r w:rsidR="00F2420C" w:rsidRPr="00FF3436">
          <w:rPr>
            <w:noProof/>
            <w:webHidden/>
          </w:rPr>
          <w:fldChar w:fldCharType="end"/>
        </w:r>
      </w:hyperlink>
    </w:p>
    <w:p w14:paraId="18DF1191" w14:textId="29EAE889" w:rsidR="00F2420C" w:rsidRPr="00F70728" w:rsidRDefault="00000000" w:rsidP="00CB028F">
      <w:pPr>
        <w:pStyle w:val="TOC2"/>
        <w:rPr>
          <w:rFonts w:asciiTheme="minorHAnsi" w:hAnsiTheme="minorHAnsi" w:cstheme="minorBidi"/>
          <w:szCs w:val="28"/>
          <w:lang w:eastAsia="zh-CN" w:bidi="th-TH"/>
        </w:rPr>
      </w:pPr>
      <w:hyperlink w:anchor="_Toc114477517" w:history="1">
        <w:r w:rsidR="00F2420C" w:rsidRPr="00FF3436">
          <w:rPr>
            <w:rStyle w:val="Hyperlink"/>
            <w:bCs/>
          </w:rPr>
          <w:t>Key Management Personnel Remuneration</w:t>
        </w:r>
        <w:r w:rsidR="00F2420C" w:rsidRPr="00F70728">
          <w:rPr>
            <w:webHidden/>
          </w:rPr>
          <w:tab/>
        </w:r>
        <w:r w:rsidR="00F2420C" w:rsidRPr="00F70728">
          <w:rPr>
            <w:webHidden/>
          </w:rPr>
          <w:fldChar w:fldCharType="begin"/>
        </w:r>
        <w:r w:rsidR="00F2420C" w:rsidRPr="00F70728">
          <w:rPr>
            <w:webHidden/>
          </w:rPr>
          <w:instrText xml:space="preserve"> PAGEREF _Toc114477517 \h </w:instrText>
        </w:r>
        <w:r w:rsidR="00F2420C" w:rsidRPr="00F70728">
          <w:rPr>
            <w:webHidden/>
          </w:rPr>
        </w:r>
        <w:r w:rsidR="00F2420C" w:rsidRPr="00F70728">
          <w:rPr>
            <w:webHidden/>
          </w:rPr>
          <w:fldChar w:fldCharType="separate"/>
        </w:r>
        <w:r w:rsidR="00293489">
          <w:rPr>
            <w:webHidden/>
          </w:rPr>
          <w:t>77</w:t>
        </w:r>
        <w:r w:rsidR="00F2420C" w:rsidRPr="00F70728">
          <w:rPr>
            <w:webHidden/>
          </w:rPr>
          <w:fldChar w:fldCharType="end"/>
        </w:r>
      </w:hyperlink>
    </w:p>
    <w:p w14:paraId="40B1B693" w14:textId="01C3B392" w:rsidR="00F2420C" w:rsidRPr="00F70728" w:rsidRDefault="00000000" w:rsidP="00CB028F">
      <w:pPr>
        <w:pStyle w:val="TOC2"/>
        <w:rPr>
          <w:rFonts w:asciiTheme="minorHAnsi" w:hAnsiTheme="minorHAnsi" w:cstheme="minorBidi"/>
          <w:szCs w:val="28"/>
          <w:lang w:eastAsia="zh-CN" w:bidi="th-TH"/>
        </w:rPr>
      </w:pPr>
      <w:hyperlink w:anchor="_Toc114477518" w:history="1">
        <w:r w:rsidR="00F2420C" w:rsidRPr="00FF3436">
          <w:rPr>
            <w:rStyle w:val="Hyperlink"/>
            <w:bCs/>
          </w:rPr>
          <w:t>Related Party Disclosures</w:t>
        </w:r>
        <w:r w:rsidR="00F2420C" w:rsidRPr="00F70728">
          <w:rPr>
            <w:webHidden/>
          </w:rPr>
          <w:tab/>
        </w:r>
        <w:r w:rsidR="00F2420C" w:rsidRPr="00F70728">
          <w:rPr>
            <w:webHidden/>
          </w:rPr>
          <w:fldChar w:fldCharType="begin"/>
        </w:r>
        <w:r w:rsidR="00F2420C" w:rsidRPr="00F70728">
          <w:rPr>
            <w:webHidden/>
          </w:rPr>
          <w:instrText xml:space="preserve"> PAGEREF _Toc114477518 \h </w:instrText>
        </w:r>
        <w:r w:rsidR="00F2420C" w:rsidRPr="00F70728">
          <w:rPr>
            <w:webHidden/>
          </w:rPr>
        </w:r>
        <w:r w:rsidR="00F2420C" w:rsidRPr="00F70728">
          <w:rPr>
            <w:webHidden/>
          </w:rPr>
          <w:fldChar w:fldCharType="separate"/>
        </w:r>
        <w:r w:rsidR="00293489">
          <w:rPr>
            <w:webHidden/>
          </w:rPr>
          <w:t>77</w:t>
        </w:r>
        <w:r w:rsidR="00F2420C" w:rsidRPr="00F70728">
          <w:rPr>
            <w:webHidden/>
          </w:rPr>
          <w:fldChar w:fldCharType="end"/>
        </w:r>
      </w:hyperlink>
    </w:p>
    <w:p w14:paraId="7CB60981" w14:textId="5ECA798E" w:rsidR="00F2420C" w:rsidRPr="00FF3436" w:rsidRDefault="00000000" w:rsidP="006E1D91">
      <w:pPr>
        <w:pStyle w:val="TOC1"/>
        <w:rPr>
          <w:rFonts w:asciiTheme="minorHAnsi" w:hAnsiTheme="minorHAnsi" w:cstheme="minorBidi"/>
          <w:noProof/>
          <w:szCs w:val="28"/>
          <w:lang w:eastAsia="zh-CN" w:bidi="th-TH"/>
        </w:rPr>
      </w:pPr>
      <w:hyperlink w:anchor="_Toc114477519" w:history="1">
        <w:r w:rsidR="00F2420C" w:rsidRPr="00FF3436">
          <w:rPr>
            <w:rStyle w:val="Hyperlink"/>
            <w:rFonts w:ascii="Arial Bold" w:eastAsia="Times New Roman" w:hAnsi="Arial Bold" w:cs="Times New Roman"/>
            <w:b w:val="0"/>
            <w:bCs/>
            <w:noProof/>
            <w:lang w:eastAsia="en-US"/>
          </w:rPr>
          <w:t>Managing Uncertainties</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_Toc114477519 \h </w:instrText>
        </w:r>
        <w:r w:rsidR="00F2420C" w:rsidRPr="00FF3436">
          <w:rPr>
            <w:noProof/>
            <w:webHidden/>
          </w:rPr>
        </w:r>
        <w:r w:rsidR="00F2420C" w:rsidRPr="00FF3436">
          <w:rPr>
            <w:noProof/>
            <w:webHidden/>
          </w:rPr>
          <w:fldChar w:fldCharType="separate"/>
        </w:r>
        <w:r w:rsidR="00293489">
          <w:rPr>
            <w:noProof/>
            <w:webHidden/>
          </w:rPr>
          <w:t>79</w:t>
        </w:r>
        <w:r w:rsidR="00F2420C" w:rsidRPr="00FF3436">
          <w:rPr>
            <w:noProof/>
            <w:webHidden/>
          </w:rPr>
          <w:fldChar w:fldCharType="end"/>
        </w:r>
      </w:hyperlink>
    </w:p>
    <w:p w14:paraId="6E978D7A" w14:textId="3676FF19" w:rsidR="00F2420C" w:rsidRPr="00F70728" w:rsidRDefault="00000000" w:rsidP="00CB028F">
      <w:pPr>
        <w:pStyle w:val="TOC2"/>
        <w:rPr>
          <w:rFonts w:asciiTheme="minorHAnsi" w:hAnsiTheme="minorHAnsi" w:cstheme="minorBidi"/>
          <w:szCs w:val="28"/>
          <w:lang w:eastAsia="zh-CN" w:bidi="th-TH"/>
        </w:rPr>
      </w:pPr>
      <w:hyperlink w:anchor="_Toc114477520" w:history="1">
        <w:r w:rsidR="00F2420C" w:rsidRPr="00FF3436">
          <w:rPr>
            <w:rStyle w:val="Hyperlink"/>
            <w:bCs/>
          </w:rPr>
          <w:t>Contingent Assets and Liabilities</w:t>
        </w:r>
        <w:r w:rsidR="00F2420C" w:rsidRPr="00F70728">
          <w:rPr>
            <w:webHidden/>
          </w:rPr>
          <w:tab/>
        </w:r>
        <w:r w:rsidR="00F2420C" w:rsidRPr="00F70728">
          <w:rPr>
            <w:webHidden/>
          </w:rPr>
          <w:fldChar w:fldCharType="begin"/>
        </w:r>
        <w:r w:rsidR="00F2420C" w:rsidRPr="00F70728">
          <w:rPr>
            <w:webHidden/>
          </w:rPr>
          <w:instrText xml:space="preserve"> PAGEREF _Toc114477520 \h </w:instrText>
        </w:r>
        <w:r w:rsidR="00F2420C" w:rsidRPr="00F70728">
          <w:rPr>
            <w:webHidden/>
          </w:rPr>
        </w:r>
        <w:r w:rsidR="00F2420C" w:rsidRPr="00F70728">
          <w:rPr>
            <w:webHidden/>
          </w:rPr>
          <w:fldChar w:fldCharType="separate"/>
        </w:r>
        <w:r w:rsidR="00293489">
          <w:rPr>
            <w:webHidden/>
          </w:rPr>
          <w:t>79</w:t>
        </w:r>
        <w:r w:rsidR="00F2420C" w:rsidRPr="00F70728">
          <w:rPr>
            <w:webHidden/>
          </w:rPr>
          <w:fldChar w:fldCharType="end"/>
        </w:r>
      </w:hyperlink>
    </w:p>
    <w:p w14:paraId="471B65A6" w14:textId="0EBD899D" w:rsidR="00F2420C" w:rsidRPr="00F70728" w:rsidRDefault="00000000" w:rsidP="00CB028F">
      <w:pPr>
        <w:pStyle w:val="TOC2"/>
        <w:rPr>
          <w:rFonts w:asciiTheme="minorHAnsi" w:hAnsiTheme="minorHAnsi" w:cstheme="minorBidi"/>
          <w:szCs w:val="28"/>
          <w:lang w:eastAsia="zh-CN" w:bidi="th-TH"/>
        </w:rPr>
      </w:pPr>
      <w:hyperlink w:anchor="_Toc114477521" w:history="1">
        <w:r w:rsidR="00F2420C" w:rsidRPr="00FF3436">
          <w:rPr>
            <w:rStyle w:val="Hyperlink"/>
            <w:bCs/>
          </w:rPr>
          <w:t>Financial Instruments</w:t>
        </w:r>
        <w:r w:rsidR="00F2420C" w:rsidRPr="00F70728">
          <w:rPr>
            <w:webHidden/>
          </w:rPr>
          <w:tab/>
        </w:r>
        <w:r w:rsidR="00F2420C" w:rsidRPr="00F70728">
          <w:rPr>
            <w:webHidden/>
          </w:rPr>
          <w:fldChar w:fldCharType="begin"/>
        </w:r>
        <w:r w:rsidR="00F2420C" w:rsidRPr="00F70728">
          <w:rPr>
            <w:webHidden/>
          </w:rPr>
          <w:instrText xml:space="preserve"> PAGEREF _Toc114477521 \h </w:instrText>
        </w:r>
        <w:r w:rsidR="00F2420C" w:rsidRPr="00F70728">
          <w:rPr>
            <w:webHidden/>
          </w:rPr>
        </w:r>
        <w:r w:rsidR="00F2420C" w:rsidRPr="00F70728">
          <w:rPr>
            <w:webHidden/>
          </w:rPr>
          <w:fldChar w:fldCharType="separate"/>
        </w:r>
        <w:r w:rsidR="00293489">
          <w:rPr>
            <w:webHidden/>
          </w:rPr>
          <w:t>80</w:t>
        </w:r>
        <w:r w:rsidR="00F2420C" w:rsidRPr="00F70728">
          <w:rPr>
            <w:webHidden/>
          </w:rPr>
          <w:fldChar w:fldCharType="end"/>
        </w:r>
      </w:hyperlink>
    </w:p>
    <w:p w14:paraId="0117738A" w14:textId="5E696AF5" w:rsidR="00F2420C" w:rsidRPr="00FF3436" w:rsidRDefault="00000000" w:rsidP="006E1D91">
      <w:pPr>
        <w:pStyle w:val="TOC1"/>
        <w:rPr>
          <w:rFonts w:asciiTheme="minorHAnsi" w:hAnsiTheme="minorHAnsi" w:cstheme="minorBidi"/>
          <w:noProof/>
          <w:szCs w:val="28"/>
          <w:lang w:eastAsia="zh-CN" w:bidi="th-TH"/>
        </w:rPr>
      </w:pPr>
      <w:hyperlink w:anchor="_Toc114477522" w:history="1">
        <w:r w:rsidR="00F2420C" w:rsidRPr="00FF3436">
          <w:rPr>
            <w:rStyle w:val="Hyperlink"/>
            <w:rFonts w:ascii="Arial Bold" w:eastAsia="Times New Roman" w:hAnsi="Arial Bold" w:cs="Times New Roman"/>
            <w:b w:val="0"/>
            <w:bCs/>
            <w:noProof/>
            <w:lang w:eastAsia="en-US"/>
          </w:rPr>
          <w:t>Other Information</w:t>
        </w:r>
        <w:r w:rsidR="00F2420C" w:rsidRPr="00FF3436">
          <w:rPr>
            <w:noProof/>
            <w:webHidden/>
          </w:rPr>
          <w:tab/>
        </w:r>
        <w:r w:rsidR="00F2420C" w:rsidRPr="00FF3436">
          <w:rPr>
            <w:noProof/>
            <w:webHidden/>
          </w:rPr>
          <w:fldChar w:fldCharType="begin"/>
        </w:r>
        <w:r w:rsidR="00F2420C" w:rsidRPr="00FF3436">
          <w:rPr>
            <w:noProof/>
            <w:webHidden/>
          </w:rPr>
          <w:instrText xml:space="preserve"> PAGEREF _Toc114477522 \h </w:instrText>
        </w:r>
        <w:r w:rsidR="00F2420C" w:rsidRPr="00FF3436">
          <w:rPr>
            <w:noProof/>
            <w:webHidden/>
          </w:rPr>
        </w:r>
        <w:r w:rsidR="00F2420C" w:rsidRPr="00FF3436">
          <w:rPr>
            <w:noProof/>
            <w:webHidden/>
          </w:rPr>
          <w:fldChar w:fldCharType="separate"/>
        </w:r>
        <w:r w:rsidR="00293489">
          <w:rPr>
            <w:noProof/>
            <w:webHidden/>
          </w:rPr>
          <w:t>81</w:t>
        </w:r>
        <w:r w:rsidR="00F2420C" w:rsidRPr="00FF3436">
          <w:rPr>
            <w:noProof/>
            <w:webHidden/>
          </w:rPr>
          <w:fldChar w:fldCharType="end"/>
        </w:r>
      </w:hyperlink>
    </w:p>
    <w:p w14:paraId="7BB82DA0" w14:textId="2CC1D188" w:rsidR="00F2420C" w:rsidRPr="00F70728" w:rsidRDefault="00000000" w:rsidP="00CB028F">
      <w:pPr>
        <w:pStyle w:val="TOC2"/>
        <w:rPr>
          <w:rFonts w:asciiTheme="minorHAnsi" w:hAnsiTheme="minorHAnsi" w:cstheme="minorBidi"/>
          <w:szCs w:val="28"/>
          <w:lang w:eastAsia="zh-CN" w:bidi="th-TH"/>
        </w:rPr>
      </w:pPr>
      <w:hyperlink w:anchor="_Toc114477523" w:history="1">
        <w:r w:rsidR="00F2420C" w:rsidRPr="00FF3436">
          <w:rPr>
            <w:rStyle w:val="Hyperlink"/>
            <w:bCs/>
          </w:rPr>
          <w:t>Current/Non-current Distinction for Assets and Liabilities</w:t>
        </w:r>
        <w:r w:rsidR="00F2420C" w:rsidRPr="00F70728">
          <w:rPr>
            <w:webHidden/>
          </w:rPr>
          <w:tab/>
        </w:r>
        <w:r w:rsidR="00F2420C" w:rsidRPr="00F70728">
          <w:rPr>
            <w:webHidden/>
          </w:rPr>
          <w:fldChar w:fldCharType="begin"/>
        </w:r>
        <w:r w:rsidR="00F2420C" w:rsidRPr="00F70728">
          <w:rPr>
            <w:webHidden/>
          </w:rPr>
          <w:instrText xml:space="preserve"> PAGEREF _Toc114477523 \h </w:instrText>
        </w:r>
        <w:r w:rsidR="00F2420C" w:rsidRPr="00F70728">
          <w:rPr>
            <w:webHidden/>
          </w:rPr>
        </w:r>
        <w:r w:rsidR="00F2420C" w:rsidRPr="00F70728">
          <w:rPr>
            <w:webHidden/>
          </w:rPr>
          <w:fldChar w:fldCharType="separate"/>
        </w:r>
        <w:r w:rsidR="00293489">
          <w:rPr>
            <w:webHidden/>
          </w:rPr>
          <w:t>81</w:t>
        </w:r>
        <w:r w:rsidR="00F2420C" w:rsidRPr="00F70728">
          <w:rPr>
            <w:webHidden/>
          </w:rPr>
          <w:fldChar w:fldCharType="end"/>
        </w:r>
      </w:hyperlink>
    </w:p>
    <w:p w14:paraId="521007B8" w14:textId="77777777" w:rsidR="00FD06ED" w:rsidRPr="00FD06ED" w:rsidRDefault="00FD06ED" w:rsidP="00FD06ED">
      <w:pPr>
        <w:shd w:val="clear" w:color="auto" w:fill="FFFFFF"/>
        <w:tabs>
          <w:tab w:val="left" w:pos="9214"/>
        </w:tabs>
        <w:spacing w:before="0" w:after="0"/>
        <w:ind w:left="0"/>
        <w:rPr>
          <w:rFonts w:eastAsia="Times New Roman"/>
          <w:szCs w:val="20"/>
          <w:lang w:eastAsia="en-US"/>
        </w:rPr>
        <w:sectPr w:rsidR="00FD06ED" w:rsidRPr="00FD06ED" w:rsidSect="00BE00CF">
          <w:headerReference w:type="even" r:id="rId69"/>
          <w:headerReference w:type="default" r:id="rId70"/>
          <w:headerReference w:type="first" r:id="rId71"/>
          <w:pgSz w:w="11906" w:h="16838" w:code="9"/>
          <w:pgMar w:top="1134" w:right="1134" w:bottom="1134" w:left="1134" w:header="958" w:footer="737" w:gutter="0"/>
          <w:cols w:space="708"/>
          <w:docGrid w:linePitch="360"/>
        </w:sectPr>
      </w:pPr>
      <w:r w:rsidRPr="00FD06ED">
        <w:rPr>
          <w:rFonts w:eastAsia="Times New Roman"/>
          <w:noProof/>
          <w:sz w:val="18"/>
          <w:szCs w:val="20"/>
          <w:lang w:eastAsia="en-US"/>
        </w:rPr>
        <w:fldChar w:fldCharType="end"/>
      </w:r>
    </w:p>
    <w:p w14:paraId="4C04F2BD" w14:textId="77777777" w:rsidR="00FD06ED" w:rsidRPr="00FD06ED" w:rsidRDefault="00FD06ED" w:rsidP="00FD06ED">
      <w:pPr>
        <w:spacing w:before="0" w:after="0"/>
        <w:ind w:left="0"/>
        <w:rPr>
          <w:rFonts w:eastAsia="Times New Roman"/>
          <w:sz w:val="18"/>
          <w:szCs w:val="18"/>
          <w:lang w:eastAsia="en-US"/>
        </w:rPr>
        <w:sectPr w:rsidR="00FD06ED" w:rsidRPr="00FD06ED" w:rsidSect="00BE00CF">
          <w:type w:val="continuous"/>
          <w:pgSz w:w="11906" w:h="16838" w:code="9"/>
          <w:pgMar w:top="1134" w:right="1700" w:bottom="1134" w:left="1134" w:header="958" w:footer="737" w:gutter="0"/>
          <w:cols w:space="708"/>
          <w:docGrid w:linePitch="360"/>
        </w:sectPr>
      </w:pPr>
      <w:r w:rsidRPr="00FD06ED">
        <w:rPr>
          <w:rFonts w:eastAsia="Times New Roman"/>
          <w:szCs w:val="20"/>
          <w:lang w:eastAsia="en-US"/>
        </w:rPr>
        <w:br w:type="page"/>
      </w:r>
      <w:bookmarkStart w:id="117" w:name="_Toc393360771"/>
      <w:bookmarkStart w:id="118" w:name="_Toc393784905"/>
    </w:p>
    <w:p w14:paraId="74E10EC7" w14:textId="40CCD772" w:rsidR="00FD06ED" w:rsidRPr="00FD06ED" w:rsidRDefault="00FD06ED" w:rsidP="00015F3C">
      <w:pPr>
        <w:shd w:val="clear" w:color="auto" w:fill="800080"/>
        <w:tabs>
          <w:tab w:val="right" w:pos="9072"/>
        </w:tabs>
        <w:spacing w:before="0" w:after="0" w:line="260" w:lineRule="atLeast"/>
        <w:ind w:left="0"/>
        <w:outlineLvl w:val="2"/>
        <w:rPr>
          <w:rFonts w:ascii="Arial Bold" w:eastAsia="Times New Roman" w:hAnsi="Arial Bold" w:cs="Times New Roman"/>
          <w:b/>
          <w:color w:val="FFFFFF"/>
          <w:sz w:val="24"/>
          <w:szCs w:val="20"/>
          <w:lang w:eastAsia="en-US"/>
        </w:rPr>
      </w:pPr>
      <w:bookmarkStart w:id="119" w:name="_Toc443469521"/>
      <w:bookmarkStart w:id="120" w:name="_Toc444065769"/>
      <w:bookmarkStart w:id="121" w:name="_Toc444077331"/>
      <w:bookmarkStart w:id="122" w:name="_Toc447030534"/>
      <w:bookmarkStart w:id="123" w:name="_Toc447030686"/>
      <w:bookmarkStart w:id="124" w:name="_Toc447030779"/>
      <w:bookmarkStart w:id="125" w:name="_Toc65742842"/>
      <w:bookmarkStart w:id="126" w:name="_Toc114477505"/>
      <w:bookmarkStart w:id="127" w:name="_Toc116414676"/>
      <w:bookmarkStart w:id="128" w:name="_Toc116472655"/>
      <w:bookmarkStart w:id="129" w:name="_Toc116473870"/>
      <w:r w:rsidRPr="00FD06ED">
        <w:rPr>
          <w:rFonts w:ascii="Arial Bold" w:eastAsia="Times New Roman" w:hAnsi="Arial Bold" w:cs="Times New Roman"/>
          <w:b/>
          <w:color w:val="FFFFFF"/>
          <w:sz w:val="24"/>
          <w:szCs w:val="20"/>
          <w:lang w:eastAsia="en-US"/>
        </w:rPr>
        <w:lastRenderedPageBreak/>
        <w:t>Overview</w:t>
      </w:r>
      <w:bookmarkEnd w:id="119"/>
      <w:bookmarkEnd w:id="120"/>
      <w:bookmarkEnd w:id="121"/>
      <w:bookmarkEnd w:id="122"/>
      <w:bookmarkEnd w:id="123"/>
      <w:bookmarkEnd w:id="124"/>
      <w:bookmarkEnd w:id="125"/>
      <w:bookmarkEnd w:id="126"/>
      <w:bookmarkEnd w:id="127"/>
      <w:bookmarkEnd w:id="128"/>
      <w:bookmarkEnd w:id="129"/>
      <w:r w:rsidRPr="00FD06ED">
        <w:rPr>
          <w:rFonts w:ascii="Arial Bold" w:eastAsia="Times New Roman" w:hAnsi="Arial Bold" w:cs="Times New Roman"/>
          <w:b/>
          <w:color w:val="FFFFFF"/>
          <w:sz w:val="24"/>
          <w:szCs w:val="20"/>
          <w:highlight w:val="darkMagenta"/>
          <w:lang w:eastAsia="en-US"/>
        </w:rPr>
        <w:tab/>
      </w:r>
    </w:p>
    <w:p w14:paraId="7900EB7D" w14:textId="77777777" w:rsidR="00FD06ED" w:rsidRPr="00FD06ED" w:rsidRDefault="00FD06ED" w:rsidP="00FD06ED">
      <w:pPr>
        <w:spacing w:before="0" w:line="120" w:lineRule="atLeast"/>
        <w:ind w:left="0"/>
        <w:rPr>
          <w:rFonts w:eastAsia="Times New Roman" w:cs="Times New Roman"/>
          <w:b/>
          <w:bCs/>
          <w:sz w:val="4"/>
          <w:szCs w:val="4"/>
          <w:lang w:eastAsia="en-US"/>
        </w:rPr>
      </w:pPr>
    </w:p>
    <w:p w14:paraId="33571CB6" w14:textId="77777777" w:rsidR="00FD06ED" w:rsidRPr="00FD06ED" w:rsidRDefault="00FD06ED" w:rsidP="00FD06ED">
      <w:pPr>
        <w:spacing w:before="0" w:after="0"/>
        <w:ind w:left="0"/>
        <w:jc w:val="both"/>
        <w:rPr>
          <w:rFonts w:eastAsia="Times New Roman"/>
          <w:b/>
          <w:bCs/>
          <w:color w:val="800080"/>
          <w:sz w:val="18"/>
          <w:szCs w:val="18"/>
          <w:lang w:eastAsia="en-AU"/>
        </w:rPr>
      </w:pPr>
      <w:r w:rsidRPr="00FD06ED">
        <w:rPr>
          <w:rFonts w:eastAsia="Times New Roman"/>
          <w:b/>
          <w:bCs/>
          <w:color w:val="800080"/>
          <w:sz w:val="18"/>
          <w:szCs w:val="18"/>
          <w:lang w:eastAsia="en-AU"/>
        </w:rPr>
        <w:t>General information</w:t>
      </w:r>
    </w:p>
    <w:p w14:paraId="2FF54729" w14:textId="77777777" w:rsidR="00FD06ED" w:rsidRPr="00FD06ED" w:rsidRDefault="00FD06ED" w:rsidP="00FD06ED">
      <w:pPr>
        <w:spacing w:before="0" w:after="0"/>
        <w:ind w:left="0"/>
        <w:jc w:val="both"/>
        <w:rPr>
          <w:rFonts w:eastAsia="Times New Roman"/>
          <w:sz w:val="18"/>
          <w:szCs w:val="18"/>
          <w:lang w:eastAsia="en-AU"/>
        </w:rPr>
      </w:pPr>
    </w:p>
    <w:p w14:paraId="6FB7CFF3" w14:textId="77777777" w:rsidR="00FD06ED" w:rsidRPr="00FD06ED" w:rsidRDefault="00FD06ED" w:rsidP="00FD06ED">
      <w:pPr>
        <w:tabs>
          <w:tab w:val="left" w:pos="9504"/>
        </w:tabs>
        <w:spacing w:before="0" w:after="0"/>
        <w:ind w:left="0"/>
        <w:jc w:val="both"/>
        <w:rPr>
          <w:rFonts w:eastAsia="Times New Roman"/>
          <w:sz w:val="18"/>
          <w:szCs w:val="18"/>
          <w:lang w:eastAsia="en-AU"/>
        </w:rPr>
      </w:pPr>
      <w:r w:rsidRPr="00FD06ED">
        <w:rPr>
          <w:rFonts w:eastAsia="Times New Roman"/>
          <w:sz w:val="18"/>
          <w:szCs w:val="18"/>
          <w:lang w:eastAsia="en-AU"/>
        </w:rPr>
        <w:t xml:space="preserve">The National Disability Insurance Agency (‘the Agency’) was established on 29 March 2013 by the </w:t>
      </w:r>
      <w:r w:rsidRPr="00FD06ED">
        <w:rPr>
          <w:rFonts w:eastAsia="Times New Roman"/>
          <w:i/>
          <w:sz w:val="18"/>
          <w:szCs w:val="18"/>
          <w:lang w:eastAsia="en-AU"/>
        </w:rPr>
        <w:t>National Disability Insurance Scheme Act 2013</w:t>
      </w:r>
      <w:r w:rsidRPr="00FD06ED">
        <w:rPr>
          <w:rFonts w:eastAsia="Times New Roman"/>
          <w:sz w:val="18"/>
          <w:szCs w:val="18"/>
          <w:lang w:eastAsia="en-AU"/>
        </w:rPr>
        <w:t xml:space="preserve"> (‘the Act’). The Agency is an Australian Government controlled not-for-profit entity.</w:t>
      </w:r>
    </w:p>
    <w:p w14:paraId="79B1983B" w14:textId="77777777" w:rsidR="00FD06ED" w:rsidRPr="00FD06ED" w:rsidRDefault="00FD06ED" w:rsidP="00FD06ED">
      <w:pPr>
        <w:tabs>
          <w:tab w:val="left" w:pos="9504"/>
        </w:tabs>
        <w:spacing w:before="0" w:after="0"/>
        <w:ind w:left="0"/>
        <w:jc w:val="both"/>
        <w:rPr>
          <w:rFonts w:eastAsia="Times New Roman"/>
          <w:sz w:val="18"/>
          <w:szCs w:val="18"/>
          <w:lang w:eastAsia="en-AU"/>
        </w:rPr>
      </w:pPr>
    </w:p>
    <w:p w14:paraId="2D2A127C" w14:textId="77777777" w:rsidR="00FD06ED" w:rsidRPr="00FD06ED" w:rsidRDefault="00FD06ED" w:rsidP="00FD06ED">
      <w:pPr>
        <w:tabs>
          <w:tab w:val="left" w:pos="7230"/>
          <w:tab w:val="left" w:pos="9504"/>
        </w:tabs>
        <w:spacing w:before="0" w:after="0"/>
        <w:ind w:left="0"/>
        <w:jc w:val="both"/>
        <w:rPr>
          <w:rFonts w:eastAsia="Times New Roman"/>
          <w:sz w:val="18"/>
          <w:szCs w:val="18"/>
          <w:lang w:eastAsia="en-AU"/>
        </w:rPr>
      </w:pPr>
      <w:r w:rsidRPr="00FD06ED">
        <w:rPr>
          <w:rFonts w:eastAsia="Times New Roman"/>
          <w:sz w:val="18"/>
          <w:szCs w:val="18"/>
          <w:lang w:eastAsia="en-AU"/>
        </w:rPr>
        <w:t xml:space="preserve">The Scheme has operations in all states and territories of Australia, with its national office at 13 – 19 </w:t>
      </w:r>
      <w:proofErr w:type="spellStart"/>
      <w:r w:rsidRPr="00FD06ED">
        <w:rPr>
          <w:rFonts w:eastAsia="Times New Roman"/>
          <w:sz w:val="18"/>
          <w:szCs w:val="18"/>
          <w:lang w:eastAsia="en-AU"/>
        </w:rPr>
        <w:t>Malop</w:t>
      </w:r>
      <w:proofErr w:type="spellEnd"/>
      <w:r w:rsidRPr="00FD06ED">
        <w:rPr>
          <w:rFonts w:eastAsia="Times New Roman"/>
          <w:sz w:val="18"/>
          <w:szCs w:val="18"/>
          <w:lang w:eastAsia="en-AU"/>
        </w:rPr>
        <w:t xml:space="preserve"> Street, Geelong, Victoria, 3220.</w:t>
      </w:r>
    </w:p>
    <w:p w14:paraId="4213ED0C" w14:textId="77777777" w:rsidR="00FD06ED" w:rsidRPr="00FD06ED" w:rsidRDefault="00FD06ED" w:rsidP="00FD06ED">
      <w:pPr>
        <w:tabs>
          <w:tab w:val="left" w:pos="7230"/>
          <w:tab w:val="left" w:pos="9504"/>
        </w:tabs>
        <w:spacing w:before="0" w:after="0"/>
        <w:ind w:left="0"/>
        <w:jc w:val="both"/>
        <w:rPr>
          <w:rFonts w:eastAsia="Times New Roman"/>
          <w:sz w:val="18"/>
          <w:szCs w:val="18"/>
          <w:lang w:eastAsia="en-AU"/>
        </w:rPr>
      </w:pPr>
      <w:r w:rsidRPr="00FD06ED">
        <w:rPr>
          <w:rFonts w:eastAsia="Times New Roman"/>
          <w:sz w:val="18"/>
          <w:szCs w:val="18"/>
          <w:lang w:eastAsia="en-AU"/>
        </w:rPr>
        <w:tab/>
      </w:r>
    </w:p>
    <w:p w14:paraId="1179C293" w14:textId="77777777" w:rsidR="00FD06ED" w:rsidRPr="00FD06ED" w:rsidRDefault="00FD06ED" w:rsidP="00FD06ED">
      <w:pPr>
        <w:spacing w:before="0" w:after="0"/>
        <w:ind w:left="0"/>
        <w:jc w:val="both"/>
        <w:rPr>
          <w:rFonts w:eastAsia="Times New Roman"/>
          <w:b/>
          <w:bCs/>
          <w:color w:val="800080"/>
          <w:sz w:val="18"/>
          <w:szCs w:val="18"/>
          <w:lang w:eastAsia="en-AU"/>
        </w:rPr>
      </w:pPr>
      <w:r w:rsidRPr="00FD06ED">
        <w:rPr>
          <w:rFonts w:eastAsia="Times New Roman"/>
          <w:b/>
          <w:bCs/>
          <w:color w:val="800080"/>
          <w:sz w:val="18"/>
          <w:szCs w:val="18"/>
          <w:lang w:eastAsia="en-AU"/>
        </w:rPr>
        <w:t>Objectives of the Agency</w:t>
      </w:r>
    </w:p>
    <w:p w14:paraId="072A3362" w14:textId="77777777" w:rsidR="00FD06ED" w:rsidRPr="00FD06ED" w:rsidRDefault="00FD06ED" w:rsidP="00FD06ED">
      <w:pPr>
        <w:spacing w:before="0" w:after="0"/>
        <w:ind w:left="0"/>
        <w:jc w:val="both"/>
        <w:rPr>
          <w:rFonts w:eastAsia="Times New Roman"/>
          <w:sz w:val="18"/>
          <w:szCs w:val="18"/>
          <w:lang w:eastAsia="en-AU"/>
        </w:rPr>
      </w:pPr>
    </w:p>
    <w:p w14:paraId="7901EFFE" w14:textId="77777777" w:rsidR="00FD06ED" w:rsidRPr="00FD06ED" w:rsidRDefault="00FD06ED" w:rsidP="00FD06ED">
      <w:pPr>
        <w:spacing w:before="0" w:after="0"/>
        <w:ind w:left="0"/>
        <w:jc w:val="both"/>
        <w:rPr>
          <w:rFonts w:eastAsia="Times New Roman"/>
          <w:sz w:val="18"/>
          <w:szCs w:val="18"/>
          <w:highlight w:val="cyan"/>
          <w:lang w:eastAsia="en-AU"/>
        </w:rPr>
      </w:pPr>
      <w:r w:rsidRPr="00FD06ED">
        <w:rPr>
          <w:rFonts w:eastAsia="Times New Roman"/>
          <w:sz w:val="18"/>
          <w:szCs w:val="18"/>
          <w:lang w:eastAsia="en-AU"/>
        </w:rPr>
        <w:t xml:space="preserve">The objective of the Agency is to operate under the Act, and in conjunction with other legislation, to give effect to Australia’s obligations under the Convention on the Rights of Persons with Disabilities. In doing so, the Agency supports the independence, social and economic participation of people with a disability.  </w:t>
      </w:r>
    </w:p>
    <w:p w14:paraId="5A60E8B8" w14:textId="77777777" w:rsidR="00FD06ED" w:rsidRPr="00FD06ED" w:rsidRDefault="00FD06ED" w:rsidP="00FD06ED">
      <w:pPr>
        <w:spacing w:before="0" w:after="0"/>
        <w:ind w:left="0"/>
        <w:jc w:val="both"/>
        <w:rPr>
          <w:rFonts w:eastAsia="Times New Roman"/>
          <w:sz w:val="18"/>
          <w:szCs w:val="18"/>
          <w:lang w:eastAsia="en-AU"/>
        </w:rPr>
      </w:pPr>
    </w:p>
    <w:p w14:paraId="52CCC803"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The Agency is structured to meet the following outcome:</w:t>
      </w:r>
    </w:p>
    <w:p w14:paraId="15220DE2" w14:textId="77777777" w:rsidR="00FD06ED" w:rsidRPr="00FD06ED" w:rsidRDefault="00FD06ED" w:rsidP="00FD06ED">
      <w:pPr>
        <w:spacing w:before="0" w:after="0"/>
        <w:ind w:left="0"/>
        <w:jc w:val="both"/>
        <w:rPr>
          <w:rFonts w:eastAsia="Times New Roman"/>
          <w:sz w:val="18"/>
          <w:szCs w:val="18"/>
          <w:lang w:eastAsia="en-AU"/>
        </w:rPr>
      </w:pPr>
    </w:p>
    <w:p w14:paraId="567B5511" w14:textId="77777777" w:rsidR="00FD06ED" w:rsidRPr="00FD06ED" w:rsidRDefault="00FD06ED" w:rsidP="00FD06ED">
      <w:pPr>
        <w:spacing w:before="0" w:after="0"/>
        <w:ind w:left="0"/>
        <w:jc w:val="both"/>
        <w:rPr>
          <w:rFonts w:eastAsia="Times New Roman"/>
          <w:i/>
          <w:sz w:val="18"/>
          <w:szCs w:val="18"/>
          <w:lang w:eastAsia="en-AU"/>
        </w:rPr>
      </w:pPr>
      <w:r w:rsidRPr="00FD06ED">
        <w:rPr>
          <w:rFonts w:eastAsia="Times New Roman"/>
          <w:i/>
          <w:sz w:val="18"/>
          <w:szCs w:val="18"/>
          <w:lang w:eastAsia="en-AU"/>
        </w:rPr>
        <w:t>To implement a National Disability Insurance Scheme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547B4F55" w14:textId="77777777" w:rsidR="00FD06ED" w:rsidRPr="00FD06ED" w:rsidRDefault="00FD06ED" w:rsidP="00FD06ED">
      <w:pPr>
        <w:spacing w:before="0" w:after="0"/>
        <w:ind w:left="0"/>
        <w:jc w:val="both"/>
        <w:rPr>
          <w:rFonts w:eastAsia="Times New Roman"/>
          <w:sz w:val="18"/>
          <w:szCs w:val="18"/>
          <w:lang w:eastAsia="en-AU"/>
        </w:rPr>
      </w:pPr>
    </w:p>
    <w:p w14:paraId="199F47C6"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 States and territories have continued to provide funding as set out in the bilateral agreements between each state and territory and the Commonwealth.</w:t>
      </w:r>
    </w:p>
    <w:p w14:paraId="0E912CE2" w14:textId="77777777" w:rsidR="00FD06ED" w:rsidRPr="00FD06ED" w:rsidRDefault="00FD06ED" w:rsidP="00FD06ED">
      <w:pPr>
        <w:spacing w:before="0" w:after="0"/>
        <w:ind w:left="0"/>
        <w:jc w:val="both"/>
        <w:rPr>
          <w:rFonts w:eastAsia="Times New Roman"/>
          <w:sz w:val="18"/>
          <w:szCs w:val="18"/>
          <w:lang w:eastAsia="en-AU"/>
        </w:rPr>
      </w:pPr>
    </w:p>
    <w:p w14:paraId="7273852F" w14:textId="77777777" w:rsidR="00FD06ED" w:rsidRPr="00FD06ED" w:rsidRDefault="00FD06ED" w:rsidP="00FD06ED">
      <w:pPr>
        <w:spacing w:before="0" w:after="0"/>
        <w:ind w:left="0"/>
        <w:jc w:val="both"/>
        <w:rPr>
          <w:rFonts w:eastAsia="Times New Roman"/>
          <w:b/>
          <w:bCs/>
          <w:color w:val="800080"/>
          <w:sz w:val="18"/>
          <w:szCs w:val="18"/>
          <w:lang w:eastAsia="en-AU"/>
        </w:rPr>
      </w:pPr>
      <w:r w:rsidRPr="00FD06ED">
        <w:rPr>
          <w:rFonts w:eastAsia="Times New Roman"/>
          <w:b/>
          <w:bCs/>
          <w:color w:val="800080"/>
          <w:sz w:val="18"/>
          <w:szCs w:val="18"/>
          <w:lang w:eastAsia="en-AU"/>
        </w:rPr>
        <w:t>The Basis of Preparation</w:t>
      </w:r>
    </w:p>
    <w:p w14:paraId="54C946EC" w14:textId="77777777" w:rsidR="00FD06ED" w:rsidRPr="00FD06ED" w:rsidRDefault="00FD06ED" w:rsidP="00FD06ED">
      <w:pPr>
        <w:spacing w:before="0" w:after="0"/>
        <w:ind w:left="0"/>
        <w:jc w:val="both"/>
        <w:rPr>
          <w:rFonts w:eastAsia="Times New Roman"/>
          <w:sz w:val="18"/>
          <w:szCs w:val="18"/>
          <w:lang w:eastAsia="en-AU"/>
        </w:rPr>
      </w:pPr>
    </w:p>
    <w:p w14:paraId="48B2A679" w14:textId="77777777" w:rsidR="00FD06ED" w:rsidRPr="00FD06ED" w:rsidRDefault="00FD06ED" w:rsidP="00FD06ED">
      <w:pPr>
        <w:spacing w:before="0" w:after="0"/>
        <w:ind w:left="0"/>
        <w:jc w:val="both"/>
        <w:rPr>
          <w:rFonts w:eastAsia="Times New Roman"/>
          <w:bCs/>
          <w:sz w:val="18"/>
          <w:szCs w:val="18"/>
          <w:lang w:eastAsia="en-AU"/>
        </w:rPr>
      </w:pPr>
      <w:r w:rsidRPr="00FD06ED">
        <w:rPr>
          <w:rFonts w:eastAsia="Times New Roman"/>
          <w:bCs/>
          <w:sz w:val="18"/>
          <w:szCs w:val="18"/>
          <w:lang w:eastAsia="en-AU"/>
        </w:rPr>
        <w:t xml:space="preserve">The financial statements are required by section 42 of the </w:t>
      </w:r>
      <w:r w:rsidRPr="00FD06ED">
        <w:rPr>
          <w:rFonts w:eastAsia="Times New Roman"/>
          <w:bCs/>
          <w:i/>
          <w:sz w:val="18"/>
          <w:szCs w:val="18"/>
          <w:lang w:eastAsia="en-AU"/>
        </w:rPr>
        <w:t>Public Governance, Performance and Accountability Act 2013</w:t>
      </w:r>
      <w:r w:rsidRPr="00FD06ED">
        <w:rPr>
          <w:rFonts w:eastAsia="Times New Roman"/>
          <w:bCs/>
          <w:sz w:val="18"/>
          <w:szCs w:val="18"/>
          <w:lang w:eastAsia="en-AU"/>
        </w:rPr>
        <w:t>.</w:t>
      </w:r>
    </w:p>
    <w:p w14:paraId="08A94887" w14:textId="77777777" w:rsidR="00FD06ED" w:rsidRPr="00FD06ED" w:rsidRDefault="00FD06ED" w:rsidP="00FD06ED">
      <w:pPr>
        <w:spacing w:before="0" w:after="0"/>
        <w:ind w:left="0"/>
        <w:jc w:val="both"/>
        <w:rPr>
          <w:rFonts w:eastAsia="Times New Roman"/>
          <w:sz w:val="18"/>
          <w:szCs w:val="18"/>
          <w:lang w:eastAsia="en-AU"/>
        </w:rPr>
      </w:pPr>
    </w:p>
    <w:p w14:paraId="61500AFA"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The financial statements have been prepared in accordance with:</w:t>
      </w:r>
    </w:p>
    <w:p w14:paraId="56C211E7" w14:textId="77777777" w:rsidR="00FD06ED" w:rsidRPr="00FD06ED" w:rsidRDefault="00FD06ED" w:rsidP="00873C47">
      <w:pPr>
        <w:numPr>
          <w:ilvl w:val="0"/>
          <w:numId w:val="39"/>
        </w:numPr>
        <w:spacing w:before="0" w:after="0" w:line="260" w:lineRule="atLeast"/>
        <w:contextualSpacing/>
        <w:jc w:val="both"/>
        <w:rPr>
          <w:rFonts w:eastAsia="Times New Roman"/>
          <w:sz w:val="18"/>
          <w:szCs w:val="18"/>
          <w:lang w:eastAsia="en-AU"/>
        </w:rPr>
      </w:pPr>
      <w:r w:rsidRPr="00FD06ED">
        <w:rPr>
          <w:rFonts w:eastAsia="Times New Roman"/>
          <w:i/>
          <w:sz w:val="18"/>
          <w:szCs w:val="18"/>
          <w:lang w:eastAsia="en-AU"/>
        </w:rPr>
        <w:t>Public Governance, Performance and Accountability (Financial Reporting) Rule 2015</w:t>
      </w:r>
      <w:r w:rsidRPr="00FD06ED">
        <w:rPr>
          <w:rFonts w:eastAsia="Times New Roman"/>
          <w:sz w:val="18"/>
          <w:szCs w:val="18"/>
          <w:lang w:eastAsia="en-AU"/>
        </w:rPr>
        <w:t xml:space="preserve"> (FRR); and  </w:t>
      </w:r>
    </w:p>
    <w:p w14:paraId="6E35B923" w14:textId="77777777" w:rsidR="00FD06ED" w:rsidRPr="00FD06ED" w:rsidRDefault="00FD06ED" w:rsidP="00873C47">
      <w:pPr>
        <w:numPr>
          <w:ilvl w:val="0"/>
          <w:numId w:val="39"/>
        </w:numPr>
        <w:spacing w:before="0" w:after="0" w:line="260" w:lineRule="atLeast"/>
        <w:contextualSpacing/>
        <w:jc w:val="both"/>
        <w:rPr>
          <w:rFonts w:eastAsia="Times New Roman"/>
          <w:sz w:val="18"/>
          <w:szCs w:val="18"/>
          <w:lang w:eastAsia="en-AU"/>
        </w:rPr>
      </w:pPr>
      <w:r w:rsidRPr="00FD06ED">
        <w:rPr>
          <w:rFonts w:eastAsia="Times New Roman"/>
          <w:sz w:val="18"/>
          <w:szCs w:val="18"/>
          <w:lang w:eastAsia="en-AU"/>
        </w:rPr>
        <w:t>Australian Accounting Standards and Interpretations – including simplified disclosures for Tier 2 Entities under AASB 1060 issued by the Australian Accounting Standards Board (AASB) that apply for the reporting period.</w:t>
      </w:r>
      <w:r w:rsidRPr="00FD06ED">
        <w:rPr>
          <w:rFonts w:eastAsia="Times New Roman"/>
          <w:sz w:val="18"/>
          <w:szCs w:val="18"/>
          <w:lang w:eastAsia="en-AU"/>
        </w:rPr>
        <w:tab/>
      </w:r>
    </w:p>
    <w:p w14:paraId="1E0C54F9" w14:textId="77777777" w:rsidR="00FD06ED" w:rsidRPr="00FD06ED" w:rsidRDefault="00FD06ED" w:rsidP="00FD06ED">
      <w:pPr>
        <w:spacing w:before="0" w:after="0"/>
        <w:ind w:left="0"/>
        <w:jc w:val="both"/>
        <w:rPr>
          <w:rFonts w:eastAsia="Times New Roman"/>
          <w:sz w:val="18"/>
          <w:szCs w:val="18"/>
          <w:lang w:eastAsia="en-AU"/>
        </w:rPr>
      </w:pPr>
    </w:p>
    <w:p w14:paraId="5A24A59A"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The financial statements have been prepared on an accrual basis and in accordance with the historical cost convention, except for certain assets and liabilities, which are measured at fair value. Except where stated, no allowance is made for the effect of changing prices on the results or the financial position. The financial statements are presented in Australian dollars and values are rounded to the nearest thousand dollars, unless otherwise specified.</w:t>
      </w:r>
    </w:p>
    <w:p w14:paraId="4AF1FA48"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ab/>
      </w:r>
    </w:p>
    <w:p w14:paraId="401B873B" w14:textId="77777777" w:rsidR="00FD06ED" w:rsidRPr="00FD06ED" w:rsidRDefault="00FD06ED" w:rsidP="00FD06ED">
      <w:pPr>
        <w:spacing w:before="0" w:after="0"/>
        <w:ind w:left="0"/>
        <w:rPr>
          <w:rFonts w:eastAsia="Times New Roman"/>
          <w:b/>
          <w:bCs/>
          <w:color w:val="800080"/>
          <w:sz w:val="18"/>
          <w:szCs w:val="18"/>
          <w:lang w:eastAsia="en-AU"/>
        </w:rPr>
      </w:pPr>
      <w:r w:rsidRPr="00FD06ED">
        <w:rPr>
          <w:rFonts w:eastAsia="Times New Roman"/>
          <w:b/>
          <w:bCs/>
          <w:color w:val="800080"/>
          <w:sz w:val="18"/>
          <w:szCs w:val="18"/>
          <w:lang w:eastAsia="en-AU"/>
        </w:rPr>
        <w:t>New Accounting Standards</w:t>
      </w:r>
    </w:p>
    <w:p w14:paraId="7B1FAB8F" w14:textId="77777777" w:rsidR="00FD06ED" w:rsidRPr="00FD06ED" w:rsidRDefault="00FD06ED" w:rsidP="00FD06ED">
      <w:pPr>
        <w:spacing w:before="0" w:after="0"/>
        <w:ind w:left="0"/>
        <w:rPr>
          <w:rFonts w:eastAsia="Times New Roman"/>
          <w:b/>
          <w:bCs/>
          <w:color w:val="800080"/>
          <w:sz w:val="18"/>
          <w:szCs w:val="18"/>
          <w:lang w:eastAsia="en-AU"/>
        </w:rPr>
      </w:pPr>
    </w:p>
    <w:p w14:paraId="090597F2" w14:textId="77777777" w:rsidR="00FD06ED" w:rsidRPr="00FD06ED" w:rsidRDefault="00FD06ED" w:rsidP="00FD06ED">
      <w:pPr>
        <w:spacing w:before="0" w:after="0"/>
        <w:ind w:left="0"/>
        <w:rPr>
          <w:rFonts w:eastAsia="Times New Roman"/>
          <w:b/>
          <w:bCs/>
          <w:color w:val="800080"/>
          <w:sz w:val="18"/>
          <w:szCs w:val="18"/>
          <w:lang w:eastAsia="en-AU"/>
        </w:rPr>
      </w:pPr>
      <w:r w:rsidRPr="00FD06ED">
        <w:rPr>
          <w:rFonts w:eastAsia="Times New Roman"/>
          <w:sz w:val="18"/>
          <w:szCs w:val="18"/>
          <w:lang w:eastAsia="en-AU"/>
        </w:rPr>
        <w:t xml:space="preserve">All new/revised/amending standards and/or interpretations that were issued prior to the sign-off date and are applicable to the current reporting period did not have a material effect on the entity’s financial statements. The application of AASB 1060, from 1 July 2021, involves some reduction in disclosure compared to the reduced disclosure requirements framework with no impact on the Agency’s reported financial statements. </w:t>
      </w:r>
    </w:p>
    <w:p w14:paraId="36A2D04B" w14:textId="77777777" w:rsidR="00FD06ED" w:rsidRPr="00FD06ED" w:rsidRDefault="00FD06ED" w:rsidP="00FD06ED">
      <w:pPr>
        <w:spacing w:before="0" w:after="0" w:line="260" w:lineRule="atLeast"/>
        <w:ind w:left="0"/>
        <w:jc w:val="both"/>
        <w:rPr>
          <w:rFonts w:eastAsia="Times New Roman"/>
          <w:strike/>
          <w:sz w:val="18"/>
          <w:szCs w:val="18"/>
          <w:lang w:eastAsia="en-AU"/>
        </w:rPr>
      </w:pPr>
    </w:p>
    <w:p w14:paraId="1F1D9BA0" w14:textId="77777777" w:rsidR="00FD06ED" w:rsidRPr="00FD06ED" w:rsidRDefault="00FD06ED" w:rsidP="00FD06ED">
      <w:pPr>
        <w:spacing w:before="0" w:after="0"/>
        <w:ind w:left="0"/>
        <w:rPr>
          <w:rFonts w:eastAsia="Times New Roman"/>
          <w:b/>
          <w:bCs/>
          <w:color w:val="800080"/>
          <w:sz w:val="18"/>
          <w:szCs w:val="18"/>
          <w:lang w:eastAsia="en-AU"/>
        </w:rPr>
      </w:pPr>
      <w:r w:rsidRPr="00FD06ED">
        <w:rPr>
          <w:rFonts w:eastAsia="Times New Roman"/>
          <w:b/>
          <w:bCs/>
          <w:color w:val="800080"/>
          <w:sz w:val="18"/>
          <w:szCs w:val="18"/>
          <w:lang w:eastAsia="en-AU"/>
        </w:rPr>
        <w:t>Taxation</w:t>
      </w:r>
    </w:p>
    <w:p w14:paraId="4DE7FC73" w14:textId="77777777" w:rsidR="00FD06ED" w:rsidRPr="00FD06ED" w:rsidRDefault="00FD06ED" w:rsidP="00FD06ED">
      <w:pPr>
        <w:keepNext/>
        <w:spacing w:before="0" w:after="0"/>
        <w:ind w:left="0"/>
        <w:jc w:val="both"/>
        <w:rPr>
          <w:rFonts w:eastAsia="Times New Roman"/>
          <w:sz w:val="18"/>
          <w:szCs w:val="18"/>
          <w:lang w:eastAsia="en-AU"/>
        </w:rPr>
      </w:pPr>
    </w:p>
    <w:p w14:paraId="57CCB1E0" w14:textId="77777777" w:rsidR="00FD06ED" w:rsidRPr="00FD06ED" w:rsidRDefault="00FD06ED" w:rsidP="00FD06ED">
      <w:pPr>
        <w:keepNext/>
        <w:spacing w:before="0" w:after="0"/>
        <w:ind w:left="0"/>
        <w:jc w:val="both"/>
        <w:rPr>
          <w:rFonts w:eastAsia="Times New Roman"/>
          <w:sz w:val="18"/>
          <w:szCs w:val="18"/>
          <w:lang w:eastAsia="en-AU"/>
        </w:rPr>
      </w:pPr>
      <w:r w:rsidRPr="00FD06ED">
        <w:rPr>
          <w:rFonts w:eastAsia="Times New Roman"/>
          <w:sz w:val="18"/>
          <w:szCs w:val="18"/>
          <w:lang w:eastAsia="en-AU"/>
        </w:rPr>
        <w:t xml:space="preserve">The Agency is exempt from all forms of Commonwealth, </w:t>
      </w:r>
      <w:proofErr w:type="gramStart"/>
      <w:r w:rsidRPr="00FD06ED">
        <w:rPr>
          <w:rFonts w:eastAsia="Times New Roman"/>
          <w:sz w:val="18"/>
          <w:szCs w:val="18"/>
          <w:lang w:eastAsia="en-AU"/>
        </w:rPr>
        <w:t>state</w:t>
      </w:r>
      <w:proofErr w:type="gramEnd"/>
      <w:r w:rsidRPr="00FD06ED">
        <w:rPr>
          <w:rFonts w:eastAsia="Times New Roman"/>
          <w:sz w:val="18"/>
          <w:szCs w:val="18"/>
          <w:lang w:eastAsia="en-AU"/>
        </w:rPr>
        <w:t xml:space="preserve"> and territory taxation except Fringe Benefits Tax (FBT) and the Goods and Services Tax</w:t>
      </w:r>
      <w:r w:rsidRPr="00FD06ED" w:rsidDel="00AB0C22">
        <w:rPr>
          <w:rFonts w:eastAsia="Times New Roman"/>
          <w:sz w:val="18"/>
          <w:szCs w:val="18"/>
          <w:lang w:eastAsia="en-AU"/>
        </w:rPr>
        <w:t xml:space="preserve"> </w:t>
      </w:r>
      <w:r w:rsidRPr="00FD06ED">
        <w:rPr>
          <w:rFonts w:eastAsia="Times New Roman"/>
          <w:sz w:val="18"/>
          <w:szCs w:val="18"/>
          <w:lang w:eastAsia="en-AU"/>
        </w:rPr>
        <w:t>(GST).</w:t>
      </w:r>
    </w:p>
    <w:p w14:paraId="62D0C001" w14:textId="77777777" w:rsidR="00FD06ED" w:rsidRPr="00FD06ED" w:rsidRDefault="00FD06ED" w:rsidP="00FD06ED">
      <w:pPr>
        <w:keepNext/>
        <w:spacing w:before="0" w:after="0"/>
        <w:ind w:left="0"/>
        <w:jc w:val="both"/>
        <w:rPr>
          <w:rFonts w:eastAsia="Times New Roman"/>
          <w:sz w:val="18"/>
          <w:szCs w:val="18"/>
          <w:lang w:eastAsia="en-AU"/>
        </w:rPr>
      </w:pPr>
    </w:p>
    <w:p w14:paraId="7D62DA33" w14:textId="77777777" w:rsidR="00FD06ED" w:rsidRPr="00FD06ED" w:rsidRDefault="00FD06ED" w:rsidP="00FD06ED">
      <w:pPr>
        <w:spacing w:before="0" w:after="0"/>
        <w:ind w:left="0"/>
        <w:rPr>
          <w:rFonts w:eastAsia="Times New Roman"/>
          <w:b/>
          <w:bCs/>
          <w:color w:val="800080"/>
          <w:sz w:val="18"/>
          <w:szCs w:val="18"/>
          <w:lang w:eastAsia="en-AU"/>
        </w:rPr>
      </w:pPr>
      <w:r w:rsidRPr="00FD06ED">
        <w:rPr>
          <w:rFonts w:eastAsia="Times New Roman"/>
          <w:b/>
          <w:bCs/>
          <w:color w:val="800080"/>
          <w:sz w:val="18"/>
          <w:szCs w:val="18"/>
          <w:lang w:eastAsia="en-AU"/>
        </w:rPr>
        <w:t>Events after the reporting period</w:t>
      </w:r>
    </w:p>
    <w:p w14:paraId="5459CFAF" w14:textId="77777777" w:rsidR="00FD06ED" w:rsidRPr="00FD06ED" w:rsidRDefault="00FD06ED" w:rsidP="00FD06ED">
      <w:pPr>
        <w:spacing w:before="0" w:after="0"/>
        <w:ind w:left="0"/>
        <w:rPr>
          <w:rFonts w:eastAsia="Times New Roman"/>
          <w:b/>
          <w:bCs/>
          <w:color w:val="800080"/>
          <w:sz w:val="18"/>
          <w:szCs w:val="18"/>
          <w:lang w:eastAsia="en-AU"/>
        </w:rPr>
      </w:pPr>
    </w:p>
    <w:p w14:paraId="148161D7" w14:textId="77777777" w:rsidR="00FD06ED" w:rsidRPr="00FD06ED" w:rsidRDefault="00FD06ED" w:rsidP="00FD06ED">
      <w:pPr>
        <w:keepNext/>
        <w:spacing w:before="0" w:after="0"/>
        <w:ind w:left="0"/>
        <w:jc w:val="both"/>
        <w:rPr>
          <w:rFonts w:eastAsia="Times New Roman"/>
          <w:sz w:val="18"/>
          <w:szCs w:val="18"/>
          <w:lang w:eastAsia="en-AU"/>
        </w:rPr>
      </w:pPr>
      <w:bookmarkStart w:id="130" w:name="_Toc444065770"/>
      <w:bookmarkStart w:id="131" w:name="_Toc444077332"/>
      <w:bookmarkEnd w:id="117"/>
      <w:bookmarkEnd w:id="118"/>
      <w:r w:rsidRPr="00FD06ED">
        <w:rPr>
          <w:rFonts w:eastAsia="Times New Roman"/>
          <w:sz w:val="18"/>
          <w:szCs w:val="18"/>
          <w:lang w:eastAsia="en-AU"/>
        </w:rPr>
        <w:t xml:space="preserve">There are no known events occurring after the reporting period that could have a material impact on the financial statements. </w:t>
      </w:r>
    </w:p>
    <w:p w14:paraId="429332D9" w14:textId="77777777" w:rsidR="00FD06ED" w:rsidRPr="00FD06ED" w:rsidRDefault="00FD06ED" w:rsidP="00FD06ED">
      <w:pPr>
        <w:keepNext/>
        <w:spacing w:before="0" w:after="0"/>
        <w:ind w:left="0"/>
        <w:jc w:val="both"/>
        <w:rPr>
          <w:rFonts w:eastAsia="Times New Roman"/>
          <w:sz w:val="18"/>
          <w:szCs w:val="18"/>
          <w:lang w:eastAsia="en-AU"/>
        </w:rPr>
      </w:pPr>
    </w:p>
    <w:p w14:paraId="24127C16" w14:textId="77777777" w:rsidR="00FD06ED" w:rsidRPr="00FD06ED" w:rsidRDefault="00FD06ED" w:rsidP="00FD06ED">
      <w:pPr>
        <w:keepNext/>
        <w:spacing w:before="0" w:after="0"/>
        <w:ind w:left="0"/>
        <w:jc w:val="both"/>
        <w:rPr>
          <w:rFonts w:eastAsia="Times New Roman"/>
          <w:sz w:val="18"/>
          <w:szCs w:val="18"/>
          <w:lang w:eastAsia="en-AU"/>
        </w:rPr>
      </w:pPr>
    </w:p>
    <w:p w14:paraId="742F15E1" w14:textId="396EC7D3" w:rsidR="00FD06ED" w:rsidRPr="00FD06ED" w:rsidRDefault="00FD06ED" w:rsidP="00FD06ED">
      <w:pPr>
        <w:spacing w:before="0" w:after="0"/>
        <w:ind w:left="0"/>
        <w:rPr>
          <w:rFonts w:ascii="Times New Roman" w:eastAsia="Times New Roman" w:hAnsi="Times New Roman" w:cs="Times New Roman"/>
          <w:szCs w:val="20"/>
          <w:lang w:eastAsia="en-US"/>
        </w:rPr>
        <w:sectPr w:rsidR="00FD06ED" w:rsidRPr="00FD06ED" w:rsidSect="00AA484E">
          <w:type w:val="continuous"/>
          <w:pgSz w:w="11906" w:h="16838" w:code="9"/>
          <w:pgMar w:top="1134" w:right="1700" w:bottom="1134" w:left="1134" w:header="958" w:footer="737" w:gutter="0"/>
          <w:cols w:space="708"/>
          <w:docGrid w:linePitch="360"/>
        </w:sectPr>
      </w:pPr>
    </w:p>
    <w:p w14:paraId="4D675A4A" w14:textId="77777777" w:rsidR="00FD06ED" w:rsidRPr="00FD06ED" w:rsidRDefault="00FD06ED" w:rsidP="00FD06ED">
      <w:pPr>
        <w:spacing w:before="0" w:after="0"/>
        <w:ind w:left="0"/>
        <w:rPr>
          <w:rFonts w:ascii="Times New Roman" w:eastAsia="Times New Roman" w:hAnsi="Times New Roman" w:cs="Times New Roman"/>
          <w:szCs w:val="20"/>
          <w:lang w:eastAsia="en-US"/>
        </w:rPr>
        <w:sectPr w:rsidR="00FD06ED" w:rsidRPr="00FD06ED" w:rsidSect="00AA484E">
          <w:type w:val="continuous"/>
          <w:pgSz w:w="11906" w:h="16838" w:code="9"/>
          <w:pgMar w:top="1134" w:right="1700" w:bottom="1134" w:left="1134" w:header="958" w:footer="737" w:gutter="0"/>
          <w:cols w:space="708"/>
          <w:docGrid w:linePitch="360"/>
        </w:sectPr>
      </w:pPr>
    </w:p>
    <w:p w14:paraId="10FFA4F9" w14:textId="6809536D" w:rsidR="00FD06ED" w:rsidRPr="00844F9B" w:rsidRDefault="00844F9B" w:rsidP="00015F3C">
      <w:pPr>
        <w:shd w:val="clear" w:color="00CC99" w:fill="800080"/>
        <w:spacing w:before="0" w:after="0" w:line="260" w:lineRule="atLeast"/>
        <w:ind w:left="360" w:hanging="360"/>
        <w:outlineLvl w:val="2"/>
        <w:rPr>
          <w:lang w:eastAsia="en-US"/>
        </w:rPr>
      </w:pPr>
      <w:bookmarkStart w:id="132" w:name="_Toc447030535"/>
      <w:bookmarkStart w:id="133" w:name="_Toc447030687"/>
      <w:bookmarkStart w:id="134" w:name="_Toc447030780"/>
      <w:bookmarkStart w:id="135" w:name="_Toc65742843"/>
      <w:bookmarkStart w:id="136" w:name="_Toc114477506"/>
      <w:bookmarkStart w:id="137" w:name="_Toc116414677"/>
      <w:bookmarkStart w:id="138" w:name="_Toc116472656"/>
      <w:bookmarkStart w:id="139" w:name="_Toc116473871"/>
      <w:r>
        <w:rPr>
          <w:lang w:eastAsia="en-US"/>
        </w:rPr>
        <w:lastRenderedPageBreak/>
        <w:t xml:space="preserve">1. </w:t>
      </w:r>
      <w:r w:rsidR="00FD06ED" w:rsidRPr="00844F9B">
        <w:rPr>
          <w:lang w:eastAsia="en-US"/>
        </w:rPr>
        <w:t>Financial Performance</w:t>
      </w:r>
      <w:bookmarkEnd w:id="130"/>
      <w:bookmarkEnd w:id="131"/>
      <w:bookmarkEnd w:id="132"/>
      <w:bookmarkEnd w:id="133"/>
      <w:bookmarkEnd w:id="134"/>
      <w:bookmarkEnd w:id="135"/>
      <w:bookmarkEnd w:id="136"/>
      <w:bookmarkEnd w:id="137"/>
      <w:bookmarkEnd w:id="138"/>
      <w:bookmarkEnd w:id="139"/>
    </w:p>
    <w:p w14:paraId="3A68A100"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bookmarkStart w:id="140" w:name="_Toc444065771"/>
      <w:r w:rsidRPr="00FD06ED">
        <w:rPr>
          <w:rFonts w:eastAsia="Times New Roman" w:cs="Times New Roman"/>
          <w:color w:val="FFFFFF"/>
          <w:sz w:val="18"/>
          <w:szCs w:val="18"/>
          <w:lang w:eastAsia="en-US"/>
        </w:rPr>
        <w:t xml:space="preserve">This section analyses the financial performance of the Agency for the year ended </w:t>
      </w:r>
      <w:r w:rsidRPr="00FD06ED">
        <w:rPr>
          <w:rFonts w:eastAsia="Times New Roman" w:cs="Times New Roman"/>
          <w:color w:val="FFFFFF"/>
          <w:sz w:val="18"/>
          <w:szCs w:val="18"/>
          <w:lang w:eastAsia="en-US"/>
        </w:rPr>
        <w:fldChar w:fldCharType="begin"/>
      </w:r>
      <w:r w:rsidRPr="00FD06ED">
        <w:rPr>
          <w:rFonts w:eastAsia="Times New Roman" w:cs="Times New Roman"/>
          <w:color w:val="FFFFFF"/>
          <w:sz w:val="18"/>
          <w:szCs w:val="18"/>
          <w:lang w:eastAsia="en-US"/>
        </w:rPr>
        <w:instrText xml:space="preserve"> DOCPROPERTY  pEnd  \* MERGEFORMAT </w:instrText>
      </w:r>
      <w:r w:rsidRPr="00FD06ED">
        <w:rPr>
          <w:rFonts w:eastAsia="Times New Roman" w:cs="Times New Roman"/>
          <w:color w:val="FFFFFF"/>
          <w:sz w:val="18"/>
          <w:szCs w:val="18"/>
          <w:lang w:eastAsia="en-US"/>
        </w:rPr>
        <w:fldChar w:fldCharType="separate"/>
      </w:r>
      <w:r w:rsidRPr="00FD06ED">
        <w:rPr>
          <w:rFonts w:eastAsia="Times New Roman" w:cs="Times New Roman"/>
          <w:color w:val="FFFFFF"/>
          <w:sz w:val="18"/>
          <w:szCs w:val="18"/>
          <w:lang w:eastAsia="en-US"/>
        </w:rPr>
        <w:t>30 June</w:t>
      </w:r>
      <w:r w:rsidRPr="00FD06ED">
        <w:rPr>
          <w:rFonts w:eastAsia="Times New Roman" w:cs="Times New Roman"/>
          <w:color w:val="FFFFFF"/>
          <w:sz w:val="18"/>
          <w:szCs w:val="18"/>
          <w:lang w:eastAsia="en-US"/>
        </w:rPr>
        <w:fldChar w:fldCharType="end"/>
      </w:r>
      <w:r w:rsidRPr="00FD06ED">
        <w:rPr>
          <w:rFonts w:eastAsia="Times New Roman" w:cs="Times New Roman"/>
          <w:color w:val="FFFFFF"/>
          <w:sz w:val="18"/>
          <w:szCs w:val="18"/>
          <w:lang w:eastAsia="en-US"/>
        </w:rPr>
        <w:t xml:space="preserve"> </w:t>
      </w:r>
      <w:r w:rsidRPr="00FD06ED">
        <w:rPr>
          <w:rFonts w:eastAsia="Times New Roman" w:cs="Times New Roman"/>
          <w:color w:val="FFFFFF"/>
          <w:sz w:val="18"/>
          <w:szCs w:val="18"/>
          <w:lang w:eastAsia="en-US"/>
        </w:rPr>
        <w:fldChar w:fldCharType="begin"/>
      </w:r>
      <w:r w:rsidRPr="00FD06ED">
        <w:rPr>
          <w:rFonts w:eastAsia="Times New Roman" w:cs="Times New Roman"/>
          <w:color w:val="FFFFFF"/>
          <w:sz w:val="18"/>
          <w:szCs w:val="18"/>
          <w:lang w:eastAsia="en-US"/>
        </w:rPr>
        <w:instrText xml:space="preserve"> DOCPROPERTY  crYear  \* MERGEFORMAT </w:instrText>
      </w:r>
      <w:r w:rsidRPr="00FD06ED">
        <w:rPr>
          <w:rFonts w:eastAsia="Times New Roman" w:cs="Times New Roman"/>
          <w:color w:val="FFFFFF"/>
          <w:sz w:val="18"/>
          <w:szCs w:val="18"/>
          <w:lang w:eastAsia="en-US"/>
        </w:rPr>
        <w:fldChar w:fldCharType="separate"/>
      </w:r>
      <w:r w:rsidRPr="00FD06ED">
        <w:rPr>
          <w:rFonts w:eastAsia="Times New Roman" w:cs="Times New Roman"/>
          <w:color w:val="FFFFFF"/>
          <w:sz w:val="18"/>
          <w:szCs w:val="18"/>
          <w:lang w:eastAsia="en-US"/>
        </w:rPr>
        <w:t>2022</w:t>
      </w:r>
      <w:r w:rsidRPr="00FD06ED">
        <w:rPr>
          <w:rFonts w:eastAsia="Times New Roman" w:cs="Times New Roman"/>
          <w:color w:val="FFFFFF"/>
          <w:sz w:val="18"/>
          <w:szCs w:val="18"/>
          <w:lang w:eastAsia="en-US"/>
        </w:rPr>
        <w:fldChar w:fldCharType="end"/>
      </w:r>
      <w:r w:rsidRPr="00FD06ED">
        <w:rPr>
          <w:rFonts w:eastAsia="Times New Roman" w:cs="Times New Roman"/>
          <w:color w:val="FFFFFF"/>
          <w:sz w:val="18"/>
          <w:szCs w:val="18"/>
          <w:lang w:eastAsia="en-US"/>
        </w:rPr>
        <w:t>.</w:t>
      </w:r>
      <w:bookmarkStart w:id="141" w:name="_Toc443469523"/>
      <w:bookmarkStart w:id="142" w:name="_Toc444065772"/>
      <w:bookmarkStart w:id="143" w:name="_Toc444077333"/>
      <w:bookmarkEnd w:id="140"/>
    </w:p>
    <w:p w14:paraId="5AF54DD9" w14:textId="4A4A8157" w:rsidR="00FD06ED" w:rsidRPr="00FD06ED" w:rsidRDefault="00250604"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144" w:name="_Toc447030536"/>
      <w:bookmarkStart w:id="145" w:name="_Toc447030688"/>
      <w:bookmarkStart w:id="146" w:name="_Toc447030781"/>
      <w:bookmarkStart w:id="147" w:name="_Toc65742844"/>
      <w:bookmarkStart w:id="148" w:name="_Toc114477507"/>
      <w:bookmarkStart w:id="149" w:name="_Toc116414678"/>
      <w:bookmarkStart w:id="150" w:name="_Toc116472657"/>
      <w:bookmarkStart w:id="151" w:name="_Toc116473872"/>
      <w:r>
        <w:rPr>
          <w:rFonts w:eastAsia="Times New Roman"/>
          <w:b/>
          <w:color w:val="FFFFFF"/>
          <w:sz w:val="20"/>
          <w:szCs w:val="20"/>
          <w:lang w:eastAsia="en-US"/>
        </w:rPr>
        <w:t xml:space="preserve">1.1 </w:t>
      </w:r>
      <w:r w:rsidR="00FD06ED" w:rsidRPr="00FD06ED">
        <w:rPr>
          <w:rFonts w:eastAsia="Times New Roman"/>
          <w:b/>
          <w:color w:val="FFFFFF"/>
          <w:sz w:val="20"/>
          <w:szCs w:val="20"/>
          <w:lang w:eastAsia="en-US"/>
        </w:rPr>
        <w:t>Expenses</w:t>
      </w:r>
      <w:bookmarkEnd w:id="141"/>
      <w:bookmarkEnd w:id="142"/>
      <w:bookmarkEnd w:id="143"/>
      <w:bookmarkEnd w:id="144"/>
      <w:bookmarkEnd w:id="145"/>
      <w:bookmarkEnd w:id="146"/>
      <w:bookmarkEnd w:id="147"/>
      <w:bookmarkEnd w:id="148"/>
      <w:bookmarkEnd w:id="149"/>
      <w:bookmarkEnd w:id="150"/>
      <w:bookmarkEnd w:id="151"/>
    </w:p>
    <w:tbl>
      <w:tblPr>
        <w:tblW w:w="9087" w:type="dxa"/>
        <w:tblLayout w:type="fixed"/>
        <w:tblLook w:val="04A0" w:firstRow="1" w:lastRow="0" w:firstColumn="1" w:lastColumn="0" w:noHBand="0" w:noVBand="1"/>
      </w:tblPr>
      <w:tblGrid>
        <w:gridCol w:w="6384"/>
        <w:gridCol w:w="1238"/>
        <w:gridCol w:w="267"/>
        <w:gridCol w:w="1198"/>
      </w:tblGrid>
      <w:tr w:rsidR="00FD06ED" w:rsidRPr="00FD06ED" w14:paraId="6B75E146" w14:textId="77777777" w:rsidTr="005C33EF">
        <w:trPr>
          <w:trHeight w:val="252"/>
        </w:trPr>
        <w:tc>
          <w:tcPr>
            <w:tcW w:w="6376" w:type="dxa"/>
            <w:tcBorders>
              <w:top w:val="nil"/>
              <w:left w:val="nil"/>
              <w:bottom w:val="nil"/>
              <w:right w:val="nil"/>
            </w:tcBorders>
            <w:shd w:val="clear" w:color="FFFFFF" w:fill="FFFFFF"/>
            <w:noWrap/>
            <w:vAlign w:val="bottom"/>
            <w:hideMark/>
          </w:tcPr>
          <w:p w14:paraId="0FB8574D" w14:textId="77777777" w:rsidR="00FD06ED" w:rsidRPr="00FD06ED" w:rsidRDefault="00FD06ED" w:rsidP="00FD06ED">
            <w:pPr>
              <w:spacing w:before="0" w:after="0" w:line="260" w:lineRule="atLeast"/>
              <w:ind w:left="0"/>
              <w:rPr>
                <w:rFonts w:eastAsia="Times New Roman"/>
                <w:sz w:val="18"/>
                <w:szCs w:val="18"/>
                <w:lang w:eastAsia="en-US"/>
              </w:rPr>
            </w:pPr>
            <w:bookmarkStart w:id="152" w:name="Note_EEX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2DF9D3C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643F4D7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vAlign w:val="bottom"/>
            <w:hideMark/>
          </w:tcPr>
          <w:p w14:paraId="6B8BC0F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52"/>
      <w:tr w:rsidR="00FD06ED" w:rsidRPr="00FD06ED" w14:paraId="7DD64438" w14:textId="77777777" w:rsidTr="005C33EF">
        <w:trPr>
          <w:trHeight w:val="252"/>
        </w:trPr>
        <w:tc>
          <w:tcPr>
            <w:tcW w:w="6376" w:type="dxa"/>
            <w:tcBorders>
              <w:top w:val="nil"/>
              <w:left w:val="nil"/>
              <w:bottom w:val="nil"/>
              <w:right w:val="nil"/>
            </w:tcBorders>
            <w:shd w:val="clear" w:color="FFFFFF" w:fill="FFFFFF"/>
            <w:noWrap/>
            <w:vAlign w:val="bottom"/>
            <w:hideMark/>
          </w:tcPr>
          <w:p w14:paraId="245020D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3109571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4E5EC58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vAlign w:val="bottom"/>
            <w:hideMark/>
          </w:tcPr>
          <w:p w14:paraId="24CD94E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08DF9851" w14:textId="77777777" w:rsidTr="005C33EF">
        <w:trPr>
          <w:trHeight w:val="252"/>
        </w:trPr>
        <w:tc>
          <w:tcPr>
            <w:tcW w:w="6376" w:type="dxa"/>
            <w:tcBorders>
              <w:top w:val="nil"/>
              <w:left w:val="nil"/>
              <w:bottom w:val="nil"/>
              <w:right w:val="nil"/>
            </w:tcBorders>
            <w:shd w:val="clear" w:color="FFFFFF" w:fill="FFFFFF"/>
            <w:noWrap/>
            <w:vAlign w:val="bottom"/>
            <w:hideMark/>
          </w:tcPr>
          <w:p w14:paraId="20042489"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1.1A: Employee benefits</w:t>
            </w:r>
          </w:p>
        </w:tc>
        <w:tc>
          <w:tcPr>
            <w:tcW w:w="1236" w:type="dxa"/>
            <w:tcBorders>
              <w:top w:val="nil"/>
              <w:left w:val="nil"/>
              <w:bottom w:val="nil"/>
              <w:right w:val="nil"/>
            </w:tcBorders>
            <w:shd w:val="clear" w:color="FFFFFF" w:fill="FFFFFF"/>
            <w:vAlign w:val="bottom"/>
            <w:hideMark/>
          </w:tcPr>
          <w:p w14:paraId="59FA6FE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77A43D2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vAlign w:val="bottom"/>
            <w:hideMark/>
          </w:tcPr>
          <w:p w14:paraId="72CBA0A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32793D2D" w14:textId="77777777" w:rsidTr="005C33EF">
        <w:trPr>
          <w:trHeight w:val="252"/>
        </w:trPr>
        <w:tc>
          <w:tcPr>
            <w:tcW w:w="6376" w:type="dxa"/>
            <w:tcBorders>
              <w:top w:val="nil"/>
              <w:left w:val="nil"/>
              <w:bottom w:val="nil"/>
              <w:right w:val="nil"/>
            </w:tcBorders>
            <w:shd w:val="clear" w:color="FFFFFF" w:fill="FFFFFF"/>
            <w:vAlign w:val="bottom"/>
            <w:hideMark/>
          </w:tcPr>
          <w:p w14:paraId="04E306F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Wages and salaries</w:t>
            </w:r>
          </w:p>
        </w:tc>
        <w:tc>
          <w:tcPr>
            <w:tcW w:w="1236" w:type="dxa"/>
            <w:tcBorders>
              <w:top w:val="nil"/>
              <w:left w:val="nil"/>
              <w:bottom w:val="nil"/>
              <w:right w:val="nil"/>
            </w:tcBorders>
            <w:shd w:val="clear" w:color="FFFFFF" w:fill="FFFFFF"/>
            <w:noWrap/>
            <w:vAlign w:val="bottom"/>
            <w:hideMark/>
          </w:tcPr>
          <w:p w14:paraId="148ED34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380,548</w:t>
            </w:r>
          </w:p>
        </w:tc>
        <w:tc>
          <w:tcPr>
            <w:tcW w:w="267" w:type="dxa"/>
            <w:tcBorders>
              <w:top w:val="nil"/>
              <w:left w:val="nil"/>
              <w:bottom w:val="nil"/>
              <w:right w:val="nil"/>
            </w:tcBorders>
            <w:shd w:val="clear" w:color="FFFFFF" w:fill="FFFFFF"/>
            <w:noWrap/>
            <w:vAlign w:val="bottom"/>
            <w:hideMark/>
          </w:tcPr>
          <w:p w14:paraId="464CF2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10CC89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335,186</w:t>
            </w:r>
          </w:p>
        </w:tc>
      </w:tr>
      <w:tr w:rsidR="00FD06ED" w:rsidRPr="00FD06ED" w14:paraId="374962D6" w14:textId="77777777" w:rsidTr="005C33EF">
        <w:trPr>
          <w:trHeight w:val="252"/>
        </w:trPr>
        <w:tc>
          <w:tcPr>
            <w:tcW w:w="6376" w:type="dxa"/>
            <w:tcBorders>
              <w:top w:val="nil"/>
              <w:left w:val="nil"/>
              <w:bottom w:val="nil"/>
              <w:right w:val="nil"/>
            </w:tcBorders>
            <w:shd w:val="clear" w:color="FFFFFF" w:fill="FFFFFF"/>
            <w:vAlign w:val="bottom"/>
            <w:hideMark/>
          </w:tcPr>
          <w:p w14:paraId="702CB0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Superannuation</w:t>
            </w:r>
          </w:p>
        </w:tc>
        <w:tc>
          <w:tcPr>
            <w:tcW w:w="1236" w:type="dxa"/>
            <w:tcBorders>
              <w:top w:val="nil"/>
              <w:left w:val="nil"/>
              <w:bottom w:val="nil"/>
              <w:right w:val="nil"/>
            </w:tcBorders>
            <w:shd w:val="clear" w:color="FFFFFF" w:fill="FFFFFF"/>
            <w:noWrap/>
            <w:vAlign w:val="bottom"/>
            <w:hideMark/>
          </w:tcPr>
          <w:p w14:paraId="7D869C6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302C159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2644C51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00D9AA15" w14:textId="77777777" w:rsidTr="005C33EF">
        <w:trPr>
          <w:trHeight w:val="252"/>
        </w:trPr>
        <w:tc>
          <w:tcPr>
            <w:tcW w:w="6376" w:type="dxa"/>
            <w:tcBorders>
              <w:top w:val="nil"/>
              <w:left w:val="nil"/>
              <w:bottom w:val="nil"/>
              <w:right w:val="nil"/>
            </w:tcBorders>
            <w:shd w:val="clear" w:color="FFFFFF" w:fill="FFFFFF"/>
            <w:noWrap/>
            <w:vAlign w:val="bottom"/>
            <w:hideMark/>
          </w:tcPr>
          <w:p w14:paraId="15618C0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Defined contribution plans</w:t>
            </w:r>
          </w:p>
        </w:tc>
        <w:tc>
          <w:tcPr>
            <w:tcW w:w="1236" w:type="dxa"/>
            <w:tcBorders>
              <w:top w:val="nil"/>
              <w:left w:val="nil"/>
              <w:bottom w:val="nil"/>
              <w:right w:val="nil"/>
            </w:tcBorders>
            <w:shd w:val="clear" w:color="FFFFFF" w:fill="FFFFFF"/>
            <w:noWrap/>
            <w:vAlign w:val="bottom"/>
            <w:hideMark/>
          </w:tcPr>
          <w:p w14:paraId="5A45ABA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54,550</w:t>
            </w:r>
          </w:p>
        </w:tc>
        <w:tc>
          <w:tcPr>
            <w:tcW w:w="267" w:type="dxa"/>
            <w:tcBorders>
              <w:top w:val="nil"/>
              <w:left w:val="nil"/>
              <w:bottom w:val="nil"/>
              <w:right w:val="nil"/>
            </w:tcBorders>
            <w:shd w:val="clear" w:color="FFFFFF" w:fill="FFFFFF"/>
            <w:noWrap/>
            <w:vAlign w:val="bottom"/>
            <w:hideMark/>
          </w:tcPr>
          <w:p w14:paraId="3DD8027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22E330F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47,249</w:t>
            </w:r>
          </w:p>
        </w:tc>
      </w:tr>
      <w:tr w:rsidR="00FD06ED" w:rsidRPr="00FD06ED" w14:paraId="1422E076" w14:textId="77777777" w:rsidTr="005C33EF">
        <w:trPr>
          <w:trHeight w:val="252"/>
        </w:trPr>
        <w:tc>
          <w:tcPr>
            <w:tcW w:w="6376" w:type="dxa"/>
            <w:tcBorders>
              <w:top w:val="nil"/>
              <w:left w:val="nil"/>
              <w:bottom w:val="nil"/>
              <w:right w:val="nil"/>
            </w:tcBorders>
            <w:shd w:val="clear" w:color="FFFFFF" w:fill="FFFFFF"/>
            <w:noWrap/>
            <w:vAlign w:val="bottom"/>
            <w:hideMark/>
          </w:tcPr>
          <w:p w14:paraId="395E85E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Defined benefit plans</w:t>
            </w:r>
          </w:p>
        </w:tc>
        <w:tc>
          <w:tcPr>
            <w:tcW w:w="1236" w:type="dxa"/>
            <w:tcBorders>
              <w:top w:val="nil"/>
              <w:left w:val="nil"/>
              <w:bottom w:val="nil"/>
              <w:right w:val="nil"/>
            </w:tcBorders>
            <w:shd w:val="clear" w:color="FFFFFF" w:fill="FFFFFF"/>
            <w:noWrap/>
            <w:vAlign w:val="bottom"/>
            <w:hideMark/>
          </w:tcPr>
          <w:p w14:paraId="7A43B11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10,154</w:t>
            </w:r>
          </w:p>
        </w:tc>
        <w:tc>
          <w:tcPr>
            <w:tcW w:w="267" w:type="dxa"/>
            <w:tcBorders>
              <w:top w:val="nil"/>
              <w:left w:val="nil"/>
              <w:bottom w:val="nil"/>
              <w:right w:val="nil"/>
            </w:tcBorders>
            <w:shd w:val="clear" w:color="FFFFFF" w:fill="FFFFFF"/>
            <w:noWrap/>
            <w:vAlign w:val="bottom"/>
            <w:hideMark/>
          </w:tcPr>
          <w:p w14:paraId="11ED407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55CF7E0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12,432</w:t>
            </w:r>
          </w:p>
        </w:tc>
      </w:tr>
      <w:tr w:rsidR="00FD06ED" w:rsidRPr="00FD06ED" w14:paraId="124927DC" w14:textId="77777777" w:rsidTr="005C33EF">
        <w:trPr>
          <w:trHeight w:val="252"/>
        </w:trPr>
        <w:tc>
          <w:tcPr>
            <w:tcW w:w="6376" w:type="dxa"/>
            <w:tcBorders>
              <w:top w:val="nil"/>
              <w:left w:val="nil"/>
              <w:bottom w:val="nil"/>
              <w:right w:val="nil"/>
            </w:tcBorders>
            <w:shd w:val="clear" w:color="FFFFFF" w:fill="FFFFFF"/>
            <w:vAlign w:val="bottom"/>
            <w:hideMark/>
          </w:tcPr>
          <w:p w14:paraId="1909C36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Leave and other entitlements</w:t>
            </w:r>
          </w:p>
        </w:tc>
        <w:tc>
          <w:tcPr>
            <w:tcW w:w="1236" w:type="dxa"/>
            <w:tcBorders>
              <w:top w:val="nil"/>
              <w:left w:val="nil"/>
              <w:bottom w:val="nil"/>
              <w:right w:val="nil"/>
            </w:tcBorders>
            <w:shd w:val="clear" w:color="FFFFFF" w:fill="FFFFFF"/>
            <w:noWrap/>
            <w:vAlign w:val="bottom"/>
            <w:hideMark/>
          </w:tcPr>
          <w:p w14:paraId="2699B9D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36,844</w:t>
            </w:r>
          </w:p>
        </w:tc>
        <w:tc>
          <w:tcPr>
            <w:tcW w:w="267" w:type="dxa"/>
            <w:tcBorders>
              <w:top w:val="nil"/>
              <w:left w:val="nil"/>
              <w:bottom w:val="nil"/>
              <w:right w:val="nil"/>
            </w:tcBorders>
            <w:shd w:val="clear" w:color="FFFFFF" w:fill="FFFFFF"/>
            <w:noWrap/>
            <w:vAlign w:val="bottom"/>
            <w:hideMark/>
          </w:tcPr>
          <w:p w14:paraId="727AE66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6FE72A2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41,798</w:t>
            </w:r>
          </w:p>
        </w:tc>
      </w:tr>
      <w:tr w:rsidR="00FD06ED" w:rsidRPr="00FD06ED" w14:paraId="7481057B" w14:textId="77777777" w:rsidTr="005C33EF">
        <w:trPr>
          <w:trHeight w:val="252"/>
        </w:trPr>
        <w:tc>
          <w:tcPr>
            <w:tcW w:w="6376" w:type="dxa"/>
            <w:tcBorders>
              <w:top w:val="nil"/>
              <w:left w:val="nil"/>
              <w:bottom w:val="nil"/>
              <w:right w:val="nil"/>
            </w:tcBorders>
            <w:shd w:val="clear" w:color="FFFFFF" w:fill="FFFFFF"/>
            <w:vAlign w:val="bottom"/>
            <w:hideMark/>
          </w:tcPr>
          <w:p w14:paraId="1B8AE8F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Separation and redundancies</w:t>
            </w:r>
          </w:p>
        </w:tc>
        <w:tc>
          <w:tcPr>
            <w:tcW w:w="1236" w:type="dxa"/>
            <w:tcBorders>
              <w:top w:val="nil"/>
              <w:left w:val="nil"/>
              <w:bottom w:val="nil"/>
              <w:right w:val="nil"/>
            </w:tcBorders>
            <w:shd w:val="clear" w:color="FFFFFF" w:fill="FFFFFF"/>
            <w:noWrap/>
            <w:vAlign w:val="bottom"/>
            <w:hideMark/>
          </w:tcPr>
          <w:p w14:paraId="3B18B8A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123</w:t>
            </w:r>
          </w:p>
        </w:tc>
        <w:tc>
          <w:tcPr>
            <w:tcW w:w="267" w:type="dxa"/>
            <w:tcBorders>
              <w:top w:val="nil"/>
              <w:left w:val="nil"/>
              <w:bottom w:val="nil"/>
              <w:right w:val="nil"/>
            </w:tcBorders>
            <w:shd w:val="clear" w:color="FFFFFF" w:fill="FFFFFF"/>
            <w:noWrap/>
            <w:vAlign w:val="bottom"/>
            <w:hideMark/>
          </w:tcPr>
          <w:p w14:paraId="3E70C5D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762CDE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489</w:t>
            </w:r>
          </w:p>
        </w:tc>
      </w:tr>
      <w:tr w:rsidR="00FD06ED" w:rsidRPr="00FD06ED" w14:paraId="0C9E4ACB" w14:textId="77777777" w:rsidTr="005C33EF">
        <w:trPr>
          <w:trHeight w:val="252"/>
        </w:trPr>
        <w:tc>
          <w:tcPr>
            <w:tcW w:w="6376" w:type="dxa"/>
            <w:tcBorders>
              <w:top w:val="nil"/>
              <w:left w:val="nil"/>
              <w:bottom w:val="nil"/>
              <w:right w:val="nil"/>
            </w:tcBorders>
            <w:shd w:val="clear" w:color="FFFFFF" w:fill="FFFFFF"/>
            <w:vAlign w:val="bottom"/>
            <w:hideMark/>
          </w:tcPr>
          <w:p w14:paraId="14BC2A3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employee benefits</w:t>
            </w:r>
          </w:p>
        </w:tc>
        <w:tc>
          <w:tcPr>
            <w:tcW w:w="1236" w:type="dxa"/>
            <w:tcBorders>
              <w:top w:val="single" w:sz="4" w:space="0" w:color="auto"/>
              <w:left w:val="nil"/>
              <w:bottom w:val="single" w:sz="4" w:space="0" w:color="auto"/>
              <w:right w:val="nil"/>
            </w:tcBorders>
            <w:shd w:val="clear" w:color="FFFFFF" w:fill="FFFFFF"/>
            <w:noWrap/>
            <w:vAlign w:val="bottom"/>
            <w:hideMark/>
          </w:tcPr>
          <w:p w14:paraId="11ACFEA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482,219</w:t>
            </w:r>
          </w:p>
        </w:tc>
        <w:tc>
          <w:tcPr>
            <w:tcW w:w="267" w:type="dxa"/>
            <w:tcBorders>
              <w:top w:val="nil"/>
              <w:left w:val="nil"/>
              <w:bottom w:val="nil"/>
              <w:right w:val="nil"/>
            </w:tcBorders>
            <w:shd w:val="clear" w:color="FFFFFF" w:fill="FFFFFF"/>
            <w:noWrap/>
            <w:vAlign w:val="bottom"/>
            <w:hideMark/>
          </w:tcPr>
          <w:p w14:paraId="34B2827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3F431C3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437,154</w:t>
            </w:r>
          </w:p>
        </w:tc>
      </w:tr>
    </w:tbl>
    <w:p w14:paraId="2FA7F4EF" w14:textId="77777777" w:rsidR="00FD06ED" w:rsidRPr="00FD06ED" w:rsidRDefault="00FD06ED" w:rsidP="00FD06ED">
      <w:pPr>
        <w:spacing w:before="0" w:after="80"/>
        <w:ind w:left="426" w:hanging="142"/>
        <w:rPr>
          <w:rFonts w:eastAsia="Times New Roman" w:cs="Times New Roman"/>
          <w:sz w:val="18"/>
          <w:szCs w:val="20"/>
          <w:lang w:eastAsia="en-AU"/>
        </w:rPr>
      </w:pPr>
    </w:p>
    <w:p w14:paraId="596C4E96"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2B0FC190"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Accounting policies for employee related expenses are contained in Section 3. People and Relationships. </w:t>
      </w:r>
    </w:p>
    <w:tbl>
      <w:tblPr>
        <w:tblW w:w="9087" w:type="dxa"/>
        <w:tblLayout w:type="fixed"/>
        <w:tblLook w:val="04A0" w:firstRow="1" w:lastRow="0" w:firstColumn="1" w:lastColumn="0" w:noHBand="0" w:noVBand="1"/>
      </w:tblPr>
      <w:tblGrid>
        <w:gridCol w:w="6384"/>
        <w:gridCol w:w="1238"/>
        <w:gridCol w:w="267"/>
        <w:gridCol w:w="1198"/>
      </w:tblGrid>
      <w:tr w:rsidR="00FD06ED" w:rsidRPr="00FD06ED" w14:paraId="4293D66F" w14:textId="77777777" w:rsidTr="005C33EF">
        <w:trPr>
          <w:trHeight w:val="255"/>
        </w:trPr>
        <w:tc>
          <w:tcPr>
            <w:tcW w:w="6376" w:type="dxa"/>
            <w:tcBorders>
              <w:top w:val="nil"/>
              <w:left w:val="nil"/>
              <w:bottom w:val="nil"/>
              <w:right w:val="nil"/>
            </w:tcBorders>
            <w:shd w:val="clear" w:color="FFFFFF" w:fill="FFFFFF"/>
            <w:noWrap/>
            <w:vAlign w:val="bottom"/>
            <w:hideMark/>
          </w:tcPr>
          <w:p w14:paraId="16816876"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53" w:name="Note_SXPTABLE1" w:colFirst="0" w:colLast="0"/>
            <w:r w:rsidRPr="00FD06ED">
              <w:rPr>
                <w:rFonts w:eastAsia="Times New Roman"/>
                <w:b/>
                <w:bCs/>
                <w:sz w:val="18"/>
                <w:szCs w:val="18"/>
                <w:u w:val="single"/>
                <w:lang w:eastAsia="en-US"/>
              </w:rPr>
              <w:t>Note 1.1B: Suppliers</w:t>
            </w:r>
          </w:p>
        </w:tc>
        <w:tc>
          <w:tcPr>
            <w:tcW w:w="1236" w:type="dxa"/>
            <w:tcBorders>
              <w:top w:val="nil"/>
              <w:left w:val="nil"/>
              <w:bottom w:val="nil"/>
              <w:right w:val="nil"/>
            </w:tcBorders>
            <w:shd w:val="clear" w:color="FFFFFF" w:fill="FFFFFF"/>
            <w:vAlign w:val="bottom"/>
            <w:hideMark/>
          </w:tcPr>
          <w:p w14:paraId="7D9144B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4906161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vAlign w:val="bottom"/>
            <w:hideMark/>
          </w:tcPr>
          <w:p w14:paraId="098B5DA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bookmarkEnd w:id="153"/>
      <w:tr w:rsidR="00FD06ED" w:rsidRPr="00FD06ED" w14:paraId="3890FEC9" w14:textId="77777777" w:rsidTr="005C33EF">
        <w:trPr>
          <w:trHeight w:val="255"/>
        </w:trPr>
        <w:tc>
          <w:tcPr>
            <w:tcW w:w="6376" w:type="dxa"/>
            <w:tcBorders>
              <w:top w:val="nil"/>
              <w:left w:val="nil"/>
              <w:bottom w:val="nil"/>
              <w:right w:val="nil"/>
            </w:tcBorders>
            <w:shd w:val="clear" w:color="FFFFFF" w:fill="FFFFFF"/>
            <w:vAlign w:val="bottom"/>
            <w:hideMark/>
          </w:tcPr>
          <w:p w14:paraId="3C963E36"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Services rendered</w:t>
            </w:r>
          </w:p>
        </w:tc>
        <w:tc>
          <w:tcPr>
            <w:tcW w:w="1236" w:type="dxa"/>
            <w:tcBorders>
              <w:top w:val="nil"/>
              <w:left w:val="nil"/>
              <w:bottom w:val="nil"/>
              <w:right w:val="nil"/>
            </w:tcBorders>
            <w:shd w:val="clear" w:color="FFFFFF" w:fill="FFFFFF"/>
            <w:noWrap/>
            <w:vAlign w:val="bottom"/>
            <w:hideMark/>
          </w:tcPr>
          <w:p w14:paraId="6ADD67F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4AE98FF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7D44197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8033BC1" w14:textId="77777777" w:rsidTr="005C33EF">
        <w:trPr>
          <w:trHeight w:val="270"/>
        </w:trPr>
        <w:tc>
          <w:tcPr>
            <w:tcW w:w="6376" w:type="dxa"/>
            <w:tcBorders>
              <w:top w:val="nil"/>
              <w:left w:val="nil"/>
              <w:bottom w:val="nil"/>
              <w:right w:val="nil"/>
            </w:tcBorders>
            <w:shd w:val="clear" w:color="FFFFFF" w:fill="FFFFFF"/>
            <w:noWrap/>
            <w:vAlign w:val="bottom"/>
            <w:hideMark/>
          </w:tcPr>
          <w:p w14:paraId="2D8B2CE1"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Service providers</w:t>
            </w:r>
            <w:r w:rsidRPr="00FD06ED">
              <w:rPr>
                <w:rFonts w:eastAsia="Times New Roman"/>
                <w:sz w:val="18"/>
                <w:szCs w:val="18"/>
                <w:vertAlign w:val="superscript"/>
                <w:lang w:eastAsia="en-US"/>
              </w:rPr>
              <w:t>1</w:t>
            </w:r>
          </w:p>
        </w:tc>
        <w:tc>
          <w:tcPr>
            <w:tcW w:w="1236" w:type="dxa"/>
            <w:tcBorders>
              <w:top w:val="nil"/>
              <w:left w:val="nil"/>
              <w:bottom w:val="nil"/>
              <w:right w:val="nil"/>
            </w:tcBorders>
            <w:shd w:val="clear" w:color="FFFFFF" w:fill="FFFFFF"/>
            <w:noWrap/>
            <w:vAlign w:val="bottom"/>
            <w:hideMark/>
          </w:tcPr>
          <w:p w14:paraId="4F456EA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264,464</w:t>
            </w:r>
          </w:p>
        </w:tc>
        <w:tc>
          <w:tcPr>
            <w:tcW w:w="267" w:type="dxa"/>
            <w:tcBorders>
              <w:top w:val="nil"/>
              <w:left w:val="nil"/>
              <w:bottom w:val="nil"/>
              <w:right w:val="nil"/>
            </w:tcBorders>
            <w:shd w:val="clear" w:color="FFFFFF" w:fill="FFFFFF"/>
            <w:noWrap/>
            <w:vAlign w:val="bottom"/>
            <w:hideMark/>
          </w:tcPr>
          <w:p w14:paraId="35B20DD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ACA253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230,939</w:t>
            </w:r>
          </w:p>
        </w:tc>
      </w:tr>
      <w:tr w:rsidR="00FD06ED" w:rsidRPr="00FD06ED" w14:paraId="3D195DE4" w14:textId="77777777" w:rsidTr="005C33EF">
        <w:trPr>
          <w:trHeight w:val="270"/>
        </w:trPr>
        <w:tc>
          <w:tcPr>
            <w:tcW w:w="6376" w:type="dxa"/>
            <w:tcBorders>
              <w:top w:val="nil"/>
              <w:left w:val="nil"/>
              <w:bottom w:val="nil"/>
              <w:right w:val="nil"/>
            </w:tcBorders>
            <w:shd w:val="clear" w:color="FFFFFF" w:fill="FFFFFF"/>
            <w:noWrap/>
            <w:vAlign w:val="bottom"/>
            <w:hideMark/>
          </w:tcPr>
          <w:p w14:paraId="7F17FD21"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Shared Services</w:t>
            </w:r>
            <w:r w:rsidRPr="00FD06ED">
              <w:rPr>
                <w:rFonts w:eastAsia="Times New Roman"/>
                <w:sz w:val="18"/>
                <w:szCs w:val="18"/>
                <w:vertAlign w:val="superscript"/>
                <w:lang w:eastAsia="en-US"/>
              </w:rPr>
              <w:t>2</w:t>
            </w:r>
          </w:p>
        </w:tc>
        <w:tc>
          <w:tcPr>
            <w:tcW w:w="1236" w:type="dxa"/>
            <w:tcBorders>
              <w:top w:val="nil"/>
              <w:left w:val="nil"/>
              <w:bottom w:val="nil"/>
              <w:right w:val="nil"/>
            </w:tcBorders>
            <w:shd w:val="clear" w:color="FFFFFF" w:fill="FFFFFF"/>
            <w:noWrap/>
            <w:vAlign w:val="bottom"/>
            <w:hideMark/>
          </w:tcPr>
          <w:p w14:paraId="5656C6A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53,098</w:t>
            </w:r>
          </w:p>
        </w:tc>
        <w:tc>
          <w:tcPr>
            <w:tcW w:w="267" w:type="dxa"/>
            <w:tcBorders>
              <w:top w:val="nil"/>
              <w:left w:val="nil"/>
              <w:bottom w:val="nil"/>
              <w:right w:val="nil"/>
            </w:tcBorders>
            <w:shd w:val="clear" w:color="FFFFFF" w:fill="FFFFFF"/>
            <w:noWrap/>
            <w:vAlign w:val="bottom"/>
            <w:hideMark/>
          </w:tcPr>
          <w:p w14:paraId="5A101BF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370E5D2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78,021</w:t>
            </w:r>
          </w:p>
        </w:tc>
      </w:tr>
      <w:tr w:rsidR="00FD06ED" w:rsidRPr="00FD06ED" w14:paraId="5E46AE8F" w14:textId="77777777" w:rsidTr="005C33EF">
        <w:trPr>
          <w:trHeight w:val="255"/>
        </w:trPr>
        <w:tc>
          <w:tcPr>
            <w:tcW w:w="6376" w:type="dxa"/>
            <w:tcBorders>
              <w:top w:val="nil"/>
              <w:left w:val="nil"/>
              <w:bottom w:val="nil"/>
              <w:right w:val="nil"/>
            </w:tcBorders>
            <w:shd w:val="clear" w:color="FFFFFF" w:fill="FFFFFF"/>
            <w:noWrap/>
            <w:vAlign w:val="bottom"/>
            <w:hideMark/>
          </w:tcPr>
          <w:p w14:paraId="1133C5CE"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Legal expenses</w:t>
            </w:r>
          </w:p>
        </w:tc>
        <w:tc>
          <w:tcPr>
            <w:tcW w:w="1236" w:type="dxa"/>
            <w:tcBorders>
              <w:top w:val="nil"/>
              <w:left w:val="nil"/>
              <w:bottom w:val="nil"/>
              <w:right w:val="nil"/>
            </w:tcBorders>
            <w:shd w:val="clear" w:color="FFFFFF" w:fill="FFFFFF"/>
            <w:noWrap/>
            <w:vAlign w:val="bottom"/>
            <w:hideMark/>
          </w:tcPr>
          <w:p w14:paraId="0A38186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58,771</w:t>
            </w:r>
          </w:p>
        </w:tc>
        <w:tc>
          <w:tcPr>
            <w:tcW w:w="267" w:type="dxa"/>
            <w:tcBorders>
              <w:top w:val="nil"/>
              <w:left w:val="nil"/>
              <w:bottom w:val="nil"/>
              <w:right w:val="nil"/>
            </w:tcBorders>
            <w:shd w:val="clear" w:color="FFFFFF" w:fill="FFFFFF"/>
            <w:noWrap/>
            <w:vAlign w:val="bottom"/>
            <w:hideMark/>
          </w:tcPr>
          <w:p w14:paraId="250BD89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5281F2A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21,607</w:t>
            </w:r>
          </w:p>
        </w:tc>
      </w:tr>
      <w:tr w:rsidR="00FD06ED" w:rsidRPr="00FD06ED" w14:paraId="4AF96B41" w14:textId="77777777" w:rsidTr="005C33EF">
        <w:trPr>
          <w:trHeight w:val="255"/>
        </w:trPr>
        <w:tc>
          <w:tcPr>
            <w:tcW w:w="6376" w:type="dxa"/>
            <w:tcBorders>
              <w:top w:val="nil"/>
              <w:left w:val="nil"/>
              <w:bottom w:val="nil"/>
              <w:right w:val="nil"/>
            </w:tcBorders>
            <w:shd w:val="clear" w:color="FFFFFF" w:fill="FFFFFF"/>
            <w:noWrap/>
            <w:vAlign w:val="bottom"/>
            <w:hideMark/>
          </w:tcPr>
          <w:p w14:paraId="58A37F2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Community connector management fees</w:t>
            </w:r>
          </w:p>
        </w:tc>
        <w:tc>
          <w:tcPr>
            <w:tcW w:w="1236" w:type="dxa"/>
            <w:tcBorders>
              <w:top w:val="nil"/>
              <w:left w:val="nil"/>
              <w:bottom w:val="nil"/>
              <w:right w:val="nil"/>
            </w:tcBorders>
            <w:shd w:val="clear" w:color="FFFFFF" w:fill="FFFFFF"/>
            <w:noWrap/>
            <w:vAlign w:val="bottom"/>
            <w:hideMark/>
          </w:tcPr>
          <w:p w14:paraId="13513DB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17,683</w:t>
            </w:r>
          </w:p>
        </w:tc>
        <w:tc>
          <w:tcPr>
            <w:tcW w:w="267" w:type="dxa"/>
            <w:tcBorders>
              <w:top w:val="nil"/>
              <w:left w:val="nil"/>
              <w:bottom w:val="nil"/>
              <w:right w:val="nil"/>
            </w:tcBorders>
            <w:shd w:val="clear" w:color="FFFFFF" w:fill="FFFFFF"/>
            <w:noWrap/>
            <w:vAlign w:val="bottom"/>
            <w:hideMark/>
          </w:tcPr>
          <w:p w14:paraId="2EB9E48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2C80243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25,797</w:t>
            </w:r>
          </w:p>
        </w:tc>
      </w:tr>
      <w:tr w:rsidR="00FD06ED" w:rsidRPr="00FD06ED" w14:paraId="474510DE" w14:textId="77777777" w:rsidTr="005C33EF">
        <w:trPr>
          <w:trHeight w:val="255"/>
        </w:trPr>
        <w:tc>
          <w:tcPr>
            <w:tcW w:w="6376" w:type="dxa"/>
            <w:tcBorders>
              <w:top w:val="nil"/>
              <w:left w:val="nil"/>
              <w:bottom w:val="nil"/>
              <w:right w:val="nil"/>
            </w:tcBorders>
            <w:shd w:val="clear" w:color="FFFFFF" w:fill="FFFFFF"/>
            <w:noWrap/>
            <w:vAlign w:val="bottom"/>
            <w:hideMark/>
          </w:tcPr>
          <w:p w14:paraId="5D947554"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Travel</w:t>
            </w:r>
          </w:p>
        </w:tc>
        <w:tc>
          <w:tcPr>
            <w:tcW w:w="1236" w:type="dxa"/>
            <w:tcBorders>
              <w:top w:val="nil"/>
              <w:left w:val="nil"/>
              <w:bottom w:val="nil"/>
              <w:right w:val="nil"/>
            </w:tcBorders>
            <w:shd w:val="clear" w:color="FFFFFF" w:fill="FFFFFF"/>
            <w:noWrap/>
            <w:vAlign w:val="bottom"/>
            <w:hideMark/>
          </w:tcPr>
          <w:p w14:paraId="2365F3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2,775</w:t>
            </w:r>
          </w:p>
        </w:tc>
        <w:tc>
          <w:tcPr>
            <w:tcW w:w="267" w:type="dxa"/>
            <w:tcBorders>
              <w:top w:val="nil"/>
              <w:left w:val="nil"/>
              <w:bottom w:val="nil"/>
              <w:right w:val="nil"/>
            </w:tcBorders>
            <w:shd w:val="clear" w:color="FFFFFF" w:fill="FFFFFF"/>
            <w:noWrap/>
            <w:vAlign w:val="bottom"/>
            <w:hideMark/>
          </w:tcPr>
          <w:p w14:paraId="1944FD9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6C178D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1,971</w:t>
            </w:r>
          </w:p>
        </w:tc>
      </w:tr>
      <w:tr w:rsidR="00FD06ED" w:rsidRPr="00FD06ED" w14:paraId="2E0C1030" w14:textId="77777777" w:rsidTr="005C33EF">
        <w:trPr>
          <w:trHeight w:val="255"/>
        </w:trPr>
        <w:tc>
          <w:tcPr>
            <w:tcW w:w="6376" w:type="dxa"/>
            <w:tcBorders>
              <w:top w:val="nil"/>
              <w:left w:val="nil"/>
              <w:bottom w:val="nil"/>
              <w:right w:val="nil"/>
            </w:tcBorders>
            <w:shd w:val="clear" w:color="FFFFFF" w:fill="FFFFFF"/>
            <w:noWrap/>
            <w:vAlign w:val="bottom"/>
            <w:hideMark/>
          </w:tcPr>
          <w:p w14:paraId="3FA4E2C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Property operating expenses</w:t>
            </w:r>
          </w:p>
        </w:tc>
        <w:tc>
          <w:tcPr>
            <w:tcW w:w="1236" w:type="dxa"/>
            <w:tcBorders>
              <w:top w:val="nil"/>
              <w:left w:val="nil"/>
              <w:bottom w:val="nil"/>
              <w:right w:val="nil"/>
            </w:tcBorders>
            <w:shd w:val="clear" w:color="FFFFFF" w:fill="FFFFFF"/>
            <w:noWrap/>
            <w:vAlign w:val="bottom"/>
            <w:hideMark/>
          </w:tcPr>
          <w:p w14:paraId="339D974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10,276</w:t>
            </w:r>
          </w:p>
        </w:tc>
        <w:tc>
          <w:tcPr>
            <w:tcW w:w="267" w:type="dxa"/>
            <w:tcBorders>
              <w:top w:val="nil"/>
              <w:left w:val="nil"/>
              <w:bottom w:val="nil"/>
              <w:right w:val="nil"/>
            </w:tcBorders>
            <w:shd w:val="clear" w:color="FFFFFF" w:fill="FFFFFF"/>
            <w:noWrap/>
            <w:vAlign w:val="bottom"/>
            <w:hideMark/>
          </w:tcPr>
          <w:p w14:paraId="3FC08F1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593DAC6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10,544</w:t>
            </w:r>
          </w:p>
        </w:tc>
      </w:tr>
      <w:tr w:rsidR="00FD06ED" w:rsidRPr="00FD06ED" w14:paraId="476F659F" w14:textId="77777777" w:rsidTr="005C33EF">
        <w:trPr>
          <w:trHeight w:val="255"/>
        </w:trPr>
        <w:tc>
          <w:tcPr>
            <w:tcW w:w="6376" w:type="dxa"/>
            <w:tcBorders>
              <w:top w:val="nil"/>
              <w:left w:val="nil"/>
              <w:bottom w:val="nil"/>
              <w:right w:val="nil"/>
            </w:tcBorders>
            <w:shd w:val="clear" w:color="FFFFFF" w:fill="FFFFFF"/>
            <w:noWrap/>
            <w:vAlign w:val="bottom"/>
            <w:hideMark/>
          </w:tcPr>
          <w:p w14:paraId="1FD5C55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Information technology expenses</w:t>
            </w:r>
          </w:p>
        </w:tc>
        <w:tc>
          <w:tcPr>
            <w:tcW w:w="1236" w:type="dxa"/>
            <w:tcBorders>
              <w:top w:val="nil"/>
              <w:left w:val="nil"/>
              <w:bottom w:val="nil"/>
              <w:right w:val="nil"/>
            </w:tcBorders>
            <w:shd w:val="clear" w:color="FFFFFF" w:fill="FFFFFF"/>
            <w:noWrap/>
            <w:vAlign w:val="bottom"/>
            <w:hideMark/>
          </w:tcPr>
          <w:p w14:paraId="66FFCA5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40,943</w:t>
            </w:r>
          </w:p>
        </w:tc>
        <w:tc>
          <w:tcPr>
            <w:tcW w:w="267" w:type="dxa"/>
            <w:tcBorders>
              <w:top w:val="nil"/>
              <w:left w:val="nil"/>
              <w:bottom w:val="nil"/>
              <w:right w:val="nil"/>
            </w:tcBorders>
            <w:shd w:val="clear" w:color="FFFFFF" w:fill="FFFFFF"/>
            <w:noWrap/>
            <w:vAlign w:val="bottom"/>
            <w:hideMark/>
          </w:tcPr>
          <w:p w14:paraId="7E02F0A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51D7309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40,323</w:t>
            </w:r>
          </w:p>
        </w:tc>
      </w:tr>
      <w:tr w:rsidR="00FD06ED" w:rsidRPr="00FD06ED" w14:paraId="21DEC9F5" w14:textId="77777777" w:rsidTr="005C33EF">
        <w:trPr>
          <w:trHeight w:val="255"/>
        </w:trPr>
        <w:tc>
          <w:tcPr>
            <w:tcW w:w="6376" w:type="dxa"/>
            <w:tcBorders>
              <w:top w:val="nil"/>
              <w:left w:val="nil"/>
              <w:bottom w:val="nil"/>
              <w:right w:val="nil"/>
            </w:tcBorders>
            <w:shd w:val="clear" w:color="FFFFFF" w:fill="FFFFFF"/>
            <w:noWrap/>
            <w:vAlign w:val="bottom"/>
            <w:hideMark/>
          </w:tcPr>
          <w:p w14:paraId="179A660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Staff welfare and training</w:t>
            </w:r>
          </w:p>
        </w:tc>
        <w:tc>
          <w:tcPr>
            <w:tcW w:w="1236" w:type="dxa"/>
            <w:tcBorders>
              <w:top w:val="nil"/>
              <w:left w:val="nil"/>
              <w:bottom w:val="nil"/>
              <w:right w:val="nil"/>
            </w:tcBorders>
            <w:shd w:val="clear" w:color="FFFFFF" w:fill="FFFFFF"/>
            <w:noWrap/>
            <w:vAlign w:val="bottom"/>
            <w:hideMark/>
          </w:tcPr>
          <w:p w14:paraId="19489ED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4,644</w:t>
            </w:r>
          </w:p>
        </w:tc>
        <w:tc>
          <w:tcPr>
            <w:tcW w:w="267" w:type="dxa"/>
            <w:tcBorders>
              <w:top w:val="nil"/>
              <w:left w:val="nil"/>
              <w:bottom w:val="nil"/>
              <w:right w:val="nil"/>
            </w:tcBorders>
            <w:shd w:val="clear" w:color="FFFFFF" w:fill="FFFFFF"/>
            <w:noWrap/>
            <w:vAlign w:val="bottom"/>
            <w:hideMark/>
          </w:tcPr>
          <w:p w14:paraId="120178F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5D8A68A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4,586</w:t>
            </w:r>
          </w:p>
        </w:tc>
      </w:tr>
      <w:tr w:rsidR="00FD06ED" w:rsidRPr="00FD06ED" w14:paraId="08C80917" w14:textId="77777777" w:rsidTr="005C33EF">
        <w:trPr>
          <w:trHeight w:val="255"/>
        </w:trPr>
        <w:tc>
          <w:tcPr>
            <w:tcW w:w="6376" w:type="dxa"/>
            <w:tcBorders>
              <w:top w:val="nil"/>
              <w:left w:val="nil"/>
              <w:bottom w:val="nil"/>
              <w:right w:val="nil"/>
            </w:tcBorders>
            <w:shd w:val="clear" w:color="FFFFFF" w:fill="FFFFFF"/>
            <w:noWrap/>
            <w:vAlign w:val="bottom"/>
            <w:hideMark/>
          </w:tcPr>
          <w:p w14:paraId="7AF6814F"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proofErr w:type="spellStart"/>
            <w:r w:rsidRPr="00FD06ED">
              <w:rPr>
                <w:rFonts w:eastAsia="Times New Roman"/>
                <w:sz w:val="18"/>
                <w:szCs w:val="18"/>
                <w:lang w:eastAsia="en-US"/>
              </w:rPr>
              <w:t>Comcover</w:t>
            </w:r>
            <w:proofErr w:type="spellEnd"/>
          </w:p>
        </w:tc>
        <w:tc>
          <w:tcPr>
            <w:tcW w:w="1236" w:type="dxa"/>
            <w:tcBorders>
              <w:top w:val="nil"/>
              <w:left w:val="nil"/>
              <w:bottom w:val="nil"/>
              <w:right w:val="nil"/>
            </w:tcBorders>
            <w:shd w:val="clear" w:color="FFFFFF" w:fill="FFFFFF"/>
            <w:noWrap/>
            <w:vAlign w:val="bottom"/>
            <w:hideMark/>
          </w:tcPr>
          <w:p w14:paraId="5DCBB49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5,367</w:t>
            </w:r>
          </w:p>
        </w:tc>
        <w:tc>
          <w:tcPr>
            <w:tcW w:w="267" w:type="dxa"/>
            <w:tcBorders>
              <w:top w:val="nil"/>
              <w:left w:val="nil"/>
              <w:bottom w:val="nil"/>
              <w:right w:val="nil"/>
            </w:tcBorders>
            <w:shd w:val="clear" w:color="FFFFFF" w:fill="FFFFFF"/>
            <w:noWrap/>
            <w:vAlign w:val="bottom"/>
            <w:hideMark/>
          </w:tcPr>
          <w:p w14:paraId="6ADB556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7B69114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5,212</w:t>
            </w:r>
          </w:p>
        </w:tc>
      </w:tr>
      <w:tr w:rsidR="00FD06ED" w:rsidRPr="00FD06ED" w14:paraId="1E7F15D9" w14:textId="77777777" w:rsidTr="005C33EF">
        <w:trPr>
          <w:trHeight w:val="255"/>
        </w:trPr>
        <w:tc>
          <w:tcPr>
            <w:tcW w:w="6376" w:type="dxa"/>
            <w:tcBorders>
              <w:top w:val="nil"/>
              <w:left w:val="nil"/>
              <w:bottom w:val="nil"/>
              <w:right w:val="nil"/>
            </w:tcBorders>
            <w:shd w:val="clear" w:color="FFFFFF" w:fill="FFFFFF"/>
            <w:noWrap/>
            <w:vAlign w:val="bottom"/>
            <w:hideMark/>
          </w:tcPr>
          <w:p w14:paraId="7D11716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Market research</w:t>
            </w:r>
          </w:p>
        </w:tc>
        <w:tc>
          <w:tcPr>
            <w:tcW w:w="1236" w:type="dxa"/>
            <w:tcBorders>
              <w:top w:val="nil"/>
              <w:left w:val="nil"/>
              <w:bottom w:val="nil"/>
              <w:right w:val="nil"/>
            </w:tcBorders>
            <w:shd w:val="clear" w:color="FFFFFF" w:fill="FFFFFF"/>
            <w:noWrap/>
            <w:vAlign w:val="bottom"/>
            <w:hideMark/>
          </w:tcPr>
          <w:p w14:paraId="213933A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4,051</w:t>
            </w:r>
          </w:p>
        </w:tc>
        <w:tc>
          <w:tcPr>
            <w:tcW w:w="267" w:type="dxa"/>
            <w:tcBorders>
              <w:top w:val="nil"/>
              <w:left w:val="nil"/>
              <w:bottom w:val="nil"/>
              <w:right w:val="nil"/>
            </w:tcBorders>
            <w:shd w:val="clear" w:color="FFFFFF" w:fill="FFFFFF"/>
            <w:noWrap/>
            <w:vAlign w:val="bottom"/>
            <w:hideMark/>
          </w:tcPr>
          <w:p w14:paraId="2A8015A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ECB0B5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3,707</w:t>
            </w:r>
          </w:p>
        </w:tc>
      </w:tr>
      <w:tr w:rsidR="00FD06ED" w:rsidRPr="00FD06ED" w14:paraId="24A29A5D" w14:textId="77777777" w:rsidTr="005C33EF">
        <w:trPr>
          <w:trHeight w:val="255"/>
        </w:trPr>
        <w:tc>
          <w:tcPr>
            <w:tcW w:w="6376" w:type="dxa"/>
            <w:tcBorders>
              <w:top w:val="nil"/>
              <w:left w:val="nil"/>
              <w:bottom w:val="nil"/>
              <w:right w:val="nil"/>
            </w:tcBorders>
            <w:shd w:val="clear" w:color="FFFFFF" w:fill="FFFFFF"/>
            <w:noWrap/>
            <w:vAlign w:val="bottom"/>
            <w:hideMark/>
          </w:tcPr>
          <w:p w14:paraId="0C75E85F"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Translator and interpreter services</w:t>
            </w:r>
          </w:p>
        </w:tc>
        <w:tc>
          <w:tcPr>
            <w:tcW w:w="1236" w:type="dxa"/>
            <w:tcBorders>
              <w:top w:val="nil"/>
              <w:left w:val="nil"/>
              <w:bottom w:val="nil"/>
              <w:right w:val="nil"/>
            </w:tcBorders>
            <w:shd w:val="clear" w:color="FFFFFF" w:fill="FFFFFF"/>
            <w:noWrap/>
            <w:vAlign w:val="bottom"/>
            <w:hideMark/>
          </w:tcPr>
          <w:p w14:paraId="2260436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2,239</w:t>
            </w:r>
          </w:p>
        </w:tc>
        <w:tc>
          <w:tcPr>
            <w:tcW w:w="267" w:type="dxa"/>
            <w:tcBorders>
              <w:top w:val="nil"/>
              <w:left w:val="nil"/>
              <w:bottom w:val="nil"/>
              <w:right w:val="nil"/>
            </w:tcBorders>
            <w:shd w:val="clear" w:color="FFFFFF" w:fill="FFFFFF"/>
            <w:noWrap/>
            <w:vAlign w:val="bottom"/>
            <w:hideMark/>
          </w:tcPr>
          <w:p w14:paraId="6205A2E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D482AE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7,140</w:t>
            </w:r>
          </w:p>
        </w:tc>
      </w:tr>
      <w:tr w:rsidR="00FD06ED" w:rsidRPr="00FD06ED" w14:paraId="4CE8E3CF" w14:textId="77777777" w:rsidTr="005C33EF">
        <w:trPr>
          <w:trHeight w:val="255"/>
        </w:trPr>
        <w:tc>
          <w:tcPr>
            <w:tcW w:w="6376" w:type="dxa"/>
            <w:tcBorders>
              <w:top w:val="nil"/>
              <w:left w:val="nil"/>
              <w:bottom w:val="nil"/>
              <w:right w:val="nil"/>
            </w:tcBorders>
            <w:shd w:val="clear" w:color="FFFFFF" w:fill="FFFFFF"/>
            <w:noWrap/>
            <w:vAlign w:val="bottom"/>
            <w:hideMark/>
          </w:tcPr>
          <w:p w14:paraId="0D08AF5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Staff recruitment and relocation</w:t>
            </w:r>
          </w:p>
        </w:tc>
        <w:tc>
          <w:tcPr>
            <w:tcW w:w="1236" w:type="dxa"/>
            <w:tcBorders>
              <w:top w:val="nil"/>
              <w:left w:val="nil"/>
              <w:bottom w:val="nil"/>
              <w:right w:val="nil"/>
            </w:tcBorders>
            <w:shd w:val="clear" w:color="FFFFFF" w:fill="FFFFFF"/>
            <w:noWrap/>
            <w:vAlign w:val="bottom"/>
            <w:hideMark/>
          </w:tcPr>
          <w:p w14:paraId="213B500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2,183</w:t>
            </w:r>
          </w:p>
        </w:tc>
        <w:tc>
          <w:tcPr>
            <w:tcW w:w="267" w:type="dxa"/>
            <w:tcBorders>
              <w:top w:val="nil"/>
              <w:left w:val="nil"/>
              <w:bottom w:val="nil"/>
              <w:right w:val="nil"/>
            </w:tcBorders>
            <w:shd w:val="clear" w:color="FFFFFF" w:fill="FFFFFF"/>
            <w:noWrap/>
            <w:vAlign w:val="bottom"/>
            <w:hideMark/>
          </w:tcPr>
          <w:p w14:paraId="7B79276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71EA847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1,821</w:t>
            </w:r>
          </w:p>
        </w:tc>
      </w:tr>
      <w:tr w:rsidR="00FD06ED" w:rsidRPr="00FD06ED" w14:paraId="307ACB34" w14:textId="77777777" w:rsidTr="005C33EF">
        <w:trPr>
          <w:trHeight w:val="255"/>
        </w:trPr>
        <w:tc>
          <w:tcPr>
            <w:tcW w:w="6376" w:type="dxa"/>
            <w:tcBorders>
              <w:top w:val="nil"/>
              <w:left w:val="nil"/>
              <w:bottom w:val="nil"/>
              <w:right w:val="nil"/>
            </w:tcBorders>
            <w:shd w:val="clear" w:color="FFFFFF" w:fill="FFFFFF"/>
            <w:noWrap/>
            <w:vAlign w:val="bottom"/>
            <w:hideMark/>
          </w:tcPr>
          <w:p w14:paraId="1D784B8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Repairs and maintenance</w:t>
            </w:r>
          </w:p>
        </w:tc>
        <w:tc>
          <w:tcPr>
            <w:tcW w:w="1236" w:type="dxa"/>
            <w:tcBorders>
              <w:top w:val="nil"/>
              <w:left w:val="nil"/>
              <w:bottom w:val="nil"/>
              <w:right w:val="nil"/>
            </w:tcBorders>
            <w:shd w:val="clear" w:color="FFFFFF" w:fill="FFFFFF"/>
            <w:noWrap/>
            <w:vAlign w:val="bottom"/>
            <w:hideMark/>
          </w:tcPr>
          <w:p w14:paraId="2AF7216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1,016</w:t>
            </w:r>
          </w:p>
        </w:tc>
        <w:tc>
          <w:tcPr>
            <w:tcW w:w="267" w:type="dxa"/>
            <w:tcBorders>
              <w:top w:val="nil"/>
              <w:left w:val="nil"/>
              <w:bottom w:val="nil"/>
              <w:right w:val="nil"/>
            </w:tcBorders>
            <w:shd w:val="clear" w:color="FFFFFF" w:fill="FFFFFF"/>
            <w:noWrap/>
            <w:vAlign w:val="bottom"/>
            <w:hideMark/>
          </w:tcPr>
          <w:p w14:paraId="65C9940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140DD6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1,266</w:t>
            </w:r>
          </w:p>
        </w:tc>
      </w:tr>
      <w:tr w:rsidR="00FD06ED" w:rsidRPr="00FD06ED" w14:paraId="3C5C2AF6" w14:textId="77777777" w:rsidTr="005C33EF">
        <w:trPr>
          <w:trHeight w:val="255"/>
        </w:trPr>
        <w:tc>
          <w:tcPr>
            <w:tcW w:w="6376" w:type="dxa"/>
            <w:tcBorders>
              <w:top w:val="nil"/>
              <w:left w:val="nil"/>
              <w:bottom w:val="nil"/>
              <w:right w:val="nil"/>
            </w:tcBorders>
            <w:shd w:val="clear" w:color="FFFFFF" w:fill="FFFFFF"/>
            <w:noWrap/>
            <w:vAlign w:val="bottom"/>
            <w:hideMark/>
          </w:tcPr>
          <w:p w14:paraId="71D25D5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Audit fees</w:t>
            </w:r>
          </w:p>
        </w:tc>
        <w:tc>
          <w:tcPr>
            <w:tcW w:w="1236" w:type="dxa"/>
            <w:tcBorders>
              <w:top w:val="nil"/>
              <w:left w:val="nil"/>
              <w:bottom w:val="nil"/>
              <w:right w:val="nil"/>
            </w:tcBorders>
            <w:shd w:val="clear" w:color="FFFFFF" w:fill="FFFFFF"/>
            <w:noWrap/>
            <w:vAlign w:val="bottom"/>
            <w:hideMark/>
          </w:tcPr>
          <w:p w14:paraId="2E54851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623</w:t>
            </w:r>
          </w:p>
        </w:tc>
        <w:tc>
          <w:tcPr>
            <w:tcW w:w="267" w:type="dxa"/>
            <w:tcBorders>
              <w:top w:val="nil"/>
              <w:left w:val="nil"/>
              <w:bottom w:val="nil"/>
              <w:right w:val="nil"/>
            </w:tcBorders>
            <w:shd w:val="clear" w:color="FFFFFF" w:fill="FFFFFF"/>
            <w:noWrap/>
            <w:vAlign w:val="bottom"/>
            <w:hideMark/>
          </w:tcPr>
          <w:p w14:paraId="7B82FD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6B3A730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627</w:t>
            </w:r>
          </w:p>
        </w:tc>
      </w:tr>
      <w:tr w:rsidR="00FD06ED" w:rsidRPr="00FD06ED" w14:paraId="504A4F4B" w14:textId="77777777" w:rsidTr="005C33EF">
        <w:trPr>
          <w:trHeight w:val="255"/>
        </w:trPr>
        <w:tc>
          <w:tcPr>
            <w:tcW w:w="6376" w:type="dxa"/>
            <w:tcBorders>
              <w:top w:val="nil"/>
              <w:left w:val="nil"/>
              <w:bottom w:val="nil"/>
              <w:right w:val="nil"/>
            </w:tcBorders>
            <w:shd w:val="clear" w:color="FFFFFF" w:fill="FFFFFF"/>
            <w:noWrap/>
            <w:vAlign w:val="bottom"/>
            <w:hideMark/>
          </w:tcPr>
          <w:p w14:paraId="36E9019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 xml:space="preserve">Other </w:t>
            </w:r>
          </w:p>
        </w:tc>
        <w:tc>
          <w:tcPr>
            <w:tcW w:w="1236" w:type="dxa"/>
            <w:tcBorders>
              <w:top w:val="nil"/>
              <w:left w:val="nil"/>
              <w:bottom w:val="nil"/>
              <w:right w:val="nil"/>
            </w:tcBorders>
            <w:shd w:val="clear" w:color="FFFFFF" w:fill="FFFFFF"/>
            <w:noWrap/>
            <w:vAlign w:val="bottom"/>
            <w:hideMark/>
          </w:tcPr>
          <w:p w14:paraId="23EF297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6,685</w:t>
            </w:r>
          </w:p>
        </w:tc>
        <w:tc>
          <w:tcPr>
            <w:tcW w:w="267" w:type="dxa"/>
            <w:tcBorders>
              <w:top w:val="nil"/>
              <w:left w:val="nil"/>
              <w:bottom w:val="nil"/>
              <w:right w:val="nil"/>
            </w:tcBorders>
            <w:shd w:val="clear" w:color="FFFFFF" w:fill="FFFFFF"/>
            <w:noWrap/>
            <w:vAlign w:val="bottom"/>
            <w:hideMark/>
          </w:tcPr>
          <w:p w14:paraId="2915AC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3F7D985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11,723</w:t>
            </w:r>
          </w:p>
        </w:tc>
      </w:tr>
      <w:tr w:rsidR="00FD06ED" w:rsidRPr="00FD06ED" w14:paraId="6C07F0CC" w14:textId="77777777" w:rsidTr="005C33EF">
        <w:trPr>
          <w:trHeight w:val="255"/>
        </w:trPr>
        <w:tc>
          <w:tcPr>
            <w:tcW w:w="6376" w:type="dxa"/>
            <w:tcBorders>
              <w:top w:val="nil"/>
              <w:left w:val="nil"/>
              <w:bottom w:val="nil"/>
              <w:right w:val="nil"/>
            </w:tcBorders>
            <w:shd w:val="clear" w:color="FFFFFF" w:fill="FFFFFF"/>
            <w:vAlign w:val="bottom"/>
            <w:hideMark/>
          </w:tcPr>
          <w:p w14:paraId="4DD0DC9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services rendered</w:t>
            </w:r>
          </w:p>
        </w:tc>
        <w:tc>
          <w:tcPr>
            <w:tcW w:w="1236" w:type="dxa"/>
            <w:tcBorders>
              <w:top w:val="single" w:sz="4" w:space="0" w:color="auto"/>
              <w:left w:val="nil"/>
              <w:bottom w:val="single" w:sz="4" w:space="0" w:color="auto"/>
              <w:right w:val="nil"/>
            </w:tcBorders>
            <w:shd w:val="clear" w:color="FFFFFF" w:fill="FFFFFF"/>
            <w:noWrap/>
            <w:vAlign w:val="bottom"/>
            <w:hideMark/>
          </w:tcPr>
          <w:p w14:paraId="60AB7FB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474,818</w:t>
            </w:r>
          </w:p>
        </w:tc>
        <w:tc>
          <w:tcPr>
            <w:tcW w:w="267" w:type="dxa"/>
            <w:tcBorders>
              <w:top w:val="nil"/>
              <w:left w:val="nil"/>
              <w:bottom w:val="nil"/>
              <w:right w:val="nil"/>
            </w:tcBorders>
            <w:shd w:val="clear" w:color="FFFFFF" w:fill="FFFFFF"/>
            <w:noWrap/>
            <w:vAlign w:val="bottom"/>
            <w:hideMark/>
          </w:tcPr>
          <w:p w14:paraId="2E4FA12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3FE5C01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445,284</w:t>
            </w:r>
          </w:p>
        </w:tc>
      </w:tr>
      <w:tr w:rsidR="00FD06ED" w:rsidRPr="00FD06ED" w14:paraId="66DEAB0C" w14:textId="77777777" w:rsidTr="005C33EF">
        <w:trPr>
          <w:trHeight w:val="210"/>
        </w:trPr>
        <w:tc>
          <w:tcPr>
            <w:tcW w:w="6376" w:type="dxa"/>
            <w:tcBorders>
              <w:top w:val="nil"/>
              <w:left w:val="nil"/>
              <w:bottom w:val="nil"/>
              <w:right w:val="nil"/>
            </w:tcBorders>
            <w:shd w:val="clear" w:color="FFFFFF" w:fill="FFFFFF"/>
            <w:vAlign w:val="bottom"/>
            <w:hideMark/>
          </w:tcPr>
          <w:p w14:paraId="07ADC14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2FDC0A9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2790431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646A8E3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11D6D08" w14:textId="77777777" w:rsidTr="005C33EF">
        <w:trPr>
          <w:trHeight w:val="255"/>
        </w:trPr>
        <w:tc>
          <w:tcPr>
            <w:tcW w:w="6376" w:type="dxa"/>
            <w:tcBorders>
              <w:top w:val="nil"/>
              <w:left w:val="nil"/>
              <w:bottom w:val="nil"/>
              <w:right w:val="nil"/>
            </w:tcBorders>
            <w:shd w:val="clear" w:color="FFFFFF" w:fill="FFFFFF"/>
            <w:vAlign w:val="bottom"/>
            <w:hideMark/>
          </w:tcPr>
          <w:p w14:paraId="0754C7C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Other suppliers</w:t>
            </w:r>
          </w:p>
        </w:tc>
        <w:tc>
          <w:tcPr>
            <w:tcW w:w="1236" w:type="dxa"/>
            <w:tcBorders>
              <w:top w:val="nil"/>
              <w:left w:val="nil"/>
              <w:bottom w:val="nil"/>
              <w:right w:val="nil"/>
            </w:tcBorders>
            <w:shd w:val="clear" w:color="FFFFFF" w:fill="FFFFFF"/>
            <w:noWrap/>
            <w:vAlign w:val="bottom"/>
            <w:hideMark/>
          </w:tcPr>
          <w:p w14:paraId="5A7FC2C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7261193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210947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7C0D0BE" w14:textId="77777777" w:rsidTr="005C33EF">
        <w:trPr>
          <w:trHeight w:val="255"/>
        </w:trPr>
        <w:tc>
          <w:tcPr>
            <w:tcW w:w="6376" w:type="dxa"/>
            <w:tcBorders>
              <w:top w:val="nil"/>
              <w:left w:val="nil"/>
              <w:bottom w:val="nil"/>
              <w:right w:val="nil"/>
            </w:tcBorders>
            <w:shd w:val="clear" w:color="FFFFFF" w:fill="FFFFFF"/>
            <w:noWrap/>
            <w:vAlign w:val="bottom"/>
            <w:hideMark/>
          </w:tcPr>
          <w:p w14:paraId="00EC9BC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Short-term leases</w:t>
            </w:r>
          </w:p>
        </w:tc>
        <w:tc>
          <w:tcPr>
            <w:tcW w:w="1236" w:type="dxa"/>
            <w:tcBorders>
              <w:top w:val="nil"/>
              <w:left w:val="nil"/>
              <w:bottom w:val="nil"/>
              <w:right w:val="nil"/>
            </w:tcBorders>
            <w:shd w:val="clear" w:color="FFFFFF" w:fill="FFFFFF"/>
            <w:noWrap/>
            <w:vAlign w:val="bottom"/>
            <w:hideMark/>
          </w:tcPr>
          <w:p w14:paraId="1021134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1,670</w:t>
            </w:r>
          </w:p>
        </w:tc>
        <w:tc>
          <w:tcPr>
            <w:tcW w:w="267" w:type="dxa"/>
            <w:tcBorders>
              <w:top w:val="nil"/>
              <w:left w:val="nil"/>
              <w:bottom w:val="nil"/>
              <w:right w:val="nil"/>
            </w:tcBorders>
            <w:shd w:val="clear" w:color="FFFFFF" w:fill="FFFFFF"/>
            <w:noWrap/>
            <w:vAlign w:val="bottom"/>
            <w:hideMark/>
          </w:tcPr>
          <w:p w14:paraId="5FECAF6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61110D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3,090</w:t>
            </w:r>
          </w:p>
        </w:tc>
      </w:tr>
      <w:tr w:rsidR="00FD06ED" w:rsidRPr="00FD06ED" w14:paraId="697CC8DE" w14:textId="77777777" w:rsidTr="005C33EF">
        <w:trPr>
          <w:trHeight w:val="255"/>
        </w:trPr>
        <w:tc>
          <w:tcPr>
            <w:tcW w:w="6376" w:type="dxa"/>
            <w:tcBorders>
              <w:top w:val="nil"/>
              <w:left w:val="nil"/>
              <w:bottom w:val="nil"/>
              <w:right w:val="nil"/>
            </w:tcBorders>
            <w:shd w:val="clear" w:color="FFFFFF" w:fill="FFFFFF"/>
            <w:vAlign w:val="bottom"/>
            <w:hideMark/>
          </w:tcPr>
          <w:p w14:paraId="2B14D66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proofErr w:type="gramStart"/>
            <w:r w:rsidRPr="00FD06ED">
              <w:rPr>
                <w:rFonts w:eastAsia="Times New Roman"/>
                <w:sz w:val="18"/>
                <w:szCs w:val="18"/>
                <w:lang w:eastAsia="en-US"/>
              </w:rPr>
              <w:t>Workers</w:t>
            </w:r>
            <w:proofErr w:type="gramEnd"/>
            <w:r w:rsidRPr="00FD06ED">
              <w:rPr>
                <w:rFonts w:eastAsia="Times New Roman"/>
                <w:sz w:val="18"/>
                <w:szCs w:val="18"/>
                <w:lang w:eastAsia="en-US"/>
              </w:rPr>
              <w:t xml:space="preserve"> compensation expenses</w:t>
            </w:r>
          </w:p>
        </w:tc>
        <w:tc>
          <w:tcPr>
            <w:tcW w:w="1236" w:type="dxa"/>
            <w:tcBorders>
              <w:top w:val="nil"/>
              <w:left w:val="nil"/>
              <w:bottom w:val="nil"/>
              <w:right w:val="nil"/>
            </w:tcBorders>
            <w:shd w:val="clear" w:color="FFFFFF" w:fill="FFFFFF"/>
            <w:noWrap/>
            <w:vAlign w:val="bottom"/>
            <w:hideMark/>
          </w:tcPr>
          <w:p w14:paraId="5972DF6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3,839</w:t>
            </w:r>
          </w:p>
        </w:tc>
        <w:tc>
          <w:tcPr>
            <w:tcW w:w="267" w:type="dxa"/>
            <w:tcBorders>
              <w:top w:val="nil"/>
              <w:left w:val="nil"/>
              <w:bottom w:val="nil"/>
              <w:right w:val="nil"/>
            </w:tcBorders>
            <w:shd w:val="clear" w:color="FFFFFF" w:fill="FFFFFF"/>
            <w:noWrap/>
            <w:vAlign w:val="bottom"/>
            <w:hideMark/>
          </w:tcPr>
          <w:p w14:paraId="26F22B8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337D504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2,128</w:t>
            </w:r>
          </w:p>
        </w:tc>
      </w:tr>
      <w:tr w:rsidR="00FD06ED" w:rsidRPr="00FD06ED" w14:paraId="66033CA2" w14:textId="77777777" w:rsidTr="005C33EF">
        <w:trPr>
          <w:trHeight w:val="255"/>
        </w:trPr>
        <w:tc>
          <w:tcPr>
            <w:tcW w:w="6376" w:type="dxa"/>
            <w:tcBorders>
              <w:top w:val="nil"/>
              <w:left w:val="nil"/>
              <w:bottom w:val="nil"/>
              <w:right w:val="nil"/>
            </w:tcBorders>
            <w:shd w:val="clear" w:color="FFFFFF" w:fill="FFFFFF"/>
            <w:vAlign w:val="bottom"/>
            <w:hideMark/>
          </w:tcPr>
          <w:p w14:paraId="7332E52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other suppliers</w:t>
            </w:r>
          </w:p>
        </w:tc>
        <w:tc>
          <w:tcPr>
            <w:tcW w:w="1236" w:type="dxa"/>
            <w:tcBorders>
              <w:top w:val="single" w:sz="4" w:space="0" w:color="auto"/>
              <w:left w:val="nil"/>
              <w:bottom w:val="single" w:sz="4" w:space="0" w:color="auto"/>
              <w:right w:val="nil"/>
            </w:tcBorders>
            <w:shd w:val="clear" w:color="FFFFFF" w:fill="FFFFFF"/>
            <w:noWrap/>
            <w:vAlign w:val="bottom"/>
            <w:hideMark/>
          </w:tcPr>
          <w:p w14:paraId="028D263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5,509</w:t>
            </w:r>
          </w:p>
        </w:tc>
        <w:tc>
          <w:tcPr>
            <w:tcW w:w="267" w:type="dxa"/>
            <w:tcBorders>
              <w:top w:val="nil"/>
              <w:left w:val="nil"/>
              <w:bottom w:val="nil"/>
              <w:right w:val="nil"/>
            </w:tcBorders>
            <w:shd w:val="clear" w:color="FFFFFF" w:fill="FFFFFF"/>
            <w:noWrap/>
            <w:vAlign w:val="bottom"/>
            <w:hideMark/>
          </w:tcPr>
          <w:p w14:paraId="7BFEDB5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7B32C6D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5,218</w:t>
            </w:r>
          </w:p>
        </w:tc>
      </w:tr>
      <w:tr w:rsidR="00FD06ED" w:rsidRPr="00FD06ED" w14:paraId="04C529A2" w14:textId="77777777" w:rsidTr="005C33EF">
        <w:trPr>
          <w:trHeight w:val="255"/>
        </w:trPr>
        <w:tc>
          <w:tcPr>
            <w:tcW w:w="6376" w:type="dxa"/>
            <w:tcBorders>
              <w:top w:val="nil"/>
              <w:left w:val="nil"/>
              <w:bottom w:val="nil"/>
              <w:right w:val="nil"/>
            </w:tcBorders>
            <w:shd w:val="clear" w:color="FFFFFF" w:fill="FFFFFF"/>
            <w:vAlign w:val="bottom"/>
            <w:hideMark/>
          </w:tcPr>
          <w:p w14:paraId="253A0FE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suppliers</w:t>
            </w:r>
          </w:p>
        </w:tc>
        <w:tc>
          <w:tcPr>
            <w:tcW w:w="1236" w:type="dxa"/>
            <w:tcBorders>
              <w:top w:val="nil"/>
              <w:left w:val="nil"/>
              <w:bottom w:val="single" w:sz="4" w:space="0" w:color="auto"/>
              <w:right w:val="nil"/>
            </w:tcBorders>
            <w:shd w:val="clear" w:color="FFFFFF" w:fill="FFFFFF"/>
            <w:noWrap/>
            <w:vAlign w:val="bottom"/>
            <w:hideMark/>
          </w:tcPr>
          <w:p w14:paraId="3F81173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480,327</w:t>
            </w:r>
          </w:p>
        </w:tc>
        <w:tc>
          <w:tcPr>
            <w:tcW w:w="267" w:type="dxa"/>
            <w:tcBorders>
              <w:top w:val="nil"/>
              <w:left w:val="nil"/>
              <w:bottom w:val="nil"/>
              <w:right w:val="nil"/>
            </w:tcBorders>
            <w:shd w:val="clear" w:color="FFFFFF" w:fill="FFFFFF"/>
            <w:noWrap/>
            <w:vAlign w:val="bottom"/>
            <w:hideMark/>
          </w:tcPr>
          <w:p w14:paraId="566379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single" w:sz="4" w:space="0" w:color="auto"/>
              <w:right w:val="nil"/>
            </w:tcBorders>
            <w:shd w:val="clear" w:color="FFFFFF" w:fill="FFFFFF"/>
            <w:noWrap/>
            <w:vAlign w:val="bottom"/>
            <w:hideMark/>
          </w:tcPr>
          <w:p w14:paraId="4137625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450,502</w:t>
            </w:r>
          </w:p>
        </w:tc>
      </w:tr>
    </w:tbl>
    <w:p w14:paraId="1ADAE6E6" w14:textId="77777777" w:rsidR="00FD06ED" w:rsidRPr="00FD06ED" w:rsidRDefault="00FD06ED" w:rsidP="00FD06ED">
      <w:pPr>
        <w:spacing w:before="0" w:after="0"/>
        <w:ind w:left="0" w:right="607"/>
        <w:rPr>
          <w:rFonts w:eastAsia="Times New Roman" w:cs="Times New Roman"/>
          <w:b/>
          <w:sz w:val="20"/>
          <w:szCs w:val="20"/>
          <w:lang w:eastAsia="en-US"/>
        </w:rPr>
      </w:pPr>
    </w:p>
    <w:p w14:paraId="5AD8BE2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4802B0C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u w:val="single"/>
          <w:lang w:eastAsia="en-US"/>
        </w:rPr>
      </w:pPr>
      <w:r w:rsidRPr="00FD06ED">
        <w:rPr>
          <w:rFonts w:eastAsia="Times New Roman"/>
          <w:bCs/>
          <w:sz w:val="18"/>
          <w:szCs w:val="18"/>
          <w:u w:val="single"/>
          <w:lang w:eastAsia="en-US"/>
        </w:rPr>
        <w:t>Short-term leases and leases of low-value assets</w:t>
      </w:r>
    </w:p>
    <w:p w14:paraId="2A44DCB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trike/>
          <w:color w:val="FF0000"/>
          <w:sz w:val="10"/>
          <w:szCs w:val="18"/>
          <w:lang w:eastAsia="en-US"/>
        </w:rPr>
      </w:pPr>
      <w:r w:rsidRPr="00FD06ED">
        <w:rPr>
          <w:rFonts w:eastAsia="Times New Roman"/>
          <w:bCs/>
          <w:sz w:val="18"/>
          <w:szCs w:val="18"/>
          <w:lang w:eastAsia="en-US"/>
        </w:rPr>
        <w:t xml:space="preserve">The Agency has elected not to recognise right-of-use assets and lease liabilities for short-term leases of assets that have a lease term of 12 months or less and leases of low-value assets (less than $10,000). The Agency recognises the lease payments associated with these leases as an expense on a straight-line basis over the lease term. </w:t>
      </w:r>
      <w:r w:rsidRPr="00FD06ED">
        <w:rPr>
          <w:rFonts w:eastAsia="Times New Roman"/>
          <w:bCs/>
          <w:strike/>
          <w:color w:val="FF0000"/>
          <w:sz w:val="10"/>
          <w:szCs w:val="18"/>
          <w:lang w:eastAsia="en-US"/>
        </w:rPr>
        <w:t xml:space="preserve"> </w:t>
      </w:r>
    </w:p>
    <w:p w14:paraId="2ED4668C" w14:textId="77777777" w:rsidR="00FD06ED" w:rsidRPr="00FD06ED" w:rsidRDefault="00FD06ED" w:rsidP="00FD06ED">
      <w:pPr>
        <w:spacing w:before="0" w:after="0" w:line="260" w:lineRule="atLeast"/>
        <w:ind w:left="0"/>
        <w:rPr>
          <w:rFonts w:eastAsia="Times New Roman"/>
          <w:sz w:val="14"/>
          <w:szCs w:val="14"/>
          <w:lang w:eastAsia="en-US"/>
        </w:rPr>
      </w:pPr>
      <w:r w:rsidRPr="00FD06ED">
        <w:rPr>
          <w:rFonts w:eastAsia="Times New Roman"/>
          <w:sz w:val="16"/>
          <w:szCs w:val="16"/>
          <w:vertAlign w:val="superscript"/>
          <w:lang w:eastAsia="en-US"/>
        </w:rPr>
        <w:t xml:space="preserve">1 </w:t>
      </w:r>
      <w:r w:rsidRPr="00FD06ED">
        <w:rPr>
          <w:rFonts w:eastAsia="Times New Roman"/>
          <w:sz w:val="14"/>
          <w:szCs w:val="14"/>
          <w:lang w:eastAsia="en-US"/>
        </w:rPr>
        <w:t>Balance includes contractor and consultant related expenses.</w:t>
      </w:r>
    </w:p>
    <w:p w14:paraId="5602D28A" w14:textId="732EF9F3" w:rsidR="00A53D7D" w:rsidRDefault="00FD06ED" w:rsidP="00FD06ED">
      <w:pPr>
        <w:spacing w:before="0" w:after="0" w:line="260" w:lineRule="atLeast"/>
        <w:ind w:left="0"/>
        <w:rPr>
          <w:rFonts w:eastAsia="Times New Roman"/>
          <w:sz w:val="14"/>
          <w:szCs w:val="16"/>
          <w:lang w:eastAsia="en-US"/>
        </w:rPr>
      </w:pPr>
      <w:r w:rsidRPr="00FD06ED">
        <w:rPr>
          <w:rFonts w:eastAsia="Times New Roman"/>
          <w:sz w:val="16"/>
          <w:szCs w:val="18"/>
          <w:vertAlign w:val="superscript"/>
          <w:lang w:eastAsia="en-US"/>
        </w:rPr>
        <w:t>2</w:t>
      </w:r>
      <w:r w:rsidRPr="00FD06ED">
        <w:rPr>
          <w:rFonts w:eastAsia="Times New Roman"/>
          <w:sz w:val="16"/>
          <w:szCs w:val="18"/>
          <w:lang w:eastAsia="en-US"/>
        </w:rPr>
        <w:t xml:space="preserve"> </w:t>
      </w:r>
      <w:r w:rsidRPr="00FD06ED">
        <w:rPr>
          <w:rFonts w:eastAsia="Times New Roman"/>
          <w:sz w:val="14"/>
          <w:szCs w:val="16"/>
          <w:lang w:eastAsia="en-US"/>
        </w:rPr>
        <w:t xml:space="preserve">During </w:t>
      </w:r>
      <w:r w:rsidRPr="00FD06ED">
        <w:rPr>
          <w:rFonts w:eastAsia="Times New Roman"/>
          <w:sz w:val="14"/>
          <w:szCs w:val="16"/>
          <w:lang w:eastAsia="en-US"/>
        </w:rPr>
        <w:fldChar w:fldCharType="begin"/>
      </w:r>
      <w:r w:rsidRPr="00FD06ED">
        <w:rPr>
          <w:rFonts w:eastAsia="Times New Roman"/>
          <w:sz w:val="14"/>
          <w:szCs w:val="16"/>
          <w:lang w:eastAsia="en-US"/>
        </w:rPr>
        <w:instrText xml:space="preserve"> DOCPROPERTY  prYear  \* MERGEFORMAT </w:instrText>
      </w:r>
      <w:r w:rsidRPr="00FD06ED">
        <w:rPr>
          <w:rFonts w:eastAsia="Times New Roman"/>
          <w:sz w:val="14"/>
          <w:szCs w:val="16"/>
          <w:lang w:eastAsia="en-US"/>
        </w:rPr>
        <w:fldChar w:fldCharType="separate"/>
      </w:r>
      <w:r w:rsidRPr="00FD06ED">
        <w:rPr>
          <w:rFonts w:eastAsia="Times New Roman"/>
          <w:sz w:val="14"/>
          <w:szCs w:val="16"/>
          <w:lang w:eastAsia="en-US"/>
        </w:rPr>
        <w:t>2021</w:t>
      </w:r>
      <w:r w:rsidRPr="00FD06ED">
        <w:rPr>
          <w:rFonts w:eastAsia="Times New Roman"/>
          <w:sz w:val="14"/>
          <w:szCs w:val="16"/>
          <w:lang w:eastAsia="en-US"/>
        </w:rPr>
        <w:fldChar w:fldCharType="end"/>
      </w:r>
      <w:r w:rsidRPr="00FD06ED">
        <w:rPr>
          <w:rFonts w:eastAsia="Times New Roman"/>
          <w:sz w:val="14"/>
          <w:szCs w:val="16"/>
          <w:lang w:eastAsia="en-US"/>
        </w:rPr>
        <w:t>-</w:t>
      </w:r>
      <w:r w:rsidRPr="00FD06ED">
        <w:rPr>
          <w:rFonts w:eastAsia="Times New Roman"/>
          <w:sz w:val="14"/>
          <w:szCs w:val="16"/>
          <w:lang w:eastAsia="en-US"/>
        </w:rPr>
        <w:fldChar w:fldCharType="begin"/>
      </w:r>
      <w:r w:rsidRPr="00FD06ED">
        <w:rPr>
          <w:rFonts w:eastAsia="Times New Roman"/>
          <w:sz w:val="14"/>
          <w:szCs w:val="16"/>
          <w:lang w:eastAsia="en-US"/>
        </w:rPr>
        <w:instrText xml:space="preserve"> DOCPROPERTY  crYear  \* MERGEFORMAT </w:instrText>
      </w:r>
      <w:r w:rsidRPr="00FD06ED">
        <w:rPr>
          <w:rFonts w:eastAsia="Times New Roman"/>
          <w:sz w:val="14"/>
          <w:szCs w:val="16"/>
          <w:lang w:eastAsia="en-US"/>
        </w:rPr>
        <w:fldChar w:fldCharType="separate"/>
      </w:r>
      <w:r w:rsidRPr="00FD06ED">
        <w:rPr>
          <w:rFonts w:eastAsia="Times New Roman"/>
          <w:sz w:val="14"/>
          <w:szCs w:val="16"/>
          <w:lang w:eastAsia="en-US"/>
        </w:rPr>
        <w:t>2022</w:t>
      </w:r>
      <w:r w:rsidRPr="00FD06ED">
        <w:rPr>
          <w:rFonts w:eastAsia="Times New Roman"/>
          <w:sz w:val="14"/>
          <w:szCs w:val="16"/>
          <w:lang w:eastAsia="en-US"/>
        </w:rPr>
        <w:fldChar w:fldCharType="end"/>
      </w:r>
      <w:r w:rsidRPr="00FD06ED">
        <w:rPr>
          <w:rFonts w:eastAsia="Times New Roman"/>
          <w:sz w:val="14"/>
          <w:szCs w:val="16"/>
          <w:lang w:eastAsia="en-US"/>
        </w:rPr>
        <w:t xml:space="preserve"> the Agency had a Memorandum of Understanding in place that covered the provision of various administrative and operational support services provided by Services Australia.</w:t>
      </w:r>
    </w:p>
    <w:p w14:paraId="6C37DC08" w14:textId="77777777" w:rsidR="00A53D7D" w:rsidRPr="00FD06ED" w:rsidRDefault="00A53D7D" w:rsidP="00FD06ED">
      <w:pPr>
        <w:spacing w:before="0" w:after="0" w:line="260" w:lineRule="atLeast"/>
        <w:ind w:left="0"/>
        <w:rPr>
          <w:rFonts w:eastAsia="Times New Roman"/>
          <w:sz w:val="14"/>
          <w:szCs w:val="16"/>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3F87BDFC" w14:textId="77777777" w:rsidTr="005C33EF">
        <w:trPr>
          <w:trHeight w:val="252"/>
        </w:trPr>
        <w:tc>
          <w:tcPr>
            <w:tcW w:w="6376" w:type="dxa"/>
            <w:tcBorders>
              <w:top w:val="nil"/>
              <w:left w:val="nil"/>
              <w:bottom w:val="nil"/>
              <w:right w:val="nil"/>
            </w:tcBorders>
            <w:shd w:val="clear" w:color="FFFFFF" w:fill="FFFFFF"/>
            <w:noWrap/>
            <w:vAlign w:val="bottom"/>
            <w:hideMark/>
          </w:tcPr>
          <w:p w14:paraId="267AE70D" w14:textId="77777777" w:rsidR="00FD06ED" w:rsidRPr="00FD06ED" w:rsidRDefault="00FD06ED" w:rsidP="00FD06ED">
            <w:pPr>
              <w:spacing w:before="0" w:after="0" w:line="260" w:lineRule="atLeast"/>
              <w:ind w:left="0"/>
              <w:rPr>
                <w:rFonts w:eastAsia="Times New Roman"/>
                <w:sz w:val="18"/>
                <w:szCs w:val="18"/>
                <w:lang w:eastAsia="en-US"/>
              </w:rPr>
            </w:pPr>
            <w:bookmarkStart w:id="154" w:name="Note_GRX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3FEA48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6AFAC1D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0EAECB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54"/>
      <w:tr w:rsidR="00FD06ED" w:rsidRPr="00FD06ED" w14:paraId="0967F840" w14:textId="77777777" w:rsidTr="005C33EF">
        <w:trPr>
          <w:trHeight w:val="255"/>
        </w:trPr>
        <w:tc>
          <w:tcPr>
            <w:tcW w:w="6376" w:type="dxa"/>
            <w:tcBorders>
              <w:top w:val="nil"/>
              <w:left w:val="nil"/>
              <w:bottom w:val="nil"/>
              <w:right w:val="nil"/>
            </w:tcBorders>
            <w:shd w:val="clear" w:color="FFFFFF" w:fill="FFFFFF"/>
            <w:noWrap/>
            <w:vAlign w:val="bottom"/>
            <w:hideMark/>
          </w:tcPr>
          <w:p w14:paraId="55904B68"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1.1C: Grants</w:t>
            </w:r>
          </w:p>
        </w:tc>
        <w:tc>
          <w:tcPr>
            <w:tcW w:w="1236" w:type="dxa"/>
            <w:tcBorders>
              <w:top w:val="nil"/>
              <w:left w:val="nil"/>
              <w:bottom w:val="nil"/>
              <w:right w:val="nil"/>
            </w:tcBorders>
            <w:shd w:val="clear" w:color="FFFFFF" w:fill="FFFFFF"/>
            <w:noWrap/>
            <w:vAlign w:val="bottom"/>
            <w:hideMark/>
          </w:tcPr>
          <w:p w14:paraId="1BA9ACF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575D9E4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D8DF11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5D65DEBD" w14:textId="77777777" w:rsidTr="005C33EF">
        <w:trPr>
          <w:trHeight w:val="255"/>
        </w:trPr>
        <w:tc>
          <w:tcPr>
            <w:tcW w:w="6376" w:type="dxa"/>
            <w:tcBorders>
              <w:top w:val="nil"/>
              <w:left w:val="nil"/>
              <w:bottom w:val="nil"/>
              <w:right w:val="nil"/>
            </w:tcBorders>
            <w:shd w:val="clear" w:color="FFFFFF" w:fill="FFFFFF"/>
            <w:noWrap/>
            <w:vAlign w:val="bottom"/>
            <w:hideMark/>
          </w:tcPr>
          <w:p w14:paraId="74AB5563"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Public sector</w:t>
            </w:r>
          </w:p>
        </w:tc>
        <w:tc>
          <w:tcPr>
            <w:tcW w:w="1236" w:type="dxa"/>
            <w:tcBorders>
              <w:top w:val="nil"/>
              <w:left w:val="nil"/>
              <w:bottom w:val="nil"/>
              <w:right w:val="nil"/>
            </w:tcBorders>
            <w:shd w:val="clear" w:color="FFFFFF" w:fill="FFFFFF"/>
            <w:noWrap/>
            <w:vAlign w:val="bottom"/>
            <w:hideMark/>
          </w:tcPr>
          <w:p w14:paraId="6BF7A243" w14:textId="77777777" w:rsidR="00FD06ED" w:rsidRPr="00FD06ED" w:rsidRDefault="00FD06ED" w:rsidP="00FD06ED">
            <w:pPr>
              <w:spacing w:before="0" w:after="0" w:line="260" w:lineRule="atLeast"/>
              <w:ind w:left="0"/>
              <w:jc w:val="right"/>
              <w:rPr>
                <w:rFonts w:eastAsia="Times New Roman"/>
                <w:b/>
                <w:bCs/>
                <w:color w:val="F7FBFF"/>
                <w:sz w:val="18"/>
                <w:szCs w:val="18"/>
                <w:lang w:eastAsia="en-US"/>
              </w:rPr>
            </w:pPr>
            <w:r w:rsidRPr="00FD06ED">
              <w:rPr>
                <w:rFonts w:eastAsia="Times New Roman"/>
                <w:b/>
                <w:bCs/>
                <w:color w:val="F7FBFF"/>
                <w:sz w:val="18"/>
                <w:szCs w:val="18"/>
                <w:lang w:eastAsia="en-US"/>
              </w:rPr>
              <w:t> </w:t>
            </w:r>
          </w:p>
        </w:tc>
        <w:tc>
          <w:tcPr>
            <w:tcW w:w="267" w:type="dxa"/>
            <w:tcBorders>
              <w:top w:val="nil"/>
              <w:left w:val="nil"/>
              <w:bottom w:val="nil"/>
              <w:right w:val="nil"/>
            </w:tcBorders>
            <w:shd w:val="clear" w:color="FFFFFF" w:fill="FFFFFF"/>
            <w:noWrap/>
            <w:vAlign w:val="bottom"/>
            <w:hideMark/>
          </w:tcPr>
          <w:p w14:paraId="1618C261" w14:textId="77777777" w:rsidR="00FD06ED" w:rsidRPr="00FD06ED" w:rsidRDefault="00FD06ED" w:rsidP="00FD06ED">
            <w:pPr>
              <w:spacing w:before="0" w:after="0" w:line="260" w:lineRule="atLeast"/>
              <w:ind w:left="0"/>
              <w:rPr>
                <w:rFonts w:eastAsia="Times New Roman"/>
                <w:color w:val="F7FBFF"/>
                <w:sz w:val="18"/>
                <w:szCs w:val="18"/>
                <w:lang w:eastAsia="en-US"/>
              </w:rPr>
            </w:pPr>
            <w:r w:rsidRPr="00FD06ED">
              <w:rPr>
                <w:rFonts w:eastAsia="Times New Roman"/>
                <w:color w:val="F7FBFF"/>
                <w:sz w:val="18"/>
                <w:szCs w:val="18"/>
                <w:lang w:eastAsia="en-US"/>
              </w:rPr>
              <w:t> </w:t>
            </w:r>
          </w:p>
        </w:tc>
        <w:tc>
          <w:tcPr>
            <w:tcW w:w="1236" w:type="dxa"/>
            <w:tcBorders>
              <w:top w:val="nil"/>
              <w:left w:val="nil"/>
              <w:bottom w:val="nil"/>
              <w:right w:val="nil"/>
            </w:tcBorders>
            <w:shd w:val="clear" w:color="FFFFFF" w:fill="FFFFFF"/>
            <w:noWrap/>
            <w:vAlign w:val="bottom"/>
            <w:hideMark/>
          </w:tcPr>
          <w:p w14:paraId="4EE5B537" w14:textId="77777777" w:rsidR="00FD06ED" w:rsidRPr="00FD06ED" w:rsidRDefault="00FD06ED" w:rsidP="00FD06ED">
            <w:pPr>
              <w:spacing w:before="0" w:after="0" w:line="260" w:lineRule="atLeast"/>
              <w:ind w:left="0"/>
              <w:jc w:val="right"/>
              <w:rPr>
                <w:rFonts w:eastAsia="Times New Roman"/>
                <w:color w:val="F7FBFF"/>
                <w:sz w:val="18"/>
                <w:szCs w:val="18"/>
                <w:lang w:eastAsia="en-US"/>
              </w:rPr>
            </w:pPr>
            <w:r w:rsidRPr="00FD06ED">
              <w:rPr>
                <w:rFonts w:eastAsia="Times New Roman"/>
                <w:color w:val="F7FBFF"/>
                <w:sz w:val="18"/>
                <w:szCs w:val="18"/>
                <w:lang w:eastAsia="en-US"/>
              </w:rPr>
              <w:t> </w:t>
            </w:r>
          </w:p>
        </w:tc>
      </w:tr>
      <w:tr w:rsidR="00FD06ED" w:rsidRPr="00FD06ED" w14:paraId="282A8D07" w14:textId="77777777" w:rsidTr="005C33EF">
        <w:trPr>
          <w:trHeight w:val="255"/>
        </w:trPr>
        <w:tc>
          <w:tcPr>
            <w:tcW w:w="6376" w:type="dxa"/>
            <w:tcBorders>
              <w:top w:val="nil"/>
              <w:left w:val="nil"/>
              <w:bottom w:val="nil"/>
              <w:right w:val="nil"/>
            </w:tcBorders>
            <w:shd w:val="clear" w:color="FFFFFF" w:fill="FFFFFF"/>
            <w:noWrap/>
            <w:vAlign w:val="bottom"/>
            <w:hideMark/>
          </w:tcPr>
          <w:p w14:paraId="281ED7BF" w14:textId="77777777" w:rsidR="00FD06ED" w:rsidRPr="00FD06ED" w:rsidRDefault="00FD06ED" w:rsidP="00FD06ED">
            <w:pPr>
              <w:spacing w:before="0" w:after="0" w:line="260" w:lineRule="atLeast"/>
              <w:ind w:left="0" w:firstLineChars="200" w:firstLine="360"/>
              <w:rPr>
                <w:rFonts w:eastAsia="Times New Roman"/>
                <w:sz w:val="18"/>
                <w:szCs w:val="18"/>
                <w:lang w:eastAsia="en-US"/>
              </w:rPr>
            </w:pPr>
            <w:r w:rsidRPr="00FD06ED">
              <w:rPr>
                <w:rFonts w:eastAsia="Times New Roman"/>
                <w:sz w:val="18"/>
                <w:szCs w:val="18"/>
                <w:lang w:eastAsia="en-US"/>
              </w:rPr>
              <w:t>State and territory governments</w:t>
            </w:r>
          </w:p>
        </w:tc>
        <w:tc>
          <w:tcPr>
            <w:tcW w:w="1236" w:type="dxa"/>
            <w:tcBorders>
              <w:top w:val="nil"/>
              <w:left w:val="nil"/>
              <w:bottom w:val="nil"/>
              <w:right w:val="nil"/>
            </w:tcBorders>
            <w:shd w:val="clear" w:color="FFFFFF" w:fill="FFFFFF"/>
            <w:noWrap/>
            <w:vAlign w:val="bottom"/>
            <w:hideMark/>
          </w:tcPr>
          <w:p w14:paraId="4247811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4C3147B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999464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568</w:t>
            </w:r>
          </w:p>
        </w:tc>
      </w:tr>
      <w:tr w:rsidR="00FD06ED" w:rsidRPr="00FD06ED" w14:paraId="4BC10687" w14:textId="77777777" w:rsidTr="005C33EF">
        <w:trPr>
          <w:trHeight w:val="255"/>
        </w:trPr>
        <w:tc>
          <w:tcPr>
            <w:tcW w:w="6376" w:type="dxa"/>
            <w:tcBorders>
              <w:top w:val="nil"/>
              <w:left w:val="nil"/>
              <w:bottom w:val="nil"/>
              <w:right w:val="nil"/>
            </w:tcBorders>
            <w:shd w:val="clear" w:color="FFFFFF" w:fill="FFFFFF"/>
            <w:noWrap/>
            <w:vAlign w:val="bottom"/>
            <w:hideMark/>
          </w:tcPr>
          <w:p w14:paraId="037120F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Private sector</w:t>
            </w:r>
          </w:p>
        </w:tc>
        <w:tc>
          <w:tcPr>
            <w:tcW w:w="1236" w:type="dxa"/>
            <w:tcBorders>
              <w:top w:val="nil"/>
              <w:left w:val="nil"/>
              <w:bottom w:val="nil"/>
              <w:right w:val="nil"/>
            </w:tcBorders>
            <w:shd w:val="clear" w:color="FFFFFF" w:fill="FFFFFF"/>
            <w:noWrap/>
            <w:vAlign w:val="bottom"/>
            <w:hideMark/>
          </w:tcPr>
          <w:p w14:paraId="260A218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6DB63A8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2EFFCC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9A50EAA" w14:textId="77777777" w:rsidTr="005C33EF">
        <w:trPr>
          <w:trHeight w:val="255"/>
        </w:trPr>
        <w:tc>
          <w:tcPr>
            <w:tcW w:w="6376" w:type="dxa"/>
            <w:tcBorders>
              <w:top w:val="nil"/>
              <w:left w:val="nil"/>
              <w:bottom w:val="nil"/>
              <w:right w:val="nil"/>
            </w:tcBorders>
            <w:shd w:val="clear" w:color="FFFFFF" w:fill="FFFFFF"/>
            <w:noWrap/>
            <w:vAlign w:val="bottom"/>
            <w:hideMark/>
          </w:tcPr>
          <w:p w14:paraId="472457A4" w14:textId="77777777" w:rsidR="00FD06ED" w:rsidRPr="00FD06ED" w:rsidRDefault="00FD06ED" w:rsidP="00FD06ED">
            <w:pPr>
              <w:spacing w:before="0" w:after="0" w:line="260" w:lineRule="atLeast"/>
              <w:ind w:left="0" w:firstLineChars="200" w:firstLine="360"/>
              <w:rPr>
                <w:rFonts w:eastAsia="Times New Roman"/>
                <w:sz w:val="18"/>
                <w:szCs w:val="18"/>
                <w:lang w:eastAsia="en-US"/>
              </w:rPr>
            </w:pPr>
            <w:r w:rsidRPr="00FD06ED">
              <w:rPr>
                <w:rFonts w:eastAsia="Times New Roman"/>
                <w:sz w:val="18"/>
                <w:szCs w:val="18"/>
                <w:lang w:eastAsia="en-US"/>
              </w:rPr>
              <w:t>For profit organisations</w:t>
            </w:r>
          </w:p>
        </w:tc>
        <w:tc>
          <w:tcPr>
            <w:tcW w:w="1236" w:type="dxa"/>
            <w:tcBorders>
              <w:top w:val="nil"/>
              <w:left w:val="nil"/>
              <w:bottom w:val="nil"/>
              <w:right w:val="nil"/>
            </w:tcBorders>
            <w:shd w:val="clear" w:color="FFFFFF" w:fill="FFFFFF"/>
            <w:noWrap/>
            <w:vAlign w:val="bottom"/>
            <w:hideMark/>
          </w:tcPr>
          <w:p w14:paraId="5842FCF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1CEEF6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66CDE9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1,525</w:t>
            </w:r>
          </w:p>
        </w:tc>
      </w:tr>
      <w:tr w:rsidR="00FD06ED" w:rsidRPr="00FD06ED" w14:paraId="40444A69" w14:textId="77777777" w:rsidTr="005C33EF">
        <w:trPr>
          <w:trHeight w:val="267"/>
        </w:trPr>
        <w:tc>
          <w:tcPr>
            <w:tcW w:w="6376" w:type="dxa"/>
            <w:tcBorders>
              <w:top w:val="nil"/>
              <w:left w:val="nil"/>
              <w:bottom w:val="nil"/>
              <w:right w:val="nil"/>
            </w:tcBorders>
            <w:shd w:val="clear" w:color="FFFFFF" w:fill="FFFFFF"/>
            <w:noWrap/>
            <w:vAlign w:val="bottom"/>
            <w:hideMark/>
          </w:tcPr>
          <w:p w14:paraId="7C308398" w14:textId="77777777" w:rsidR="00FD06ED" w:rsidRPr="00FD06ED" w:rsidRDefault="00FD06ED" w:rsidP="00FD06ED">
            <w:pPr>
              <w:spacing w:before="0" w:after="0" w:line="260" w:lineRule="atLeast"/>
              <w:ind w:left="0" w:firstLineChars="200" w:firstLine="360"/>
              <w:rPr>
                <w:rFonts w:eastAsia="Times New Roman"/>
                <w:sz w:val="18"/>
                <w:szCs w:val="18"/>
                <w:lang w:eastAsia="en-US"/>
              </w:rPr>
            </w:pPr>
            <w:r w:rsidRPr="00FD06ED">
              <w:rPr>
                <w:rFonts w:eastAsia="Times New Roman"/>
                <w:sz w:val="18"/>
                <w:szCs w:val="18"/>
                <w:lang w:eastAsia="en-US"/>
              </w:rPr>
              <w:t>Not for profit organisations</w:t>
            </w:r>
          </w:p>
        </w:tc>
        <w:tc>
          <w:tcPr>
            <w:tcW w:w="1236" w:type="dxa"/>
            <w:tcBorders>
              <w:top w:val="nil"/>
              <w:left w:val="nil"/>
              <w:bottom w:val="nil"/>
              <w:right w:val="nil"/>
            </w:tcBorders>
            <w:shd w:val="clear" w:color="FFFFFF" w:fill="FFFFFF"/>
            <w:noWrap/>
            <w:vAlign w:val="bottom"/>
            <w:hideMark/>
          </w:tcPr>
          <w:p w14:paraId="6C35576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262</w:t>
            </w:r>
          </w:p>
        </w:tc>
        <w:tc>
          <w:tcPr>
            <w:tcW w:w="267" w:type="dxa"/>
            <w:tcBorders>
              <w:top w:val="nil"/>
              <w:left w:val="nil"/>
              <w:bottom w:val="nil"/>
              <w:right w:val="nil"/>
            </w:tcBorders>
            <w:shd w:val="clear" w:color="FFFFFF" w:fill="FFFFFF"/>
            <w:noWrap/>
            <w:vAlign w:val="bottom"/>
            <w:hideMark/>
          </w:tcPr>
          <w:p w14:paraId="5565F32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32D69E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25,034</w:t>
            </w:r>
          </w:p>
        </w:tc>
      </w:tr>
      <w:tr w:rsidR="00FD06ED" w:rsidRPr="00FD06ED" w14:paraId="3EDA526E" w14:textId="77777777" w:rsidTr="005C33EF">
        <w:trPr>
          <w:trHeight w:val="255"/>
        </w:trPr>
        <w:tc>
          <w:tcPr>
            <w:tcW w:w="6376" w:type="dxa"/>
            <w:tcBorders>
              <w:top w:val="nil"/>
              <w:left w:val="nil"/>
              <w:bottom w:val="nil"/>
              <w:right w:val="nil"/>
            </w:tcBorders>
            <w:shd w:val="clear" w:color="FFFFFF" w:fill="FFFFFF"/>
            <w:vAlign w:val="bottom"/>
            <w:hideMark/>
          </w:tcPr>
          <w:p w14:paraId="16E77E4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grants</w:t>
            </w:r>
          </w:p>
        </w:tc>
        <w:tc>
          <w:tcPr>
            <w:tcW w:w="1236" w:type="dxa"/>
            <w:tcBorders>
              <w:top w:val="single" w:sz="4" w:space="0" w:color="auto"/>
              <w:left w:val="nil"/>
              <w:bottom w:val="single" w:sz="4" w:space="0" w:color="auto"/>
              <w:right w:val="nil"/>
            </w:tcBorders>
            <w:shd w:val="clear" w:color="FFFFFF" w:fill="FFFFFF"/>
            <w:noWrap/>
            <w:vAlign w:val="bottom"/>
            <w:hideMark/>
          </w:tcPr>
          <w:p w14:paraId="49E4455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262</w:t>
            </w:r>
          </w:p>
        </w:tc>
        <w:tc>
          <w:tcPr>
            <w:tcW w:w="267" w:type="dxa"/>
            <w:tcBorders>
              <w:top w:val="nil"/>
              <w:left w:val="nil"/>
              <w:bottom w:val="nil"/>
              <w:right w:val="nil"/>
            </w:tcBorders>
            <w:shd w:val="clear" w:color="FFFFFF" w:fill="FFFFFF"/>
            <w:noWrap/>
            <w:vAlign w:val="bottom"/>
            <w:hideMark/>
          </w:tcPr>
          <w:p w14:paraId="55458C8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682DC48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27,127</w:t>
            </w:r>
          </w:p>
        </w:tc>
      </w:tr>
      <w:tr w:rsidR="00FD06ED" w:rsidRPr="00FD06ED" w14:paraId="5154B9A9" w14:textId="77777777" w:rsidTr="005C33EF">
        <w:trPr>
          <w:trHeight w:val="255"/>
        </w:trPr>
        <w:tc>
          <w:tcPr>
            <w:tcW w:w="6376" w:type="dxa"/>
            <w:tcBorders>
              <w:top w:val="nil"/>
              <w:left w:val="nil"/>
              <w:bottom w:val="nil"/>
              <w:right w:val="nil"/>
            </w:tcBorders>
            <w:shd w:val="clear" w:color="FFFFFF" w:fill="FFFFFF"/>
            <w:vAlign w:val="bottom"/>
            <w:hideMark/>
          </w:tcPr>
          <w:p w14:paraId="58990D7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02A58CD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2418869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BF140E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11B3C9DC" w14:textId="77777777" w:rsidTr="005C33EF">
        <w:trPr>
          <w:trHeight w:val="1879"/>
        </w:trPr>
        <w:tc>
          <w:tcPr>
            <w:tcW w:w="9115" w:type="dxa"/>
            <w:gridSpan w:val="4"/>
            <w:tcBorders>
              <w:top w:val="nil"/>
              <w:left w:val="nil"/>
              <w:bottom w:val="nil"/>
              <w:right w:val="nil"/>
            </w:tcBorders>
            <w:shd w:val="clear" w:color="FFFFFF" w:fill="FFFFFF"/>
            <w:hideMark/>
          </w:tcPr>
          <w:p w14:paraId="3A636202" w14:textId="0ED7A6C5"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In </w:t>
            </w:r>
            <w:r w:rsidR="00577731">
              <w:rPr>
                <w:rFonts w:eastAsia="Times New Roman"/>
                <w:sz w:val="18"/>
                <w:szCs w:val="18"/>
                <w:lang w:eastAsia="en-US"/>
              </w:rPr>
              <w:t>2021–</w:t>
            </w:r>
            <w:proofErr w:type="gramStart"/>
            <w:r w:rsidR="00577731">
              <w:rPr>
                <w:rFonts w:eastAsia="Times New Roman"/>
                <w:sz w:val="18"/>
                <w:szCs w:val="18"/>
                <w:lang w:eastAsia="en-US"/>
              </w:rPr>
              <w:t xml:space="preserve">22 </w:t>
            </w:r>
            <w:r w:rsidRPr="00FD06ED">
              <w:rPr>
                <w:rFonts w:eastAsia="Times New Roman"/>
                <w:sz w:val="18"/>
                <w:szCs w:val="18"/>
                <w:lang w:eastAsia="en-US"/>
              </w:rPr>
              <w:t>,</w:t>
            </w:r>
            <w:proofErr w:type="gramEnd"/>
            <w:r w:rsidRPr="00FD06ED">
              <w:rPr>
                <w:rFonts w:eastAsia="Times New Roman"/>
                <w:sz w:val="18"/>
                <w:szCs w:val="18"/>
                <w:lang w:eastAsia="en-US"/>
              </w:rPr>
              <w:t xml:space="preserve"> the Agency introduced Home and Living grants to assist providers with establishment costs associated with Supported Independent Living demonstration projects. </w:t>
            </w:r>
            <w:r w:rsidRPr="00FD06ED">
              <w:rPr>
                <w:rFonts w:eastAsia="Times New Roman"/>
                <w:sz w:val="18"/>
                <w:szCs w:val="18"/>
                <w:lang w:eastAsia="en-US"/>
              </w:rPr>
              <w:br/>
            </w:r>
            <w:r w:rsidRPr="00FD06ED">
              <w:rPr>
                <w:rFonts w:eastAsia="Times New Roman"/>
                <w:sz w:val="18"/>
                <w:szCs w:val="18"/>
                <w:lang w:eastAsia="en-US"/>
              </w:rPr>
              <w:br/>
              <w:t xml:space="preserve">During 2020-21, the Agency provided a range of grants </w:t>
            </w:r>
            <w:proofErr w:type="gramStart"/>
            <w:r w:rsidRPr="00FD06ED">
              <w:rPr>
                <w:rFonts w:eastAsia="Times New Roman"/>
                <w:sz w:val="18"/>
                <w:szCs w:val="18"/>
                <w:lang w:eastAsia="en-US"/>
              </w:rPr>
              <w:t>in order to</w:t>
            </w:r>
            <w:proofErr w:type="gramEnd"/>
            <w:r w:rsidRPr="00FD06ED">
              <w:rPr>
                <w:rFonts w:eastAsia="Times New Roman"/>
                <w:sz w:val="18"/>
                <w:szCs w:val="18"/>
                <w:lang w:eastAsia="en-US"/>
              </w:rPr>
              <w:t xml:space="preserve"> promote improved outcomes for people with a disability, their families and their carers through investment in disability research, increased social and community participation, innovation and education. The responsibility for the delivery of Community Inclusion and Capacity Development Grants transferred to the Department of Social Services on 31 January 2021.</w:t>
            </w:r>
          </w:p>
        </w:tc>
      </w:tr>
    </w:tbl>
    <w:p w14:paraId="3953BC50" w14:textId="77777777" w:rsidR="00FD06ED" w:rsidRPr="00FD06ED" w:rsidRDefault="00FD06ED" w:rsidP="00FD06ED">
      <w:pPr>
        <w:spacing w:before="0" w:after="0"/>
        <w:ind w:left="0"/>
        <w:rPr>
          <w:rFonts w:ascii="Times New Roman" w:eastAsia="Times New Roman" w:hAnsi="Times New Roman" w:cs="Times New Roman"/>
          <w:b/>
          <w:bCs/>
          <w:sz w:val="12"/>
          <w:szCs w:val="12"/>
          <w:lang w:eastAsia="en-US"/>
        </w:rPr>
      </w:pPr>
    </w:p>
    <w:p w14:paraId="5C6C162A"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
          <w:sz w:val="18"/>
          <w:szCs w:val="18"/>
          <w:lang w:eastAsia="en-US"/>
        </w:rPr>
      </w:pPr>
      <w:r w:rsidRPr="00FD06ED">
        <w:rPr>
          <w:rFonts w:eastAsia="Times New Roman"/>
          <w:b/>
          <w:sz w:val="18"/>
          <w:szCs w:val="18"/>
          <w:lang w:eastAsia="en-US"/>
        </w:rPr>
        <w:t>Accounting Policy</w:t>
      </w:r>
    </w:p>
    <w:p w14:paraId="399B1F93"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u w:val="single"/>
          <w:lang w:eastAsia="en-US"/>
        </w:rPr>
      </w:pPr>
      <w:r w:rsidRPr="00FD06ED">
        <w:rPr>
          <w:rFonts w:eastAsia="Times New Roman"/>
          <w:bCs/>
          <w:sz w:val="18"/>
          <w:szCs w:val="18"/>
          <w:u w:val="single"/>
          <w:lang w:eastAsia="en-US"/>
        </w:rPr>
        <w:t>Grants</w:t>
      </w:r>
    </w:p>
    <w:p w14:paraId="0F172DD6"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Grant liabilities are recognised to the extent that (i) the services required to be performed by the grantee have been performed or (ii) the grant eligibility criteria have been satisfied, but payments due have not been made.</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67AB7E6D" w14:textId="77777777" w:rsidTr="005C33EF">
        <w:trPr>
          <w:trHeight w:val="210"/>
        </w:trPr>
        <w:tc>
          <w:tcPr>
            <w:tcW w:w="6376" w:type="dxa"/>
            <w:tcBorders>
              <w:top w:val="nil"/>
              <w:left w:val="nil"/>
              <w:bottom w:val="nil"/>
              <w:right w:val="nil"/>
            </w:tcBorders>
            <w:shd w:val="clear" w:color="FFFFFF" w:fill="FFFFFF"/>
            <w:noWrap/>
            <w:vAlign w:val="bottom"/>
            <w:hideMark/>
          </w:tcPr>
          <w:p w14:paraId="07461FA5"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55" w:name="Note_FCETABLE1" w:colFirst="0" w:colLast="0"/>
            <w:r w:rsidRPr="00FD06ED">
              <w:rPr>
                <w:rFonts w:eastAsia="Times New Roman"/>
                <w:b/>
                <w:bCs/>
                <w:sz w:val="18"/>
                <w:szCs w:val="18"/>
                <w:u w:val="single"/>
                <w:lang w:eastAsia="en-US"/>
              </w:rPr>
              <w:t>Note 1.1D: Finance costs</w:t>
            </w:r>
          </w:p>
        </w:tc>
        <w:tc>
          <w:tcPr>
            <w:tcW w:w="1236" w:type="dxa"/>
            <w:tcBorders>
              <w:top w:val="nil"/>
              <w:left w:val="nil"/>
              <w:bottom w:val="nil"/>
              <w:right w:val="nil"/>
            </w:tcBorders>
            <w:shd w:val="clear" w:color="FFFFFF" w:fill="FFFFFF"/>
            <w:noWrap/>
            <w:vAlign w:val="bottom"/>
            <w:hideMark/>
          </w:tcPr>
          <w:p w14:paraId="2838B98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23337AC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8F9868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55"/>
      <w:tr w:rsidR="00FD06ED" w:rsidRPr="00FD06ED" w14:paraId="7504830D" w14:textId="77777777" w:rsidTr="005C33EF">
        <w:trPr>
          <w:trHeight w:val="255"/>
        </w:trPr>
        <w:tc>
          <w:tcPr>
            <w:tcW w:w="6376" w:type="dxa"/>
            <w:tcBorders>
              <w:top w:val="nil"/>
              <w:left w:val="nil"/>
              <w:bottom w:val="nil"/>
              <w:right w:val="nil"/>
            </w:tcBorders>
            <w:shd w:val="clear" w:color="FFFFFF" w:fill="FFFFFF"/>
            <w:vAlign w:val="bottom"/>
            <w:hideMark/>
          </w:tcPr>
          <w:p w14:paraId="391E061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Interest on lease liabilities</w:t>
            </w:r>
          </w:p>
        </w:tc>
        <w:tc>
          <w:tcPr>
            <w:tcW w:w="1236" w:type="dxa"/>
            <w:tcBorders>
              <w:top w:val="nil"/>
              <w:left w:val="nil"/>
              <w:bottom w:val="nil"/>
              <w:right w:val="nil"/>
            </w:tcBorders>
            <w:shd w:val="clear" w:color="FFFFFF" w:fill="FFFFFF"/>
            <w:noWrap/>
            <w:vAlign w:val="bottom"/>
            <w:hideMark/>
          </w:tcPr>
          <w:p w14:paraId="4FDBBEA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1,256</w:t>
            </w:r>
          </w:p>
        </w:tc>
        <w:tc>
          <w:tcPr>
            <w:tcW w:w="267" w:type="dxa"/>
            <w:tcBorders>
              <w:top w:val="nil"/>
              <w:left w:val="nil"/>
              <w:bottom w:val="nil"/>
              <w:right w:val="nil"/>
            </w:tcBorders>
            <w:shd w:val="clear" w:color="FFFFFF" w:fill="FFFFFF"/>
            <w:noWrap/>
            <w:vAlign w:val="bottom"/>
            <w:hideMark/>
          </w:tcPr>
          <w:p w14:paraId="3C2DC58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30013C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1,912</w:t>
            </w:r>
          </w:p>
        </w:tc>
      </w:tr>
      <w:tr w:rsidR="00FD06ED" w:rsidRPr="00FD06ED" w14:paraId="03E4FDE9" w14:textId="77777777" w:rsidTr="005C33EF">
        <w:trPr>
          <w:trHeight w:val="255"/>
        </w:trPr>
        <w:tc>
          <w:tcPr>
            <w:tcW w:w="6376" w:type="dxa"/>
            <w:tcBorders>
              <w:top w:val="nil"/>
              <w:left w:val="nil"/>
              <w:bottom w:val="nil"/>
              <w:right w:val="nil"/>
            </w:tcBorders>
            <w:shd w:val="clear" w:color="FFFFFF" w:fill="FFFFFF"/>
            <w:vAlign w:val="bottom"/>
            <w:hideMark/>
          </w:tcPr>
          <w:p w14:paraId="492472E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Unwinding of discount and discount rate movement</w:t>
            </w:r>
          </w:p>
        </w:tc>
        <w:tc>
          <w:tcPr>
            <w:tcW w:w="1236" w:type="dxa"/>
            <w:tcBorders>
              <w:top w:val="nil"/>
              <w:left w:val="nil"/>
              <w:bottom w:val="nil"/>
              <w:right w:val="nil"/>
            </w:tcBorders>
            <w:shd w:val="clear" w:color="FFFFFF" w:fill="FFFFFF"/>
            <w:noWrap/>
            <w:vAlign w:val="bottom"/>
            <w:hideMark/>
          </w:tcPr>
          <w:p w14:paraId="1659A27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(40)</w:t>
            </w:r>
          </w:p>
        </w:tc>
        <w:tc>
          <w:tcPr>
            <w:tcW w:w="267" w:type="dxa"/>
            <w:tcBorders>
              <w:top w:val="nil"/>
              <w:left w:val="nil"/>
              <w:bottom w:val="nil"/>
              <w:right w:val="nil"/>
            </w:tcBorders>
            <w:shd w:val="clear" w:color="FFFFFF" w:fill="FFFFFF"/>
            <w:noWrap/>
            <w:vAlign w:val="bottom"/>
            <w:hideMark/>
          </w:tcPr>
          <w:p w14:paraId="07BAD48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577E6F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482</w:t>
            </w:r>
          </w:p>
        </w:tc>
      </w:tr>
      <w:tr w:rsidR="00FD06ED" w:rsidRPr="00FD06ED" w14:paraId="3DA5A7BF" w14:textId="77777777" w:rsidTr="005C33EF">
        <w:trPr>
          <w:trHeight w:val="270"/>
        </w:trPr>
        <w:tc>
          <w:tcPr>
            <w:tcW w:w="6376" w:type="dxa"/>
            <w:tcBorders>
              <w:top w:val="nil"/>
              <w:left w:val="nil"/>
              <w:bottom w:val="nil"/>
              <w:right w:val="nil"/>
            </w:tcBorders>
            <w:shd w:val="clear" w:color="FFFFFF" w:fill="FFFFFF"/>
            <w:vAlign w:val="bottom"/>
            <w:hideMark/>
          </w:tcPr>
          <w:p w14:paraId="02ED752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finance costs</w:t>
            </w:r>
          </w:p>
        </w:tc>
        <w:tc>
          <w:tcPr>
            <w:tcW w:w="1236" w:type="dxa"/>
            <w:tcBorders>
              <w:top w:val="single" w:sz="4" w:space="0" w:color="auto"/>
              <w:left w:val="nil"/>
              <w:bottom w:val="single" w:sz="4" w:space="0" w:color="auto"/>
              <w:right w:val="nil"/>
            </w:tcBorders>
            <w:shd w:val="clear" w:color="FFFFFF" w:fill="FFFFFF"/>
            <w:noWrap/>
            <w:vAlign w:val="bottom"/>
            <w:hideMark/>
          </w:tcPr>
          <w:p w14:paraId="6AB3A0F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1,216</w:t>
            </w:r>
          </w:p>
        </w:tc>
        <w:tc>
          <w:tcPr>
            <w:tcW w:w="267" w:type="dxa"/>
            <w:tcBorders>
              <w:top w:val="nil"/>
              <w:left w:val="nil"/>
              <w:bottom w:val="nil"/>
              <w:right w:val="nil"/>
            </w:tcBorders>
            <w:shd w:val="clear" w:color="FFFFFF" w:fill="FFFFFF"/>
            <w:noWrap/>
            <w:vAlign w:val="bottom"/>
            <w:hideMark/>
          </w:tcPr>
          <w:p w14:paraId="0833417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3162FD8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2,394</w:t>
            </w:r>
          </w:p>
        </w:tc>
      </w:tr>
      <w:tr w:rsidR="00FD06ED" w:rsidRPr="00FD06ED" w14:paraId="6AF97373" w14:textId="77777777" w:rsidTr="005C33EF">
        <w:trPr>
          <w:trHeight w:val="585"/>
        </w:trPr>
        <w:tc>
          <w:tcPr>
            <w:tcW w:w="9115" w:type="dxa"/>
            <w:gridSpan w:val="4"/>
            <w:tcBorders>
              <w:top w:val="nil"/>
              <w:left w:val="nil"/>
              <w:bottom w:val="nil"/>
              <w:right w:val="nil"/>
            </w:tcBorders>
            <w:shd w:val="clear" w:color="FFFFFF" w:fill="FFFFFF"/>
            <w:vAlign w:val="center"/>
            <w:hideMark/>
          </w:tcPr>
          <w:p w14:paraId="1721139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above lease disclosures should be read in conjunction with the accompanying notes 1.1B, 1.2B, 2.2A and 2.5.</w:t>
            </w:r>
          </w:p>
        </w:tc>
      </w:tr>
    </w:tbl>
    <w:p w14:paraId="7ECEFCAF" w14:textId="77777777" w:rsidR="00FD06ED" w:rsidRPr="00FD06ED" w:rsidRDefault="00FD06ED" w:rsidP="00FD06ED">
      <w:pPr>
        <w:spacing w:before="0" w:after="0"/>
        <w:ind w:left="0"/>
        <w:rPr>
          <w:rFonts w:ascii="Times New Roman" w:eastAsia="Times New Roman" w:hAnsi="Times New Roman" w:cs="Times New Roman"/>
          <w:b/>
          <w:bCs/>
          <w:sz w:val="12"/>
          <w:szCs w:val="12"/>
          <w:lang w:eastAsia="en-US"/>
        </w:rPr>
      </w:pPr>
    </w:p>
    <w:p w14:paraId="65C0B3CB"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2CBE5414"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Cs/>
          <w:sz w:val="18"/>
          <w:szCs w:val="18"/>
          <w:lang w:eastAsia="en-US"/>
        </w:rPr>
        <w:t>All borrowing costs are expensed as incurred</w:t>
      </w:r>
      <w:r w:rsidRPr="00FD06ED">
        <w:rPr>
          <w:rFonts w:eastAsia="Times New Roman"/>
          <w:b/>
          <w:bCs/>
          <w:sz w:val="18"/>
          <w:szCs w:val="18"/>
          <w:lang w:eastAsia="en-US"/>
        </w:rPr>
        <w:t xml:space="preserve">. </w:t>
      </w:r>
    </w:p>
    <w:tbl>
      <w:tblPr>
        <w:tblW w:w="9087" w:type="dxa"/>
        <w:tblLayout w:type="fixed"/>
        <w:tblLook w:val="04A0" w:firstRow="1" w:lastRow="0" w:firstColumn="1" w:lastColumn="0" w:noHBand="0" w:noVBand="1"/>
      </w:tblPr>
      <w:tblGrid>
        <w:gridCol w:w="6384"/>
        <w:gridCol w:w="1238"/>
        <w:gridCol w:w="267"/>
        <w:gridCol w:w="1198"/>
      </w:tblGrid>
      <w:tr w:rsidR="00FD06ED" w:rsidRPr="00FD06ED" w14:paraId="75AD2683" w14:textId="77777777" w:rsidTr="005C33EF">
        <w:trPr>
          <w:trHeight w:val="255"/>
        </w:trPr>
        <w:tc>
          <w:tcPr>
            <w:tcW w:w="6376" w:type="dxa"/>
            <w:tcBorders>
              <w:top w:val="nil"/>
              <w:left w:val="nil"/>
              <w:bottom w:val="nil"/>
              <w:right w:val="nil"/>
            </w:tcBorders>
            <w:shd w:val="clear" w:color="FFFFFF" w:fill="FFFFFF"/>
            <w:noWrap/>
            <w:vAlign w:val="bottom"/>
            <w:hideMark/>
          </w:tcPr>
          <w:p w14:paraId="1CAC5B3C"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56" w:name="Note_ILATABLE1" w:colFirst="0" w:colLast="0"/>
            <w:r w:rsidRPr="00FD06ED">
              <w:rPr>
                <w:rFonts w:eastAsia="Times New Roman"/>
                <w:b/>
                <w:bCs/>
                <w:sz w:val="18"/>
                <w:szCs w:val="18"/>
                <w:u w:val="single"/>
                <w:lang w:eastAsia="en-US"/>
              </w:rPr>
              <w:t>Note 1.1E: Impairment loss on financial instruments</w:t>
            </w:r>
          </w:p>
        </w:tc>
        <w:tc>
          <w:tcPr>
            <w:tcW w:w="1236" w:type="dxa"/>
            <w:tcBorders>
              <w:top w:val="nil"/>
              <w:left w:val="nil"/>
              <w:bottom w:val="nil"/>
              <w:right w:val="nil"/>
            </w:tcBorders>
            <w:shd w:val="clear" w:color="FFFFFF" w:fill="FFFFFF"/>
            <w:vAlign w:val="bottom"/>
            <w:hideMark/>
          </w:tcPr>
          <w:p w14:paraId="1B34C9B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532B3EC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vAlign w:val="bottom"/>
            <w:hideMark/>
          </w:tcPr>
          <w:p w14:paraId="3D15500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bookmarkEnd w:id="156"/>
      <w:tr w:rsidR="00FD06ED" w:rsidRPr="00FD06ED" w14:paraId="5FCE2B40" w14:textId="77777777" w:rsidTr="005C33EF">
        <w:trPr>
          <w:trHeight w:val="255"/>
        </w:trPr>
        <w:tc>
          <w:tcPr>
            <w:tcW w:w="6376" w:type="dxa"/>
            <w:tcBorders>
              <w:top w:val="nil"/>
              <w:left w:val="nil"/>
              <w:bottom w:val="nil"/>
              <w:right w:val="nil"/>
            </w:tcBorders>
            <w:shd w:val="clear" w:color="FFFFFF" w:fill="FFFFFF"/>
            <w:vAlign w:val="bottom"/>
            <w:hideMark/>
          </w:tcPr>
          <w:p w14:paraId="0EAB725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Impairment of financial instruments</w:t>
            </w:r>
          </w:p>
        </w:tc>
        <w:tc>
          <w:tcPr>
            <w:tcW w:w="1236" w:type="dxa"/>
            <w:tcBorders>
              <w:top w:val="nil"/>
              <w:left w:val="nil"/>
              <w:bottom w:val="nil"/>
              <w:right w:val="nil"/>
            </w:tcBorders>
            <w:shd w:val="clear" w:color="FFFFFF" w:fill="FFFFFF"/>
            <w:noWrap/>
            <w:vAlign w:val="bottom"/>
            <w:hideMark/>
          </w:tcPr>
          <w:p w14:paraId="624E4C1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135</w:t>
            </w:r>
          </w:p>
        </w:tc>
        <w:tc>
          <w:tcPr>
            <w:tcW w:w="267" w:type="dxa"/>
            <w:tcBorders>
              <w:top w:val="nil"/>
              <w:left w:val="nil"/>
              <w:bottom w:val="nil"/>
              <w:right w:val="nil"/>
            </w:tcBorders>
            <w:shd w:val="clear" w:color="FFFFFF" w:fill="FFFFFF"/>
            <w:noWrap/>
            <w:vAlign w:val="bottom"/>
            <w:hideMark/>
          </w:tcPr>
          <w:p w14:paraId="70CA226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597135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r>
      <w:tr w:rsidR="00FD06ED" w:rsidRPr="00FD06ED" w14:paraId="1F21C3AB" w14:textId="77777777" w:rsidTr="005C33EF">
        <w:trPr>
          <w:trHeight w:val="255"/>
        </w:trPr>
        <w:tc>
          <w:tcPr>
            <w:tcW w:w="6376" w:type="dxa"/>
            <w:tcBorders>
              <w:top w:val="nil"/>
              <w:left w:val="nil"/>
              <w:bottom w:val="nil"/>
              <w:right w:val="nil"/>
            </w:tcBorders>
            <w:shd w:val="clear" w:color="FFFFFF" w:fill="FFFFFF"/>
            <w:vAlign w:val="bottom"/>
            <w:hideMark/>
          </w:tcPr>
          <w:p w14:paraId="035E220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impairment loss on financial instruments</w:t>
            </w:r>
          </w:p>
        </w:tc>
        <w:tc>
          <w:tcPr>
            <w:tcW w:w="1236" w:type="dxa"/>
            <w:tcBorders>
              <w:top w:val="single" w:sz="4" w:space="0" w:color="auto"/>
              <w:left w:val="nil"/>
              <w:bottom w:val="single" w:sz="4" w:space="0" w:color="auto"/>
              <w:right w:val="nil"/>
            </w:tcBorders>
            <w:shd w:val="clear" w:color="FFFFFF" w:fill="FFFFFF"/>
            <w:noWrap/>
            <w:vAlign w:val="bottom"/>
            <w:hideMark/>
          </w:tcPr>
          <w:p w14:paraId="4D4B151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135</w:t>
            </w:r>
          </w:p>
        </w:tc>
        <w:tc>
          <w:tcPr>
            <w:tcW w:w="267" w:type="dxa"/>
            <w:tcBorders>
              <w:top w:val="nil"/>
              <w:left w:val="nil"/>
              <w:bottom w:val="nil"/>
              <w:right w:val="nil"/>
            </w:tcBorders>
            <w:shd w:val="clear" w:color="FFFFFF" w:fill="FFFFFF"/>
            <w:noWrap/>
            <w:vAlign w:val="bottom"/>
            <w:hideMark/>
          </w:tcPr>
          <w:p w14:paraId="547605C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4EC9648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r>
    </w:tbl>
    <w:p w14:paraId="6D5C34EF" w14:textId="77777777" w:rsidR="00FD06ED" w:rsidRPr="00FD06ED" w:rsidRDefault="00FD06ED" w:rsidP="00FD06ED">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84"/>
        <w:gridCol w:w="1238"/>
        <w:gridCol w:w="267"/>
        <w:gridCol w:w="1198"/>
      </w:tblGrid>
      <w:tr w:rsidR="00FD06ED" w:rsidRPr="00FD06ED" w14:paraId="1F1B917B" w14:textId="77777777" w:rsidTr="005C33EF">
        <w:trPr>
          <w:trHeight w:val="255"/>
        </w:trPr>
        <w:tc>
          <w:tcPr>
            <w:tcW w:w="6376" w:type="dxa"/>
            <w:tcBorders>
              <w:top w:val="nil"/>
              <w:left w:val="nil"/>
              <w:bottom w:val="nil"/>
              <w:right w:val="nil"/>
            </w:tcBorders>
            <w:shd w:val="clear" w:color="FFFFFF" w:fill="FFFFFF"/>
            <w:noWrap/>
            <w:vAlign w:val="bottom"/>
            <w:hideMark/>
          </w:tcPr>
          <w:p w14:paraId="0567AF69"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57" w:name="Note_WDATABLE1" w:colFirst="0" w:colLast="0"/>
            <w:r w:rsidRPr="00FD06ED">
              <w:rPr>
                <w:rFonts w:eastAsia="Times New Roman"/>
                <w:b/>
                <w:bCs/>
                <w:sz w:val="18"/>
                <w:szCs w:val="18"/>
                <w:u w:val="single"/>
                <w:lang w:eastAsia="en-US"/>
              </w:rPr>
              <w:t>Note 1.1F: Write-down and impairment of other assets</w:t>
            </w:r>
          </w:p>
        </w:tc>
        <w:tc>
          <w:tcPr>
            <w:tcW w:w="1236" w:type="dxa"/>
            <w:tcBorders>
              <w:top w:val="nil"/>
              <w:left w:val="nil"/>
              <w:bottom w:val="nil"/>
              <w:right w:val="nil"/>
            </w:tcBorders>
            <w:shd w:val="clear" w:color="FFFFFF" w:fill="FFFFFF"/>
            <w:noWrap/>
            <w:vAlign w:val="bottom"/>
            <w:hideMark/>
          </w:tcPr>
          <w:p w14:paraId="75C108E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097FD4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80ABDA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bookmarkEnd w:id="157"/>
      <w:tr w:rsidR="00FD06ED" w:rsidRPr="00FD06ED" w14:paraId="758F79E5" w14:textId="77777777" w:rsidTr="005C33EF">
        <w:trPr>
          <w:trHeight w:val="255"/>
        </w:trPr>
        <w:tc>
          <w:tcPr>
            <w:tcW w:w="6376" w:type="dxa"/>
            <w:tcBorders>
              <w:top w:val="nil"/>
              <w:left w:val="nil"/>
              <w:bottom w:val="nil"/>
              <w:right w:val="nil"/>
            </w:tcBorders>
            <w:shd w:val="clear" w:color="FFFFFF" w:fill="FFFFFF"/>
            <w:noWrap/>
            <w:vAlign w:val="bottom"/>
            <w:hideMark/>
          </w:tcPr>
          <w:p w14:paraId="7FA8EA4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Buildings</w:t>
            </w:r>
          </w:p>
        </w:tc>
        <w:tc>
          <w:tcPr>
            <w:tcW w:w="1236" w:type="dxa"/>
            <w:tcBorders>
              <w:top w:val="nil"/>
              <w:left w:val="nil"/>
              <w:bottom w:val="nil"/>
              <w:right w:val="nil"/>
            </w:tcBorders>
            <w:shd w:val="clear" w:color="FFFFFF" w:fill="FFFFFF"/>
            <w:noWrap/>
            <w:vAlign w:val="bottom"/>
            <w:hideMark/>
          </w:tcPr>
          <w:p w14:paraId="0E30BA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7E79357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0B05B8C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105</w:t>
            </w:r>
          </w:p>
        </w:tc>
      </w:tr>
      <w:tr w:rsidR="00FD06ED" w:rsidRPr="00FD06ED" w14:paraId="7148DDC0" w14:textId="77777777" w:rsidTr="005C33EF">
        <w:trPr>
          <w:trHeight w:val="255"/>
        </w:trPr>
        <w:tc>
          <w:tcPr>
            <w:tcW w:w="6376" w:type="dxa"/>
            <w:tcBorders>
              <w:top w:val="nil"/>
              <w:left w:val="nil"/>
              <w:bottom w:val="nil"/>
              <w:right w:val="nil"/>
            </w:tcBorders>
            <w:shd w:val="clear" w:color="FFFFFF" w:fill="FFFFFF"/>
            <w:noWrap/>
            <w:vAlign w:val="bottom"/>
            <w:hideMark/>
          </w:tcPr>
          <w:p w14:paraId="1C4435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Goods and Services - external parties</w:t>
            </w:r>
          </w:p>
        </w:tc>
        <w:tc>
          <w:tcPr>
            <w:tcW w:w="1236" w:type="dxa"/>
            <w:tcBorders>
              <w:top w:val="nil"/>
              <w:left w:val="nil"/>
              <w:bottom w:val="nil"/>
              <w:right w:val="nil"/>
            </w:tcBorders>
            <w:shd w:val="clear" w:color="FFFFFF" w:fill="FFFFFF"/>
            <w:noWrap/>
            <w:vAlign w:val="bottom"/>
            <w:hideMark/>
          </w:tcPr>
          <w:p w14:paraId="7FD21F1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3AFFB91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7F6C1AB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62,817</w:t>
            </w:r>
          </w:p>
        </w:tc>
      </w:tr>
      <w:tr w:rsidR="00FD06ED" w:rsidRPr="00FD06ED" w14:paraId="170971C6" w14:textId="77777777" w:rsidTr="005C33EF">
        <w:trPr>
          <w:trHeight w:val="255"/>
        </w:trPr>
        <w:tc>
          <w:tcPr>
            <w:tcW w:w="6376" w:type="dxa"/>
            <w:tcBorders>
              <w:top w:val="nil"/>
              <w:left w:val="nil"/>
              <w:bottom w:val="nil"/>
              <w:right w:val="nil"/>
            </w:tcBorders>
            <w:shd w:val="clear" w:color="FFFFFF" w:fill="FFFFFF"/>
            <w:noWrap/>
            <w:vAlign w:val="bottom"/>
            <w:hideMark/>
          </w:tcPr>
          <w:p w14:paraId="13700C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Participant and provider receivables</w:t>
            </w:r>
          </w:p>
        </w:tc>
        <w:tc>
          <w:tcPr>
            <w:tcW w:w="1236" w:type="dxa"/>
            <w:tcBorders>
              <w:top w:val="nil"/>
              <w:left w:val="nil"/>
              <w:bottom w:val="nil"/>
              <w:right w:val="nil"/>
            </w:tcBorders>
            <w:shd w:val="clear" w:color="FFFFFF" w:fill="FFFFFF"/>
            <w:noWrap/>
            <w:vAlign w:val="bottom"/>
            <w:hideMark/>
          </w:tcPr>
          <w:p w14:paraId="4CA9FC0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3,936</w:t>
            </w:r>
          </w:p>
        </w:tc>
        <w:tc>
          <w:tcPr>
            <w:tcW w:w="267" w:type="dxa"/>
            <w:tcBorders>
              <w:top w:val="nil"/>
              <w:left w:val="nil"/>
              <w:bottom w:val="nil"/>
              <w:right w:val="nil"/>
            </w:tcBorders>
            <w:shd w:val="clear" w:color="FFFFFF" w:fill="FFFFFF"/>
            <w:noWrap/>
            <w:vAlign w:val="bottom"/>
            <w:hideMark/>
          </w:tcPr>
          <w:p w14:paraId="3035B96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815CA9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2,154</w:t>
            </w:r>
          </w:p>
        </w:tc>
      </w:tr>
      <w:tr w:rsidR="00FD06ED" w:rsidRPr="00FD06ED" w14:paraId="10850A4E" w14:textId="77777777" w:rsidTr="005C33EF">
        <w:trPr>
          <w:trHeight w:val="255"/>
        </w:trPr>
        <w:tc>
          <w:tcPr>
            <w:tcW w:w="6376" w:type="dxa"/>
            <w:tcBorders>
              <w:top w:val="nil"/>
              <w:left w:val="nil"/>
              <w:bottom w:val="nil"/>
              <w:right w:val="nil"/>
            </w:tcBorders>
            <w:shd w:val="clear" w:color="FFFFFF" w:fill="FFFFFF"/>
            <w:noWrap/>
            <w:vAlign w:val="bottom"/>
            <w:hideMark/>
          </w:tcPr>
          <w:p w14:paraId="605E82E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 receivables</w:t>
            </w:r>
          </w:p>
        </w:tc>
        <w:tc>
          <w:tcPr>
            <w:tcW w:w="1236" w:type="dxa"/>
            <w:tcBorders>
              <w:top w:val="nil"/>
              <w:left w:val="nil"/>
              <w:bottom w:val="nil"/>
              <w:right w:val="nil"/>
            </w:tcBorders>
            <w:shd w:val="clear" w:color="FFFFFF" w:fill="FFFFFF"/>
            <w:noWrap/>
            <w:vAlign w:val="bottom"/>
            <w:hideMark/>
          </w:tcPr>
          <w:p w14:paraId="24CFFCA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w:t>
            </w:r>
          </w:p>
        </w:tc>
        <w:tc>
          <w:tcPr>
            <w:tcW w:w="267" w:type="dxa"/>
            <w:tcBorders>
              <w:top w:val="nil"/>
              <w:left w:val="nil"/>
              <w:bottom w:val="nil"/>
              <w:right w:val="nil"/>
            </w:tcBorders>
            <w:shd w:val="clear" w:color="FFFFFF" w:fill="FFFFFF"/>
            <w:noWrap/>
            <w:vAlign w:val="bottom"/>
            <w:hideMark/>
          </w:tcPr>
          <w:p w14:paraId="5A1C89B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nil"/>
              <w:left w:val="nil"/>
              <w:bottom w:val="nil"/>
              <w:right w:val="nil"/>
            </w:tcBorders>
            <w:shd w:val="clear" w:color="FFFFFF" w:fill="FFFFFF"/>
            <w:noWrap/>
            <w:vAlign w:val="bottom"/>
            <w:hideMark/>
          </w:tcPr>
          <w:p w14:paraId="13DC967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w:t>
            </w:r>
          </w:p>
        </w:tc>
      </w:tr>
      <w:tr w:rsidR="00FD06ED" w:rsidRPr="00FD06ED" w14:paraId="70A2A214" w14:textId="77777777" w:rsidTr="005C33EF">
        <w:trPr>
          <w:trHeight w:val="255"/>
        </w:trPr>
        <w:tc>
          <w:tcPr>
            <w:tcW w:w="6376" w:type="dxa"/>
            <w:tcBorders>
              <w:top w:val="nil"/>
              <w:left w:val="nil"/>
              <w:bottom w:val="nil"/>
              <w:right w:val="nil"/>
            </w:tcBorders>
            <w:shd w:val="clear" w:color="FFFFFF" w:fill="FFFFFF"/>
            <w:vAlign w:val="bottom"/>
            <w:hideMark/>
          </w:tcPr>
          <w:p w14:paraId="5AE91937"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write-down and impairment of other assets</w:t>
            </w:r>
          </w:p>
        </w:tc>
        <w:tc>
          <w:tcPr>
            <w:tcW w:w="1236" w:type="dxa"/>
            <w:tcBorders>
              <w:top w:val="single" w:sz="4" w:space="0" w:color="auto"/>
              <w:left w:val="nil"/>
              <w:bottom w:val="single" w:sz="4" w:space="0" w:color="auto"/>
              <w:right w:val="nil"/>
            </w:tcBorders>
            <w:shd w:val="clear" w:color="FFFFFF" w:fill="FFFFFF"/>
            <w:noWrap/>
            <w:vAlign w:val="bottom"/>
            <w:hideMark/>
          </w:tcPr>
          <w:p w14:paraId="3B794CB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3,942</w:t>
            </w:r>
          </w:p>
        </w:tc>
        <w:tc>
          <w:tcPr>
            <w:tcW w:w="267" w:type="dxa"/>
            <w:tcBorders>
              <w:top w:val="nil"/>
              <w:left w:val="nil"/>
              <w:bottom w:val="nil"/>
              <w:right w:val="nil"/>
            </w:tcBorders>
            <w:shd w:val="clear" w:color="FFFFFF" w:fill="FFFFFF"/>
            <w:noWrap/>
            <w:vAlign w:val="bottom"/>
            <w:hideMark/>
          </w:tcPr>
          <w:p w14:paraId="3781CE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96" w:type="dxa"/>
            <w:tcBorders>
              <w:top w:val="single" w:sz="4" w:space="0" w:color="auto"/>
              <w:left w:val="nil"/>
              <w:bottom w:val="single" w:sz="4" w:space="0" w:color="auto"/>
              <w:right w:val="nil"/>
            </w:tcBorders>
            <w:shd w:val="clear" w:color="FFFFFF" w:fill="FFFFFF"/>
            <w:noWrap/>
            <w:vAlign w:val="bottom"/>
            <w:hideMark/>
          </w:tcPr>
          <w:p w14:paraId="09E9FD2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65,078</w:t>
            </w:r>
          </w:p>
        </w:tc>
      </w:tr>
    </w:tbl>
    <w:p w14:paraId="2A30C756" w14:textId="77777777" w:rsidR="00FD06ED" w:rsidRPr="00FD06ED" w:rsidRDefault="00FD06ED" w:rsidP="00FD06ED">
      <w:pPr>
        <w:spacing w:before="0" w:line="120" w:lineRule="atLeast"/>
        <w:ind w:left="0"/>
        <w:rPr>
          <w:rFonts w:eastAsia="Times New Roman"/>
          <w:b/>
          <w:bCs/>
          <w:sz w:val="18"/>
          <w:szCs w:val="18"/>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29CF011D" w14:textId="77777777" w:rsidTr="005C33EF">
        <w:trPr>
          <w:trHeight w:val="252"/>
        </w:trPr>
        <w:tc>
          <w:tcPr>
            <w:tcW w:w="6376" w:type="dxa"/>
            <w:tcBorders>
              <w:top w:val="nil"/>
              <w:left w:val="nil"/>
              <w:bottom w:val="nil"/>
              <w:right w:val="nil"/>
            </w:tcBorders>
            <w:shd w:val="clear" w:color="FFFFFF" w:fill="FFFFFF"/>
            <w:noWrap/>
            <w:vAlign w:val="bottom"/>
            <w:hideMark/>
          </w:tcPr>
          <w:p w14:paraId="2C5C01A4"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58" w:name="Note_SCCTABLE1" w:colFirst="0" w:colLast="0"/>
            <w:r w:rsidRPr="00FD06ED">
              <w:rPr>
                <w:rFonts w:eastAsia="Times New Roman"/>
                <w:b/>
                <w:bCs/>
                <w:sz w:val="18"/>
                <w:szCs w:val="18"/>
                <w:u w:val="single"/>
                <w:lang w:eastAsia="en-US"/>
              </w:rPr>
              <w:t>Note 1.1G: Community partnership costs</w:t>
            </w:r>
          </w:p>
        </w:tc>
        <w:tc>
          <w:tcPr>
            <w:tcW w:w="1236" w:type="dxa"/>
            <w:tcBorders>
              <w:top w:val="nil"/>
              <w:left w:val="nil"/>
              <w:bottom w:val="nil"/>
              <w:right w:val="nil"/>
            </w:tcBorders>
            <w:shd w:val="clear" w:color="FFFFFF" w:fill="FFFFFF"/>
            <w:noWrap/>
            <w:vAlign w:val="bottom"/>
            <w:hideMark/>
          </w:tcPr>
          <w:p w14:paraId="60B7AA6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0111D3C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3F5DA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58"/>
      <w:tr w:rsidR="00FD06ED" w:rsidRPr="00FD06ED" w14:paraId="7F1AC13F" w14:textId="77777777" w:rsidTr="005C33EF">
        <w:trPr>
          <w:trHeight w:val="252"/>
        </w:trPr>
        <w:tc>
          <w:tcPr>
            <w:tcW w:w="6376" w:type="dxa"/>
            <w:tcBorders>
              <w:top w:val="nil"/>
              <w:left w:val="nil"/>
              <w:bottom w:val="nil"/>
              <w:right w:val="nil"/>
            </w:tcBorders>
            <w:shd w:val="clear" w:color="FFFFFF" w:fill="FFFFFF"/>
            <w:vAlign w:val="bottom"/>
            <w:hideMark/>
          </w:tcPr>
          <w:p w14:paraId="056A6DF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Early Childhood Early Intervention costs</w:t>
            </w:r>
          </w:p>
        </w:tc>
        <w:tc>
          <w:tcPr>
            <w:tcW w:w="1236" w:type="dxa"/>
            <w:tcBorders>
              <w:top w:val="nil"/>
              <w:left w:val="nil"/>
              <w:bottom w:val="nil"/>
              <w:right w:val="nil"/>
            </w:tcBorders>
            <w:shd w:val="clear" w:color="FFFFFF" w:fill="FFFFFF"/>
            <w:noWrap/>
            <w:vAlign w:val="bottom"/>
            <w:hideMark/>
          </w:tcPr>
          <w:p w14:paraId="5F0A912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184,582</w:t>
            </w:r>
          </w:p>
        </w:tc>
        <w:tc>
          <w:tcPr>
            <w:tcW w:w="267" w:type="dxa"/>
            <w:tcBorders>
              <w:top w:val="nil"/>
              <w:left w:val="nil"/>
              <w:bottom w:val="nil"/>
              <w:right w:val="nil"/>
            </w:tcBorders>
            <w:shd w:val="clear" w:color="FFFFFF" w:fill="FFFFFF"/>
            <w:noWrap/>
            <w:vAlign w:val="bottom"/>
            <w:hideMark/>
          </w:tcPr>
          <w:p w14:paraId="336FB8F6"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6017761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163,859</w:t>
            </w:r>
          </w:p>
        </w:tc>
      </w:tr>
      <w:tr w:rsidR="00FD06ED" w:rsidRPr="00FD06ED" w14:paraId="4B754115" w14:textId="77777777" w:rsidTr="005C33EF">
        <w:trPr>
          <w:trHeight w:val="252"/>
        </w:trPr>
        <w:tc>
          <w:tcPr>
            <w:tcW w:w="6376" w:type="dxa"/>
            <w:tcBorders>
              <w:top w:val="nil"/>
              <w:left w:val="nil"/>
              <w:bottom w:val="nil"/>
              <w:right w:val="nil"/>
            </w:tcBorders>
            <w:shd w:val="clear" w:color="FFFFFF" w:fill="FFFFFF"/>
            <w:vAlign w:val="bottom"/>
            <w:hideMark/>
          </w:tcPr>
          <w:p w14:paraId="40748D1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Exceptionally Complex Support Needs costs</w:t>
            </w:r>
          </w:p>
        </w:tc>
        <w:tc>
          <w:tcPr>
            <w:tcW w:w="1236" w:type="dxa"/>
            <w:tcBorders>
              <w:top w:val="nil"/>
              <w:left w:val="nil"/>
              <w:bottom w:val="nil"/>
              <w:right w:val="nil"/>
            </w:tcBorders>
            <w:shd w:val="clear" w:color="FFFFFF" w:fill="FFFFFF"/>
            <w:noWrap/>
            <w:vAlign w:val="bottom"/>
            <w:hideMark/>
          </w:tcPr>
          <w:p w14:paraId="52567BD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1,861</w:t>
            </w:r>
          </w:p>
        </w:tc>
        <w:tc>
          <w:tcPr>
            <w:tcW w:w="267" w:type="dxa"/>
            <w:tcBorders>
              <w:top w:val="nil"/>
              <w:left w:val="nil"/>
              <w:bottom w:val="nil"/>
              <w:right w:val="nil"/>
            </w:tcBorders>
            <w:shd w:val="clear" w:color="FFFFFF" w:fill="FFFFFF"/>
            <w:noWrap/>
            <w:vAlign w:val="bottom"/>
            <w:hideMark/>
          </w:tcPr>
          <w:p w14:paraId="5ADA771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0A17BB3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4,477</w:t>
            </w:r>
          </w:p>
        </w:tc>
      </w:tr>
      <w:tr w:rsidR="00FD06ED" w:rsidRPr="00FD06ED" w14:paraId="61BF9B40" w14:textId="77777777" w:rsidTr="005C33EF">
        <w:trPr>
          <w:trHeight w:val="252"/>
        </w:trPr>
        <w:tc>
          <w:tcPr>
            <w:tcW w:w="6376" w:type="dxa"/>
            <w:tcBorders>
              <w:top w:val="nil"/>
              <w:left w:val="nil"/>
              <w:bottom w:val="nil"/>
              <w:right w:val="nil"/>
            </w:tcBorders>
            <w:shd w:val="clear" w:color="FFFFFF" w:fill="FFFFFF"/>
            <w:vAlign w:val="bottom"/>
            <w:hideMark/>
          </w:tcPr>
          <w:p w14:paraId="6C4EAD4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Local Area Coordination costs</w:t>
            </w:r>
          </w:p>
        </w:tc>
        <w:tc>
          <w:tcPr>
            <w:tcW w:w="1236" w:type="dxa"/>
            <w:tcBorders>
              <w:top w:val="nil"/>
              <w:left w:val="nil"/>
              <w:bottom w:val="nil"/>
              <w:right w:val="nil"/>
            </w:tcBorders>
            <w:shd w:val="clear" w:color="FFFFFF" w:fill="FFFFFF"/>
            <w:noWrap/>
            <w:vAlign w:val="bottom"/>
            <w:hideMark/>
          </w:tcPr>
          <w:p w14:paraId="21595C4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373,688</w:t>
            </w:r>
          </w:p>
        </w:tc>
        <w:tc>
          <w:tcPr>
            <w:tcW w:w="267" w:type="dxa"/>
            <w:tcBorders>
              <w:top w:val="nil"/>
              <w:left w:val="nil"/>
              <w:bottom w:val="nil"/>
              <w:right w:val="nil"/>
            </w:tcBorders>
            <w:shd w:val="clear" w:color="FFFFFF" w:fill="FFFFFF"/>
            <w:noWrap/>
            <w:vAlign w:val="bottom"/>
            <w:hideMark/>
          </w:tcPr>
          <w:p w14:paraId="7C36A6B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57A7F71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355,714</w:t>
            </w:r>
          </w:p>
        </w:tc>
      </w:tr>
      <w:tr w:rsidR="00FD06ED" w:rsidRPr="00FD06ED" w14:paraId="0FCEC56D" w14:textId="77777777" w:rsidTr="005C33EF">
        <w:trPr>
          <w:trHeight w:val="252"/>
        </w:trPr>
        <w:tc>
          <w:tcPr>
            <w:tcW w:w="6376" w:type="dxa"/>
            <w:tcBorders>
              <w:top w:val="nil"/>
              <w:left w:val="nil"/>
              <w:bottom w:val="nil"/>
              <w:right w:val="nil"/>
            </w:tcBorders>
            <w:shd w:val="clear" w:color="FFFFFF" w:fill="FFFFFF"/>
            <w:vAlign w:val="bottom"/>
            <w:hideMark/>
          </w:tcPr>
          <w:p w14:paraId="0EB3DB4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Community partnership costs</w:t>
            </w:r>
          </w:p>
        </w:tc>
        <w:tc>
          <w:tcPr>
            <w:tcW w:w="1236" w:type="dxa"/>
            <w:tcBorders>
              <w:top w:val="single" w:sz="4" w:space="0" w:color="auto"/>
              <w:left w:val="nil"/>
              <w:bottom w:val="single" w:sz="4" w:space="0" w:color="auto"/>
              <w:right w:val="nil"/>
            </w:tcBorders>
            <w:shd w:val="clear" w:color="FFFFFF" w:fill="FFFFFF"/>
            <w:noWrap/>
            <w:vAlign w:val="bottom"/>
            <w:hideMark/>
          </w:tcPr>
          <w:p w14:paraId="24F0751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560,131</w:t>
            </w:r>
          </w:p>
        </w:tc>
        <w:tc>
          <w:tcPr>
            <w:tcW w:w="267" w:type="dxa"/>
            <w:tcBorders>
              <w:top w:val="nil"/>
              <w:left w:val="nil"/>
              <w:bottom w:val="nil"/>
              <w:right w:val="nil"/>
            </w:tcBorders>
            <w:shd w:val="clear" w:color="FFFFFF" w:fill="FFFFFF"/>
            <w:noWrap/>
            <w:vAlign w:val="bottom"/>
            <w:hideMark/>
          </w:tcPr>
          <w:p w14:paraId="37C880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21ECADA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524,050</w:t>
            </w:r>
          </w:p>
        </w:tc>
      </w:tr>
    </w:tbl>
    <w:p w14:paraId="0A788D57" w14:textId="77777777" w:rsidR="00FD06ED" w:rsidRPr="00FD06ED" w:rsidRDefault="00FD06ED" w:rsidP="00FD06ED">
      <w:pPr>
        <w:spacing w:before="0" w:line="120" w:lineRule="atLeast"/>
        <w:ind w:left="0"/>
        <w:rPr>
          <w:rFonts w:eastAsia="Times New Roman"/>
          <w:b/>
          <w:bCs/>
          <w:sz w:val="18"/>
          <w:szCs w:val="18"/>
          <w:lang w:eastAsia="en-US"/>
        </w:rPr>
      </w:pPr>
    </w:p>
    <w:p w14:paraId="4DD2F28F" w14:textId="77777777" w:rsidR="00FD06ED" w:rsidRPr="00FD06ED" w:rsidRDefault="00FD06ED" w:rsidP="00FD06ED">
      <w:pPr>
        <w:spacing w:before="0" w:line="120" w:lineRule="atLeast"/>
        <w:ind w:left="0"/>
        <w:rPr>
          <w:rFonts w:eastAsia="Times New Roman"/>
          <w:b/>
          <w:bCs/>
          <w:sz w:val="18"/>
          <w:szCs w:val="18"/>
          <w:lang w:eastAsia="en-US"/>
        </w:rPr>
      </w:pPr>
    </w:p>
    <w:p w14:paraId="30B03B61" w14:textId="77777777" w:rsidR="00FD06ED" w:rsidRPr="00FD06ED" w:rsidRDefault="00FD06ED" w:rsidP="00FD06ED">
      <w:pPr>
        <w:spacing w:before="0" w:line="120" w:lineRule="atLeast"/>
        <w:ind w:left="0"/>
        <w:rPr>
          <w:rFonts w:eastAsia="Times New Roman"/>
          <w:b/>
          <w:bCs/>
          <w:sz w:val="18"/>
          <w:szCs w:val="18"/>
          <w:lang w:eastAsia="en-US"/>
        </w:rPr>
      </w:pPr>
    </w:p>
    <w:p w14:paraId="73E2D380" w14:textId="77777777" w:rsidR="00FD06ED" w:rsidRPr="00FD06ED" w:rsidRDefault="00FD06ED" w:rsidP="00FD06ED">
      <w:pPr>
        <w:spacing w:before="0" w:line="120" w:lineRule="atLeast"/>
        <w:ind w:left="0"/>
        <w:rPr>
          <w:rFonts w:eastAsia="Times New Roman"/>
          <w:b/>
          <w:bCs/>
          <w:sz w:val="18"/>
          <w:szCs w:val="18"/>
          <w:lang w:eastAsia="en-US"/>
        </w:rPr>
      </w:pPr>
    </w:p>
    <w:p w14:paraId="5FD8B87B"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Early Childhood Early Intervention Costs</w:t>
      </w:r>
    </w:p>
    <w:p w14:paraId="182A1E94" w14:textId="77777777" w:rsidR="00FD06ED" w:rsidRPr="00FD06ED" w:rsidRDefault="00FD06ED" w:rsidP="00FD06ED">
      <w:pP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This reflects the costs incurred by the Agency of engaging early childhood partners to provide supports to children aged between 0-6 years who have a disability or significantly impaired development. </w:t>
      </w:r>
    </w:p>
    <w:p w14:paraId="22E3C9B7"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sz w:val="18"/>
          <w:szCs w:val="18"/>
          <w:lang w:eastAsia="en-US"/>
        </w:rPr>
        <w:t>Exceptionally Complex Support Needs costs</w:t>
      </w:r>
      <w:r w:rsidRPr="00FD06ED">
        <w:rPr>
          <w:rFonts w:eastAsia="Times New Roman"/>
          <w:b/>
          <w:bCs/>
          <w:sz w:val="18"/>
          <w:szCs w:val="18"/>
          <w:lang w:eastAsia="en-US"/>
        </w:rPr>
        <w:t xml:space="preserve"> </w:t>
      </w:r>
    </w:p>
    <w:p w14:paraId="17BE42EE" w14:textId="77777777" w:rsidR="00FD06ED" w:rsidRPr="00FD06ED" w:rsidRDefault="00FD06ED" w:rsidP="00FD06ED">
      <w:pPr>
        <w:spacing w:before="0" w:line="120" w:lineRule="atLeast"/>
        <w:ind w:left="0"/>
        <w:rPr>
          <w:rFonts w:eastAsia="Times New Roman"/>
          <w:bCs/>
          <w:sz w:val="18"/>
          <w:szCs w:val="18"/>
          <w:lang w:eastAsia="en-US"/>
        </w:rPr>
      </w:pPr>
      <w:r w:rsidRPr="00FD06ED">
        <w:rPr>
          <w:rFonts w:eastAsia="Times New Roman"/>
          <w:bCs/>
          <w:sz w:val="18"/>
          <w:szCs w:val="18"/>
          <w:lang w:eastAsia="en-US"/>
        </w:rPr>
        <w:t>This reflects the costs incurred to improve outcomes and experience for participants with exceptionally complex support needs.</w:t>
      </w:r>
    </w:p>
    <w:p w14:paraId="791A68F1" w14:textId="77777777" w:rsidR="00FD06ED" w:rsidRPr="00FD06ED" w:rsidRDefault="00FD06ED" w:rsidP="00FD06ED">
      <w:pPr>
        <w:spacing w:before="0" w:line="120" w:lineRule="atLeast"/>
        <w:ind w:left="0"/>
        <w:rPr>
          <w:rFonts w:eastAsia="Times New Roman"/>
          <w:b/>
          <w:bCs/>
          <w:sz w:val="18"/>
          <w:szCs w:val="18"/>
          <w:lang w:eastAsia="en-US"/>
        </w:rPr>
      </w:pPr>
      <w:r w:rsidRPr="00FD06ED">
        <w:rPr>
          <w:rFonts w:eastAsia="Times New Roman"/>
          <w:b/>
          <w:bCs/>
          <w:sz w:val="18"/>
          <w:szCs w:val="18"/>
          <w:lang w:eastAsia="en-US"/>
        </w:rPr>
        <w:t xml:space="preserve">Local Area Coordination Costs </w:t>
      </w:r>
    </w:p>
    <w:p w14:paraId="0538E682" w14:textId="77777777" w:rsidR="00FD06ED" w:rsidRPr="00FD06ED" w:rsidRDefault="00FD06ED" w:rsidP="00FD06ED">
      <w:pP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This reflects the costs incurred in funding local area coordination services. </w:t>
      </w:r>
    </w:p>
    <w:p w14:paraId="72EFAD90" w14:textId="77777777" w:rsidR="00FD06ED" w:rsidRPr="00FD06ED" w:rsidRDefault="00FD06ED" w:rsidP="00FD06ED">
      <w:pPr>
        <w:spacing w:before="0" w:after="0"/>
        <w:ind w:left="0"/>
        <w:rPr>
          <w:rFonts w:eastAsia="Times New Roman"/>
          <w:bCs/>
          <w:sz w:val="18"/>
          <w:szCs w:val="18"/>
          <w:lang w:eastAsia="en-US"/>
        </w:rPr>
      </w:pPr>
      <w:r w:rsidRPr="00FD06ED">
        <w:rPr>
          <w:rFonts w:eastAsia="Times New Roman"/>
          <w:bCs/>
          <w:sz w:val="18"/>
          <w:szCs w:val="18"/>
          <w:lang w:eastAsia="en-US"/>
        </w:rPr>
        <w:t>Local Area Coordinators deliver of the following services:</w:t>
      </w:r>
    </w:p>
    <w:p w14:paraId="6FE2712F" w14:textId="77777777" w:rsidR="00FD06ED" w:rsidRPr="00FD06ED" w:rsidRDefault="00FD06ED" w:rsidP="00873C47">
      <w:pPr>
        <w:numPr>
          <w:ilvl w:val="0"/>
          <w:numId w:val="40"/>
        </w:numPr>
        <w:spacing w:before="0" w:after="0" w:line="260" w:lineRule="atLeast"/>
        <w:rPr>
          <w:rFonts w:eastAsia="Times New Roman"/>
          <w:bCs/>
          <w:sz w:val="18"/>
          <w:szCs w:val="18"/>
          <w:lang w:eastAsia="en-US"/>
        </w:rPr>
      </w:pPr>
      <w:r w:rsidRPr="00FD06ED">
        <w:rPr>
          <w:rFonts w:eastAsia="Times New Roman"/>
          <w:bCs/>
          <w:sz w:val="18"/>
          <w:szCs w:val="18"/>
          <w:lang w:eastAsia="en-US"/>
        </w:rPr>
        <w:t xml:space="preserve">provision of support and community awareness to prospective participants and local communities to engage with the </w:t>
      </w:r>
      <w:proofErr w:type="gramStart"/>
      <w:r w:rsidRPr="00FD06ED">
        <w:rPr>
          <w:rFonts w:eastAsia="Times New Roman"/>
          <w:bCs/>
          <w:sz w:val="18"/>
          <w:szCs w:val="18"/>
          <w:lang w:eastAsia="en-US"/>
        </w:rPr>
        <w:t>Scheme;</w:t>
      </w:r>
      <w:proofErr w:type="gramEnd"/>
    </w:p>
    <w:p w14:paraId="5D1D0C49" w14:textId="77777777" w:rsidR="00FD06ED" w:rsidRPr="00FD06ED" w:rsidRDefault="00FD06ED" w:rsidP="00873C47">
      <w:pPr>
        <w:numPr>
          <w:ilvl w:val="0"/>
          <w:numId w:val="40"/>
        </w:numPr>
        <w:spacing w:before="0" w:after="0" w:line="260" w:lineRule="atLeast"/>
        <w:rPr>
          <w:rFonts w:eastAsia="Times New Roman"/>
          <w:bCs/>
          <w:sz w:val="18"/>
          <w:szCs w:val="18"/>
          <w:lang w:eastAsia="en-US"/>
        </w:rPr>
      </w:pPr>
      <w:r w:rsidRPr="00FD06ED">
        <w:rPr>
          <w:rFonts w:eastAsia="Times New Roman"/>
          <w:bCs/>
          <w:sz w:val="18"/>
          <w:szCs w:val="18"/>
          <w:lang w:eastAsia="en-US"/>
        </w:rPr>
        <w:t>support Scheme participants with the implementation of their plans; and</w:t>
      </w:r>
    </w:p>
    <w:p w14:paraId="3E6D423B" w14:textId="77777777" w:rsidR="00FD06ED" w:rsidRPr="00FD06ED" w:rsidRDefault="00FD06ED" w:rsidP="00873C47">
      <w:pPr>
        <w:numPr>
          <w:ilvl w:val="0"/>
          <w:numId w:val="40"/>
        </w:numPr>
        <w:spacing w:before="0" w:after="0" w:line="260" w:lineRule="atLeast"/>
        <w:rPr>
          <w:rFonts w:eastAsia="Times New Roman"/>
          <w:bCs/>
          <w:sz w:val="18"/>
          <w:szCs w:val="18"/>
          <w:lang w:eastAsia="en-US"/>
        </w:rPr>
      </w:pPr>
      <w:r w:rsidRPr="00FD06ED">
        <w:rPr>
          <w:rFonts w:eastAsia="Times New Roman"/>
          <w:bCs/>
          <w:sz w:val="18"/>
          <w:szCs w:val="18"/>
          <w:lang w:eastAsia="en-US"/>
        </w:rPr>
        <w:t>support Scheme participants with full scheme planning and plan reviews.</w:t>
      </w:r>
    </w:p>
    <w:p w14:paraId="0092B8FD"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17CF767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0CFF66D5"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costs associated with community partnerships are recognised in accordance with contractual arrangements.</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6C5B1F03" w14:textId="77777777" w:rsidTr="005C33EF">
        <w:trPr>
          <w:trHeight w:val="252"/>
        </w:trPr>
        <w:tc>
          <w:tcPr>
            <w:tcW w:w="6376" w:type="dxa"/>
            <w:tcBorders>
              <w:top w:val="nil"/>
              <w:left w:val="nil"/>
              <w:bottom w:val="nil"/>
              <w:right w:val="nil"/>
            </w:tcBorders>
            <w:shd w:val="clear" w:color="FFFFFF" w:fill="FFFFFF"/>
            <w:noWrap/>
            <w:vAlign w:val="bottom"/>
            <w:hideMark/>
          </w:tcPr>
          <w:p w14:paraId="3D18A493" w14:textId="77777777" w:rsidR="00FD06ED" w:rsidRPr="00FD06ED" w:rsidRDefault="00FD06ED" w:rsidP="00FD06ED">
            <w:pPr>
              <w:spacing w:before="0" w:after="0" w:line="260" w:lineRule="atLeast"/>
              <w:ind w:left="0"/>
              <w:rPr>
                <w:rFonts w:eastAsia="Times New Roman"/>
                <w:sz w:val="18"/>
                <w:szCs w:val="18"/>
                <w:lang w:eastAsia="en-US"/>
              </w:rPr>
            </w:pPr>
            <w:bookmarkStart w:id="159" w:name="Note_PAE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56E7D8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2AD23E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EC2A5A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59"/>
      <w:tr w:rsidR="00FD06ED" w:rsidRPr="00FD06ED" w14:paraId="464A6504" w14:textId="77777777" w:rsidTr="005C33EF">
        <w:trPr>
          <w:trHeight w:val="252"/>
        </w:trPr>
        <w:tc>
          <w:tcPr>
            <w:tcW w:w="6376" w:type="dxa"/>
            <w:tcBorders>
              <w:top w:val="nil"/>
              <w:left w:val="nil"/>
              <w:bottom w:val="nil"/>
              <w:right w:val="nil"/>
            </w:tcBorders>
            <w:shd w:val="clear" w:color="FFFFFF" w:fill="FFFFFF"/>
            <w:noWrap/>
            <w:vAlign w:val="bottom"/>
            <w:hideMark/>
          </w:tcPr>
          <w:p w14:paraId="7EC19A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64481D5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3D9B399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6FD80F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57B9B837" w14:textId="77777777" w:rsidTr="005C33EF">
        <w:trPr>
          <w:trHeight w:val="255"/>
        </w:trPr>
        <w:tc>
          <w:tcPr>
            <w:tcW w:w="6376" w:type="dxa"/>
            <w:tcBorders>
              <w:top w:val="nil"/>
              <w:left w:val="nil"/>
              <w:bottom w:val="nil"/>
              <w:right w:val="nil"/>
            </w:tcBorders>
            <w:shd w:val="clear" w:color="FFFFFF" w:fill="FFFFFF"/>
            <w:noWrap/>
            <w:vAlign w:val="bottom"/>
            <w:hideMark/>
          </w:tcPr>
          <w:p w14:paraId="2F123501"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1.1H: Participant plan expenses</w:t>
            </w:r>
          </w:p>
        </w:tc>
        <w:tc>
          <w:tcPr>
            <w:tcW w:w="1236" w:type="dxa"/>
            <w:tcBorders>
              <w:top w:val="nil"/>
              <w:left w:val="nil"/>
              <w:bottom w:val="nil"/>
              <w:right w:val="nil"/>
            </w:tcBorders>
            <w:shd w:val="clear" w:color="FFFFFF" w:fill="FFFFFF"/>
            <w:noWrap/>
            <w:vAlign w:val="bottom"/>
            <w:hideMark/>
          </w:tcPr>
          <w:p w14:paraId="6888261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4A29A86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B2D664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676B351" w14:textId="77777777" w:rsidTr="005C33EF">
        <w:trPr>
          <w:trHeight w:val="252"/>
        </w:trPr>
        <w:tc>
          <w:tcPr>
            <w:tcW w:w="6376" w:type="dxa"/>
            <w:tcBorders>
              <w:top w:val="nil"/>
              <w:left w:val="nil"/>
              <w:bottom w:val="nil"/>
              <w:right w:val="nil"/>
            </w:tcBorders>
            <w:shd w:val="clear" w:color="FFFFFF" w:fill="FFFFFF"/>
            <w:vAlign w:val="bottom"/>
            <w:hideMark/>
          </w:tcPr>
          <w:p w14:paraId="0ADCEA9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Claims received from participants and providers</w:t>
            </w:r>
          </w:p>
        </w:tc>
        <w:tc>
          <w:tcPr>
            <w:tcW w:w="1236" w:type="dxa"/>
            <w:tcBorders>
              <w:top w:val="nil"/>
              <w:left w:val="nil"/>
              <w:bottom w:val="nil"/>
              <w:right w:val="nil"/>
            </w:tcBorders>
            <w:shd w:val="clear" w:color="FFFFFF" w:fill="FFFFFF"/>
            <w:noWrap/>
            <w:vAlign w:val="bottom"/>
            <w:hideMark/>
          </w:tcPr>
          <w:p w14:paraId="581FE60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27,230,122</w:t>
            </w:r>
          </w:p>
        </w:tc>
        <w:tc>
          <w:tcPr>
            <w:tcW w:w="267" w:type="dxa"/>
            <w:tcBorders>
              <w:top w:val="nil"/>
              <w:left w:val="nil"/>
              <w:bottom w:val="nil"/>
              <w:right w:val="nil"/>
            </w:tcBorders>
            <w:shd w:val="clear" w:color="FFFFFF" w:fill="FFFFFF"/>
            <w:noWrap/>
            <w:vAlign w:val="bottom"/>
            <w:hideMark/>
          </w:tcPr>
          <w:p w14:paraId="5AC7EE6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43120C8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21,874,535</w:t>
            </w:r>
          </w:p>
        </w:tc>
      </w:tr>
      <w:tr w:rsidR="00FD06ED" w:rsidRPr="00FD06ED" w14:paraId="49D03503" w14:textId="77777777" w:rsidTr="005C33EF">
        <w:trPr>
          <w:trHeight w:val="252"/>
        </w:trPr>
        <w:tc>
          <w:tcPr>
            <w:tcW w:w="6376" w:type="dxa"/>
            <w:tcBorders>
              <w:top w:val="nil"/>
              <w:left w:val="nil"/>
              <w:bottom w:val="nil"/>
              <w:right w:val="nil"/>
            </w:tcBorders>
            <w:shd w:val="clear" w:color="FFFFFF" w:fill="FFFFFF"/>
            <w:vAlign w:val="bottom"/>
            <w:hideMark/>
          </w:tcPr>
          <w:p w14:paraId="32C9E6F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Cost of services received in-kind</w:t>
            </w:r>
          </w:p>
        </w:tc>
        <w:tc>
          <w:tcPr>
            <w:tcW w:w="1236" w:type="dxa"/>
            <w:tcBorders>
              <w:top w:val="nil"/>
              <w:left w:val="nil"/>
              <w:bottom w:val="nil"/>
              <w:right w:val="nil"/>
            </w:tcBorders>
            <w:shd w:val="clear" w:color="FFFFFF" w:fill="FFFFFF"/>
            <w:noWrap/>
            <w:vAlign w:val="bottom"/>
            <w:hideMark/>
          </w:tcPr>
          <w:p w14:paraId="06AE88F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1,013,000</w:t>
            </w:r>
          </w:p>
        </w:tc>
        <w:tc>
          <w:tcPr>
            <w:tcW w:w="267" w:type="dxa"/>
            <w:tcBorders>
              <w:top w:val="nil"/>
              <w:left w:val="nil"/>
              <w:bottom w:val="nil"/>
              <w:right w:val="nil"/>
            </w:tcBorders>
            <w:shd w:val="clear" w:color="FFFFFF" w:fill="FFFFFF"/>
            <w:noWrap/>
            <w:vAlign w:val="bottom"/>
            <w:hideMark/>
          </w:tcPr>
          <w:p w14:paraId="70C85F0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51F1F1A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1,368,744</w:t>
            </w:r>
          </w:p>
        </w:tc>
      </w:tr>
      <w:tr w:rsidR="00FD06ED" w:rsidRPr="00FD06ED" w14:paraId="76E7BEE6" w14:textId="77777777" w:rsidTr="005C33EF">
        <w:trPr>
          <w:trHeight w:val="252"/>
        </w:trPr>
        <w:tc>
          <w:tcPr>
            <w:tcW w:w="6376" w:type="dxa"/>
            <w:tcBorders>
              <w:top w:val="nil"/>
              <w:left w:val="nil"/>
              <w:bottom w:val="nil"/>
              <w:right w:val="nil"/>
            </w:tcBorders>
            <w:shd w:val="clear" w:color="FFFFFF" w:fill="FFFFFF"/>
            <w:vAlign w:val="bottom"/>
            <w:hideMark/>
          </w:tcPr>
          <w:p w14:paraId="538E876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Other changes to participant plan provisions </w:t>
            </w:r>
          </w:p>
        </w:tc>
        <w:tc>
          <w:tcPr>
            <w:tcW w:w="1236" w:type="dxa"/>
            <w:tcBorders>
              <w:top w:val="nil"/>
              <w:left w:val="nil"/>
              <w:bottom w:val="nil"/>
              <w:right w:val="nil"/>
            </w:tcBorders>
            <w:shd w:val="clear" w:color="FFFFFF" w:fill="FFFFFF"/>
            <w:noWrap/>
            <w:vAlign w:val="bottom"/>
            <w:hideMark/>
          </w:tcPr>
          <w:p w14:paraId="1DEDA06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388,022</w:t>
            </w:r>
          </w:p>
        </w:tc>
        <w:tc>
          <w:tcPr>
            <w:tcW w:w="267" w:type="dxa"/>
            <w:tcBorders>
              <w:top w:val="nil"/>
              <w:left w:val="nil"/>
              <w:bottom w:val="nil"/>
              <w:right w:val="nil"/>
            </w:tcBorders>
            <w:shd w:val="clear" w:color="FFFFFF" w:fill="FFFFFF"/>
            <w:noWrap/>
            <w:vAlign w:val="bottom"/>
            <w:hideMark/>
          </w:tcPr>
          <w:p w14:paraId="402EB64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5B12AF9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104,318</w:t>
            </w:r>
          </w:p>
        </w:tc>
      </w:tr>
      <w:tr w:rsidR="00FD06ED" w:rsidRPr="00FD06ED" w14:paraId="7C52C4BA" w14:textId="77777777" w:rsidTr="005C33EF">
        <w:trPr>
          <w:trHeight w:val="252"/>
        </w:trPr>
        <w:tc>
          <w:tcPr>
            <w:tcW w:w="6376" w:type="dxa"/>
            <w:tcBorders>
              <w:top w:val="nil"/>
              <w:left w:val="nil"/>
              <w:bottom w:val="nil"/>
              <w:right w:val="nil"/>
            </w:tcBorders>
            <w:shd w:val="clear" w:color="FFFFFF" w:fill="FFFFFF"/>
            <w:vAlign w:val="bottom"/>
            <w:hideMark/>
          </w:tcPr>
          <w:p w14:paraId="3393657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participant plan expenses</w:t>
            </w:r>
          </w:p>
        </w:tc>
        <w:tc>
          <w:tcPr>
            <w:tcW w:w="1236" w:type="dxa"/>
            <w:tcBorders>
              <w:top w:val="single" w:sz="4" w:space="0" w:color="auto"/>
              <w:left w:val="nil"/>
              <w:bottom w:val="single" w:sz="4" w:space="0" w:color="auto"/>
              <w:right w:val="nil"/>
            </w:tcBorders>
            <w:shd w:val="clear" w:color="FFFFFF" w:fill="FFFFFF"/>
            <w:noWrap/>
            <w:vAlign w:val="bottom"/>
            <w:hideMark/>
          </w:tcPr>
          <w:p w14:paraId="38A8F72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28,631,144</w:t>
            </w:r>
          </w:p>
        </w:tc>
        <w:tc>
          <w:tcPr>
            <w:tcW w:w="267" w:type="dxa"/>
            <w:tcBorders>
              <w:top w:val="nil"/>
              <w:left w:val="nil"/>
              <w:bottom w:val="nil"/>
              <w:right w:val="nil"/>
            </w:tcBorders>
            <w:shd w:val="clear" w:color="FFFFFF" w:fill="FFFFFF"/>
            <w:noWrap/>
            <w:vAlign w:val="bottom"/>
            <w:hideMark/>
          </w:tcPr>
          <w:p w14:paraId="451D5F7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12E5289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23,347,597</w:t>
            </w:r>
          </w:p>
        </w:tc>
      </w:tr>
    </w:tbl>
    <w:p w14:paraId="0E52034B" w14:textId="77777777" w:rsidR="00FD06ED" w:rsidRPr="00FD06ED" w:rsidRDefault="00FD06ED" w:rsidP="00FD06ED">
      <w:pPr>
        <w:spacing w:before="0" w:after="0"/>
        <w:ind w:left="0"/>
        <w:rPr>
          <w:rFonts w:ascii="Times New Roman" w:eastAsia="Times New Roman" w:hAnsi="Times New Roman" w:cs="Times New Roman"/>
          <w:szCs w:val="20"/>
          <w:lang w:eastAsia="en-US"/>
        </w:rPr>
      </w:pPr>
      <w:bookmarkStart w:id="160" w:name="OLE_LINK13"/>
      <w:bookmarkStart w:id="161" w:name="OLE_LINK12"/>
    </w:p>
    <w:p w14:paraId="7B550120" w14:textId="77777777" w:rsidR="00FD06ED" w:rsidRPr="00FD06ED" w:rsidRDefault="00FD06ED" w:rsidP="00FD06ED">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07192143" w14:textId="77777777" w:rsidR="00FD06ED" w:rsidRPr="00FD06ED" w:rsidRDefault="00FD06ED" w:rsidP="00FD06ED">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costs associated with participant plan expenses are recognised as and when the Agency receives claims from participants and providers. Accounting policies for expenses resulting from adjustment to the participant plan provision are contained in Section 2.6 – Provisions.</w:t>
      </w:r>
    </w:p>
    <w:p w14:paraId="6A1DCBE6" w14:textId="77777777" w:rsidR="00FD06ED" w:rsidRPr="00FD06ED" w:rsidRDefault="00FD06ED" w:rsidP="00FD06ED">
      <w:pPr>
        <w:spacing w:before="0" w:line="120" w:lineRule="atLeast"/>
        <w:ind w:left="0"/>
        <w:rPr>
          <w:rFonts w:eastAsia="Times New Roman"/>
          <w:b/>
          <w:bCs/>
          <w:sz w:val="18"/>
          <w:szCs w:val="18"/>
          <w:lang w:eastAsia="en-US"/>
        </w:rPr>
      </w:pPr>
      <w:bookmarkStart w:id="162" w:name="_Hlk111208298"/>
      <w:r w:rsidRPr="00FD06ED">
        <w:rPr>
          <w:rFonts w:eastAsia="Times New Roman"/>
          <w:b/>
          <w:bCs/>
          <w:sz w:val="18"/>
          <w:szCs w:val="18"/>
          <w:lang w:eastAsia="en-US"/>
        </w:rPr>
        <w:t>Participant plan expenses</w:t>
      </w:r>
    </w:p>
    <w:p w14:paraId="1424181D" w14:textId="02259941"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xml:space="preserve">The Agency makes payments to registered providers and participants with self-managed plans for supports delivered in line with a participant’s approved plan. Registered providers and self-managing participants </w:t>
      </w:r>
      <w:proofErr w:type="gramStart"/>
      <w:r w:rsidRPr="00FD06ED">
        <w:rPr>
          <w:rFonts w:eastAsia="Times New Roman"/>
          <w:bCs/>
          <w:sz w:val="18"/>
          <w:szCs w:val="18"/>
          <w:lang w:eastAsia="en-US"/>
        </w:rPr>
        <w:t>are able to</w:t>
      </w:r>
      <w:proofErr w:type="gramEnd"/>
      <w:r w:rsidRPr="00FD06ED">
        <w:rPr>
          <w:rFonts w:eastAsia="Times New Roman"/>
          <w:bCs/>
          <w:sz w:val="18"/>
          <w:szCs w:val="18"/>
          <w:lang w:eastAsia="en-US"/>
        </w:rPr>
        <w:t xml:space="preserve"> access NDIS portals to submit payment claims for delivered supports.  Self-lodgement of claims from providers and participants can lead to payments that are inconsistent with Agency guidance, even where no deliberate fraud is intended by the claimant. To mitigate this risk and to assess the potential financial impact the Agency maintains an assurance testing program, with regular reviews completed throughout the year.  During </w:t>
      </w:r>
      <w:r w:rsidR="00577731">
        <w:rPr>
          <w:rFonts w:eastAsia="Times New Roman"/>
          <w:bCs/>
          <w:sz w:val="18"/>
          <w:szCs w:val="18"/>
          <w:lang w:eastAsia="en-US"/>
        </w:rPr>
        <w:t>2021–</w:t>
      </w:r>
      <w:proofErr w:type="gramStart"/>
      <w:r w:rsidR="00577731">
        <w:rPr>
          <w:rFonts w:eastAsia="Times New Roman"/>
          <w:bCs/>
          <w:sz w:val="18"/>
          <w:szCs w:val="18"/>
          <w:lang w:eastAsia="en-US"/>
        </w:rPr>
        <w:t xml:space="preserve">22 </w:t>
      </w:r>
      <w:r w:rsidRPr="00FD06ED">
        <w:rPr>
          <w:rFonts w:eastAsia="Times New Roman"/>
          <w:bCs/>
          <w:sz w:val="18"/>
          <w:szCs w:val="18"/>
          <w:lang w:eastAsia="en-US"/>
        </w:rPr>
        <w:t xml:space="preserve"> the</w:t>
      </w:r>
      <w:proofErr w:type="gramEnd"/>
      <w:r w:rsidRPr="00FD06ED">
        <w:rPr>
          <w:rFonts w:eastAsia="Times New Roman"/>
          <w:bCs/>
          <w:sz w:val="18"/>
          <w:szCs w:val="18"/>
          <w:lang w:eastAsia="en-US"/>
        </w:rPr>
        <w:t xml:space="preserve"> Agency increased the level of resourcing focused on this program enabling a significant increase in the number of transactions subject to review.  </w:t>
      </w:r>
    </w:p>
    <w:p w14:paraId="47BDD70B"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w:t>
      </w:r>
    </w:p>
    <w:p w14:paraId="58EF97E9"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xml:space="preserve">Errors identified in the review process can be either critical (having a potential negative financial impact) or non-critical (having no or a potentially positive financial impact). All critical errors are subject to further validation, with recovery action, where required and considered to be economical, undertaken in accordance with the Agency’s Debt Management Procedures.  The outcomes of this testing are extrapolated to indicate an annualised potential financial impact. </w:t>
      </w:r>
    </w:p>
    <w:p w14:paraId="7AA3BA74"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w:t>
      </w:r>
    </w:p>
    <w:p w14:paraId="7634FB29"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xml:space="preserve">For 2021–22, the estimated potential financial impact of the provider error rates was assessed as being $606.1m (2.6% of total provider payments) compared to $242.9m (1.3% of total provider payments) in 2020-21. </w:t>
      </w:r>
    </w:p>
    <w:p w14:paraId="69943A05" w14:textId="77777777" w:rsidR="00FD06ED" w:rsidRPr="00FD06ED" w:rsidRDefault="00FD06ED" w:rsidP="00FD06ED">
      <w:pPr>
        <w:spacing w:before="0" w:after="0" w:line="260" w:lineRule="atLeast"/>
        <w:ind w:left="0"/>
        <w:rPr>
          <w:rFonts w:eastAsia="Times New Roman"/>
          <w:bCs/>
          <w:sz w:val="18"/>
          <w:szCs w:val="18"/>
          <w:u w:val="single"/>
          <w:lang w:eastAsia="en-US"/>
        </w:rPr>
      </w:pPr>
    </w:p>
    <w:p w14:paraId="7682C1D5" w14:textId="77777777"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lastRenderedPageBreak/>
        <w:t>The estimated potential financial impact of the participant self-managed plan error rates was assessed as being $244.9m (7.0% of total self-managed participant provider payments) compared to $27.9m (0.9% of total self-managed participant payments) in 2020-21.  </w:t>
      </w:r>
    </w:p>
    <w:p w14:paraId="1152F76D" w14:textId="7775033D" w:rsidR="00FD06ED" w:rsidRPr="00FD06ED" w:rsidRDefault="00FD06ED" w:rsidP="00FD06ED">
      <w:pPr>
        <w:spacing w:before="0" w:after="0" w:line="260" w:lineRule="atLeast"/>
        <w:ind w:left="0"/>
        <w:rPr>
          <w:rFonts w:eastAsia="Times New Roman"/>
          <w:bCs/>
          <w:sz w:val="18"/>
          <w:szCs w:val="18"/>
          <w:lang w:eastAsia="en-US"/>
        </w:rPr>
      </w:pPr>
      <w:r w:rsidRPr="00FD06ED">
        <w:rPr>
          <w:rFonts w:eastAsia="Times New Roman"/>
          <w:bCs/>
          <w:sz w:val="18"/>
          <w:szCs w:val="18"/>
          <w:lang w:eastAsia="en-US"/>
        </w:rPr>
        <w:t xml:space="preserve">For both categories of payments the primary factor driving the increase in estimated error value is the increase in the number of errors found together with the proportional increase in the average error value over the sample group applied against the total value of payments made by the Agency in </w:t>
      </w:r>
      <w:r w:rsidR="00577731">
        <w:rPr>
          <w:rFonts w:eastAsia="Times New Roman"/>
          <w:bCs/>
          <w:sz w:val="18"/>
          <w:szCs w:val="18"/>
          <w:lang w:eastAsia="en-US"/>
        </w:rPr>
        <w:t>2021–</w:t>
      </w:r>
      <w:proofErr w:type="gramStart"/>
      <w:r w:rsidR="00577731">
        <w:rPr>
          <w:rFonts w:eastAsia="Times New Roman"/>
          <w:bCs/>
          <w:sz w:val="18"/>
          <w:szCs w:val="18"/>
          <w:lang w:eastAsia="en-US"/>
        </w:rPr>
        <w:t xml:space="preserve">22 </w:t>
      </w:r>
      <w:r w:rsidRPr="00FD06ED">
        <w:rPr>
          <w:rFonts w:eastAsia="Times New Roman"/>
          <w:bCs/>
          <w:sz w:val="18"/>
          <w:szCs w:val="18"/>
          <w:lang w:eastAsia="en-US"/>
        </w:rPr>
        <w:t>.</w:t>
      </w:r>
      <w:proofErr w:type="gramEnd"/>
    </w:p>
    <w:bookmarkEnd w:id="162"/>
    <w:p w14:paraId="36EACB91" w14:textId="77777777" w:rsidR="00FD06ED" w:rsidRPr="00FD06ED" w:rsidRDefault="00FD06ED" w:rsidP="00FD06ED">
      <w:pPr>
        <w:spacing w:before="0" w:after="0" w:line="120" w:lineRule="atLeast"/>
        <w:ind w:left="0"/>
        <w:rPr>
          <w:rFonts w:eastAsia="Times New Roman"/>
          <w:bCs/>
          <w:sz w:val="18"/>
          <w:szCs w:val="18"/>
          <w:lang w:eastAsia="en-AU"/>
        </w:rPr>
      </w:pPr>
    </w:p>
    <w:p w14:paraId="689051A4" w14:textId="5F302FE1" w:rsidR="00FD06ED" w:rsidRPr="00FD06ED" w:rsidRDefault="00250604"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163" w:name="_Toc443469524"/>
      <w:bookmarkStart w:id="164" w:name="_Toc444065773"/>
      <w:bookmarkStart w:id="165" w:name="_Toc444077334"/>
      <w:bookmarkStart w:id="166" w:name="_Toc447030537"/>
      <w:bookmarkStart w:id="167" w:name="_Toc447030689"/>
      <w:bookmarkStart w:id="168" w:name="_Toc447030782"/>
      <w:bookmarkStart w:id="169" w:name="_Toc65742845"/>
      <w:bookmarkStart w:id="170" w:name="_Toc114477508"/>
      <w:bookmarkStart w:id="171" w:name="_Toc116414679"/>
      <w:bookmarkStart w:id="172" w:name="_Toc116472658"/>
      <w:bookmarkStart w:id="173" w:name="_Toc116473873"/>
      <w:bookmarkEnd w:id="160"/>
      <w:bookmarkEnd w:id="161"/>
      <w:r>
        <w:rPr>
          <w:rFonts w:eastAsia="Times New Roman"/>
          <w:b/>
          <w:color w:val="FFFFFF"/>
          <w:sz w:val="20"/>
          <w:szCs w:val="20"/>
          <w:lang w:eastAsia="en-US"/>
        </w:rPr>
        <w:t xml:space="preserve">1.2 </w:t>
      </w:r>
      <w:r w:rsidR="00FD06ED" w:rsidRPr="00FD06ED">
        <w:rPr>
          <w:rFonts w:eastAsia="Times New Roman"/>
          <w:b/>
          <w:color w:val="FFFFFF"/>
          <w:sz w:val="20"/>
          <w:szCs w:val="20"/>
          <w:lang w:eastAsia="en-US"/>
        </w:rPr>
        <w:t>Own-Source Revenue and Gains</w:t>
      </w:r>
      <w:bookmarkEnd w:id="163"/>
      <w:bookmarkEnd w:id="164"/>
      <w:bookmarkEnd w:id="165"/>
      <w:bookmarkEnd w:id="166"/>
      <w:bookmarkEnd w:id="167"/>
      <w:bookmarkEnd w:id="168"/>
      <w:bookmarkEnd w:id="169"/>
      <w:bookmarkEnd w:id="170"/>
      <w:bookmarkEnd w:id="171"/>
      <w:bookmarkEnd w:id="172"/>
      <w:bookmarkEnd w:id="173"/>
    </w:p>
    <w:p w14:paraId="0398E3DD" w14:textId="77777777" w:rsidR="00FD06ED" w:rsidRPr="00FD06ED" w:rsidRDefault="00FD06ED" w:rsidP="00FD06ED">
      <w:pPr>
        <w:spacing w:before="0" w:after="0" w:line="260" w:lineRule="atLeast"/>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3453AC5A" w14:textId="77777777" w:rsidTr="005C33EF">
        <w:trPr>
          <w:trHeight w:val="255"/>
        </w:trPr>
        <w:tc>
          <w:tcPr>
            <w:tcW w:w="6376" w:type="dxa"/>
            <w:tcBorders>
              <w:top w:val="nil"/>
              <w:left w:val="nil"/>
              <w:bottom w:val="nil"/>
              <w:right w:val="nil"/>
            </w:tcBorders>
            <w:shd w:val="clear" w:color="FFFFFF" w:fill="FFFFFF"/>
            <w:vAlign w:val="bottom"/>
            <w:hideMark/>
          </w:tcPr>
          <w:p w14:paraId="1B6A3C40" w14:textId="77777777" w:rsidR="00FD06ED" w:rsidRPr="00FD06ED" w:rsidRDefault="00FD06ED" w:rsidP="00FD06ED">
            <w:pPr>
              <w:spacing w:before="0" w:after="0" w:line="260" w:lineRule="atLeast"/>
              <w:ind w:left="0"/>
              <w:rPr>
                <w:rFonts w:eastAsia="Times New Roman"/>
                <w:b/>
                <w:bCs/>
                <w:sz w:val="18"/>
                <w:szCs w:val="18"/>
                <w:lang w:eastAsia="en-US"/>
              </w:rPr>
            </w:pPr>
            <w:bookmarkStart w:id="174" w:name="Note_GASTABLE1" w:colFirst="0" w:colLast="0"/>
            <w:r w:rsidRPr="00FD06ED">
              <w:rPr>
                <w:rFonts w:eastAsia="Times New Roman"/>
                <w:b/>
                <w:bCs/>
                <w:sz w:val="18"/>
                <w:szCs w:val="18"/>
                <w:lang w:eastAsia="en-US"/>
              </w:rPr>
              <w:t>OWN SOURCE REVENUE</w:t>
            </w:r>
          </w:p>
        </w:tc>
        <w:tc>
          <w:tcPr>
            <w:tcW w:w="1236" w:type="dxa"/>
            <w:tcBorders>
              <w:top w:val="nil"/>
              <w:left w:val="nil"/>
              <w:bottom w:val="nil"/>
              <w:right w:val="nil"/>
            </w:tcBorders>
            <w:shd w:val="clear" w:color="FFFFFF" w:fill="FFFFFF"/>
            <w:noWrap/>
            <w:vAlign w:val="bottom"/>
            <w:hideMark/>
          </w:tcPr>
          <w:p w14:paraId="5596281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7C8D913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E09AD8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74"/>
      <w:tr w:rsidR="00FD06ED" w:rsidRPr="00FD06ED" w14:paraId="2DDC8368" w14:textId="77777777" w:rsidTr="005C33EF">
        <w:trPr>
          <w:trHeight w:val="255"/>
        </w:trPr>
        <w:tc>
          <w:tcPr>
            <w:tcW w:w="6376" w:type="dxa"/>
            <w:tcBorders>
              <w:top w:val="nil"/>
              <w:left w:val="nil"/>
              <w:bottom w:val="nil"/>
              <w:right w:val="nil"/>
            </w:tcBorders>
            <w:shd w:val="clear" w:color="FFFFFF" w:fill="FFFFFF"/>
            <w:vAlign w:val="bottom"/>
            <w:hideMark/>
          </w:tcPr>
          <w:p w14:paraId="0907C00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095EA36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0EAED47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6418FE3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730F03EC" w14:textId="77777777" w:rsidTr="005C33EF">
        <w:trPr>
          <w:trHeight w:val="255"/>
        </w:trPr>
        <w:tc>
          <w:tcPr>
            <w:tcW w:w="6376" w:type="dxa"/>
            <w:tcBorders>
              <w:top w:val="nil"/>
              <w:left w:val="nil"/>
              <w:bottom w:val="nil"/>
              <w:right w:val="nil"/>
            </w:tcBorders>
            <w:shd w:val="clear" w:color="FFFFFF" w:fill="FFFFFF"/>
            <w:noWrap/>
            <w:vAlign w:val="bottom"/>
            <w:hideMark/>
          </w:tcPr>
          <w:p w14:paraId="7FA9EBF1"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1.2A: Rendering of services</w:t>
            </w:r>
          </w:p>
        </w:tc>
        <w:tc>
          <w:tcPr>
            <w:tcW w:w="1236" w:type="dxa"/>
            <w:tcBorders>
              <w:top w:val="nil"/>
              <w:left w:val="nil"/>
              <w:bottom w:val="nil"/>
              <w:right w:val="nil"/>
            </w:tcBorders>
            <w:shd w:val="clear" w:color="FFFFFF" w:fill="FFFFFF"/>
            <w:noWrap/>
            <w:vAlign w:val="bottom"/>
            <w:hideMark/>
          </w:tcPr>
          <w:p w14:paraId="34CD817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4AECE1C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C9ECC4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618B207C" w14:textId="77777777" w:rsidTr="005C33EF">
        <w:trPr>
          <w:trHeight w:val="255"/>
        </w:trPr>
        <w:tc>
          <w:tcPr>
            <w:tcW w:w="6376" w:type="dxa"/>
            <w:tcBorders>
              <w:top w:val="nil"/>
              <w:left w:val="nil"/>
              <w:bottom w:val="nil"/>
              <w:right w:val="nil"/>
            </w:tcBorders>
            <w:shd w:val="clear" w:color="FFFFFF" w:fill="FFFFFF"/>
            <w:noWrap/>
            <w:vAlign w:val="bottom"/>
            <w:hideMark/>
          </w:tcPr>
          <w:p w14:paraId="22166FFE" w14:textId="77777777" w:rsidR="00FD06ED" w:rsidRPr="00FD06ED" w:rsidRDefault="00FD06ED" w:rsidP="00FD06ED">
            <w:pPr>
              <w:spacing w:before="0" w:after="0" w:line="260" w:lineRule="atLeast"/>
              <w:ind w:left="0" w:firstLineChars="100" w:firstLine="181"/>
              <w:rPr>
                <w:rFonts w:eastAsia="Times New Roman"/>
                <w:b/>
                <w:bCs/>
                <w:sz w:val="18"/>
                <w:szCs w:val="18"/>
                <w:lang w:eastAsia="en-US"/>
              </w:rPr>
            </w:pPr>
            <w:r w:rsidRPr="00FD06ED">
              <w:rPr>
                <w:rFonts w:eastAsia="Times New Roman"/>
                <w:b/>
                <w:bCs/>
                <w:sz w:val="18"/>
                <w:szCs w:val="18"/>
                <w:lang w:eastAsia="en-US"/>
              </w:rPr>
              <w:t xml:space="preserve">Rendering of services in connection with: </w:t>
            </w:r>
          </w:p>
        </w:tc>
        <w:tc>
          <w:tcPr>
            <w:tcW w:w="1236" w:type="dxa"/>
            <w:tcBorders>
              <w:top w:val="nil"/>
              <w:left w:val="nil"/>
              <w:bottom w:val="nil"/>
              <w:right w:val="nil"/>
            </w:tcBorders>
            <w:shd w:val="clear" w:color="FFFFFF" w:fill="FFFFFF"/>
            <w:noWrap/>
            <w:vAlign w:val="bottom"/>
            <w:hideMark/>
          </w:tcPr>
          <w:p w14:paraId="51D3357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2EB7206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262C0C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2C861C49" w14:textId="77777777" w:rsidTr="005C33EF">
        <w:trPr>
          <w:trHeight w:val="255"/>
        </w:trPr>
        <w:tc>
          <w:tcPr>
            <w:tcW w:w="6376" w:type="dxa"/>
            <w:tcBorders>
              <w:top w:val="nil"/>
              <w:left w:val="nil"/>
              <w:bottom w:val="nil"/>
              <w:right w:val="nil"/>
            </w:tcBorders>
            <w:shd w:val="clear" w:color="FFFFFF" w:fill="FFFFFF"/>
            <w:vAlign w:val="bottom"/>
            <w:hideMark/>
          </w:tcPr>
          <w:p w14:paraId="316A0EBD" w14:textId="77777777" w:rsidR="00FD06ED" w:rsidRPr="00FD06ED" w:rsidRDefault="00FD06ED" w:rsidP="00FD06ED">
            <w:pPr>
              <w:spacing w:before="0" w:after="0" w:line="260" w:lineRule="atLeast"/>
              <w:ind w:left="0" w:firstLineChars="200" w:firstLine="360"/>
              <w:rPr>
                <w:rFonts w:eastAsia="Times New Roman"/>
                <w:sz w:val="18"/>
                <w:szCs w:val="18"/>
                <w:lang w:eastAsia="en-US"/>
              </w:rPr>
            </w:pPr>
            <w:r w:rsidRPr="00FD06ED">
              <w:rPr>
                <w:rFonts w:eastAsia="Times New Roman"/>
                <w:sz w:val="18"/>
                <w:szCs w:val="18"/>
                <w:lang w:eastAsia="en-US"/>
              </w:rPr>
              <w:t>Related parties - contributions from Department of Social Services</w:t>
            </w:r>
          </w:p>
        </w:tc>
        <w:tc>
          <w:tcPr>
            <w:tcW w:w="1236" w:type="dxa"/>
            <w:tcBorders>
              <w:top w:val="nil"/>
              <w:left w:val="nil"/>
              <w:bottom w:val="nil"/>
              <w:right w:val="nil"/>
            </w:tcBorders>
            <w:shd w:val="clear" w:color="FFFFFF" w:fill="FFFFFF"/>
            <w:noWrap/>
            <w:vAlign w:val="bottom"/>
            <w:hideMark/>
          </w:tcPr>
          <w:p w14:paraId="4CC42C6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18,173,039</w:t>
            </w:r>
          </w:p>
        </w:tc>
        <w:tc>
          <w:tcPr>
            <w:tcW w:w="267" w:type="dxa"/>
            <w:tcBorders>
              <w:top w:val="nil"/>
              <w:left w:val="nil"/>
              <w:bottom w:val="nil"/>
              <w:right w:val="nil"/>
            </w:tcBorders>
            <w:shd w:val="clear" w:color="FFFFFF" w:fill="FFFFFF"/>
            <w:noWrap/>
            <w:vAlign w:val="bottom"/>
            <w:hideMark/>
          </w:tcPr>
          <w:p w14:paraId="1CE8005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B613DA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12,941,352</w:t>
            </w:r>
          </w:p>
        </w:tc>
      </w:tr>
      <w:tr w:rsidR="00FD06ED" w:rsidRPr="00FD06ED" w14:paraId="5907C890" w14:textId="77777777" w:rsidTr="005C33EF">
        <w:trPr>
          <w:trHeight w:val="255"/>
        </w:trPr>
        <w:tc>
          <w:tcPr>
            <w:tcW w:w="6376" w:type="dxa"/>
            <w:tcBorders>
              <w:top w:val="nil"/>
              <w:left w:val="nil"/>
              <w:bottom w:val="nil"/>
              <w:right w:val="nil"/>
            </w:tcBorders>
            <w:shd w:val="clear" w:color="FFFFFF" w:fill="FFFFFF"/>
            <w:vAlign w:val="bottom"/>
            <w:hideMark/>
          </w:tcPr>
          <w:p w14:paraId="2FF7EB58" w14:textId="77777777" w:rsidR="00FD06ED" w:rsidRPr="00FD06ED" w:rsidRDefault="00FD06ED" w:rsidP="00FD06ED">
            <w:pPr>
              <w:spacing w:before="0" w:after="0" w:line="260" w:lineRule="atLeast"/>
              <w:ind w:left="0" w:firstLineChars="200" w:firstLine="360"/>
              <w:rPr>
                <w:rFonts w:eastAsia="Times New Roman"/>
                <w:sz w:val="18"/>
                <w:szCs w:val="18"/>
                <w:lang w:eastAsia="en-US"/>
              </w:rPr>
            </w:pPr>
            <w:r w:rsidRPr="00FD06ED">
              <w:rPr>
                <w:rFonts w:eastAsia="Times New Roman"/>
                <w:sz w:val="18"/>
                <w:szCs w:val="18"/>
                <w:lang w:eastAsia="en-US"/>
              </w:rPr>
              <w:t>External parties - contributions from state and territory governments</w:t>
            </w:r>
          </w:p>
        </w:tc>
        <w:tc>
          <w:tcPr>
            <w:tcW w:w="1236" w:type="dxa"/>
            <w:tcBorders>
              <w:top w:val="nil"/>
              <w:left w:val="nil"/>
              <w:bottom w:val="nil"/>
              <w:right w:val="nil"/>
            </w:tcBorders>
            <w:shd w:val="clear" w:color="FFFFFF" w:fill="FFFFFF"/>
            <w:noWrap/>
            <w:vAlign w:val="bottom"/>
            <w:hideMark/>
          </w:tcPr>
          <w:p w14:paraId="550C6C1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10,006,846</w:t>
            </w:r>
          </w:p>
        </w:tc>
        <w:tc>
          <w:tcPr>
            <w:tcW w:w="267" w:type="dxa"/>
            <w:tcBorders>
              <w:top w:val="nil"/>
              <w:left w:val="nil"/>
              <w:bottom w:val="nil"/>
              <w:right w:val="nil"/>
            </w:tcBorders>
            <w:shd w:val="clear" w:color="FFFFFF" w:fill="FFFFFF"/>
            <w:noWrap/>
            <w:vAlign w:val="bottom"/>
            <w:hideMark/>
          </w:tcPr>
          <w:p w14:paraId="589C192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77EDD9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9,149,973</w:t>
            </w:r>
          </w:p>
        </w:tc>
      </w:tr>
      <w:tr w:rsidR="00FD06ED" w:rsidRPr="00FD06ED" w14:paraId="1438B596" w14:textId="77777777" w:rsidTr="005C33EF">
        <w:trPr>
          <w:trHeight w:val="255"/>
        </w:trPr>
        <w:tc>
          <w:tcPr>
            <w:tcW w:w="6376" w:type="dxa"/>
            <w:tcBorders>
              <w:top w:val="nil"/>
              <w:left w:val="nil"/>
              <w:bottom w:val="nil"/>
              <w:right w:val="nil"/>
            </w:tcBorders>
            <w:shd w:val="clear" w:color="FFFFFF" w:fill="FFFFFF"/>
            <w:vAlign w:val="bottom"/>
            <w:hideMark/>
          </w:tcPr>
          <w:p w14:paraId="1AA62CE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revenue from rendering of services</w:t>
            </w:r>
          </w:p>
        </w:tc>
        <w:tc>
          <w:tcPr>
            <w:tcW w:w="1236" w:type="dxa"/>
            <w:tcBorders>
              <w:top w:val="single" w:sz="4" w:space="0" w:color="auto"/>
              <w:left w:val="nil"/>
              <w:bottom w:val="single" w:sz="4" w:space="0" w:color="auto"/>
              <w:right w:val="nil"/>
            </w:tcBorders>
            <w:shd w:val="clear" w:color="FFFFFF" w:fill="FFFFFF"/>
            <w:noWrap/>
            <w:vAlign w:val="bottom"/>
            <w:hideMark/>
          </w:tcPr>
          <w:p w14:paraId="7416808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28,179,885</w:t>
            </w:r>
          </w:p>
        </w:tc>
        <w:tc>
          <w:tcPr>
            <w:tcW w:w="267" w:type="dxa"/>
            <w:tcBorders>
              <w:top w:val="nil"/>
              <w:left w:val="nil"/>
              <w:bottom w:val="nil"/>
              <w:right w:val="nil"/>
            </w:tcBorders>
            <w:shd w:val="clear" w:color="FFFFFF" w:fill="FFFFFF"/>
            <w:noWrap/>
            <w:vAlign w:val="bottom"/>
            <w:hideMark/>
          </w:tcPr>
          <w:p w14:paraId="1E4D7B4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1D7E601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22,091,325</w:t>
            </w:r>
          </w:p>
        </w:tc>
      </w:tr>
    </w:tbl>
    <w:p w14:paraId="5E9AF88F" w14:textId="77777777" w:rsidR="00FD06ED" w:rsidRPr="00FD06ED" w:rsidRDefault="00FD06ED" w:rsidP="00FD06ED">
      <w:pPr>
        <w:spacing w:before="0" w:after="0"/>
        <w:ind w:left="0"/>
        <w:rPr>
          <w:rFonts w:ascii="Times New Roman" w:eastAsia="Times New Roman" w:hAnsi="Times New Roman" w:cs="Times New Roman"/>
          <w:sz w:val="4"/>
          <w:szCs w:val="4"/>
          <w:lang w:eastAsia="en-US"/>
        </w:rPr>
      </w:pPr>
    </w:p>
    <w:p w14:paraId="7A3E6135" w14:textId="77777777" w:rsidR="00FD06ED" w:rsidRPr="00FD06ED" w:rsidRDefault="00FD06ED" w:rsidP="00FD06ED">
      <w:pPr>
        <w:spacing w:before="0" w:after="0"/>
        <w:ind w:left="0"/>
        <w:rPr>
          <w:rFonts w:ascii="Times New Roman" w:eastAsia="Times New Roman" w:hAnsi="Times New Roman" w:cs="Times New Roman"/>
          <w:sz w:val="4"/>
          <w:szCs w:val="4"/>
          <w:lang w:eastAsia="en-US"/>
        </w:rPr>
      </w:pPr>
    </w:p>
    <w:p w14:paraId="46243799" w14:textId="77777777" w:rsidR="00FD06ED" w:rsidRPr="00FD06ED" w:rsidRDefault="00FD06ED" w:rsidP="00FD06ED">
      <w:pPr>
        <w:spacing w:before="0" w:after="0"/>
        <w:ind w:left="0"/>
        <w:rPr>
          <w:rFonts w:ascii="Times New Roman" w:eastAsia="Times New Roman" w:hAnsi="Times New Roman" w:cs="Times New Roman"/>
          <w:sz w:val="4"/>
          <w:szCs w:val="4"/>
          <w:lang w:eastAsia="en-US"/>
        </w:rPr>
      </w:pPr>
    </w:p>
    <w:p w14:paraId="7675C078" w14:textId="77777777" w:rsidR="00FD06ED" w:rsidRPr="00FD06ED" w:rsidRDefault="00FD06ED" w:rsidP="00FD06ED">
      <w:pPr>
        <w:spacing w:before="0" w:after="0"/>
        <w:ind w:left="0"/>
        <w:rPr>
          <w:rFonts w:ascii="Times New Roman" w:eastAsia="Times New Roman" w:hAnsi="Times New Roman" w:cs="Times New Roman"/>
          <w:sz w:val="4"/>
          <w:szCs w:val="4"/>
          <w:lang w:eastAsia="en-US"/>
        </w:rPr>
      </w:pPr>
    </w:p>
    <w:p w14:paraId="1E65BE45" w14:textId="77777777" w:rsidR="00FD06ED" w:rsidRPr="00FD06ED" w:rsidRDefault="00FD06ED" w:rsidP="00FD06ED">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bookmarkStart w:id="175" w:name="_Hlk109999023"/>
      <w:r w:rsidRPr="00FD06ED">
        <w:rPr>
          <w:rFonts w:eastAsia="Times New Roman"/>
          <w:b/>
          <w:bCs/>
          <w:sz w:val="18"/>
          <w:szCs w:val="18"/>
          <w:lang w:eastAsia="en-US"/>
        </w:rPr>
        <w:t>Accounting Policy</w:t>
      </w:r>
    </w:p>
    <w:bookmarkEnd w:id="175"/>
    <w:p w14:paraId="40412E84" w14:textId="77777777" w:rsidR="00FD06ED" w:rsidRPr="00FD06ED" w:rsidRDefault="00FD06ED" w:rsidP="00FD06ED">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highlight w:val="yellow"/>
          <w:lang w:eastAsia="en-US"/>
        </w:rPr>
      </w:pPr>
      <w:r w:rsidRPr="00FD06ED">
        <w:rPr>
          <w:rFonts w:eastAsia="Times New Roman"/>
          <w:bCs/>
          <w:sz w:val="18"/>
          <w:szCs w:val="18"/>
          <w:lang w:eastAsia="en-US"/>
        </w:rPr>
        <w:t>Cash contributions to the Agency from the Commonwealth, state and territory governments are recognised as revenue when they become payable to the Agency under the relevant signed agreement. These include cash contributions outlined in the bilateral agreements for the funding of the Scheme and funding provided by the DSS for the Agency’s former grant programs. Cash contributions received in advance and any outstanding cash contribution offsets to be deducted from future period cash contribution receipts are treated as unearned revenue (refer note 2.4).</w:t>
      </w:r>
    </w:p>
    <w:p w14:paraId="1FA24271" w14:textId="77777777" w:rsidR="00FD06ED" w:rsidRPr="00FD06ED" w:rsidRDefault="00FD06ED" w:rsidP="00FD06ED">
      <w:pPr>
        <w:pBdr>
          <w:top w:val="single" w:sz="4" w:space="0" w:color="800080"/>
          <w:left w:val="single" w:sz="4" w:space="4" w:color="800080"/>
          <w:bottom w:val="single" w:sz="4" w:space="1" w:color="800080"/>
          <w:right w:val="single" w:sz="4" w:space="4" w:color="800080"/>
        </w:pBdr>
        <w:spacing w:before="0" w:line="120" w:lineRule="atLeast"/>
        <w:ind w:left="0"/>
        <w:rPr>
          <w:rFonts w:eastAsia="Times New Roman"/>
          <w:bCs/>
          <w:sz w:val="18"/>
          <w:szCs w:val="18"/>
          <w:highlight w:val="yellow"/>
          <w:lang w:eastAsia="en-US"/>
        </w:rPr>
      </w:pPr>
      <w:r w:rsidRPr="00FD06ED">
        <w:rPr>
          <w:rFonts w:eastAsia="Times New Roman"/>
          <w:bCs/>
          <w:sz w:val="18"/>
          <w:szCs w:val="18"/>
          <w:lang w:eastAsia="en-US"/>
        </w:rPr>
        <w:t>The transaction price for the Scheme contributions is the total amount of cash contributions payable by the jurisdictions to fund the Scheme under their bilateral agreements. The bilateral agreements have annual performance obligations.</w:t>
      </w:r>
      <w:r w:rsidRPr="00FD06ED">
        <w:rPr>
          <w:rFonts w:eastAsia="Times New Roman"/>
          <w:bCs/>
          <w:sz w:val="18"/>
          <w:szCs w:val="18"/>
          <w:lang w:eastAsia="en-US"/>
        </w:rPr>
        <w:tab/>
        <w:t xml:space="preserve"> </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7C41D3C0" w14:textId="77777777" w:rsidTr="005C33EF">
        <w:trPr>
          <w:trHeight w:val="255"/>
        </w:trPr>
        <w:tc>
          <w:tcPr>
            <w:tcW w:w="6376" w:type="dxa"/>
            <w:tcBorders>
              <w:top w:val="nil"/>
              <w:left w:val="nil"/>
              <w:bottom w:val="nil"/>
              <w:right w:val="nil"/>
            </w:tcBorders>
            <w:shd w:val="clear" w:color="FFFFFF" w:fill="FFFFFF"/>
            <w:noWrap/>
            <w:vAlign w:val="bottom"/>
            <w:hideMark/>
          </w:tcPr>
          <w:p w14:paraId="2EDB9D47"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76" w:name="Note_RRVTABLE1" w:colFirst="0" w:colLast="0"/>
            <w:r w:rsidRPr="00FD06ED">
              <w:rPr>
                <w:rFonts w:eastAsia="Times New Roman"/>
                <w:b/>
                <w:bCs/>
                <w:sz w:val="18"/>
                <w:szCs w:val="18"/>
                <w:u w:val="single"/>
                <w:lang w:eastAsia="en-US"/>
              </w:rPr>
              <w:t>Note 1.2B: Rental Income</w:t>
            </w:r>
          </w:p>
        </w:tc>
        <w:tc>
          <w:tcPr>
            <w:tcW w:w="1236" w:type="dxa"/>
            <w:tcBorders>
              <w:top w:val="nil"/>
              <w:left w:val="nil"/>
              <w:bottom w:val="nil"/>
              <w:right w:val="nil"/>
            </w:tcBorders>
            <w:shd w:val="clear" w:color="FFFFFF" w:fill="FFFFFF"/>
            <w:vAlign w:val="bottom"/>
            <w:hideMark/>
          </w:tcPr>
          <w:p w14:paraId="3A2D776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7D4B40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4B00E44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bookmarkEnd w:id="176"/>
      <w:tr w:rsidR="00FD06ED" w:rsidRPr="00FD06ED" w14:paraId="20520D92" w14:textId="77777777" w:rsidTr="005C33EF">
        <w:trPr>
          <w:trHeight w:val="255"/>
        </w:trPr>
        <w:tc>
          <w:tcPr>
            <w:tcW w:w="6376" w:type="dxa"/>
            <w:tcBorders>
              <w:top w:val="nil"/>
              <w:left w:val="nil"/>
              <w:bottom w:val="nil"/>
              <w:right w:val="nil"/>
            </w:tcBorders>
            <w:shd w:val="clear" w:color="FFFFFF" w:fill="FFFFFF"/>
            <w:vAlign w:val="bottom"/>
            <w:hideMark/>
          </w:tcPr>
          <w:p w14:paraId="04655EC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Operating lease:</w:t>
            </w:r>
          </w:p>
        </w:tc>
        <w:tc>
          <w:tcPr>
            <w:tcW w:w="1236" w:type="dxa"/>
            <w:tcBorders>
              <w:top w:val="nil"/>
              <w:left w:val="nil"/>
              <w:bottom w:val="nil"/>
              <w:right w:val="nil"/>
            </w:tcBorders>
            <w:shd w:val="clear" w:color="FFFFFF" w:fill="FFFFFF"/>
            <w:noWrap/>
            <w:vAlign w:val="bottom"/>
            <w:hideMark/>
          </w:tcPr>
          <w:p w14:paraId="3FF256E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4EFCCED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39899D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7D453D8E" w14:textId="77777777" w:rsidTr="005C33EF">
        <w:trPr>
          <w:trHeight w:val="255"/>
        </w:trPr>
        <w:tc>
          <w:tcPr>
            <w:tcW w:w="6376" w:type="dxa"/>
            <w:tcBorders>
              <w:top w:val="nil"/>
              <w:left w:val="nil"/>
              <w:bottom w:val="nil"/>
              <w:right w:val="nil"/>
            </w:tcBorders>
            <w:shd w:val="clear" w:color="FFFFFF" w:fill="FFFFFF"/>
            <w:vAlign w:val="bottom"/>
            <w:hideMark/>
          </w:tcPr>
          <w:p w14:paraId="06DF4C52"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Subleasing right-of-use assets</w:t>
            </w:r>
          </w:p>
        </w:tc>
        <w:tc>
          <w:tcPr>
            <w:tcW w:w="1236" w:type="dxa"/>
            <w:tcBorders>
              <w:top w:val="nil"/>
              <w:left w:val="nil"/>
              <w:bottom w:val="nil"/>
              <w:right w:val="nil"/>
            </w:tcBorders>
            <w:shd w:val="clear" w:color="FFFFFF" w:fill="FFFFFF"/>
            <w:noWrap/>
            <w:vAlign w:val="bottom"/>
            <w:hideMark/>
          </w:tcPr>
          <w:p w14:paraId="3F7F94B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592</w:t>
            </w:r>
          </w:p>
        </w:tc>
        <w:tc>
          <w:tcPr>
            <w:tcW w:w="267" w:type="dxa"/>
            <w:tcBorders>
              <w:top w:val="nil"/>
              <w:left w:val="nil"/>
              <w:bottom w:val="nil"/>
              <w:right w:val="nil"/>
            </w:tcBorders>
            <w:shd w:val="clear" w:color="FFFFFF" w:fill="FFFFFF"/>
            <w:noWrap/>
            <w:vAlign w:val="bottom"/>
            <w:hideMark/>
          </w:tcPr>
          <w:p w14:paraId="1C783F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C1FDBE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2,833</w:t>
            </w:r>
          </w:p>
        </w:tc>
      </w:tr>
      <w:tr w:rsidR="00FD06ED" w:rsidRPr="00FD06ED" w14:paraId="43B566EE" w14:textId="77777777" w:rsidTr="005C33EF">
        <w:trPr>
          <w:trHeight w:val="270"/>
        </w:trPr>
        <w:tc>
          <w:tcPr>
            <w:tcW w:w="6376" w:type="dxa"/>
            <w:tcBorders>
              <w:top w:val="nil"/>
              <w:left w:val="nil"/>
              <w:bottom w:val="nil"/>
              <w:right w:val="nil"/>
            </w:tcBorders>
            <w:shd w:val="clear" w:color="FFFFFF" w:fill="FFFFFF"/>
            <w:vAlign w:val="bottom"/>
            <w:hideMark/>
          </w:tcPr>
          <w:p w14:paraId="645779B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rental income</w:t>
            </w:r>
          </w:p>
        </w:tc>
        <w:tc>
          <w:tcPr>
            <w:tcW w:w="1236" w:type="dxa"/>
            <w:tcBorders>
              <w:top w:val="single" w:sz="4" w:space="0" w:color="auto"/>
              <w:left w:val="nil"/>
              <w:bottom w:val="single" w:sz="4" w:space="0" w:color="auto"/>
              <w:right w:val="nil"/>
            </w:tcBorders>
            <w:shd w:val="clear" w:color="FFFFFF" w:fill="FFFFFF"/>
            <w:noWrap/>
            <w:vAlign w:val="bottom"/>
            <w:hideMark/>
          </w:tcPr>
          <w:p w14:paraId="0AE4D7D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592</w:t>
            </w:r>
          </w:p>
        </w:tc>
        <w:tc>
          <w:tcPr>
            <w:tcW w:w="267" w:type="dxa"/>
            <w:tcBorders>
              <w:top w:val="nil"/>
              <w:left w:val="nil"/>
              <w:bottom w:val="nil"/>
              <w:right w:val="nil"/>
            </w:tcBorders>
            <w:shd w:val="clear" w:color="FFFFFF" w:fill="FFFFFF"/>
            <w:noWrap/>
            <w:vAlign w:val="bottom"/>
            <w:hideMark/>
          </w:tcPr>
          <w:p w14:paraId="0838363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6F845B7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2,833</w:t>
            </w:r>
          </w:p>
        </w:tc>
      </w:tr>
    </w:tbl>
    <w:p w14:paraId="213A809E" w14:textId="77777777" w:rsidR="00FD06ED" w:rsidRPr="00FD06ED" w:rsidRDefault="00FD06ED" w:rsidP="00FD06ED">
      <w:pPr>
        <w:spacing w:before="0" w:after="0"/>
        <w:ind w:left="0"/>
        <w:rPr>
          <w:rFonts w:eastAsia="Times New Roman"/>
          <w:sz w:val="6"/>
          <w:szCs w:val="6"/>
          <w:vertAlign w:val="superscript"/>
          <w:lang w:eastAsia="en-US"/>
        </w:rPr>
      </w:pPr>
    </w:p>
    <w:p w14:paraId="5C65042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b/>
          <w:bCs/>
          <w:sz w:val="18"/>
          <w:szCs w:val="18"/>
          <w:lang w:eastAsia="en-US"/>
        </w:rPr>
        <w:t>Operating Leases</w:t>
      </w:r>
    </w:p>
    <w:p w14:paraId="2A5DA623" w14:textId="77777777" w:rsidR="00FD06ED" w:rsidRPr="00FD06ED" w:rsidRDefault="00FD06ED" w:rsidP="00FD06ED">
      <w:pPr>
        <w:spacing w:before="0" w:after="0"/>
        <w:ind w:left="0"/>
        <w:rPr>
          <w:rFonts w:eastAsia="Times New Roman"/>
          <w:sz w:val="6"/>
          <w:szCs w:val="6"/>
          <w:vertAlign w:val="superscript"/>
          <w:lang w:eastAsia="en-US"/>
        </w:rPr>
      </w:pPr>
      <w:r w:rsidRPr="00FD06ED">
        <w:rPr>
          <w:rFonts w:eastAsia="Times New Roman"/>
          <w:sz w:val="18"/>
          <w:szCs w:val="18"/>
          <w:lang w:eastAsia="en-US"/>
        </w:rPr>
        <w:t>Through a cooperative Social Services portfolio arrangement, the NDIA entered into agreements with DSS and the National Indigenous Australians Agency to occupy some of the NDIA’s properties. The NDIA retains the rights and risks in underlying assets associated with these leases. There are established risk management processes and a governance structure for escalation of issues. As the sublet arrangement is Commonwealth entity to Commonwealth entity, the risk was deemed to be low and could be facilitated through the existing relationship with these entities.</w:t>
      </w:r>
    </w:p>
    <w:p w14:paraId="65BB4F40" w14:textId="77777777" w:rsidR="00FD06ED" w:rsidRPr="00FD06ED" w:rsidRDefault="00FD06ED" w:rsidP="00FD06ED">
      <w:pPr>
        <w:spacing w:before="0" w:after="0"/>
        <w:ind w:left="0"/>
        <w:rPr>
          <w:rFonts w:eastAsia="Times New Roman"/>
          <w:sz w:val="6"/>
          <w:szCs w:val="6"/>
          <w:vertAlign w:val="superscript"/>
          <w:lang w:eastAsia="en-US"/>
        </w:rPr>
      </w:pPr>
    </w:p>
    <w:p w14:paraId="5DDC2F7A" w14:textId="77777777" w:rsidR="00FD06ED" w:rsidRPr="00FD06ED" w:rsidRDefault="00FD06ED" w:rsidP="00FD06ED">
      <w:pPr>
        <w:spacing w:before="0" w:after="0"/>
        <w:ind w:left="0"/>
        <w:rPr>
          <w:rFonts w:eastAsia="Times New Roman"/>
          <w:sz w:val="6"/>
          <w:szCs w:val="6"/>
          <w:vertAlign w:val="superscript"/>
          <w:lang w:eastAsia="en-US"/>
        </w:rPr>
      </w:pPr>
    </w:p>
    <w:tbl>
      <w:tblPr>
        <w:tblW w:w="9087" w:type="dxa"/>
        <w:tblLayout w:type="fixed"/>
        <w:tblLook w:val="04A0" w:firstRow="1" w:lastRow="0" w:firstColumn="1" w:lastColumn="0" w:noHBand="0" w:noVBand="1"/>
      </w:tblPr>
      <w:tblGrid>
        <w:gridCol w:w="6351"/>
        <w:gridCol w:w="1232"/>
        <w:gridCol w:w="272"/>
        <w:gridCol w:w="1232"/>
      </w:tblGrid>
      <w:tr w:rsidR="00FD06ED" w:rsidRPr="00FD06ED" w14:paraId="4803FC27" w14:textId="77777777" w:rsidTr="005C33EF">
        <w:trPr>
          <w:trHeight w:val="255"/>
        </w:trPr>
        <w:tc>
          <w:tcPr>
            <w:tcW w:w="6376" w:type="dxa"/>
            <w:tcBorders>
              <w:top w:val="nil"/>
              <w:left w:val="nil"/>
              <w:bottom w:val="nil"/>
              <w:right w:val="nil"/>
            </w:tcBorders>
            <w:shd w:val="clear" w:color="FFFFFF" w:fill="FFFFFF"/>
            <w:vAlign w:val="bottom"/>
            <w:hideMark/>
          </w:tcPr>
          <w:p w14:paraId="6316445E" w14:textId="77777777" w:rsidR="00FD06ED" w:rsidRPr="00FD06ED" w:rsidRDefault="00FD06ED" w:rsidP="00FD06ED">
            <w:pPr>
              <w:spacing w:before="0" w:after="0" w:line="260" w:lineRule="atLeast"/>
              <w:ind w:left="0"/>
              <w:rPr>
                <w:rFonts w:eastAsia="Times New Roman"/>
                <w:b/>
                <w:bCs/>
                <w:sz w:val="18"/>
                <w:szCs w:val="18"/>
                <w:lang w:eastAsia="en-US"/>
              </w:rPr>
            </w:pPr>
            <w:bookmarkStart w:id="177" w:name="Note_RRVTABLE2" w:colFirst="0" w:colLast="0"/>
            <w:r w:rsidRPr="00FD06ED">
              <w:rPr>
                <w:rFonts w:eastAsia="Times New Roman"/>
                <w:b/>
                <w:bCs/>
                <w:sz w:val="18"/>
                <w:szCs w:val="18"/>
                <w:lang w:eastAsia="en-US"/>
              </w:rPr>
              <w:t>Maturity analysis of operating lease receivables</w:t>
            </w:r>
          </w:p>
        </w:tc>
        <w:tc>
          <w:tcPr>
            <w:tcW w:w="1236" w:type="dxa"/>
            <w:tcBorders>
              <w:top w:val="nil"/>
              <w:left w:val="nil"/>
              <w:bottom w:val="nil"/>
              <w:right w:val="nil"/>
            </w:tcBorders>
            <w:shd w:val="clear" w:color="FFFFFF" w:fill="FFFFFF"/>
            <w:noWrap/>
            <w:vAlign w:val="bottom"/>
            <w:hideMark/>
          </w:tcPr>
          <w:p w14:paraId="6849BD5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72" w:type="dxa"/>
            <w:tcBorders>
              <w:top w:val="nil"/>
              <w:left w:val="nil"/>
              <w:bottom w:val="nil"/>
              <w:right w:val="nil"/>
            </w:tcBorders>
            <w:shd w:val="clear" w:color="FFFFFF" w:fill="FFFFFF"/>
            <w:noWrap/>
            <w:vAlign w:val="bottom"/>
            <w:hideMark/>
          </w:tcPr>
          <w:p w14:paraId="6FF086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972E68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77"/>
      <w:tr w:rsidR="00FD06ED" w:rsidRPr="00FD06ED" w14:paraId="465BE07B" w14:textId="77777777" w:rsidTr="005C33EF">
        <w:trPr>
          <w:trHeight w:val="255"/>
        </w:trPr>
        <w:tc>
          <w:tcPr>
            <w:tcW w:w="6376" w:type="dxa"/>
            <w:tcBorders>
              <w:top w:val="nil"/>
              <w:left w:val="nil"/>
              <w:bottom w:val="nil"/>
              <w:right w:val="nil"/>
            </w:tcBorders>
            <w:shd w:val="clear" w:color="FFFFFF" w:fill="FFFFFF"/>
            <w:vAlign w:val="bottom"/>
            <w:hideMark/>
          </w:tcPr>
          <w:p w14:paraId="5BED35E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Within one year</w:t>
            </w:r>
          </w:p>
        </w:tc>
        <w:tc>
          <w:tcPr>
            <w:tcW w:w="1236" w:type="dxa"/>
            <w:tcBorders>
              <w:top w:val="nil"/>
              <w:left w:val="nil"/>
              <w:bottom w:val="nil"/>
              <w:right w:val="nil"/>
            </w:tcBorders>
            <w:shd w:val="clear" w:color="FFFFFF" w:fill="FFFFFF"/>
            <w:noWrap/>
            <w:vAlign w:val="bottom"/>
            <w:hideMark/>
          </w:tcPr>
          <w:p w14:paraId="363A325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639</w:t>
            </w:r>
          </w:p>
        </w:tc>
        <w:tc>
          <w:tcPr>
            <w:tcW w:w="272" w:type="dxa"/>
            <w:tcBorders>
              <w:top w:val="nil"/>
              <w:left w:val="nil"/>
              <w:bottom w:val="nil"/>
              <w:right w:val="nil"/>
            </w:tcBorders>
            <w:shd w:val="clear" w:color="FFFFFF" w:fill="FFFFFF"/>
            <w:noWrap/>
            <w:vAlign w:val="bottom"/>
            <w:hideMark/>
          </w:tcPr>
          <w:p w14:paraId="71AB0A40"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49B52BB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592</w:t>
            </w:r>
          </w:p>
        </w:tc>
      </w:tr>
      <w:tr w:rsidR="00FD06ED" w:rsidRPr="00FD06ED" w14:paraId="6AA2884E" w14:textId="77777777" w:rsidTr="005C33EF">
        <w:trPr>
          <w:trHeight w:val="255"/>
        </w:trPr>
        <w:tc>
          <w:tcPr>
            <w:tcW w:w="6376" w:type="dxa"/>
            <w:tcBorders>
              <w:top w:val="nil"/>
              <w:left w:val="nil"/>
              <w:bottom w:val="nil"/>
              <w:right w:val="nil"/>
            </w:tcBorders>
            <w:shd w:val="clear" w:color="FFFFFF" w:fill="FFFFFF"/>
            <w:vAlign w:val="bottom"/>
            <w:hideMark/>
          </w:tcPr>
          <w:p w14:paraId="4DBF9AF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One to two years</w:t>
            </w:r>
          </w:p>
        </w:tc>
        <w:tc>
          <w:tcPr>
            <w:tcW w:w="1236" w:type="dxa"/>
            <w:tcBorders>
              <w:top w:val="nil"/>
              <w:left w:val="nil"/>
              <w:bottom w:val="nil"/>
              <w:right w:val="nil"/>
            </w:tcBorders>
            <w:shd w:val="clear" w:color="FFFFFF" w:fill="FFFFFF"/>
            <w:noWrap/>
            <w:vAlign w:val="bottom"/>
            <w:hideMark/>
          </w:tcPr>
          <w:p w14:paraId="4AA8A5C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469</w:t>
            </w:r>
          </w:p>
        </w:tc>
        <w:tc>
          <w:tcPr>
            <w:tcW w:w="272" w:type="dxa"/>
            <w:tcBorders>
              <w:top w:val="nil"/>
              <w:left w:val="nil"/>
              <w:bottom w:val="nil"/>
              <w:right w:val="nil"/>
            </w:tcBorders>
            <w:shd w:val="clear" w:color="FFFFFF" w:fill="FFFFFF"/>
            <w:noWrap/>
            <w:vAlign w:val="bottom"/>
            <w:hideMark/>
          </w:tcPr>
          <w:p w14:paraId="42EBEDE0"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7011818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639</w:t>
            </w:r>
          </w:p>
        </w:tc>
      </w:tr>
      <w:tr w:rsidR="00FD06ED" w:rsidRPr="00FD06ED" w14:paraId="786C1E93" w14:textId="77777777" w:rsidTr="005C33EF">
        <w:trPr>
          <w:trHeight w:val="255"/>
        </w:trPr>
        <w:tc>
          <w:tcPr>
            <w:tcW w:w="6376" w:type="dxa"/>
            <w:tcBorders>
              <w:top w:val="nil"/>
              <w:left w:val="nil"/>
              <w:bottom w:val="nil"/>
              <w:right w:val="nil"/>
            </w:tcBorders>
            <w:shd w:val="clear" w:color="FFFFFF" w:fill="FFFFFF"/>
            <w:vAlign w:val="bottom"/>
            <w:hideMark/>
          </w:tcPr>
          <w:p w14:paraId="78541324"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Two to three years</w:t>
            </w:r>
          </w:p>
        </w:tc>
        <w:tc>
          <w:tcPr>
            <w:tcW w:w="1236" w:type="dxa"/>
            <w:tcBorders>
              <w:top w:val="nil"/>
              <w:left w:val="nil"/>
              <w:bottom w:val="nil"/>
              <w:right w:val="nil"/>
            </w:tcBorders>
            <w:shd w:val="clear" w:color="FFFFFF" w:fill="FFFFFF"/>
            <w:noWrap/>
            <w:vAlign w:val="bottom"/>
            <w:hideMark/>
          </w:tcPr>
          <w:p w14:paraId="4C6F411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205</w:t>
            </w:r>
          </w:p>
        </w:tc>
        <w:tc>
          <w:tcPr>
            <w:tcW w:w="272" w:type="dxa"/>
            <w:tcBorders>
              <w:top w:val="nil"/>
              <w:left w:val="nil"/>
              <w:bottom w:val="nil"/>
              <w:right w:val="nil"/>
            </w:tcBorders>
            <w:shd w:val="clear" w:color="FFFFFF" w:fill="FFFFFF"/>
            <w:noWrap/>
            <w:vAlign w:val="bottom"/>
            <w:hideMark/>
          </w:tcPr>
          <w:p w14:paraId="6321EB3F"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274AB77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469</w:t>
            </w:r>
          </w:p>
        </w:tc>
      </w:tr>
      <w:tr w:rsidR="00FD06ED" w:rsidRPr="00FD06ED" w14:paraId="0D7C17C1" w14:textId="77777777" w:rsidTr="005C33EF">
        <w:trPr>
          <w:trHeight w:val="255"/>
        </w:trPr>
        <w:tc>
          <w:tcPr>
            <w:tcW w:w="6376" w:type="dxa"/>
            <w:tcBorders>
              <w:top w:val="nil"/>
              <w:left w:val="nil"/>
              <w:bottom w:val="nil"/>
              <w:right w:val="nil"/>
            </w:tcBorders>
            <w:shd w:val="clear" w:color="FFFFFF" w:fill="FFFFFF"/>
            <w:vAlign w:val="bottom"/>
            <w:hideMark/>
          </w:tcPr>
          <w:p w14:paraId="66DDD3E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Three to four years</w:t>
            </w:r>
          </w:p>
        </w:tc>
        <w:tc>
          <w:tcPr>
            <w:tcW w:w="1236" w:type="dxa"/>
            <w:tcBorders>
              <w:top w:val="nil"/>
              <w:left w:val="nil"/>
              <w:bottom w:val="nil"/>
              <w:right w:val="nil"/>
            </w:tcBorders>
            <w:shd w:val="clear" w:color="FFFFFF" w:fill="FFFFFF"/>
            <w:noWrap/>
            <w:vAlign w:val="bottom"/>
            <w:hideMark/>
          </w:tcPr>
          <w:p w14:paraId="6717315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167</w:t>
            </w:r>
          </w:p>
        </w:tc>
        <w:tc>
          <w:tcPr>
            <w:tcW w:w="272" w:type="dxa"/>
            <w:tcBorders>
              <w:top w:val="nil"/>
              <w:left w:val="nil"/>
              <w:bottom w:val="nil"/>
              <w:right w:val="nil"/>
            </w:tcBorders>
            <w:shd w:val="clear" w:color="FFFFFF" w:fill="FFFFFF"/>
            <w:noWrap/>
            <w:vAlign w:val="bottom"/>
            <w:hideMark/>
          </w:tcPr>
          <w:p w14:paraId="7FCCAA12"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69A5821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205</w:t>
            </w:r>
          </w:p>
        </w:tc>
      </w:tr>
      <w:tr w:rsidR="00FD06ED" w:rsidRPr="00FD06ED" w14:paraId="45A61717" w14:textId="77777777" w:rsidTr="005C33EF">
        <w:trPr>
          <w:trHeight w:val="255"/>
        </w:trPr>
        <w:tc>
          <w:tcPr>
            <w:tcW w:w="6376" w:type="dxa"/>
            <w:tcBorders>
              <w:top w:val="nil"/>
              <w:left w:val="nil"/>
              <w:bottom w:val="nil"/>
              <w:right w:val="nil"/>
            </w:tcBorders>
            <w:shd w:val="clear" w:color="FFFFFF" w:fill="FFFFFF"/>
            <w:vAlign w:val="bottom"/>
            <w:hideMark/>
          </w:tcPr>
          <w:p w14:paraId="6CA7FC7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Four to five years</w:t>
            </w:r>
          </w:p>
        </w:tc>
        <w:tc>
          <w:tcPr>
            <w:tcW w:w="1236" w:type="dxa"/>
            <w:tcBorders>
              <w:top w:val="nil"/>
              <w:left w:val="nil"/>
              <w:bottom w:val="nil"/>
              <w:right w:val="nil"/>
            </w:tcBorders>
            <w:shd w:val="clear" w:color="FFFFFF" w:fill="FFFFFF"/>
            <w:noWrap/>
            <w:vAlign w:val="bottom"/>
            <w:hideMark/>
          </w:tcPr>
          <w:p w14:paraId="038D214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70</w:t>
            </w:r>
          </w:p>
        </w:tc>
        <w:tc>
          <w:tcPr>
            <w:tcW w:w="272" w:type="dxa"/>
            <w:tcBorders>
              <w:top w:val="nil"/>
              <w:left w:val="nil"/>
              <w:bottom w:val="nil"/>
              <w:right w:val="nil"/>
            </w:tcBorders>
            <w:shd w:val="clear" w:color="FFFFFF" w:fill="FFFFFF"/>
            <w:noWrap/>
            <w:vAlign w:val="bottom"/>
            <w:hideMark/>
          </w:tcPr>
          <w:p w14:paraId="58431FC6"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2226CD7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167</w:t>
            </w:r>
          </w:p>
        </w:tc>
      </w:tr>
      <w:tr w:rsidR="00FD06ED" w:rsidRPr="00FD06ED" w14:paraId="1930FD38" w14:textId="77777777" w:rsidTr="005C33EF">
        <w:trPr>
          <w:trHeight w:val="267"/>
        </w:trPr>
        <w:tc>
          <w:tcPr>
            <w:tcW w:w="6376" w:type="dxa"/>
            <w:tcBorders>
              <w:top w:val="nil"/>
              <w:left w:val="nil"/>
              <w:bottom w:val="nil"/>
              <w:right w:val="nil"/>
            </w:tcBorders>
            <w:shd w:val="clear" w:color="FFFFFF" w:fill="FFFFFF"/>
            <w:vAlign w:val="bottom"/>
            <w:hideMark/>
          </w:tcPr>
          <w:p w14:paraId="0FD0AFA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More than 5 years</w:t>
            </w:r>
          </w:p>
        </w:tc>
        <w:tc>
          <w:tcPr>
            <w:tcW w:w="1236" w:type="dxa"/>
            <w:tcBorders>
              <w:top w:val="nil"/>
              <w:left w:val="nil"/>
              <w:bottom w:val="nil"/>
              <w:right w:val="nil"/>
            </w:tcBorders>
            <w:shd w:val="clear" w:color="FFFFFF" w:fill="FFFFFF"/>
            <w:noWrap/>
            <w:vAlign w:val="bottom"/>
            <w:hideMark/>
          </w:tcPr>
          <w:p w14:paraId="53EFCC3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c>
          <w:tcPr>
            <w:tcW w:w="272" w:type="dxa"/>
            <w:tcBorders>
              <w:top w:val="nil"/>
              <w:left w:val="nil"/>
              <w:bottom w:val="nil"/>
              <w:right w:val="nil"/>
            </w:tcBorders>
            <w:shd w:val="clear" w:color="FFFFFF" w:fill="FFFFFF"/>
            <w:noWrap/>
            <w:vAlign w:val="bottom"/>
            <w:hideMark/>
          </w:tcPr>
          <w:p w14:paraId="317A7AC7"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nil"/>
              <w:left w:val="nil"/>
              <w:bottom w:val="nil"/>
              <w:right w:val="nil"/>
            </w:tcBorders>
            <w:shd w:val="clear" w:color="FFFFFF" w:fill="FFFFFF"/>
            <w:noWrap/>
            <w:vAlign w:val="bottom"/>
            <w:hideMark/>
          </w:tcPr>
          <w:p w14:paraId="42C4F67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70</w:t>
            </w:r>
          </w:p>
        </w:tc>
      </w:tr>
      <w:tr w:rsidR="00FD06ED" w:rsidRPr="00FD06ED" w14:paraId="54F0E9CF" w14:textId="77777777" w:rsidTr="005C33EF">
        <w:trPr>
          <w:trHeight w:val="255"/>
        </w:trPr>
        <w:tc>
          <w:tcPr>
            <w:tcW w:w="6376" w:type="dxa"/>
            <w:tcBorders>
              <w:top w:val="nil"/>
              <w:left w:val="nil"/>
              <w:bottom w:val="nil"/>
              <w:right w:val="nil"/>
            </w:tcBorders>
            <w:shd w:val="clear" w:color="FFFFFF" w:fill="FFFFFF"/>
            <w:vAlign w:val="bottom"/>
            <w:hideMark/>
          </w:tcPr>
          <w:p w14:paraId="076EFEB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undiscounted lease payments receivable</w:t>
            </w:r>
          </w:p>
        </w:tc>
        <w:tc>
          <w:tcPr>
            <w:tcW w:w="1236" w:type="dxa"/>
            <w:tcBorders>
              <w:top w:val="single" w:sz="4" w:space="0" w:color="auto"/>
              <w:left w:val="nil"/>
              <w:bottom w:val="single" w:sz="4" w:space="0" w:color="auto"/>
              <w:right w:val="nil"/>
            </w:tcBorders>
            <w:shd w:val="clear" w:color="FFFFFF" w:fill="FFFFFF"/>
            <w:noWrap/>
            <w:vAlign w:val="bottom"/>
            <w:hideMark/>
          </w:tcPr>
          <w:p w14:paraId="482ECD9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1,550</w:t>
            </w:r>
          </w:p>
        </w:tc>
        <w:tc>
          <w:tcPr>
            <w:tcW w:w="272" w:type="dxa"/>
            <w:tcBorders>
              <w:top w:val="nil"/>
              <w:left w:val="nil"/>
              <w:bottom w:val="nil"/>
              <w:right w:val="nil"/>
            </w:tcBorders>
            <w:shd w:val="clear" w:color="FFFFFF" w:fill="FFFFFF"/>
            <w:noWrap/>
            <w:vAlign w:val="bottom"/>
            <w:hideMark/>
          </w:tcPr>
          <w:p w14:paraId="4691A6D1" w14:textId="77777777" w:rsidR="00FD06ED" w:rsidRPr="00FD06ED" w:rsidRDefault="00FD06ED" w:rsidP="00FD06ED">
            <w:pPr>
              <w:spacing w:before="0" w:after="0" w:line="260" w:lineRule="atLeast"/>
              <w:ind w:left="0"/>
              <w:rPr>
                <w:rFonts w:eastAsia="Times New Roman"/>
                <w:sz w:val="20"/>
                <w:szCs w:val="20"/>
                <w:lang w:eastAsia="en-US"/>
              </w:rPr>
            </w:pPr>
            <w:r w:rsidRPr="00FD06ED">
              <w:rPr>
                <w:rFonts w:eastAsia="Times New Roman"/>
                <w:sz w:val="20"/>
                <w:szCs w:val="20"/>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5CB98A0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2,142</w:t>
            </w:r>
          </w:p>
        </w:tc>
      </w:tr>
    </w:tbl>
    <w:p w14:paraId="39469E0A" w14:textId="77777777" w:rsidR="00FD06ED" w:rsidRPr="00FD06ED" w:rsidRDefault="00FD06ED" w:rsidP="00FD06ED">
      <w:pPr>
        <w:spacing w:before="60" w:after="0" w:line="260" w:lineRule="atLeast"/>
        <w:ind w:left="0"/>
        <w:rPr>
          <w:rFonts w:eastAsia="Times New Roman"/>
          <w:sz w:val="18"/>
          <w:szCs w:val="18"/>
          <w:lang w:eastAsia="en-US"/>
        </w:rPr>
      </w:pPr>
      <w:r w:rsidRPr="00FD06ED">
        <w:rPr>
          <w:rFonts w:eastAsia="Times New Roman"/>
          <w:sz w:val="18"/>
          <w:szCs w:val="18"/>
          <w:lang w:eastAsia="en-US"/>
        </w:rPr>
        <w:t>The above lease disclosures should be read in conjunction with the accompanying notes 1.1B, 1.1D, 2.2A &amp; 2.5.</w:t>
      </w:r>
    </w:p>
    <w:p w14:paraId="6529B86D"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br w:type="page"/>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755082D1" w14:textId="77777777" w:rsidTr="005C33EF">
        <w:trPr>
          <w:trHeight w:val="255"/>
        </w:trPr>
        <w:tc>
          <w:tcPr>
            <w:tcW w:w="6354" w:type="dxa"/>
            <w:tcBorders>
              <w:top w:val="nil"/>
              <w:left w:val="nil"/>
              <w:bottom w:val="nil"/>
              <w:right w:val="nil"/>
            </w:tcBorders>
            <w:shd w:val="clear" w:color="FFFFFF" w:fill="FFFFFF"/>
            <w:noWrap/>
            <w:vAlign w:val="bottom"/>
            <w:hideMark/>
          </w:tcPr>
          <w:p w14:paraId="0C9522CA" w14:textId="77777777" w:rsidR="00FD06ED" w:rsidRPr="00FD06ED" w:rsidRDefault="00FD06ED" w:rsidP="00FD06ED">
            <w:pPr>
              <w:spacing w:before="0" w:after="0" w:line="260" w:lineRule="atLeast"/>
              <w:ind w:left="0"/>
              <w:rPr>
                <w:rFonts w:eastAsia="Times New Roman"/>
                <w:sz w:val="16"/>
                <w:szCs w:val="16"/>
                <w:lang w:eastAsia="en-US"/>
              </w:rPr>
            </w:pPr>
            <w:bookmarkStart w:id="178" w:name="Note_ORVTABLE1" w:colFirst="0" w:colLast="0"/>
            <w:r w:rsidRPr="00FD06ED">
              <w:rPr>
                <w:rFonts w:eastAsia="Times New Roman"/>
                <w:sz w:val="16"/>
                <w:szCs w:val="16"/>
                <w:lang w:eastAsia="en-US"/>
              </w:rPr>
              <w:lastRenderedPageBreak/>
              <w:t> </w:t>
            </w:r>
          </w:p>
        </w:tc>
        <w:tc>
          <w:tcPr>
            <w:tcW w:w="1233" w:type="dxa"/>
            <w:tcBorders>
              <w:top w:val="nil"/>
              <w:left w:val="nil"/>
              <w:bottom w:val="nil"/>
              <w:right w:val="nil"/>
            </w:tcBorders>
            <w:shd w:val="clear" w:color="FFFFFF" w:fill="FFFFFF"/>
            <w:vAlign w:val="bottom"/>
            <w:hideMark/>
          </w:tcPr>
          <w:p w14:paraId="5064562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344A0DE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vAlign w:val="bottom"/>
            <w:hideMark/>
          </w:tcPr>
          <w:p w14:paraId="18043AC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78"/>
      <w:tr w:rsidR="00FD06ED" w:rsidRPr="00FD06ED" w14:paraId="48CC5017" w14:textId="77777777" w:rsidTr="005C33EF">
        <w:trPr>
          <w:trHeight w:val="255"/>
        </w:trPr>
        <w:tc>
          <w:tcPr>
            <w:tcW w:w="6354" w:type="dxa"/>
            <w:tcBorders>
              <w:top w:val="nil"/>
              <w:left w:val="nil"/>
              <w:bottom w:val="nil"/>
              <w:right w:val="nil"/>
            </w:tcBorders>
            <w:shd w:val="clear" w:color="FFFFFF" w:fill="FFFFFF"/>
            <w:noWrap/>
            <w:vAlign w:val="bottom"/>
            <w:hideMark/>
          </w:tcPr>
          <w:p w14:paraId="2CB77C8B"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1233" w:type="dxa"/>
            <w:tcBorders>
              <w:top w:val="nil"/>
              <w:left w:val="nil"/>
              <w:bottom w:val="nil"/>
              <w:right w:val="nil"/>
            </w:tcBorders>
            <w:shd w:val="clear" w:color="FFFFFF" w:fill="FFFFFF"/>
            <w:vAlign w:val="bottom"/>
            <w:hideMark/>
          </w:tcPr>
          <w:p w14:paraId="1631BAA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0CD1C66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vAlign w:val="bottom"/>
            <w:hideMark/>
          </w:tcPr>
          <w:p w14:paraId="66B4FFF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6BE31BB3" w14:textId="77777777" w:rsidTr="005C33EF">
        <w:trPr>
          <w:trHeight w:val="255"/>
        </w:trPr>
        <w:tc>
          <w:tcPr>
            <w:tcW w:w="6354" w:type="dxa"/>
            <w:tcBorders>
              <w:top w:val="nil"/>
              <w:left w:val="nil"/>
              <w:bottom w:val="nil"/>
              <w:right w:val="nil"/>
            </w:tcBorders>
            <w:shd w:val="clear" w:color="FFFFFF" w:fill="FFFFFF"/>
            <w:noWrap/>
            <w:vAlign w:val="bottom"/>
            <w:hideMark/>
          </w:tcPr>
          <w:p w14:paraId="61296662"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1.2C: Other revenue</w:t>
            </w:r>
          </w:p>
        </w:tc>
        <w:tc>
          <w:tcPr>
            <w:tcW w:w="1233" w:type="dxa"/>
            <w:tcBorders>
              <w:top w:val="nil"/>
              <w:left w:val="nil"/>
              <w:bottom w:val="nil"/>
              <w:right w:val="nil"/>
            </w:tcBorders>
            <w:shd w:val="clear" w:color="FFFFFF" w:fill="FFFFFF"/>
            <w:noWrap/>
            <w:vAlign w:val="bottom"/>
            <w:hideMark/>
          </w:tcPr>
          <w:p w14:paraId="0C49AA4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01151B4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noWrap/>
            <w:vAlign w:val="bottom"/>
            <w:hideMark/>
          </w:tcPr>
          <w:p w14:paraId="21C3B42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37026D49" w14:textId="77777777" w:rsidTr="005C33EF">
        <w:trPr>
          <w:trHeight w:val="255"/>
        </w:trPr>
        <w:tc>
          <w:tcPr>
            <w:tcW w:w="6354" w:type="dxa"/>
            <w:tcBorders>
              <w:top w:val="nil"/>
              <w:left w:val="nil"/>
              <w:bottom w:val="nil"/>
              <w:right w:val="nil"/>
            </w:tcBorders>
            <w:shd w:val="clear" w:color="FFFFFF" w:fill="FFFFFF"/>
            <w:vAlign w:val="bottom"/>
            <w:hideMark/>
          </w:tcPr>
          <w:p w14:paraId="02AA9E1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Compensation receipts</w:t>
            </w:r>
          </w:p>
        </w:tc>
        <w:tc>
          <w:tcPr>
            <w:tcW w:w="1233" w:type="dxa"/>
            <w:tcBorders>
              <w:top w:val="nil"/>
              <w:left w:val="nil"/>
              <w:bottom w:val="nil"/>
              <w:right w:val="nil"/>
            </w:tcBorders>
            <w:shd w:val="clear" w:color="FFFFFF" w:fill="FFFFFF"/>
            <w:noWrap/>
            <w:vAlign w:val="bottom"/>
            <w:hideMark/>
          </w:tcPr>
          <w:p w14:paraId="667EFA5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23,165</w:t>
            </w:r>
          </w:p>
        </w:tc>
        <w:tc>
          <w:tcPr>
            <w:tcW w:w="267" w:type="dxa"/>
            <w:tcBorders>
              <w:top w:val="nil"/>
              <w:left w:val="nil"/>
              <w:bottom w:val="nil"/>
              <w:right w:val="nil"/>
            </w:tcBorders>
            <w:shd w:val="clear" w:color="FFFFFF" w:fill="FFFFFF"/>
            <w:noWrap/>
            <w:vAlign w:val="bottom"/>
            <w:hideMark/>
          </w:tcPr>
          <w:p w14:paraId="3055F73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noWrap/>
            <w:vAlign w:val="bottom"/>
            <w:hideMark/>
          </w:tcPr>
          <w:p w14:paraId="6CF9677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20,637</w:t>
            </w:r>
          </w:p>
        </w:tc>
      </w:tr>
      <w:tr w:rsidR="00FD06ED" w:rsidRPr="00FD06ED" w14:paraId="3A1678C9" w14:textId="77777777" w:rsidTr="005C33EF">
        <w:trPr>
          <w:trHeight w:val="255"/>
        </w:trPr>
        <w:tc>
          <w:tcPr>
            <w:tcW w:w="6354" w:type="dxa"/>
            <w:tcBorders>
              <w:top w:val="nil"/>
              <w:left w:val="nil"/>
              <w:bottom w:val="nil"/>
              <w:right w:val="nil"/>
            </w:tcBorders>
            <w:shd w:val="clear" w:color="FFFFFF" w:fill="FFFFFF"/>
            <w:vAlign w:val="bottom"/>
            <w:hideMark/>
          </w:tcPr>
          <w:p w14:paraId="7327608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Cost recoveries</w:t>
            </w:r>
          </w:p>
        </w:tc>
        <w:tc>
          <w:tcPr>
            <w:tcW w:w="1233" w:type="dxa"/>
            <w:tcBorders>
              <w:top w:val="nil"/>
              <w:left w:val="nil"/>
              <w:bottom w:val="nil"/>
              <w:right w:val="nil"/>
            </w:tcBorders>
            <w:shd w:val="clear" w:color="FFFFFF" w:fill="FFFFFF"/>
            <w:noWrap/>
            <w:vAlign w:val="bottom"/>
            <w:hideMark/>
          </w:tcPr>
          <w:p w14:paraId="48AE570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w:t>
            </w:r>
          </w:p>
        </w:tc>
        <w:tc>
          <w:tcPr>
            <w:tcW w:w="267" w:type="dxa"/>
            <w:tcBorders>
              <w:top w:val="nil"/>
              <w:left w:val="nil"/>
              <w:bottom w:val="nil"/>
              <w:right w:val="nil"/>
            </w:tcBorders>
            <w:shd w:val="clear" w:color="FFFFFF" w:fill="FFFFFF"/>
            <w:noWrap/>
            <w:vAlign w:val="bottom"/>
            <w:hideMark/>
          </w:tcPr>
          <w:p w14:paraId="634CC44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noWrap/>
            <w:vAlign w:val="bottom"/>
            <w:hideMark/>
          </w:tcPr>
          <w:p w14:paraId="131224B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32</w:t>
            </w:r>
          </w:p>
        </w:tc>
      </w:tr>
      <w:tr w:rsidR="00FD06ED" w:rsidRPr="00FD06ED" w14:paraId="3EAC1E88" w14:textId="77777777" w:rsidTr="005C33EF">
        <w:trPr>
          <w:trHeight w:val="255"/>
        </w:trPr>
        <w:tc>
          <w:tcPr>
            <w:tcW w:w="6354" w:type="dxa"/>
            <w:tcBorders>
              <w:top w:val="nil"/>
              <w:left w:val="nil"/>
              <w:bottom w:val="nil"/>
              <w:right w:val="nil"/>
            </w:tcBorders>
            <w:shd w:val="clear" w:color="FFFFFF" w:fill="FFFFFF"/>
            <w:vAlign w:val="bottom"/>
            <w:hideMark/>
          </w:tcPr>
          <w:p w14:paraId="0B2492B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Return of prior year grant funds</w:t>
            </w:r>
          </w:p>
        </w:tc>
        <w:tc>
          <w:tcPr>
            <w:tcW w:w="1233" w:type="dxa"/>
            <w:tcBorders>
              <w:top w:val="nil"/>
              <w:left w:val="nil"/>
              <w:bottom w:val="nil"/>
              <w:right w:val="nil"/>
            </w:tcBorders>
            <w:shd w:val="clear" w:color="FFFFFF" w:fill="FFFFFF"/>
            <w:noWrap/>
            <w:vAlign w:val="bottom"/>
            <w:hideMark/>
          </w:tcPr>
          <w:p w14:paraId="151DF65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39810CE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noWrap/>
            <w:vAlign w:val="bottom"/>
            <w:hideMark/>
          </w:tcPr>
          <w:p w14:paraId="26D7C4F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3,824</w:t>
            </w:r>
          </w:p>
        </w:tc>
      </w:tr>
      <w:tr w:rsidR="00FD06ED" w:rsidRPr="00FD06ED" w14:paraId="0C737BC5" w14:textId="77777777" w:rsidTr="005C33EF">
        <w:trPr>
          <w:trHeight w:val="255"/>
        </w:trPr>
        <w:tc>
          <w:tcPr>
            <w:tcW w:w="6354" w:type="dxa"/>
            <w:tcBorders>
              <w:top w:val="nil"/>
              <w:left w:val="nil"/>
              <w:bottom w:val="nil"/>
              <w:right w:val="nil"/>
            </w:tcBorders>
            <w:shd w:val="clear" w:color="FFFFFF" w:fill="FFFFFF"/>
            <w:vAlign w:val="bottom"/>
            <w:hideMark/>
          </w:tcPr>
          <w:p w14:paraId="6C1C295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Other miscellaneous revenue </w:t>
            </w:r>
          </w:p>
        </w:tc>
        <w:tc>
          <w:tcPr>
            <w:tcW w:w="1233" w:type="dxa"/>
            <w:tcBorders>
              <w:top w:val="nil"/>
              <w:left w:val="nil"/>
              <w:bottom w:val="nil"/>
              <w:right w:val="nil"/>
            </w:tcBorders>
            <w:shd w:val="clear" w:color="FFFFFF" w:fill="FFFFFF"/>
            <w:noWrap/>
            <w:vAlign w:val="bottom"/>
            <w:hideMark/>
          </w:tcPr>
          <w:p w14:paraId="0F6AB19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149</w:t>
            </w:r>
          </w:p>
        </w:tc>
        <w:tc>
          <w:tcPr>
            <w:tcW w:w="267" w:type="dxa"/>
            <w:tcBorders>
              <w:top w:val="nil"/>
              <w:left w:val="nil"/>
              <w:bottom w:val="nil"/>
              <w:right w:val="nil"/>
            </w:tcBorders>
            <w:shd w:val="clear" w:color="FFFFFF" w:fill="FFFFFF"/>
            <w:noWrap/>
            <w:vAlign w:val="bottom"/>
            <w:hideMark/>
          </w:tcPr>
          <w:p w14:paraId="0B2BD6A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nil"/>
              <w:left w:val="nil"/>
              <w:bottom w:val="nil"/>
              <w:right w:val="nil"/>
            </w:tcBorders>
            <w:shd w:val="clear" w:color="FFFFFF" w:fill="FFFFFF"/>
            <w:noWrap/>
            <w:vAlign w:val="bottom"/>
            <w:hideMark/>
          </w:tcPr>
          <w:p w14:paraId="2BD7AF7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90</w:t>
            </w:r>
          </w:p>
        </w:tc>
      </w:tr>
      <w:tr w:rsidR="00FD06ED" w:rsidRPr="00FD06ED" w14:paraId="466695A1" w14:textId="77777777" w:rsidTr="005C33EF">
        <w:trPr>
          <w:trHeight w:val="255"/>
        </w:trPr>
        <w:tc>
          <w:tcPr>
            <w:tcW w:w="6354" w:type="dxa"/>
            <w:tcBorders>
              <w:top w:val="nil"/>
              <w:left w:val="nil"/>
              <w:bottom w:val="nil"/>
              <w:right w:val="nil"/>
            </w:tcBorders>
            <w:shd w:val="clear" w:color="FFFFFF" w:fill="FFFFFF"/>
            <w:vAlign w:val="bottom"/>
            <w:hideMark/>
          </w:tcPr>
          <w:p w14:paraId="455FDAA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other revenue</w:t>
            </w:r>
          </w:p>
        </w:tc>
        <w:tc>
          <w:tcPr>
            <w:tcW w:w="1233" w:type="dxa"/>
            <w:tcBorders>
              <w:top w:val="single" w:sz="4" w:space="0" w:color="auto"/>
              <w:left w:val="nil"/>
              <w:bottom w:val="single" w:sz="4" w:space="0" w:color="auto"/>
              <w:right w:val="nil"/>
            </w:tcBorders>
            <w:shd w:val="clear" w:color="FFFFFF" w:fill="FFFFFF"/>
            <w:noWrap/>
            <w:vAlign w:val="bottom"/>
            <w:hideMark/>
          </w:tcPr>
          <w:p w14:paraId="095336D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23,324</w:t>
            </w:r>
          </w:p>
        </w:tc>
        <w:tc>
          <w:tcPr>
            <w:tcW w:w="267" w:type="dxa"/>
            <w:tcBorders>
              <w:top w:val="nil"/>
              <w:left w:val="nil"/>
              <w:bottom w:val="nil"/>
              <w:right w:val="nil"/>
            </w:tcBorders>
            <w:shd w:val="clear" w:color="FFFFFF" w:fill="FFFFFF"/>
            <w:noWrap/>
            <w:vAlign w:val="bottom"/>
            <w:hideMark/>
          </w:tcPr>
          <w:p w14:paraId="586AD21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150A478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24,583</w:t>
            </w:r>
          </w:p>
        </w:tc>
      </w:tr>
    </w:tbl>
    <w:p w14:paraId="688712EF" w14:textId="77777777" w:rsidR="00FD06ED" w:rsidRPr="00FD06ED" w:rsidRDefault="00FD06ED" w:rsidP="00FD06ED">
      <w:pPr>
        <w:spacing w:before="0" w:after="0"/>
        <w:ind w:left="0" w:right="607"/>
        <w:rPr>
          <w:rFonts w:eastAsia="Times New Roman" w:cs="Times New Roman"/>
          <w:b/>
          <w:sz w:val="20"/>
          <w:szCs w:val="20"/>
          <w:lang w:eastAsia="en-US"/>
        </w:rPr>
      </w:pPr>
    </w:p>
    <w:p w14:paraId="20EE45AD"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iCs/>
          <w:sz w:val="18"/>
          <w:szCs w:val="18"/>
          <w:lang w:eastAsia="en-US"/>
        </w:rPr>
      </w:pPr>
      <w:r w:rsidRPr="00FD06ED">
        <w:rPr>
          <w:rFonts w:eastAsia="Times New Roman"/>
          <w:b/>
          <w:iCs/>
          <w:sz w:val="18"/>
          <w:szCs w:val="18"/>
          <w:lang w:eastAsia="en-US"/>
        </w:rPr>
        <w:t>Accounting Policy</w:t>
      </w:r>
    </w:p>
    <w:p w14:paraId="6FF3B212"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Compensation</w:t>
      </w:r>
    </w:p>
    <w:p w14:paraId="73034D8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Agency has powers set out in the NDIS Act and the NDIS Compensation Rules to recover compensation settlements that have been made to participants in certain circumstances. This legislation and its interaction with general compensation law is highly complex. As a result, the Agency’s entitlement to, and the value of, compensation revenue cannot be reliably determined until the circumstances of each case are fully analysed. The legislation also provides the Agency with the option to apply a compensation reduction amount (CRA) to participant plans in lieu of recovering the compensation in a lump sum. Where the Agency elects to apply a CRA to a participant’s plan, a lower level of supports will be provided to the participant in future periods, resulting in a reduction in future participant plan expenses, rather than the recognition of compensation revenue. </w:t>
      </w:r>
    </w:p>
    <w:p w14:paraId="60C230F2"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Compensation revenue is therefore recognised when the delegate determines that a specified debt recovery amount is appropriate. </w:t>
      </w:r>
    </w:p>
    <w:p w14:paraId="14DCAC54"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color w:val="FF0000"/>
          <w:sz w:val="18"/>
          <w:szCs w:val="18"/>
          <w:lang w:eastAsia="en-US"/>
        </w:rPr>
      </w:pPr>
      <w:r w:rsidRPr="00FD06ED">
        <w:rPr>
          <w:rFonts w:eastAsia="Times New Roman"/>
          <w:bCs/>
          <w:sz w:val="18"/>
          <w:szCs w:val="18"/>
          <w:lang w:eastAsia="en-US"/>
        </w:rPr>
        <w:t>Further discussion on the recognition and valuation of compensation recoveries is included in Section 4 Managing Uncertainties.</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5113F866" w14:textId="77777777" w:rsidTr="005C33EF">
        <w:trPr>
          <w:trHeight w:val="252"/>
        </w:trPr>
        <w:tc>
          <w:tcPr>
            <w:tcW w:w="6376" w:type="dxa"/>
            <w:tcBorders>
              <w:top w:val="nil"/>
              <w:left w:val="nil"/>
              <w:bottom w:val="nil"/>
              <w:right w:val="nil"/>
            </w:tcBorders>
            <w:shd w:val="clear" w:color="FFFFFF" w:fill="FFFFFF"/>
            <w:noWrap/>
            <w:vAlign w:val="bottom"/>
            <w:hideMark/>
          </w:tcPr>
          <w:p w14:paraId="70CBC204"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79" w:name="Note_RFCTABLE1" w:colFirst="0" w:colLast="0"/>
            <w:r w:rsidRPr="00FD06ED">
              <w:rPr>
                <w:rFonts w:eastAsia="Times New Roman"/>
                <w:b/>
                <w:bCs/>
                <w:sz w:val="18"/>
                <w:szCs w:val="18"/>
                <w:u w:val="single"/>
                <w:lang w:eastAsia="en-US"/>
              </w:rPr>
              <w:t>Note 1.2D: Other gains</w:t>
            </w:r>
          </w:p>
        </w:tc>
        <w:tc>
          <w:tcPr>
            <w:tcW w:w="1236" w:type="dxa"/>
            <w:tcBorders>
              <w:top w:val="nil"/>
              <w:left w:val="nil"/>
              <w:bottom w:val="nil"/>
              <w:right w:val="nil"/>
            </w:tcBorders>
            <w:shd w:val="clear" w:color="FFFFFF" w:fill="FFFFFF"/>
            <w:noWrap/>
            <w:vAlign w:val="bottom"/>
            <w:hideMark/>
          </w:tcPr>
          <w:p w14:paraId="53DF19C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30ED9B2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666CEB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79"/>
      <w:tr w:rsidR="00FD06ED" w:rsidRPr="00FD06ED" w14:paraId="2C25296D" w14:textId="77777777" w:rsidTr="005C33EF">
        <w:trPr>
          <w:trHeight w:val="255"/>
        </w:trPr>
        <w:tc>
          <w:tcPr>
            <w:tcW w:w="6376" w:type="dxa"/>
            <w:tcBorders>
              <w:top w:val="nil"/>
              <w:left w:val="nil"/>
              <w:bottom w:val="nil"/>
              <w:right w:val="nil"/>
            </w:tcBorders>
            <w:shd w:val="clear" w:color="FFFFFF" w:fill="FFFFFF"/>
            <w:hideMark/>
          </w:tcPr>
          <w:p w14:paraId="062D3F5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Reversal/write back of provisions</w:t>
            </w:r>
          </w:p>
        </w:tc>
        <w:tc>
          <w:tcPr>
            <w:tcW w:w="1236" w:type="dxa"/>
            <w:tcBorders>
              <w:top w:val="nil"/>
              <w:left w:val="nil"/>
              <w:bottom w:val="nil"/>
              <w:right w:val="nil"/>
            </w:tcBorders>
            <w:shd w:val="clear" w:color="FFFFFF" w:fill="FFFFFF"/>
            <w:noWrap/>
            <w:vAlign w:val="bottom"/>
            <w:hideMark/>
          </w:tcPr>
          <w:p w14:paraId="10E2CD3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775</w:t>
            </w:r>
          </w:p>
        </w:tc>
        <w:tc>
          <w:tcPr>
            <w:tcW w:w="267" w:type="dxa"/>
            <w:tcBorders>
              <w:top w:val="nil"/>
              <w:left w:val="nil"/>
              <w:bottom w:val="nil"/>
              <w:right w:val="nil"/>
            </w:tcBorders>
            <w:shd w:val="clear" w:color="FFFFFF" w:fill="FFFFFF"/>
            <w:noWrap/>
            <w:vAlign w:val="bottom"/>
            <w:hideMark/>
          </w:tcPr>
          <w:p w14:paraId="67E8433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467C60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(337)</w:t>
            </w:r>
          </w:p>
        </w:tc>
      </w:tr>
      <w:tr w:rsidR="00FD06ED" w:rsidRPr="00FD06ED" w14:paraId="016E0E6B" w14:textId="77777777" w:rsidTr="005C33EF">
        <w:trPr>
          <w:trHeight w:val="252"/>
        </w:trPr>
        <w:tc>
          <w:tcPr>
            <w:tcW w:w="6376" w:type="dxa"/>
            <w:tcBorders>
              <w:top w:val="nil"/>
              <w:left w:val="nil"/>
              <w:bottom w:val="nil"/>
              <w:right w:val="nil"/>
            </w:tcBorders>
            <w:shd w:val="clear" w:color="FFFFFF" w:fill="FFFFFF"/>
            <w:hideMark/>
          </w:tcPr>
          <w:p w14:paraId="28B3127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External parties - Contributions in-kind from state and territory governments</w:t>
            </w:r>
          </w:p>
        </w:tc>
        <w:tc>
          <w:tcPr>
            <w:tcW w:w="1236" w:type="dxa"/>
            <w:tcBorders>
              <w:top w:val="nil"/>
              <w:left w:val="nil"/>
              <w:bottom w:val="nil"/>
              <w:right w:val="nil"/>
            </w:tcBorders>
            <w:shd w:val="clear" w:color="FFFFFF" w:fill="FFFFFF"/>
            <w:noWrap/>
            <w:vAlign w:val="bottom"/>
            <w:hideMark/>
          </w:tcPr>
          <w:p w14:paraId="78D921B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1,013,000</w:t>
            </w:r>
          </w:p>
        </w:tc>
        <w:tc>
          <w:tcPr>
            <w:tcW w:w="267" w:type="dxa"/>
            <w:tcBorders>
              <w:top w:val="nil"/>
              <w:left w:val="nil"/>
              <w:bottom w:val="nil"/>
              <w:right w:val="nil"/>
            </w:tcBorders>
            <w:shd w:val="clear" w:color="FFFFFF" w:fill="FFFFFF"/>
            <w:noWrap/>
            <w:vAlign w:val="bottom"/>
            <w:hideMark/>
          </w:tcPr>
          <w:p w14:paraId="3CEF87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C33FC9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1,368,744</w:t>
            </w:r>
          </w:p>
        </w:tc>
      </w:tr>
      <w:tr w:rsidR="00FD06ED" w:rsidRPr="00FD06ED" w14:paraId="339F7E53" w14:textId="77777777" w:rsidTr="005C33EF">
        <w:trPr>
          <w:trHeight w:val="252"/>
        </w:trPr>
        <w:tc>
          <w:tcPr>
            <w:tcW w:w="6376" w:type="dxa"/>
            <w:tcBorders>
              <w:top w:val="nil"/>
              <w:left w:val="nil"/>
              <w:bottom w:val="nil"/>
              <w:right w:val="nil"/>
            </w:tcBorders>
            <w:shd w:val="clear" w:color="FFFFFF" w:fill="FFFFFF"/>
            <w:hideMark/>
          </w:tcPr>
          <w:p w14:paraId="762BBF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Reversal of impairment losses</w:t>
            </w:r>
          </w:p>
        </w:tc>
        <w:tc>
          <w:tcPr>
            <w:tcW w:w="1236" w:type="dxa"/>
            <w:tcBorders>
              <w:top w:val="nil"/>
              <w:left w:val="nil"/>
              <w:bottom w:val="nil"/>
              <w:right w:val="nil"/>
            </w:tcBorders>
            <w:shd w:val="clear" w:color="FFFFFF" w:fill="FFFFFF"/>
            <w:noWrap/>
            <w:vAlign w:val="bottom"/>
            <w:hideMark/>
          </w:tcPr>
          <w:p w14:paraId="074BD36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716</w:t>
            </w:r>
          </w:p>
        </w:tc>
        <w:tc>
          <w:tcPr>
            <w:tcW w:w="267" w:type="dxa"/>
            <w:tcBorders>
              <w:top w:val="nil"/>
              <w:left w:val="nil"/>
              <w:bottom w:val="nil"/>
              <w:right w:val="nil"/>
            </w:tcBorders>
            <w:shd w:val="clear" w:color="FFFFFF" w:fill="FFFFFF"/>
            <w:noWrap/>
            <w:vAlign w:val="bottom"/>
            <w:hideMark/>
          </w:tcPr>
          <w:p w14:paraId="02F8BD8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B8AB71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21,474</w:t>
            </w:r>
          </w:p>
        </w:tc>
      </w:tr>
      <w:tr w:rsidR="00FD06ED" w:rsidRPr="00FD06ED" w14:paraId="7ACAFBC9" w14:textId="77777777" w:rsidTr="005C33EF">
        <w:trPr>
          <w:trHeight w:val="255"/>
        </w:trPr>
        <w:tc>
          <w:tcPr>
            <w:tcW w:w="6376" w:type="dxa"/>
            <w:tcBorders>
              <w:top w:val="nil"/>
              <w:left w:val="nil"/>
              <w:bottom w:val="nil"/>
              <w:right w:val="nil"/>
            </w:tcBorders>
            <w:shd w:val="clear" w:color="FFFFFF" w:fill="FFFFFF"/>
            <w:hideMark/>
          </w:tcPr>
          <w:p w14:paraId="08BDF5C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w:t>
            </w:r>
          </w:p>
        </w:tc>
        <w:tc>
          <w:tcPr>
            <w:tcW w:w="1236" w:type="dxa"/>
            <w:tcBorders>
              <w:top w:val="nil"/>
              <w:left w:val="nil"/>
              <w:bottom w:val="nil"/>
              <w:right w:val="nil"/>
            </w:tcBorders>
            <w:shd w:val="clear" w:color="FFFFFF" w:fill="FFFFFF"/>
            <w:noWrap/>
            <w:vAlign w:val="bottom"/>
            <w:hideMark/>
          </w:tcPr>
          <w:p w14:paraId="7A8A423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511</w:t>
            </w:r>
          </w:p>
        </w:tc>
        <w:tc>
          <w:tcPr>
            <w:tcW w:w="267" w:type="dxa"/>
            <w:tcBorders>
              <w:top w:val="nil"/>
              <w:left w:val="nil"/>
              <w:bottom w:val="nil"/>
              <w:right w:val="nil"/>
            </w:tcBorders>
            <w:shd w:val="clear" w:color="FFFFFF" w:fill="FFFFFF"/>
            <w:noWrap/>
            <w:vAlign w:val="bottom"/>
            <w:hideMark/>
          </w:tcPr>
          <w:p w14:paraId="251ADB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26654A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305</w:t>
            </w:r>
          </w:p>
        </w:tc>
      </w:tr>
      <w:tr w:rsidR="00FD06ED" w:rsidRPr="00FD06ED" w14:paraId="00B475AB" w14:textId="77777777" w:rsidTr="005C33EF">
        <w:trPr>
          <w:trHeight w:val="252"/>
        </w:trPr>
        <w:tc>
          <w:tcPr>
            <w:tcW w:w="6376" w:type="dxa"/>
            <w:tcBorders>
              <w:top w:val="nil"/>
              <w:left w:val="nil"/>
              <w:bottom w:val="nil"/>
              <w:right w:val="nil"/>
            </w:tcBorders>
            <w:shd w:val="clear" w:color="FFFFFF" w:fill="FFFFFF"/>
            <w:vAlign w:val="bottom"/>
            <w:hideMark/>
          </w:tcPr>
          <w:p w14:paraId="582A3BC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gains</w:t>
            </w:r>
          </w:p>
        </w:tc>
        <w:tc>
          <w:tcPr>
            <w:tcW w:w="1236" w:type="dxa"/>
            <w:tcBorders>
              <w:top w:val="single" w:sz="4" w:space="0" w:color="auto"/>
              <w:left w:val="nil"/>
              <w:bottom w:val="single" w:sz="4" w:space="0" w:color="auto"/>
              <w:right w:val="nil"/>
            </w:tcBorders>
            <w:shd w:val="clear" w:color="FFFFFF" w:fill="FFFFFF"/>
            <w:noWrap/>
            <w:vAlign w:val="bottom"/>
            <w:hideMark/>
          </w:tcPr>
          <w:p w14:paraId="6744924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1,015,002</w:t>
            </w:r>
          </w:p>
        </w:tc>
        <w:tc>
          <w:tcPr>
            <w:tcW w:w="267" w:type="dxa"/>
            <w:tcBorders>
              <w:top w:val="nil"/>
              <w:left w:val="nil"/>
              <w:bottom w:val="nil"/>
              <w:right w:val="nil"/>
            </w:tcBorders>
            <w:shd w:val="clear" w:color="FFFFFF" w:fill="FFFFFF"/>
            <w:noWrap/>
            <w:vAlign w:val="bottom"/>
            <w:hideMark/>
          </w:tcPr>
          <w:p w14:paraId="4CAC2B6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0409A2B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1,390,186</w:t>
            </w:r>
          </w:p>
        </w:tc>
      </w:tr>
    </w:tbl>
    <w:p w14:paraId="2612C829" w14:textId="77777777" w:rsidR="00FD06ED" w:rsidRPr="00FD06ED" w:rsidRDefault="00FD06ED" w:rsidP="00FD06ED">
      <w:pPr>
        <w:spacing w:before="0" w:after="0" w:line="260" w:lineRule="atLeast"/>
        <w:ind w:left="0" w:firstLine="426"/>
        <w:rPr>
          <w:rFonts w:eastAsia="Times New Roman"/>
          <w:sz w:val="18"/>
          <w:szCs w:val="18"/>
          <w:vertAlign w:val="superscript"/>
          <w:lang w:eastAsia="en-US"/>
        </w:rPr>
      </w:pPr>
    </w:p>
    <w:p w14:paraId="399598B9" w14:textId="77777777" w:rsidR="00FD06ED" w:rsidRPr="00FD06ED" w:rsidRDefault="00FD06ED" w:rsidP="00FD06ED">
      <w:pPr>
        <w:spacing w:before="0" w:after="0" w:line="260" w:lineRule="atLeast"/>
        <w:ind w:left="0" w:firstLine="426"/>
        <w:rPr>
          <w:rFonts w:eastAsia="Times New Roman"/>
          <w:sz w:val="18"/>
          <w:szCs w:val="18"/>
          <w:vertAlign w:val="superscript"/>
          <w:lang w:eastAsia="en-US"/>
        </w:rPr>
      </w:pPr>
    </w:p>
    <w:p w14:paraId="3B10CFA8"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0EFB251E"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 xml:space="preserve">Contributions in-kind from state and territory governments </w:t>
      </w:r>
    </w:p>
    <w:p w14:paraId="53CBB582"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Contributions in-kind from state and territory governments are termed volunteer services under Australian Accounting Standards as they are received free of charge. Volunteer services are recognised as own-source income when, and only when, a fair value can be reliably determined, and the services would have been purchased if they had not been contributed. Use of these services is recognised as an expense. Volunteer services are recorded as either revenue or gains depending on their nature.</w:t>
      </w:r>
    </w:p>
    <w:p w14:paraId="48FF0C40"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Prior to the commencement of the Scheme, each state and territory government had committed to provide (directly or by engaging service providers) agreed items such as disability services, health services, family support, education, employment, transport and/or housing to people with a disability. The on-going provision of these agreed services on behalf of the Agency is regarded as an in-kind contribution under Australian Accounting Standards and is accounted for as income from the contribution of services at the date when the services are provided. The fair value of these contributions is the unit cost provided by the jurisdiction which is based on the value the jurisdiction has paid under its funding arrangements with the provider.</w:t>
      </w:r>
    </w:p>
    <w:p w14:paraId="7B85CCC9" w14:textId="77777777" w:rsidR="00FD06ED" w:rsidRPr="00FD06ED" w:rsidRDefault="00FD06ED" w:rsidP="00FD06ED">
      <w:pPr>
        <w:spacing w:before="0" w:after="0"/>
        <w:ind w:left="0"/>
        <w:rPr>
          <w:rFonts w:eastAsia="Times New Roman"/>
          <w:b/>
          <w:bCs/>
          <w:sz w:val="18"/>
          <w:szCs w:val="18"/>
          <w:lang w:eastAsia="en-US"/>
        </w:rPr>
      </w:pPr>
    </w:p>
    <w:p w14:paraId="570E3D8B"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Key judgements and estimates</w:t>
      </w:r>
    </w:p>
    <w:p w14:paraId="585BE785"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Contributions in-kind from state and territory governments</w:t>
      </w:r>
    </w:p>
    <w:p w14:paraId="58CDB3FA" w14:textId="77777777" w:rsidR="00FD06ED" w:rsidRPr="00FD06ED" w:rsidRDefault="00FD06ED" w:rsidP="00FD06ED">
      <w:pPr>
        <w:pBdr>
          <w:top w:val="single" w:sz="4" w:space="1" w:color="800080"/>
          <w:left w:val="single" w:sz="4" w:space="4" w:color="800080"/>
          <w:bottom w:val="single" w:sz="4" w:space="0"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Agency records income in relation to non-cash or in-kind contributions from state and territory governments at the time when the services are provided to participants. In some cases, the Agency may not have been formally notified that the state or territory government has provided or funded a contribution to a participant. In this circumstance, the Agency makes an estimate of the </w:t>
      </w:r>
      <w:proofErr w:type="gramStart"/>
      <w:r w:rsidRPr="00FD06ED">
        <w:rPr>
          <w:rFonts w:eastAsia="Times New Roman"/>
          <w:bCs/>
          <w:sz w:val="18"/>
          <w:szCs w:val="18"/>
          <w:lang w:eastAsia="en-US"/>
        </w:rPr>
        <w:t>amount</w:t>
      </w:r>
      <w:proofErr w:type="gramEnd"/>
      <w:r w:rsidRPr="00FD06ED">
        <w:rPr>
          <w:rFonts w:eastAsia="Times New Roman"/>
          <w:bCs/>
          <w:sz w:val="18"/>
          <w:szCs w:val="18"/>
          <w:lang w:eastAsia="en-US"/>
        </w:rPr>
        <w:t xml:space="preserve"> of in-kind contributions provided to participants during the period but not yet notified to the Agency. These estimates are based on the latest available evidence of in-kind supports provided to participants by the state and territory governments.</w:t>
      </w:r>
    </w:p>
    <w:p w14:paraId="667E75C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lastRenderedPageBreak/>
        <w:t>Accounting Policy</w:t>
      </w:r>
    </w:p>
    <w:p w14:paraId="1C794C14"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iCs/>
          <w:sz w:val="18"/>
          <w:szCs w:val="18"/>
          <w:u w:val="single"/>
          <w:lang w:eastAsia="en-US"/>
        </w:rPr>
      </w:pPr>
      <w:r w:rsidRPr="00FD06ED">
        <w:rPr>
          <w:rFonts w:eastAsia="Times New Roman"/>
          <w:bCs/>
          <w:i/>
          <w:iCs/>
          <w:sz w:val="18"/>
          <w:szCs w:val="18"/>
          <w:u w:val="single"/>
          <w:lang w:eastAsia="en-US"/>
        </w:rPr>
        <w:t xml:space="preserve">Revenue from Government </w:t>
      </w:r>
    </w:p>
    <w:p w14:paraId="74686D9C"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US"/>
        </w:rPr>
      </w:pPr>
      <w:r w:rsidRPr="00FD06ED">
        <w:rPr>
          <w:rFonts w:eastAsia="Times New Roman"/>
          <w:bCs/>
          <w:iCs/>
          <w:sz w:val="18"/>
          <w:szCs w:val="18"/>
          <w:lang w:eastAsia="en-US"/>
        </w:rPr>
        <w:t xml:space="preserve">Funding received from the DSS (received by the Agency as a corporate Commonwealth entity payment item) is recognised as Revenue from Government unless the funding is </w:t>
      </w:r>
      <w:proofErr w:type="gramStart"/>
      <w:r w:rsidRPr="00FD06ED">
        <w:rPr>
          <w:rFonts w:eastAsia="Times New Roman"/>
          <w:bCs/>
          <w:iCs/>
          <w:sz w:val="18"/>
          <w:szCs w:val="18"/>
          <w:lang w:eastAsia="en-US"/>
        </w:rPr>
        <w:t>in the nature of an</w:t>
      </w:r>
      <w:proofErr w:type="gramEnd"/>
      <w:r w:rsidRPr="00FD06ED">
        <w:rPr>
          <w:rFonts w:eastAsia="Times New Roman"/>
          <w:bCs/>
          <w:iCs/>
          <w:sz w:val="18"/>
          <w:szCs w:val="18"/>
          <w:lang w:eastAsia="en-US"/>
        </w:rPr>
        <w:t xml:space="preserve"> equity injection or a loan. </w:t>
      </w:r>
    </w:p>
    <w:p w14:paraId="6541EB6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US"/>
        </w:rPr>
      </w:pPr>
      <w:r w:rsidRPr="00FD06ED">
        <w:rPr>
          <w:rFonts w:eastAsia="Times New Roman"/>
          <w:bCs/>
          <w:iCs/>
          <w:sz w:val="18"/>
          <w:szCs w:val="18"/>
          <w:lang w:eastAsia="en-US"/>
        </w:rPr>
        <w:t>Revenue from Government should be read in conjunction with the Statement of Comprehensive Income Budget Variances Commentary.</w:t>
      </w:r>
    </w:p>
    <w:p w14:paraId="2CF11128" w14:textId="77777777" w:rsidR="00FD06ED" w:rsidRPr="00FD06ED" w:rsidRDefault="00FD06ED" w:rsidP="00FD06ED">
      <w:pPr>
        <w:spacing w:before="0" w:after="0"/>
        <w:ind w:left="0"/>
        <w:rPr>
          <w:rFonts w:ascii="Times New Roman" w:eastAsia="Times New Roman" w:hAnsi="Times New Roman" w:cs="Times New Roman"/>
          <w:szCs w:val="20"/>
          <w:lang w:eastAsia="en-US"/>
        </w:rPr>
      </w:pPr>
      <w:r w:rsidRPr="00FD06ED">
        <w:rPr>
          <w:rFonts w:ascii="Times New Roman" w:eastAsia="Times New Roman" w:hAnsi="Times New Roman" w:cs="Times New Roman"/>
          <w:szCs w:val="20"/>
          <w:lang w:eastAsia="en-US"/>
        </w:rPr>
        <w:br w:type="page"/>
      </w:r>
    </w:p>
    <w:p w14:paraId="372C0898" w14:textId="46CAC00A" w:rsidR="00FD06ED" w:rsidRPr="00FD06ED" w:rsidRDefault="00250604" w:rsidP="00015F3C">
      <w:pPr>
        <w:shd w:val="clear" w:color="00CC99" w:fill="800080"/>
        <w:spacing w:before="0" w:after="0" w:line="260" w:lineRule="atLeast"/>
        <w:ind w:left="0"/>
        <w:outlineLvl w:val="2"/>
        <w:rPr>
          <w:rFonts w:ascii="Arial Bold" w:eastAsia="Times New Roman" w:hAnsi="Arial Bold" w:cs="Times New Roman"/>
          <w:b/>
          <w:color w:val="FFFFFF"/>
          <w:sz w:val="24"/>
          <w:szCs w:val="20"/>
          <w:lang w:eastAsia="en-US"/>
        </w:rPr>
      </w:pPr>
      <w:bookmarkStart w:id="180" w:name="_Toc65742846"/>
      <w:bookmarkStart w:id="181" w:name="_Toc114477509"/>
      <w:bookmarkStart w:id="182" w:name="_Toc116414680"/>
      <w:bookmarkStart w:id="183" w:name="_Toc116472659"/>
      <w:bookmarkStart w:id="184" w:name="_Toc116473874"/>
      <w:r>
        <w:rPr>
          <w:rFonts w:ascii="Arial Bold" w:eastAsia="Times New Roman" w:hAnsi="Arial Bold" w:cs="Times New Roman"/>
          <w:b/>
          <w:color w:val="FFFFFF"/>
          <w:sz w:val="24"/>
          <w:szCs w:val="20"/>
          <w:lang w:eastAsia="en-US"/>
        </w:rPr>
        <w:lastRenderedPageBreak/>
        <w:t xml:space="preserve">2. </w:t>
      </w:r>
      <w:r w:rsidR="00FD06ED" w:rsidRPr="00FD06ED">
        <w:rPr>
          <w:rFonts w:ascii="Arial Bold" w:eastAsia="Times New Roman" w:hAnsi="Arial Bold" w:cs="Times New Roman"/>
          <w:b/>
          <w:color w:val="FFFFFF"/>
          <w:sz w:val="24"/>
          <w:szCs w:val="20"/>
          <w:lang w:eastAsia="en-US"/>
        </w:rPr>
        <w:t>Financial Position</w:t>
      </w:r>
      <w:bookmarkEnd w:id="180"/>
      <w:bookmarkEnd w:id="181"/>
      <w:bookmarkEnd w:id="182"/>
      <w:bookmarkEnd w:id="183"/>
      <w:bookmarkEnd w:id="184"/>
    </w:p>
    <w:p w14:paraId="2F5279A0"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r w:rsidRPr="00FD06ED">
        <w:rPr>
          <w:rFonts w:eastAsia="Times New Roman" w:cs="Times New Roman"/>
          <w:color w:val="FFFFFF"/>
          <w:sz w:val="18"/>
          <w:szCs w:val="18"/>
          <w:lang w:eastAsia="en-US"/>
        </w:rPr>
        <w:t>This section analyses the Agency’s assets used to conduct its operations and the operating liabilities incurred as a result.</w:t>
      </w:r>
    </w:p>
    <w:p w14:paraId="0A10B0C4"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r w:rsidRPr="00FD06ED">
        <w:rPr>
          <w:rFonts w:eastAsia="Times New Roman" w:cs="Times New Roman"/>
          <w:color w:val="FFFFFF"/>
          <w:sz w:val="18"/>
          <w:szCs w:val="18"/>
          <w:lang w:eastAsia="en-US"/>
        </w:rPr>
        <w:t xml:space="preserve">Buildings and plant and equipment, other than right-of-use buildings and vehicles, are carried at fair value in accordance with AASB 13 </w:t>
      </w:r>
      <w:r w:rsidRPr="00FD06ED">
        <w:rPr>
          <w:rFonts w:eastAsia="Times New Roman" w:cs="Times New Roman"/>
          <w:i/>
          <w:color w:val="FFFFFF"/>
          <w:sz w:val="18"/>
          <w:szCs w:val="18"/>
          <w:lang w:eastAsia="en-US"/>
        </w:rPr>
        <w:t>Fair Value Measurement.</w:t>
      </w:r>
      <w:r w:rsidRPr="00FD06ED">
        <w:rPr>
          <w:rFonts w:eastAsia="Times New Roman" w:cs="Times New Roman"/>
          <w:color w:val="FFFFFF"/>
          <w:sz w:val="18"/>
          <w:szCs w:val="18"/>
          <w:lang w:eastAsia="en-US"/>
        </w:rPr>
        <w:t xml:space="preserve">  The remaining assets and liabilities disclosed in the statement of financial position do not apply the fair value hierarchy.</w:t>
      </w:r>
    </w:p>
    <w:p w14:paraId="3D5A072D"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p>
    <w:p w14:paraId="41D21720"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r w:rsidRPr="00FD06ED">
        <w:rPr>
          <w:rFonts w:eastAsia="Times New Roman" w:cs="Times New Roman"/>
          <w:color w:val="FFFFFF"/>
          <w:sz w:val="18"/>
          <w:szCs w:val="18"/>
          <w:lang w:eastAsia="en-US"/>
        </w:rPr>
        <w:t>Employee related information is disclosed in Section 3.  People and Relationships.</w:t>
      </w:r>
    </w:p>
    <w:p w14:paraId="33CDEEEF" w14:textId="14C410E9" w:rsidR="00FD06ED" w:rsidRPr="00FD06ED" w:rsidRDefault="00250604"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185" w:name="_Toc65742847"/>
      <w:bookmarkStart w:id="186" w:name="_Toc114477510"/>
      <w:bookmarkStart w:id="187" w:name="_Toc116414681"/>
      <w:bookmarkStart w:id="188" w:name="_Toc116472660"/>
      <w:bookmarkStart w:id="189" w:name="_Toc116473875"/>
      <w:r>
        <w:rPr>
          <w:rFonts w:eastAsia="Times New Roman"/>
          <w:b/>
          <w:color w:val="FFFFFF"/>
          <w:sz w:val="20"/>
          <w:szCs w:val="20"/>
          <w:lang w:eastAsia="en-US"/>
        </w:rPr>
        <w:t xml:space="preserve">2.1 </w:t>
      </w:r>
      <w:r w:rsidR="00FD06ED" w:rsidRPr="00FD06ED">
        <w:rPr>
          <w:rFonts w:eastAsia="Times New Roman"/>
          <w:b/>
          <w:color w:val="FFFFFF"/>
          <w:sz w:val="20"/>
          <w:szCs w:val="20"/>
          <w:lang w:eastAsia="en-US"/>
        </w:rPr>
        <w:t>Financial Assets</w:t>
      </w:r>
      <w:bookmarkEnd w:id="185"/>
      <w:bookmarkEnd w:id="186"/>
      <w:bookmarkEnd w:id="187"/>
      <w:bookmarkEnd w:id="188"/>
      <w:bookmarkEnd w:id="189"/>
    </w:p>
    <w:tbl>
      <w:tblPr>
        <w:tblW w:w="9087" w:type="dxa"/>
        <w:tblLayout w:type="fixed"/>
        <w:tblLook w:val="04A0" w:firstRow="1" w:lastRow="0" w:firstColumn="1" w:lastColumn="0" w:noHBand="0" w:noVBand="1"/>
      </w:tblPr>
      <w:tblGrid>
        <w:gridCol w:w="6354"/>
        <w:gridCol w:w="1233"/>
        <w:gridCol w:w="267"/>
        <w:gridCol w:w="1233"/>
      </w:tblGrid>
      <w:tr w:rsidR="00FD06ED" w:rsidRPr="00FD06ED" w14:paraId="641BE8D3" w14:textId="77777777" w:rsidTr="005C33EF">
        <w:trPr>
          <w:trHeight w:val="255"/>
        </w:trPr>
        <w:tc>
          <w:tcPr>
            <w:tcW w:w="6376" w:type="dxa"/>
            <w:tcBorders>
              <w:top w:val="nil"/>
              <w:left w:val="nil"/>
              <w:bottom w:val="nil"/>
              <w:right w:val="nil"/>
            </w:tcBorders>
            <w:shd w:val="clear" w:color="FFFFFF" w:fill="FFFFFF"/>
            <w:noWrap/>
            <w:vAlign w:val="bottom"/>
            <w:hideMark/>
          </w:tcPr>
          <w:p w14:paraId="7E540529" w14:textId="77777777" w:rsidR="00FD06ED" w:rsidRPr="00FD06ED" w:rsidRDefault="00FD06ED" w:rsidP="00FD06ED">
            <w:pPr>
              <w:spacing w:before="0" w:after="0" w:line="260" w:lineRule="atLeast"/>
              <w:ind w:left="0"/>
              <w:rPr>
                <w:rFonts w:eastAsia="Times New Roman"/>
                <w:sz w:val="18"/>
                <w:szCs w:val="18"/>
                <w:lang w:eastAsia="en-US"/>
              </w:rPr>
            </w:pPr>
            <w:bookmarkStart w:id="190" w:name="Note_CSH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856FAE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3BE3E68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110947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190"/>
      <w:tr w:rsidR="00FD06ED" w:rsidRPr="00FD06ED" w14:paraId="6F6F826F" w14:textId="77777777" w:rsidTr="005C33EF">
        <w:trPr>
          <w:trHeight w:val="255"/>
        </w:trPr>
        <w:tc>
          <w:tcPr>
            <w:tcW w:w="6376" w:type="dxa"/>
            <w:tcBorders>
              <w:top w:val="nil"/>
              <w:left w:val="nil"/>
              <w:bottom w:val="nil"/>
              <w:right w:val="nil"/>
            </w:tcBorders>
            <w:shd w:val="clear" w:color="FFFFFF" w:fill="FFFFFF"/>
            <w:noWrap/>
            <w:vAlign w:val="bottom"/>
            <w:hideMark/>
          </w:tcPr>
          <w:p w14:paraId="1DBFD9D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641407B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6F7984D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3EA529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308D411C" w14:textId="77777777" w:rsidTr="005C33EF">
        <w:trPr>
          <w:trHeight w:val="255"/>
        </w:trPr>
        <w:tc>
          <w:tcPr>
            <w:tcW w:w="6376" w:type="dxa"/>
            <w:tcBorders>
              <w:top w:val="nil"/>
              <w:left w:val="nil"/>
              <w:bottom w:val="nil"/>
              <w:right w:val="nil"/>
            </w:tcBorders>
            <w:shd w:val="clear" w:color="FFFFFF" w:fill="FFFFFF"/>
            <w:noWrap/>
            <w:vAlign w:val="bottom"/>
            <w:hideMark/>
          </w:tcPr>
          <w:p w14:paraId="23EBC7C6"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2.1A: Cash and cash equivalents</w:t>
            </w:r>
          </w:p>
        </w:tc>
        <w:tc>
          <w:tcPr>
            <w:tcW w:w="1236" w:type="dxa"/>
            <w:tcBorders>
              <w:top w:val="nil"/>
              <w:left w:val="nil"/>
              <w:bottom w:val="nil"/>
              <w:right w:val="nil"/>
            </w:tcBorders>
            <w:shd w:val="clear" w:color="FFFFFF" w:fill="FFFFFF"/>
            <w:noWrap/>
            <w:vAlign w:val="bottom"/>
            <w:hideMark/>
          </w:tcPr>
          <w:p w14:paraId="275BBCB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056289E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0510DD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152BB681" w14:textId="77777777" w:rsidTr="005C33EF">
        <w:trPr>
          <w:trHeight w:val="255"/>
        </w:trPr>
        <w:tc>
          <w:tcPr>
            <w:tcW w:w="6376" w:type="dxa"/>
            <w:tcBorders>
              <w:top w:val="nil"/>
              <w:left w:val="nil"/>
              <w:bottom w:val="nil"/>
              <w:right w:val="nil"/>
            </w:tcBorders>
            <w:shd w:val="clear" w:color="FFFFFF" w:fill="FFFFFF"/>
            <w:vAlign w:val="bottom"/>
            <w:hideMark/>
          </w:tcPr>
          <w:p w14:paraId="36078BA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Cash on hand</w:t>
            </w:r>
          </w:p>
        </w:tc>
        <w:tc>
          <w:tcPr>
            <w:tcW w:w="1236" w:type="dxa"/>
            <w:tcBorders>
              <w:top w:val="nil"/>
              <w:left w:val="nil"/>
              <w:bottom w:val="nil"/>
              <w:right w:val="nil"/>
            </w:tcBorders>
            <w:shd w:val="clear" w:color="FFFFFF" w:fill="FFFFFF"/>
            <w:noWrap/>
            <w:vAlign w:val="bottom"/>
            <w:hideMark/>
          </w:tcPr>
          <w:p w14:paraId="5A84DC7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1,868,956</w:t>
            </w:r>
          </w:p>
        </w:tc>
        <w:tc>
          <w:tcPr>
            <w:tcW w:w="267" w:type="dxa"/>
            <w:tcBorders>
              <w:top w:val="nil"/>
              <w:left w:val="nil"/>
              <w:bottom w:val="nil"/>
              <w:right w:val="nil"/>
            </w:tcBorders>
            <w:shd w:val="clear" w:color="FFFFFF" w:fill="FFFFFF"/>
            <w:noWrap/>
            <w:vAlign w:val="bottom"/>
            <w:hideMark/>
          </w:tcPr>
          <w:p w14:paraId="360A521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4FC112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829,084</w:t>
            </w:r>
          </w:p>
        </w:tc>
      </w:tr>
      <w:tr w:rsidR="00FD06ED" w:rsidRPr="00FD06ED" w14:paraId="640588C7" w14:textId="77777777" w:rsidTr="005C33EF">
        <w:trPr>
          <w:trHeight w:val="255"/>
        </w:trPr>
        <w:tc>
          <w:tcPr>
            <w:tcW w:w="6376" w:type="dxa"/>
            <w:tcBorders>
              <w:top w:val="nil"/>
              <w:left w:val="nil"/>
              <w:bottom w:val="nil"/>
              <w:right w:val="nil"/>
            </w:tcBorders>
            <w:shd w:val="clear" w:color="FFFFFF" w:fill="FFFFFF"/>
            <w:vAlign w:val="bottom"/>
            <w:hideMark/>
          </w:tcPr>
          <w:p w14:paraId="49052D7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Term deposits</w:t>
            </w:r>
          </w:p>
        </w:tc>
        <w:tc>
          <w:tcPr>
            <w:tcW w:w="1236" w:type="dxa"/>
            <w:tcBorders>
              <w:top w:val="nil"/>
              <w:left w:val="nil"/>
              <w:bottom w:val="nil"/>
              <w:right w:val="nil"/>
            </w:tcBorders>
            <w:shd w:val="clear" w:color="FFFFFF" w:fill="FFFFFF"/>
            <w:noWrap/>
            <w:vAlign w:val="bottom"/>
            <w:hideMark/>
          </w:tcPr>
          <w:p w14:paraId="66ADBCF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50,000</w:t>
            </w:r>
          </w:p>
        </w:tc>
        <w:tc>
          <w:tcPr>
            <w:tcW w:w="267" w:type="dxa"/>
            <w:tcBorders>
              <w:top w:val="nil"/>
              <w:left w:val="nil"/>
              <w:bottom w:val="nil"/>
              <w:right w:val="nil"/>
            </w:tcBorders>
            <w:shd w:val="clear" w:color="FFFFFF" w:fill="FFFFFF"/>
            <w:noWrap/>
            <w:vAlign w:val="bottom"/>
            <w:hideMark/>
          </w:tcPr>
          <w:p w14:paraId="32382DC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041B69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990,000</w:t>
            </w:r>
          </w:p>
        </w:tc>
      </w:tr>
      <w:tr w:rsidR="00FD06ED" w:rsidRPr="00FD06ED" w14:paraId="78F39651" w14:textId="77777777" w:rsidTr="005C33EF">
        <w:trPr>
          <w:trHeight w:val="255"/>
        </w:trPr>
        <w:tc>
          <w:tcPr>
            <w:tcW w:w="6376" w:type="dxa"/>
            <w:tcBorders>
              <w:top w:val="nil"/>
              <w:left w:val="nil"/>
              <w:bottom w:val="nil"/>
              <w:right w:val="nil"/>
            </w:tcBorders>
            <w:shd w:val="clear" w:color="FFFFFF" w:fill="FFFFFF"/>
            <w:vAlign w:val="bottom"/>
            <w:hideMark/>
          </w:tcPr>
          <w:p w14:paraId="435D2BA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cash and cash equivalents</w:t>
            </w:r>
          </w:p>
        </w:tc>
        <w:tc>
          <w:tcPr>
            <w:tcW w:w="1236" w:type="dxa"/>
            <w:tcBorders>
              <w:top w:val="single" w:sz="4" w:space="0" w:color="auto"/>
              <w:left w:val="nil"/>
              <w:bottom w:val="single" w:sz="4" w:space="0" w:color="auto"/>
              <w:right w:val="nil"/>
            </w:tcBorders>
            <w:shd w:val="clear" w:color="FFFFFF" w:fill="FFFFFF"/>
            <w:noWrap/>
            <w:vAlign w:val="bottom"/>
            <w:hideMark/>
          </w:tcPr>
          <w:p w14:paraId="6860C56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1,918,956</w:t>
            </w:r>
          </w:p>
        </w:tc>
        <w:tc>
          <w:tcPr>
            <w:tcW w:w="267" w:type="dxa"/>
            <w:tcBorders>
              <w:top w:val="nil"/>
              <w:left w:val="nil"/>
              <w:bottom w:val="nil"/>
              <w:right w:val="nil"/>
            </w:tcBorders>
            <w:shd w:val="clear" w:color="FFFFFF" w:fill="FFFFFF"/>
            <w:noWrap/>
            <w:vAlign w:val="bottom"/>
            <w:hideMark/>
          </w:tcPr>
          <w:p w14:paraId="6382573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1A598FE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1,819,084</w:t>
            </w:r>
          </w:p>
        </w:tc>
      </w:tr>
    </w:tbl>
    <w:p w14:paraId="33DAA11B" w14:textId="77777777" w:rsidR="00FD06ED" w:rsidRPr="00FD06ED" w:rsidRDefault="00FD06ED" w:rsidP="00FD06ED">
      <w:pPr>
        <w:spacing w:before="0" w:after="0" w:line="260" w:lineRule="atLeast"/>
        <w:ind w:left="0"/>
        <w:rPr>
          <w:rFonts w:ascii="Times New Roman" w:eastAsia="Times New Roman" w:hAnsi="Times New Roman" w:cs="Times New Roman"/>
          <w:szCs w:val="20"/>
          <w:lang w:eastAsia="en-US"/>
        </w:rPr>
      </w:pPr>
    </w:p>
    <w:p w14:paraId="6563501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24"/>
          <w:szCs w:val="24"/>
          <w:lang w:eastAsia="en-US"/>
        </w:rPr>
      </w:pPr>
      <w:r w:rsidRPr="00FD06ED">
        <w:rPr>
          <w:rFonts w:eastAsia="Times New Roman"/>
          <w:b/>
          <w:bCs/>
          <w:sz w:val="18"/>
          <w:szCs w:val="18"/>
          <w:lang w:eastAsia="en-US"/>
        </w:rPr>
        <w:t>Accounting Policy</w:t>
      </w:r>
    </w:p>
    <w:p w14:paraId="2E036C0D"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Cash is recognised at its nominal amount. This includes cash on hand and term deposits in bank accounts with an original maturity of three months or less that are readily convertible to cash and subject to insignificant risk of changes in value. Term deposits with an original maturity greater than three months are included in Note 2.1C.</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1ED26427" w14:textId="77777777" w:rsidTr="005C33EF">
        <w:trPr>
          <w:trHeight w:val="255"/>
        </w:trPr>
        <w:tc>
          <w:tcPr>
            <w:tcW w:w="6376" w:type="dxa"/>
            <w:tcBorders>
              <w:top w:val="nil"/>
              <w:left w:val="nil"/>
              <w:bottom w:val="nil"/>
              <w:right w:val="nil"/>
            </w:tcBorders>
            <w:shd w:val="clear" w:color="FFFFFF" w:fill="FFFFFF"/>
            <w:noWrap/>
            <w:vAlign w:val="bottom"/>
            <w:hideMark/>
          </w:tcPr>
          <w:p w14:paraId="5454FA53"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91" w:name="Note_RECTABLE1" w:colFirst="0" w:colLast="0"/>
            <w:r w:rsidRPr="00FD06ED">
              <w:rPr>
                <w:rFonts w:eastAsia="Times New Roman"/>
                <w:b/>
                <w:bCs/>
                <w:sz w:val="18"/>
                <w:szCs w:val="18"/>
                <w:u w:val="single"/>
                <w:lang w:eastAsia="en-US"/>
              </w:rPr>
              <w:t>Note 2.1B: Trade and other receivables</w:t>
            </w:r>
          </w:p>
        </w:tc>
        <w:tc>
          <w:tcPr>
            <w:tcW w:w="1236" w:type="dxa"/>
            <w:tcBorders>
              <w:top w:val="nil"/>
              <w:left w:val="nil"/>
              <w:bottom w:val="nil"/>
              <w:right w:val="nil"/>
            </w:tcBorders>
            <w:shd w:val="clear" w:color="FFFFFF" w:fill="FFFFFF"/>
            <w:noWrap/>
            <w:vAlign w:val="bottom"/>
            <w:hideMark/>
          </w:tcPr>
          <w:p w14:paraId="5B14268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2F17FEB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6935FE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91"/>
      <w:tr w:rsidR="00FD06ED" w:rsidRPr="00FD06ED" w14:paraId="15C740AA" w14:textId="77777777" w:rsidTr="005C33EF">
        <w:trPr>
          <w:trHeight w:val="255"/>
        </w:trPr>
        <w:tc>
          <w:tcPr>
            <w:tcW w:w="6376" w:type="dxa"/>
            <w:tcBorders>
              <w:top w:val="nil"/>
              <w:left w:val="nil"/>
              <w:bottom w:val="nil"/>
              <w:right w:val="nil"/>
            </w:tcBorders>
            <w:shd w:val="clear" w:color="FFFFFF" w:fill="FFFFFF"/>
            <w:vAlign w:val="bottom"/>
            <w:hideMark/>
          </w:tcPr>
          <w:p w14:paraId="0858FA1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Goods and services receivables</w:t>
            </w:r>
          </w:p>
        </w:tc>
        <w:tc>
          <w:tcPr>
            <w:tcW w:w="1236" w:type="dxa"/>
            <w:tcBorders>
              <w:top w:val="nil"/>
              <w:left w:val="nil"/>
              <w:bottom w:val="nil"/>
              <w:right w:val="nil"/>
            </w:tcBorders>
            <w:shd w:val="clear" w:color="FFFFFF" w:fill="FFFFFF"/>
            <w:noWrap/>
            <w:vAlign w:val="bottom"/>
            <w:hideMark/>
          </w:tcPr>
          <w:p w14:paraId="587F40F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24EBF9D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BDC196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D397411" w14:textId="77777777" w:rsidTr="005C33EF">
        <w:trPr>
          <w:trHeight w:val="267"/>
        </w:trPr>
        <w:tc>
          <w:tcPr>
            <w:tcW w:w="6376" w:type="dxa"/>
            <w:tcBorders>
              <w:top w:val="nil"/>
              <w:left w:val="nil"/>
              <w:bottom w:val="nil"/>
              <w:right w:val="nil"/>
            </w:tcBorders>
            <w:shd w:val="clear" w:color="FFFFFF" w:fill="FFFFFF"/>
            <w:noWrap/>
            <w:vAlign w:val="bottom"/>
            <w:hideMark/>
          </w:tcPr>
          <w:p w14:paraId="18086EB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Goods and services receivables</w:t>
            </w:r>
          </w:p>
        </w:tc>
        <w:tc>
          <w:tcPr>
            <w:tcW w:w="1236" w:type="dxa"/>
            <w:tcBorders>
              <w:top w:val="nil"/>
              <w:left w:val="nil"/>
              <w:bottom w:val="single" w:sz="4" w:space="0" w:color="auto"/>
              <w:right w:val="nil"/>
            </w:tcBorders>
            <w:shd w:val="clear" w:color="FFFFFF" w:fill="FFFFFF"/>
            <w:noWrap/>
            <w:vAlign w:val="bottom"/>
            <w:hideMark/>
          </w:tcPr>
          <w:p w14:paraId="168CE5E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70,088</w:t>
            </w:r>
          </w:p>
        </w:tc>
        <w:tc>
          <w:tcPr>
            <w:tcW w:w="267" w:type="dxa"/>
            <w:tcBorders>
              <w:top w:val="nil"/>
              <w:left w:val="nil"/>
              <w:bottom w:val="nil"/>
              <w:right w:val="nil"/>
            </w:tcBorders>
            <w:shd w:val="clear" w:color="FFFFFF" w:fill="FFFFFF"/>
            <w:noWrap/>
            <w:vAlign w:val="bottom"/>
            <w:hideMark/>
          </w:tcPr>
          <w:p w14:paraId="365BE2C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single" w:sz="4" w:space="0" w:color="auto"/>
              <w:right w:val="nil"/>
            </w:tcBorders>
            <w:shd w:val="clear" w:color="FFFFFF" w:fill="FFFFFF"/>
            <w:noWrap/>
            <w:vAlign w:val="bottom"/>
            <w:hideMark/>
          </w:tcPr>
          <w:p w14:paraId="7E1881D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106,807</w:t>
            </w:r>
          </w:p>
        </w:tc>
      </w:tr>
      <w:tr w:rsidR="00FD06ED" w:rsidRPr="00FD06ED" w14:paraId="1604EFC9" w14:textId="77777777" w:rsidTr="005C33EF">
        <w:trPr>
          <w:trHeight w:val="267"/>
        </w:trPr>
        <w:tc>
          <w:tcPr>
            <w:tcW w:w="6376" w:type="dxa"/>
            <w:tcBorders>
              <w:top w:val="nil"/>
              <w:left w:val="nil"/>
              <w:bottom w:val="nil"/>
              <w:right w:val="nil"/>
            </w:tcBorders>
            <w:shd w:val="clear" w:color="FFFFFF" w:fill="FFFFFF"/>
            <w:vAlign w:val="bottom"/>
            <w:hideMark/>
          </w:tcPr>
          <w:p w14:paraId="70265FC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goods and services receivables</w:t>
            </w:r>
          </w:p>
        </w:tc>
        <w:tc>
          <w:tcPr>
            <w:tcW w:w="1236" w:type="dxa"/>
            <w:tcBorders>
              <w:top w:val="single" w:sz="4" w:space="0" w:color="auto"/>
              <w:left w:val="nil"/>
              <w:bottom w:val="single" w:sz="4" w:space="0" w:color="auto"/>
              <w:right w:val="nil"/>
            </w:tcBorders>
            <w:shd w:val="clear" w:color="FFFFFF" w:fill="FFFFFF"/>
            <w:noWrap/>
            <w:vAlign w:val="bottom"/>
            <w:hideMark/>
          </w:tcPr>
          <w:p w14:paraId="0B34561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70,088</w:t>
            </w:r>
          </w:p>
        </w:tc>
        <w:tc>
          <w:tcPr>
            <w:tcW w:w="267" w:type="dxa"/>
            <w:tcBorders>
              <w:top w:val="nil"/>
              <w:left w:val="nil"/>
              <w:bottom w:val="nil"/>
              <w:right w:val="nil"/>
            </w:tcBorders>
            <w:shd w:val="clear" w:color="FFFFFF" w:fill="FFFFFF"/>
            <w:noWrap/>
            <w:vAlign w:val="bottom"/>
            <w:hideMark/>
          </w:tcPr>
          <w:p w14:paraId="71D693D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4FF21B0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106,807</w:t>
            </w:r>
          </w:p>
        </w:tc>
      </w:tr>
      <w:tr w:rsidR="00FD06ED" w:rsidRPr="00FD06ED" w14:paraId="4EBB7C28" w14:textId="77777777" w:rsidTr="005C33EF">
        <w:trPr>
          <w:trHeight w:val="255"/>
        </w:trPr>
        <w:tc>
          <w:tcPr>
            <w:tcW w:w="6376" w:type="dxa"/>
            <w:tcBorders>
              <w:top w:val="nil"/>
              <w:left w:val="nil"/>
              <w:bottom w:val="nil"/>
              <w:right w:val="nil"/>
            </w:tcBorders>
            <w:shd w:val="clear" w:color="FFFFFF" w:fill="FFFFFF"/>
            <w:vAlign w:val="bottom"/>
            <w:hideMark/>
          </w:tcPr>
          <w:p w14:paraId="566FA39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Other receivables</w:t>
            </w:r>
          </w:p>
        </w:tc>
        <w:tc>
          <w:tcPr>
            <w:tcW w:w="1236" w:type="dxa"/>
            <w:tcBorders>
              <w:top w:val="nil"/>
              <w:left w:val="nil"/>
              <w:bottom w:val="nil"/>
              <w:right w:val="nil"/>
            </w:tcBorders>
            <w:shd w:val="clear" w:color="FFFFFF" w:fill="FFFFFF"/>
            <w:noWrap/>
            <w:vAlign w:val="bottom"/>
            <w:hideMark/>
          </w:tcPr>
          <w:p w14:paraId="13E4EE0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508CE95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8DFDA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F2673AD" w14:textId="77777777" w:rsidTr="005C33EF">
        <w:trPr>
          <w:trHeight w:val="252"/>
        </w:trPr>
        <w:tc>
          <w:tcPr>
            <w:tcW w:w="6376" w:type="dxa"/>
            <w:tcBorders>
              <w:top w:val="nil"/>
              <w:left w:val="nil"/>
              <w:bottom w:val="nil"/>
              <w:right w:val="nil"/>
            </w:tcBorders>
            <w:shd w:val="clear" w:color="FFFFFF" w:fill="FFFFFF"/>
            <w:noWrap/>
            <w:vAlign w:val="bottom"/>
            <w:hideMark/>
          </w:tcPr>
          <w:p w14:paraId="0996E6E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GST receivable from the Australian Taxation Office</w:t>
            </w:r>
          </w:p>
        </w:tc>
        <w:tc>
          <w:tcPr>
            <w:tcW w:w="1236" w:type="dxa"/>
            <w:tcBorders>
              <w:top w:val="nil"/>
              <w:left w:val="nil"/>
              <w:bottom w:val="nil"/>
              <w:right w:val="nil"/>
            </w:tcBorders>
            <w:shd w:val="clear" w:color="FFFFFF" w:fill="FFFFFF"/>
            <w:noWrap/>
            <w:vAlign w:val="bottom"/>
            <w:hideMark/>
          </w:tcPr>
          <w:p w14:paraId="7D259DC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12,951</w:t>
            </w:r>
          </w:p>
        </w:tc>
        <w:tc>
          <w:tcPr>
            <w:tcW w:w="267" w:type="dxa"/>
            <w:tcBorders>
              <w:top w:val="nil"/>
              <w:left w:val="nil"/>
              <w:bottom w:val="nil"/>
              <w:right w:val="nil"/>
            </w:tcBorders>
            <w:shd w:val="clear" w:color="FFFFFF" w:fill="FFFFFF"/>
            <w:noWrap/>
            <w:vAlign w:val="bottom"/>
            <w:hideMark/>
          </w:tcPr>
          <w:p w14:paraId="27230EC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6F9906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8,684</w:t>
            </w:r>
          </w:p>
        </w:tc>
      </w:tr>
      <w:tr w:rsidR="00FD06ED" w:rsidRPr="00FD06ED" w14:paraId="70FF2761" w14:textId="77777777" w:rsidTr="005C33EF">
        <w:trPr>
          <w:trHeight w:val="270"/>
        </w:trPr>
        <w:tc>
          <w:tcPr>
            <w:tcW w:w="6376" w:type="dxa"/>
            <w:tcBorders>
              <w:top w:val="nil"/>
              <w:left w:val="nil"/>
              <w:bottom w:val="nil"/>
              <w:right w:val="nil"/>
            </w:tcBorders>
            <w:shd w:val="clear" w:color="FFFFFF" w:fill="FFFFFF"/>
            <w:noWrap/>
            <w:vAlign w:val="bottom"/>
            <w:hideMark/>
          </w:tcPr>
          <w:p w14:paraId="713071A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Pandemic plan provider receivables</w:t>
            </w:r>
            <w:r w:rsidRPr="00FD06ED">
              <w:rPr>
                <w:rFonts w:eastAsia="Times New Roman"/>
                <w:sz w:val="18"/>
                <w:szCs w:val="18"/>
                <w:vertAlign w:val="superscript"/>
                <w:lang w:eastAsia="en-US"/>
              </w:rPr>
              <w:t>1</w:t>
            </w:r>
          </w:p>
        </w:tc>
        <w:tc>
          <w:tcPr>
            <w:tcW w:w="1236" w:type="dxa"/>
            <w:tcBorders>
              <w:top w:val="nil"/>
              <w:left w:val="nil"/>
              <w:bottom w:val="nil"/>
              <w:right w:val="nil"/>
            </w:tcBorders>
            <w:shd w:val="clear" w:color="FFFFFF" w:fill="FFFFFF"/>
            <w:noWrap/>
            <w:vAlign w:val="bottom"/>
            <w:hideMark/>
          </w:tcPr>
          <w:p w14:paraId="6A855AF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792</w:t>
            </w:r>
          </w:p>
        </w:tc>
        <w:tc>
          <w:tcPr>
            <w:tcW w:w="267" w:type="dxa"/>
            <w:tcBorders>
              <w:top w:val="nil"/>
              <w:left w:val="nil"/>
              <w:bottom w:val="nil"/>
              <w:right w:val="nil"/>
            </w:tcBorders>
            <w:shd w:val="clear" w:color="FFFFFF" w:fill="FFFFFF"/>
            <w:noWrap/>
            <w:vAlign w:val="bottom"/>
            <w:hideMark/>
          </w:tcPr>
          <w:p w14:paraId="190008F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164543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2,775</w:t>
            </w:r>
          </w:p>
        </w:tc>
      </w:tr>
      <w:tr w:rsidR="00FD06ED" w:rsidRPr="00FD06ED" w14:paraId="6E6749E2" w14:textId="77777777" w:rsidTr="005C33EF">
        <w:trPr>
          <w:trHeight w:val="267"/>
        </w:trPr>
        <w:tc>
          <w:tcPr>
            <w:tcW w:w="6376" w:type="dxa"/>
            <w:tcBorders>
              <w:top w:val="nil"/>
              <w:left w:val="nil"/>
              <w:bottom w:val="nil"/>
              <w:right w:val="nil"/>
            </w:tcBorders>
            <w:shd w:val="clear" w:color="FFFFFF" w:fill="FFFFFF"/>
            <w:noWrap/>
            <w:vAlign w:val="bottom"/>
            <w:hideMark/>
          </w:tcPr>
          <w:p w14:paraId="0796A1F0"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and other provider receivables</w:t>
            </w:r>
          </w:p>
        </w:tc>
        <w:tc>
          <w:tcPr>
            <w:tcW w:w="1236" w:type="dxa"/>
            <w:tcBorders>
              <w:top w:val="nil"/>
              <w:left w:val="nil"/>
              <w:bottom w:val="nil"/>
              <w:right w:val="nil"/>
            </w:tcBorders>
            <w:shd w:val="clear" w:color="FFFFFF" w:fill="FFFFFF"/>
            <w:noWrap/>
            <w:vAlign w:val="bottom"/>
            <w:hideMark/>
          </w:tcPr>
          <w:p w14:paraId="38CF24A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36,031</w:t>
            </w:r>
          </w:p>
        </w:tc>
        <w:tc>
          <w:tcPr>
            <w:tcW w:w="267" w:type="dxa"/>
            <w:tcBorders>
              <w:top w:val="nil"/>
              <w:left w:val="nil"/>
              <w:bottom w:val="nil"/>
              <w:right w:val="nil"/>
            </w:tcBorders>
            <w:shd w:val="clear" w:color="FFFFFF" w:fill="FFFFFF"/>
            <w:noWrap/>
            <w:vAlign w:val="bottom"/>
            <w:hideMark/>
          </w:tcPr>
          <w:p w14:paraId="7DBE7B9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F98A7BA"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11,830</w:t>
            </w:r>
          </w:p>
        </w:tc>
      </w:tr>
      <w:tr w:rsidR="00FD06ED" w:rsidRPr="00FD06ED" w14:paraId="4BC68155" w14:textId="77777777" w:rsidTr="005C33EF">
        <w:trPr>
          <w:trHeight w:val="255"/>
        </w:trPr>
        <w:tc>
          <w:tcPr>
            <w:tcW w:w="6376" w:type="dxa"/>
            <w:tcBorders>
              <w:top w:val="nil"/>
              <w:left w:val="nil"/>
              <w:bottom w:val="nil"/>
              <w:right w:val="nil"/>
            </w:tcBorders>
            <w:shd w:val="clear" w:color="FFFFFF" w:fill="FFFFFF"/>
            <w:noWrap/>
            <w:vAlign w:val="bottom"/>
            <w:hideMark/>
          </w:tcPr>
          <w:p w14:paraId="0B8A4F9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w:t>
            </w:r>
          </w:p>
        </w:tc>
        <w:tc>
          <w:tcPr>
            <w:tcW w:w="1236" w:type="dxa"/>
            <w:tcBorders>
              <w:top w:val="nil"/>
              <w:left w:val="nil"/>
              <w:bottom w:val="nil"/>
              <w:right w:val="nil"/>
            </w:tcBorders>
            <w:shd w:val="clear" w:color="FFFFFF" w:fill="FFFFFF"/>
            <w:noWrap/>
            <w:vAlign w:val="bottom"/>
            <w:hideMark/>
          </w:tcPr>
          <w:p w14:paraId="541C7B0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6,494</w:t>
            </w:r>
          </w:p>
        </w:tc>
        <w:tc>
          <w:tcPr>
            <w:tcW w:w="267" w:type="dxa"/>
            <w:tcBorders>
              <w:top w:val="nil"/>
              <w:left w:val="nil"/>
              <w:bottom w:val="nil"/>
              <w:right w:val="nil"/>
            </w:tcBorders>
            <w:shd w:val="clear" w:color="FFFFFF" w:fill="FFFFFF"/>
            <w:noWrap/>
            <w:vAlign w:val="bottom"/>
            <w:hideMark/>
          </w:tcPr>
          <w:p w14:paraId="63A851D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B59B6C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773</w:t>
            </w:r>
          </w:p>
        </w:tc>
      </w:tr>
      <w:tr w:rsidR="00FD06ED" w:rsidRPr="00FD06ED" w14:paraId="41B210BB" w14:textId="77777777" w:rsidTr="005C33EF">
        <w:trPr>
          <w:trHeight w:val="255"/>
        </w:trPr>
        <w:tc>
          <w:tcPr>
            <w:tcW w:w="6376" w:type="dxa"/>
            <w:tcBorders>
              <w:top w:val="nil"/>
              <w:left w:val="nil"/>
              <w:bottom w:val="nil"/>
              <w:right w:val="nil"/>
            </w:tcBorders>
            <w:shd w:val="clear" w:color="FFFFFF" w:fill="FFFFFF"/>
            <w:vAlign w:val="bottom"/>
            <w:hideMark/>
          </w:tcPr>
          <w:p w14:paraId="195C6FD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other receivables</w:t>
            </w:r>
          </w:p>
        </w:tc>
        <w:tc>
          <w:tcPr>
            <w:tcW w:w="1236" w:type="dxa"/>
            <w:tcBorders>
              <w:top w:val="single" w:sz="4" w:space="0" w:color="auto"/>
              <w:left w:val="nil"/>
              <w:bottom w:val="single" w:sz="4" w:space="0" w:color="auto"/>
              <w:right w:val="nil"/>
            </w:tcBorders>
            <w:shd w:val="clear" w:color="FFFFFF" w:fill="FFFFFF"/>
            <w:noWrap/>
            <w:vAlign w:val="bottom"/>
            <w:hideMark/>
          </w:tcPr>
          <w:p w14:paraId="0A3AB23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56,268</w:t>
            </w:r>
          </w:p>
        </w:tc>
        <w:tc>
          <w:tcPr>
            <w:tcW w:w="267" w:type="dxa"/>
            <w:tcBorders>
              <w:top w:val="nil"/>
              <w:left w:val="nil"/>
              <w:bottom w:val="nil"/>
              <w:right w:val="nil"/>
            </w:tcBorders>
            <w:shd w:val="clear" w:color="FFFFFF" w:fill="FFFFFF"/>
            <w:noWrap/>
            <w:vAlign w:val="bottom"/>
            <w:hideMark/>
          </w:tcPr>
          <w:p w14:paraId="08D4BE0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648AF3A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24,062</w:t>
            </w:r>
          </w:p>
        </w:tc>
      </w:tr>
      <w:tr w:rsidR="00FD06ED" w:rsidRPr="00FD06ED" w14:paraId="673AA3CA" w14:textId="77777777" w:rsidTr="005C33EF">
        <w:trPr>
          <w:trHeight w:val="255"/>
        </w:trPr>
        <w:tc>
          <w:tcPr>
            <w:tcW w:w="6376" w:type="dxa"/>
            <w:tcBorders>
              <w:top w:val="nil"/>
              <w:left w:val="nil"/>
              <w:bottom w:val="nil"/>
              <w:right w:val="nil"/>
            </w:tcBorders>
            <w:shd w:val="clear" w:color="FFFFFF" w:fill="FFFFFF"/>
            <w:vAlign w:val="bottom"/>
            <w:hideMark/>
          </w:tcPr>
          <w:p w14:paraId="67389F36"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trade and other receivables (gross)</w:t>
            </w:r>
          </w:p>
        </w:tc>
        <w:tc>
          <w:tcPr>
            <w:tcW w:w="1236" w:type="dxa"/>
            <w:tcBorders>
              <w:top w:val="nil"/>
              <w:left w:val="nil"/>
              <w:bottom w:val="single" w:sz="4" w:space="0" w:color="auto"/>
              <w:right w:val="nil"/>
            </w:tcBorders>
            <w:shd w:val="clear" w:color="FFFFFF" w:fill="FFFFFF"/>
            <w:noWrap/>
            <w:vAlign w:val="bottom"/>
            <w:hideMark/>
          </w:tcPr>
          <w:p w14:paraId="0240CD3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126,356</w:t>
            </w:r>
          </w:p>
        </w:tc>
        <w:tc>
          <w:tcPr>
            <w:tcW w:w="267" w:type="dxa"/>
            <w:tcBorders>
              <w:top w:val="nil"/>
              <w:left w:val="nil"/>
              <w:bottom w:val="nil"/>
              <w:right w:val="nil"/>
            </w:tcBorders>
            <w:shd w:val="clear" w:color="FFFFFF" w:fill="FFFFFF"/>
            <w:noWrap/>
            <w:vAlign w:val="bottom"/>
            <w:hideMark/>
          </w:tcPr>
          <w:p w14:paraId="0B0C538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single" w:sz="4" w:space="0" w:color="auto"/>
              <w:right w:val="nil"/>
            </w:tcBorders>
            <w:shd w:val="clear" w:color="FFFFFF" w:fill="FFFFFF"/>
            <w:noWrap/>
            <w:vAlign w:val="bottom"/>
            <w:hideMark/>
          </w:tcPr>
          <w:p w14:paraId="72EC1DA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130,869</w:t>
            </w:r>
          </w:p>
        </w:tc>
      </w:tr>
      <w:tr w:rsidR="00FD06ED" w:rsidRPr="00FD06ED" w14:paraId="4E262DCF" w14:textId="77777777" w:rsidTr="005C33EF">
        <w:trPr>
          <w:trHeight w:val="255"/>
        </w:trPr>
        <w:tc>
          <w:tcPr>
            <w:tcW w:w="6376" w:type="dxa"/>
            <w:tcBorders>
              <w:top w:val="nil"/>
              <w:left w:val="nil"/>
              <w:bottom w:val="nil"/>
              <w:right w:val="nil"/>
            </w:tcBorders>
            <w:shd w:val="clear" w:color="FFFFFF" w:fill="FFFFFF"/>
            <w:noWrap/>
            <w:vAlign w:val="bottom"/>
            <w:hideMark/>
          </w:tcPr>
          <w:p w14:paraId="4FAA715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8CB2B9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0553110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EC1DC1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C7E6A9A" w14:textId="77777777" w:rsidTr="005C33EF">
        <w:trPr>
          <w:trHeight w:val="270"/>
        </w:trPr>
        <w:tc>
          <w:tcPr>
            <w:tcW w:w="6376" w:type="dxa"/>
            <w:tcBorders>
              <w:top w:val="nil"/>
              <w:left w:val="nil"/>
              <w:bottom w:val="nil"/>
              <w:right w:val="nil"/>
            </w:tcBorders>
            <w:shd w:val="clear" w:color="FFFFFF" w:fill="FFFFFF"/>
            <w:vAlign w:val="bottom"/>
            <w:hideMark/>
          </w:tcPr>
          <w:p w14:paraId="29B83FE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Less impairment loss allowance</w:t>
            </w:r>
            <w:r w:rsidRPr="00FD06ED">
              <w:rPr>
                <w:rFonts w:eastAsia="Times New Roman"/>
                <w:b/>
                <w:bCs/>
                <w:sz w:val="18"/>
                <w:szCs w:val="18"/>
                <w:vertAlign w:val="superscript"/>
                <w:lang w:eastAsia="en-US"/>
              </w:rPr>
              <w:t>2</w:t>
            </w:r>
          </w:p>
        </w:tc>
        <w:tc>
          <w:tcPr>
            <w:tcW w:w="1236" w:type="dxa"/>
            <w:tcBorders>
              <w:top w:val="nil"/>
              <w:left w:val="nil"/>
              <w:bottom w:val="nil"/>
              <w:right w:val="nil"/>
            </w:tcBorders>
            <w:shd w:val="clear" w:color="FFFFFF" w:fill="FFFFFF"/>
            <w:noWrap/>
            <w:vAlign w:val="bottom"/>
            <w:hideMark/>
          </w:tcPr>
          <w:p w14:paraId="1C787BB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552F5D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519091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50BE8F6C" w14:textId="77777777" w:rsidTr="005C33EF">
        <w:trPr>
          <w:trHeight w:val="255"/>
        </w:trPr>
        <w:tc>
          <w:tcPr>
            <w:tcW w:w="6376" w:type="dxa"/>
            <w:tcBorders>
              <w:top w:val="nil"/>
              <w:left w:val="nil"/>
              <w:bottom w:val="nil"/>
              <w:right w:val="nil"/>
            </w:tcBorders>
            <w:shd w:val="clear" w:color="FFFFFF" w:fill="FFFFFF"/>
            <w:noWrap/>
            <w:vAlign w:val="bottom"/>
            <w:hideMark/>
          </w:tcPr>
          <w:p w14:paraId="18CC9F71"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Goods and services receivables</w:t>
            </w:r>
          </w:p>
        </w:tc>
        <w:tc>
          <w:tcPr>
            <w:tcW w:w="1236" w:type="dxa"/>
            <w:tcBorders>
              <w:top w:val="nil"/>
              <w:left w:val="nil"/>
              <w:bottom w:val="nil"/>
              <w:right w:val="nil"/>
            </w:tcBorders>
            <w:shd w:val="clear" w:color="FFFFFF" w:fill="FFFFFF"/>
            <w:noWrap/>
            <w:vAlign w:val="bottom"/>
            <w:hideMark/>
          </w:tcPr>
          <w:p w14:paraId="7D0D718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62,817</w:t>
            </w:r>
          </w:p>
        </w:tc>
        <w:tc>
          <w:tcPr>
            <w:tcW w:w="267" w:type="dxa"/>
            <w:tcBorders>
              <w:top w:val="nil"/>
              <w:left w:val="nil"/>
              <w:bottom w:val="nil"/>
              <w:right w:val="nil"/>
            </w:tcBorders>
            <w:shd w:val="clear" w:color="FFFFFF" w:fill="FFFFFF"/>
            <w:noWrap/>
            <w:vAlign w:val="bottom"/>
            <w:hideMark/>
          </w:tcPr>
          <w:p w14:paraId="07C8A90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8091D8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62,817</w:t>
            </w:r>
          </w:p>
        </w:tc>
      </w:tr>
      <w:tr w:rsidR="00FD06ED" w:rsidRPr="00FD06ED" w14:paraId="3649A64A" w14:textId="77777777" w:rsidTr="005C33EF">
        <w:trPr>
          <w:trHeight w:val="255"/>
        </w:trPr>
        <w:tc>
          <w:tcPr>
            <w:tcW w:w="6376" w:type="dxa"/>
            <w:tcBorders>
              <w:top w:val="nil"/>
              <w:left w:val="nil"/>
              <w:bottom w:val="nil"/>
              <w:right w:val="nil"/>
            </w:tcBorders>
            <w:shd w:val="clear" w:color="FFFFFF" w:fill="FFFFFF"/>
            <w:noWrap/>
            <w:vAlign w:val="bottom"/>
            <w:hideMark/>
          </w:tcPr>
          <w:p w14:paraId="3990F1BC"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and other provider receivables</w:t>
            </w:r>
          </w:p>
        </w:tc>
        <w:tc>
          <w:tcPr>
            <w:tcW w:w="1236" w:type="dxa"/>
            <w:tcBorders>
              <w:top w:val="nil"/>
              <w:left w:val="nil"/>
              <w:bottom w:val="nil"/>
              <w:right w:val="nil"/>
            </w:tcBorders>
            <w:shd w:val="clear" w:color="FFFFFF" w:fill="FFFFFF"/>
            <w:noWrap/>
            <w:vAlign w:val="bottom"/>
            <w:hideMark/>
          </w:tcPr>
          <w:p w14:paraId="0896886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13,801</w:t>
            </w:r>
          </w:p>
        </w:tc>
        <w:tc>
          <w:tcPr>
            <w:tcW w:w="267" w:type="dxa"/>
            <w:tcBorders>
              <w:top w:val="nil"/>
              <w:left w:val="nil"/>
              <w:bottom w:val="nil"/>
              <w:right w:val="nil"/>
            </w:tcBorders>
            <w:shd w:val="clear" w:color="FFFFFF" w:fill="FFFFFF"/>
            <w:noWrap/>
            <w:vAlign w:val="bottom"/>
            <w:hideMark/>
          </w:tcPr>
          <w:p w14:paraId="11FC69E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B76C3F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10,681</w:t>
            </w:r>
          </w:p>
        </w:tc>
      </w:tr>
      <w:tr w:rsidR="00FD06ED" w:rsidRPr="00FD06ED" w14:paraId="2929786C" w14:textId="77777777" w:rsidTr="005C33EF">
        <w:trPr>
          <w:trHeight w:val="267"/>
        </w:trPr>
        <w:tc>
          <w:tcPr>
            <w:tcW w:w="6376" w:type="dxa"/>
            <w:tcBorders>
              <w:top w:val="nil"/>
              <w:left w:val="nil"/>
              <w:bottom w:val="nil"/>
              <w:right w:val="nil"/>
            </w:tcBorders>
            <w:shd w:val="clear" w:color="FFFFFF" w:fill="FFFFFF"/>
            <w:noWrap/>
            <w:vAlign w:val="bottom"/>
            <w:hideMark/>
          </w:tcPr>
          <w:p w14:paraId="427D3581"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receivables</w:t>
            </w:r>
          </w:p>
        </w:tc>
        <w:tc>
          <w:tcPr>
            <w:tcW w:w="1236" w:type="dxa"/>
            <w:tcBorders>
              <w:top w:val="nil"/>
              <w:left w:val="nil"/>
              <w:bottom w:val="nil"/>
              <w:right w:val="nil"/>
            </w:tcBorders>
            <w:shd w:val="clear" w:color="FFFFFF" w:fill="FFFFFF"/>
            <w:noWrap/>
            <w:vAlign w:val="bottom"/>
            <w:hideMark/>
          </w:tcPr>
          <w:p w14:paraId="587A80C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w:t>
            </w:r>
          </w:p>
        </w:tc>
        <w:tc>
          <w:tcPr>
            <w:tcW w:w="267" w:type="dxa"/>
            <w:tcBorders>
              <w:top w:val="nil"/>
              <w:left w:val="nil"/>
              <w:bottom w:val="nil"/>
              <w:right w:val="nil"/>
            </w:tcBorders>
            <w:shd w:val="clear" w:color="FFFFFF" w:fill="FFFFFF"/>
            <w:noWrap/>
            <w:vAlign w:val="bottom"/>
            <w:hideMark/>
          </w:tcPr>
          <w:p w14:paraId="6EAB809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470744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246</w:t>
            </w:r>
          </w:p>
        </w:tc>
      </w:tr>
      <w:tr w:rsidR="00FD06ED" w:rsidRPr="00FD06ED" w14:paraId="7E01D16F" w14:textId="77777777" w:rsidTr="005C33EF">
        <w:trPr>
          <w:trHeight w:val="270"/>
        </w:trPr>
        <w:tc>
          <w:tcPr>
            <w:tcW w:w="6376" w:type="dxa"/>
            <w:tcBorders>
              <w:top w:val="nil"/>
              <w:left w:val="nil"/>
              <w:bottom w:val="nil"/>
              <w:right w:val="nil"/>
            </w:tcBorders>
            <w:shd w:val="clear" w:color="FFFFFF" w:fill="FFFFFF"/>
            <w:noWrap/>
            <w:vAlign w:val="bottom"/>
            <w:hideMark/>
          </w:tcPr>
          <w:p w14:paraId="36FD9CA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Pandemic plan provider receivables</w:t>
            </w:r>
            <w:r w:rsidRPr="00FD06ED">
              <w:rPr>
                <w:rFonts w:eastAsia="Times New Roman"/>
                <w:sz w:val="18"/>
                <w:szCs w:val="18"/>
                <w:vertAlign w:val="superscript"/>
                <w:lang w:eastAsia="en-US"/>
              </w:rPr>
              <w:t>1</w:t>
            </w:r>
          </w:p>
        </w:tc>
        <w:tc>
          <w:tcPr>
            <w:tcW w:w="1236" w:type="dxa"/>
            <w:tcBorders>
              <w:top w:val="nil"/>
              <w:left w:val="nil"/>
              <w:bottom w:val="nil"/>
              <w:right w:val="nil"/>
            </w:tcBorders>
            <w:shd w:val="clear" w:color="FFFFFF" w:fill="FFFFFF"/>
            <w:noWrap/>
            <w:vAlign w:val="bottom"/>
            <w:hideMark/>
          </w:tcPr>
          <w:p w14:paraId="3A6F8F3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792</w:t>
            </w:r>
          </w:p>
        </w:tc>
        <w:tc>
          <w:tcPr>
            <w:tcW w:w="267" w:type="dxa"/>
            <w:tcBorders>
              <w:top w:val="nil"/>
              <w:left w:val="nil"/>
              <w:bottom w:val="nil"/>
              <w:right w:val="nil"/>
            </w:tcBorders>
            <w:shd w:val="clear" w:color="FFFFFF" w:fill="FFFFFF"/>
            <w:noWrap/>
            <w:vAlign w:val="bottom"/>
            <w:hideMark/>
          </w:tcPr>
          <w:p w14:paraId="64D5A43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30ABD01"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1,627</w:t>
            </w:r>
          </w:p>
        </w:tc>
      </w:tr>
      <w:tr w:rsidR="00FD06ED" w:rsidRPr="00FD06ED" w14:paraId="544E731B" w14:textId="77777777" w:rsidTr="005C33EF">
        <w:trPr>
          <w:trHeight w:val="255"/>
        </w:trPr>
        <w:tc>
          <w:tcPr>
            <w:tcW w:w="6376" w:type="dxa"/>
            <w:tcBorders>
              <w:top w:val="nil"/>
              <w:left w:val="nil"/>
              <w:bottom w:val="nil"/>
              <w:right w:val="nil"/>
            </w:tcBorders>
            <w:shd w:val="clear" w:color="FFFFFF" w:fill="FFFFFF"/>
            <w:vAlign w:val="bottom"/>
            <w:hideMark/>
          </w:tcPr>
          <w:p w14:paraId="26CC9C1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impairment loss allowance</w:t>
            </w:r>
          </w:p>
        </w:tc>
        <w:tc>
          <w:tcPr>
            <w:tcW w:w="1236" w:type="dxa"/>
            <w:tcBorders>
              <w:top w:val="single" w:sz="4" w:space="0" w:color="auto"/>
              <w:left w:val="nil"/>
              <w:bottom w:val="single" w:sz="4" w:space="0" w:color="auto"/>
              <w:right w:val="nil"/>
            </w:tcBorders>
            <w:shd w:val="clear" w:color="FFFFFF" w:fill="FFFFFF"/>
            <w:noWrap/>
            <w:vAlign w:val="bottom"/>
            <w:hideMark/>
          </w:tcPr>
          <w:p w14:paraId="128DEA1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77,436</w:t>
            </w:r>
          </w:p>
        </w:tc>
        <w:tc>
          <w:tcPr>
            <w:tcW w:w="267" w:type="dxa"/>
            <w:tcBorders>
              <w:top w:val="nil"/>
              <w:left w:val="nil"/>
              <w:bottom w:val="nil"/>
              <w:right w:val="nil"/>
            </w:tcBorders>
            <w:shd w:val="clear" w:color="FFFFFF" w:fill="FFFFFF"/>
            <w:noWrap/>
            <w:vAlign w:val="bottom"/>
            <w:hideMark/>
          </w:tcPr>
          <w:p w14:paraId="6959465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20ED8D3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75,371</w:t>
            </w:r>
          </w:p>
        </w:tc>
      </w:tr>
      <w:tr w:rsidR="00FD06ED" w:rsidRPr="00FD06ED" w14:paraId="14E0A743" w14:textId="77777777" w:rsidTr="005C33EF">
        <w:trPr>
          <w:trHeight w:val="270"/>
        </w:trPr>
        <w:tc>
          <w:tcPr>
            <w:tcW w:w="6376" w:type="dxa"/>
            <w:tcBorders>
              <w:top w:val="nil"/>
              <w:left w:val="nil"/>
              <w:bottom w:val="nil"/>
              <w:right w:val="nil"/>
            </w:tcBorders>
            <w:shd w:val="clear" w:color="FFFFFF" w:fill="FFFFFF"/>
            <w:vAlign w:val="bottom"/>
            <w:hideMark/>
          </w:tcPr>
          <w:p w14:paraId="60A2B8A2"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trade and other receivables (net)</w:t>
            </w:r>
          </w:p>
        </w:tc>
        <w:tc>
          <w:tcPr>
            <w:tcW w:w="1236" w:type="dxa"/>
            <w:tcBorders>
              <w:top w:val="nil"/>
              <w:left w:val="nil"/>
              <w:bottom w:val="single" w:sz="4" w:space="0" w:color="auto"/>
              <w:right w:val="nil"/>
            </w:tcBorders>
            <w:shd w:val="clear" w:color="FFFFFF" w:fill="FFFFFF"/>
            <w:noWrap/>
            <w:vAlign w:val="bottom"/>
            <w:hideMark/>
          </w:tcPr>
          <w:p w14:paraId="5D92194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48,920</w:t>
            </w:r>
          </w:p>
        </w:tc>
        <w:tc>
          <w:tcPr>
            <w:tcW w:w="267" w:type="dxa"/>
            <w:tcBorders>
              <w:top w:val="nil"/>
              <w:left w:val="nil"/>
              <w:bottom w:val="nil"/>
              <w:right w:val="nil"/>
            </w:tcBorders>
            <w:shd w:val="clear" w:color="FFFFFF" w:fill="FFFFFF"/>
            <w:noWrap/>
            <w:vAlign w:val="bottom"/>
            <w:hideMark/>
          </w:tcPr>
          <w:p w14:paraId="48E0D7B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single" w:sz="4" w:space="0" w:color="auto"/>
              <w:right w:val="nil"/>
            </w:tcBorders>
            <w:shd w:val="clear" w:color="FFFFFF" w:fill="FFFFFF"/>
            <w:noWrap/>
            <w:vAlign w:val="bottom"/>
            <w:hideMark/>
          </w:tcPr>
          <w:p w14:paraId="74C06B4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55,498</w:t>
            </w:r>
          </w:p>
        </w:tc>
      </w:tr>
    </w:tbl>
    <w:p w14:paraId="097D83CB" w14:textId="77777777" w:rsidR="00FD06ED" w:rsidRPr="00FD06ED" w:rsidRDefault="00FD06ED" w:rsidP="00FD06ED">
      <w:pPr>
        <w:spacing w:before="60" w:after="0"/>
        <w:ind w:left="0"/>
        <w:rPr>
          <w:rFonts w:eastAsia="Times New Roman"/>
          <w:sz w:val="18"/>
          <w:szCs w:val="18"/>
          <w:lang w:eastAsia="en-US"/>
        </w:rPr>
      </w:pPr>
      <w:bookmarkStart w:id="192" w:name="OLE_LINK2"/>
    </w:p>
    <w:p w14:paraId="2F35BD0B" w14:textId="77777777" w:rsidR="00FD06ED" w:rsidRPr="00FD06ED" w:rsidRDefault="00FD06ED" w:rsidP="00FD06ED">
      <w:pPr>
        <w:spacing w:before="60" w:after="0"/>
        <w:ind w:left="0"/>
        <w:rPr>
          <w:rFonts w:eastAsia="Times New Roman"/>
          <w:sz w:val="18"/>
          <w:szCs w:val="18"/>
          <w:lang w:eastAsia="en-US"/>
        </w:rPr>
      </w:pPr>
      <w:r w:rsidRPr="00FD06ED">
        <w:rPr>
          <w:rFonts w:eastAsia="Times New Roman"/>
          <w:sz w:val="18"/>
          <w:szCs w:val="18"/>
          <w:lang w:eastAsia="en-US"/>
        </w:rPr>
        <w:t xml:space="preserve">During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r w:rsidRPr="00FD06ED">
        <w:rPr>
          <w:rFonts w:eastAsia="Times New Roman"/>
          <w:sz w:val="18"/>
          <w:szCs w:val="18"/>
          <w:lang w:eastAsia="en-US"/>
        </w:rPr>
        <w:t>-</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crYear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2022</w:t>
      </w:r>
      <w:r w:rsidRPr="00FD06ED">
        <w:rPr>
          <w:rFonts w:eastAsia="Times New Roman"/>
          <w:sz w:val="18"/>
          <w:szCs w:val="18"/>
          <w:lang w:eastAsia="en-US"/>
        </w:rPr>
        <w:fldChar w:fldCharType="end"/>
      </w:r>
      <w:r w:rsidRPr="00FD06ED">
        <w:rPr>
          <w:rFonts w:eastAsia="Times New Roman"/>
          <w:sz w:val="18"/>
          <w:szCs w:val="18"/>
          <w:lang w:eastAsia="en-US"/>
        </w:rPr>
        <w:t xml:space="preserve"> credit terms for goods and services were within 30 days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r w:rsidRPr="00FD06ED">
        <w:rPr>
          <w:rFonts w:eastAsia="Times New Roman"/>
          <w:sz w:val="18"/>
          <w:szCs w:val="18"/>
          <w:lang w:eastAsia="en-US"/>
        </w:rPr>
        <w:t>: 30 days).</w:t>
      </w:r>
    </w:p>
    <w:p w14:paraId="3BA20E9C" w14:textId="77777777" w:rsidR="00FD06ED" w:rsidRPr="00FD06ED" w:rsidRDefault="00FD06ED" w:rsidP="00FD06ED">
      <w:pPr>
        <w:spacing w:before="60" w:after="0"/>
        <w:ind w:left="142" w:hanging="142"/>
        <w:rPr>
          <w:rFonts w:eastAsia="Times New Roman"/>
          <w:sz w:val="16"/>
          <w:szCs w:val="18"/>
          <w:vertAlign w:val="superscript"/>
          <w:lang w:eastAsia="en-US"/>
        </w:rPr>
      </w:pPr>
    </w:p>
    <w:p w14:paraId="531758AD" w14:textId="77777777" w:rsidR="00FD06ED" w:rsidRPr="00FD06ED" w:rsidRDefault="00FD06ED" w:rsidP="00FD06ED">
      <w:pPr>
        <w:spacing w:before="60" w:after="0"/>
        <w:ind w:left="142" w:hanging="142"/>
        <w:rPr>
          <w:rFonts w:eastAsia="Times New Roman"/>
          <w:sz w:val="14"/>
          <w:szCs w:val="16"/>
          <w:lang w:eastAsia="en-US"/>
        </w:rPr>
      </w:pPr>
      <w:r w:rsidRPr="00FD06ED">
        <w:rPr>
          <w:rFonts w:eastAsia="Times New Roman"/>
          <w:sz w:val="16"/>
          <w:szCs w:val="18"/>
          <w:vertAlign w:val="superscript"/>
          <w:lang w:eastAsia="en-US"/>
        </w:rPr>
        <w:t>1</w:t>
      </w:r>
      <w:r w:rsidRPr="00FD06ED">
        <w:rPr>
          <w:rFonts w:eastAsia="Times New Roman"/>
          <w:sz w:val="16"/>
          <w:szCs w:val="18"/>
          <w:lang w:eastAsia="en-US"/>
        </w:rPr>
        <w:t xml:space="preserve"> </w:t>
      </w:r>
      <w:r w:rsidRPr="00FD06ED">
        <w:rPr>
          <w:rFonts w:eastAsia="Times New Roman"/>
          <w:sz w:val="14"/>
          <w:szCs w:val="16"/>
          <w:lang w:eastAsia="en-US"/>
        </w:rPr>
        <w:t>Pandemic plan provider receivables represent optional advances made by the Agency to eligible registered providers to assist with cash flow and continuity of supports during the COVID-19 pandemic. Refer also to the Accounting Policy below.</w:t>
      </w:r>
    </w:p>
    <w:p w14:paraId="41B1D52A" w14:textId="77777777" w:rsidR="00FD06ED" w:rsidRPr="00FD06ED" w:rsidRDefault="00FD06ED" w:rsidP="00FD06ED">
      <w:pPr>
        <w:spacing w:before="60" w:after="0"/>
        <w:ind w:left="142" w:hanging="142"/>
        <w:rPr>
          <w:rFonts w:eastAsia="Times New Roman"/>
          <w:sz w:val="16"/>
          <w:szCs w:val="18"/>
          <w:lang w:eastAsia="en-US"/>
        </w:rPr>
      </w:pPr>
      <w:r w:rsidRPr="00FD06ED">
        <w:rPr>
          <w:rFonts w:eastAsia="Times New Roman"/>
          <w:sz w:val="16"/>
          <w:szCs w:val="18"/>
          <w:vertAlign w:val="superscript"/>
          <w:lang w:eastAsia="en-US"/>
        </w:rPr>
        <w:t>2</w:t>
      </w:r>
      <w:r w:rsidRPr="00FD06ED">
        <w:rPr>
          <w:rFonts w:eastAsia="Times New Roman"/>
          <w:sz w:val="16"/>
          <w:szCs w:val="18"/>
          <w:lang w:eastAsia="en-US"/>
        </w:rPr>
        <w:t xml:space="preserve"> </w:t>
      </w:r>
      <w:r w:rsidRPr="00FD06ED">
        <w:rPr>
          <w:rFonts w:eastAsia="Times New Roman"/>
          <w:sz w:val="14"/>
          <w:szCs w:val="16"/>
          <w:lang w:eastAsia="en-US"/>
        </w:rPr>
        <w:t xml:space="preserve">Refer to the Impairment of financial assets section as part of the Accounting Policy below. </w:t>
      </w:r>
    </w:p>
    <w:p w14:paraId="5E4B90CF"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br w:type="page"/>
      </w:r>
    </w:p>
    <w:p w14:paraId="13FF4C4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lastRenderedPageBreak/>
        <w:t xml:space="preserve">Accounting Policy </w:t>
      </w:r>
    </w:p>
    <w:p w14:paraId="441D71DE"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AU"/>
        </w:rPr>
      </w:pPr>
      <w:r w:rsidRPr="00FD06ED">
        <w:rPr>
          <w:rFonts w:eastAsia="Times New Roman"/>
          <w:bCs/>
          <w:iCs/>
          <w:sz w:val="18"/>
          <w:szCs w:val="18"/>
          <w:lang w:eastAsia="en-AU"/>
        </w:rPr>
        <w:t xml:space="preserve">Receivables for goods and services, which have </w:t>
      </w:r>
      <w:proofErr w:type="gramStart"/>
      <w:r w:rsidRPr="00FD06ED">
        <w:rPr>
          <w:rFonts w:eastAsia="Times New Roman"/>
          <w:bCs/>
          <w:iCs/>
          <w:sz w:val="18"/>
          <w:szCs w:val="18"/>
          <w:lang w:eastAsia="en-AU"/>
        </w:rPr>
        <w:t>30 day</w:t>
      </w:r>
      <w:proofErr w:type="gramEnd"/>
      <w:r w:rsidRPr="00FD06ED">
        <w:rPr>
          <w:rFonts w:eastAsia="Times New Roman"/>
          <w:bCs/>
          <w:iCs/>
          <w:sz w:val="18"/>
          <w:szCs w:val="18"/>
          <w:lang w:eastAsia="en-AU"/>
        </w:rPr>
        <w:t xml:space="preserve"> terms, are recognised at the nominal amounts due less any impairment allowance account. Collectability of debts is reviewed at end of the reporting period. Allowances are made when collectability of the debt is no longer probable.</w:t>
      </w: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5FC57C75" w14:textId="77777777" w:rsidTr="005C33EF">
        <w:trPr>
          <w:trHeight w:val="255"/>
        </w:trPr>
        <w:tc>
          <w:tcPr>
            <w:tcW w:w="6376" w:type="dxa"/>
            <w:tcBorders>
              <w:top w:val="nil"/>
              <w:left w:val="nil"/>
              <w:bottom w:val="nil"/>
              <w:right w:val="nil"/>
            </w:tcBorders>
            <w:shd w:val="clear" w:color="FFFFFF" w:fill="FFFFFF"/>
            <w:noWrap/>
            <w:vAlign w:val="bottom"/>
            <w:hideMark/>
          </w:tcPr>
          <w:p w14:paraId="38A62F16"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193" w:name="Note_OFATABLE1" w:colFirst="0" w:colLast="0"/>
            <w:r w:rsidRPr="00FD06ED">
              <w:rPr>
                <w:rFonts w:eastAsia="Times New Roman"/>
                <w:b/>
                <w:bCs/>
                <w:sz w:val="18"/>
                <w:szCs w:val="18"/>
                <w:u w:val="single"/>
                <w:lang w:eastAsia="en-US"/>
              </w:rPr>
              <w:t>Note 2.1C: Other financial assets</w:t>
            </w:r>
          </w:p>
        </w:tc>
        <w:tc>
          <w:tcPr>
            <w:tcW w:w="1236" w:type="dxa"/>
            <w:tcBorders>
              <w:top w:val="nil"/>
              <w:left w:val="nil"/>
              <w:bottom w:val="nil"/>
              <w:right w:val="nil"/>
            </w:tcBorders>
            <w:shd w:val="clear" w:color="FFFFFF" w:fill="FFFFFF"/>
            <w:noWrap/>
            <w:vAlign w:val="bottom"/>
            <w:hideMark/>
          </w:tcPr>
          <w:p w14:paraId="5A6925E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0EDED5C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5BBC6C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192"/>
      <w:bookmarkEnd w:id="193"/>
    </w:tbl>
    <w:p w14:paraId="36448F3D" w14:textId="77777777" w:rsidR="00FD06ED" w:rsidRPr="00FD06ED" w:rsidRDefault="00FD06ED" w:rsidP="00FD06ED">
      <w:pPr>
        <w:spacing w:before="0" w:after="0"/>
        <w:ind w:left="0" w:right="607"/>
        <w:rPr>
          <w:rFonts w:eastAsia="Times New Roman" w:cs="Times New Roman"/>
          <w:bCs/>
          <w:sz w:val="18"/>
          <w:szCs w:val="18"/>
          <w:lang w:eastAsia="en-US"/>
        </w:rPr>
      </w:pPr>
    </w:p>
    <w:p w14:paraId="7F37DEDD" w14:textId="77777777" w:rsidR="00FD06ED" w:rsidRPr="00FD06ED" w:rsidRDefault="00FD06ED" w:rsidP="00FD06ED">
      <w:pPr>
        <w:spacing w:before="0" w:after="0"/>
        <w:ind w:left="0" w:right="607"/>
        <w:rPr>
          <w:rFonts w:eastAsia="Times New Roman" w:cs="Times New Roman"/>
          <w:bCs/>
          <w:sz w:val="18"/>
          <w:szCs w:val="18"/>
          <w:lang w:eastAsia="en-US"/>
        </w:rPr>
      </w:pPr>
      <w:r w:rsidRPr="00FD06ED">
        <w:rPr>
          <w:rFonts w:eastAsia="Times New Roman" w:cs="Times New Roman"/>
          <w:bCs/>
          <w:sz w:val="18"/>
          <w:szCs w:val="18"/>
          <w:lang w:eastAsia="en-US"/>
        </w:rPr>
        <w:t>Term deposits are expected to be recovered within 12 months.</w:t>
      </w:r>
    </w:p>
    <w:p w14:paraId="1D6DBDF9" w14:textId="77777777" w:rsidR="00FD06ED" w:rsidRPr="00FD06ED" w:rsidRDefault="00FD06ED" w:rsidP="00FD06ED">
      <w:pPr>
        <w:spacing w:before="0" w:after="0"/>
        <w:ind w:left="0" w:right="607"/>
        <w:rPr>
          <w:rFonts w:eastAsia="Times New Roman" w:cs="Times New Roman"/>
          <w:bCs/>
          <w:sz w:val="18"/>
          <w:szCs w:val="18"/>
          <w:lang w:eastAsia="en-US"/>
        </w:rPr>
      </w:pPr>
    </w:p>
    <w:p w14:paraId="161DAC56"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 xml:space="preserve">Accounting Policy </w:t>
      </w:r>
    </w:p>
    <w:p w14:paraId="0B691F8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Cs/>
          <w:sz w:val="18"/>
          <w:szCs w:val="18"/>
          <w:lang w:eastAsia="en-AU"/>
        </w:rPr>
      </w:pPr>
      <w:r w:rsidRPr="00FD06ED">
        <w:rPr>
          <w:rFonts w:eastAsia="Times New Roman"/>
          <w:bCs/>
          <w:iCs/>
          <w:sz w:val="18"/>
          <w:szCs w:val="18"/>
          <w:lang w:eastAsia="en-AU"/>
        </w:rPr>
        <w:t>Term deposits with an original maturity of three months or less are classified as cash and cash equivalents and are included in Note 2.1A.</w:t>
      </w:r>
    </w:p>
    <w:p w14:paraId="5AEB7866" w14:textId="77777777" w:rsidR="00FD06ED" w:rsidRPr="00FD06ED" w:rsidRDefault="00FD06ED" w:rsidP="00FD06ED">
      <w:pPr>
        <w:spacing w:before="0" w:after="0"/>
        <w:ind w:left="0"/>
        <w:rPr>
          <w:rFonts w:ascii="Times New Roman" w:eastAsia="Times New Roman" w:hAnsi="Times New Roman"/>
          <w:sz w:val="18"/>
          <w:szCs w:val="18"/>
          <w:lang w:eastAsia="en-US"/>
        </w:rPr>
      </w:pPr>
    </w:p>
    <w:p w14:paraId="1676D2A6"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bookmarkStart w:id="194" w:name="OLE_LINK3"/>
      <w:r w:rsidRPr="00FD06ED">
        <w:rPr>
          <w:rFonts w:eastAsia="Times New Roman"/>
          <w:b/>
          <w:bCs/>
          <w:sz w:val="18"/>
          <w:szCs w:val="18"/>
          <w:lang w:eastAsia="en-US"/>
        </w:rPr>
        <w:t xml:space="preserve">Accounting Policy - Financial Assets - General </w:t>
      </w:r>
    </w:p>
    <w:p w14:paraId="677BEBDD"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FD06ED">
        <w:rPr>
          <w:rFonts w:eastAsia="Times New Roman"/>
          <w:bCs/>
          <w:i/>
          <w:sz w:val="18"/>
          <w:szCs w:val="18"/>
          <w:u w:val="single"/>
          <w:lang w:eastAsia="en-AU"/>
        </w:rPr>
        <w:t>Financial assets</w:t>
      </w:r>
    </w:p>
    <w:p w14:paraId="18147B05"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Trade receivables and other receivables are recognised at the nominal amounts due less any impairment allowance amount. The collectability is assessed periodically with impairment allowances made when there is evidence that the Agency will not be able to collect the debt.</w:t>
      </w:r>
    </w:p>
    <w:p w14:paraId="64C01A5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 xml:space="preserve">The Agency classifies </w:t>
      </w:r>
      <w:proofErr w:type="gramStart"/>
      <w:r w:rsidRPr="00FD06ED">
        <w:rPr>
          <w:rFonts w:eastAsia="Times New Roman"/>
          <w:bCs/>
          <w:sz w:val="18"/>
          <w:szCs w:val="18"/>
          <w:lang w:eastAsia="en-AU"/>
        </w:rPr>
        <w:t>all of</w:t>
      </w:r>
      <w:proofErr w:type="gramEnd"/>
      <w:r w:rsidRPr="00FD06ED">
        <w:rPr>
          <w:rFonts w:eastAsia="Times New Roman"/>
          <w:bCs/>
          <w:sz w:val="18"/>
          <w:szCs w:val="18"/>
          <w:lang w:eastAsia="en-AU"/>
        </w:rPr>
        <w:t xml:space="preserve"> its financial assets according to their nature and purpose at the time of recognition. Financial assets are recognised and derecognised upon trade date.</w:t>
      </w:r>
    </w:p>
    <w:p w14:paraId="38BFB6A1"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FD06ED">
        <w:rPr>
          <w:rFonts w:eastAsia="Times New Roman"/>
          <w:bCs/>
          <w:i/>
          <w:sz w:val="18"/>
          <w:szCs w:val="18"/>
          <w:u w:val="single"/>
          <w:lang w:eastAsia="en-AU"/>
        </w:rPr>
        <w:t>Effective Interest Method</w:t>
      </w:r>
    </w:p>
    <w:p w14:paraId="2DCE005A"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Income is recognised on an effective interest rate basis for financial assets that are recognised at amortised cost.</w:t>
      </w:r>
    </w:p>
    <w:p w14:paraId="52F04992"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lang w:eastAsia="en-AU"/>
        </w:rPr>
      </w:pPr>
      <w:r w:rsidRPr="00FD06ED">
        <w:rPr>
          <w:rFonts w:eastAsia="Times New Roman"/>
          <w:bCs/>
          <w:sz w:val="18"/>
          <w:szCs w:val="18"/>
          <w:lang w:eastAsia="en-AU"/>
        </w:rPr>
        <w:t>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67434DD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AU"/>
        </w:rPr>
      </w:pPr>
      <w:r w:rsidRPr="00FD06ED">
        <w:rPr>
          <w:rFonts w:eastAsia="Times New Roman"/>
          <w:bCs/>
          <w:i/>
          <w:sz w:val="18"/>
          <w:szCs w:val="18"/>
          <w:u w:val="single"/>
          <w:lang w:eastAsia="en-AU"/>
        </w:rPr>
        <w:t>Impairment of financial assets</w:t>
      </w:r>
    </w:p>
    <w:p w14:paraId="1C0D145C"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Financial assets are assessed for impairment at the end of each reporting period based on Expected Credit Losses, using the simplified approach for goods and services receivable and other receivables. Based on the Agency’s standard credit terms of 30 days, an impairment allowance is recognised for all goods and services and other receivables outstanding for more than 120 days. Consistent with this policy, an impairment allowance has been recognised for the disputed portion of a contribution from states &amp; territories. The Agency continues to pursue full recovery of this amount and all other impaired debts in accordance with the Agency’s debt recovery policy.</w:t>
      </w:r>
    </w:p>
    <w:p w14:paraId="3CD2C13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Due to their nature the Agency used the general approach to assess pandemic plan provider receivables for impairment. During 2020-21, the Agency recognised an impairment allowance for the pandemic plan receivables where providers had debts that had not been offset against claims at an agreed rate, unless there was an agreed debt repayment plan in place.</w:t>
      </w:r>
    </w:p>
    <w:p w14:paraId="7C4A88B5"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Both the simplified and general impairment approaches always measure the loss allowance as the amount equal to the lifetime expected credit losses.</w:t>
      </w:r>
    </w:p>
    <w:bookmarkEnd w:id="194"/>
    <w:p w14:paraId="526B7706"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sectPr w:rsidR="00FD06ED" w:rsidRPr="00FD06ED" w:rsidSect="000E2388">
          <w:pgSz w:w="11906" w:h="16838" w:code="9"/>
          <w:pgMar w:top="1134" w:right="1701" w:bottom="1134" w:left="1134" w:header="958" w:footer="737" w:gutter="0"/>
          <w:cols w:space="708"/>
          <w:docGrid w:linePitch="360"/>
        </w:sectPr>
      </w:pPr>
    </w:p>
    <w:p w14:paraId="7FC1F0FA" w14:textId="09CEF5BB" w:rsidR="00FD06ED" w:rsidRPr="00FD06ED" w:rsidRDefault="00250604"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195" w:name="_Toc443469530"/>
      <w:bookmarkStart w:id="196" w:name="_Toc443577404"/>
      <w:bookmarkStart w:id="197" w:name="_Toc445194082"/>
      <w:bookmarkStart w:id="198" w:name="_Toc447030540"/>
      <w:bookmarkStart w:id="199" w:name="_Toc447030692"/>
      <w:bookmarkStart w:id="200" w:name="_Toc447030785"/>
      <w:bookmarkStart w:id="201" w:name="_Toc65742848"/>
      <w:bookmarkStart w:id="202" w:name="_Toc114477511"/>
      <w:bookmarkStart w:id="203" w:name="_Toc116414682"/>
      <w:bookmarkStart w:id="204" w:name="_Toc116472661"/>
      <w:bookmarkStart w:id="205" w:name="_Toc116473876"/>
      <w:r>
        <w:rPr>
          <w:rFonts w:eastAsia="Times New Roman"/>
          <w:b/>
          <w:color w:val="FFFFFF"/>
          <w:sz w:val="20"/>
          <w:szCs w:val="20"/>
          <w:lang w:eastAsia="en-US"/>
        </w:rPr>
        <w:lastRenderedPageBreak/>
        <w:t xml:space="preserve">2.2 </w:t>
      </w:r>
      <w:r w:rsidR="00FD06ED" w:rsidRPr="00FD06ED">
        <w:rPr>
          <w:rFonts w:eastAsia="Times New Roman"/>
          <w:b/>
          <w:color w:val="FFFFFF"/>
          <w:sz w:val="20"/>
          <w:szCs w:val="20"/>
          <w:lang w:eastAsia="en-US"/>
        </w:rPr>
        <w:t>Non-Financial Assets</w:t>
      </w:r>
      <w:bookmarkEnd w:id="195"/>
      <w:bookmarkEnd w:id="196"/>
      <w:bookmarkEnd w:id="197"/>
      <w:bookmarkEnd w:id="198"/>
      <w:bookmarkEnd w:id="199"/>
      <w:bookmarkEnd w:id="200"/>
      <w:bookmarkEnd w:id="201"/>
      <w:bookmarkEnd w:id="202"/>
      <w:bookmarkEnd w:id="203"/>
      <w:bookmarkEnd w:id="204"/>
      <w:bookmarkEnd w:id="205"/>
    </w:p>
    <w:tbl>
      <w:tblPr>
        <w:tblW w:w="9637" w:type="dxa"/>
        <w:tblLayout w:type="fixed"/>
        <w:tblCellMar>
          <w:left w:w="57" w:type="dxa"/>
          <w:right w:w="57" w:type="dxa"/>
        </w:tblCellMar>
        <w:tblLook w:val="04A0" w:firstRow="1" w:lastRow="0" w:firstColumn="1" w:lastColumn="0" w:noHBand="0" w:noVBand="1"/>
      </w:tblPr>
      <w:tblGrid>
        <w:gridCol w:w="5290"/>
        <w:gridCol w:w="1615"/>
        <w:gridCol w:w="1387"/>
        <w:gridCol w:w="1345"/>
      </w:tblGrid>
      <w:tr w:rsidR="00FD06ED" w:rsidRPr="00FD06ED" w14:paraId="0454E774" w14:textId="77777777" w:rsidTr="005C33EF">
        <w:trPr>
          <w:trHeight w:val="495"/>
        </w:trPr>
        <w:tc>
          <w:tcPr>
            <w:tcW w:w="9284" w:type="dxa"/>
            <w:gridSpan w:val="4"/>
            <w:tcBorders>
              <w:top w:val="nil"/>
              <w:left w:val="nil"/>
              <w:bottom w:val="nil"/>
              <w:right w:val="nil"/>
            </w:tcBorders>
            <w:shd w:val="clear" w:color="FFFFFF" w:fill="FFFFFF"/>
            <w:vAlign w:val="bottom"/>
            <w:hideMark/>
          </w:tcPr>
          <w:p w14:paraId="4E4691D1"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06" w:name="Note_MTATABLE1" w:colFirst="0" w:colLast="0"/>
            <w:r w:rsidRPr="00FD06ED">
              <w:rPr>
                <w:rFonts w:eastAsia="Times New Roman"/>
                <w:b/>
                <w:bCs/>
                <w:sz w:val="18"/>
                <w:szCs w:val="18"/>
                <w:u w:val="single"/>
                <w:lang w:eastAsia="en-US"/>
              </w:rPr>
              <w:t>Note 2.2A: Reconciliation of the opening and closing balances of Buildings and Plant and equipment 2022</w:t>
            </w:r>
          </w:p>
        </w:tc>
      </w:tr>
      <w:bookmarkEnd w:id="206"/>
      <w:tr w:rsidR="00FD06ED" w:rsidRPr="00FD06ED" w14:paraId="369BCC1F" w14:textId="77777777" w:rsidTr="005C33EF">
        <w:trPr>
          <w:trHeight w:val="255"/>
        </w:trPr>
        <w:tc>
          <w:tcPr>
            <w:tcW w:w="5096" w:type="dxa"/>
            <w:tcBorders>
              <w:top w:val="nil"/>
              <w:left w:val="nil"/>
              <w:bottom w:val="nil"/>
              <w:right w:val="nil"/>
            </w:tcBorders>
            <w:shd w:val="clear" w:color="FFFFFF" w:fill="FFFFFF"/>
            <w:noWrap/>
            <w:vAlign w:val="bottom"/>
            <w:hideMark/>
          </w:tcPr>
          <w:p w14:paraId="48400F8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556" w:type="dxa"/>
            <w:tcBorders>
              <w:top w:val="nil"/>
              <w:left w:val="nil"/>
              <w:bottom w:val="nil"/>
              <w:right w:val="nil"/>
            </w:tcBorders>
            <w:shd w:val="clear" w:color="FFFFFF" w:fill="FFFFFF"/>
            <w:noWrap/>
            <w:vAlign w:val="bottom"/>
            <w:hideMark/>
          </w:tcPr>
          <w:p w14:paraId="5CA085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36" w:type="dxa"/>
            <w:tcBorders>
              <w:top w:val="nil"/>
              <w:left w:val="nil"/>
              <w:bottom w:val="nil"/>
              <w:right w:val="nil"/>
            </w:tcBorders>
            <w:shd w:val="clear" w:color="FFFFFF" w:fill="FFFFFF"/>
            <w:noWrap/>
            <w:vAlign w:val="bottom"/>
            <w:hideMark/>
          </w:tcPr>
          <w:p w14:paraId="1527FF2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96" w:type="dxa"/>
            <w:tcBorders>
              <w:top w:val="nil"/>
              <w:left w:val="nil"/>
              <w:bottom w:val="nil"/>
              <w:right w:val="nil"/>
            </w:tcBorders>
            <w:shd w:val="clear" w:color="FFFFFF" w:fill="FFFFFF"/>
            <w:noWrap/>
            <w:vAlign w:val="bottom"/>
            <w:hideMark/>
          </w:tcPr>
          <w:p w14:paraId="3A75070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0E26496" w14:textId="77777777" w:rsidTr="005C33EF">
        <w:trPr>
          <w:trHeight w:val="492"/>
        </w:trPr>
        <w:tc>
          <w:tcPr>
            <w:tcW w:w="5096" w:type="dxa"/>
            <w:tcBorders>
              <w:top w:val="single" w:sz="4" w:space="0" w:color="auto"/>
              <w:left w:val="nil"/>
              <w:bottom w:val="nil"/>
              <w:right w:val="nil"/>
            </w:tcBorders>
            <w:shd w:val="clear" w:color="FFFFFF" w:fill="FFFFFF"/>
            <w:noWrap/>
            <w:vAlign w:val="bottom"/>
            <w:hideMark/>
          </w:tcPr>
          <w:p w14:paraId="11F291A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556" w:type="dxa"/>
            <w:tcBorders>
              <w:top w:val="single" w:sz="4" w:space="0" w:color="auto"/>
              <w:left w:val="nil"/>
              <w:bottom w:val="nil"/>
              <w:right w:val="nil"/>
            </w:tcBorders>
            <w:shd w:val="clear" w:color="FFFFFF" w:fill="FFFFFF"/>
            <w:vAlign w:val="bottom"/>
            <w:hideMark/>
          </w:tcPr>
          <w:p w14:paraId="21CAD66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xml:space="preserve">Buildings </w:t>
            </w:r>
          </w:p>
        </w:tc>
        <w:tc>
          <w:tcPr>
            <w:tcW w:w="1336" w:type="dxa"/>
            <w:tcBorders>
              <w:top w:val="single" w:sz="4" w:space="0" w:color="auto"/>
              <w:left w:val="nil"/>
              <w:bottom w:val="nil"/>
              <w:right w:val="nil"/>
            </w:tcBorders>
            <w:shd w:val="clear" w:color="FFFFFF" w:fill="FFFFFF"/>
            <w:hideMark/>
          </w:tcPr>
          <w:p w14:paraId="7D90681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Plant &amp; equipment</w:t>
            </w:r>
          </w:p>
        </w:tc>
        <w:tc>
          <w:tcPr>
            <w:tcW w:w="1296" w:type="dxa"/>
            <w:tcBorders>
              <w:top w:val="single" w:sz="4" w:space="0" w:color="auto"/>
              <w:left w:val="nil"/>
              <w:bottom w:val="nil"/>
              <w:right w:val="nil"/>
            </w:tcBorders>
            <w:shd w:val="clear" w:color="FFFFFF" w:fill="FFFFFF"/>
            <w:vAlign w:val="bottom"/>
            <w:hideMark/>
          </w:tcPr>
          <w:p w14:paraId="27F5199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Total</w:t>
            </w:r>
          </w:p>
        </w:tc>
      </w:tr>
      <w:tr w:rsidR="00FD06ED" w:rsidRPr="00FD06ED" w14:paraId="4F1FE09C" w14:textId="77777777" w:rsidTr="005C33EF">
        <w:trPr>
          <w:trHeight w:val="255"/>
        </w:trPr>
        <w:tc>
          <w:tcPr>
            <w:tcW w:w="5096" w:type="dxa"/>
            <w:tcBorders>
              <w:top w:val="nil"/>
              <w:left w:val="nil"/>
              <w:bottom w:val="single" w:sz="4" w:space="0" w:color="auto"/>
              <w:right w:val="nil"/>
            </w:tcBorders>
            <w:shd w:val="clear" w:color="FFFFFF" w:fill="FFFFFF"/>
            <w:noWrap/>
            <w:vAlign w:val="bottom"/>
            <w:hideMark/>
          </w:tcPr>
          <w:p w14:paraId="0839759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556" w:type="dxa"/>
            <w:tcBorders>
              <w:top w:val="nil"/>
              <w:left w:val="nil"/>
              <w:bottom w:val="single" w:sz="4" w:space="0" w:color="auto"/>
              <w:right w:val="nil"/>
            </w:tcBorders>
            <w:shd w:val="clear" w:color="FFFFFF" w:fill="FFFFFF"/>
            <w:vAlign w:val="bottom"/>
            <w:hideMark/>
          </w:tcPr>
          <w:p w14:paraId="1F618E1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1336" w:type="dxa"/>
            <w:tcBorders>
              <w:top w:val="nil"/>
              <w:left w:val="nil"/>
              <w:bottom w:val="single" w:sz="4" w:space="0" w:color="auto"/>
              <w:right w:val="nil"/>
            </w:tcBorders>
            <w:shd w:val="clear" w:color="FFFFFF" w:fill="FFFFFF"/>
            <w:vAlign w:val="bottom"/>
            <w:hideMark/>
          </w:tcPr>
          <w:p w14:paraId="7C957C2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1296" w:type="dxa"/>
            <w:tcBorders>
              <w:top w:val="nil"/>
              <w:left w:val="nil"/>
              <w:bottom w:val="single" w:sz="4" w:space="0" w:color="auto"/>
              <w:right w:val="nil"/>
            </w:tcBorders>
            <w:shd w:val="clear" w:color="FFFFFF" w:fill="FFFFFF"/>
            <w:vAlign w:val="bottom"/>
            <w:hideMark/>
          </w:tcPr>
          <w:p w14:paraId="0DC8102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r>
      <w:tr w:rsidR="00FD06ED" w:rsidRPr="00FD06ED" w14:paraId="30DAD462" w14:textId="77777777" w:rsidTr="005C33EF">
        <w:trPr>
          <w:trHeight w:val="255"/>
        </w:trPr>
        <w:tc>
          <w:tcPr>
            <w:tcW w:w="5096" w:type="dxa"/>
            <w:tcBorders>
              <w:top w:val="nil"/>
              <w:left w:val="nil"/>
              <w:bottom w:val="nil"/>
              <w:right w:val="nil"/>
            </w:tcBorders>
            <w:shd w:val="clear" w:color="FFFFFF" w:fill="FFFFFF"/>
            <w:vAlign w:val="bottom"/>
            <w:hideMark/>
          </w:tcPr>
          <w:p w14:paraId="14F8AEF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As </w:t>
            </w:r>
            <w:proofErr w:type="gramStart"/>
            <w:r w:rsidRPr="00FD06ED">
              <w:rPr>
                <w:rFonts w:eastAsia="Times New Roman"/>
                <w:b/>
                <w:bCs/>
                <w:sz w:val="18"/>
                <w:szCs w:val="18"/>
                <w:lang w:eastAsia="en-US"/>
              </w:rPr>
              <w:t>at</w:t>
            </w:r>
            <w:proofErr w:type="gramEnd"/>
            <w:r w:rsidRPr="00FD06ED">
              <w:rPr>
                <w:rFonts w:eastAsia="Times New Roman"/>
                <w:b/>
                <w:bCs/>
                <w:sz w:val="18"/>
                <w:szCs w:val="18"/>
                <w:lang w:eastAsia="en-US"/>
              </w:rPr>
              <w:t xml:space="preserve"> 1 July 2021</w:t>
            </w:r>
          </w:p>
        </w:tc>
        <w:tc>
          <w:tcPr>
            <w:tcW w:w="1556" w:type="dxa"/>
            <w:tcBorders>
              <w:top w:val="nil"/>
              <w:left w:val="nil"/>
              <w:bottom w:val="nil"/>
              <w:right w:val="nil"/>
            </w:tcBorders>
            <w:shd w:val="clear" w:color="FFFFFF" w:fill="FFFFFF"/>
            <w:noWrap/>
            <w:vAlign w:val="bottom"/>
            <w:hideMark/>
          </w:tcPr>
          <w:p w14:paraId="235D21F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36" w:type="dxa"/>
            <w:tcBorders>
              <w:top w:val="nil"/>
              <w:left w:val="nil"/>
              <w:bottom w:val="nil"/>
              <w:right w:val="nil"/>
            </w:tcBorders>
            <w:shd w:val="clear" w:color="FFFFFF" w:fill="FFFFFF"/>
            <w:noWrap/>
            <w:vAlign w:val="bottom"/>
            <w:hideMark/>
          </w:tcPr>
          <w:p w14:paraId="46EC80E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96" w:type="dxa"/>
            <w:tcBorders>
              <w:top w:val="nil"/>
              <w:left w:val="nil"/>
              <w:bottom w:val="nil"/>
              <w:right w:val="nil"/>
            </w:tcBorders>
            <w:shd w:val="clear" w:color="FFFFFF" w:fill="FFFFFF"/>
            <w:noWrap/>
            <w:vAlign w:val="bottom"/>
            <w:hideMark/>
          </w:tcPr>
          <w:p w14:paraId="7A191F8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5859C6D" w14:textId="77777777" w:rsidTr="005C33EF">
        <w:trPr>
          <w:trHeight w:val="255"/>
        </w:trPr>
        <w:tc>
          <w:tcPr>
            <w:tcW w:w="5096" w:type="dxa"/>
            <w:tcBorders>
              <w:top w:val="nil"/>
              <w:left w:val="nil"/>
              <w:bottom w:val="nil"/>
              <w:right w:val="nil"/>
            </w:tcBorders>
            <w:shd w:val="clear" w:color="FFFFFF" w:fill="FFFFFF"/>
            <w:vAlign w:val="bottom"/>
            <w:hideMark/>
          </w:tcPr>
          <w:p w14:paraId="56128DB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Gross book value</w:t>
            </w:r>
          </w:p>
        </w:tc>
        <w:tc>
          <w:tcPr>
            <w:tcW w:w="1556" w:type="dxa"/>
            <w:tcBorders>
              <w:top w:val="nil"/>
              <w:left w:val="nil"/>
              <w:bottom w:val="nil"/>
              <w:right w:val="nil"/>
            </w:tcBorders>
            <w:shd w:val="clear" w:color="FFFFFF" w:fill="FFFFFF"/>
            <w:noWrap/>
            <w:vAlign w:val="bottom"/>
            <w:hideMark/>
          </w:tcPr>
          <w:p w14:paraId="20D4793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366,855</w:t>
            </w:r>
          </w:p>
        </w:tc>
        <w:tc>
          <w:tcPr>
            <w:tcW w:w="1336" w:type="dxa"/>
            <w:tcBorders>
              <w:top w:val="nil"/>
              <w:left w:val="nil"/>
              <w:bottom w:val="nil"/>
              <w:right w:val="nil"/>
            </w:tcBorders>
            <w:shd w:val="clear" w:color="FFFFFF" w:fill="FFFFFF"/>
            <w:noWrap/>
            <w:vAlign w:val="bottom"/>
            <w:hideMark/>
          </w:tcPr>
          <w:p w14:paraId="123AAF2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3,700</w:t>
            </w:r>
          </w:p>
        </w:tc>
        <w:tc>
          <w:tcPr>
            <w:tcW w:w="1296" w:type="dxa"/>
            <w:tcBorders>
              <w:top w:val="nil"/>
              <w:left w:val="nil"/>
              <w:bottom w:val="nil"/>
              <w:right w:val="nil"/>
            </w:tcBorders>
            <w:shd w:val="clear" w:color="FFFFFF" w:fill="FFFFFF"/>
            <w:noWrap/>
            <w:vAlign w:val="bottom"/>
            <w:hideMark/>
          </w:tcPr>
          <w:p w14:paraId="705E879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370,555</w:t>
            </w:r>
          </w:p>
        </w:tc>
      </w:tr>
      <w:tr w:rsidR="00FD06ED" w:rsidRPr="00FD06ED" w14:paraId="241FD654" w14:textId="77777777" w:rsidTr="005C33EF">
        <w:trPr>
          <w:trHeight w:val="255"/>
        </w:trPr>
        <w:tc>
          <w:tcPr>
            <w:tcW w:w="5096" w:type="dxa"/>
            <w:tcBorders>
              <w:top w:val="nil"/>
              <w:left w:val="nil"/>
              <w:bottom w:val="nil"/>
              <w:right w:val="nil"/>
            </w:tcBorders>
            <w:shd w:val="clear" w:color="FFFFFF" w:fill="FFFFFF"/>
            <w:vAlign w:val="bottom"/>
            <w:hideMark/>
          </w:tcPr>
          <w:p w14:paraId="21CEEE5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Accumulated depreciation and impairment</w:t>
            </w:r>
          </w:p>
        </w:tc>
        <w:tc>
          <w:tcPr>
            <w:tcW w:w="1556" w:type="dxa"/>
            <w:tcBorders>
              <w:top w:val="nil"/>
              <w:left w:val="nil"/>
              <w:bottom w:val="nil"/>
              <w:right w:val="nil"/>
            </w:tcBorders>
            <w:shd w:val="clear" w:color="FFFFFF" w:fill="FFFFFF"/>
            <w:noWrap/>
            <w:vAlign w:val="bottom"/>
            <w:hideMark/>
          </w:tcPr>
          <w:p w14:paraId="1A9988D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(125,586)</w:t>
            </w:r>
          </w:p>
        </w:tc>
        <w:tc>
          <w:tcPr>
            <w:tcW w:w="1336" w:type="dxa"/>
            <w:tcBorders>
              <w:top w:val="nil"/>
              <w:left w:val="nil"/>
              <w:bottom w:val="nil"/>
              <w:right w:val="nil"/>
            </w:tcBorders>
            <w:shd w:val="clear" w:color="FFFFFF" w:fill="FFFFFF"/>
            <w:noWrap/>
            <w:vAlign w:val="bottom"/>
            <w:hideMark/>
          </w:tcPr>
          <w:p w14:paraId="0F23A42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(2,462)</w:t>
            </w:r>
          </w:p>
        </w:tc>
        <w:tc>
          <w:tcPr>
            <w:tcW w:w="1296" w:type="dxa"/>
            <w:tcBorders>
              <w:top w:val="nil"/>
              <w:left w:val="nil"/>
              <w:bottom w:val="nil"/>
              <w:right w:val="nil"/>
            </w:tcBorders>
            <w:shd w:val="clear" w:color="FFFFFF" w:fill="FFFFFF"/>
            <w:noWrap/>
            <w:vAlign w:val="bottom"/>
            <w:hideMark/>
          </w:tcPr>
          <w:p w14:paraId="655C61C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(128,048)</w:t>
            </w:r>
          </w:p>
        </w:tc>
      </w:tr>
      <w:tr w:rsidR="00FD06ED" w:rsidRPr="00FD06ED" w14:paraId="3580FBE6" w14:textId="77777777" w:rsidTr="005C33EF">
        <w:trPr>
          <w:trHeight w:val="255"/>
        </w:trPr>
        <w:tc>
          <w:tcPr>
            <w:tcW w:w="5096" w:type="dxa"/>
            <w:tcBorders>
              <w:top w:val="single" w:sz="4" w:space="0" w:color="auto"/>
              <w:left w:val="nil"/>
              <w:bottom w:val="single" w:sz="4" w:space="0" w:color="auto"/>
              <w:right w:val="nil"/>
            </w:tcBorders>
            <w:shd w:val="clear" w:color="FFFFFF" w:fill="FFFFFF"/>
            <w:vAlign w:val="bottom"/>
            <w:hideMark/>
          </w:tcPr>
          <w:p w14:paraId="746E0F7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Net book value as </w:t>
            </w:r>
            <w:proofErr w:type="gramStart"/>
            <w:r w:rsidRPr="00FD06ED">
              <w:rPr>
                <w:rFonts w:eastAsia="Times New Roman"/>
                <w:b/>
                <w:bCs/>
                <w:sz w:val="18"/>
                <w:szCs w:val="18"/>
                <w:lang w:eastAsia="en-US"/>
              </w:rPr>
              <w:t>at</w:t>
            </w:r>
            <w:proofErr w:type="gramEnd"/>
            <w:r w:rsidRPr="00FD06ED">
              <w:rPr>
                <w:rFonts w:eastAsia="Times New Roman"/>
                <w:b/>
                <w:bCs/>
                <w:sz w:val="18"/>
                <w:szCs w:val="18"/>
                <w:lang w:eastAsia="en-US"/>
              </w:rPr>
              <w:t xml:space="preserve"> 1 July 2021</w:t>
            </w:r>
          </w:p>
        </w:tc>
        <w:tc>
          <w:tcPr>
            <w:tcW w:w="1556" w:type="dxa"/>
            <w:tcBorders>
              <w:top w:val="single" w:sz="4" w:space="0" w:color="auto"/>
              <w:left w:val="nil"/>
              <w:bottom w:val="single" w:sz="4" w:space="0" w:color="auto"/>
              <w:right w:val="nil"/>
            </w:tcBorders>
            <w:shd w:val="clear" w:color="FFFFFF" w:fill="FFFFFF"/>
            <w:noWrap/>
            <w:vAlign w:val="bottom"/>
            <w:hideMark/>
          </w:tcPr>
          <w:p w14:paraId="3D54E00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241,269</w:t>
            </w:r>
          </w:p>
        </w:tc>
        <w:tc>
          <w:tcPr>
            <w:tcW w:w="1336" w:type="dxa"/>
            <w:tcBorders>
              <w:top w:val="single" w:sz="4" w:space="0" w:color="auto"/>
              <w:left w:val="nil"/>
              <w:bottom w:val="single" w:sz="4" w:space="0" w:color="auto"/>
              <w:right w:val="nil"/>
            </w:tcBorders>
            <w:shd w:val="clear" w:color="FFFFFF" w:fill="FFFFFF"/>
            <w:noWrap/>
            <w:vAlign w:val="bottom"/>
            <w:hideMark/>
          </w:tcPr>
          <w:p w14:paraId="7C22B68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1,238</w:t>
            </w:r>
          </w:p>
        </w:tc>
        <w:tc>
          <w:tcPr>
            <w:tcW w:w="1296" w:type="dxa"/>
            <w:tcBorders>
              <w:top w:val="single" w:sz="4" w:space="0" w:color="auto"/>
              <w:left w:val="nil"/>
              <w:bottom w:val="single" w:sz="4" w:space="0" w:color="auto"/>
              <w:right w:val="nil"/>
            </w:tcBorders>
            <w:shd w:val="clear" w:color="FFFFFF" w:fill="FFFFFF"/>
            <w:noWrap/>
            <w:vAlign w:val="bottom"/>
            <w:hideMark/>
          </w:tcPr>
          <w:p w14:paraId="5AC0E79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242,507</w:t>
            </w:r>
          </w:p>
        </w:tc>
      </w:tr>
      <w:tr w:rsidR="00FD06ED" w:rsidRPr="00FD06ED" w14:paraId="69C8CAF9" w14:textId="77777777" w:rsidTr="005C33EF">
        <w:trPr>
          <w:trHeight w:val="255"/>
        </w:trPr>
        <w:tc>
          <w:tcPr>
            <w:tcW w:w="5096" w:type="dxa"/>
            <w:tcBorders>
              <w:top w:val="nil"/>
              <w:left w:val="nil"/>
              <w:bottom w:val="nil"/>
              <w:right w:val="nil"/>
            </w:tcBorders>
            <w:shd w:val="clear" w:color="FFFFFF" w:fill="FFFFFF"/>
            <w:noWrap/>
            <w:vAlign w:val="bottom"/>
            <w:hideMark/>
          </w:tcPr>
          <w:p w14:paraId="304C65F2"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556" w:type="dxa"/>
            <w:tcBorders>
              <w:top w:val="nil"/>
              <w:left w:val="nil"/>
              <w:bottom w:val="nil"/>
              <w:right w:val="nil"/>
            </w:tcBorders>
            <w:shd w:val="clear" w:color="FFFFFF" w:fill="FFFFFF"/>
            <w:noWrap/>
            <w:vAlign w:val="bottom"/>
            <w:hideMark/>
          </w:tcPr>
          <w:p w14:paraId="7DEFC20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1336" w:type="dxa"/>
            <w:tcBorders>
              <w:top w:val="nil"/>
              <w:left w:val="nil"/>
              <w:bottom w:val="nil"/>
              <w:right w:val="nil"/>
            </w:tcBorders>
            <w:shd w:val="clear" w:color="FFFFFF" w:fill="FFFFFF"/>
            <w:noWrap/>
            <w:vAlign w:val="bottom"/>
            <w:hideMark/>
          </w:tcPr>
          <w:p w14:paraId="71F2E9C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1296" w:type="dxa"/>
            <w:tcBorders>
              <w:top w:val="nil"/>
              <w:left w:val="nil"/>
              <w:bottom w:val="nil"/>
              <w:right w:val="nil"/>
            </w:tcBorders>
            <w:shd w:val="clear" w:color="FFFFFF" w:fill="FFFFFF"/>
            <w:noWrap/>
            <w:vAlign w:val="bottom"/>
            <w:hideMark/>
          </w:tcPr>
          <w:p w14:paraId="0EFF0E0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531D4D14" w14:textId="77777777" w:rsidTr="005C33EF">
        <w:trPr>
          <w:trHeight w:val="255"/>
        </w:trPr>
        <w:tc>
          <w:tcPr>
            <w:tcW w:w="5096" w:type="dxa"/>
            <w:tcBorders>
              <w:top w:val="nil"/>
              <w:left w:val="nil"/>
              <w:bottom w:val="nil"/>
              <w:right w:val="nil"/>
            </w:tcBorders>
            <w:shd w:val="clear" w:color="FFFFFF" w:fill="FFFFFF"/>
            <w:vAlign w:val="bottom"/>
            <w:hideMark/>
          </w:tcPr>
          <w:p w14:paraId="571F9C6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Additions</w:t>
            </w:r>
          </w:p>
        </w:tc>
        <w:tc>
          <w:tcPr>
            <w:tcW w:w="1556" w:type="dxa"/>
            <w:tcBorders>
              <w:top w:val="nil"/>
              <w:left w:val="nil"/>
              <w:bottom w:val="nil"/>
              <w:right w:val="nil"/>
            </w:tcBorders>
            <w:shd w:val="clear" w:color="FFFFFF" w:fill="FFFFFF"/>
            <w:noWrap/>
            <w:vAlign w:val="bottom"/>
            <w:hideMark/>
          </w:tcPr>
          <w:p w14:paraId="72C0157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1336" w:type="dxa"/>
            <w:tcBorders>
              <w:top w:val="nil"/>
              <w:left w:val="nil"/>
              <w:bottom w:val="nil"/>
              <w:right w:val="nil"/>
            </w:tcBorders>
            <w:shd w:val="clear" w:color="FFFFFF" w:fill="FFFFFF"/>
            <w:noWrap/>
            <w:vAlign w:val="bottom"/>
            <w:hideMark/>
          </w:tcPr>
          <w:p w14:paraId="4E04BF0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1296" w:type="dxa"/>
            <w:tcBorders>
              <w:top w:val="nil"/>
              <w:left w:val="nil"/>
              <w:bottom w:val="nil"/>
              <w:right w:val="nil"/>
            </w:tcBorders>
            <w:shd w:val="clear" w:color="FFFFFF" w:fill="FFFFFF"/>
            <w:noWrap/>
            <w:vAlign w:val="bottom"/>
            <w:hideMark/>
          </w:tcPr>
          <w:p w14:paraId="2721B4A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3DAFB000" w14:textId="77777777" w:rsidTr="005C33EF">
        <w:trPr>
          <w:trHeight w:val="255"/>
        </w:trPr>
        <w:tc>
          <w:tcPr>
            <w:tcW w:w="5096" w:type="dxa"/>
            <w:tcBorders>
              <w:top w:val="nil"/>
              <w:left w:val="nil"/>
              <w:bottom w:val="nil"/>
              <w:right w:val="nil"/>
            </w:tcBorders>
            <w:shd w:val="clear" w:color="FFFFFF" w:fill="FFFFFF"/>
            <w:noWrap/>
            <w:vAlign w:val="bottom"/>
            <w:hideMark/>
          </w:tcPr>
          <w:p w14:paraId="2622D840"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Purchases</w:t>
            </w:r>
          </w:p>
        </w:tc>
        <w:tc>
          <w:tcPr>
            <w:tcW w:w="1556" w:type="dxa"/>
            <w:tcBorders>
              <w:top w:val="nil"/>
              <w:left w:val="nil"/>
              <w:bottom w:val="nil"/>
              <w:right w:val="nil"/>
            </w:tcBorders>
            <w:shd w:val="clear" w:color="FFFFFF" w:fill="FFFFFF"/>
            <w:noWrap/>
            <w:vAlign w:val="bottom"/>
            <w:hideMark/>
          </w:tcPr>
          <w:p w14:paraId="21CEDCE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14,984</w:t>
            </w:r>
          </w:p>
        </w:tc>
        <w:tc>
          <w:tcPr>
            <w:tcW w:w="1336" w:type="dxa"/>
            <w:tcBorders>
              <w:top w:val="nil"/>
              <w:left w:val="nil"/>
              <w:bottom w:val="nil"/>
              <w:right w:val="nil"/>
            </w:tcBorders>
            <w:shd w:val="clear" w:color="FFFFFF" w:fill="FFFFFF"/>
            <w:noWrap/>
            <w:vAlign w:val="bottom"/>
            <w:hideMark/>
          </w:tcPr>
          <w:p w14:paraId="17FC5E1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12,125</w:t>
            </w:r>
          </w:p>
        </w:tc>
        <w:tc>
          <w:tcPr>
            <w:tcW w:w="1296" w:type="dxa"/>
            <w:tcBorders>
              <w:top w:val="nil"/>
              <w:left w:val="nil"/>
              <w:bottom w:val="nil"/>
              <w:right w:val="nil"/>
            </w:tcBorders>
            <w:shd w:val="clear" w:color="FFFFFF" w:fill="FFFFFF"/>
            <w:noWrap/>
            <w:vAlign w:val="bottom"/>
            <w:hideMark/>
          </w:tcPr>
          <w:p w14:paraId="47B31E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27,109</w:t>
            </w:r>
          </w:p>
        </w:tc>
      </w:tr>
      <w:tr w:rsidR="00FD06ED" w:rsidRPr="00FD06ED" w14:paraId="14AF72D9" w14:textId="77777777" w:rsidTr="005C33EF">
        <w:trPr>
          <w:trHeight w:val="255"/>
        </w:trPr>
        <w:tc>
          <w:tcPr>
            <w:tcW w:w="5096" w:type="dxa"/>
            <w:tcBorders>
              <w:top w:val="nil"/>
              <w:left w:val="nil"/>
              <w:bottom w:val="nil"/>
              <w:right w:val="nil"/>
            </w:tcBorders>
            <w:shd w:val="clear" w:color="FFFFFF" w:fill="FFFFFF"/>
            <w:noWrap/>
            <w:vAlign w:val="bottom"/>
            <w:hideMark/>
          </w:tcPr>
          <w:p w14:paraId="17FFBA55" w14:textId="77777777" w:rsidR="00FD06ED" w:rsidRPr="00FD06ED" w:rsidRDefault="00FD06ED" w:rsidP="00FD06ED">
            <w:pPr>
              <w:spacing w:before="0" w:after="0" w:line="260" w:lineRule="atLeast"/>
              <w:ind w:leftChars="100" w:left="220"/>
              <w:rPr>
                <w:rFonts w:eastAsia="Times New Roman"/>
                <w:sz w:val="18"/>
                <w:szCs w:val="18"/>
                <w:lang w:eastAsia="en-US"/>
              </w:rPr>
            </w:pPr>
            <w:r w:rsidRPr="00FD06ED">
              <w:rPr>
                <w:rFonts w:eastAsia="Times New Roman"/>
                <w:sz w:val="18"/>
                <w:szCs w:val="18"/>
                <w:lang w:eastAsia="en-US"/>
              </w:rPr>
              <w:t>Right-of-use assets</w:t>
            </w:r>
          </w:p>
        </w:tc>
        <w:tc>
          <w:tcPr>
            <w:tcW w:w="1556" w:type="dxa"/>
            <w:tcBorders>
              <w:top w:val="nil"/>
              <w:left w:val="nil"/>
              <w:bottom w:val="nil"/>
              <w:right w:val="nil"/>
            </w:tcBorders>
            <w:shd w:val="clear" w:color="FFFFFF" w:fill="FFFFFF"/>
            <w:noWrap/>
            <w:vAlign w:val="bottom"/>
            <w:hideMark/>
          </w:tcPr>
          <w:p w14:paraId="489C098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30,257</w:t>
            </w:r>
          </w:p>
        </w:tc>
        <w:tc>
          <w:tcPr>
            <w:tcW w:w="1336" w:type="dxa"/>
            <w:tcBorders>
              <w:top w:val="nil"/>
              <w:left w:val="nil"/>
              <w:bottom w:val="nil"/>
              <w:right w:val="nil"/>
            </w:tcBorders>
            <w:shd w:val="clear" w:color="FFFFFF" w:fill="FFFFFF"/>
            <w:noWrap/>
            <w:vAlign w:val="bottom"/>
            <w:hideMark/>
          </w:tcPr>
          <w:p w14:paraId="2527225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232</w:t>
            </w:r>
          </w:p>
        </w:tc>
        <w:tc>
          <w:tcPr>
            <w:tcW w:w="1296" w:type="dxa"/>
            <w:tcBorders>
              <w:top w:val="nil"/>
              <w:left w:val="nil"/>
              <w:bottom w:val="nil"/>
              <w:right w:val="nil"/>
            </w:tcBorders>
            <w:shd w:val="clear" w:color="FFFFFF" w:fill="FFFFFF"/>
            <w:noWrap/>
            <w:vAlign w:val="bottom"/>
            <w:hideMark/>
          </w:tcPr>
          <w:p w14:paraId="695C4AD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30,489</w:t>
            </w:r>
          </w:p>
        </w:tc>
      </w:tr>
      <w:tr w:rsidR="00FD06ED" w:rsidRPr="00FD06ED" w14:paraId="339E4B40" w14:textId="77777777" w:rsidTr="005C33EF">
        <w:trPr>
          <w:trHeight w:val="255"/>
        </w:trPr>
        <w:tc>
          <w:tcPr>
            <w:tcW w:w="5096" w:type="dxa"/>
            <w:tcBorders>
              <w:top w:val="nil"/>
              <w:left w:val="nil"/>
              <w:bottom w:val="nil"/>
              <w:right w:val="nil"/>
            </w:tcBorders>
            <w:shd w:val="clear" w:color="FFFFFF" w:fill="FFFFFF"/>
            <w:vAlign w:val="bottom"/>
            <w:hideMark/>
          </w:tcPr>
          <w:p w14:paraId="29D59B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Depreciation expense</w:t>
            </w:r>
          </w:p>
        </w:tc>
        <w:tc>
          <w:tcPr>
            <w:tcW w:w="1556" w:type="dxa"/>
            <w:tcBorders>
              <w:top w:val="nil"/>
              <w:left w:val="nil"/>
              <w:bottom w:val="nil"/>
              <w:right w:val="nil"/>
            </w:tcBorders>
            <w:shd w:val="clear" w:color="FFFFFF" w:fill="FFFFFF"/>
            <w:noWrap/>
            <w:vAlign w:val="bottom"/>
            <w:hideMark/>
          </w:tcPr>
          <w:p w14:paraId="02B80E4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(26,729)</w:t>
            </w:r>
          </w:p>
        </w:tc>
        <w:tc>
          <w:tcPr>
            <w:tcW w:w="1336" w:type="dxa"/>
            <w:tcBorders>
              <w:top w:val="nil"/>
              <w:left w:val="nil"/>
              <w:bottom w:val="nil"/>
              <w:right w:val="nil"/>
            </w:tcBorders>
            <w:shd w:val="clear" w:color="FFFFFF" w:fill="FFFFFF"/>
            <w:noWrap/>
            <w:vAlign w:val="bottom"/>
            <w:hideMark/>
          </w:tcPr>
          <w:p w14:paraId="6A0841F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(2,335)</w:t>
            </w:r>
          </w:p>
        </w:tc>
        <w:tc>
          <w:tcPr>
            <w:tcW w:w="1296" w:type="dxa"/>
            <w:tcBorders>
              <w:top w:val="nil"/>
              <w:left w:val="nil"/>
              <w:bottom w:val="nil"/>
              <w:right w:val="nil"/>
            </w:tcBorders>
            <w:shd w:val="clear" w:color="FFFFFF" w:fill="FFFFFF"/>
            <w:noWrap/>
            <w:vAlign w:val="bottom"/>
            <w:hideMark/>
          </w:tcPr>
          <w:p w14:paraId="59D74C7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(29,064)</w:t>
            </w:r>
          </w:p>
        </w:tc>
      </w:tr>
      <w:tr w:rsidR="00FD06ED" w:rsidRPr="00FD06ED" w14:paraId="2F173DF1" w14:textId="77777777" w:rsidTr="005C33EF">
        <w:trPr>
          <w:trHeight w:val="255"/>
        </w:trPr>
        <w:tc>
          <w:tcPr>
            <w:tcW w:w="5096" w:type="dxa"/>
            <w:tcBorders>
              <w:top w:val="nil"/>
              <w:left w:val="nil"/>
              <w:bottom w:val="nil"/>
              <w:right w:val="nil"/>
            </w:tcBorders>
            <w:shd w:val="clear" w:color="FFFFFF" w:fill="FFFFFF"/>
            <w:vAlign w:val="bottom"/>
            <w:hideMark/>
          </w:tcPr>
          <w:p w14:paraId="5AB9A90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ROU Depreciation expense</w:t>
            </w:r>
          </w:p>
        </w:tc>
        <w:tc>
          <w:tcPr>
            <w:tcW w:w="1556" w:type="dxa"/>
            <w:tcBorders>
              <w:top w:val="nil"/>
              <w:left w:val="nil"/>
              <w:bottom w:val="nil"/>
              <w:right w:val="nil"/>
            </w:tcBorders>
            <w:shd w:val="clear" w:color="FFFFFF" w:fill="FFFFFF"/>
            <w:noWrap/>
            <w:vAlign w:val="bottom"/>
            <w:hideMark/>
          </w:tcPr>
          <w:p w14:paraId="1F97003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(37,218)</w:t>
            </w:r>
          </w:p>
        </w:tc>
        <w:tc>
          <w:tcPr>
            <w:tcW w:w="1336" w:type="dxa"/>
            <w:tcBorders>
              <w:top w:val="nil"/>
              <w:left w:val="nil"/>
              <w:bottom w:val="nil"/>
              <w:right w:val="nil"/>
            </w:tcBorders>
            <w:shd w:val="clear" w:color="FFFFFF" w:fill="FFFFFF"/>
            <w:noWrap/>
            <w:vAlign w:val="bottom"/>
            <w:hideMark/>
          </w:tcPr>
          <w:p w14:paraId="7EEEE83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(849)</w:t>
            </w:r>
          </w:p>
        </w:tc>
        <w:tc>
          <w:tcPr>
            <w:tcW w:w="1296" w:type="dxa"/>
            <w:tcBorders>
              <w:top w:val="nil"/>
              <w:left w:val="nil"/>
              <w:bottom w:val="nil"/>
              <w:right w:val="nil"/>
            </w:tcBorders>
            <w:shd w:val="clear" w:color="FFFFFF" w:fill="FFFFFF"/>
            <w:noWrap/>
            <w:vAlign w:val="bottom"/>
            <w:hideMark/>
          </w:tcPr>
          <w:p w14:paraId="2E4F30F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(38,067)</w:t>
            </w:r>
          </w:p>
        </w:tc>
      </w:tr>
      <w:tr w:rsidR="00FD06ED" w:rsidRPr="00FD06ED" w14:paraId="62AB6907" w14:textId="77777777" w:rsidTr="005C33EF">
        <w:trPr>
          <w:trHeight w:val="255"/>
        </w:trPr>
        <w:tc>
          <w:tcPr>
            <w:tcW w:w="5096" w:type="dxa"/>
            <w:tcBorders>
              <w:top w:val="nil"/>
              <w:left w:val="nil"/>
              <w:bottom w:val="nil"/>
              <w:right w:val="nil"/>
            </w:tcBorders>
            <w:shd w:val="clear" w:color="FFFFFF" w:fill="FFFFFF"/>
            <w:vAlign w:val="bottom"/>
            <w:hideMark/>
          </w:tcPr>
          <w:p w14:paraId="29B00C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Revaluations in other comprehensive income</w:t>
            </w:r>
          </w:p>
        </w:tc>
        <w:tc>
          <w:tcPr>
            <w:tcW w:w="1556" w:type="dxa"/>
            <w:tcBorders>
              <w:top w:val="nil"/>
              <w:left w:val="nil"/>
              <w:bottom w:val="nil"/>
              <w:right w:val="nil"/>
            </w:tcBorders>
            <w:shd w:val="clear" w:color="FFFFFF" w:fill="FFFFFF"/>
            <w:noWrap/>
            <w:vAlign w:val="bottom"/>
            <w:hideMark/>
          </w:tcPr>
          <w:p w14:paraId="61E92F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(1,058)</w:t>
            </w:r>
          </w:p>
        </w:tc>
        <w:tc>
          <w:tcPr>
            <w:tcW w:w="1336" w:type="dxa"/>
            <w:tcBorders>
              <w:top w:val="nil"/>
              <w:left w:val="nil"/>
              <w:bottom w:val="nil"/>
              <w:right w:val="nil"/>
            </w:tcBorders>
            <w:shd w:val="clear" w:color="FFFFFF" w:fill="FFFFFF"/>
            <w:noWrap/>
            <w:vAlign w:val="bottom"/>
            <w:hideMark/>
          </w:tcPr>
          <w:p w14:paraId="49D9D9E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296" w:type="dxa"/>
            <w:tcBorders>
              <w:top w:val="nil"/>
              <w:left w:val="nil"/>
              <w:bottom w:val="nil"/>
              <w:right w:val="nil"/>
            </w:tcBorders>
            <w:shd w:val="clear" w:color="FFFFFF" w:fill="FFFFFF"/>
            <w:noWrap/>
            <w:vAlign w:val="bottom"/>
            <w:hideMark/>
          </w:tcPr>
          <w:p w14:paraId="458A38A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(1,058)</w:t>
            </w:r>
          </w:p>
        </w:tc>
      </w:tr>
      <w:tr w:rsidR="00FD06ED" w:rsidRPr="00FD06ED" w14:paraId="008E0D6D" w14:textId="77777777" w:rsidTr="005C33EF">
        <w:trPr>
          <w:trHeight w:val="255"/>
        </w:trPr>
        <w:tc>
          <w:tcPr>
            <w:tcW w:w="5096" w:type="dxa"/>
            <w:tcBorders>
              <w:top w:val="nil"/>
              <w:left w:val="nil"/>
              <w:bottom w:val="nil"/>
              <w:right w:val="nil"/>
            </w:tcBorders>
            <w:shd w:val="clear" w:color="FFFFFF" w:fill="FFFFFF"/>
            <w:noWrap/>
            <w:vAlign w:val="bottom"/>
            <w:hideMark/>
          </w:tcPr>
          <w:p w14:paraId="64E92B0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 movements on right-of-use assets</w:t>
            </w:r>
          </w:p>
        </w:tc>
        <w:tc>
          <w:tcPr>
            <w:tcW w:w="1556" w:type="dxa"/>
            <w:tcBorders>
              <w:top w:val="nil"/>
              <w:left w:val="nil"/>
              <w:bottom w:val="nil"/>
              <w:right w:val="nil"/>
            </w:tcBorders>
            <w:shd w:val="clear" w:color="FFFFFF" w:fill="FFFFFF"/>
            <w:noWrap/>
            <w:vAlign w:val="bottom"/>
            <w:hideMark/>
          </w:tcPr>
          <w:p w14:paraId="602389B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(4,089)</w:t>
            </w:r>
          </w:p>
        </w:tc>
        <w:tc>
          <w:tcPr>
            <w:tcW w:w="1336" w:type="dxa"/>
            <w:tcBorders>
              <w:top w:val="nil"/>
              <w:left w:val="nil"/>
              <w:bottom w:val="nil"/>
              <w:right w:val="nil"/>
            </w:tcBorders>
            <w:shd w:val="clear" w:color="FFFFFF" w:fill="FFFFFF"/>
            <w:noWrap/>
            <w:vAlign w:val="bottom"/>
            <w:hideMark/>
          </w:tcPr>
          <w:p w14:paraId="4E6664A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(38)</w:t>
            </w:r>
          </w:p>
        </w:tc>
        <w:tc>
          <w:tcPr>
            <w:tcW w:w="1296" w:type="dxa"/>
            <w:tcBorders>
              <w:top w:val="nil"/>
              <w:left w:val="nil"/>
              <w:bottom w:val="nil"/>
              <w:right w:val="nil"/>
            </w:tcBorders>
            <w:shd w:val="clear" w:color="FFFFFF" w:fill="FFFFFF"/>
            <w:noWrap/>
            <w:vAlign w:val="bottom"/>
            <w:hideMark/>
          </w:tcPr>
          <w:p w14:paraId="49313A1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(4,127)</w:t>
            </w:r>
          </w:p>
        </w:tc>
      </w:tr>
      <w:tr w:rsidR="00FD06ED" w:rsidRPr="00FD06ED" w14:paraId="2FC96D6C" w14:textId="77777777" w:rsidTr="005C33EF">
        <w:trPr>
          <w:trHeight w:val="255"/>
        </w:trPr>
        <w:tc>
          <w:tcPr>
            <w:tcW w:w="5096" w:type="dxa"/>
            <w:tcBorders>
              <w:top w:val="single" w:sz="4" w:space="0" w:color="auto"/>
              <w:left w:val="nil"/>
              <w:bottom w:val="single" w:sz="4" w:space="0" w:color="auto"/>
              <w:right w:val="nil"/>
            </w:tcBorders>
            <w:shd w:val="clear" w:color="FFFFFF" w:fill="FFFFFF"/>
            <w:vAlign w:val="bottom"/>
            <w:hideMark/>
          </w:tcPr>
          <w:p w14:paraId="64A5C13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book value 30 June 2022</w:t>
            </w:r>
          </w:p>
        </w:tc>
        <w:tc>
          <w:tcPr>
            <w:tcW w:w="1556" w:type="dxa"/>
            <w:tcBorders>
              <w:top w:val="single" w:sz="4" w:space="0" w:color="auto"/>
              <w:left w:val="nil"/>
              <w:bottom w:val="single" w:sz="4" w:space="0" w:color="auto"/>
              <w:right w:val="nil"/>
            </w:tcBorders>
            <w:shd w:val="clear" w:color="FFFFFF" w:fill="FFFFFF"/>
            <w:noWrap/>
            <w:vAlign w:val="bottom"/>
            <w:hideMark/>
          </w:tcPr>
          <w:p w14:paraId="45F385F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217,416</w:t>
            </w:r>
          </w:p>
        </w:tc>
        <w:tc>
          <w:tcPr>
            <w:tcW w:w="1336" w:type="dxa"/>
            <w:tcBorders>
              <w:top w:val="single" w:sz="4" w:space="0" w:color="auto"/>
              <w:left w:val="nil"/>
              <w:bottom w:val="single" w:sz="4" w:space="0" w:color="auto"/>
              <w:right w:val="nil"/>
            </w:tcBorders>
            <w:shd w:val="clear" w:color="FFFFFF" w:fill="FFFFFF"/>
            <w:noWrap/>
            <w:vAlign w:val="bottom"/>
            <w:hideMark/>
          </w:tcPr>
          <w:p w14:paraId="2A68737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10,373</w:t>
            </w:r>
          </w:p>
        </w:tc>
        <w:tc>
          <w:tcPr>
            <w:tcW w:w="1296" w:type="dxa"/>
            <w:tcBorders>
              <w:top w:val="single" w:sz="4" w:space="0" w:color="auto"/>
              <w:left w:val="nil"/>
              <w:bottom w:val="single" w:sz="4" w:space="0" w:color="auto"/>
              <w:right w:val="nil"/>
            </w:tcBorders>
            <w:shd w:val="clear" w:color="FFFFFF" w:fill="FFFFFF"/>
            <w:noWrap/>
            <w:vAlign w:val="bottom"/>
            <w:hideMark/>
          </w:tcPr>
          <w:p w14:paraId="042237F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227,789</w:t>
            </w:r>
          </w:p>
        </w:tc>
      </w:tr>
      <w:tr w:rsidR="00FD06ED" w:rsidRPr="00FD06ED" w14:paraId="3046EFF6" w14:textId="77777777" w:rsidTr="005C33EF">
        <w:trPr>
          <w:trHeight w:val="255"/>
        </w:trPr>
        <w:tc>
          <w:tcPr>
            <w:tcW w:w="5096" w:type="dxa"/>
            <w:tcBorders>
              <w:top w:val="nil"/>
              <w:left w:val="nil"/>
              <w:bottom w:val="nil"/>
              <w:right w:val="nil"/>
            </w:tcBorders>
            <w:shd w:val="clear" w:color="FFFFFF" w:fill="FFFFFF"/>
            <w:noWrap/>
            <w:vAlign w:val="bottom"/>
            <w:hideMark/>
          </w:tcPr>
          <w:p w14:paraId="5D77A3A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556" w:type="dxa"/>
            <w:tcBorders>
              <w:top w:val="nil"/>
              <w:left w:val="nil"/>
              <w:bottom w:val="nil"/>
              <w:right w:val="nil"/>
            </w:tcBorders>
            <w:shd w:val="clear" w:color="FFFFFF" w:fill="FFFFFF"/>
            <w:noWrap/>
            <w:vAlign w:val="bottom"/>
            <w:hideMark/>
          </w:tcPr>
          <w:p w14:paraId="51CDE1D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336" w:type="dxa"/>
            <w:tcBorders>
              <w:top w:val="nil"/>
              <w:left w:val="nil"/>
              <w:bottom w:val="nil"/>
              <w:right w:val="nil"/>
            </w:tcBorders>
            <w:shd w:val="clear" w:color="FFFFFF" w:fill="FFFFFF"/>
            <w:noWrap/>
            <w:vAlign w:val="bottom"/>
            <w:hideMark/>
          </w:tcPr>
          <w:p w14:paraId="625E847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96" w:type="dxa"/>
            <w:tcBorders>
              <w:top w:val="nil"/>
              <w:left w:val="nil"/>
              <w:bottom w:val="nil"/>
              <w:right w:val="nil"/>
            </w:tcBorders>
            <w:shd w:val="clear" w:color="FFFFFF" w:fill="FFFFFF"/>
            <w:noWrap/>
            <w:vAlign w:val="bottom"/>
            <w:hideMark/>
          </w:tcPr>
          <w:p w14:paraId="5F0DD23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0ADF65D0" w14:textId="77777777" w:rsidTr="005C33EF">
        <w:trPr>
          <w:trHeight w:val="255"/>
        </w:trPr>
        <w:tc>
          <w:tcPr>
            <w:tcW w:w="5096" w:type="dxa"/>
            <w:tcBorders>
              <w:top w:val="nil"/>
              <w:left w:val="nil"/>
              <w:bottom w:val="nil"/>
              <w:right w:val="nil"/>
            </w:tcBorders>
            <w:shd w:val="clear" w:color="FFFFFF" w:fill="FFFFFF"/>
            <w:vAlign w:val="bottom"/>
            <w:hideMark/>
          </w:tcPr>
          <w:p w14:paraId="2C7071A2"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Net book value as </w:t>
            </w:r>
            <w:proofErr w:type="gramStart"/>
            <w:r w:rsidRPr="00FD06ED">
              <w:rPr>
                <w:rFonts w:eastAsia="Times New Roman"/>
                <w:b/>
                <w:bCs/>
                <w:sz w:val="18"/>
                <w:szCs w:val="18"/>
                <w:lang w:eastAsia="en-US"/>
              </w:rPr>
              <w:t>at</w:t>
            </w:r>
            <w:proofErr w:type="gramEnd"/>
            <w:r w:rsidRPr="00FD06ED">
              <w:rPr>
                <w:rFonts w:eastAsia="Times New Roman"/>
                <w:b/>
                <w:bCs/>
                <w:sz w:val="18"/>
                <w:szCs w:val="18"/>
                <w:lang w:eastAsia="en-US"/>
              </w:rPr>
              <w:t xml:space="preserve"> 30 June 2022 represented by:</w:t>
            </w:r>
          </w:p>
        </w:tc>
        <w:tc>
          <w:tcPr>
            <w:tcW w:w="1556" w:type="dxa"/>
            <w:tcBorders>
              <w:top w:val="nil"/>
              <w:left w:val="nil"/>
              <w:bottom w:val="nil"/>
              <w:right w:val="nil"/>
            </w:tcBorders>
            <w:shd w:val="clear" w:color="FFFFFF" w:fill="FFFFFF"/>
            <w:noWrap/>
            <w:vAlign w:val="bottom"/>
            <w:hideMark/>
          </w:tcPr>
          <w:p w14:paraId="70C40F5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336" w:type="dxa"/>
            <w:tcBorders>
              <w:top w:val="nil"/>
              <w:left w:val="nil"/>
              <w:bottom w:val="nil"/>
              <w:right w:val="nil"/>
            </w:tcBorders>
            <w:shd w:val="clear" w:color="FFFFFF" w:fill="FFFFFF"/>
            <w:noWrap/>
            <w:vAlign w:val="bottom"/>
            <w:hideMark/>
          </w:tcPr>
          <w:p w14:paraId="2C8D855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96" w:type="dxa"/>
            <w:tcBorders>
              <w:top w:val="nil"/>
              <w:left w:val="nil"/>
              <w:bottom w:val="nil"/>
              <w:right w:val="nil"/>
            </w:tcBorders>
            <w:shd w:val="clear" w:color="FFFFFF" w:fill="FFFFFF"/>
            <w:noWrap/>
            <w:vAlign w:val="bottom"/>
            <w:hideMark/>
          </w:tcPr>
          <w:p w14:paraId="4C41943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219F0CC7" w14:textId="77777777" w:rsidTr="005C33EF">
        <w:trPr>
          <w:trHeight w:val="255"/>
        </w:trPr>
        <w:tc>
          <w:tcPr>
            <w:tcW w:w="5096" w:type="dxa"/>
            <w:tcBorders>
              <w:top w:val="nil"/>
              <w:left w:val="nil"/>
              <w:bottom w:val="nil"/>
              <w:right w:val="nil"/>
            </w:tcBorders>
            <w:shd w:val="clear" w:color="FFFFFF" w:fill="FFFFFF"/>
            <w:vAlign w:val="bottom"/>
            <w:hideMark/>
          </w:tcPr>
          <w:p w14:paraId="375184A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Gross book value</w:t>
            </w:r>
          </w:p>
        </w:tc>
        <w:tc>
          <w:tcPr>
            <w:tcW w:w="1556" w:type="dxa"/>
            <w:tcBorders>
              <w:top w:val="nil"/>
              <w:left w:val="nil"/>
              <w:bottom w:val="nil"/>
              <w:right w:val="nil"/>
            </w:tcBorders>
            <w:shd w:val="clear" w:color="FFFFFF" w:fill="FFFFFF"/>
            <w:noWrap/>
            <w:vAlign w:val="bottom"/>
            <w:hideMark/>
          </w:tcPr>
          <w:p w14:paraId="4D5AB4F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406,949</w:t>
            </w:r>
          </w:p>
        </w:tc>
        <w:tc>
          <w:tcPr>
            <w:tcW w:w="1336" w:type="dxa"/>
            <w:tcBorders>
              <w:top w:val="nil"/>
              <w:left w:val="nil"/>
              <w:bottom w:val="nil"/>
              <w:right w:val="nil"/>
            </w:tcBorders>
            <w:shd w:val="clear" w:color="FFFFFF" w:fill="FFFFFF"/>
            <w:noWrap/>
            <w:vAlign w:val="bottom"/>
            <w:hideMark/>
          </w:tcPr>
          <w:p w14:paraId="2BDD275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14,799</w:t>
            </w:r>
          </w:p>
        </w:tc>
        <w:tc>
          <w:tcPr>
            <w:tcW w:w="1296" w:type="dxa"/>
            <w:tcBorders>
              <w:top w:val="nil"/>
              <w:left w:val="nil"/>
              <w:bottom w:val="nil"/>
              <w:right w:val="nil"/>
            </w:tcBorders>
            <w:shd w:val="clear" w:color="FFFFFF" w:fill="FFFFFF"/>
            <w:noWrap/>
            <w:vAlign w:val="bottom"/>
            <w:hideMark/>
          </w:tcPr>
          <w:p w14:paraId="5E3B3CF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421,748</w:t>
            </w:r>
          </w:p>
        </w:tc>
      </w:tr>
      <w:tr w:rsidR="00FD06ED" w:rsidRPr="00FD06ED" w14:paraId="342A9B30" w14:textId="77777777" w:rsidTr="005C33EF">
        <w:trPr>
          <w:trHeight w:val="255"/>
        </w:trPr>
        <w:tc>
          <w:tcPr>
            <w:tcW w:w="5096" w:type="dxa"/>
            <w:tcBorders>
              <w:top w:val="nil"/>
              <w:left w:val="nil"/>
              <w:bottom w:val="nil"/>
              <w:right w:val="nil"/>
            </w:tcBorders>
            <w:shd w:val="clear" w:color="FFFFFF" w:fill="FFFFFF"/>
            <w:vAlign w:val="bottom"/>
            <w:hideMark/>
          </w:tcPr>
          <w:p w14:paraId="6DB9EC7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Accumulated depreciation and impairment</w:t>
            </w:r>
          </w:p>
        </w:tc>
        <w:tc>
          <w:tcPr>
            <w:tcW w:w="1556" w:type="dxa"/>
            <w:tcBorders>
              <w:top w:val="nil"/>
              <w:left w:val="nil"/>
              <w:bottom w:val="nil"/>
              <w:right w:val="nil"/>
            </w:tcBorders>
            <w:shd w:val="clear" w:color="FFFFFF" w:fill="FFFFFF"/>
            <w:noWrap/>
            <w:vAlign w:val="bottom"/>
            <w:hideMark/>
          </w:tcPr>
          <w:p w14:paraId="10B221B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(189,533)</w:t>
            </w:r>
          </w:p>
        </w:tc>
        <w:tc>
          <w:tcPr>
            <w:tcW w:w="1336" w:type="dxa"/>
            <w:tcBorders>
              <w:top w:val="nil"/>
              <w:left w:val="nil"/>
              <w:bottom w:val="nil"/>
              <w:right w:val="nil"/>
            </w:tcBorders>
            <w:shd w:val="clear" w:color="auto" w:fill="auto"/>
            <w:noWrap/>
            <w:vAlign w:val="bottom"/>
            <w:hideMark/>
          </w:tcPr>
          <w:p w14:paraId="1CC567F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(4,426)</w:t>
            </w:r>
          </w:p>
        </w:tc>
        <w:tc>
          <w:tcPr>
            <w:tcW w:w="1296" w:type="dxa"/>
            <w:tcBorders>
              <w:top w:val="nil"/>
              <w:left w:val="nil"/>
              <w:bottom w:val="nil"/>
              <w:right w:val="nil"/>
            </w:tcBorders>
            <w:shd w:val="clear" w:color="FFFFFF" w:fill="FFFFFF"/>
            <w:noWrap/>
            <w:vAlign w:val="bottom"/>
            <w:hideMark/>
          </w:tcPr>
          <w:p w14:paraId="5C33395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(193,959)</w:t>
            </w:r>
          </w:p>
        </w:tc>
      </w:tr>
      <w:tr w:rsidR="00FD06ED" w:rsidRPr="00FD06ED" w14:paraId="56FC6EC6" w14:textId="77777777" w:rsidTr="005C33EF">
        <w:trPr>
          <w:trHeight w:val="255"/>
        </w:trPr>
        <w:tc>
          <w:tcPr>
            <w:tcW w:w="5096" w:type="dxa"/>
            <w:tcBorders>
              <w:top w:val="single" w:sz="4" w:space="0" w:color="auto"/>
              <w:left w:val="nil"/>
              <w:bottom w:val="single" w:sz="4" w:space="0" w:color="auto"/>
              <w:right w:val="nil"/>
            </w:tcBorders>
            <w:shd w:val="clear" w:color="FFFFFF" w:fill="FFFFFF"/>
            <w:noWrap/>
            <w:vAlign w:val="bottom"/>
            <w:hideMark/>
          </w:tcPr>
          <w:p w14:paraId="6190543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Carrying amount as </w:t>
            </w:r>
            <w:proofErr w:type="gramStart"/>
            <w:r w:rsidRPr="00FD06ED">
              <w:rPr>
                <w:rFonts w:eastAsia="Times New Roman"/>
                <w:b/>
                <w:bCs/>
                <w:sz w:val="18"/>
                <w:szCs w:val="18"/>
                <w:lang w:eastAsia="en-US"/>
              </w:rPr>
              <w:t>at</w:t>
            </w:r>
            <w:proofErr w:type="gramEnd"/>
            <w:r w:rsidRPr="00FD06ED">
              <w:rPr>
                <w:rFonts w:eastAsia="Times New Roman"/>
                <w:b/>
                <w:bCs/>
                <w:sz w:val="18"/>
                <w:szCs w:val="18"/>
                <w:lang w:eastAsia="en-US"/>
              </w:rPr>
              <w:t xml:space="preserve"> 30 June 2022</w:t>
            </w:r>
          </w:p>
        </w:tc>
        <w:tc>
          <w:tcPr>
            <w:tcW w:w="1556" w:type="dxa"/>
            <w:tcBorders>
              <w:top w:val="single" w:sz="4" w:space="0" w:color="auto"/>
              <w:left w:val="nil"/>
              <w:bottom w:val="single" w:sz="4" w:space="0" w:color="auto"/>
              <w:right w:val="nil"/>
            </w:tcBorders>
            <w:shd w:val="clear" w:color="FFFFFF" w:fill="FFFFFF"/>
            <w:noWrap/>
            <w:vAlign w:val="bottom"/>
            <w:hideMark/>
          </w:tcPr>
          <w:p w14:paraId="78FB51F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217,416</w:t>
            </w:r>
          </w:p>
        </w:tc>
        <w:tc>
          <w:tcPr>
            <w:tcW w:w="1336" w:type="dxa"/>
            <w:tcBorders>
              <w:top w:val="single" w:sz="4" w:space="0" w:color="auto"/>
              <w:left w:val="nil"/>
              <w:bottom w:val="single" w:sz="4" w:space="0" w:color="auto"/>
              <w:right w:val="nil"/>
            </w:tcBorders>
            <w:shd w:val="clear" w:color="FFFFFF" w:fill="FFFFFF"/>
            <w:noWrap/>
            <w:vAlign w:val="bottom"/>
            <w:hideMark/>
          </w:tcPr>
          <w:p w14:paraId="5C83587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10,373</w:t>
            </w:r>
          </w:p>
        </w:tc>
        <w:tc>
          <w:tcPr>
            <w:tcW w:w="1296" w:type="dxa"/>
            <w:tcBorders>
              <w:top w:val="single" w:sz="4" w:space="0" w:color="auto"/>
              <w:left w:val="nil"/>
              <w:bottom w:val="single" w:sz="4" w:space="0" w:color="auto"/>
              <w:right w:val="nil"/>
            </w:tcBorders>
            <w:shd w:val="clear" w:color="FFFFFF" w:fill="FFFFFF"/>
            <w:noWrap/>
            <w:vAlign w:val="bottom"/>
            <w:hideMark/>
          </w:tcPr>
          <w:p w14:paraId="35E6169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227,789</w:t>
            </w:r>
          </w:p>
        </w:tc>
      </w:tr>
      <w:tr w:rsidR="00FD06ED" w:rsidRPr="00FD06ED" w14:paraId="13F5DED7" w14:textId="77777777" w:rsidTr="005C33EF">
        <w:trPr>
          <w:trHeight w:val="255"/>
        </w:trPr>
        <w:tc>
          <w:tcPr>
            <w:tcW w:w="5096" w:type="dxa"/>
            <w:tcBorders>
              <w:top w:val="nil"/>
              <w:left w:val="nil"/>
              <w:bottom w:val="nil"/>
              <w:right w:val="nil"/>
            </w:tcBorders>
            <w:shd w:val="clear" w:color="FFFFFF" w:fill="FFFFFF"/>
            <w:noWrap/>
            <w:vAlign w:val="bottom"/>
            <w:hideMark/>
          </w:tcPr>
          <w:p w14:paraId="2D32815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556" w:type="dxa"/>
            <w:tcBorders>
              <w:top w:val="nil"/>
              <w:left w:val="nil"/>
              <w:bottom w:val="nil"/>
              <w:right w:val="nil"/>
            </w:tcBorders>
            <w:shd w:val="clear" w:color="FFFFFF" w:fill="FFFFFF"/>
            <w:noWrap/>
            <w:vAlign w:val="bottom"/>
            <w:hideMark/>
          </w:tcPr>
          <w:p w14:paraId="0597BCA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36" w:type="dxa"/>
            <w:tcBorders>
              <w:top w:val="nil"/>
              <w:left w:val="nil"/>
              <w:bottom w:val="nil"/>
              <w:right w:val="nil"/>
            </w:tcBorders>
            <w:shd w:val="clear" w:color="FFFFFF" w:fill="FFFFFF"/>
            <w:noWrap/>
            <w:vAlign w:val="bottom"/>
            <w:hideMark/>
          </w:tcPr>
          <w:p w14:paraId="292DC77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96" w:type="dxa"/>
            <w:tcBorders>
              <w:top w:val="nil"/>
              <w:left w:val="nil"/>
              <w:bottom w:val="nil"/>
              <w:right w:val="nil"/>
            </w:tcBorders>
            <w:shd w:val="clear" w:color="FFFFFF" w:fill="FFFFFF"/>
            <w:noWrap/>
            <w:vAlign w:val="bottom"/>
            <w:hideMark/>
          </w:tcPr>
          <w:p w14:paraId="5C49BD7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190796CB" w14:textId="77777777" w:rsidTr="005C33EF">
        <w:trPr>
          <w:trHeight w:val="270"/>
        </w:trPr>
        <w:tc>
          <w:tcPr>
            <w:tcW w:w="5096" w:type="dxa"/>
            <w:tcBorders>
              <w:top w:val="single" w:sz="4" w:space="0" w:color="auto"/>
              <w:left w:val="nil"/>
              <w:bottom w:val="single" w:sz="4" w:space="0" w:color="auto"/>
              <w:right w:val="nil"/>
            </w:tcBorders>
            <w:shd w:val="clear" w:color="FFFFFF" w:fill="FFFFFF"/>
            <w:hideMark/>
          </w:tcPr>
          <w:p w14:paraId="5A728D75"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Carrying amount of right-of-use assets as </w:t>
            </w:r>
            <w:proofErr w:type="gramStart"/>
            <w:r w:rsidRPr="00FD06ED">
              <w:rPr>
                <w:rFonts w:eastAsia="Times New Roman"/>
                <w:b/>
                <w:bCs/>
                <w:sz w:val="18"/>
                <w:szCs w:val="18"/>
                <w:lang w:eastAsia="en-US"/>
              </w:rPr>
              <w:t>at</w:t>
            </w:r>
            <w:proofErr w:type="gramEnd"/>
            <w:r w:rsidRPr="00FD06ED">
              <w:rPr>
                <w:rFonts w:eastAsia="Times New Roman"/>
                <w:b/>
                <w:bCs/>
                <w:sz w:val="18"/>
                <w:szCs w:val="18"/>
                <w:lang w:eastAsia="en-US"/>
              </w:rPr>
              <w:t xml:space="preserve"> 30 June 2022</w:t>
            </w:r>
          </w:p>
        </w:tc>
        <w:tc>
          <w:tcPr>
            <w:tcW w:w="1556" w:type="dxa"/>
            <w:tcBorders>
              <w:top w:val="single" w:sz="4" w:space="0" w:color="auto"/>
              <w:left w:val="nil"/>
              <w:bottom w:val="single" w:sz="4" w:space="0" w:color="auto"/>
              <w:right w:val="nil"/>
            </w:tcBorders>
            <w:shd w:val="clear" w:color="FFFFFF" w:fill="FFFFFF"/>
            <w:noWrap/>
            <w:hideMark/>
          </w:tcPr>
          <w:p w14:paraId="77A9B9E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144,962</w:t>
            </w:r>
          </w:p>
        </w:tc>
        <w:tc>
          <w:tcPr>
            <w:tcW w:w="1336" w:type="dxa"/>
            <w:tcBorders>
              <w:top w:val="single" w:sz="4" w:space="0" w:color="auto"/>
              <w:left w:val="nil"/>
              <w:bottom w:val="single" w:sz="4" w:space="0" w:color="auto"/>
              <w:right w:val="nil"/>
            </w:tcBorders>
            <w:shd w:val="clear" w:color="FFFFFF" w:fill="FFFFFF"/>
            <w:noWrap/>
            <w:hideMark/>
          </w:tcPr>
          <w:p w14:paraId="454E1BE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560</w:t>
            </w:r>
          </w:p>
        </w:tc>
        <w:tc>
          <w:tcPr>
            <w:tcW w:w="1296" w:type="dxa"/>
            <w:tcBorders>
              <w:top w:val="single" w:sz="4" w:space="0" w:color="auto"/>
              <w:left w:val="nil"/>
              <w:bottom w:val="single" w:sz="4" w:space="0" w:color="auto"/>
              <w:right w:val="nil"/>
            </w:tcBorders>
            <w:shd w:val="clear" w:color="FFFFFF" w:fill="FFFFFF"/>
            <w:noWrap/>
            <w:hideMark/>
          </w:tcPr>
          <w:p w14:paraId="6090408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145,522</w:t>
            </w:r>
          </w:p>
        </w:tc>
      </w:tr>
    </w:tbl>
    <w:p w14:paraId="53309BDF" w14:textId="77777777" w:rsidR="00FD06ED" w:rsidRPr="00FD06ED" w:rsidRDefault="00FD06ED" w:rsidP="00FD06ED">
      <w:pPr>
        <w:spacing w:before="0" w:after="0"/>
        <w:ind w:left="142"/>
        <w:rPr>
          <w:rFonts w:eastAsia="Times New Roman"/>
          <w:sz w:val="18"/>
          <w:szCs w:val="18"/>
          <w:lang w:eastAsia="en-US"/>
        </w:rPr>
      </w:pPr>
    </w:p>
    <w:p w14:paraId="0AD8A7B6" w14:textId="77777777" w:rsidR="00FD06ED" w:rsidRPr="00FD06ED" w:rsidRDefault="00FD06ED" w:rsidP="00FD06ED">
      <w:pPr>
        <w:spacing w:before="0" w:after="0"/>
        <w:ind w:left="142"/>
        <w:rPr>
          <w:rFonts w:eastAsia="Times New Roman"/>
          <w:sz w:val="18"/>
          <w:szCs w:val="18"/>
          <w:lang w:eastAsia="en-US"/>
        </w:rPr>
      </w:pPr>
      <w:r w:rsidRPr="00FD06ED">
        <w:rPr>
          <w:rFonts w:eastAsia="Times New Roman"/>
          <w:sz w:val="18"/>
          <w:szCs w:val="18"/>
          <w:lang w:eastAsia="en-US"/>
        </w:rPr>
        <w:t xml:space="preserve">All items of buildings and plant and equipment were assessed for indications of impairment as </w:t>
      </w:r>
      <w:proofErr w:type="gramStart"/>
      <w:r w:rsidRPr="00FD06ED">
        <w:rPr>
          <w:rFonts w:eastAsia="Times New Roman"/>
          <w:sz w:val="18"/>
          <w:szCs w:val="18"/>
          <w:lang w:eastAsia="en-US"/>
        </w:rPr>
        <w:t>at</w:t>
      </w:r>
      <w:proofErr w:type="gramEnd"/>
      <w:r w:rsidRPr="00FD06ED">
        <w:rPr>
          <w:rFonts w:eastAsia="Times New Roman"/>
          <w:sz w:val="18"/>
          <w:szCs w:val="18"/>
          <w:lang w:eastAsia="en-US"/>
        </w:rPr>
        <w:t xml:space="preserve"> 30 June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crYear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2022</w:t>
      </w:r>
      <w:r w:rsidRPr="00FD06ED">
        <w:rPr>
          <w:rFonts w:eastAsia="Times New Roman"/>
          <w:sz w:val="18"/>
          <w:szCs w:val="18"/>
          <w:lang w:eastAsia="en-US"/>
        </w:rPr>
        <w:fldChar w:fldCharType="end"/>
      </w:r>
      <w:r w:rsidRPr="00FD06ED">
        <w:rPr>
          <w:rFonts w:eastAsia="Times New Roman"/>
          <w:sz w:val="18"/>
          <w:szCs w:val="18"/>
          <w:lang w:eastAsia="en-US"/>
        </w:rPr>
        <w:t xml:space="preserve"> and no indicators of impairment were found.</w:t>
      </w:r>
    </w:p>
    <w:p w14:paraId="34A6A199" w14:textId="77777777" w:rsidR="00FD06ED" w:rsidRPr="00FD06ED" w:rsidRDefault="00FD06ED" w:rsidP="00FD06ED">
      <w:pPr>
        <w:spacing w:before="0" w:after="0"/>
        <w:ind w:left="142"/>
        <w:rPr>
          <w:rFonts w:eastAsia="Times New Roman"/>
          <w:sz w:val="18"/>
          <w:szCs w:val="18"/>
          <w:lang w:eastAsia="en-US"/>
        </w:rPr>
      </w:pPr>
    </w:p>
    <w:p w14:paraId="77923210" w14:textId="77777777" w:rsidR="00FD06ED" w:rsidRPr="00FD06ED" w:rsidRDefault="00FD06ED" w:rsidP="00FD06ED">
      <w:pPr>
        <w:spacing w:before="0" w:after="0"/>
        <w:ind w:left="142"/>
        <w:rPr>
          <w:rFonts w:eastAsia="Times New Roman"/>
          <w:sz w:val="18"/>
          <w:szCs w:val="18"/>
          <w:lang w:eastAsia="en-US"/>
        </w:rPr>
      </w:pPr>
      <w:r w:rsidRPr="00FD06ED">
        <w:rPr>
          <w:rFonts w:eastAsia="Times New Roman"/>
          <w:sz w:val="18"/>
          <w:szCs w:val="18"/>
          <w:lang w:eastAsia="en-US"/>
        </w:rPr>
        <w:t>No buildings or plant and equipment are expected to be sold or disposed of within the next 12 months.</w:t>
      </w:r>
    </w:p>
    <w:p w14:paraId="3E977497" w14:textId="77777777" w:rsidR="00FD06ED" w:rsidRPr="00FD06ED" w:rsidRDefault="00FD06ED" w:rsidP="00FD06ED">
      <w:pPr>
        <w:spacing w:before="0" w:after="0"/>
        <w:ind w:left="142"/>
        <w:rPr>
          <w:rFonts w:eastAsia="Times New Roman"/>
          <w:sz w:val="18"/>
          <w:szCs w:val="18"/>
          <w:lang w:eastAsia="en-US"/>
        </w:rPr>
      </w:pPr>
    </w:p>
    <w:p w14:paraId="5360AA88" w14:textId="77777777" w:rsidR="00FD06ED" w:rsidRPr="00FD06ED" w:rsidRDefault="00FD06ED" w:rsidP="00FD06ED">
      <w:pPr>
        <w:spacing w:before="0" w:after="0"/>
        <w:ind w:left="142"/>
        <w:rPr>
          <w:rFonts w:eastAsia="Times New Roman"/>
          <w:sz w:val="18"/>
          <w:szCs w:val="18"/>
          <w:lang w:eastAsia="en-US"/>
        </w:rPr>
      </w:pPr>
      <w:r w:rsidRPr="00FD06ED">
        <w:rPr>
          <w:rFonts w:eastAsia="Times New Roman"/>
          <w:sz w:val="18"/>
          <w:szCs w:val="18"/>
          <w:lang w:eastAsia="en-US"/>
        </w:rPr>
        <w:t>Buildings and plant and equipment, other than right-of-use assets, are measured at their estimated fair value in the financial statements and are classified as level 3 assets.</w:t>
      </w:r>
    </w:p>
    <w:p w14:paraId="3E7B0FE7" w14:textId="77777777" w:rsidR="00FD06ED" w:rsidRPr="00FD06ED" w:rsidRDefault="00FD06ED" w:rsidP="00FD06ED">
      <w:pPr>
        <w:spacing w:before="0" w:after="0"/>
        <w:ind w:left="142"/>
        <w:rPr>
          <w:rFonts w:eastAsia="Times New Roman"/>
          <w:sz w:val="18"/>
          <w:szCs w:val="18"/>
          <w:lang w:eastAsia="en-US"/>
        </w:rPr>
      </w:pPr>
    </w:p>
    <w:p w14:paraId="121DEB5C" w14:textId="77777777" w:rsidR="00FD06ED" w:rsidRPr="00FD06ED" w:rsidRDefault="00FD06ED" w:rsidP="00FD06ED">
      <w:pPr>
        <w:spacing w:before="0" w:after="0"/>
        <w:ind w:left="142"/>
        <w:rPr>
          <w:rFonts w:eastAsia="Times New Roman"/>
          <w:sz w:val="18"/>
          <w:szCs w:val="18"/>
          <w:lang w:eastAsia="en-US"/>
        </w:rPr>
      </w:pPr>
      <w:r w:rsidRPr="00FD06ED">
        <w:rPr>
          <w:rFonts w:eastAsia="Times New Roman"/>
          <w:sz w:val="18"/>
          <w:szCs w:val="18"/>
          <w:lang w:eastAsia="en-US"/>
        </w:rPr>
        <w:t xml:space="preserve">The Agency had contractual commitment for the acquisition of property, plant, </w:t>
      </w:r>
      <w:proofErr w:type="gramStart"/>
      <w:r w:rsidRPr="00FD06ED">
        <w:rPr>
          <w:rFonts w:eastAsia="Times New Roman"/>
          <w:sz w:val="18"/>
          <w:szCs w:val="18"/>
          <w:lang w:eastAsia="en-US"/>
        </w:rPr>
        <w:t>equipment</w:t>
      </w:r>
      <w:proofErr w:type="gramEnd"/>
      <w:r w:rsidRPr="00FD06ED">
        <w:rPr>
          <w:rFonts w:eastAsia="Times New Roman"/>
          <w:sz w:val="18"/>
          <w:szCs w:val="18"/>
          <w:lang w:eastAsia="en-US"/>
        </w:rPr>
        <w:t xml:space="preserve"> and intangible assets of $8,069,728 as at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pEnd  \* MERGEFORMAT </w:instrText>
      </w:r>
      <w:r w:rsidRPr="00FD06ED">
        <w:rPr>
          <w:rFonts w:eastAsia="Times New Roman"/>
          <w:sz w:val="18"/>
          <w:szCs w:val="18"/>
          <w:lang w:eastAsia="en-US"/>
        </w:rPr>
        <w:fldChar w:fldCharType="separate"/>
      </w:r>
      <w:r w:rsidRPr="00FD06ED">
        <w:rPr>
          <w:rFonts w:eastAsia="Times New Roman"/>
          <w:sz w:val="18"/>
          <w:szCs w:val="18"/>
          <w:lang w:eastAsia="en-US"/>
        </w:rPr>
        <w:t>30 June</w:t>
      </w:r>
      <w:r w:rsidRPr="00FD06ED">
        <w:rPr>
          <w:rFonts w:eastAsia="Times New Roman"/>
          <w:sz w:val="18"/>
          <w:szCs w:val="18"/>
          <w:lang w:eastAsia="en-US"/>
        </w:rPr>
        <w:fldChar w:fldCharType="end"/>
      </w:r>
      <w:r w:rsidRPr="00FD06ED">
        <w:rPr>
          <w:rFonts w:eastAsia="Times New Roman"/>
          <w:sz w:val="18"/>
          <w:szCs w:val="18"/>
          <w:lang w:eastAsia="en-US"/>
        </w:rPr>
        <w:t xml:space="preserve">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crYear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2022</w:t>
      </w:r>
      <w:r w:rsidRPr="00FD06ED">
        <w:rPr>
          <w:rFonts w:eastAsia="Times New Roman"/>
          <w:sz w:val="18"/>
          <w:szCs w:val="18"/>
          <w:lang w:eastAsia="en-US"/>
        </w:rPr>
        <w:fldChar w:fldCharType="end"/>
      </w:r>
      <w:r w:rsidRPr="00FD06ED">
        <w:rPr>
          <w:rFonts w:eastAsia="Times New Roman"/>
          <w:sz w:val="18"/>
          <w:szCs w:val="18"/>
          <w:lang w:eastAsia="en-US"/>
        </w:rPr>
        <w:t xml:space="preserve">. </w:t>
      </w:r>
    </w:p>
    <w:p w14:paraId="20DAE51E" w14:textId="77777777" w:rsidR="00FD06ED" w:rsidRPr="00FD06ED" w:rsidRDefault="00FD06ED" w:rsidP="00FD06ED">
      <w:pPr>
        <w:spacing w:before="0" w:after="0"/>
        <w:ind w:left="142"/>
        <w:rPr>
          <w:rFonts w:eastAsia="Times New Roman"/>
          <w:sz w:val="18"/>
          <w:szCs w:val="18"/>
          <w:lang w:eastAsia="en-US"/>
        </w:rPr>
      </w:pPr>
    </w:p>
    <w:p w14:paraId="08946853" w14:textId="77777777" w:rsidR="00FD06ED" w:rsidRPr="00FD06ED" w:rsidRDefault="00FD06ED" w:rsidP="00FD06ED">
      <w:pPr>
        <w:spacing w:before="0" w:after="0"/>
        <w:ind w:left="142"/>
        <w:rPr>
          <w:rFonts w:eastAsia="Times New Roman"/>
          <w:sz w:val="18"/>
          <w:szCs w:val="18"/>
          <w:lang w:eastAsia="en-US"/>
        </w:rPr>
      </w:pPr>
      <w:r w:rsidRPr="00FD06ED">
        <w:rPr>
          <w:rFonts w:eastAsia="Times New Roman"/>
          <w:sz w:val="18"/>
          <w:szCs w:val="18"/>
          <w:lang w:eastAsia="en-US"/>
        </w:rPr>
        <w:t xml:space="preserve">All revaluations were conducted in accordance with the revaluation policy stated in the Accounting Policy section below. The fair value measurements of the Agency’s leasehold improvements as </w:t>
      </w:r>
      <w:proofErr w:type="gramStart"/>
      <w:r w:rsidRPr="00FD06ED">
        <w:rPr>
          <w:rFonts w:eastAsia="Times New Roman"/>
          <w:sz w:val="18"/>
          <w:szCs w:val="18"/>
          <w:lang w:eastAsia="en-US"/>
        </w:rPr>
        <w:t>at</w:t>
      </w:r>
      <w:proofErr w:type="gramEnd"/>
      <w:r w:rsidRPr="00FD06ED">
        <w:rPr>
          <w:rFonts w:eastAsia="Times New Roman"/>
          <w:sz w:val="18"/>
          <w:szCs w:val="18"/>
          <w:lang w:eastAsia="en-US"/>
        </w:rPr>
        <w:t xml:space="preserve"> 30 June 2022 were reassessed by Jones Lang LaSalle (JLL), independent valuers. JLL have appropriate qualifications and experience in the fair value measurement of similar assets in the Government sector. </w:t>
      </w:r>
      <w:r w:rsidRPr="00FD06ED">
        <w:rPr>
          <w:rFonts w:eastAsia="Times New Roman"/>
          <w:sz w:val="18"/>
          <w:szCs w:val="18"/>
          <w:lang w:eastAsia="en-US"/>
        </w:rPr>
        <w:br w:type="page"/>
      </w:r>
    </w:p>
    <w:p w14:paraId="4072E303" w14:textId="77777777" w:rsidR="00FD06ED" w:rsidRPr="00FD06ED" w:rsidRDefault="00FD06ED" w:rsidP="00FD06ED">
      <w:pPr>
        <w:spacing w:before="0" w:after="0"/>
        <w:ind w:left="142"/>
        <w:rPr>
          <w:rFonts w:eastAsia="Times New Roman"/>
          <w:sz w:val="18"/>
          <w:szCs w:val="18"/>
          <w:lang w:eastAsia="en-US"/>
        </w:rPr>
        <w:sectPr w:rsidR="00FD06ED" w:rsidRPr="00FD06ED" w:rsidSect="005F1D4D">
          <w:pgSz w:w="11906" w:h="16838" w:code="9"/>
          <w:pgMar w:top="1673" w:right="1134" w:bottom="1134" w:left="1134" w:header="958" w:footer="737" w:gutter="0"/>
          <w:cols w:space="708"/>
          <w:docGrid w:linePitch="360"/>
        </w:sectPr>
      </w:pPr>
    </w:p>
    <w:p w14:paraId="127BC009" w14:textId="77777777" w:rsidR="00FD06ED" w:rsidRPr="00FD06ED" w:rsidRDefault="00FD06ED" w:rsidP="00FD06ED">
      <w:pPr>
        <w:autoSpaceDE w:val="0"/>
        <w:autoSpaceDN w:val="0"/>
        <w:adjustRightInd w:val="0"/>
        <w:spacing w:before="0" w:after="0"/>
        <w:ind w:left="0"/>
        <w:rPr>
          <w:rFonts w:eastAsia="Times New Roman"/>
          <w:b/>
          <w:bCs/>
          <w:sz w:val="18"/>
          <w:szCs w:val="18"/>
          <w:lang w:eastAsia="en-US"/>
        </w:rPr>
      </w:pPr>
      <w:r w:rsidRPr="00FD06ED">
        <w:rPr>
          <w:rFonts w:eastAsia="Times New Roman"/>
          <w:noProof/>
          <w:sz w:val="18"/>
          <w:szCs w:val="18"/>
          <w:lang w:eastAsia="en-AU"/>
        </w:rPr>
        <w:lastRenderedPageBreak/>
        <mc:AlternateContent>
          <mc:Choice Requires="wps">
            <w:drawing>
              <wp:anchor distT="0" distB="0" distL="114300" distR="114300" simplePos="0" relativeHeight="251601408" behindDoc="0" locked="0" layoutInCell="1" allowOverlap="1" wp14:anchorId="3D2EF9C1" wp14:editId="1521C47F">
                <wp:simplePos x="0" y="0"/>
                <wp:positionH relativeFrom="column">
                  <wp:posOffset>-80010</wp:posOffset>
                </wp:positionH>
                <wp:positionV relativeFrom="paragraph">
                  <wp:posOffset>-67066</wp:posOffset>
                </wp:positionV>
                <wp:extent cx="6337300" cy="8658665"/>
                <wp:effectExtent l="0" t="0" r="25400" b="28575"/>
                <wp:wrapNone/>
                <wp:docPr id="58" name="Rectangl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0" cy="8658665"/>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CDEABAF" id="Rectangle 58" o:spid="_x0000_s1026" alt="&quot;&quot;" style="position:absolute;margin-left:-6.3pt;margin-top:-5.3pt;width:499pt;height:681.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" filled="f" strokecolor="purple"/>
            </w:pict>
          </mc:Fallback>
        </mc:AlternateContent>
      </w:r>
      <w:r w:rsidRPr="00FD06ED">
        <w:rPr>
          <w:rFonts w:eastAsia="Times New Roman"/>
          <w:b/>
          <w:sz w:val="18"/>
          <w:szCs w:val="18"/>
          <w:lang w:eastAsia="en-AU"/>
        </w:rPr>
        <w:t>A</w:t>
      </w:r>
      <w:r w:rsidRPr="00FD06ED">
        <w:rPr>
          <w:rFonts w:eastAsia="Times New Roman"/>
          <w:b/>
          <w:bCs/>
          <w:sz w:val="18"/>
          <w:szCs w:val="18"/>
          <w:lang w:eastAsia="en-US"/>
        </w:rPr>
        <w:t>ccounting Policy</w:t>
      </w:r>
    </w:p>
    <w:p w14:paraId="3082D9DC" w14:textId="77777777" w:rsidR="00FD06ED" w:rsidRPr="00FD06ED" w:rsidRDefault="00FD06ED" w:rsidP="00FD06ED">
      <w:pPr>
        <w:spacing w:before="0" w:after="0"/>
        <w:ind w:left="0"/>
        <w:rPr>
          <w:rFonts w:eastAsia="Times New Roman"/>
          <w:sz w:val="18"/>
          <w:szCs w:val="18"/>
          <w:lang w:eastAsia="en-US"/>
        </w:rPr>
      </w:pPr>
    </w:p>
    <w:p w14:paraId="26EC966E" w14:textId="77777777" w:rsidR="00FD06ED" w:rsidRPr="00FD06ED" w:rsidRDefault="00FD06ED" w:rsidP="00FD06ED">
      <w:pPr>
        <w:spacing w:before="0" w:after="0"/>
        <w:ind w:left="0"/>
        <w:jc w:val="both"/>
        <w:rPr>
          <w:rFonts w:eastAsia="Times New Roman"/>
          <w:sz w:val="18"/>
          <w:szCs w:val="18"/>
          <w:lang w:eastAsia="en-US"/>
        </w:rPr>
      </w:pPr>
      <w:r w:rsidRPr="00FD06ED">
        <w:rPr>
          <w:rFonts w:eastAsia="Times New Roman"/>
          <w:sz w:val="18"/>
          <w:szCs w:val="18"/>
          <w:lang w:eastAsia="en-US"/>
        </w:rPr>
        <w:t>Assets are recorded at cost on acquisition except as stated below. The cost of acquisition includes the fair value of assets transferred in exchange and liabilities undertaken. Non-financial assets are initially measured at their fair value plus transaction costs where appropriate.</w:t>
      </w:r>
    </w:p>
    <w:p w14:paraId="5D53B4B4" w14:textId="77777777" w:rsidR="00FD06ED" w:rsidRPr="00FD06ED" w:rsidRDefault="00FD06ED" w:rsidP="00FD06ED">
      <w:pPr>
        <w:spacing w:before="0" w:after="0"/>
        <w:ind w:left="0"/>
        <w:jc w:val="both"/>
        <w:rPr>
          <w:rFonts w:eastAsia="Times New Roman"/>
          <w:sz w:val="18"/>
          <w:szCs w:val="18"/>
          <w:lang w:eastAsia="en-US"/>
        </w:rPr>
      </w:pPr>
    </w:p>
    <w:p w14:paraId="6F4846D0" w14:textId="77777777" w:rsidR="00FD06ED" w:rsidRPr="00FD06ED" w:rsidRDefault="00FD06ED" w:rsidP="00FD06ED">
      <w:pPr>
        <w:spacing w:before="0" w:after="0"/>
        <w:ind w:left="0"/>
        <w:jc w:val="both"/>
        <w:rPr>
          <w:rFonts w:eastAsia="Times New Roman"/>
          <w:sz w:val="18"/>
          <w:szCs w:val="18"/>
          <w:lang w:eastAsia="en-US"/>
        </w:rPr>
      </w:pPr>
      <w:r w:rsidRPr="00FD06ED">
        <w:rPr>
          <w:rFonts w:eastAsia="Times New Roman"/>
          <w:sz w:val="18"/>
          <w:szCs w:val="18"/>
          <w:lang w:eastAsia="en-US"/>
        </w:rPr>
        <w:t xml:space="preserve">Assets acquired at no cost, or for nominal consideration, are initially recognised as assets and income at their fair value at the date of acquisition. </w:t>
      </w:r>
    </w:p>
    <w:p w14:paraId="42D18935" w14:textId="77777777" w:rsidR="00FD06ED" w:rsidRPr="00FD06ED" w:rsidRDefault="00FD06ED" w:rsidP="00FD06ED">
      <w:pPr>
        <w:spacing w:before="0" w:after="0"/>
        <w:ind w:left="0"/>
        <w:jc w:val="both"/>
        <w:rPr>
          <w:rFonts w:eastAsia="Times New Roman"/>
          <w:sz w:val="18"/>
          <w:szCs w:val="18"/>
          <w:lang w:eastAsia="en-US"/>
        </w:rPr>
      </w:pPr>
    </w:p>
    <w:p w14:paraId="7B89829A" w14:textId="77777777" w:rsidR="00FD06ED" w:rsidRPr="00FD06ED" w:rsidRDefault="00FD06ED" w:rsidP="00FD06ED">
      <w:pPr>
        <w:spacing w:before="0" w:after="0"/>
        <w:ind w:left="0"/>
        <w:jc w:val="both"/>
        <w:rPr>
          <w:rFonts w:eastAsia="Times New Roman"/>
          <w:i/>
          <w:iCs/>
          <w:sz w:val="18"/>
          <w:szCs w:val="18"/>
          <w:u w:val="single"/>
          <w:lang w:eastAsia="en-AU"/>
        </w:rPr>
      </w:pPr>
      <w:r w:rsidRPr="00FD06ED">
        <w:rPr>
          <w:rFonts w:eastAsia="Times New Roman"/>
          <w:i/>
          <w:iCs/>
          <w:sz w:val="18"/>
          <w:szCs w:val="18"/>
          <w:u w:val="single"/>
          <w:lang w:eastAsia="en-AU"/>
        </w:rPr>
        <w:t>Asset recognition threshold</w:t>
      </w:r>
    </w:p>
    <w:p w14:paraId="656451AB"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Purchases</w:t>
      </w:r>
      <w:r w:rsidRPr="00FD06ED">
        <w:rPr>
          <w:rFonts w:eastAsia="Times New Roman"/>
          <w:sz w:val="21"/>
          <w:szCs w:val="21"/>
          <w:lang w:eastAsia="en-US"/>
        </w:rPr>
        <w:t xml:space="preserve"> </w:t>
      </w:r>
      <w:r w:rsidRPr="00FD06ED">
        <w:rPr>
          <w:rFonts w:eastAsia="Times New Roman"/>
          <w:sz w:val="18"/>
          <w:szCs w:val="18"/>
          <w:lang w:eastAsia="en-AU"/>
        </w:rPr>
        <w:t>of leasehold improvements, plant and equipment are recognised initially at cost in the Statement of Financial Position, except for leased Right-of-Use (ROU) assets and purchases costing less than $100,000 which are expensed in the year of acquisition (other than where they form part of a group of similar items which are significant in total). Significant in total is defined as a value equal to or greater than $100,000 for similar items acquired or expected to be acquired over the length of an acquisition project.</w:t>
      </w:r>
    </w:p>
    <w:p w14:paraId="549DF38C" w14:textId="77777777" w:rsidR="00FD06ED" w:rsidRPr="00FD06ED" w:rsidRDefault="00FD06ED" w:rsidP="00FD06ED">
      <w:pPr>
        <w:spacing w:before="0" w:after="0"/>
        <w:ind w:left="0"/>
        <w:jc w:val="both"/>
        <w:rPr>
          <w:rFonts w:eastAsia="Times New Roman"/>
          <w:sz w:val="18"/>
          <w:szCs w:val="18"/>
          <w:lang w:eastAsia="en-AU"/>
        </w:rPr>
      </w:pPr>
    </w:p>
    <w:p w14:paraId="4A952750"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w:t>
      </w:r>
    </w:p>
    <w:p w14:paraId="5711FFA7" w14:textId="77777777" w:rsidR="00FD06ED" w:rsidRPr="00FD06ED" w:rsidRDefault="00FD06ED" w:rsidP="00FD06ED">
      <w:pPr>
        <w:spacing w:before="0" w:after="0"/>
        <w:ind w:left="0"/>
        <w:jc w:val="both"/>
        <w:rPr>
          <w:rFonts w:eastAsia="Times New Roman"/>
          <w:sz w:val="18"/>
          <w:szCs w:val="18"/>
          <w:lang w:eastAsia="en-AU"/>
        </w:rPr>
      </w:pPr>
    </w:p>
    <w:p w14:paraId="68899078" w14:textId="1604549A"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In </w:t>
      </w:r>
      <w:r w:rsidR="00577731">
        <w:rPr>
          <w:rFonts w:eastAsia="Times New Roman"/>
          <w:sz w:val="18"/>
          <w:szCs w:val="18"/>
          <w:lang w:eastAsia="en-AU"/>
        </w:rPr>
        <w:t>2021–</w:t>
      </w:r>
      <w:proofErr w:type="gramStart"/>
      <w:r w:rsidR="00577731">
        <w:rPr>
          <w:rFonts w:eastAsia="Times New Roman"/>
          <w:sz w:val="18"/>
          <w:szCs w:val="18"/>
          <w:lang w:eastAsia="en-AU"/>
        </w:rPr>
        <w:t xml:space="preserve">22 </w:t>
      </w:r>
      <w:r w:rsidRPr="00FD06ED">
        <w:rPr>
          <w:rFonts w:eastAsia="Times New Roman"/>
          <w:sz w:val="18"/>
          <w:szCs w:val="18"/>
          <w:lang w:eastAsia="en-AU"/>
        </w:rPr>
        <w:t>,</w:t>
      </w:r>
      <w:proofErr w:type="gramEnd"/>
      <w:r w:rsidRPr="00FD06ED">
        <w:rPr>
          <w:rFonts w:eastAsia="Times New Roman"/>
          <w:sz w:val="18"/>
          <w:szCs w:val="18"/>
          <w:lang w:eastAsia="en-AU"/>
        </w:rPr>
        <w:t xml:space="preserve"> the Agency implemented a voluntary change in accounting policy to increase the recognition threshold for non-right of use assets from $5,000 to $100,000. The change would have resulted in a decrease of $1.37 million (representing 1.02% of the leasehold improvements and make good) in the “Buildings and Plant and equipment” balance as </w:t>
      </w:r>
      <w:proofErr w:type="gramStart"/>
      <w:r w:rsidRPr="00FD06ED">
        <w:rPr>
          <w:rFonts w:eastAsia="Times New Roman"/>
          <w:sz w:val="18"/>
          <w:szCs w:val="18"/>
          <w:lang w:eastAsia="en-AU"/>
        </w:rPr>
        <w:t>at</w:t>
      </w:r>
      <w:proofErr w:type="gramEnd"/>
      <w:r w:rsidRPr="00FD06ED">
        <w:rPr>
          <w:rFonts w:eastAsia="Times New Roman"/>
          <w:sz w:val="18"/>
          <w:szCs w:val="18"/>
          <w:lang w:eastAsia="en-AU"/>
        </w:rPr>
        <w:t xml:space="preserve"> 30 June 2021. The purpose of the change was to better align the threshold to the Agency’s asset base and to optimise processes and costs involved in accounting for the immaterial low value items. The Agency has assessed and determined that the impact arising from this change in accounting policy is immaterial and therefore the relevant opening balances have not been restated. </w:t>
      </w:r>
    </w:p>
    <w:p w14:paraId="00782D87" w14:textId="77777777" w:rsidR="00FD06ED" w:rsidRPr="00FD06ED" w:rsidRDefault="00FD06ED" w:rsidP="00FD06ED">
      <w:pPr>
        <w:spacing w:before="0" w:after="0"/>
        <w:ind w:left="0"/>
        <w:jc w:val="both"/>
        <w:rPr>
          <w:rFonts w:eastAsia="Times New Roman"/>
          <w:sz w:val="18"/>
          <w:szCs w:val="18"/>
          <w:lang w:eastAsia="en-AU"/>
        </w:rPr>
      </w:pPr>
    </w:p>
    <w:p w14:paraId="1D775708" w14:textId="77777777" w:rsidR="00FD06ED" w:rsidRPr="00FD06ED" w:rsidRDefault="00FD06ED" w:rsidP="00FD06ED">
      <w:pPr>
        <w:spacing w:before="0" w:after="0"/>
        <w:ind w:left="0"/>
        <w:jc w:val="both"/>
        <w:rPr>
          <w:rFonts w:eastAsia="Times New Roman"/>
          <w:i/>
          <w:iCs/>
          <w:sz w:val="18"/>
          <w:szCs w:val="18"/>
          <w:u w:val="single"/>
          <w:lang w:eastAsia="en-AU"/>
        </w:rPr>
      </w:pPr>
      <w:r w:rsidRPr="00FD06ED">
        <w:rPr>
          <w:rFonts w:eastAsia="Times New Roman"/>
          <w:i/>
          <w:iCs/>
          <w:sz w:val="18"/>
          <w:szCs w:val="18"/>
          <w:u w:val="single"/>
          <w:lang w:eastAsia="en-AU"/>
        </w:rPr>
        <w:t>Leased Right-of-Use Assets</w:t>
      </w:r>
    </w:p>
    <w:p w14:paraId="06529039" w14:textId="77777777" w:rsidR="00FD06ED" w:rsidRPr="00FD06ED" w:rsidRDefault="00FD06ED" w:rsidP="00FD06ED">
      <w:pPr>
        <w:spacing w:before="0" w:after="0"/>
        <w:ind w:left="0"/>
        <w:jc w:val="both"/>
        <w:rPr>
          <w:rFonts w:eastAsia="Times New Roman"/>
          <w:sz w:val="18"/>
          <w:szCs w:val="18"/>
          <w:highlight w:val="yellow"/>
          <w:lang w:eastAsia="en-AU"/>
        </w:rPr>
      </w:pPr>
      <w:r w:rsidRPr="00FD06ED">
        <w:rPr>
          <w:rFonts w:eastAsia="Times New Roman"/>
          <w:sz w:val="18"/>
          <w:szCs w:val="18"/>
          <w:lang w:eastAsia="en-AU"/>
        </w:rPr>
        <w:t xml:space="preserve">Purchases of leased ROU assets are capitalised at the commencement date of the lease and comprise the initial lease liability amount, including an estimate of any ‘make good’ provision in the lease, initial direct costs incurred when </w:t>
      </w:r>
      <w:proofErr w:type="gramStart"/>
      <w:r w:rsidRPr="00FD06ED">
        <w:rPr>
          <w:rFonts w:eastAsia="Times New Roman"/>
          <w:sz w:val="18"/>
          <w:szCs w:val="18"/>
          <w:lang w:eastAsia="en-AU"/>
        </w:rPr>
        <w:t>entering into</w:t>
      </w:r>
      <w:proofErr w:type="gramEnd"/>
      <w:r w:rsidRPr="00FD06ED">
        <w:rPr>
          <w:rFonts w:eastAsia="Times New Roman"/>
          <w:sz w:val="18"/>
          <w:szCs w:val="18"/>
          <w:lang w:eastAsia="en-AU"/>
        </w:rPr>
        <w:t xml:space="preserve"> the lease less any lease incentives received. These assets are accounted for by Commonwealth lessees as separate asset classes to the corresponding assets owned outright but are included in the same column as where the corresponding underlying assets would be presented if they were owned.</w:t>
      </w:r>
    </w:p>
    <w:p w14:paraId="2873902C" w14:textId="77777777" w:rsidR="00FD06ED" w:rsidRPr="00FD06ED" w:rsidRDefault="00FD06ED" w:rsidP="00FD06ED">
      <w:pPr>
        <w:spacing w:before="0" w:after="0"/>
        <w:ind w:left="0"/>
        <w:jc w:val="both"/>
        <w:rPr>
          <w:rFonts w:eastAsia="Times New Roman"/>
          <w:sz w:val="18"/>
          <w:szCs w:val="18"/>
          <w:highlight w:val="yellow"/>
          <w:lang w:eastAsia="en-AU"/>
        </w:rPr>
      </w:pPr>
    </w:p>
    <w:p w14:paraId="746E9F51"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On initial adoption of AASB 16 the Agency has adjusted the ROU assets at the date of initial application by the amount of any provision for onerous leases recognised immediately before the date of initial application. Following initial application, an impairment review is </w:t>
      </w:r>
      <w:r w:rsidRPr="00FD06ED">
        <w:rPr>
          <w:rFonts w:eastAsia="Times New Roman"/>
          <w:sz w:val="18"/>
          <w:szCs w:val="18"/>
          <w:lang w:eastAsia="en-AU"/>
        </w:rPr>
        <w:t>undertaken for any ROU lease asset that shows indicators of impairment and an impairment loss is recognised against any ROU lease asset that is impaired. Leased ROU assets continue to be measured at cost after initial recognition in Commonwealth Agency, General Government Sector and Whole of Government financial statements.</w:t>
      </w:r>
    </w:p>
    <w:p w14:paraId="52E2D8E1" w14:textId="77777777" w:rsidR="00FD06ED" w:rsidRPr="00FD06ED" w:rsidRDefault="00FD06ED" w:rsidP="00FD06ED">
      <w:pPr>
        <w:spacing w:before="0" w:after="0"/>
        <w:ind w:left="0"/>
        <w:jc w:val="both"/>
        <w:rPr>
          <w:rFonts w:eastAsia="Times New Roman"/>
          <w:i/>
          <w:iCs/>
          <w:sz w:val="18"/>
          <w:szCs w:val="18"/>
          <w:u w:val="single"/>
          <w:lang w:eastAsia="en-AU"/>
        </w:rPr>
      </w:pPr>
    </w:p>
    <w:p w14:paraId="63A707ED" w14:textId="77777777" w:rsidR="00FD06ED" w:rsidRPr="00FD06ED" w:rsidRDefault="00FD06ED" w:rsidP="00FD06ED">
      <w:pPr>
        <w:spacing w:before="0" w:after="0"/>
        <w:ind w:left="0"/>
        <w:jc w:val="both"/>
        <w:rPr>
          <w:rFonts w:eastAsia="Times New Roman"/>
          <w:i/>
          <w:iCs/>
          <w:sz w:val="18"/>
          <w:szCs w:val="18"/>
          <w:u w:val="single"/>
          <w:lang w:eastAsia="en-AU"/>
        </w:rPr>
      </w:pPr>
      <w:r w:rsidRPr="00FD06ED">
        <w:rPr>
          <w:rFonts w:eastAsia="Times New Roman"/>
          <w:i/>
          <w:iCs/>
          <w:sz w:val="18"/>
          <w:szCs w:val="18"/>
          <w:u w:val="single"/>
          <w:lang w:eastAsia="en-AU"/>
        </w:rPr>
        <w:t>Revaluations</w:t>
      </w:r>
    </w:p>
    <w:p w14:paraId="19E80749"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Following initial recognition at cost, items of leasehold improvements, </w:t>
      </w:r>
      <w:proofErr w:type="gramStart"/>
      <w:r w:rsidRPr="00FD06ED">
        <w:rPr>
          <w:rFonts w:eastAsia="Times New Roman"/>
          <w:sz w:val="18"/>
          <w:szCs w:val="18"/>
          <w:lang w:eastAsia="en-AU"/>
        </w:rPr>
        <w:t>plant</w:t>
      </w:r>
      <w:proofErr w:type="gramEnd"/>
      <w:r w:rsidRPr="00FD06ED">
        <w:rPr>
          <w:rFonts w:eastAsia="Times New Roman"/>
          <w:sz w:val="18"/>
          <w:szCs w:val="18"/>
          <w:lang w:eastAsia="en-AU"/>
        </w:rPr>
        <w:t xml:space="preserve"> and equipment (excluding ROU assets) are carried at fair value (or an amount not materially different from fair value) less accumulated depreciation and accumulated impairment losses. Valuations are conducted with sufficient frequency to ensure that the carrying value of items does not differ materially from their fair value at each reporting date.</w:t>
      </w:r>
      <w:r w:rsidRPr="00FD06ED">
        <w:rPr>
          <w:rFonts w:ascii="Times New Roman" w:eastAsia="Times New Roman" w:hAnsi="Times New Roman" w:cs="Times New Roman"/>
          <w:lang w:eastAsia="en-US"/>
        </w:rPr>
        <w:t xml:space="preserve"> </w:t>
      </w:r>
      <w:r w:rsidRPr="00FD06ED">
        <w:rPr>
          <w:rFonts w:eastAsia="Times New Roman"/>
          <w:sz w:val="18"/>
          <w:szCs w:val="18"/>
          <w:lang w:eastAsia="en-AU"/>
        </w:rPr>
        <w:t>The regularity of independent valuations depended on the volatility of movements in market values for the relevant assets.</w:t>
      </w:r>
    </w:p>
    <w:p w14:paraId="756C3C7B" w14:textId="77777777" w:rsidR="00FD06ED" w:rsidRPr="00FD06ED" w:rsidRDefault="00FD06ED" w:rsidP="00FD06ED">
      <w:pPr>
        <w:spacing w:before="0" w:after="0"/>
        <w:ind w:left="0"/>
        <w:jc w:val="both"/>
        <w:rPr>
          <w:rFonts w:eastAsia="Times New Roman"/>
          <w:sz w:val="18"/>
          <w:szCs w:val="18"/>
          <w:lang w:eastAsia="en-AU"/>
        </w:rPr>
      </w:pPr>
    </w:p>
    <w:p w14:paraId="54592707"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7B3B2A8E" w14:textId="77777777" w:rsidR="00FD06ED" w:rsidRPr="00FD06ED" w:rsidRDefault="00FD06ED" w:rsidP="00FD06ED">
      <w:pPr>
        <w:spacing w:before="0" w:after="0"/>
        <w:ind w:left="0"/>
        <w:jc w:val="both"/>
        <w:rPr>
          <w:rFonts w:eastAsia="Times New Roman"/>
          <w:sz w:val="18"/>
          <w:szCs w:val="18"/>
          <w:lang w:eastAsia="en-AU"/>
        </w:rPr>
      </w:pPr>
    </w:p>
    <w:p w14:paraId="27DC82D2"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Any accumulated depreciation as at the revaluation date is eliminated against the gross carrying amount of the asset and the asset is restated to the revalued amount. </w:t>
      </w:r>
    </w:p>
    <w:p w14:paraId="5193883B" w14:textId="77777777" w:rsidR="00FD06ED" w:rsidRPr="00FD06ED" w:rsidRDefault="00FD06ED" w:rsidP="00FD06ED">
      <w:pPr>
        <w:spacing w:before="0" w:after="0"/>
        <w:ind w:left="0"/>
        <w:rPr>
          <w:rFonts w:eastAsia="Times New Roman"/>
          <w:i/>
          <w:iCs/>
          <w:sz w:val="18"/>
          <w:szCs w:val="18"/>
          <w:u w:val="single"/>
          <w:lang w:eastAsia="en-AU"/>
        </w:rPr>
      </w:pPr>
    </w:p>
    <w:p w14:paraId="23DE2663" w14:textId="77777777" w:rsidR="00FD06ED" w:rsidRPr="00FD06ED" w:rsidRDefault="00FD06ED" w:rsidP="00FD06ED">
      <w:pPr>
        <w:spacing w:before="0" w:after="0"/>
        <w:ind w:left="0"/>
        <w:rPr>
          <w:rFonts w:eastAsia="Times New Roman"/>
          <w:i/>
          <w:iCs/>
          <w:sz w:val="18"/>
          <w:szCs w:val="18"/>
          <w:u w:val="single"/>
          <w:lang w:eastAsia="en-AU"/>
        </w:rPr>
      </w:pPr>
      <w:r w:rsidRPr="00FD06ED">
        <w:rPr>
          <w:rFonts w:eastAsia="Times New Roman"/>
          <w:i/>
          <w:iCs/>
          <w:sz w:val="18"/>
          <w:szCs w:val="18"/>
          <w:u w:val="single"/>
          <w:lang w:eastAsia="en-AU"/>
        </w:rPr>
        <w:t>Depreciation</w:t>
      </w:r>
    </w:p>
    <w:p w14:paraId="1C736D79"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r w:rsidRPr="00FD06ED">
        <w:rPr>
          <w:rFonts w:eastAsia="Times New Roman"/>
          <w:sz w:val="18"/>
          <w:szCs w:val="18"/>
          <w:lang w:eastAsia="en-US"/>
        </w:rPr>
        <w:t xml:space="preserve">Depreciable leasehold improvements, </w:t>
      </w:r>
      <w:proofErr w:type="gramStart"/>
      <w:r w:rsidRPr="00FD06ED">
        <w:rPr>
          <w:rFonts w:eastAsia="Times New Roman"/>
          <w:sz w:val="18"/>
          <w:szCs w:val="18"/>
          <w:lang w:eastAsia="en-US"/>
        </w:rPr>
        <w:t>plant</w:t>
      </w:r>
      <w:proofErr w:type="gramEnd"/>
      <w:r w:rsidRPr="00FD06ED">
        <w:rPr>
          <w:rFonts w:eastAsia="Times New Roman"/>
          <w:sz w:val="18"/>
          <w:szCs w:val="18"/>
          <w:lang w:eastAsia="en-US"/>
        </w:rPr>
        <w:t xml:space="preserve"> and equipment assets (other than leasehold improvements under construction) are written off to their estimated residual values over their estimated useful lives using the straight-line method of depreciation. The estimated useful lives, residual values and depreciation methods are reviewed at the end of each reporting period, with the effect of any changes in estimates accounted for on a prospective basis. The table below outlines the d</w:t>
      </w:r>
      <w:r w:rsidRPr="00FD06ED">
        <w:rPr>
          <w:rFonts w:eastAsia="Times New Roman"/>
          <w:sz w:val="18"/>
          <w:szCs w:val="18"/>
          <w:lang w:eastAsia="en-AU"/>
        </w:rPr>
        <w:t>epreciation rates applying to each class of depreciable asset based on the following useful lives:</w:t>
      </w:r>
    </w:p>
    <w:p w14:paraId="133B75B4" w14:textId="77777777" w:rsidR="00FD06ED" w:rsidRPr="00FD06ED" w:rsidRDefault="00FD06ED" w:rsidP="00FD06ED">
      <w:pPr>
        <w:spacing w:before="0" w:after="0"/>
        <w:ind w:left="0"/>
        <w:rPr>
          <w:rFonts w:eastAsia="Times New Roman"/>
          <w:sz w:val="18"/>
          <w:szCs w:val="18"/>
          <w:lang w:eastAsia="en-AU"/>
        </w:rPr>
      </w:pPr>
    </w:p>
    <w:tbl>
      <w:tblPr>
        <w:tblStyle w:val="LightShading1"/>
        <w:tblW w:w="4536" w:type="dxa"/>
        <w:tblLayout w:type="fixed"/>
        <w:tblLook w:val="04A0" w:firstRow="1" w:lastRow="0" w:firstColumn="1" w:lastColumn="0" w:noHBand="0" w:noVBand="1"/>
      </w:tblPr>
      <w:tblGrid>
        <w:gridCol w:w="2835"/>
        <w:gridCol w:w="1701"/>
      </w:tblGrid>
      <w:tr w:rsidR="00FD06ED" w:rsidRPr="00FD06ED" w14:paraId="1E047F97" w14:textId="77777777" w:rsidTr="005C33EF">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B1F3D73" w14:textId="77777777" w:rsidR="00FD06ED" w:rsidRPr="00FD06ED" w:rsidRDefault="00FD06ED" w:rsidP="00FD06ED">
            <w:pPr>
              <w:spacing w:before="0" w:after="0" w:line="260" w:lineRule="atLeast"/>
              <w:ind w:left="0"/>
              <w:rPr>
                <w:rFonts w:eastAsia="Times New Roman"/>
                <w:color w:val="auto"/>
                <w:sz w:val="18"/>
                <w:szCs w:val="18"/>
                <w:lang w:eastAsia="en-AU"/>
              </w:rPr>
            </w:pPr>
            <w:r w:rsidRPr="00FD06ED">
              <w:rPr>
                <w:rFonts w:eastAsia="Times New Roman"/>
                <w:color w:val="auto"/>
                <w:sz w:val="18"/>
                <w:szCs w:val="18"/>
                <w:lang w:eastAsia="en-AU"/>
              </w:rPr>
              <w:t>Asset class</w:t>
            </w:r>
          </w:p>
        </w:tc>
        <w:tc>
          <w:tcPr>
            <w:tcW w:w="1701" w:type="dxa"/>
            <w:shd w:val="clear" w:color="auto" w:fill="auto"/>
          </w:tcPr>
          <w:p w14:paraId="2885546C" w14:textId="77777777" w:rsidR="00FD06ED" w:rsidRPr="00FD06ED" w:rsidRDefault="00FD06ED" w:rsidP="00FD06ED">
            <w:pPr>
              <w:spacing w:before="0" w:after="0" w:line="260" w:lineRule="atLeast"/>
              <w:ind w:left="0"/>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en-AU"/>
              </w:rPr>
            </w:pPr>
            <w:r w:rsidRPr="00FD06ED">
              <w:rPr>
                <w:rFonts w:eastAsia="Times New Roman"/>
                <w:color w:val="auto"/>
                <w:sz w:val="18"/>
                <w:szCs w:val="18"/>
                <w:lang w:eastAsia="en-AU"/>
              </w:rPr>
              <w:t xml:space="preserve">Useful life </w:t>
            </w:r>
          </w:p>
        </w:tc>
      </w:tr>
      <w:tr w:rsidR="00FD06ED" w:rsidRPr="00FD06ED" w14:paraId="537B7079" w14:textId="77777777" w:rsidTr="005C33EF">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2D9F7ADB" w14:textId="77777777" w:rsidR="00FD06ED" w:rsidRPr="00FD06ED" w:rsidRDefault="00FD06ED" w:rsidP="00FD06ED">
            <w:pPr>
              <w:spacing w:before="0" w:line="260" w:lineRule="atLeast"/>
              <w:ind w:left="0"/>
              <w:rPr>
                <w:rFonts w:eastAsia="Calibri"/>
                <w:b w:val="0"/>
                <w:color w:val="auto"/>
                <w:sz w:val="18"/>
                <w:szCs w:val="18"/>
                <w:lang w:eastAsia="en-AU"/>
              </w:rPr>
            </w:pPr>
            <w:r w:rsidRPr="00FD06ED">
              <w:rPr>
                <w:rFonts w:eastAsia="Calibri"/>
                <w:b w:val="0"/>
                <w:color w:val="auto"/>
                <w:sz w:val="18"/>
                <w:szCs w:val="18"/>
                <w:lang w:eastAsia="en-AU"/>
              </w:rPr>
              <w:t>Plant and equipment</w:t>
            </w:r>
          </w:p>
        </w:tc>
        <w:tc>
          <w:tcPr>
            <w:tcW w:w="1701" w:type="dxa"/>
            <w:shd w:val="clear" w:color="auto" w:fill="auto"/>
          </w:tcPr>
          <w:p w14:paraId="5A38E379" w14:textId="77777777" w:rsidR="00FD06ED" w:rsidRPr="00FD06ED" w:rsidRDefault="00FD06ED" w:rsidP="00FD06ED">
            <w:pPr>
              <w:spacing w:before="0" w:line="260" w:lineRule="atLeast"/>
              <w:ind w:left="0"/>
              <w:cnfStyle w:val="000000100000" w:firstRow="0" w:lastRow="0" w:firstColumn="0" w:lastColumn="0" w:oddVBand="0" w:evenVBand="0" w:oddHBand="1" w:evenHBand="0" w:firstRowFirstColumn="0" w:firstRowLastColumn="0" w:lastRowFirstColumn="0" w:lastRowLastColumn="0"/>
              <w:rPr>
                <w:rFonts w:eastAsia="Calibri"/>
                <w:bCs/>
                <w:color w:val="auto"/>
                <w:sz w:val="18"/>
                <w:szCs w:val="18"/>
                <w:lang w:eastAsia="en-AU"/>
              </w:rPr>
            </w:pPr>
            <w:r w:rsidRPr="00FD06ED">
              <w:rPr>
                <w:rFonts w:eastAsia="Calibri"/>
                <w:bCs/>
                <w:color w:val="auto"/>
                <w:sz w:val="18"/>
                <w:szCs w:val="18"/>
                <w:lang w:eastAsia="en-AU"/>
              </w:rPr>
              <w:t>3 to 10 years</w:t>
            </w:r>
          </w:p>
        </w:tc>
      </w:tr>
      <w:tr w:rsidR="00FD06ED" w:rsidRPr="00FD06ED" w14:paraId="055306CF" w14:textId="77777777" w:rsidTr="005C33EF">
        <w:trPr>
          <w:trHeight w:val="251"/>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4196B1CA" w14:textId="77777777" w:rsidR="00FD06ED" w:rsidRPr="00FD06ED" w:rsidRDefault="00FD06ED" w:rsidP="00FD06ED">
            <w:pPr>
              <w:spacing w:before="0" w:after="0" w:line="260" w:lineRule="atLeast"/>
              <w:ind w:left="0"/>
              <w:rPr>
                <w:rFonts w:eastAsia="Calibri"/>
                <w:b w:val="0"/>
                <w:color w:val="auto"/>
                <w:sz w:val="18"/>
                <w:szCs w:val="18"/>
                <w:lang w:eastAsia="en-AU"/>
              </w:rPr>
            </w:pPr>
            <w:r w:rsidRPr="00FD06ED">
              <w:rPr>
                <w:rFonts w:eastAsia="Calibri"/>
                <w:b w:val="0"/>
                <w:color w:val="auto"/>
                <w:sz w:val="18"/>
                <w:szCs w:val="18"/>
                <w:lang w:eastAsia="en-AU"/>
              </w:rPr>
              <w:t>Leasehold improvements</w:t>
            </w:r>
          </w:p>
        </w:tc>
        <w:tc>
          <w:tcPr>
            <w:tcW w:w="1701" w:type="dxa"/>
            <w:shd w:val="clear" w:color="auto" w:fill="auto"/>
          </w:tcPr>
          <w:p w14:paraId="4D2F786F" w14:textId="77777777" w:rsidR="00FD06ED" w:rsidRPr="00FD06ED" w:rsidRDefault="00FD06ED" w:rsidP="00FD06ED">
            <w:pPr>
              <w:autoSpaceDE w:val="0"/>
              <w:autoSpaceDN w:val="0"/>
              <w:adjustRightInd w:val="0"/>
              <w:spacing w:before="0" w:after="0" w:line="260" w:lineRule="atLeast"/>
              <w:ind w:left="0"/>
              <w:contextualSpacing/>
              <w:cnfStyle w:val="000000000000" w:firstRow="0" w:lastRow="0" w:firstColumn="0" w:lastColumn="0" w:oddVBand="0" w:evenVBand="0" w:oddHBand="0" w:evenHBand="0" w:firstRowFirstColumn="0" w:firstRowLastColumn="0" w:lastRowFirstColumn="0" w:lastRowLastColumn="0"/>
              <w:rPr>
                <w:rFonts w:eastAsia="Calibri"/>
                <w:bCs/>
                <w:color w:val="auto"/>
                <w:sz w:val="18"/>
                <w:szCs w:val="18"/>
                <w:lang w:eastAsia="en-AU"/>
              </w:rPr>
            </w:pPr>
            <w:r w:rsidRPr="00FD06ED">
              <w:rPr>
                <w:rFonts w:eastAsia="Calibri"/>
                <w:bCs/>
                <w:color w:val="auto"/>
                <w:sz w:val="18"/>
                <w:szCs w:val="18"/>
                <w:lang w:eastAsia="en-AU"/>
              </w:rPr>
              <w:t xml:space="preserve">1 to 15 years </w:t>
            </w:r>
          </w:p>
          <w:p w14:paraId="312C234D" w14:textId="77777777" w:rsidR="00FD06ED" w:rsidRPr="00FD06ED" w:rsidRDefault="00FD06ED" w:rsidP="00FD06ED">
            <w:pPr>
              <w:autoSpaceDE w:val="0"/>
              <w:autoSpaceDN w:val="0"/>
              <w:adjustRightInd w:val="0"/>
              <w:spacing w:before="0" w:after="0" w:line="260" w:lineRule="atLeast"/>
              <w:ind w:left="0"/>
              <w:contextualSpacing/>
              <w:cnfStyle w:val="000000000000" w:firstRow="0" w:lastRow="0" w:firstColumn="0" w:lastColumn="0" w:oddVBand="0" w:evenVBand="0" w:oddHBand="0" w:evenHBand="0" w:firstRowFirstColumn="0" w:firstRowLastColumn="0" w:lastRowFirstColumn="0" w:lastRowLastColumn="0"/>
              <w:rPr>
                <w:rFonts w:eastAsia="Calibri"/>
                <w:bCs/>
                <w:color w:val="auto"/>
                <w:sz w:val="18"/>
                <w:szCs w:val="18"/>
                <w:lang w:eastAsia="en-AU"/>
              </w:rPr>
            </w:pPr>
          </w:p>
        </w:tc>
      </w:tr>
    </w:tbl>
    <w:p w14:paraId="5D38F1C3" w14:textId="77777777" w:rsidR="00FD06ED" w:rsidRPr="00FD06ED" w:rsidRDefault="00FD06ED" w:rsidP="00FD06ED">
      <w:pPr>
        <w:spacing w:before="0" w:after="0"/>
        <w:ind w:left="0"/>
        <w:rPr>
          <w:rFonts w:eastAsia="Times New Roman"/>
          <w:sz w:val="18"/>
          <w:szCs w:val="18"/>
          <w:lang w:eastAsia="en-US"/>
        </w:rPr>
      </w:pPr>
    </w:p>
    <w:p w14:paraId="6C9FB960"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The depreciation rates for ROU assets are based on the life of the lease term, including options to extend where it is expected that these will be exercised.</w:t>
      </w:r>
    </w:p>
    <w:p w14:paraId="46979B86" w14:textId="77777777" w:rsidR="00FD06ED" w:rsidRPr="00FD06ED" w:rsidRDefault="00FD06ED" w:rsidP="00FD06ED">
      <w:pPr>
        <w:spacing w:before="0" w:after="0"/>
        <w:ind w:left="0"/>
        <w:rPr>
          <w:rFonts w:eastAsia="Times New Roman"/>
          <w:sz w:val="18"/>
          <w:szCs w:val="18"/>
          <w:lang w:eastAsia="en-US"/>
        </w:rPr>
      </w:pPr>
    </w:p>
    <w:p w14:paraId="41364310" w14:textId="77777777" w:rsidR="00FD06ED" w:rsidRPr="00FD06ED" w:rsidRDefault="00FD06ED" w:rsidP="00FD06ED">
      <w:pPr>
        <w:spacing w:before="0" w:after="0"/>
        <w:ind w:left="0"/>
        <w:rPr>
          <w:rFonts w:eastAsia="Times New Roman"/>
          <w:sz w:val="18"/>
          <w:szCs w:val="18"/>
          <w:lang w:eastAsia="en-US"/>
        </w:rPr>
      </w:pPr>
    </w:p>
    <w:p w14:paraId="59B79F6B" w14:textId="77777777" w:rsidR="00FD06ED" w:rsidRPr="00FD06ED" w:rsidRDefault="00FD06ED" w:rsidP="00FD06ED">
      <w:pPr>
        <w:spacing w:before="0" w:after="0"/>
        <w:ind w:left="0"/>
        <w:rPr>
          <w:rFonts w:eastAsia="Times New Roman"/>
          <w:sz w:val="18"/>
          <w:szCs w:val="18"/>
          <w:lang w:eastAsia="en-US"/>
        </w:rPr>
      </w:pPr>
    </w:p>
    <w:p w14:paraId="746BA735" w14:textId="77777777" w:rsidR="00FD06ED" w:rsidRPr="00FD06ED" w:rsidRDefault="00FD06ED" w:rsidP="00FD06ED">
      <w:pPr>
        <w:spacing w:before="0" w:after="0"/>
        <w:ind w:left="0"/>
        <w:rPr>
          <w:rFonts w:eastAsia="Times New Roman"/>
          <w:sz w:val="18"/>
          <w:szCs w:val="18"/>
          <w:lang w:eastAsia="en-US"/>
        </w:rPr>
      </w:pPr>
    </w:p>
    <w:p w14:paraId="60FA8633" w14:textId="77777777" w:rsidR="00FD06ED" w:rsidRPr="00FD06ED" w:rsidRDefault="00FD06ED" w:rsidP="00FD06ED">
      <w:pPr>
        <w:spacing w:before="0" w:after="0"/>
        <w:ind w:left="0"/>
        <w:rPr>
          <w:rFonts w:eastAsia="Times New Roman"/>
          <w:sz w:val="18"/>
          <w:szCs w:val="18"/>
          <w:lang w:eastAsia="en-US"/>
        </w:rPr>
      </w:pPr>
    </w:p>
    <w:p w14:paraId="05FB4CBD" w14:textId="77777777" w:rsidR="00FD06ED" w:rsidRPr="00FD06ED" w:rsidRDefault="00FD06ED" w:rsidP="00FD06ED">
      <w:pPr>
        <w:spacing w:before="0" w:after="0"/>
        <w:ind w:left="0"/>
        <w:rPr>
          <w:rFonts w:eastAsia="Times New Roman"/>
          <w:sz w:val="18"/>
          <w:szCs w:val="18"/>
          <w:lang w:eastAsia="en-US"/>
        </w:rPr>
      </w:pPr>
    </w:p>
    <w:p w14:paraId="14BBABF4" w14:textId="77777777" w:rsidR="00FD06ED" w:rsidRPr="00FD06ED" w:rsidRDefault="00FD06ED" w:rsidP="00FD06ED">
      <w:pPr>
        <w:spacing w:before="0" w:after="0"/>
        <w:ind w:left="0"/>
        <w:rPr>
          <w:rFonts w:eastAsia="Times New Roman"/>
          <w:sz w:val="18"/>
          <w:szCs w:val="18"/>
          <w:lang w:eastAsia="en-US"/>
        </w:rPr>
      </w:pPr>
    </w:p>
    <w:p w14:paraId="7EC07971" w14:textId="77777777" w:rsidR="00FD06ED" w:rsidRPr="00FD06ED" w:rsidRDefault="00FD06ED" w:rsidP="00FD06ED">
      <w:pPr>
        <w:spacing w:before="0" w:after="0"/>
        <w:ind w:left="0"/>
        <w:rPr>
          <w:rFonts w:eastAsia="Times New Roman"/>
          <w:sz w:val="18"/>
          <w:szCs w:val="18"/>
          <w:lang w:eastAsia="en-US"/>
        </w:rPr>
      </w:pPr>
    </w:p>
    <w:p w14:paraId="38FFE108" w14:textId="77777777" w:rsidR="00FD06ED" w:rsidRPr="00FD06ED" w:rsidRDefault="00FD06ED" w:rsidP="00FD06ED">
      <w:pPr>
        <w:spacing w:before="0" w:after="0"/>
        <w:ind w:left="0"/>
        <w:rPr>
          <w:rFonts w:eastAsia="Times New Roman"/>
          <w:i/>
          <w:iCs/>
          <w:sz w:val="18"/>
          <w:szCs w:val="18"/>
          <w:u w:val="single"/>
          <w:lang w:eastAsia="en-AU"/>
        </w:rPr>
      </w:pPr>
    </w:p>
    <w:p w14:paraId="4B68C8D9" w14:textId="77777777" w:rsidR="00FD06ED" w:rsidRPr="00FD06ED" w:rsidRDefault="00FD06ED" w:rsidP="00FD06ED">
      <w:pPr>
        <w:spacing w:before="0" w:after="0"/>
        <w:ind w:left="0"/>
        <w:rPr>
          <w:rFonts w:eastAsia="Times New Roman"/>
          <w:i/>
          <w:iCs/>
          <w:sz w:val="18"/>
          <w:szCs w:val="18"/>
          <w:u w:val="single"/>
          <w:lang w:eastAsia="en-AU"/>
        </w:rPr>
      </w:pPr>
      <w:r w:rsidRPr="00FD06ED">
        <w:rPr>
          <w:rFonts w:eastAsia="Times New Roman"/>
          <w:noProof/>
          <w:sz w:val="18"/>
          <w:szCs w:val="18"/>
          <w:lang w:eastAsia="en-AU"/>
        </w:rPr>
        <mc:AlternateContent>
          <mc:Choice Requires="wps">
            <w:drawing>
              <wp:anchor distT="0" distB="0" distL="114300" distR="114300" simplePos="0" relativeHeight="251608576" behindDoc="0" locked="0" layoutInCell="1" allowOverlap="1" wp14:anchorId="2CA2C52F" wp14:editId="4B7BFCCD">
                <wp:simplePos x="0" y="0"/>
                <wp:positionH relativeFrom="column">
                  <wp:posOffset>-90983</wp:posOffset>
                </wp:positionH>
                <wp:positionV relativeFrom="paragraph">
                  <wp:posOffset>-117653</wp:posOffset>
                </wp:positionV>
                <wp:extent cx="6364224" cy="5874106"/>
                <wp:effectExtent l="0" t="0" r="17780" b="12700"/>
                <wp:wrapNone/>
                <wp:docPr id="448" name="Rectangle 4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4224" cy="5874106"/>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EFEACCB" id="Rectangle 448" o:spid="_x0000_s1026" alt="&quot;&quot;" style="position:absolute;margin-left:-7.15pt;margin-top:-9.25pt;width:501.1pt;height:462.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" filled="f" strokecolor="purple"/>
            </w:pict>
          </mc:Fallback>
        </mc:AlternateContent>
      </w:r>
      <w:r w:rsidRPr="00FD06ED">
        <w:rPr>
          <w:rFonts w:eastAsia="Times New Roman"/>
          <w:i/>
          <w:iCs/>
          <w:sz w:val="18"/>
          <w:szCs w:val="18"/>
          <w:u w:val="single"/>
          <w:lang w:eastAsia="en-AU"/>
        </w:rPr>
        <w:t>Impairment</w:t>
      </w:r>
    </w:p>
    <w:p w14:paraId="0DEDF79D"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 xml:space="preserve">All assets are assessed for impairment annually. Where indications of impairment exist, the asset’s recoverable amount is estimated, and an impairment adjustment made if the asset’s recoverable amount is less than </w:t>
      </w:r>
      <w:proofErr w:type="gramStart"/>
      <w:r w:rsidRPr="00FD06ED">
        <w:rPr>
          <w:rFonts w:eastAsia="Times New Roman"/>
          <w:sz w:val="18"/>
          <w:szCs w:val="18"/>
          <w:lang w:eastAsia="en-AU"/>
        </w:rPr>
        <w:t>its</w:t>
      </w:r>
      <w:proofErr w:type="gramEnd"/>
      <w:r w:rsidRPr="00FD06ED">
        <w:rPr>
          <w:rFonts w:eastAsia="Times New Roman"/>
          <w:sz w:val="18"/>
          <w:szCs w:val="18"/>
          <w:lang w:eastAsia="en-AU"/>
        </w:rPr>
        <w:t xml:space="preserve">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Agency were deprived of the asset, its value in use is taken to be its depreciated replacement cost. </w:t>
      </w:r>
    </w:p>
    <w:p w14:paraId="7D410026" w14:textId="77777777" w:rsidR="00FD06ED" w:rsidRPr="00FD06ED" w:rsidRDefault="00FD06ED" w:rsidP="00FD06ED">
      <w:pPr>
        <w:spacing w:before="0" w:after="0"/>
        <w:ind w:left="0"/>
        <w:jc w:val="both"/>
        <w:rPr>
          <w:rFonts w:eastAsia="Times New Roman"/>
          <w:i/>
          <w:iCs/>
          <w:sz w:val="18"/>
          <w:szCs w:val="18"/>
          <w:u w:val="single"/>
          <w:lang w:eastAsia="en-AU"/>
        </w:rPr>
      </w:pPr>
    </w:p>
    <w:p w14:paraId="41AFA1E6" w14:textId="77777777" w:rsidR="00FD06ED" w:rsidRPr="00FD06ED" w:rsidRDefault="00FD06ED" w:rsidP="00FD06ED">
      <w:pPr>
        <w:spacing w:before="0" w:after="0"/>
        <w:ind w:left="0"/>
        <w:jc w:val="both"/>
        <w:rPr>
          <w:rFonts w:eastAsia="Times New Roman"/>
          <w:i/>
          <w:iCs/>
          <w:sz w:val="18"/>
          <w:szCs w:val="18"/>
          <w:u w:val="single"/>
          <w:lang w:eastAsia="en-AU"/>
        </w:rPr>
      </w:pPr>
      <w:r w:rsidRPr="00FD06ED">
        <w:rPr>
          <w:rFonts w:eastAsia="Times New Roman"/>
          <w:i/>
          <w:iCs/>
          <w:sz w:val="18"/>
          <w:szCs w:val="18"/>
          <w:u w:val="single"/>
          <w:lang w:eastAsia="en-AU"/>
        </w:rPr>
        <w:t>Fair Value</w:t>
      </w:r>
    </w:p>
    <w:p w14:paraId="09E2C435" w14:textId="77777777" w:rsidR="00FD06ED" w:rsidRPr="00FD06ED" w:rsidRDefault="00FD06ED" w:rsidP="00FD06ED">
      <w:pPr>
        <w:spacing w:before="0" w:after="0"/>
        <w:ind w:left="0"/>
        <w:jc w:val="both"/>
        <w:rPr>
          <w:rFonts w:eastAsia="Times New Roman"/>
          <w:iCs/>
          <w:sz w:val="18"/>
          <w:szCs w:val="18"/>
          <w:lang w:eastAsia="en-AU"/>
        </w:rPr>
      </w:pPr>
      <w:r w:rsidRPr="00FD06ED">
        <w:rPr>
          <w:rFonts w:eastAsia="Times New Roman"/>
          <w:iCs/>
          <w:sz w:val="18"/>
          <w:szCs w:val="18"/>
          <w:lang w:eastAsia="en-AU"/>
        </w:rPr>
        <w:t>All leasehold improvements and plant and equipment are measured at their estimated fair value in the Statement of Financial Position. All leasehold improvements and plant and equipment, other than ROU plant and equipment and computing equipment, held by the Agency are categorised under Level 3 in accordance with the hierarchy listed in AASB 13.</w:t>
      </w:r>
    </w:p>
    <w:p w14:paraId="5B8DDBF3" w14:textId="77777777" w:rsidR="00FD06ED" w:rsidRPr="00FD06ED" w:rsidRDefault="00FD06ED" w:rsidP="00FD06ED">
      <w:pPr>
        <w:spacing w:before="0" w:after="0"/>
        <w:ind w:left="0"/>
        <w:jc w:val="both"/>
        <w:rPr>
          <w:rFonts w:eastAsia="Times New Roman"/>
          <w:iCs/>
          <w:sz w:val="18"/>
          <w:szCs w:val="18"/>
          <w:lang w:eastAsia="en-AU"/>
        </w:rPr>
      </w:pPr>
    </w:p>
    <w:p w14:paraId="6C3BEA0B" w14:textId="77777777" w:rsidR="00FD06ED" w:rsidRPr="00FD06ED" w:rsidRDefault="00FD06ED" w:rsidP="00FD06ED">
      <w:pPr>
        <w:spacing w:before="0" w:after="0"/>
        <w:ind w:left="0"/>
        <w:jc w:val="both"/>
        <w:rPr>
          <w:rFonts w:eastAsia="Times New Roman"/>
          <w:iCs/>
          <w:sz w:val="18"/>
          <w:szCs w:val="18"/>
          <w:lang w:eastAsia="en-AU"/>
        </w:rPr>
      </w:pPr>
      <w:r w:rsidRPr="00FD06ED">
        <w:rPr>
          <w:rFonts w:eastAsia="Times New Roman"/>
          <w:iCs/>
          <w:sz w:val="18"/>
          <w:szCs w:val="18"/>
          <w:lang w:eastAsia="en-AU"/>
        </w:rPr>
        <w:t>Level 3 measurements use inputs to estimate fair value where there are no observable market prices for the assets being valued. The future economic benefits of the Agency’s leasehold improvements and plant and equipment are not primarily dependent on their ability to generate cash flows. The Agency has not disclosed quantitative information about the significant unobservable inputs for the level 3 measurements in these classes.</w:t>
      </w:r>
    </w:p>
    <w:p w14:paraId="518E8FFF" w14:textId="77777777" w:rsidR="00FD06ED" w:rsidRPr="00FD06ED" w:rsidRDefault="00FD06ED" w:rsidP="00FD06ED">
      <w:pPr>
        <w:spacing w:before="0" w:after="0"/>
        <w:ind w:left="0"/>
        <w:jc w:val="both"/>
        <w:rPr>
          <w:rFonts w:eastAsia="Times New Roman"/>
          <w:i/>
          <w:iCs/>
          <w:sz w:val="18"/>
          <w:szCs w:val="18"/>
          <w:u w:val="single"/>
          <w:lang w:eastAsia="en-AU"/>
        </w:rPr>
      </w:pPr>
    </w:p>
    <w:p w14:paraId="653707F8" w14:textId="77777777" w:rsidR="00FD06ED" w:rsidRPr="00FD06ED" w:rsidRDefault="00FD06ED" w:rsidP="00FD06ED">
      <w:pPr>
        <w:spacing w:before="0" w:after="0"/>
        <w:ind w:left="0"/>
        <w:jc w:val="both"/>
        <w:rPr>
          <w:rFonts w:eastAsia="Times New Roman"/>
          <w:iCs/>
          <w:sz w:val="18"/>
          <w:szCs w:val="18"/>
          <w:lang w:eastAsia="en-AU"/>
        </w:rPr>
      </w:pPr>
      <w:r w:rsidRPr="00FD06ED">
        <w:rPr>
          <w:rFonts w:eastAsia="Times New Roman"/>
          <w:sz w:val="18"/>
          <w:szCs w:val="18"/>
          <w:lang w:eastAsia="en-AU"/>
        </w:rPr>
        <w:t xml:space="preserve">Computing equipment are categorised under level 1 </w:t>
      </w:r>
      <w:r w:rsidRPr="00FD06ED">
        <w:rPr>
          <w:rFonts w:eastAsia="Times New Roman"/>
          <w:iCs/>
          <w:sz w:val="18"/>
          <w:szCs w:val="18"/>
          <w:lang w:eastAsia="en-AU"/>
        </w:rPr>
        <w:t>in accordance with the hierarchy listed in AASB 13.</w:t>
      </w:r>
    </w:p>
    <w:p w14:paraId="0B39A93C" w14:textId="77777777" w:rsidR="00FD06ED" w:rsidRPr="00FD06ED" w:rsidRDefault="00FD06ED" w:rsidP="00FD06ED">
      <w:pPr>
        <w:spacing w:before="0" w:after="0"/>
        <w:ind w:left="0"/>
        <w:jc w:val="both"/>
        <w:rPr>
          <w:rFonts w:eastAsia="Times New Roman"/>
          <w:iCs/>
          <w:sz w:val="18"/>
          <w:szCs w:val="18"/>
          <w:lang w:eastAsia="en-AU"/>
        </w:rPr>
      </w:pPr>
    </w:p>
    <w:p w14:paraId="3E1E2B1A" w14:textId="77777777" w:rsidR="00FD06ED" w:rsidRPr="00FD06ED" w:rsidRDefault="00FD06ED" w:rsidP="00FD06ED">
      <w:pPr>
        <w:spacing w:before="0" w:after="0"/>
        <w:ind w:left="0"/>
        <w:jc w:val="both"/>
        <w:rPr>
          <w:rFonts w:eastAsia="Times New Roman"/>
          <w:sz w:val="18"/>
          <w:szCs w:val="18"/>
          <w:lang w:eastAsia="en-AU"/>
        </w:rPr>
      </w:pPr>
      <w:r w:rsidRPr="00FD06ED">
        <w:rPr>
          <w:rFonts w:eastAsia="Times New Roman"/>
          <w:sz w:val="18"/>
          <w:szCs w:val="18"/>
          <w:lang w:eastAsia="en-AU"/>
        </w:rPr>
        <w:t>Level 1 measurements use quoted prices (unadjusted) in active markets for identical assets or liabilities that the entity can access at the measurement date</w:t>
      </w:r>
    </w:p>
    <w:p w14:paraId="26686927" w14:textId="77777777" w:rsidR="00FD06ED" w:rsidRPr="00FD06ED" w:rsidRDefault="00FD06ED" w:rsidP="00FD06ED">
      <w:pPr>
        <w:spacing w:before="0" w:after="0"/>
        <w:ind w:left="0"/>
        <w:jc w:val="both"/>
        <w:rPr>
          <w:rFonts w:eastAsia="Times New Roman"/>
          <w:i/>
          <w:iCs/>
          <w:sz w:val="18"/>
          <w:szCs w:val="18"/>
          <w:u w:val="single"/>
          <w:lang w:eastAsia="en-AU"/>
        </w:rPr>
      </w:pPr>
    </w:p>
    <w:p w14:paraId="0E96B571" w14:textId="77777777" w:rsidR="00FD06ED" w:rsidRPr="00FD06ED" w:rsidRDefault="00FD06ED" w:rsidP="00FD06ED">
      <w:pPr>
        <w:spacing w:before="0" w:after="0"/>
        <w:ind w:left="0"/>
        <w:jc w:val="both"/>
        <w:rPr>
          <w:rFonts w:eastAsia="Times New Roman"/>
          <w:i/>
          <w:iCs/>
          <w:sz w:val="18"/>
          <w:szCs w:val="18"/>
          <w:u w:val="single"/>
          <w:lang w:eastAsia="en-AU"/>
        </w:rPr>
      </w:pPr>
    </w:p>
    <w:p w14:paraId="46BB7356" w14:textId="77777777" w:rsidR="00FD06ED" w:rsidRPr="00FD06ED" w:rsidRDefault="00FD06ED" w:rsidP="00FD06ED">
      <w:pPr>
        <w:spacing w:before="0" w:after="0"/>
        <w:ind w:left="0"/>
        <w:jc w:val="both"/>
        <w:rPr>
          <w:rFonts w:eastAsia="Times New Roman"/>
          <w:i/>
          <w:iCs/>
          <w:sz w:val="18"/>
          <w:szCs w:val="18"/>
          <w:u w:val="single"/>
          <w:lang w:eastAsia="en-AU"/>
        </w:rPr>
      </w:pPr>
    </w:p>
    <w:p w14:paraId="2044886E" w14:textId="77777777" w:rsidR="00FD06ED" w:rsidRPr="00FD06ED" w:rsidRDefault="00FD06ED" w:rsidP="00FD06ED">
      <w:pPr>
        <w:spacing w:before="0" w:after="0"/>
        <w:ind w:left="0"/>
        <w:jc w:val="both"/>
        <w:rPr>
          <w:rFonts w:eastAsia="Times New Roman"/>
          <w:i/>
          <w:iCs/>
          <w:sz w:val="18"/>
          <w:szCs w:val="18"/>
          <w:u w:val="single"/>
          <w:lang w:eastAsia="en-AU"/>
        </w:rPr>
      </w:pPr>
    </w:p>
    <w:p w14:paraId="0032A3CE" w14:textId="77777777" w:rsidR="00FD06ED" w:rsidRPr="00FD06ED" w:rsidRDefault="00FD06ED" w:rsidP="00FD06ED">
      <w:pPr>
        <w:spacing w:before="0" w:after="0"/>
        <w:ind w:left="0"/>
        <w:jc w:val="both"/>
        <w:rPr>
          <w:rFonts w:eastAsia="Times New Roman"/>
          <w:i/>
          <w:iCs/>
          <w:sz w:val="18"/>
          <w:szCs w:val="18"/>
          <w:u w:val="single"/>
          <w:lang w:eastAsia="en-AU"/>
        </w:rPr>
      </w:pPr>
      <w:r w:rsidRPr="00FD06ED">
        <w:rPr>
          <w:rFonts w:eastAsia="Times New Roman"/>
          <w:i/>
          <w:iCs/>
          <w:sz w:val="18"/>
          <w:szCs w:val="18"/>
          <w:u w:val="single"/>
          <w:lang w:eastAsia="en-AU"/>
        </w:rPr>
        <w:t>De-recognition</w:t>
      </w:r>
    </w:p>
    <w:p w14:paraId="31C2C006"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US"/>
        </w:rPr>
      </w:pPr>
      <w:r w:rsidRPr="00FD06ED">
        <w:rPr>
          <w:rFonts w:eastAsia="Times New Roman"/>
          <w:sz w:val="18"/>
          <w:szCs w:val="18"/>
          <w:lang w:eastAsia="en-US"/>
        </w:rPr>
        <w:t xml:space="preserve">An item of buildings or plant and equipment is derecognised upon disposal or when no further future economic benefits are expected from its use or its disposal. </w:t>
      </w:r>
    </w:p>
    <w:p w14:paraId="174D63C6"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US"/>
        </w:rPr>
      </w:pPr>
    </w:p>
    <w:p w14:paraId="0EF970A2"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US"/>
        </w:rPr>
      </w:pPr>
      <w:r w:rsidRPr="00FD06ED">
        <w:rPr>
          <w:rFonts w:eastAsia="Times New Roman"/>
          <w:sz w:val="18"/>
          <w:szCs w:val="18"/>
          <w:lang w:eastAsia="en-US"/>
        </w:rPr>
        <w:t xml:space="preserve">On de-recognition of a leased ROU asset the Agency recognises any receipts on closure of the lease, as a gain (unless </w:t>
      </w:r>
      <w:r w:rsidRPr="00FD06ED">
        <w:rPr>
          <w:rFonts w:eastAsia="Times New Roman"/>
          <w:i/>
          <w:iCs/>
          <w:sz w:val="18"/>
          <w:szCs w:val="18"/>
          <w:lang w:eastAsia="en-US"/>
        </w:rPr>
        <w:t>AASB 16 Leases</w:t>
      </w:r>
      <w:r w:rsidRPr="00FD06ED">
        <w:rPr>
          <w:rFonts w:eastAsia="Times New Roman"/>
          <w:sz w:val="18"/>
          <w:szCs w:val="18"/>
          <w:lang w:eastAsia="en-US"/>
        </w:rPr>
        <w:t xml:space="preserve"> requires otherwise on a sale and leaseback).</w:t>
      </w:r>
    </w:p>
    <w:p w14:paraId="1262B831" w14:textId="77777777" w:rsidR="00FD06ED" w:rsidRPr="00FD06ED" w:rsidRDefault="00FD06ED" w:rsidP="00FD06ED">
      <w:pPr>
        <w:autoSpaceDE w:val="0"/>
        <w:autoSpaceDN w:val="0"/>
        <w:adjustRightInd w:val="0"/>
        <w:spacing w:before="0" w:after="0"/>
        <w:ind w:left="0"/>
        <w:jc w:val="both"/>
        <w:rPr>
          <w:rFonts w:eastAsia="Times New Roman"/>
          <w:b/>
          <w:bCs/>
          <w:sz w:val="18"/>
          <w:szCs w:val="18"/>
          <w:lang w:eastAsia="en-US"/>
        </w:rPr>
      </w:pPr>
    </w:p>
    <w:p w14:paraId="7040F242" w14:textId="77777777" w:rsidR="00FD06ED" w:rsidRPr="00FD06ED" w:rsidRDefault="00FD06ED" w:rsidP="00FD06ED">
      <w:pPr>
        <w:autoSpaceDE w:val="0"/>
        <w:autoSpaceDN w:val="0"/>
        <w:adjustRightInd w:val="0"/>
        <w:spacing w:before="0" w:after="0"/>
        <w:ind w:left="0"/>
        <w:jc w:val="both"/>
        <w:rPr>
          <w:rFonts w:eastAsia="Times New Roman"/>
          <w:b/>
          <w:bCs/>
          <w:sz w:val="18"/>
          <w:szCs w:val="18"/>
          <w:lang w:eastAsia="en-US"/>
        </w:rPr>
      </w:pPr>
      <w:r w:rsidRPr="00FD06ED">
        <w:rPr>
          <w:rFonts w:eastAsia="Times New Roman"/>
          <w:b/>
          <w:bCs/>
          <w:sz w:val="18"/>
          <w:szCs w:val="18"/>
          <w:lang w:eastAsia="en-US"/>
        </w:rPr>
        <w:t>Key judgements and estimates</w:t>
      </w:r>
    </w:p>
    <w:p w14:paraId="069AD29A" w14:textId="77777777" w:rsidR="00FD06ED" w:rsidRPr="00FD06ED" w:rsidRDefault="00FD06ED" w:rsidP="00FD06ED">
      <w:pPr>
        <w:autoSpaceDE w:val="0"/>
        <w:autoSpaceDN w:val="0"/>
        <w:adjustRightInd w:val="0"/>
        <w:spacing w:before="0" w:after="0"/>
        <w:ind w:left="0"/>
        <w:jc w:val="both"/>
        <w:rPr>
          <w:rFonts w:eastAsia="Times New Roman"/>
          <w:b/>
          <w:bCs/>
          <w:sz w:val="18"/>
          <w:szCs w:val="18"/>
          <w:lang w:eastAsia="en-US"/>
        </w:rPr>
      </w:pPr>
    </w:p>
    <w:p w14:paraId="7C8E24E6"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r w:rsidRPr="00FD06ED">
        <w:rPr>
          <w:rFonts w:eastAsia="Times New Roman"/>
          <w:sz w:val="18"/>
          <w:szCs w:val="18"/>
          <w:lang w:eastAsia="en-AU"/>
        </w:rPr>
        <w:t>The estimated fair value of leasehold improvements and plant and equipment (excluding ROU assets) is determined annually by an independent valuer using the Cost Approach and is subject to management assessment.</w:t>
      </w:r>
    </w:p>
    <w:p w14:paraId="742A8C47"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p>
    <w:p w14:paraId="1F548265"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r w:rsidRPr="00FD06ED">
        <w:rPr>
          <w:rFonts w:eastAsia="Times New Roman"/>
          <w:sz w:val="18"/>
          <w:szCs w:val="18"/>
          <w:lang w:eastAsia="en-AU"/>
        </w:rPr>
        <w:t>The Cost Approach seeks to estimate the amount required to replace the service capacity of an asset at its highest and best use and is determined as either the Replacement Cost of New Assets (RCN) or the Depreciated Replacement Cost (DRC).</w:t>
      </w:r>
    </w:p>
    <w:p w14:paraId="081B2740"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p>
    <w:p w14:paraId="14BD6B77"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r w:rsidRPr="00FD06ED">
        <w:rPr>
          <w:rFonts w:eastAsia="Times New Roman"/>
          <w:sz w:val="18"/>
          <w:szCs w:val="18"/>
          <w:lang w:eastAsia="en-AU"/>
        </w:rPr>
        <w:t>Assets Under Construction are valued as RCN determined as the amount a market participant would pay to acquire or construct a new substitute asset of comparable utility and relevant to the asset’s location. Inputs including current local market prices for asset components such as materials and labour costs are utilised in determining RCN.</w:t>
      </w:r>
    </w:p>
    <w:p w14:paraId="41D063F6"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pPr>
    </w:p>
    <w:p w14:paraId="7297A2E4" w14:textId="77777777" w:rsidR="00FD06ED" w:rsidRPr="00FD06ED" w:rsidRDefault="00FD06ED" w:rsidP="00FD06ED">
      <w:pPr>
        <w:autoSpaceDE w:val="0"/>
        <w:autoSpaceDN w:val="0"/>
        <w:adjustRightInd w:val="0"/>
        <w:spacing w:before="0" w:after="0"/>
        <w:ind w:left="0"/>
        <w:jc w:val="both"/>
        <w:rPr>
          <w:rFonts w:eastAsia="Times New Roman"/>
          <w:sz w:val="18"/>
          <w:szCs w:val="18"/>
          <w:lang w:eastAsia="en-AU"/>
        </w:rPr>
        <w:sectPr w:rsidR="00FD06ED" w:rsidRPr="00FD06ED" w:rsidSect="00BE00CF">
          <w:type w:val="continuous"/>
          <w:pgSz w:w="11906" w:h="16838" w:code="9"/>
          <w:pgMar w:top="1670" w:right="1134" w:bottom="1134" w:left="1134" w:header="958" w:footer="737" w:gutter="0"/>
          <w:cols w:num="2" w:space="708"/>
          <w:docGrid w:linePitch="360"/>
        </w:sectPr>
      </w:pPr>
      <w:r w:rsidRPr="00FD06ED">
        <w:rPr>
          <w:rFonts w:eastAsia="Times New Roman"/>
          <w:sz w:val="18"/>
          <w:szCs w:val="18"/>
          <w:lang w:eastAsia="en-AU"/>
        </w:rPr>
        <w:t xml:space="preserve">Leasehold improvements, </w:t>
      </w:r>
      <w:proofErr w:type="gramStart"/>
      <w:r w:rsidRPr="00FD06ED">
        <w:rPr>
          <w:rFonts w:eastAsia="Times New Roman"/>
          <w:sz w:val="18"/>
          <w:szCs w:val="18"/>
          <w:lang w:eastAsia="en-AU"/>
        </w:rPr>
        <w:t>plant</w:t>
      </w:r>
      <w:proofErr w:type="gramEnd"/>
      <w:r w:rsidRPr="00FD06ED">
        <w:rPr>
          <w:rFonts w:eastAsia="Times New Roman"/>
          <w:sz w:val="18"/>
          <w:szCs w:val="18"/>
          <w:lang w:eastAsia="en-AU"/>
        </w:rPr>
        <w:t xml:space="preserve"> and equipment (excluding ROU assets) are valued using DRC. Under DRC the replacement costs of new assets are adjusted for physical depreciation and obsolescence such as physical deterioration, functional or technical obsolescence and conditions of the economic environment specific to the asset. For leasehold improvements, the consumed economic benefit/asset obsolescence deduction is determined based on the term of the associated lease.</w:t>
      </w:r>
    </w:p>
    <w:p w14:paraId="3E50EC74" w14:textId="77777777" w:rsidR="00FD06ED" w:rsidRPr="00FD06ED" w:rsidRDefault="00FD06ED" w:rsidP="00FD06ED">
      <w:pPr>
        <w:spacing w:before="0" w:after="0"/>
        <w:ind w:left="0"/>
        <w:jc w:val="both"/>
        <w:rPr>
          <w:rFonts w:eastAsia="Times New Roman"/>
          <w:sz w:val="18"/>
          <w:szCs w:val="18"/>
          <w:lang w:eastAsia="en-AU"/>
        </w:rPr>
        <w:sectPr w:rsidR="00FD06ED" w:rsidRPr="00FD06ED" w:rsidSect="00BE00CF">
          <w:type w:val="continuous"/>
          <w:pgSz w:w="11906" w:h="16838" w:code="9"/>
          <w:pgMar w:top="1670" w:right="1134" w:bottom="1134" w:left="1134" w:header="958" w:footer="737" w:gutter="0"/>
          <w:cols w:num="2" w:space="708"/>
          <w:docGrid w:linePitch="360"/>
        </w:sectPr>
      </w:pPr>
    </w:p>
    <w:tbl>
      <w:tblPr>
        <w:tblW w:w="9735" w:type="dxa"/>
        <w:tblLook w:val="04A0" w:firstRow="1" w:lastRow="0" w:firstColumn="1" w:lastColumn="0" w:noHBand="0" w:noVBand="1"/>
      </w:tblPr>
      <w:tblGrid>
        <w:gridCol w:w="6836"/>
        <w:gridCol w:w="1316"/>
        <w:gridCol w:w="267"/>
        <w:gridCol w:w="1316"/>
      </w:tblGrid>
      <w:tr w:rsidR="00FD06ED" w:rsidRPr="00FD06ED" w14:paraId="451A9B78" w14:textId="77777777" w:rsidTr="005C33EF">
        <w:trPr>
          <w:trHeight w:val="233"/>
        </w:trPr>
        <w:tc>
          <w:tcPr>
            <w:tcW w:w="6836" w:type="dxa"/>
            <w:tcBorders>
              <w:top w:val="nil"/>
              <w:left w:val="nil"/>
              <w:bottom w:val="nil"/>
              <w:right w:val="nil"/>
            </w:tcBorders>
            <w:shd w:val="clear" w:color="FFFFFF" w:fill="FFFFFF"/>
            <w:noWrap/>
            <w:vAlign w:val="bottom"/>
            <w:hideMark/>
          </w:tcPr>
          <w:p w14:paraId="418C0012" w14:textId="77777777" w:rsidR="00FD06ED" w:rsidRPr="00FD06ED" w:rsidRDefault="00FD06ED" w:rsidP="00FD06ED">
            <w:pPr>
              <w:spacing w:before="0" w:after="0"/>
              <w:ind w:left="0"/>
              <w:rPr>
                <w:rFonts w:eastAsia="Times New Roman"/>
                <w:sz w:val="18"/>
                <w:szCs w:val="18"/>
                <w:lang w:eastAsia="en-AU"/>
              </w:rPr>
            </w:pPr>
          </w:p>
        </w:tc>
        <w:tc>
          <w:tcPr>
            <w:tcW w:w="1316" w:type="dxa"/>
            <w:tcBorders>
              <w:top w:val="nil"/>
              <w:left w:val="nil"/>
              <w:bottom w:val="nil"/>
              <w:right w:val="nil"/>
            </w:tcBorders>
            <w:shd w:val="clear" w:color="FFFFFF" w:fill="FFFFFF"/>
            <w:noWrap/>
            <w:vAlign w:val="bottom"/>
            <w:hideMark/>
          </w:tcPr>
          <w:p w14:paraId="32EB9BE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13C83C2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16" w:type="dxa"/>
            <w:tcBorders>
              <w:top w:val="nil"/>
              <w:left w:val="nil"/>
              <w:bottom w:val="nil"/>
              <w:right w:val="nil"/>
            </w:tcBorders>
            <w:shd w:val="clear" w:color="FFFFFF" w:fill="FFFFFF"/>
            <w:noWrap/>
            <w:vAlign w:val="bottom"/>
            <w:hideMark/>
          </w:tcPr>
          <w:p w14:paraId="03B8016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bl>
    <w:p w14:paraId="28CB1646" w14:textId="77777777" w:rsidR="00FD06ED" w:rsidRPr="00FD06ED" w:rsidRDefault="00FD06ED" w:rsidP="00FD06ED">
      <w:pPr>
        <w:spacing w:before="0" w:after="0" w:line="260" w:lineRule="atLeast"/>
        <w:ind w:left="0"/>
        <w:rPr>
          <w:rFonts w:ascii="Times New Roman" w:eastAsia="SimSun" w:hAnsi="Times New Roman" w:cs="Times New Roman"/>
          <w:sz w:val="4"/>
          <w:szCs w:val="4"/>
          <w:lang w:eastAsia="en-AU"/>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4F20CE73" w14:textId="77777777" w:rsidTr="005C33EF">
        <w:trPr>
          <w:trHeight w:val="270"/>
        </w:trPr>
        <w:tc>
          <w:tcPr>
            <w:tcW w:w="6376" w:type="dxa"/>
            <w:tcBorders>
              <w:top w:val="nil"/>
              <w:left w:val="nil"/>
              <w:bottom w:val="nil"/>
              <w:right w:val="nil"/>
            </w:tcBorders>
            <w:shd w:val="clear" w:color="FFFFFF" w:fill="FFFFFF"/>
            <w:noWrap/>
            <w:vAlign w:val="bottom"/>
            <w:hideMark/>
          </w:tcPr>
          <w:p w14:paraId="12224071" w14:textId="77777777" w:rsidR="00FD06ED" w:rsidRPr="00FD06ED" w:rsidRDefault="00FD06ED" w:rsidP="00FD06ED">
            <w:pPr>
              <w:spacing w:before="0" w:after="0" w:line="260" w:lineRule="atLeast"/>
              <w:ind w:left="0"/>
              <w:rPr>
                <w:rFonts w:eastAsia="Times New Roman"/>
                <w:sz w:val="18"/>
                <w:szCs w:val="18"/>
                <w:lang w:eastAsia="en-US"/>
              </w:rPr>
            </w:pPr>
            <w:bookmarkStart w:id="207" w:name="Note_ONA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470EEDB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22C1737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7276B59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207"/>
      <w:tr w:rsidR="00FD06ED" w:rsidRPr="00FD06ED" w14:paraId="7C2D9A70" w14:textId="77777777" w:rsidTr="005C33EF">
        <w:trPr>
          <w:trHeight w:val="255"/>
        </w:trPr>
        <w:tc>
          <w:tcPr>
            <w:tcW w:w="6376" w:type="dxa"/>
            <w:tcBorders>
              <w:top w:val="nil"/>
              <w:left w:val="nil"/>
              <w:bottom w:val="nil"/>
              <w:right w:val="nil"/>
            </w:tcBorders>
            <w:shd w:val="clear" w:color="FFFFFF" w:fill="FFFFFF"/>
            <w:noWrap/>
            <w:vAlign w:val="bottom"/>
            <w:hideMark/>
          </w:tcPr>
          <w:p w14:paraId="389CE9F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76C8A0E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09D2185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5BFC614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5AB3F87C" w14:textId="77777777" w:rsidTr="005C33EF">
        <w:trPr>
          <w:trHeight w:val="255"/>
        </w:trPr>
        <w:tc>
          <w:tcPr>
            <w:tcW w:w="6376" w:type="dxa"/>
            <w:tcBorders>
              <w:top w:val="nil"/>
              <w:left w:val="nil"/>
              <w:bottom w:val="nil"/>
              <w:right w:val="nil"/>
            </w:tcBorders>
            <w:shd w:val="clear" w:color="FFFFFF" w:fill="FFFFFF"/>
            <w:noWrap/>
            <w:vAlign w:val="bottom"/>
            <w:hideMark/>
          </w:tcPr>
          <w:p w14:paraId="7C8AC839"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2.2B: Other non-financial assets</w:t>
            </w:r>
          </w:p>
        </w:tc>
        <w:tc>
          <w:tcPr>
            <w:tcW w:w="1236" w:type="dxa"/>
            <w:tcBorders>
              <w:top w:val="nil"/>
              <w:left w:val="nil"/>
              <w:bottom w:val="nil"/>
              <w:right w:val="nil"/>
            </w:tcBorders>
            <w:shd w:val="clear" w:color="FFFFFF" w:fill="FFFFFF"/>
            <w:noWrap/>
            <w:vAlign w:val="bottom"/>
            <w:hideMark/>
          </w:tcPr>
          <w:p w14:paraId="7330378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1BD01E6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A2A0FF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20F47581" w14:textId="77777777" w:rsidTr="005C33EF">
        <w:trPr>
          <w:trHeight w:val="270"/>
        </w:trPr>
        <w:tc>
          <w:tcPr>
            <w:tcW w:w="6376" w:type="dxa"/>
            <w:tcBorders>
              <w:top w:val="nil"/>
              <w:left w:val="nil"/>
              <w:bottom w:val="nil"/>
              <w:right w:val="nil"/>
            </w:tcBorders>
            <w:shd w:val="clear" w:color="FFFFFF" w:fill="FFFFFF"/>
            <w:noWrap/>
            <w:vAlign w:val="bottom"/>
            <w:hideMark/>
          </w:tcPr>
          <w:p w14:paraId="455080E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Participant plan prepayments</w:t>
            </w:r>
            <w:r w:rsidRPr="00FD06ED">
              <w:rPr>
                <w:rFonts w:eastAsia="Times New Roman"/>
                <w:sz w:val="18"/>
                <w:szCs w:val="18"/>
                <w:vertAlign w:val="superscript"/>
                <w:lang w:eastAsia="en-US"/>
              </w:rPr>
              <w:t>1</w:t>
            </w:r>
          </w:p>
        </w:tc>
        <w:tc>
          <w:tcPr>
            <w:tcW w:w="1236" w:type="dxa"/>
            <w:tcBorders>
              <w:top w:val="nil"/>
              <w:left w:val="nil"/>
              <w:bottom w:val="nil"/>
              <w:right w:val="nil"/>
            </w:tcBorders>
            <w:shd w:val="clear" w:color="FFFFFF" w:fill="FFFFFF"/>
            <w:noWrap/>
            <w:vAlign w:val="bottom"/>
            <w:hideMark/>
          </w:tcPr>
          <w:p w14:paraId="3C6D8E7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3,953</w:t>
            </w:r>
          </w:p>
        </w:tc>
        <w:tc>
          <w:tcPr>
            <w:tcW w:w="267" w:type="dxa"/>
            <w:tcBorders>
              <w:top w:val="nil"/>
              <w:left w:val="nil"/>
              <w:bottom w:val="nil"/>
              <w:right w:val="nil"/>
            </w:tcBorders>
            <w:shd w:val="clear" w:color="FFFFFF" w:fill="FFFFFF"/>
            <w:noWrap/>
            <w:vAlign w:val="bottom"/>
            <w:hideMark/>
          </w:tcPr>
          <w:p w14:paraId="51FFF4D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636125D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4,538</w:t>
            </w:r>
          </w:p>
        </w:tc>
      </w:tr>
      <w:tr w:rsidR="00FD06ED" w:rsidRPr="00FD06ED" w14:paraId="22D8137C" w14:textId="77777777" w:rsidTr="005C33EF">
        <w:trPr>
          <w:trHeight w:val="255"/>
        </w:trPr>
        <w:tc>
          <w:tcPr>
            <w:tcW w:w="6376" w:type="dxa"/>
            <w:tcBorders>
              <w:top w:val="nil"/>
              <w:left w:val="nil"/>
              <w:bottom w:val="nil"/>
              <w:right w:val="nil"/>
            </w:tcBorders>
            <w:shd w:val="clear" w:color="FFFFFF" w:fill="FFFFFF"/>
            <w:noWrap/>
            <w:vAlign w:val="bottom"/>
            <w:hideMark/>
          </w:tcPr>
          <w:p w14:paraId="5D4CA0A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 prepayments</w:t>
            </w:r>
          </w:p>
        </w:tc>
        <w:tc>
          <w:tcPr>
            <w:tcW w:w="1236" w:type="dxa"/>
            <w:tcBorders>
              <w:top w:val="nil"/>
              <w:left w:val="nil"/>
              <w:bottom w:val="nil"/>
              <w:right w:val="nil"/>
            </w:tcBorders>
            <w:shd w:val="clear" w:color="FFFFFF" w:fill="FFFFFF"/>
            <w:noWrap/>
            <w:vAlign w:val="bottom"/>
            <w:hideMark/>
          </w:tcPr>
          <w:p w14:paraId="5FBB980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19,727</w:t>
            </w:r>
          </w:p>
        </w:tc>
        <w:tc>
          <w:tcPr>
            <w:tcW w:w="267" w:type="dxa"/>
            <w:tcBorders>
              <w:top w:val="nil"/>
              <w:left w:val="nil"/>
              <w:bottom w:val="nil"/>
              <w:right w:val="nil"/>
            </w:tcBorders>
            <w:shd w:val="clear" w:color="FFFFFF" w:fill="FFFFFF"/>
            <w:noWrap/>
            <w:vAlign w:val="bottom"/>
            <w:hideMark/>
          </w:tcPr>
          <w:p w14:paraId="3AC5412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C62515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14,077</w:t>
            </w:r>
          </w:p>
        </w:tc>
      </w:tr>
      <w:tr w:rsidR="00FD06ED" w:rsidRPr="00FD06ED" w14:paraId="050B7403" w14:textId="77777777" w:rsidTr="005C33EF">
        <w:trPr>
          <w:trHeight w:val="270"/>
        </w:trPr>
        <w:tc>
          <w:tcPr>
            <w:tcW w:w="6376" w:type="dxa"/>
            <w:tcBorders>
              <w:top w:val="nil"/>
              <w:left w:val="nil"/>
              <w:bottom w:val="nil"/>
              <w:right w:val="nil"/>
            </w:tcBorders>
            <w:shd w:val="clear" w:color="FFFFFF" w:fill="FFFFFF"/>
            <w:vAlign w:val="bottom"/>
            <w:hideMark/>
          </w:tcPr>
          <w:p w14:paraId="5670467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other non-financial assets</w:t>
            </w:r>
          </w:p>
        </w:tc>
        <w:tc>
          <w:tcPr>
            <w:tcW w:w="1236" w:type="dxa"/>
            <w:tcBorders>
              <w:top w:val="single" w:sz="4" w:space="0" w:color="auto"/>
              <w:left w:val="nil"/>
              <w:bottom w:val="single" w:sz="4" w:space="0" w:color="auto"/>
              <w:right w:val="nil"/>
            </w:tcBorders>
            <w:shd w:val="clear" w:color="FFFFFF" w:fill="FFFFFF"/>
            <w:noWrap/>
            <w:vAlign w:val="bottom"/>
            <w:hideMark/>
          </w:tcPr>
          <w:p w14:paraId="2C4B91C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23,680</w:t>
            </w:r>
          </w:p>
        </w:tc>
        <w:tc>
          <w:tcPr>
            <w:tcW w:w="267" w:type="dxa"/>
            <w:tcBorders>
              <w:top w:val="nil"/>
              <w:left w:val="nil"/>
              <w:bottom w:val="nil"/>
              <w:right w:val="nil"/>
            </w:tcBorders>
            <w:shd w:val="clear" w:color="FFFFFF" w:fill="FFFFFF"/>
            <w:noWrap/>
            <w:vAlign w:val="bottom"/>
            <w:hideMark/>
          </w:tcPr>
          <w:p w14:paraId="6A245DA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1028B74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18,615</w:t>
            </w:r>
          </w:p>
        </w:tc>
      </w:tr>
    </w:tbl>
    <w:p w14:paraId="236E556F" w14:textId="77777777" w:rsidR="00FD06ED" w:rsidRPr="00FD06ED" w:rsidRDefault="00FD06ED" w:rsidP="00FD06ED">
      <w:pPr>
        <w:spacing w:before="0" w:after="0" w:line="260" w:lineRule="atLeast"/>
        <w:ind w:left="0"/>
        <w:rPr>
          <w:rFonts w:ascii="Times New Roman" w:eastAsia="SimSun" w:hAnsi="Times New Roman" w:cs="Times New Roman"/>
          <w:szCs w:val="20"/>
          <w:lang w:eastAsia="en-AU"/>
        </w:rPr>
      </w:pPr>
    </w:p>
    <w:p w14:paraId="5AD03B98" w14:textId="77777777" w:rsidR="00FD06ED" w:rsidRPr="00FD06ED" w:rsidRDefault="00FD06ED" w:rsidP="00FD06ED">
      <w:pPr>
        <w:spacing w:before="0" w:after="80"/>
        <w:ind w:left="426" w:hanging="142"/>
        <w:rPr>
          <w:rFonts w:eastAsia="Times New Roman" w:cs="Times New Roman"/>
          <w:sz w:val="18"/>
          <w:szCs w:val="20"/>
          <w:lang w:eastAsia="en-AU"/>
        </w:rPr>
      </w:pPr>
      <w:r w:rsidRPr="00FD06ED">
        <w:rPr>
          <w:rFonts w:eastAsia="Times New Roman" w:cs="Times New Roman"/>
          <w:sz w:val="18"/>
          <w:szCs w:val="20"/>
          <w:lang w:eastAsia="en-AU"/>
        </w:rPr>
        <w:t>No indicators of impairment were found for other non-financial assets.</w:t>
      </w:r>
    </w:p>
    <w:tbl>
      <w:tblPr>
        <w:tblStyle w:val="TableGrid3"/>
        <w:tblW w:w="50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
        <w:gridCol w:w="8935"/>
      </w:tblGrid>
      <w:tr w:rsidR="00FD06ED" w:rsidRPr="00FD06ED" w14:paraId="61198295" w14:textId="77777777" w:rsidTr="005C33EF">
        <w:trPr>
          <w:trHeight w:val="618"/>
        </w:trPr>
        <w:tc>
          <w:tcPr>
            <w:tcW w:w="153" w:type="pct"/>
            <w:tcMar>
              <w:left w:w="0" w:type="dxa"/>
              <w:right w:w="0" w:type="dxa"/>
            </w:tcMar>
          </w:tcPr>
          <w:p w14:paraId="018B1FDF" w14:textId="77777777" w:rsidR="00FD06ED" w:rsidRPr="00FD06ED" w:rsidRDefault="00FD06ED" w:rsidP="00FD06ED">
            <w:pPr>
              <w:spacing w:before="0" w:after="0" w:line="260" w:lineRule="atLeast"/>
              <w:ind w:left="0"/>
              <w:jc w:val="center"/>
              <w:rPr>
                <w:rFonts w:ascii="Times New Roman" w:eastAsia="Times New Roman" w:hAnsi="Times New Roman" w:cs="Times New Roman"/>
                <w:sz w:val="16"/>
                <w:highlight w:val="yellow"/>
                <w:lang w:eastAsia="en-US"/>
              </w:rPr>
            </w:pPr>
            <w:r w:rsidRPr="00FD06ED">
              <w:rPr>
                <w:rFonts w:eastAsia="Calibri"/>
                <w:sz w:val="16"/>
                <w:szCs w:val="18"/>
                <w:vertAlign w:val="superscript"/>
                <w:lang w:eastAsia="en-US"/>
              </w:rPr>
              <w:t>1</w:t>
            </w:r>
          </w:p>
        </w:tc>
        <w:tc>
          <w:tcPr>
            <w:tcW w:w="4847" w:type="pct"/>
            <w:tcMar>
              <w:left w:w="0" w:type="dxa"/>
              <w:right w:w="0" w:type="dxa"/>
            </w:tcMar>
          </w:tcPr>
          <w:p w14:paraId="515265D5" w14:textId="77777777" w:rsidR="00FD06ED" w:rsidRPr="00FD06ED" w:rsidRDefault="00FD06ED" w:rsidP="00FD06ED">
            <w:pPr>
              <w:spacing w:before="0" w:after="0" w:line="260" w:lineRule="atLeast"/>
              <w:ind w:left="0"/>
              <w:rPr>
                <w:rFonts w:eastAsia="Times New Roman"/>
                <w:sz w:val="16"/>
                <w:szCs w:val="18"/>
                <w:highlight w:val="yellow"/>
                <w:lang w:eastAsia="en-US"/>
              </w:rPr>
            </w:pPr>
            <w:r w:rsidRPr="00FD06ED">
              <w:rPr>
                <w:rFonts w:eastAsia="Times New Roman"/>
                <w:sz w:val="14"/>
                <w:szCs w:val="16"/>
                <w:lang w:eastAsia="en-US"/>
              </w:rPr>
              <w:t>Participant plan prepayments represent payments that have been made to providers in advance of supports being utilised by participants.</w:t>
            </w:r>
          </w:p>
        </w:tc>
      </w:tr>
    </w:tbl>
    <w:p w14:paraId="2AB36A24" w14:textId="77777777" w:rsidR="00FD06ED" w:rsidRPr="00FD06ED" w:rsidRDefault="00FD06ED" w:rsidP="00FD06ED">
      <w:pPr>
        <w:spacing w:before="0" w:after="0"/>
        <w:ind w:left="0"/>
        <w:rPr>
          <w:rFonts w:ascii="Times New Roman" w:eastAsia="Times New Roman" w:hAnsi="Times New Roman" w:cs="Times New Roman"/>
          <w:sz w:val="6"/>
          <w:szCs w:val="6"/>
          <w:lang w:eastAsia="en-US"/>
        </w:rPr>
      </w:pPr>
    </w:p>
    <w:p w14:paraId="3FFBC304"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3875456C"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05F51954"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26D95DDF" w14:textId="4F6C4C6B" w:rsidR="00FD06ED" w:rsidRPr="00FD06ED" w:rsidRDefault="00844F9B"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08" w:name="_Toc65742849"/>
      <w:bookmarkStart w:id="209" w:name="_Toc114477512"/>
      <w:bookmarkStart w:id="210" w:name="_Toc116414683"/>
      <w:bookmarkStart w:id="211" w:name="_Toc116472662"/>
      <w:bookmarkStart w:id="212" w:name="_Toc116473877"/>
      <w:r>
        <w:rPr>
          <w:rFonts w:eastAsia="Times New Roman"/>
          <w:b/>
          <w:color w:val="FFFFFF"/>
          <w:sz w:val="20"/>
          <w:szCs w:val="20"/>
          <w:lang w:eastAsia="en-US"/>
        </w:rPr>
        <w:t xml:space="preserve">2.3 </w:t>
      </w:r>
      <w:r w:rsidR="00FD06ED" w:rsidRPr="00FD06ED">
        <w:rPr>
          <w:rFonts w:eastAsia="Times New Roman"/>
          <w:b/>
          <w:color w:val="FFFFFF"/>
          <w:sz w:val="20"/>
          <w:szCs w:val="20"/>
          <w:lang w:eastAsia="en-US"/>
        </w:rPr>
        <w:t>Payables</w:t>
      </w:r>
      <w:bookmarkEnd w:id="208"/>
      <w:bookmarkEnd w:id="209"/>
      <w:bookmarkEnd w:id="210"/>
      <w:bookmarkEnd w:id="211"/>
      <w:bookmarkEnd w:id="212"/>
    </w:p>
    <w:tbl>
      <w:tblPr>
        <w:tblW w:w="9087" w:type="dxa"/>
        <w:tblLayout w:type="fixed"/>
        <w:tblLook w:val="04A0" w:firstRow="1" w:lastRow="0" w:firstColumn="1" w:lastColumn="0" w:noHBand="0" w:noVBand="1"/>
      </w:tblPr>
      <w:tblGrid>
        <w:gridCol w:w="6354"/>
        <w:gridCol w:w="1233"/>
        <w:gridCol w:w="267"/>
        <w:gridCol w:w="1233"/>
      </w:tblGrid>
      <w:tr w:rsidR="00FD06ED" w:rsidRPr="00FD06ED" w14:paraId="238E567D" w14:textId="77777777" w:rsidTr="005C33EF">
        <w:trPr>
          <w:trHeight w:val="255"/>
        </w:trPr>
        <w:tc>
          <w:tcPr>
            <w:tcW w:w="6376" w:type="dxa"/>
            <w:tcBorders>
              <w:top w:val="nil"/>
              <w:left w:val="nil"/>
              <w:bottom w:val="nil"/>
              <w:right w:val="nil"/>
            </w:tcBorders>
            <w:shd w:val="clear" w:color="FFFFFF" w:fill="FFFFFF"/>
            <w:noWrap/>
            <w:vAlign w:val="bottom"/>
            <w:hideMark/>
          </w:tcPr>
          <w:p w14:paraId="7BF2E9E2" w14:textId="77777777" w:rsidR="00FD06ED" w:rsidRPr="00FD06ED" w:rsidRDefault="00FD06ED" w:rsidP="00FD06ED">
            <w:pPr>
              <w:spacing w:before="0" w:after="0" w:line="260" w:lineRule="atLeast"/>
              <w:ind w:left="0"/>
              <w:rPr>
                <w:rFonts w:eastAsia="Times New Roman"/>
                <w:sz w:val="18"/>
                <w:szCs w:val="18"/>
                <w:lang w:eastAsia="en-US"/>
              </w:rPr>
            </w:pPr>
            <w:bookmarkStart w:id="213" w:name="Note_SPA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10373F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6C83D3A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85C2F4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213"/>
      <w:tr w:rsidR="00FD06ED" w:rsidRPr="00FD06ED" w14:paraId="74B00395" w14:textId="77777777" w:rsidTr="005C33EF">
        <w:trPr>
          <w:trHeight w:val="255"/>
        </w:trPr>
        <w:tc>
          <w:tcPr>
            <w:tcW w:w="6376" w:type="dxa"/>
            <w:tcBorders>
              <w:top w:val="nil"/>
              <w:left w:val="nil"/>
              <w:bottom w:val="nil"/>
              <w:right w:val="nil"/>
            </w:tcBorders>
            <w:shd w:val="clear" w:color="FFFFFF" w:fill="FFFFFF"/>
            <w:noWrap/>
            <w:vAlign w:val="bottom"/>
            <w:hideMark/>
          </w:tcPr>
          <w:p w14:paraId="2698CCE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EF8BAE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372781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19CBA9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1F2AE5B0" w14:textId="77777777" w:rsidTr="005C33EF">
        <w:trPr>
          <w:trHeight w:val="255"/>
        </w:trPr>
        <w:tc>
          <w:tcPr>
            <w:tcW w:w="6376" w:type="dxa"/>
            <w:tcBorders>
              <w:top w:val="nil"/>
              <w:left w:val="nil"/>
              <w:bottom w:val="nil"/>
              <w:right w:val="nil"/>
            </w:tcBorders>
            <w:shd w:val="clear" w:color="FFFFFF" w:fill="FFFFFF"/>
            <w:noWrap/>
            <w:vAlign w:val="bottom"/>
            <w:hideMark/>
          </w:tcPr>
          <w:p w14:paraId="1F865036"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2.3A: Suppliers</w:t>
            </w:r>
          </w:p>
        </w:tc>
        <w:tc>
          <w:tcPr>
            <w:tcW w:w="1236" w:type="dxa"/>
            <w:tcBorders>
              <w:top w:val="nil"/>
              <w:left w:val="nil"/>
              <w:bottom w:val="nil"/>
              <w:right w:val="nil"/>
            </w:tcBorders>
            <w:shd w:val="clear" w:color="FFFFFF" w:fill="FFFFFF"/>
            <w:noWrap/>
            <w:vAlign w:val="bottom"/>
            <w:hideMark/>
          </w:tcPr>
          <w:p w14:paraId="7EBFE7F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2333632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56F701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6D7BB40D" w14:textId="77777777" w:rsidTr="005C33EF">
        <w:trPr>
          <w:trHeight w:val="255"/>
        </w:trPr>
        <w:tc>
          <w:tcPr>
            <w:tcW w:w="6376" w:type="dxa"/>
            <w:tcBorders>
              <w:top w:val="nil"/>
              <w:left w:val="nil"/>
              <w:bottom w:val="nil"/>
              <w:right w:val="nil"/>
            </w:tcBorders>
            <w:shd w:val="clear" w:color="FFFFFF" w:fill="FFFFFF"/>
            <w:vAlign w:val="bottom"/>
            <w:hideMark/>
          </w:tcPr>
          <w:p w14:paraId="4BBA5C8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Trade creditors and accruals</w:t>
            </w:r>
          </w:p>
        </w:tc>
        <w:tc>
          <w:tcPr>
            <w:tcW w:w="1236" w:type="dxa"/>
            <w:tcBorders>
              <w:top w:val="nil"/>
              <w:left w:val="nil"/>
              <w:bottom w:val="nil"/>
              <w:right w:val="nil"/>
            </w:tcBorders>
            <w:shd w:val="clear" w:color="FFFFFF" w:fill="FFFFFF"/>
            <w:noWrap/>
            <w:vAlign w:val="bottom"/>
            <w:hideMark/>
          </w:tcPr>
          <w:p w14:paraId="477CFE8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250,705</w:t>
            </w:r>
          </w:p>
        </w:tc>
        <w:tc>
          <w:tcPr>
            <w:tcW w:w="267" w:type="dxa"/>
            <w:tcBorders>
              <w:top w:val="nil"/>
              <w:left w:val="nil"/>
              <w:bottom w:val="nil"/>
              <w:right w:val="nil"/>
            </w:tcBorders>
            <w:shd w:val="clear" w:color="FFFFFF" w:fill="FFFFFF"/>
            <w:noWrap/>
            <w:vAlign w:val="bottom"/>
            <w:hideMark/>
          </w:tcPr>
          <w:p w14:paraId="213DB6E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79E42F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206,461</w:t>
            </w:r>
          </w:p>
        </w:tc>
      </w:tr>
      <w:tr w:rsidR="00FD06ED" w:rsidRPr="00FD06ED" w14:paraId="3535DD84" w14:textId="77777777" w:rsidTr="005C33EF">
        <w:trPr>
          <w:trHeight w:val="255"/>
        </w:trPr>
        <w:tc>
          <w:tcPr>
            <w:tcW w:w="6376" w:type="dxa"/>
            <w:tcBorders>
              <w:top w:val="nil"/>
              <w:left w:val="nil"/>
              <w:bottom w:val="nil"/>
              <w:right w:val="nil"/>
            </w:tcBorders>
            <w:shd w:val="clear" w:color="FFFFFF" w:fill="FFFFFF"/>
            <w:vAlign w:val="bottom"/>
            <w:hideMark/>
          </w:tcPr>
          <w:p w14:paraId="3DB74B0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w:t>
            </w:r>
          </w:p>
        </w:tc>
        <w:tc>
          <w:tcPr>
            <w:tcW w:w="1236" w:type="dxa"/>
            <w:tcBorders>
              <w:top w:val="nil"/>
              <w:left w:val="nil"/>
              <w:bottom w:val="nil"/>
              <w:right w:val="nil"/>
            </w:tcBorders>
            <w:shd w:val="clear" w:color="FFFFFF" w:fill="FFFFFF"/>
            <w:noWrap/>
            <w:vAlign w:val="bottom"/>
            <w:hideMark/>
          </w:tcPr>
          <w:p w14:paraId="3BC5885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267" w:type="dxa"/>
            <w:tcBorders>
              <w:top w:val="nil"/>
              <w:left w:val="nil"/>
              <w:bottom w:val="nil"/>
              <w:right w:val="nil"/>
            </w:tcBorders>
            <w:shd w:val="clear" w:color="FFFFFF" w:fill="FFFFFF"/>
            <w:noWrap/>
            <w:vAlign w:val="bottom"/>
            <w:hideMark/>
          </w:tcPr>
          <w:p w14:paraId="240C015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B9C45F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79</w:t>
            </w:r>
          </w:p>
        </w:tc>
      </w:tr>
      <w:tr w:rsidR="00FD06ED" w:rsidRPr="00FD06ED" w14:paraId="76385296" w14:textId="77777777" w:rsidTr="005C33EF">
        <w:trPr>
          <w:trHeight w:val="255"/>
        </w:trPr>
        <w:tc>
          <w:tcPr>
            <w:tcW w:w="6376" w:type="dxa"/>
            <w:tcBorders>
              <w:top w:val="nil"/>
              <w:left w:val="nil"/>
              <w:bottom w:val="nil"/>
              <w:right w:val="nil"/>
            </w:tcBorders>
            <w:shd w:val="clear" w:color="FFFFFF" w:fill="FFFFFF"/>
            <w:vAlign w:val="bottom"/>
            <w:hideMark/>
          </w:tcPr>
          <w:p w14:paraId="6E7FEC4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suppliers</w:t>
            </w:r>
          </w:p>
        </w:tc>
        <w:tc>
          <w:tcPr>
            <w:tcW w:w="1236" w:type="dxa"/>
            <w:tcBorders>
              <w:top w:val="single" w:sz="4" w:space="0" w:color="auto"/>
              <w:left w:val="nil"/>
              <w:bottom w:val="single" w:sz="4" w:space="0" w:color="auto"/>
              <w:right w:val="nil"/>
            </w:tcBorders>
            <w:shd w:val="clear" w:color="FFFFFF" w:fill="FFFFFF"/>
            <w:noWrap/>
            <w:vAlign w:val="bottom"/>
            <w:hideMark/>
          </w:tcPr>
          <w:p w14:paraId="3C98BCD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250,705</w:t>
            </w:r>
          </w:p>
        </w:tc>
        <w:tc>
          <w:tcPr>
            <w:tcW w:w="267" w:type="dxa"/>
            <w:tcBorders>
              <w:top w:val="nil"/>
              <w:left w:val="nil"/>
              <w:bottom w:val="nil"/>
              <w:right w:val="nil"/>
            </w:tcBorders>
            <w:shd w:val="clear" w:color="FFFFFF" w:fill="FFFFFF"/>
            <w:noWrap/>
            <w:vAlign w:val="bottom"/>
            <w:hideMark/>
          </w:tcPr>
          <w:p w14:paraId="4A910B3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39686D5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206,540</w:t>
            </w:r>
          </w:p>
        </w:tc>
      </w:tr>
    </w:tbl>
    <w:p w14:paraId="69C54178"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4F6D97E5"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Settlement is expected to be made for suppliers within 30 days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r w:rsidRPr="00FD06ED">
        <w:rPr>
          <w:rFonts w:eastAsia="Times New Roman"/>
          <w:sz w:val="18"/>
          <w:szCs w:val="18"/>
          <w:lang w:eastAsia="en-US"/>
        </w:rPr>
        <w:t>: 30 days).</w:t>
      </w:r>
    </w:p>
    <w:p w14:paraId="3A691D55" w14:textId="77777777" w:rsidR="00FD06ED" w:rsidRPr="00FD06ED" w:rsidRDefault="00FD06ED" w:rsidP="00FD06ED">
      <w:pPr>
        <w:spacing w:before="0" w:after="0"/>
        <w:ind w:left="0"/>
        <w:rPr>
          <w:rFonts w:eastAsia="Times New Roman"/>
          <w:sz w:val="18"/>
          <w:szCs w:val="18"/>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26AFB251" w14:textId="77777777" w:rsidTr="005C33EF">
        <w:trPr>
          <w:trHeight w:val="255"/>
        </w:trPr>
        <w:tc>
          <w:tcPr>
            <w:tcW w:w="6376" w:type="dxa"/>
            <w:tcBorders>
              <w:top w:val="nil"/>
              <w:left w:val="nil"/>
              <w:bottom w:val="nil"/>
              <w:right w:val="nil"/>
            </w:tcBorders>
            <w:shd w:val="clear" w:color="FFFFFF" w:fill="FFFFFF"/>
            <w:noWrap/>
            <w:vAlign w:val="bottom"/>
            <w:hideMark/>
          </w:tcPr>
          <w:p w14:paraId="6D972A5B"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14" w:name="Note_OPBTABLE1" w:colFirst="0" w:colLast="0"/>
            <w:r w:rsidRPr="00FD06ED">
              <w:rPr>
                <w:rFonts w:eastAsia="Times New Roman"/>
                <w:b/>
                <w:bCs/>
                <w:sz w:val="18"/>
                <w:szCs w:val="18"/>
                <w:u w:val="single"/>
                <w:lang w:eastAsia="en-US"/>
              </w:rPr>
              <w:t>Note 2.3B: Other payables</w:t>
            </w:r>
          </w:p>
        </w:tc>
        <w:tc>
          <w:tcPr>
            <w:tcW w:w="1236" w:type="dxa"/>
            <w:tcBorders>
              <w:top w:val="nil"/>
              <w:left w:val="nil"/>
              <w:bottom w:val="nil"/>
              <w:right w:val="nil"/>
            </w:tcBorders>
            <w:shd w:val="clear" w:color="FFFFFF" w:fill="FFFFFF"/>
            <w:noWrap/>
            <w:vAlign w:val="bottom"/>
            <w:hideMark/>
          </w:tcPr>
          <w:p w14:paraId="5B40D52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613E08D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3E516F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214"/>
      <w:tr w:rsidR="00FD06ED" w:rsidRPr="00FD06ED" w14:paraId="6E917D1A" w14:textId="77777777" w:rsidTr="005C33EF">
        <w:trPr>
          <w:trHeight w:val="255"/>
        </w:trPr>
        <w:tc>
          <w:tcPr>
            <w:tcW w:w="6376" w:type="dxa"/>
            <w:tcBorders>
              <w:top w:val="nil"/>
              <w:left w:val="nil"/>
              <w:bottom w:val="nil"/>
              <w:right w:val="nil"/>
            </w:tcBorders>
            <w:shd w:val="clear" w:color="FFFFFF" w:fill="FFFFFF"/>
            <w:vAlign w:val="bottom"/>
            <w:hideMark/>
          </w:tcPr>
          <w:p w14:paraId="3D588F1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Salaries and wages</w:t>
            </w:r>
          </w:p>
        </w:tc>
        <w:tc>
          <w:tcPr>
            <w:tcW w:w="1236" w:type="dxa"/>
            <w:tcBorders>
              <w:top w:val="nil"/>
              <w:left w:val="nil"/>
              <w:bottom w:val="nil"/>
              <w:right w:val="nil"/>
            </w:tcBorders>
            <w:shd w:val="clear" w:color="FFFFFF" w:fill="FFFFFF"/>
            <w:noWrap/>
            <w:vAlign w:val="bottom"/>
            <w:hideMark/>
          </w:tcPr>
          <w:p w14:paraId="0975372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9,115</w:t>
            </w:r>
          </w:p>
        </w:tc>
        <w:tc>
          <w:tcPr>
            <w:tcW w:w="267" w:type="dxa"/>
            <w:tcBorders>
              <w:top w:val="nil"/>
              <w:left w:val="nil"/>
              <w:bottom w:val="nil"/>
              <w:right w:val="nil"/>
            </w:tcBorders>
            <w:shd w:val="clear" w:color="FFFFFF" w:fill="FFFFFF"/>
            <w:noWrap/>
            <w:vAlign w:val="bottom"/>
            <w:hideMark/>
          </w:tcPr>
          <w:p w14:paraId="70D17A9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F586E7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6,370</w:t>
            </w:r>
          </w:p>
        </w:tc>
      </w:tr>
      <w:tr w:rsidR="00FD06ED" w:rsidRPr="00FD06ED" w14:paraId="16BD65F9" w14:textId="77777777" w:rsidTr="005C33EF">
        <w:trPr>
          <w:trHeight w:val="255"/>
        </w:trPr>
        <w:tc>
          <w:tcPr>
            <w:tcW w:w="6376" w:type="dxa"/>
            <w:tcBorders>
              <w:top w:val="nil"/>
              <w:left w:val="nil"/>
              <w:bottom w:val="nil"/>
              <w:right w:val="nil"/>
            </w:tcBorders>
            <w:shd w:val="clear" w:color="FFFFFF" w:fill="FFFFFF"/>
            <w:vAlign w:val="bottom"/>
            <w:hideMark/>
          </w:tcPr>
          <w:p w14:paraId="5E79340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Superannuation</w:t>
            </w:r>
          </w:p>
        </w:tc>
        <w:tc>
          <w:tcPr>
            <w:tcW w:w="1236" w:type="dxa"/>
            <w:tcBorders>
              <w:top w:val="nil"/>
              <w:left w:val="nil"/>
              <w:bottom w:val="nil"/>
              <w:right w:val="nil"/>
            </w:tcBorders>
            <w:shd w:val="clear" w:color="FFFFFF" w:fill="FFFFFF"/>
            <w:noWrap/>
            <w:vAlign w:val="bottom"/>
            <w:hideMark/>
          </w:tcPr>
          <w:p w14:paraId="6ACE95E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1,689</w:t>
            </w:r>
          </w:p>
        </w:tc>
        <w:tc>
          <w:tcPr>
            <w:tcW w:w="267" w:type="dxa"/>
            <w:tcBorders>
              <w:top w:val="nil"/>
              <w:left w:val="nil"/>
              <w:bottom w:val="nil"/>
              <w:right w:val="nil"/>
            </w:tcBorders>
            <w:shd w:val="clear" w:color="FFFFFF" w:fill="FFFFFF"/>
            <w:noWrap/>
            <w:vAlign w:val="bottom"/>
            <w:hideMark/>
          </w:tcPr>
          <w:p w14:paraId="1259040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BFC3D0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1,114</w:t>
            </w:r>
          </w:p>
        </w:tc>
      </w:tr>
      <w:tr w:rsidR="00FD06ED" w:rsidRPr="00FD06ED" w14:paraId="4FDCA1A8" w14:textId="77777777" w:rsidTr="005C33EF">
        <w:trPr>
          <w:trHeight w:val="255"/>
        </w:trPr>
        <w:tc>
          <w:tcPr>
            <w:tcW w:w="6376" w:type="dxa"/>
            <w:tcBorders>
              <w:top w:val="nil"/>
              <w:left w:val="nil"/>
              <w:bottom w:val="nil"/>
              <w:right w:val="nil"/>
            </w:tcBorders>
            <w:shd w:val="clear" w:color="FFFFFF" w:fill="FFFFFF"/>
            <w:vAlign w:val="bottom"/>
            <w:hideMark/>
          </w:tcPr>
          <w:p w14:paraId="7AFDB8D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Other</w:t>
            </w:r>
          </w:p>
        </w:tc>
        <w:tc>
          <w:tcPr>
            <w:tcW w:w="1236" w:type="dxa"/>
            <w:tcBorders>
              <w:top w:val="nil"/>
              <w:left w:val="nil"/>
              <w:bottom w:val="nil"/>
              <w:right w:val="nil"/>
            </w:tcBorders>
            <w:shd w:val="clear" w:color="FFFFFF" w:fill="FFFFFF"/>
            <w:noWrap/>
            <w:vAlign w:val="bottom"/>
            <w:hideMark/>
          </w:tcPr>
          <w:p w14:paraId="72A87FC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180</w:t>
            </w:r>
          </w:p>
        </w:tc>
        <w:tc>
          <w:tcPr>
            <w:tcW w:w="267" w:type="dxa"/>
            <w:tcBorders>
              <w:top w:val="nil"/>
              <w:left w:val="nil"/>
              <w:bottom w:val="nil"/>
              <w:right w:val="nil"/>
            </w:tcBorders>
            <w:shd w:val="clear" w:color="FFFFFF" w:fill="FFFFFF"/>
            <w:noWrap/>
            <w:vAlign w:val="bottom"/>
            <w:hideMark/>
          </w:tcPr>
          <w:p w14:paraId="453A91F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2FF86A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128</w:t>
            </w:r>
          </w:p>
        </w:tc>
      </w:tr>
      <w:tr w:rsidR="00FD06ED" w:rsidRPr="00FD06ED" w14:paraId="770DE6D5" w14:textId="77777777" w:rsidTr="005C33EF">
        <w:trPr>
          <w:trHeight w:val="255"/>
        </w:trPr>
        <w:tc>
          <w:tcPr>
            <w:tcW w:w="6376" w:type="dxa"/>
            <w:tcBorders>
              <w:top w:val="nil"/>
              <w:left w:val="nil"/>
              <w:bottom w:val="nil"/>
              <w:right w:val="nil"/>
            </w:tcBorders>
            <w:shd w:val="clear" w:color="FFFFFF" w:fill="FFFFFF"/>
            <w:vAlign w:val="bottom"/>
            <w:hideMark/>
          </w:tcPr>
          <w:p w14:paraId="5E329BD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Total other payables </w:t>
            </w:r>
          </w:p>
        </w:tc>
        <w:tc>
          <w:tcPr>
            <w:tcW w:w="1236" w:type="dxa"/>
            <w:tcBorders>
              <w:top w:val="single" w:sz="4" w:space="0" w:color="auto"/>
              <w:left w:val="nil"/>
              <w:bottom w:val="single" w:sz="4" w:space="0" w:color="auto"/>
              <w:right w:val="nil"/>
            </w:tcBorders>
            <w:shd w:val="clear" w:color="FFFFFF" w:fill="FFFFFF"/>
            <w:noWrap/>
            <w:vAlign w:val="bottom"/>
            <w:hideMark/>
          </w:tcPr>
          <w:p w14:paraId="5691AA4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10,984</w:t>
            </w:r>
          </w:p>
        </w:tc>
        <w:tc>
          <w:tcPr>
            <w:tcW w:w="267" w:type="dxa"/>
            <w:tcBorders>
              <w:top w:val="nil"/>
              <w:left w:val="nil"/>
              <w:bottom w:val="nil"/>
              <w:right w:val="nil"/>
            </w:tcBorders>
            <w:shd w:val="clear" w:color="FFFFFF" w:fill="FFFFFF"/>
            <w:noWrap/>
            <w:vAlign w:val="bottom"/>
            <w:hideMark/>
          </w:tcPr>
          <w:p w14:paraId="2D3F16F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686147D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7,612</w:t>
            </w:r>
          </w:p>
        </w:tc>
      </w:tr>
    </w:tbl>
    <w:p w14:paraId="6B5D7083"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7AB24A9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24E4B6E9"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Cs/>
          <w:sz w:val="18"/>
          <w:szCs w:val="18"/>
          <w:lang w:eastAsia="en-US"/>
        </w:rPr>
        <w:t>Financial liabilities, including supplier and other payables, are initially measured at fair value, net of transaction costs. These liabilities are subsequently measured at amortised cost using the effective interest method, with interest expense recognised on an effective yield basis.</w:t>
      </w:r>
      <w:r w:rsidRPr="00FD06ED">
        <w:rPr>
          <w:rFonts w:eastAsia="Times New Roman"/>
          <w:b/>
          <w:bCs/>
          <w:sz w:val="18"/>
          <w:szCs w:val="18"/>
          <w:lang w:eastAsia="en-US"/>
        </w:rPr>
        <w:t xml:space="preserve"> </w:t>
      </w:r>
    </w:p>
    <w:p w14:paraId="7549CEB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sz w:val="18"/>
          <w:szCs w:val="18"/>
          <w:lang w:eastAsia="en-US"/>
        </w:rPr>
      </w:pPr>
      <w:r w:rsidRPr="00FD06ED">
        <w:rPr>
          <w:rFonts w:eastAsia="Times New Roman"/>
          <w:sz w:val="18"/>
          <w:szCs w:val="18"/>
          <w:lang w:eastAsia="en-US"/>
        </w:rPr>
        <w:t>Liabilities are recognised to the extent that the goods or services have been received (and irrespective of having been invoiced).</w:t>
      </w:r>
    </w:p>
    <w:p w14:paraId="2B8BA2DD"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Accounting policies for Salaries and wages and Superannuation are contained in Section 3. People and Relationships.</w:t>
      </w:r>
    </w:p>
    <w:p w14:paraId="26F3B940"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6F16923B" w14:textId="419DE611" w:rsidR="00FD06ED" w:rsidRPr="00FD06ED" w:rsidRDefault="00844F9B"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15" w:name="_Toc65742850"/>
      <w:bookmarkStart w:id="216" w:name="_Toc114477513"/>
      <w:bookmarkStart w:id="217" w:name="_Toc116414684"/>
      <w:bookmarkStart w:id="218" w:name="_Toc116472663"/>
      <w:bookmarkStart w:id="219" w:name="_Toc116473878"/>
      <w:r>
        <w:rPr>
          <w:rFonts w:eastAsia="Times New Roman"/>
          <w:b/>
          <w:color w:val="FFFFFF"/>
          <w:sz w:val="20"/>
          <w:szCs w:val="20"/>
          <w:lang w:eastAsia="en-US"/>
        </w:rPr>
        <w:t xml:space="preserve">2.4 </w:t>
      </w:r>
      <w:r w:rsidR="00FD06ED" w:rsidRPr="00FD06ED">
        <w:rPr>
          <w:rFonts w:eastAsia="Times New Roman"/>
          <w:b/>
          <w:color w:val="FFFFFF"/>
          <w:sz w:val="20"/>
          <w:szCs w:val="20"/>
          <w:lang w:eastAsia="en-US"/>
        </w:rPr>
        <w:t>Unearned Income</w:t>
      </w:r>
      <w:bookmarkEnd w:id="215"/>
      <w:bookmarkEnd w:id="216"/>
      <w:bookmarkEnd w:id="217"/>
      <w:bookmarkEnd w:id="218"/>
      <w:bookmarkEnd w:id="219"/>
    </w:p>
    <w:p w14:paraId="4FF4D44C" w14:textId="77777777" w:rsidR="00FD06ED" w:rsidRPr="00FD06ED" w:rsidRDefault="00FD06ED" w:rsidP="00FD06ED">
      <w:pPr>
        <w:spacing w:before="0" w:after="0"/>
        <w:ind w:left="0" w:right="607"/>
        <w:rPr>
          <w:rFonts w:eastAsia="Times New Roman" w:cs="Times New Roman"/>
          <w:b/>
          <w:sz w:val="20"/>
          <w:szCs w:val="20"/>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2814DF15" w14:textId="77777777" w:rsidTr="005C33EF">
        <w:trPr>
          <w:trHeight w:val="252"/>
        </w:trPr>
        <w:tc>
          <w:tcPr>
            <w:tcW w:w="6376" w:type="dxa"/>
            <w:tcBorders>
              <w:top w:val="nil"/>
              <w:left w:val="nil"/>
              <w:bottom w:val="nil"/>
              <w:right w:val="nil"/>
            </w:tcBorders>
            <w:shd w:val="clear" w:color="FFFFFF" w:fill="FFFFFF"/>
            <w:noWrap/>
            <w:vAlign w:val="bottom"/>
            <w:hideMark/>
          </w:tcPr>
          <w:p w14:paraId="7E8152FA"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20" w:name="Note_PPPTABLE1" w:colFirst="0" w:colLast="0"/>
            <w:r w:rsidRPr="00FD06ED">
              <w:rPr>
                <w:rFonts w:eastAsia="Times New Roman"/>
                <w:b/>
                <w:bCs/>
                <w:sz w:val="18"/>
                <w:szCs w:val="18"/>
                <w:u w:val="single"/>
                <w:lang w:eastAsia="en-US"/>
              </w:rPr>
              <w:t>Note 2.4: Unearned revenue</w:t>
            </w:r>
          </w:p>
        </w:tc>
        <w:tc>
          <w:tcPr>
            <w:tcW w:w="1236" w:type="dxa"/>
            <w:tcBorders>
              <w:top w:val="nil"/>
              <w:left w:val="nil"/>
              <w:bottom w:val="nil"/>
              <w:right w:val="nil"/>
            </w:tcBorders>
            <w:shd w:val="clear" w:color="FFFFFF" w:fill="FFFFFF"/>
            <w:noWrap/>
            <w:vAlign w:val="bottom"/>
            <w:hideMark/>
          </w:tcPr>
          <w:p w14:paraId="42594C3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76CCA19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35FAA4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220"/>
      <w:tr w:rsidR="00FD06ED" w:rsidRPr="00FD06ED" w14:paraId="0AFDFEE4" w14:textId="77777777" w:rsidTr="005C33EF">
        <w:trPr>
          <w:trHeight w:val="255"/>
        </w:trPr>
        <w:tc>
          <w:tcPr>
            <w:tcW w:w="6376" w:type="dxa"/>
            <w:tcBorders>
              <w:top w:val="nil"/>
              <w:left w:val="nil"/>
              <w:bottom w:val="nil"/>
              <w:right w:val="nil"/>
            </w:tcBorders>
            <w:shd w:val="clear" w:color="FFFFFF" w:fill="FFFFFF"/>
            <w:vAlign w:val="bottom"/>
            <w:hideMark/>
          </w:tcPr>
          <w:p w14:paraId="43BEE85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Revenue received in advance - external entities</w:t>
            </w:r>
          </w:p>
        </w:tc>
        <w:tc>
          <w:tcPr>
            <w:tcW w:w="1236" w:type="dxa"/>
            <w:tcBorders>
              <w:top w:val="nil"/>
              <w:left w:val="nil"/>
              <w:bottom w:val="nil"/>
              <w:right w:val="nil"/>
            </w:tcBorders>
            <w:shd w:val="clear" w:color="FFFFFF" w:fill="FFFFFF"/>
            <w:noWrap/>
            <w:vAlign w:val="bottom"/>
            <w:hideMark/>
          </w:tcPr>
          <w:p w14:paraId="0DE3546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477,070</w:t>
            </w:r>
          </w:p>
        </w:tc>
        <w:tc>
          <w:tcPr>
            <w:tcW w:w="267" w:type="dxa"/>
            <w:tcBorders>
              <w:top w:val="nil"/>
              <w:left w:val="nil"/>
              <w:bottom w:val="nil"/>
              <w:right w:val="nil"/>
            </w:tcBorders>
            <w:shd w:val="clear" w:color="FFFFFF" w:fill="FFFFFF"/>
            <w:noWrap/>
            <w:vAlign w:val="bottom"/>
            <w:hideMark/>
          </w:tcPr>
          <w:p w14:paraId="6529B94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0CB4B12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522,576</w:t>
            </w:r>
          </w:p>
        </w:tc>
      </w:tr>
      <w:tr w:rsidR="00FD06ED" w:rsidRPr="00FD06ED" w14:paraId="765C0780" w14:textId="77777777" w:rsidTr="005C33EF">
        <w:trPr>
          <w:trHeight w:val="270"/>
        </w:trPr>
        <w:tc>
          <w:tcPr>
            <w:tcW w:w="6376" w:type="dxa"/>
            <w:tcBorders>
              <w:top w:val="nil"/>
              <w:left w:val="nil"/>
              <w:bottom w:val="nil"/>
              <w:right w:val="nil"/>
            </w:tcBorders>
            <w:shd w:val="clear" w:color="FFFFFF" w:fill="FFFFFF"/>
            <w:vAlign w:val="bottom"/>
            <w:hideMark/>
          </w:tcPr>
          <w:p w14:paraId="4D2827C0"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unearned revenue</w:t>
            </w:r>
          </w:p>
        </w:tc>
        <w:tc>
          <w:tcPr>
            <w:tcW w:w="1236" w:type="dxa"/>
            <w:tcBorders>
              <w:top w:val="single" w:sz="4" w:space="0" w:color="auto"/>
              <w:left w:val="nil"/>
              <w:bottom w:val="single" w:sz="4" w:space="0" w:color="auto"/>
              <w:right w:val="nil"/>
            </w:tcBorders>
            <w:shd w:val="clear" w:color="FFFFFF" w:fill="FFFFFF"/>
            <w:noWrap/>
            <w:vAlign w:val="bottom"/>
            <w:hideMark/>
          </w:tcPr>
          <w:p w14:paraId="1889D01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477,070</w:t>
            </w:r>
          </w:p>
        </w:tc>
        <w:tc>
          <w:tcPr>
            <w:tcW w:w="267" w:type="dxa"/>
            <w:tcBorders>
              <w:top w:val="nil"/>
              <w:left w:val="nil"/>
              <w:bottom w:val="nil"/>
              <w:right w:val="nil"/>
            </w:tcBorders>
            <w:shd w:val="clear" w:color="FFFFFF" w:fill="FFFFFF"/>
            <w:noWrap/>
            <w:vAlign w:val="bottom"/>
            <w:hideMark/>
          </w:tcPr>
          <w:p w14:paraId="79FFAB1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60534A73"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522,576</w:t>
            </w:r>
          </w:p>
        </w:tc>
      </w:tr>
    </w:tbl>
    <w:p w14:paraId="43989EA7" w14:textId="77777777" w:rsidR="00FD06ED" w:rsidRPr="00FD06ED" w:rsidRDefault="00FD06ED" w:rsidP="00FD06ED">
      <w:pPr>
        <w:spacing w:before="0" w:after="0"/>
        <w:ind w:left="0" w:right="607"/>
        <w:rPr>
          <w:rFonts w:eastAsia="Times New Roman" w:cs="Times New Roman"/>
          <w:b/>
          <w:sz w:val="20"/>
          <w:szCs w:val="20"/>
          <w:lang w:eastAsia="en-US"/>
        </w:rPr>
      </w:pPr>
    </w:p>
    <w:p w14:paraId="510B4EE6" w14:textId="77777777" w:rsidR="00FD06ED" w:rsidRPr="00FD06ED" w:rsidRDefault="00FD06ED" w:rsidP="00FD06ED">
      <w:pPr>
        <w:pBdr>
          <w:top w:val="single" w:sz="4" w:space="0" w:color="800080"/>
          <w:left w:val="single" w:sz="4" w:space="0" w:color="800080"/>
          <w:bottom w:val="single" w:sz="4" w:space="1" w:color="800080"/>
          <w:right w:val="single" w:sz="4" w:space="0"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39DEAC6A" w14:textId="77777777" w:rsidR="00FD06ED" w:rsidRPr="00FD06ED" w:rsidRDefault="00FD06ED" w:rsidP="00FD06ED">
      <w:pPr>
        <w:pBdr>
          <w:top w:val="single" w:sz="4" w:space="0"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Accounting policies for unearned income are contained in Note 1.2A Rendering of services. </w:t>
      </w:r>
    </w:p>
    <w:p w14:paraId="2E8936B3" w14:textId="69C7D82D" w:rsidR="00FD06ED" w:rsidRPr="00FD06ED" w:rsidRDefault="00844F9B"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21" w:name="_Toc65742851"/>
      <w:bookmarkStart w:id="222" w:name="_Toc114477514"/>
      <w:bookmarkStart w:id="223" w:name="_Toc116414685"/>
      <w:bookmarkStart w:id="224" w:name="_Toc116472664"/>
      <w:bookmarkStart w:id="225" w:name="_Toc116473879"/>
      <w:r>
        <w:rPr>
          <w:rFonts w:eastAsia="Times New Roman"/>
          <w:b/>
          <w:color w:val="FFFFFF"/>
          <w:sz w:val="20"/>
          <w:szCs w:val="20"/>
          <w:lang w:eastAsia="en-US"/>
        </w:rPr>
        <w:t xml:space="preserve">2.5 </w:t>
      </w:r>
      <w:r w:rsidR="00FD06ED" w:rsidRPr="00FD06ED">
        <w:rPr>
          <w:rFonts w:eastAsia="Times New Roman"/>
          <w:b/>
          <w:color w:val="FFFFFF"/>
          <w:sz w:val="20"/>
          <w:szCs w:val="20"/>
          <w:lang w:eastAsia="en-US"/>
        </w:rPr>
        <w:t>Interest Bearing Liabilities</w:t>
      </w:r>
      <w:bookmarkEnd w:id="221"/>
      <w:bookmarkEnd w:id="222"/>
      <w:bookmarkEnd w:id="223"/>
      <w:bookmarkEnd w:id="224"/>
      <w:bookmarkEnd w:id="225"/>
    </w:p>
    <w:tbl>
      <w:tblPr>
        <w:tblW w:w="9087" w:type="dxa"/>
        <w:tblLayout w:type="fixed"/>
        <w:tblLook w:val="04A0" w:firstRow="1" w:lastRow="0" w:firstColumn="1" w:lastColumn="0" w:noHBand="0" w:noVBand="1"/>
      </w:tblPr>
      <w:tblGrid>
        <w:gridCol w:w="6354"/>
        <w:gridCol w:w="1233"/>
        <w:gridCol w:w="267"/>
        <w:gridCol w:w="1233"/>
      </w:tblGrid>
      <w:tr w:rsidR="00FD06ED" w:rsidRPr="00FD06ED" w14:paraId="64807B32" w14:textId="77777777" w:rsidTr="005C33EF">
        <w:trPr>
          <w:trHeight w:val="255"/>
        </w:trPr>
        <w:tc>
          <w:tcPr>
            <w:tcW w:w="6376" w:type="dxa"/>
            <w:tcBorders>
              <w:top w:val="nil"/>
              <w:left w:val="nil"/>
              <w:bottom w:val="nil"/>
              <w:right w:val="nil"/>
            </w:tcBorders>
            <w:shd w:val="clear" w:color="FFFFFF" w:fill="FFFFFF"/>
            <w:noWrap/>
            <w:vAlign w:val="bottom"/>
            <w:hideMark/>
          </w:tcPr>
          <w:p w14:paraId="610442D9"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26" w:name="Note_LEATABLE1" w:colFirst="0" w:colLast="0"/>
            <w:r w:rsidRPr="00FD06ED">
              <w:rPr>
                <w:rFonts w:eastAsia="Times New Roman"/>
                <w:b/>
                <w:bCs/>
                <w:sz w:val="18"/>
                <w:szCs w:val="18"/>
                <w:u w:val="single"/>
                <w:lang w:eastAsia="en-US"/>
              </w:rPr>
              <w:t>Note 2.5: Leases</w:t>
            </w:r>
          </w:p>
        </w:tc>
        <w:tc>
          <w:tcPr>
            <w:tcW w:w="1236" w:type="dxa"/>
            <w:tcBorders>
              <w:top w:val="nil"/>
              <w:left w:val="nil"/>
              <w:bottom w:val="nil"/>
              <w:right w:val="nil"/>
            </w:tcBorders>
            <w:shd w:val="clear" w:color="FFFFFF" w:fill="FFFFFF"/>
            <w:noWrap/>
            <w:vAlign w:val="bottom"/>
            <w:hideMark/>
          </w:tcPr>
          <w:p w14:paraId="7B85662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47ACF8E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1D49C6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226"/>
      <w:tr w:rsidR="00FD06ED" w:rsidRPr="00FD06ED" w14:paraId="5EFFBC83" w14:textId="77777777" w:rsidTr="005C33EF">
        <w:trPr>
          <w:trHeight w:val="255"/>
        </w:trPr>
        <w:tc>
          <w:tcPr>
            <w:tcW w:w="6376" w:type="dxa"/>
            <w:tcBorders>
              <w:top w:val="nil"/>
              <w:left w:val="nil"/>
              <w:bottom w:val="nil"/>
              <w:right w:val="nil"/>
            </w:tcBorders>
            <w:shd w:val="clear" w:color="FFFFFF" w:fill="FFFFFF"/>
            <w:vAlign w:val="bottom"/>
            <w:hideMark/>
          </w:tcPr>
          <w:p w14:paraId="3003295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Lease liabilities</w:t>
            </w:r>
          </w:p>
        </w:tc>
        <w:tc>
          <w:tcPr>
            <w:tcW w:w="1236" w:type="dxa"/>
            <w:tcBorders>
              <w:top w:val="nil"/>
              <w:left w:val="nil"/>
              <w:bottom w:val="nil"/>
              <w:right w:val="nil"/>
            </w:tcBorders>
            <w:shd w:val="clear" w:color="FFFFFF" w:fill="FFFFFF"/>
            <w:noWrap/>
            <w:vAlign w:val="bottom"/>
            <w:hideMark/>
          </w:tcPr>
          <w:p w14:paraId="045507CF"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267" w:type="dxa"/>
            <w:tcBorders>
              <w:top w:val="nil"/>
              <w:left w:val="nil"/>
              <w:bottom w:val="nil"/>
              <w:right w:val="nil"/>
            </w:tcBorders>
            <w:shd w:val="clear" w:color="FFFFFF" w:fill="FFFFFF"/>
            <w:noWrap/>
            <w:vAlign w:val="bottom"/>
            <w:hideMark/>
          </w:tcPr>
          <w:p w14:paraId="4D193B95"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c>
          <w:tcPr>
            <w:tcW w:w="1236" w:type="dxa"/>
            <w:tcBorders>
              <w:top w:val="nil"/>
              <w:left w:val="nil"/>
              <w:bottom w:val="nil"/>
              <w:right w:val="nil"/>
            </w:tcBorders>
            <w:shd w:val="clear" w:color="FFFFFF" w:fill="FFFFFF"/>
            <w:noWrap/>
            <w:vAlign w:val="bottom"/>
            <w:hideMark/>
          </w:tcPr>
          <w:p w14:paraId="5C0FA37C" w14:textId="77777777" w:rsidR="00FD06ED" w:rsidRPr="00FD06ED" w:rsidRDefault="00FD06ED" w:rsidP="00FD06ED">
            <w:pPr>
              <w:spacing w:before="0" w:after="0" w:line="260" w:lineRule="atLeast"/>
              <w:ind w:left="0"/>
              <w:rPr>
                <w:rFonts w:eastAsia="Times New Roman"/>
                <w:sz w:val="16"/>
                <w:szCs w:val="16"/>
                <w:lang w:eastAsia="en-US"/>
              </w:rPr>
            </w:pPr>
            <w:r w:rsidRPr="00FD06ED">
              <w:rPr>
                <w:rFonts w:eastAsia="Times New Roman"/>
                <w:sz w:val="16"/>
                <w:szCs w:val="16"/>
                <w:lang w:eastAsia="en-US"/>
              </w:rPr>
              <w:t> </w:t>
            </w:r>
          </w:p>
        </w:tc>
      </w:tr>
      <w:tr w:rsidR="00FD06ED" w:rsidRPr="00FD06ED" w14:paraId="59CDE9A4" w14:textId="77777777" w:rsidTr="005C33EF">
        <w:trPr>
          <w:trHeight w:val="255"/>
        </w:trPr>
        <w:tc>
          <w:tcPr>
            <w:tcW w:w="6376" w:type="dxa"/>
            <w:tcBorders>
              <w:top w:val="nil"/>
              <w:left w:val="nil"/>
              <w:bottom w:val="nil"/>
              <w:right w:val="nil"/>
            </w:tcBorders>
            <w:shd w:val="clear" w:color="FFFFFF" w:fill="FFFFFF"/>
            <w:noWrap/>
            <w:vAlign w:val="bottom"/>
            <w:hideMark/>
          </w:tcPr>
          <w:p w14:paraId="13EFE015"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Buildings</w:t>
            </w:r>
          </w:p>
        </w:tc>
        <w:tc>
          <w:tcPr>
            <w:tcW w:w="1236" w:type="dxa"/>
            <w:tcBorders>
              <w:top w:val="nil"/>
              <w:left w:val="nil"/>
              <w:bottom w:val="nil"/>
              <w:right w:val="nil"/>
            </w:tcBorders>
            <w:shd w:val="clear" w:color="FFFFFF" w:fill="FFFFFF"/>
            <w:noWrap/>
            <w:vAlign w:val="bottom"/>
            <w:hideMark/>
          </w:tcPr>
          <w:p w14:paraId="74744E1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156,296</w:t>
            </w:r>
          </w:p>
        </w:tc>
        <w:tc>
          <w:tcPr>
            <w:tcW w:w="267" w:type="dxa"/>
            <w:tcBorders>
              <w:top w:val="nil"/>
              <w:left w:val="nil"/>
              <w:bottom w:val="nil"/>
              <w:right w:val="nil"/>
            </w:tcBorders>
            <w:shd w:val="clear" w:color="FFFFFF" w:fill="FFFFFF"/>
            <w:noWrap/>
            <w:vAlign w:val="bottom"/>
            <w:hideMark/>
          </w:tcPr>
          <w:p w14:paraId="2CE46E4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267239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162,597</w:t>
            </w:r>
          </w:p>
        </w:tc>
      </w:tr>
      <w:tr w:rsidR="00FD06ED" w:rsidRPr="00FD06ED" w14:paraId="76794E1A" w14:textId="77777777" w:rsidTr="005C33EF">
        <w:trPr>
          <w:trHeight w:val="255"/>
        </w:trPr>
        <w:tc>
          <w:tcPr>
            <w:tcW w:w="6376" w:type="dxa"/>
            <w:tcBorders>
              <w:top w:val="nil"/>
              <w:left w:val="nil"/>
              <w:bottom w:val="nil"/>
              <w:right w:val="nil"/>
            </w:tcBorders>
            <w:shd w:val="clear" w:color="FFFFFF" w:fill="FFFFFF"/>
            <w:noWrap/>
            <w:vAlign w:val="bottom"/>
            <w:hideMark/>
          </w:tcPr>
          <w:p w14:paraId="4B892DD7"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Plant and equipment</w:t>
            </w:r>
          </w:p>
        </w:tc>
        <w:tc>
          <w:tcPr>
            <w:tcW w:w="1236" w:type="dxa"/>
            <w:tcBorders>
              <w:top w:val="nil"/>
              <w:left w:val="nil"/>
              <w:bottom w:val="nil"/>
              <w:right w:val="nil"/>
            </w:tcBorders>
            <w:shd w:val="clear" w:color="FFFFFF" w:fill="FFFFFF"/>
            <w:noWrap/>
            <w:vAlign w:val="bottom"/>
            <w:hideMark/>
          </w:tcPr>
          <w:p w14:paraId="68B0753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601</w:t>
            </w:r>
          </w:p>
        </w:tc>
        <w:tc>
          <w:tcPr>
            <w:tcW w:w="267" w:type="dxa"/>
            <w:tcBorders>
              <w:top w:val="nil"/>
              <w:left w:val="nil"/>
              <w:bottom w:val="nil"/>
              <w:right w:val="nil"/>
            </w:tcBorders>
            <w:shd w:val="clear" w:color="FFFFFF" w:fill="FFFFFF"/>
            <w:noWrap/>
            <w:vAlign w:val="bottom"/>
            <w:hideMark/>
          </w:tcPr>
          <w:p w14:paraId="548D65D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F89D9E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1,274</w:t>
            </w:r>
          </w:p>
        </w:tc>
      </w:tr>
      <w:tr w:rsidR="00FD06ED" w:rsidRPr="00FD06ED" w14:paraId="251330ED" w14:textId="77777777" w:rsidTr="005C33EF">
        <w:trPr>
          <w:trHeight w:val="270"/>
        </w:trPr>
        <w:tc>
          <w:tcPr>
            <w:tcW w:w="6376" w:type="dxa"/>
            <w:tcBorders>
              <w:top w:val="nil"/>
              <w:left w:val="nil"/>
              <w:bottom w:val="nil"/>
              <w:right w:val="nil"/>
            </w:tcBorders>
            <w:shd w:val="clear" w:color="FFFFFF" w:fill="FFFFFF"/>
            <w:vAlign w:val="bottom"/>
            <w:hideMark/>
          </w:tcPr>
          <w:p w14:paraId="26B63DD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xml:space="preserve">Total leases </w:t>
            </w:r>
          </w:p>
        </w:tc>
        <w:tc>
          <w:tcPr>
            <w:tcW w:w="1236" w:type="dxa"/>
            <w:tcBorders>
              <w:top w:val="single" w:sz="4" w:space="0" w:color="auto"/>
              <w:left w:val="nil"/>
              <w:bottom w:val="single" w:sz="4" w:space="0" w:color="auto"/>
              <w:right w:val="nil"/>
            </w:tcBorders>
            <w:shd w:val="clear" w:color="FFFFFF" w:fill="FFFFFF"/>
            <w:noWrap/>
            <w:vAlign w:val="bottom"/>
            <w:hideMark/>
          </w:tcPr>
          <w:p w14:paraId="386E7D3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156,897</w:t>
            </w:r>
          </w:p>
        </w:tc>
        <w:tc>
          <w:tcPr>
            <w:tcW w:w="267" w:type="dxa"/>
            <w:tcBorders>
              <w:top w:val="nil"/>
              <w:left w:val="nil"/>
              <w:bottom w:val="nil"/>
              <w:right w:val="nil"/>
            </w:tcBorders>
            <w:shd w:val="clear" w:color="FFFFFF" w:fill="FFFFFF"/>
            <w:noWrap/>
            <w:vAlign w:val="bottom"/>
            <w:hideMark/>
          </w:tcPr>
          <w:p w14:paraId="01C6EF0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47CD2BB9"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163,871</w:t>
            </w:r>
          </w:p>
        </w:tc>
      </w:tr>
    </w:tbl>
    <w:p w14:paraId="6C48C0F9" w14:textId="77777777" w:rsidR="00FD06ED" w:rsidRPr="00FD06ED" w:rsidRDefault="00FD06ED" w:rsidP="00FD06ED">
      <w:pPr>
        <w:spacing w:before="0" w:after="0"/>
        <w:ind w:left="0"/>
        <w:rPr>
          <w:rFonts w:ascii="Times New Roman" w:eastAsia="Times New Roman" w:hAnsi="Times New Roman" w:cs="Times New Roman"/>
          <w:szCs w:val="20"/>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134FF595" w14:textId="77777777" w:rsidTr="005C33EF">
        <w:trPr>
          <w:trHeight w:val="255"/>
        </w:trPr>
        <w:tc>
          <w:tcPr>
            <w:tcW w:w="6376" w:type="dxa"/>
            <w:tcBorders>
              <w:top w:val="nil"/>
              <w:left w:val="nil"/>
              <w:bottom w:val="nil"/>
              <w:right w:val="nil"/>
            </w:tcBorders>
            <w:shd w:val="clear" w:color="FFFFFF" w:fill="FFFFFF"/>
            <w:noWrap/>
            <w:vAlign w:val="bottom"/>
            <w:hideMark/>
          </w:tcPr>
          <w:p w14:paraId="3E1FF83C"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27" w:name="Note_LEMTABLE1" w:colFirst="0" w:colLast="0"/>
            <w:r w:rsidRPr="00FD06ED">
              <w:rPr>
                <w:rFonts w:eastAsia="Times New Roman"/>
                <w:b/>
                <w:bCs/>
                <w:sz w:val="18"/>
                <w:szCs w:val="18"/>
                <w:u w:val="single"/>
                <w:lang w:eastAsia="en-US"/>
              </w:rPr>
              <w:t>Note 2.5: Leases - Maturity</w:t>
            </w:r>
          </w:p>
        </w:tc>
        <w:tc>
          <w:tcPr>
            <w:tcW w:w="1236" w:type="dxa"/>
            <w:tcBorders>
              <w:top w:val="nil"/>
              <w:left w:val="nil"/>
              <w:bottom w:val="nil"/>
              <w:right w:val="nil"/>
            </w:tcBorders>
            <w:shd w:val="clear" w:color="FFFFFF" w:fill="FFFFFF"/>
            <w:noWrap/>
            <w:vAlign w:val="bottom"/>
            <w:hideMark/>
          </w:tcPr>
          <w:p w14:paraId="6B82DF4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16BD6E1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C34DEB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227"/>
      <w:tr w:rsidR="00FD06ED" w:rsidRPr="00FD06ED" w14:paraId="3CF2D4AE" w14:textId="77777777" w:rsidTr="005C33EF">
        <w:trPr>
          <w:trHeight w:val="255"/>
        </w:trPr>
        <w:tc>
          <w:tcPr>
            <w:tcW w:w="6376" w:type="dxa"/>
            <w:tcBorders>
              <w:top w:val="nil"/>
              <w:left w:val="nil"/>
              <w:bottom w:val="nil"/>
              <w:right w:val="nil"/>
            </w:tcBorders>
            <w:shd w:val="clear" w:color="FFFFFF" w:fill="FFFFFF"/>
            <w:vAlign w:val="bottom"/>
            <w:hideMark/>
          </w:tcPr>
          <w:p w14:paraId="7D8D217A"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Maturity analysis - contractual undiscounted cash flows</w:t>
            </w:r>
          </w:p>
        </w:tc>
        <w:tc>
          <w:tcPr>
            <w:tcW w:w="1236" w:type="dxa"/>
            <w:tcBorders>
              <w:top w:val="nil"/>
              <w:left w:val="nil"/>
              <w:bottom w:val="nil"/>
              <w:right w:val="nil"/>
            </w:tcBorders>
            <w:shd w:val="clear" w:color="FFFFFF" w:fill="FFFFFF"/>
            <w:noWrap/>
            <w:vAlign w:val="bottom"/>
            <w:hideMark/>
          </w:tcPr>
          <w:p w14:paraId="2A4A490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7EE111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B6641B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r>
      <w:tr w:rsidR="00FD06ED" w:rsidRPr="00FD06ED" w14:paraId="36F99DDB" w14:textId="77777777" w:rsidTr="005C33EF">
        <w:trPr>
          <w:trHeight w:val="255"/>
        </w:trPr>
        <w:tc>
          <w:tcPr>
            <w:tcW w:w="6376" w:type="dxa"/>
            <w:tcBorders>
              <w:top w:val="nil"/>
              <w:left w:val="nil"/>
              <w:bottom w:val="nil"/>
              <w:right w:val="nil"/>
            </w:tcBorders>
            <w:shd w:val="clear" w:color="FFFFFF" w:fill="FFFFFF"/>
            <w:noWrap/>
            <w:vAlign w:val="bottom"/>
            <w:hideMark/>
          </w:tcPr>
          <w:p w14:paraId="4AD5E59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Within 1 year</w:t>
            </w:r>
          </w:p>
        </w:tc>
        <w:tc>
          <w:tcPr>
            <w:tcW w:w="1236" w:type="dxa"/>
            <w:tcBorders>
              <w:top w:val="nil"/>
              <w:left w:val="nil"/>
              <w:bottom w:val="nil"/>
              <w:right w:val="nil"/>
            </w:tcBorders>
            <w:shd w:val="clear" w:color="FFFFFF" w:fill="FFFFFF"/>
            <w:noWrap/>
            <w:vAlign w:val="bottom"/>
            <w:hideMark/>
          </w:tcPr>
          <w:p w14:paraId="0AD5852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33,424</w:t>
            </w:r>
          </w:p>
        </w:tc>
        <w:tc>
          <w:tcPr>
            <w:tcW w:w="267" w:type="dxa"/>
            <w:tcBorders>
              <w:top w:val="nil"/>
              <w:left w:val="nil"/>
              <w:bottom w:val="nil"/>
              <w:right w:val="nil"/>
            </w:tcBorders>
            <w:shd w:val="clear" w:color="FFFFFF" w:fill="FFFFFF"/>
            <w:noWrap/>
            <w:vAlign w:val="bottom"/>
            <w:hideMark/>
          </w:tcPr>
          <w:p w14:paraId="3C631FC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41C829D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36,279</w:t>
            </w:r>
          </w:p>
        </w:tc>
      </w:tr>
      <w:tr w:rsidR="00FD06ED" w:rsidRPr="00FD06ED" w14:paraId="5BA68B49" w14:textId="77777777" w:rsidTr="005C33EF">
        <w:trPr>
          <w:trHeight w:val="255"/>
        </w:trPr>
        <w:tc>
          <w:tcPr>
            <w:tcW w:w="6376" w:type="dxa"/>
            <w:tcBorders>
              <w:top w:val="nil"/>
              <w:left w:val="nil"/>
              <w:bottom w:val="nil"/>
              <w:right w:val="nil"/>
            </w:tcBorders>
            <w:shd w:val="clear" w:color="FFFFFF" w:fill="FFFFFF"/>
            <w:noWrap/>
            <w:vAlign w:val="bottom"/>
            <w:hideMark/>
          </w:tcPr>
          <w:p w14:paraId="2129AD5B"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Between 1 to 5 years</w:t>
            </w:r>
          </w:p>
        </w:tc>
        <w:tc>
          <w:tcPr>
            <w:tcW w:w="1236" w:type="dxa"/>
            <w:tcBorders>
              <w:top w:val="nil"/>
              <w:left w:val="nil"/>
              <w:bottom w:val="nil"/>
              <w:right w:val="nil"/>
            </w:tcBorders>
            <w:shd w:val="clear" w:color="FFFFFF" w:fill="FFFFFF"/>
            <w:noWrap/>
            <w:vAlign w:val="bottom"/>
            <w:hideMark/>
          </w:tcPr>
          <w:p w14:paraId="56EC4AE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80,099</w:t>
            </w:r>
          </w:p>
        </w:tc>
        <w:tc>
          <w:tcPr>
            <w:tcW w:w="267" w:type="dxa"/>
            <w:tcBorders>
              <w:top w:val="nil"/>
              <w:left w:val="nil"/>
              <w:bottom w:val="nil"/>
              <w:right w:val="nil"/>
            </w:tcBorders>
            <w:shd w:val="clear" w:color="FFFFFF" w:fill="FFFFFF"/>
            <w:noWrap/>
            <w:vAlign w:val="bottom"/>
            <w:hideMark/>
          </w:tcPr>
          <w:p w14:paraId="42019D3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52F9FE8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86,338</w:t>
            </w:r>
          </w:p>
        </w:tc>
      </w:tr>
      <w:tr w:rsidR="00FD06ED" w:rsidRPr="00FD06ED" w14:paraId="3AC4E5CB" w14:textId="77777777" w:rsidTr="005C33EF">
        <w:trPr>
          <w:trHeight w:val="255"/>
        </w:trPr>
        <w:tc>
          <w:tcPr>
            <w:tcW w:w="6376" w:type="dxa"/>
            <w:tcBorders>
              <w:top w:val="nil"/>
              <w:left w:val="nil"/>
              <w:bottom w:val="nil"/>
              <w:right w:val="nil"/>
            </w:tcBorders>
            <w:shd w:val="clear" w:color="FFFFFF" w:fill="FFFFFF"/>
            <w:noWrap/>
            <w:vAlign w:val="bottom"/>
            <w:hideMark/>
          </w:tcPr>
          <w:p w14:paraId="1F3A4E3B"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More than 5 years</w:t>
            </w:r>
          </w:p>
        </w:tc>
        <w:tc>
          <w:tcPr>
            <w:tcW w:w="1236" w:type="dxa"/>
            <w:tcBorders>
              <w:top w:val="nil"/>
              <w:left w:val="nil"/>
              <w:bottom w:val="nil"/>
              <w:right w:val="nil"/>
            </w:tcBorders>
            <w:shd w:val="clear" w:color="FFFFFF" w:fill="FFFFFF"/>
            <w:noWrap/>
            <w:vAlign w:val="bottom"/>
            <w:hideMark/>
          </w:tcPr>
          <w:p w14:paraId="1AD7F7B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48,770</w:t>
            </w:r>
          </w:p>
        </w:tc>
        <w:tc>
          <w:tcPr>
            <w:tcW w:w="267" w:type="dxa"/>
            <w:tcBorders>
              <w:top w:val="nil"/>
              <w:left w:val="nil"/>
              <w:bottom w:val="nil"/>
              <w:right w:val="nil"/>
            </w:tcBorders>
            <w:shd w:val="clear" w:color="FFFFFF" w:fill="FFFFFF"/>
            <w:noWrap/>
            <w:vAlign w:val="bottom"/>
            <w:hideMark/>
          </w:tcPr>
          <w:p w14:paraId="6A45F50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8D4E79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47,420</w:t>
            </w:r>
          </w:p>
        </w:tc>
      </w:tr>
      <w:tr w:rsidR="00FD06ED" w:rsidRPr="00FD06ED" w14:paraId="4BE5B180" w14:textId="77777777" w:rsidTr="005C33EF">
        <w:trPr>
          <w:trHeight w:val="270"/>
        </w:trPr>
        <w:tc>
          <w:tcPr>
            <w:tcW w:w="6376" w:type="dxa"/>
            <w:tcBorders>
              <w:top w:val="nil"/>
              <w:left w:val="nil"/>
              <w:bottom w:val="nil"/>
              <w:right w:val="nil"/>
            </w:tcBorders>
            <w:shd w:val="clear" w:color="FFFFFF" w:fill="FFFFFF"/>
            <w:vAlign w:val="bottom"/>
            <w:hideMark/>
          </w:tcPr>
          <w:p w14:paraId="2EB06C1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leases</w:t>
            </w:r>
          </w:p>
        </w:tc>
        <w:tc>
          <w:tcPr>
            <w:tcW w:w="1236" w:type="dxa"/>
            <w:tcBorders>
              <w:top w:val="single" w:sz="4" w:space="0" w:color="auto"/>
              <w:left w:val="nil"/>
              <w:bottom w:val="single" w:sz="4" w:space="0" w:color="auto"/>
              <w:right w:val="nil"/>
            </w:tcBorders>
            <w:shd w:val="clear" w:color="FFFFFF" w:fill="FFFFFF"/>
            <w:noWrap/>
            <w:vAlign w:val="bottom"/>
            <w:hideMark/>
          </w:tcPr>
          <w:p w14:paraId="412FBC4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162,293</w:t>
            </w:r>
          </w:p>
        </w:tc>
        <w:tc>
          <w:tcPr>
            <w:tcW w:w="267" w:type="dxa"/>
            <w:tcBorders>
              <w:top w:val="nil"/>
              <w:left w:val="nil"/>
              <w:bottom w:val="nil"/>
              <w:right w:val="nil"/>
            </w:tcBorders>
            <w:shd w:val="clear" w:color="FFFFFF" w:fill="FFFFFF"/>
            <w:noWrap/>
            <w:vAlign w:val="bottom"/>
            <w:hideMark/>
          </w:tcPr>
          <w:p w14:paraId="5F567DF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142AE02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170,037</w:t>
            </w:r>
          </w:p>
        </w:tc>
      </w:tr>
    </w:tbl>
    <w:p w14:paraId="45D74EF8" w14:textId="77777777" w:rsidR="00FD06ED" w:rsidRPr="00FD06ED" w:rsidRDefault="00FD06ED" w:rsidP="00FD06ED">
      <w:pPr>
        <w:spacing w:before="0" w:after="0"/>
        <w:ind w:left="0"/>
        <w:rPr>
          <w:rFonts w:eastAsia="Times New Roman"/>
          <w:sz w:val="18"/>
          <w:szCs w:val="18"/>
          <w:lang w:eastAsia="en-US"/>
        </w:rPr>
      </w:pPr>
    </w:p>
    <w:p w14:paraId="676FA079" w14:textId="29724EBC"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 xml:space="preserve">The Agency, in its capacity, as lessee, has </w:t>
      </w:r>
      <w:proofErr w:type="gramStart"/>
      <w:r w:rsidRPr="00FD06ED">
        <w:rPr>
          <w:rFonts w:eastAsia="Times New Roman"/>
          <w:sz w:val="18"/>
          <w:szCs w:val="18"/>
          <w:lang w:eastAsia="en-US"/>
        </w:rPr>
        <w:t>entered into</w:t>
      </w:r>
      <w:proofErr w:type="gramEnd"/>
      <w:r w:rsidRPr="00FD06ED">
        <w:rPr>
          <w:rFonts w:eastAsia="Times New Roman"/>
          <w:sz w:val="18"/>
          <w:szCs w:val="18"/>
          <w:lang w:eastAsia="en-US"/>
        </w:rPr>
        <w:t xml:space="preserve"> leasing arrangements to meet its operational obligations</w:t>
      </w:r>
      <w:r w:rsidR="005834CE">
        <w:rPr>
          <w:rFonts w:eastAsia="Times New Roman"/>
          <w:sz w:val="18"/>
          <w:szCs w:val="18"/>
          <w:lang w:eastAsia="en-US"/>
        </w:rPr>
        <w:t xml:space="preserve">. </w:t>
      </w:r>
      <w:r w:rsidRPr="00FD06ED">
        <w:rPr>
          <w:rFonts w:eastAsia="Times New Roman"/>
          <w:sz w:val="18"/>
          <w:szCs w:val="18"/>
          <w:lang w:eastAsia="en-US"/>
        </w:rPr>
        <w:t>These leases are managed through an agreement with Services Australia and JLL under Whole of Government (</w:t>
      </w:r>
      <w:proofErr w:type="spellStart"/>
      <w:r w:rsidRPr="00FD06ED">
        <w:rPr>
          <w:rFonts w:eastAsia="Times New Roman"/>
          <w:sz w:val="18"/>
          <w:szCs w:val="18"/>
          <w:lang w:eastAsia="en-US"/>
        </w:rPr>
        <w:t>WoG</w:t>
      </w:r>
      <w:proofErr w:type="spellEnd"/>
      <w:r w:rsidRPr="00FD06ED">
        <w:rPr>
          <w:rFonts w:eastAsia="Times New Roman"/>
          <w:sz w:val="18"/>
          <w:szCs w:val="18"/>
          <w:lang w:eastAsia="en-US"/>
        </w:rPr>
        <w:t xml:space="preserve">) arrangements. Each lease has terms and conditions specified in relation to when contingent rent is </w:t>
      </w:r>
      <w:r w:rsidRPr="00FD06ED">
        <w:rPr>
          <w:rFonts w:eastAsia="Times New Roman"/>
          <w:sz w:val="18"/>
          <w:szCs w:val="18"/>
          <w:lang w:eastAsia="en-US"/>
        </w:rPr>
        <w:lastRenderedPageBreak/>
        <w:t>payable, variable lease payments, renewal or purchase options, annual percentage rent increase, escalation clauses and restrictions. These lease terms are set as per commercial market arrangements.</w:t>
      </w:r>
    </w:p>
    <w:p w14:paraId="406C3D11" w14:textId="27005AC6"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The above lease disclosures should be read in conjunction with the accompanying notes 1.1B, 1.1D, 1.2B and 2.2A.</w:t>
      </w:r>
    </w:p>
    <w:p w14:paraId="136F795D"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tab/>
      </w:r>
    </w:p>
    <w:p w14:paraId="368FA380" w14:textId="77777777" w:rsidR="00FD06ED" w:rsidRPr="00FD06ED" w:rsidRDefault="00FD06ED" w:rsidP="00FD06ED">
      <w:pPr>
        <w:spacing w:before="0" w:after="0"/>
        <w:ind w:left="0"/>
        <w:rPr>
          <w:rFonts w:eastAsia="Times New Roman"/>
          <w:sz w:val="4"/>
          <w:szCs w:val="4"/>
          <w:lang w:eastAsia="en-AU"/>
        </w:rPr>
      </w:pPr>
    </w:p>
    <w:p w14:paraId="3F80409D" w14:textId="77777777" w:rsidR="00FD06ED" w:rsidRPr="00FD06ED" w:rsidRDefault="00FD06ED" w:rsidP="00FD06ED">
      <w:pPr>
        <w:spacing w:before="0" w:after="0"/>
        <w:ind w:left="0"/>
        <w:rPr>
          <w:rFonts w:eastAsia="Times New Roman"/>
          <w:sz w:val="18"/>
          <w:szCs w:val="18"/>
          <w:lang w:eastAsia="en-AU"/>
        </w:rPr>
      </w:pPr>
      <w:r w:rsidRPr="00FD06ED">
        <w:rPr>
          <w:rFonts w:eastAsia="Times New Roman"/>
          <w:sz w:val="18"/>
          <w:szCs w:val="18"/>
          <w:lang w:eastAsia="en-AU"/>
        </w:rPr>
        <w:t xml:space="preserve">Total cash outflow for leases for the year ended </w:t>
      </w:r>
      <w:r w:rsidRPr="00FD06ED">
        <w:rPr>
          <w:rFonts w:eastAsia="Times New Roman"/>
          <w:sz w:val="18"/>
          <w:szCs w:val="18"/>
          <w:lang w:eastAsia="en-AU"/>
        </w:rPr>
        <w:fldChar w:fldCharType="begin"/>
      </w:r>
      <w:r w:rsidRPr="00FD06ED">
        <w:rPr>
          <w:rFonts w:eastAsia="Times New Roman"/>
          <w:sz w:val="18"/>
          <w:szCs w:val="18"/>
          <w:lang w:eastAsia="en-AU"/>
        </w:rPr>
        <w:instrText xml:space="preserve"> DOCPROPERTY  pEnd  \* MERGEFORMAT </w:instrText>
      </w:r>
      <w:r w:rsidRPr="00FD06ED">
        <w:rPr>
          <w:rFonts w:eastAsia="Times New Roman"/>
          <w:sz w:val="18"/>
          <w:szCs w:val="18"/>
          <w:lang w:eastAsia="en-AU"/>
        </w:rPr>
        <w:fldChar w:fldCharType="separate"/>
      </w:r>
      <w:r w:rsidRPr="00FD06ED">
        <w:rPr>
          <w:rFonts w:eastAsia="Times New Roman"/>
          <w:sz w:val="18"/>
          <w:szCs w:val="18"/>
          <w:lang w:eastAsia="en-AU"/>
        </w:rPr>
        <w:t>30 June</w:t>
      </w:r>
      <w:r w:rsidRPr="00FD06ED">
        <w:rPr>
          <w:rFonts w:eastAsia="Times New Roman"/>
          <w:sz w:val="18"/>
          <w:szCs w:val="18"/>
          <w:lang w:eastAsia="en-AU"/>
        </w:rPr>
        <w:fldChar w:fldCharType="end"/>
      </w:r>
      <w:r w:rsidRPr="00FD06ED">
        <w:rPr>
          <w:rFonts w:eastAsia="Times New Roman"/>
          <w:sz w:val="18"/>
          <w:szCs w:val="18"/>
          <w:lang w:eastAsia="en-AU"/>
        </w:rPr>
        <w:t xml:space="preserve"> </w:t>
      </w:r>
      <w:r w:rsidRPr="00FD06ED">
        <w:rPr>
          <w:rFonts w:eastAsia="Times New Roman"/>
          <w:sz w:val="18"/>
          <w:szCs w:val="18"/>
          <w:lang w:eastAsia="en-AU"/>
        </w:rPr>
        <w:fldChar w:fldCharType="begin"/>
      </w:r>
      <w:r w:rsidRPr="00FD06ED">
        <w:rPr>
          <w:rFonts w:eastAsia="Times New Roman"/>
          <w:sz w:val="18"/>
          <w:szCs w:val="18"/>
          <w:lang w:eastAsia="en-AU"/>
        </w:rPr>
        <w:instrText xml:space="preserve"> DOCPROPERTY  crYear  \* MERGEFORMAT </w:instrText>
      </w:r>
      <w:r w:rsidRPr="00FD06ED">
        <w:rPr>
          <w:rFonts w:eastAsia="Times New Roman"/>
          <w:sz w:val="18"/>
          <w:szCs w:val="18"/>
          <w:lang w:eastAsia="en-AU"/>
        </w:rPr>
        <w:fldChar w:fldCharType="separate"/>
      </w:r>
      <w:r w:rsidRPr="00FD06ED">
        <w:rPr>
          <w:rFonts w:eastAsia="Times New Roman"/>
          <w:sz w:val="18"/>
          <w:szCs w:val="18"/>
          <w:lang w:eastAsia="en-AU"/>
        </w:rPr>
        <w:t>2022</w:t>
      </w:r>
      <w:r w:rsidRPr="00FD06ED">
        <w:rPr>
          <w:rFonts w:eastAsia="Times New Roman"/>
          <w:sz w:val="18"/>
          <w:szCs w:val="18"/>
          <w:lang w:eastAsia="en-AU"/>
        </w:rPr>
        <w:fldChar w:fldCharType="end"/>
      </w:r>
      <w:r w:rsidRPr="00FD06ED">
        <w:rPr>
          <w:rFonts w:eastAsia="Times New Roman"/>
          <w:sz w:val="18"/>
          <w:szCs w:val="18"/>
          <w:lang w:eastAsia="en-AU"/>
        </w:rPr>
        <w:t xml:space="preserve"> was $39.12m.</w:t>
      </w:r>
    </w:p>
    <w:p w14:paraId="363B9C14" w14:textId="77777777" w:rsidR="00FD06ED" w:rsidRPr="00FD06ED" w:rsidRDefault="00FD06ED" w:rsidP="00FD06ED">
      <w:pPr>
        <w:spacing w:before="0" w:after="0"/>
        <w:ind w:left="0"/>
        <w:rPr>
          <w:rFonts w:eastAsia="Times New Roman"/>
          <w:sz w:val="18"/>
          <w:szCs w:val="18"/>
          <w:lang w:eastAsia="en-AU"/>
        </w:rPr>
      </w:pPr>
    </w:p>
    <w:p w14:paraId="27DF8B5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45F0C3BF"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For all new contracts </w:t>
      </w:r>
      <w:proofErr w:type="gramStart"/>
      <w:r w:rsidRPr="00FD06ED">
        <w:rPr>
          <w:rFonts w:eastAsia="Times New Roman"/>
          <w:bCs/>
          <w:sz w:val="18"/>
          <w:szCs w:val="18"/>
          <w:lang w:eastAsia="en-US"/>
        </w:rPr>
        <w:t>entered into</w:t>
      </w:r>
      <w:proofErr w:type="gramEnd"/>
      <w:r w:rsidRPr="00FD06ED">
        <w:rPr>
          <w:rFonts w:eastAsia="Times New Roman"/>
          <w:bCs/>
          <w:sz w:val="18"/>
          <w:szCs w:val="18"/>
          <w:lang w:eastAsia="en-US"/>
        </w:rPr>
        <w:t>, the Agency considers whether the contract is, or contains a lease. A lease is defined as ‘a contract, or part of a contract, that conveys the right to use an asset (the underlying asset) for a period of time in exchange for consideration’.</w:t>
      </w:r>
    </w:p>
    <w:p w14:paraId="4092530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Once it has been determined that a contract is, or contains a lease, the lease liability is initially measured at the present value of the lease payments unpaid at the commencement date, discounted using the interest rate implicit in the lease, if that rate is readily determinable, or the Agency’s incremental borrowing rate.</w:t>
      </w:r>
    </w:p>
    <w:p w14:paraId="4886EDF5"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proofErr w:type="gramStart"/>
      <w:r w:rsidRPr="00FD06ED">
        <w:rPr>
          <w:rFonts w:eastAsia="Times New Roman"/>
          <w:bCs/>
          <w:sz w:val="18"/>
          <w:szCs w:val="18"/>
          <w:lang w:eastAsia="en-US"/>
        </w:rPr>
        <w:t>Subsequent to</w:t>
      </w:r>
      <w:proofErr w:type="gramEnd"/>
      <w:r w:rsidRPr="00FD06ED">
        <w:rPr>
          <w:rFonts w:eastAsia="Times New Roman"/>
          <w:bCs/>
          <w:sz w:val="18"/>
          <w:szCs w:val="18"/>
          <w:lang w:eastAsia="en-US"/>
        </w:rPr>
        <w:t xml:space="preserve"> initial measurement, the liability will be reduced for payments made and increased for interest. It is remeasured to reflect any reassessment or modification to the lease. When the lease liability is remeasured, the corresponding adjustment is reflected in the right-of-use asset or profit and loss depending on the nature of the reassessment or modification.</w:t>
      </w:r>
    </w:p>
    <w:p w14:paraId="7B63AA5D"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Refer to Notes 1.1B, 1.1D, 1.2B and 2.2A for other accounting policies for leases.</w:t>
      </w:r>
    </w:p>
    <w:p w14:paraId="398BB43C"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3F8E44C7" w14:textId="1D0E317D" w:rsidR="00FD06ED" w:rsidRPr="00FD06ED" w:rsidRDefault="00844F9B"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28" w:name="_Toc65742852"/>
      <w:bookmarkStart w:id="229" w:name="_Toc114477515"/>
      <w:bookmarkStart w:id="230" w:name="_Toc116414686"/>
      <w:bookmarkStart w:id="231" w:name="_Toc116472665"/>
      <w:bookmarkStart w:id="232" w:name="_Toc116473880"/>
      <w:r>
        <w:rPr>
          <w:rFonts w:eastAsia="Times New Roman"/>
          <w:b/>
          <w:color w:val="FFFFFF"/>
          <w:sz w:val="20"/>
          <w:szCs w:val="20"/>
          <w:lang w:eastAsia="en-US"/>
        </w:rPr>
        <w:t xml:space="preserve">2.6 </w:t>
      </w:r>
      <w:r w:rsidR="00FD06ED" w:rsidRPr="00FD06ED">
        <w:rPr>
          <w:rFonts w:eastAsia="Times New Roman"/>
          <w:b/>
          <w:color w:val="FFFFFF"/>
          <w:sz w:val="20"/>
          <w:szCs w:val="20"/>
          <w:lang w:eastAsia="en-US"/>
        </w:rPr>
        <w:t>Provisions</w:t>
      </w:r>
      <w:bookmarkEnd w:id="228"/>
      <w:bookmarkEnd w:id="229"/>
      <w:bookmarkEnd w:id="230"/>
      <w:bookmarkEnd w:id="231"/>
      <w:bookmarkEnd w:id="232"/>
    </w:p>
    <w:p w14:paraId="4FF15E1C" w14:textId="77777777" w:rsidR="00FD06ED" w:rsidRPr="00FD06ED" w:rsidRDefault="00FD06ED" w:rsidP="00FD06ED">
      <w:pPr>
        <w:spacing w:before="0" w:after="0"/>
        <w:ind w:left="0" w:right="607"/>
        <w:rPr>
          <w:rFonts w:eastAsia="Times New Roman" w:cs="Times New Roman"/>
          <w:b/>
          <w:sz w:val="18"/>
          <w:szCs w:val="18"/>
          <w:lang w:eastAsia="en-US"/>
        </w:rPr>
      </w:pPr>
      <w:r w:rsidRPr="00FD06ED">
        <w:rPr>
          <w:rFonts w:eastAsia="Times New Roman" w:cs="Times New Roman"/>
          <w:b/>
          <w:sz w:val="18"/>
          <w:szCs w:val="18"/>
          <w:lang w:eastAsia="en-US"/>
        </w:rPr>
        <w:t xml:space="preserve">Reconciliation of provisions </w:t>
      </w:r>
    </w:p>
    <w:tbl>
      <w:tblPr>
        <w:tblW w:w="9087" w:type="dxa"/>
        <w:tblLayout w:type="fixed"/>
        <w:tblCellMar>
          <w:left w:w="57" w:type="dxa"/>
          <w:right w:w="57" w:type="dxa"/>
        </w:tblCellMar>
        <w:tblLook w:val="04A0" w:firstRow="1" w:lastRow="0" w:firstColumn="1" w:lastColumn="0" w:noHBand="0" w:noVBand="1"/>
      </w:tblPr>
      <w:tblGrid>
        <w:gridCol w:w="3835"/>
        <w:gridCol w:w="1397"/>
        <w:gridCol w:w="1397"/>
        <w:gridCol w:w="1416"/>
        <w:gridCol w:w="1042"/>
      </w:tblGrid>
      <w:tr w:rsidR="00FD06ED" w:rsidRPr="00FD06ED" w14:paraId="2D99278B" w14:textId="77777777" w:rsidTr="005C33EF">
        <w:trPr>
          <w:trHeight w:val="652"/>
        </w:trPr>
        <w:tc>
          <w:tcPr>
            <w:tcW w:w="3835" w:type="dxa"/>
            <w:tcBorders>
              <w:top w:val="single" w:sz="4" w:space="0" w:color="auto"/>
              <w:left w:val="nil"/>
              <w:bottom w:val="nil"/>
              <w:right w:val="nil"/>
            </w:tcBorders>
            <w:shd w:val="clear" w:color="FFFFFF" w:fill="FFFFFF"/>
            <w:vAlign w:val="bottom"/>
            <w:hideMark/>
          </w:tcPr>
          <w:p w14:paraId="79B42D83" w14:textId="77777777" w:rsidR="00FD06ED" w:rsidRPr="00FD06ED" w:rsidRDefault="00FD06ED" w:rsidP="00FD06ED">
            <w:pPr>
              <w:spacing w:before="0" w:after="0" w:line="260" w:lineRule="atLeast"/>
              <w:ind w:left="0"/>
              <w:rPr>
                <w:rFonts w:eastAsia="Times New Roman"/>
                <w:sz w:val="18"/>
                <w:szCs w:val="18"/>
                <w:lang w:eastAsia="en-US"/>
              </w:rPr>
            </w:pPr>
            <w:bookmarkStart w:id="233" w:name="Note_ROPTABLE1" w:colFirst="0" w:colLast="0"/>
            <w:r w:rsidRPr="00FD06ED">
              <w:rPr>
                <w:rFonts w:eastAsia="Times New Roman"/>
                <w:sz w:val="18"/>
                <w:szCs w:val="18"/>
                <w:lang w:eastAsia="en-US"/>
              </w:rPr>
              <w:t> </w:t>
            </w:r>
          </w:p>
        </w:tc>
        <w:tc>
          <w:tcPr>
            <w:tcW w:w="1397" w:type="dxa"/>
            <w:tcBorders>
              <w:top w:val="single" w:sz="4" w:space="0" w:color="auto"/>
              <w:left w:val="nil"/>
              <w:bottom w:val="nil"/>
              <w:right w:val="nil"/>
            </w:tcBorders>
            <w:shd w:val="clear" w:color="FFFFFF" w:fill="FFFFFF"/>
            <w:vAlign w:val="bottom"/>
            <w:hideMark/>
          </w:tcPr>
          <w:p w14:paraId="1042F686"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Participant plan provision</w:t>
            </w:r>
          </w:p>
        </w:tc>
        <w:tc>
          <w:tcPr>
            <w:tcW w:w="1397" w:type="dxa"/>
            <w:tcBorders>
              <w:top w:val="single" w:sz="4" w:space="0" w:color="auto"/>
              <w:left w:val="nil"/>
              <w:bottom w:val="nil"/>
              <w:right w:val="nil"/>
            </w:tcBorders>
            <w:shd w:val="clear" w:color="FFFFFF" w:fill="FFFFFF"/>
            <w:vAlign w:val="bottom"/>
            <w:hideMark/>
          </w:tcPr>
          <w:p w14:paraId="73F836F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Provision for restoration obligations</w:t>
            </w:r>
          </w:p>
        </w:tc>
        <w:tc>
          <w:tcPr>
            <w:tcW w:w="1416" w:type="dxa"/>
            <w:tcBorders>
              <w:top w:val="single" w:sz="4" w:space="0" w:color="auto"/>
              <w:left w:val="nil"/>
              <w:bottom w:val="nil"/>
              <w:right w:val="nil"/>
            </w:tcBorders>
            <w:shd w:val="clear" w:color="FFFFFF" w:fill="FFFFFF"/>
            <w:vAlign w:val="bottom"/>
            <w:hideMark/>
          </w:tcPr>
          <w:p w14:paraId="1460813D"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xml:space="preserve">Provision for provider additional costs </w:t>
            </w:r>
          </w:p>
        </w:tc>
        <w:tc>
          <w:tcPr>
            <w:tcW w:w="1042" w:type="dxa"/>
            <w:tcBorders>
              <w:top w:val="single" w:sz="4" w:space="0" w:color="auto"/>
              <w:left w:val="nil"/>
              <w:bottom w:val="nil"/>
              <w:right w:val="nil"/>
            </w:tcBorders>
            <w:shd w:val="clear" w:color="FFFFFF" w:fill="FFFFFF"/>
            <w:vAlign w:val="bottom"/>
            <w:hideMark/>
          </w:tcPr>
          <w:p w14:paraId="554AB1F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Total</w:t>
            </w:r>
          </w:p>
        </w:tc>
      </w:tr>
      <w:bookmarkEnd w:id="233"/>
      <w:tr w:rsidR="00FD06ED" w:rsidRPr="00FD06ED" w14:paraId="33616470" w14:textId="77777777" w:rsidTr="005C33EF">
        <w:trPr>
          <w:trHeight w:val="242"/>
        </w:trPr>
        <w:tc>
          <w:tcPr>
            <w:tcW w:w="3835" w:type="dxa"/>
            <w:tcBorders>
              <w:top w:val="nil"/>
              <w:left w:val="nil"/>
              <w:bottom w:val="single" w:sz="4" w:space="0" w:color="auto"/>
              <w:right w:val="nil"/>
            </w:tcBorders>
            <w:shd w:val="clear" w:color="FFFFFF" w:fill="FFFFFF"/>
            <w:vAlign w:val="bottom"/>
            <w:hideMark/>
          </w:tcPr>
          <w:p w14:paraId="678ED3C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97" w:type="dxa"/>
            <w:tcBorders>
              <w:top w:val="nil"/>
              <w:left w:val="nil"/>
              <w:bottom w:val="single" w:sz="4" w:space="0" w:color="auto"/>
              <w:right w:val="nil"/>
            </w:tcBorders>
            <w:shd w:val="clear" w:color="FFFFFF" w:fill="FFFFFF"/>
            <w:vAlign w:val="bottom"/>
            <w:hideMark/>
          </w:tcPr>
          <w:p w14:paraId="6D5FD37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1397" w:type="dxa"/>
            <w:tcBorders>
              <w:top w:val="nil"/>
              <w:left w:val="nil"/>
              <w:bottom w:val="single" w:sz="4" w:space="0" w:color="auto"/>
              <w:right w:val="nil"/>
            </w:tcBorders>
            <w:shd w:val="clear" w:color="FFFFFF" w:fill="FFFFFF"/>
            <w:vAlign w:val="bottom"/>
            <w:hideMark/>
          </w:tcPr>
          <w:p w14:paraId="1041137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1416" w:type="dxa"/>
            <w:tcBorders>
              <w:top w:val="nil"/>
              <w:left w:val="nil"/>
              <w:bottom w:val="single" w:sz="4" w:space="0" w:color="auto"/>
              <w:right w:val="nil"/>
            </w:tcBorders>
            <w:shd w:val="clear" w:color="FFFFFF" w:fill="FFFFFF"/>
            <w:vAlign w:val="bottom"/>
            <w:hideMark/>
          </w:tcPr>
          <w:p w14:paraId="2B957B5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1042" w:type="dxa"/>
            <w:tcBorders>
              <w:top w:val="nil"/>
              <w:left w:val="nil"/>
              <w:bottom w:val="single" w:sz="4" w:space="0" w:color="auto"/>
              <w:right w:val="nil"/>
            </w:tcBorders>
            <w:shd w:val="clear" w:color="FFFFFF" w:fill="FFFFFF"/>
            <w:vAlign w:val="bottom"/>
            <w:hideMark/>
          </w:tcPr>
          <w:p w14:paraId="20A9F67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r>
      <w:tr w:rsidR="00FD06ED" w:rsidRPr="00FD06ED" w14:paraId="45C9231A" w14:textId="77777777" w:rsidTr="005C33EF">
        <w:trPr>
          <w:trHeight w:val="242"/>
        </w:trPr>
        <w:tc>
          <w:tcPr>
            <w:tcW w:w="3835" w:type="dxa"/>
            <w:tcBorders>
              <w:top w:val="nil"/>
              <w:left w:val="nil"/>
              <w:bottom w:val="nil"/>
              <w:right w:val="nil"/>
            </w:tcBorders>
            <w:shd w:val="clear" w:color="FFFFFF" w:fill="FFFFFF"/>
            <w:vAlign w:val="bottom"/>
            <w:hideMark/>
          </w:tcPr>
          <w:p w14:paraId="3A56E66B"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Carrying amount 1 July 2021</w:t>
            </w:r>
          </w:p>
        </w:tc>
        <w:tc>
          <w:tcPr>
            <w:tcW w:w="1397" w:type="dxa"/>
            <w:tcBorders>
              <w:top w:val="nil"/>
              <w:left w:val="nil"/>
              <w:bottom w:val="nil"/>
              <w:right w:val="nil"/>
            </w:tcBorders>
            <w:shd w:val="clear" w:color="FFFFFF" w:fill="FFFFFF"/>
            <w:noWrap/>
            <w:vAlign w:val="bottom"/>
            <w:hideMark/>
          </w:tcPr>
          <w:p w14:paraId="32D2668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1,658,922</w:t>
            </w:r>
          </w:p>
        </w:tc>
        <w:tc>
          <w:tcPr>
            <w:tcW w:w="1397" w:type="dxa"/>
            <w:tcBorders>
              <w:top w:val="nil"/>
              <w:left w:val="nil"/>
              <w:bottom w:val="nil"/>
              <w:right w:val="nil"/>
            </w:tcBorders>
            <w:shd w:val="clear" w:color="FFFFFF" w:fill="FFFFFF"/>
            <w:noWrap/>
            <w:vAlign w:val="bottom"/>
            <w:hideMark/>
          </w:tcPr>
          <w:p w14:paraId="4CB3D96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7,084</w:t>
            </w:r>
          </w:p>
        </w:tc>
        <w:tc>
          <w:tcPr>
            <w:tcW w:w="1416" w:type="dxa"/>
            <w:tcBorders>
              <w:top w:val="nil"/>
              <w:left w:val="nil"/>
              <w:bottom w:val="nil"/>
              <w:right w:val="nil"/>
            </w:tcBorders>
            <w:shd w:val="clear" w:color="FFFFFF" w:fill="FFFFFF"/>
            <w:noWrap/>
            <w:vAlign w:val="bottom"/>
            <w:hideMark/>
          </w:tcPr>
          <w:p w14:paraId="2AA728A5"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042" w:type="dxa"/>
            <w:tcBorders>
              <w:top w:val="nil"/>
              <w:left w:val="nil"/>
              <w:bottom w:val="nil"/>
              <w:right w:val="nil"/>
            </w:tcBorders>
            <w:shd w:val="clear" w:color="FFFFFF" w:fill="FFFFFF"/>
            <w:noWrap/>
            <w:vAlign w:val="bottom"/>
            <w:hideMark/>
          </w:tcPr>
          <w:p w14:paraId="69CF039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1,666,006</w:t>
            </w:r>
          </w:p>
        </w:tc>
      </w:tr>
      <w:tr w:rsidR="00FD06ED" w:rsidRPr="00FD06ED" w14:paraId="28B8FEA7" w14:textId="77777777" w:rsidTr="005C33EF">
        <w:trPr>
          <w:trHeight w:val="242"/>
        </w:trPr>
        <w:tc>
          <w:tcPr>
            <w:tcW w:w="3835" w:type="dxa"/>
            <w:tcBorders>
              <w:top w:val="nil"/>
              <w:left w:val="nil"/>
              <w:bottom w:val="nil"/>
              <w:right w:val="nil"/>
            </w:tcBorders>
            <w:shd w:val="clear" w:color="FFFFFF" w:fill="FFFFFF"/>
            <w:vAlign w:val="bottom"/>
            <w:hideMark/>
          </w:tcPr>
          <w:p w14:paraId="50546A3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Additional provisions made</w:t>
            </w:r>
          </w:p>
        </w:tc>
        <w:tc>
          <w:tcPr>
            <w:tcW w:w="1397" w:type="dxa"/>
            <w:tcBorders>
              <w:top w:val="nil"/>
              <w:left w:val="nil"/>
              <w:bottom w:val="nil"/>
              <w:right w:val="nil"/>
            </w:tcBorders>
            <w:shd w:val="clear" w:color="FFFFFF" w:fill="FFFFFF"/>
            <w:noWrap/>
            <w:vAlign w:val="bottom"/>
            <w:hideMark/>
          </w:tcPr>
          <w:p w14:paraId="517BD50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1,992,994</w:t>
            </w:r>
          </w:p>
        </w:tc>
        <w:tc>
          <w:tcPr>
            <w:tcW w:w="1397" w:type="dxa"/>
            <w:tcBorders>
              <w:top w:val="nil"/>
              <w:left w:val="nil"/>
              <w:bottom w:val="nil"/>
              <w:right w:val="nil"/>
            </w:tcBorders>
            <w:shd w:val="clear" w:color="FFFFFF" w:fill="FFFFFF"/>
            <w:noWrap/>
            <w:vAlign w:val="bottom"/>
            <w:hideMark/>
          </w:tcPr>
          <w:p w14:paraId="16A7B8C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675</w:t>
            </w:r>
          </w:p>
        </w:tc>
        <w:tc>
          <w:tcPr>
            <w:tcW w:w="1416" w:type="dxa"/>
            <w:tcBorders>
              <w:top w:val="nil"/>
              <w:left w:val="nil"/>
              <w:bottom w:val="nil"/>
              <w:right w:val="nil"/>
            </w:tcBorders>
            <w:shd w:val="clear" w:color="FFFFFF" w:fill="FFFFFF"/>
            <w:noWrap/>
            <w:vAlign w:val="bottom"/>
            <w:hideMark/>
          </w:tcPr>
          <w:p w14:paraId="3B69226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475,644</w:t>
            </w:r>
          </w:p>
        </w:tc>
        <w:tc>
          <w:tcPr>
            <w:tcW w:w="1042" w:type="dxa"/>
            <w:tcBorders>
              <w:top w:val="nil"/>
              <w:left w:val="nil"/>
              <w:bottom w:val="nil"/>
              <w:right w:val="nil"/>
            </w:tcBorders>
            <w:shd w:val="clear" w:color="FFFFFF" w:fill="FFFFFF"/>
            <w:noWrap/>
            <w:vAlign w:val="bottom"/>
            <w:hideMark/>
          </w:tcPr>
          <w:p w14:paraId="4B58CCE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2,469,313</w:t>
            </w:r>
          </w:p>
        </w:tc>
      </w:tr>
      <w:tr w:rsidR="00FD06ED" w:rsidRPr="00FD06ED" w14:paraId="067C62D3" w14:textId="77777777" w:rsidTr="005C33EF">
        <w:trPr>
          <w:trHeight w:val="242"/>
        </w:trPr>
        <w:tc>
          <w:tcPr>
            <w:tcW w:w="3835" w:type="dxa"/>
            <w:tcBorders>
              <w:top w:val="nil"/>
              <w:left w:val="nil"/>
              <w:bottom w:val="nil"/>
              <w:right w:val="nil"/>
            </w:tcBorders>
            <w:shd w:val="clear" w:color="FFFFFF" w:fill="FFFFFF"/>
            <w:vAlign w:val="bottom"/>
            <w:hideMark/>
          </w:tcPr>
          <w:p w14:paraId="5C0E0C8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Amounts reversed</w:t>
            </w:r>
          </w:p>
        </w:tc>
        <w:tc>
          <w:tcPr>
            <w:tcW w:w="1397" w:type="dxa"/>
            <w:tcBorders>
              <w:top w:val="nil"/>
              <w:left w:val="nil"/>
              <w:bottom w:val="nil"/>
              <w:right w:val="nil"/>
            </w:tcBorders>
            <w:shd w:val="clear" w:color="FFFFFF" w:fill="FFFFFF"/>
            <w:noWrap/>
            <w:vAlign w:val="bottom"/>
            <w:hideMark/>
          </w:tcPr>
          <w:p w14:paraId="2202A7C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(308,875)</w:t>
            </w:r>
          </w:p>
        </w:tc>
        <w:tc>
          <w:tcPr>
            <w:tcW w:w="1397" w:type="dxa"/>
            <w:tcBorders>
              <w:top w:val="nil"/>
              <w:left w:val="nil"/>
              <w:bottom w:val="nil"/>
              <w:right w:val="nil"/>
            </w:tcBorders>
            <w:shd w:val="clear" w:color="FFFFFF" w:fill="FFFFFF"/>
            <w:noWrap/>
            <w:vAlign w:val="bottom"/>
            <w:hideMark/>
          </w:tcPr>
          <w:p w14:paraId="5AEB3AE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(660)</w:t>
            </w:r>
          </w:p>
        </w:tc>
        <w:tc>
          <w:tcPr>
            <w:tcW w:w="1416" w:type="dxa"/>
            <w:tcBorders>
              <w:top w:val="nil"/>
              <w:left w:val="nil"/>
              <w:bottom w:val="nil"/>
              <w:right w:val="nil"/>
            </w:tcBorders>
            <w:shd w:val="clear" w:color="FFFFFF" w:fill="FFFFFF"/>
            <w:noWrap/>
            <w:vAlign w:val="bottom"/>
            <w:hideMark/>
          </w:tcPr>
          <w:p w14:paraId="0D3ED5C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042" w:type="dxa"/>
            <w:tcBorders>
              <w:top w:val="nil"/>
              <w:left w:val="nil"/>
              <w:bottom w:val="nil"/>
              <w:right w:val="nil"/>
            </w:tcBorders>
            <w:shd w:val="clear" w:color="FFFFFF" w:fill="FFFFFF"/>
            <w:noWrap/>
            <w:vAlign w:val="bottom"/>
            <w:hideMark/>
          </w:tcPr>
          <w:p w14:paraId="3E9C1FCA"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(309,535)</w:t>
            </w:r>
          </w:p>
        </w:tc>
      </w:tr>
      <w:tr w:rsidR="00FD06ED" w:rsidRPr="00FD06ED" w14:paraId="2D564140" w14:textId="77777777" w:rsidTr="005C33EF">
        <w:trPr>
          <w:trHeight w:val="242"/>
        </w:trPr>
        <w:tc>
          <w:tcPr>
            <w:tcW w:w="3835" w:type="dxa"/>
            <w:tcBorders>
              <w:top w:val="nil"/>
              <w:left w:val="nil"/>
              <w:bottom w:val="nil"/>
              <w:right w:val="nil"/>
            </w:tcBorders>
            <w:shd w:val="clear" w:color="FFFFFF" w:fill="FFFFFF"/>
            <w:vAlign w:val="bottom"/>
            <w:hideMark/>
          </w:tcPr>
          <w:p w14:paraId="6CE7F55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Amounts used</w:t>
            </w:r>
          </w:p>
        </w:tc>
        <w:tc>
          <w:tcPr>
            <w:tcW w:w="1397" w:type="dxa"/>
            <w:tcBorders>
              <w:top w:val="nil"/>
              <w:left w:val="nil"/>
              <w:bottom w:val="nil"/>
              <w:right w:val="nil"/>
            </w:tcBorders>
            <w:shd w:val="clear" w:color="FFFFFF" w:fill="FFFFFF"/>
            <w:noWrap/>
            <w:vAlign w:val="bottom"/>
            <w:hideMark/>
          </w:tcPr>
          <w:p w14:paraId="19BC0FC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(1,379,329)</w:t>
            </w:r>
          </w:p>
        </w:tc>
        <w:tc>
          <w:tcPr>
            <w:tcW w:w="1397" w:type="dxa"/>
            <w:tcBorders>
              <w:top w:val="nil"/>
              <w:left w:val="nil"/>
              <w:bottom w:val="nil"/>
              <w:right w:val="nil"/>
            </w:tcBorders>
            <w:shd w:val="clear" w:color="FFFFFF" w:fill="FFFFFF"/>
            <w:noWrap/>
            <w:vAlign w:val="bottom"/>
            <w:hideMark/>
          </w:tcPr>
          <w:p w14:paraId="5EB5306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416" w:type="dxa"/>
            <w:tcBorders>
              <w:top w:val="nil"/>
              <w:left w:val="nil"/>
              <w:bottom w:val="nil"/>
              <w:right w:val="nil"/>
            </w:tcBorders>
            <w:shd w:val="clear" w:color="FFFFFF" w:fill="FFFFFF"/>
            <w:noWrap/>
            <w:vAlign w:val="bottom"/>
            <w:hideMark/>
          </w:tcPr>
          <w:p w14:paraId="680F090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042" w:type="dxa"/>
            <w:tcBorders>
              <w:top w:val="nil"/>
              <w:left w:val="nil"/>
              <w:bottom w:val="nil"/>
              <w:right w:val="nil"/>
            </w:tcBorders>
            <w:shd w:val="clear" w:color="FFFFFF" w:fill="FFFFFF"/>
            <w:noWrap/>
            <w:vAlign w:val="bottom"/>
            <w:hideMark/>
          </w:tcPr>
          <w:p w14:paraId="23DB40E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(1,379,329)</w:t>
            </w:r>
          </w:p>
        </w:tc>
      </w:tr>
      <w:tr w:rsidR="00FD06ED" w:rsidRPr="00FD06ED" w14:paraId="0C06F5A0" w14:textId="77777777" w:rsidTr="005C33EF">
        <w:trPr>
          <w:trHeight w:val="256"/>
        </w:trPr>
        <w:tc>
          <w:tcPr>
            <w:tcW w:w="3835" w:type="dxa"/>
            <w:tcBorders>
              <w:top w:val="nil"/>
              <w:left w:val="nil"/>
              <w:bottom w:val="nil"/>
              <w:right w:val="nil"/>
            </w:tcBorders>
            <w:shd w:val="clear" w:color="FFFFFF" w:fill="FFFFFF"/>
            <w:hideMark/>
          </w:tcPr>
          <w:p w14:paraId="611211D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Unwinding of discount or change in discount rate</w:t>
            </w:r>
          </w:p>
        </w:tc>
        <w:tc>
          <w:tcPr>
            <w:tcW w:w="1397" w:type="dxa"/>
            <w:tcBorders>
              <w:top w:val="nil"/>
              <w:left w:val="nil"/>
              <w:bottom w:val="nil"/>
              <w:right w:val="nil"/>
            </w:tcBorders>
            <w:shd w:val="clear" w:color="FFFFFF" w:fill="FFFFFF"/>
            <w:noWrap/>
            <w:hideMark/>
          </w:tcPr>
          <w:p w14:paraId="0D43139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397" w:type="dxa"/>
            <w:tcBorders>
              <w:top w:val="nil"/>
              <w:left w:val="nil"/>
              <w:bottom w:val="nil"/>
              <w:right w:val="nil"/>
            </w:tcBorders>
            <w:shd w:val="clear" w:color="FFFFFF" w:fill="FFFFFF"/>
            <w:noWrap/>
            <w:hideMark/>
          </w:tcPr>
          <w:p w14:paraId="6152467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w:t>
            </w:r>
          </w:p>
        </w:tc>
        <w:tc>
          <w:tcPr>
            <w:tcW w:w="1416" w:type="dxa"/>
            <w:tcBorders>
              <w:top w:val="nil"/>
              <w:left w:val="nil"/>
              <w:bottom w:val="nil"/>
              <w:right w:val="nil"/>
            </w:tcBorders>
            <w:shd w:val="clear" w:color="FFFFFF" w:fill="FFFFFF"/>
            <w:noWrap/>
            <w:hideMark/>
          </w:tcPr>
          <w:p w14:paraId="2C66243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p>
        </w:tc>
        <w:tc>
          <w:tcPr>
            <w:tcW w:w="1042" w:type="dxa"/>
            <w:tcBorders>
              <w:top w:val="nil"/>
              <w:left w:val="nil"/>
              <w:bottom w:val="nil"/>
              <w:right w:val="nil"/>
            </w:tcBorders>
            <w:shd w:val="clear" w:color="FFFFFF" w:fill="FFFFFF"/>
            <w:noWrap/>
            <w:hideMark/>
          </w:tcPr>
          <w:p w14:paraId="658720E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w:t>
            </w:r>
          </w:p>
        </w:tc>
      </w:tr>
      <w:tr w:rsidR="00FD06ED" w:rsidRPr="00FD06ED" w14:paraId="14F67FFA" w14:textId="77777777" w:rsidTr="005C33EF">
        <w:trPr>
          <w:trHeight w:val="256"/>
        </w:trPr>
        <w:tc>
          <w:tcPr>
            <w:tcW w:w="3835" w:type="dxa"/>
            <w:tcBorders>
              <w:top w:val="single" w:sz="4" w:space="0" w:color="auto"/>
              <w:left w:val="nil"/>
              <w:bottom w:val="single" w:sz="4" w:space="0" w:color="auto"/>
              <w:right w:val="nil"/>
            </w:tcBorders>
            <w:shd w:val="clear" w:color="FFFFFF" w:fill="FFFFFF"/>
            <w:vAlign w:val="bottom"/>
            <w:hideMark/>
          </w:tcPr>
          <w:p w14:paraId="0209A03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Closing balance 30 June 2022</w:t>
            </w:r>
          </w:p>
        </w:tc>
        <w:tc>
          <w:tcPr>
            <w:tcW w:w="1397" w:type="dxa"/>
            <w:tcBorders>
              <w:top w:val="single" w:sz="4" w:space="0" w:color="auto"/>
              <w:left w:val="nil"/>
              <w:bottom w:val="single" w:sz="4" w:space="0" w:color="auto"/>
              <w:right w:val="nil"/>
            </w:tcBorders>
            <w:shd w:val="clear" w:color="FFFFFF" w:fill="FFFFFF"/>
            <w:noWrap/>
            <w:vAlign w:val="bottom"/>
            <w:hideMark/>
          </w:tcPr>
          <w:p w14:paraId="46543473"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1,963,712</w:t>
            </w:r>
          </w:p>
        </w:tc>
        <w:tc>
          <w:tcPr>
            <w:tcW w:w="1397" w:type="dxa"/>
            <w:tcBorders>
              <w:top w:val="single" w:sz="4" w:space="0" w:color="auto"/>
              <w:left w:val="nil"/>
              <w:bottom w:val="single" w:sz="4" w:space="0" w:color="auto"/>
              <w:right w:val="nil"/>
            </w:tcBorders>
            <w:shd w:val="clear" w:color="FFFFFF" w:fill="FFFFFF"/>
            <w:noWrap/>
            <w:vAlign w:val="bottom"/>
            <w:hideMark/>
          </w:tcPr>
          <w:p w14:paraId="276CEAC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7,301</w:t>
            </w:r>
          </w:p>
        </w:tc>
        <w:tc>
          <w:tcPr>
            <w:tcW w:w="1416" w:type="dxa"/>
            <w:tcBorders>
              <w:top w:val="single" w:sz="4" w:space="0" w:color="auto"/>
              <w:left w:val="nil"/>
              <w:bottom w:val="single" w:sz="4" w:space="0" w:color="auto"/>
              <w:right w:val="nil"/>
            </w:tcBorders>
            <w:shd w:val="clear" w:color="FFFFFF" w:fill="FFFFFF"/>
            <w:noWrap/>
            <w:vAlign w:val="bottom"/>
            <w:hideMark/>
          </w:tcPr>
          <w:p w14:paraId="1877E4A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475,644</w:t>
            </w:r>
          </w:p>
        </w:tc>
        <w:tc>
          <w:tcPr>
            <w:tcW w:w="1042" w:type="dxa"/>
            <w:tcBorders>
              <w:top w:val="single" w:sz="4" w:space="0" w:color="auto"/>
              <w:left w:val="nil"/>
              <w:bottom w:val="single" w:sz="4" w:space="0" w:color="auto"/>
              <w:right w:val="nil"/>
            </w:tcBorders>
            <w:shd w:val="clear" w:color="FFFFFF" w:fill="FFFFFF"/>
            <w:noWrap/>
            <w:vAlign w:val="bottom"/>
            <w:hideMark/>
          </w:tcPr>
          <w:p w14:paraId="4A8CC1E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2,446,657</w:t>
            </w:r>
          </w:p>
        </w:tc>
      </w:tr>
    </w:tbl>
    <w:p w14:paraId="4F9845E1" w14:textId="77777777" w:rsidR="00FD06ED" w:rsidRPr="00FD06ED" w:rsidRDefault="00FD06ED" w:rsidP="00FD06ED">
      <w:pPr>
        <w:spacing w:before="0" w:after="0"/>
        <w:ind w:left="0"/>
        <w:rPr>
          <w:rFonts w:ascii="Times New Roman" w:eastAsia="Times New Roman" w:hAnsi="Times New Roman" w:cs="Times New Roman"/>
          <w:sz w:val="16"/>
          <w:szCs w:val="16"/>
          <w:lang w:eastAsia="en-US"/>
        </w:rPr>
      </w:pPr>
    </w:p>
    <w:p w14:paraId="1FBD9B1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Agency makes a provision for the reasonable and necessary supports provided to participants during the period but not yet notified to the Agency. The provision represents the best estimate of the amount based on available evidence in relation to rates of expenditure by participants and is informed by actuarial analysis.</w:t>
      </w:r>
    </w:p>
    <w:p w14:paraId="47F3665F" w14:textId="77777777" w:rsidR="00FD06ED" w:rsidRPr="00FD06ED" w:rsidRDefault="00FD06ED" w:rsidP="00FD06ED">
      <w:pPr>
        <w:spacing w:before="0" w:after="0"/>
        <w:ind w:left="0"/>
        <w:rPr>
          <w:rFonts w:ascii="Times New Roman" w:eastAsia="Times New Roman" w:hAnsi="Times New Roman" w:cs="Times New Roman"/>
          <w:sz w:val="16"/>
          <w:szCs w:val="16"/>
          <w:lang w:eastAsia="en-US"/>
        </w:rPr>
      </w:pPr>
    </w:p>
    <w:p w14:paraId="5FAB1A02" w14:textId="77777777" w:rsidR="00FD06ED" w:rsidRPr="00FD06ED" w:rsidRDefault="00FD06ED" w:rsidP="00FD06ED">
      <w:pPr>
        <w:spacing w:before="0" w:after="0"/>
        <w:ind w:left="0"/>
        <w:rPr>
          <w:rFonts w:ascii="Times New Roman" w:eastAsia="Times New Roman" w:hAnsi="Times New Roman" w:cs="Times New Roman"/>
          <w:sz w:val="16"/>
          <w:szCs w:val="16"/>
          <w:lang w:eastAsia="en-US"/>
        </w:rPr>
      </w:pPr>
      <w:r w:rsidRPr="00FD06ED">
        <w:rPr>
          <w:rFonts w:eastAsia="Times New Roman"/>
          <w:sz w:val="18"/>
          <w:szCs w:val="18"/>
          <w:lang w:eastAsia="en-US"/>
        </w:rPr>
        <w:t>No liability is recorded for any participant supports to be provided in future reporting periods as the relevant recognition criteria are not met.</w:t>
      </w:r>
    </w:p>
    <w:p w14:paraId="4211B437" w14:textId="77777777" w:rsidR="00FD06ED" w:rsidRPr="00FD06ED" w:rsidRDefault="00FD06ED" w:rsidP="00FD06ED">
      <w:pPr>
        <w:spacing w:before="0" w:after="0"/>
        <w:ind w:left="0"/>
        <w:rPr>
          <w:rFonts w:ascii="Times New Roman" w:eastAsia="Times New Roman" w:hAnsi="Times New Roman" w:cs="Times New Roman"/>
          <w:sz w:val="16"/>
          <w:szCs w:val="16"/>
          <w:lang w:eastAsia="en-US"/>
        </w:rPr>
      </w:pPr>
    </w:p>
    <w:p w14:paraId="3C3B74A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Agency has 44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r w:rsidRPr="00FD06ED">
        <w:rPr>
          <w:rFonts w:eastAsia="Times New Roman"/>
          <w:sz w:val="18"/>
          <w:szCs w:val="18"/>
          <w:lang w:eastAsia="en-US"/>
        </w:rPr>
        <w:t>: 50) agreements for the leasing of premises, which have provisions requiring the entity to restore the premises to their original condition at the conclusion of the lease. The Agency has made a provision to reflect the present value of this obligation.</w:t>
      </w:r>
    </w:p>
    <w:p w14:paraId="4FF60560" w14:textId="77777777" w:rsidR="00FD06ED" w:rsidRPr="00FD06ED" w:rsidRDefault="00FD06ED" w:rsidP="00FD06ED">
      <w:pPr>
        <w:spacing w:before="0" w:after="0" w:line="260" w:lineRule="atLeast"/>
        <w:ind w:left="0"/>
        <w:rPr>
          <w:rFonts w:eastAsia="Times New Roman"/>
          <w:sz w:val="18"/>
          <w:szCs w:val="18"/>
          <w:lang w:eastAsia="en-US"/>
        </w:rPr>
      </w:pPr>
    </w:p>
    <w:p w14:paraId="2C39194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2022 Annual Price Review identified evidence that providers have incurred costs over 2021–22 due to the impacts of COVID-19 and strengthened quality and safeguarding requirements not fully accounted for in the 2021–22 Price Guide and Support Catalogue. In June 2022, the Board approved one-off lump sum payments to registered providers to reimburse these costs for specific support categories.  The Agency has raised a provision to recognise this obligation.</w:t>
      </w:r>
    </w:p>
    <w:p w14:paraId="258AA33D" w14:textId="77777777" w:rsidR="00FD06ED" w:rsidRPr="00FD06ED" w:rsidRDefault="00FD06ED" w:rsidP="00FD06ED">
      <w:pPr>
        <w:spacing w:before="0" w:after="0"/>
        <w:ind w:left="0"/>
        <w:rPr>
          <w:rFonts w:eastAsia="Times New Roman"/>
          <w:sz w:val="18"/>
          <w:szCs w:val="18"/>
          <w:lang w:eastAsia="en-US"/>
        </w:rPr>
      </w:pPr>
      <w:r w:rsidRPr="00FD06ED">
        <w:rPr>
          <w:rFonts w:eastAsia="Times New Roman"/>
          <w:sz w:val="18"/>
          <w:szCs w:val="18"/>
          <w:lang w:eastAsia="en-US"/>
        </w:rPr>
        <w:br w:type="page"/>
      </w:r>
    </w:p>
    <w:p w14:paraId="52A51FB8"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
          <w:sz w:val="18"/>
          <w:szCs w:val="18"/>
          <w:lang w:eastAsia="en-US"/>
        </w:rPr>
      </w:pPr>
      <w:bookmarkStart w:id="234" w:name="_Toc443469538"/>
      <w:bookmarkStart w:id="235" w:name="_Toc444065792"/>
      <w:bookmarkStart w:id="236" w:name="_Toc444079989"/>
      <w:bookmarkStart w:id="237" w:name="_Toc447030543"/>
      <w:bookmarkStart w:id="238" w:name="_Toc447030695"/>
      <w:bookmarkStart w:id="239" w:name="_Toc447030788"/>
      <w:bookmarkStart w:id="240" w:name="OLE_LINK9"/>
      <w:r w:rsidRPr="00FD06ED">
        <w:rPr>
          <w:rFonts w:eastAsia="Times New Roman"/>
          <w:b/>
          <w:sz w:val="18"/>
          <w:szCs w:val="18"/>
          <w:lang w:eastAsia="en-US"/>
        </w:rPr>
        <w:lastRenderedPageBreak/>
        <w:t>Key judgements and estimates</w:t>
      </w:r>
    </w:p>
    <w:p w14:paraId="23BEB767"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Agency recognises a liability for the costs of reasonable and necessary supports at the time that services are provided to participants in the Scheme. Due to the payment and claiming process the Agency may not be aware of all services rendered at the time of closing the financial statements. The Agency makes an estimate of the outstanding liability by reviewing historical payments experience and analysing the expected utilisation of committed supports. The expected utilisation rates are a significant factor in the estimation of the outstanding liability. Using Participant Plan levels as at the 30 June 2022 for each 0.5% increase or decrease in the utilisation rate the estimated liability increases or decreases by $180.1m.</w:t>
      </w:r>
    </w:p>
    <w:p w14:paraId="668EB0EC"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When estimating the provision for the services rendered but not yet claimed, the Agency assumes future payments experience is relatively consistent with historical experience, allowing for a margin of error, known as the risk margin, which seeks to allow for volatility in payment patterns </w:t>
      </w:r>
      <w:proofErr w:type="gramStart"/>
      <w:r w:rsidRPr="00FD06ED">
        <w:rPr>
          <w:rFonts w:eastAsia="Times New Roman"/>
          <w:bCs/>
          <w:sz w:val="18"/>
          <w:szCs w:val="18"/>
          <w:lang w:eastAsia="en-US"/>
        </w:rPr>
        <w:t>in order to</w:t>
      </w:r>
      <w:proofErr w:type="gramEnd"/>
      <w:r w:rsidRPr="00FD06ED">
        <w:rPr>
          <w:rFonts w:eastAsia="Times New Roman"/>
          <w:bCs/>
          <w:sz w:val="18"/>
          <w:szCs w:val="18"/>
          <w:lang w:eastAsia="en-US"/>
        </w:rPr>
        <w:t xml:space="preserve"> maintain a 75% probability of sufficiency of the provision.</w:t>
      </w:r>
    </w:p>
    <w:p w14:paraId="0B264B05"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A risk margin of 7.5%, reflecting that historic variability in payments experience may not reflect future variability, is incorporated into the provision. For each 0.5 percentage point increase or decrease in the risk margin, the estimated liability would increase/decrease by $9.8m.</w:t>
      </w:r>
    </w:p>
    <w:p w14:paraId="5718A6E7"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As </w:t>
      </w:r>
      <w:proofErr w:type="gramStart"/>
      <w:r w:rsidRPr="00FD06ED">
        <w:rPr>
          <w:rFonts w:eastAsia="Times New Roman"/>
          <w:bCs/>
          <w:sz w:val="18"/>
          <w:szCs w:val="18"/>
          <w:lang w:eastAsia="en-US"/>
        </w:rPr>
        <w:t>at</w:t>
      </w:r>
      <w:proofErr w:type="gramEnd"/>
      <w:r w:rsidRPr="00FD06ED">
        <w:rPr>
          <w:rFonts w:eastAsia="Times New Roman"/>
          <w:bCs/>
          <w:sz w:val="18"/>
          <w:szCs w:val="18"/>
          <w:lang w:eastAsia="en-US"/>
        </w:rPr>
        <w:t xml:space="preserve"> 30 June </w:t>
      </w:r>
      <w:r w:rsidRPr="00FD06ED">
        <w:rPr>
          <w:rFonts w:eastAsia="Times New Roman"/>
          <w:bCs/>
          <w:sz w:val="18"/>
          <w:szCs w:val="18"/>
          <w:lang w:eastAsia="en-US"/>
        </w:rPr>
        <w:fldChar w:fldCharType="begin"/>
      </w:r>
      <w:r w:rsidRPr="00FD06ED">
        <w:rPr>
          <w:rFonts w:eastAsia="Times New Roman"/>
          <w:bCs/>
          <w:sz w:val="18"/>
          <w:szCs w:val="18"/>
          <w:lang w:eastAsia="en-US"/>
        </w:rPr>
        <w:instrText xml:space="preserve"> DOCPROPERTY  crYear  \* MERGEFORMAT </w:instrText>
      </w:r>
      <w:r w:rsidRPr="00FD06ED">
        <w:rPr>
          <w:rFonts w:eastAsia="Times New Roman"/>
          <w:bCs/>
          <w:sz w:val="18"/>
          <w:szCs w:val="18"/>
          <w:lang w:eastAsia="en-US"/>
        </w:rPr>
        <w:fldChar w:fldCharType="separate"/>
      </w:r>
      <w:r w:rsidRPr="00FD06ED">
        <w:rPr>
          <w:rFonts w:eastAsia="Times New Roman"/>
          <w:bCs/>
          <w:sz w:val="18"/>
          <w:szCs w:val="18"/>
          <w:lang w:eastAsia="en-US"/>
        </w:rPr>
        <w:t>2022</w:t>
      </w:r>
      <w:r w:rsidRPr="00FD06ED">
        <w:rPr>
          <w:rFonts w:eastAsia="Times New Roman"/>
          <w:bCs/>
          <w:sz w:val="18"/>
          <w:szCs w:val="18"/>
          <w:lang w:eastAsia="en-US"/>
        </w:rPr>
        <w:fldChar w:fldCharType="end"/>
      </w:r>
      <w:r w:rsidRPr="00FD06ED">
        <w:rPr>
          <w:rFonts w:eastAsia="Times New Roman"/>
          <w:bCs/>
          <w:sz w:val="18"/>
          <w:szCs w:val="18"/>
          <w:lang w:eastAsia="en-US"/>
        </w:rPr>
        <w:t>, the expected utilisation of committed support provision raised by financial years is as follows:</w:t>
      </w:r>
    </w:p>
    <w:p w14:paraId="67C7CC93"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2016-17: 67.42% (2021: 67.42%)</w:t>
      </w:r>
    </w:p>
    <w:p w14:paraId="77000960"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2017-18: 70.00% (2021: 69.93%)</w:t>
      </w:r>
    </w:p>
    <w:p w14:paraId="5774B03E"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2018-19: 71.19% (2021: 71.18%)</w:t>
      </w:r>
    </w:p>
    <w:p w14:paraId="329A2AD8"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2019-20: 70.90% (2021: 70.39%)</w:t>
      </w:r>
    </w:p>
    <w:p w14:paraId="5F6A5EA8"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2020-21: 72.57% (2021: 74.21%)</w:t>
      </w:r>
    </w:p>
    <w:p w14:paraId="0EBE4A18" w14:textId="1B637510"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r w:rsidRPr="00FD06ED">
        <w:rPr>
          <w:rFonts w:eastAsia="Times New Roman"/>
          <w:bCs/>
          <w:sz w:val="18"/>
          <w:szCs w:val="18"/>
          <w:lang w:eastAsia="en-US"/>
        </w:rPr>
        <w:t xml:space="preserve">  </w:t>
      </w:r>
      <w:r w:rsidR="00577731">
        <w:rPr>
          <w:rFonts w:eastAsia="Times New Roman"/>
          <w:bCs/>
          <w:sz w:val="18"/>
          <w:szCs w:val="18"/>
          <w:lang w:eastAsia="en-US"/>
        </w:rPr>
        <w:t>2021–</w:t>
      </w:r>
      <w:proofErr w:type="gramStart"/>
      <w:r w:rsidR="00577731">
        <w:rPr>
          <w:rFonts w:eastAsia="Times New Roman"/>
          <w:bCs/>
          <w:sz w:val="18"/>
          <w:szCs w:val="18"/>
          <w:lang w:eastAsia="en-US"/>
        </w:rPr>
        <w:t xml:space="preserve">22 </w:t>
      </w:r>
      <w:r w:rsidRPr="00FD06ED">
        <w:rPr>
          <w:rFonts w:eastAsia="Times New Roman"/>
          <w:bCs/>
          <w:sz w:val="18"/>
          <w:szCs w:val="18"/>
          <w:lang w:eastAsia="en-US"/>
        </w:rPr>
        <w:t>:</w:t>
      </w:r>
      <w:proofErr w:type="gramEnd"/>
      <w:r w:rsidRPr="00FD06ED">
        <w:rPr>
          <w:rFonts w:eastAsia="Times New Roman"/>
          <w:bCs/>
          <w:sz w:val="18"/>
          <w:szCs w:val="18"/>
          <w:lang w:eastAsia="en-US"/>
        </w:rPr>
        <w:t xml:space="preserve"> 73.06%</w:t>
      </w:r>
    </w:p>
    <w:p w14:paraId="352D463F"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after="0" w:line="120" w:lineRule="atLeast"/>
        <w:ind w:left="0"/>
        <w:rPr>
          <w:rFonts w:eastAsia="Times New Roman"/>
          <w:bCs/>
          <w:sz w:val="18"/>
          <w:szCs w:val="18"/>
          <w:lang w:eastAsia="en-US"/>
        </w:rPr>
      </w:pPr>
    </w:p>
    <w:p w14:paraId="24ECBC53"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above utilisation rates are re-assessed annually by the Scheme Actuary to </w:t>
      </w:r>
      <w:proofErr w:type="gramStart"/>
      <w:r w:rsidRPr="00FD06ED">
        <w:rPr>
          <w:rFonts w:eastAsia="Times New Roman"/>
          <w:bCs/>
          <w:sz w:val="18"/>
          <w:szCs w:val="18"/>
          <w:lang w:eastAsia="en-US"/>
        </w:rPr>
        <w:t>take into account</w:t>
      </w:r>
      <w:proofErr w:type="gramEnd"/>
      <w:r w:rsidRPr="00FD06ED">
        <w:rPr>
          <w:rFonts w:eastAsia="Times New Roman"/>
          <w:bCs/>
          <w:sz w:val="18"/>
          <w:szCs w:val="18"/>
          <w:lang w:eastAsia="en-US"/>
        </w:rPr>
        <w:t xml:space="preserve"> actual claims made on prior period participant plans.</w:t>
      </w:r>
    </w:p>
    <w:p w14:paraId="29018309"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provision for provider additional costs was estimated based on the following factors:</w:t>
      </w:r>
    </w:p>
    <w:p w14:paraId="3A0CC3AA" w14:textId="518EAEF8"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 historical claims by the relevant providers in the financial year </w:t>
      </w:r>
      <w:r w:rsidR="00577731">
        <w:rPr>
          <w:rFonts w:eastAsia="Times New Roman"/>
          <w:bCs/>
          <w:sz w:val="18"/>
          <w:szCs w:val="18"/>
          <w:lang w:eastAsia="en-US"/>
        </w:rPr>
        <w:t>2021–</w:t>
      </w:r>
      <w:proofErr w:type="gramStart"/>
      <w:r w:rsidR="00577731">
        <w:rPr>
          <w:rFonts w:eastAsia="Times New Roman"/>
          <w:bCs/>
          <w:sz w:val="18"/>
          <w:szCs w:val="18"/>
          <w:lang w:eastAsia="en-US"/>
        </w:rPr>
        <w:t xml:space="preserve">22 </w:t>
      </w:r>
      <w:r w:rsidRPr="00FD06ED">
        <w:rPr>
          <w:rFonts w:eastAsia="Times New Roman"/>
          <w:bCs/>
          <w:sz w:val="18"/>
          <w:szCs w:val="18"/>
          <w:lang w:eastAsia="en-US"/>
        </w:rPr>
        <w:t>;</w:t>
      </w:r>
      <w:proofErr w:type="gramEnd"/>
    </w:p>
    <w:p w14:paraId="16BB30F8" w14:textId="77777777" w:rsidR="00FD06ED" w:rsidRPr="00FD06ED" w:rsidRDefault="00FD06ED" w:rsidP="00FD06ED">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additional cost reimbursement factor approved by the Board; and</w:t>
      </w:r>
    </w:p>
    <w:p w14:paraId="3FC41CB6" w14:textId="07C48703" w:rsidR="00FD06ED" w:rsidRPr="00FD06ED" w:rsidRDefault="00FD06ED" w:rsidP="00EE2D88">
      <w:pPr>
        <w:pBdr>
          <w:top w:val="single" w:sz="4" w:space="1" w:color="800080"/>
          <w:left w:val="single" w:sz="4" w:space="0" w:color="800080"/>
          <w:bottom w:val="single" w:sz="4" w:space="1" w:color="800080"/>
          <w:right w:val="single" w:sz="4" w:space="0" w:color="800080"/>
        </w:pBdr>
        <w:spacing w:before="0" w:line="120" w:lineRule="atLeast"/>
        <w:ind w:left="0"/>
        <w:rPr>
          <w:rFonts w:eastAsia="Times New Roman"/>
          <w:sz w:val="18"/>
          <w:szCs w:val="18"/>
          <w:lang w:eastAsia="en-US"/>
        </w:rPr>
        <w:sectPr w:rsidR="00FD06ED" w:rsidRPr="00FD06ED" w:rsidSect="002B10A2">
          <w:type w:val="continuous"/>
          <w:pgSz w:w="11906" w:h="16838" w:code="9"/>
          <w:pgMar w:top="1134" w:right="1700" w:bottom="1134" w:left="1134" w:header="958" w:footer="737" w:gutter="0"/>
          <w:cols w:space="708"/>
          <w:docGrid w:linePitch="360"/>
        </w:sectPr>
      </w:pPr>
      <w:r w:rsidRPr="00FD06ED">
        <w:rPr>
          <w:rFonts w:eastAsia="Times New Roman"/>
          <w:bCs/>
          <w:sz w:val="18"/>
          <w:szCs w:val="18"/>
          <w:lang w:eastAsia="en-US"/>
        </w:rPr>
        <w:t>- the amount documented in the Deed of Agreement sent to the relevant providers.</w:t>
      </w:r>
    </w:p>
    <w:p w14:paraId="618E39D2" w14:textId="79958141" w:rsidR="00FD06ED" w:rsidRPr="00EE2D88" w:rsidRDefault="00844F9B" w:rsidP="00015F3C">
      <w:pPr>
        <w:shd w:val="clear" w:color="00CC99" w:fill="800080"/>
        <w:spacing w:before="0" w:line="260" w:lineRule="atLeast"/>
        <w:ind w:left="0"/>
        <w:outlineLvl w:val="2"/>
        <w:rPr>
          <w:rFonts w:ascii="Arial Bold" w:eastAsia="Times New Roman" w:hAnsi="Arial Bold" w:cs="Times New Roman"/>
          <w:b/>
          <w:color w:val="FFFFFF"/>
          <w:sz w:val="24"/>
          <w:szCs w:val="20"/>
          <w:lang w:eastAsia="en-US"/>
        </w:rPr>
      </w:pPr>
      <w:bookmarkStart w:id="241" w:name="_Toc65742853"/>
      <w:bookmarkStart w:id="242" w:name="_Toc114477516"/>
      <w:bookmarkStart w:id="243" w:name="_Toc116414687"/>
      <w:bookmarkStart w:id="244" w:name="_Toc116472666"/>
      <w:bookmarkStart w:id="245" w:name="_Toc116473881"/>
      <w:bookmarkStart w:id="246" w:name="_Toc443469540"/>
      <w:bookmarkStart w:id="247" w:name="_Toc444065794"/>
      <w:bookmarkStart w:id="248" w:name="_Toc444079991"/>
      <w:bookmarkEnd w:id="234"/>
      <w:bookmarkEnd w:id="235"/>
      <w:bookmarkEnd w:id="236"/>
      <w:bookmarkEnd w:id="237"/>
      <w:bookmarkEnd w:id="238"/>
      <w:bookmarkEnd w:id="239"/>
      <w:bookmarkEnd w:id="240"/>
      <w:r>
        <w:rPr>
          <w:rFonts w:ascii="Arial Bold" w:eastAsia="Times New Roman" w:hAnsi="Arial Bold" w:cs="Times New Roman"/>
          <w:b/>
          <w:color w:val="FFFFFF"/>
          <w:sz w:val="24"/>
          <w:szCs w:val="20"/>
          <w:lang w:eastAsia="en-US"/>
        </w:rPr>
        <w:lastRenderedPageBreak/>
        <w:t>3</w:t>
      </w:r>
      <w:r w:rsidR="00706881">
        <w:rPr>
          <w:rFonts w:ascii="Arial Bold" w:eastAsia="Times New Roman" w:hAnsi="Arial Bold" w:cs="Times New Roman"/>
          <w:b/>
          <w:color w:val="FFFFFF"/>
          <w:sz w:val="24"/>
          <w:szCs w:val="20"/>
          <w:lang w:eastAsia="en-US"/>
        </w:rPr>
        <w:t xml:space="preserve">. </w:t>
      </w:r>
      <w:r w:rsidR="00FD06ED" w:rsidRPr="00EE2D88">
        <w:rPr>
          <w:rFonts w:ascii="Arial Bold" w:eastAsia="Times New Roman" w:hAnsi="Arial Bold" w:cs="Times New Roman"/>
          <w:b/>
          <w:color w:val="FFFFFF"/>
          <w:sz w:val="24"/>
          <w:szCs w:val="20"/>
          <w:lang w:eastAsia="en-US"/>
        </w:rPr>
        <w:t>People and Relationship</w:t>
      </w:r>
      <w:bookmarkEnd w:id="241"/>
      <w:r w:rsidR="00FD06ED" w:rsidRPr="00EE2D88">
        <w:rPr>
          <w:rFonts w:ascii="Arial Bold" w:eastAsia="Times New Roman" w:hAnsi="Arial Bold" w:cs="Times New Roman"/>
          <w:b/>
          <w:color w:val="FFFFFF"/>
          <w:sz w:val="24"/>
          <w:szCs w:val="20"/>
          <w:lang w:eastAsia="en-US"/>
        </w:rPr>
        <w:t>s</w:t>
      </w:r>
      <w:bookmarkEnd w:id="242"/>
      <w:bookmarkEnd w:id="243"/>
      <w:bookmarkEnd w:id="244"/>
      <w:bookmarkEnd w:id="245"/>
    </w:p>
    <w:p w14:paraId="284D26F9"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r w:rsidRPr="00FD06ED">
        <w:rPr>
          <w:rFonts w:eastAsia="Times New Roman" w:cs="Times New Roman"/>
          <w:color w:val="FFFFFF"/>
          <w:sz w:val="18"/>
          <w:szCs w:val="18"/>
          <w:lang w:eastAsia="en-US"/>
        </w:rPr>
        <w:t>This section describes a range of employment and post-employment benefits provided to our employees and our relationships with other key people.</w:t>
      </w:r>
    </w:p>
    <w:p w14:paraId="32DCF7B3" w14:textId="77777777" w:rsidR="00FD06ED" w:rsidRPr="00FD06ED" w:rsidRDefault="00FD06ED" w:rsidP="00FD06ED">
      <w:pPr>
        <w:spacing w:before="0" w:after="0" w:line="260" w:lineRule="atLeast"/>
        <w:ind w:left="0"/>
        <w:rPr>
          <w:rFonts w:ascii="Times New Roman" w:eastAsia="Times New Roman" w:hAnsi="Times New Roman" w:cs="Times New Roman"/>
          <w:szCs w:val="20"/>
          <w:lang w:eastAsia="en-US"/>
        </w:rPr>
      </w:pPr>
    </w:p>
    <w:p w14:paraId="62174E5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bookmarkStart w:id="249" w:name="_Toc443469546"/>
      <w:bookmarkStart w:id="250" w:name="_Toc444065801"/>
      <w:bookmarkStart w:id="251" w:name="_Toc444079997"/>
      <w:r w:rsidRPr="00FD06ED">
        <w:rPr>
          <w:rFonts w:eastAsia="Times New Roman"/>
          <w:b/>
          <w:bCs/>
          <w:sz w:val="18"/>
          <w:szCs w:val="18"/>
          <w:lang w:eastAsia="en-US"/>
        </w:rPr>
        <w:t>Accounting Policy</w:t>
      </w:r>
    </w:p>
    <w:p w14:paraId="33244D6C"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Liabilities for ‘short-term employee benefits’ (as defined in AASB 119 </w:t>
      </w:r>
      <w:r w:rsidRPr="00FD06ED">
        <w:rPr>
          <w:rFonts w:eastAsia="Times New Roman"/>
          <w:bCs/>
          <w:i/>
          <w:sz w:val="18"/>
          <w:szCs w:val="18"/>
          <w:lang w:eastAsia="en-US"/>
        </w:rPr>
        <w:t>Employee Benefits</w:t>
      </w:r>
      <w:r w:rsidRPr="00FD06ED">
        <w:rPr>
          <w:rFonts w:eastAsia="Times New Roman"/>
          <w:bCs/>
          <w:sz w:val="18"/>
          <w:szCs w:val="18"/>
          <w:lang w:eastAsia="en-US"/>
        </w:rPr>
        <w:t xml:space="preserve">) and termination benefits expected within twelve months of the end of the reporting period are measured at their nominal amounts. </w:t>
      </w:r>
    </w:p>
    <w:p w14:paraId="12BAF37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Leave</w:t>
      </w:r>
    </w:p>
    <w:p w14:paraId="291ADDCB"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liability for employee benefits includes provision for annual leave and long service leave.</w:t>
      </w:r>
      <w:r w:rsidRPr="00FD06ED">
        <w:rPr>
          <w:rFonts w:eastAsia="Times New Roman"/>
          <w:bCs/>
          <w:sz w:val="18"/>
          <w:szCs w:val="18"/>
          <w:lang w:eastAsia="en-US"/>
        </w:rPr>
        <w:tab/>
      </w:r>
    </w:p>
    <w:p w14:paraId="06BB8C1E"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leave liabilities are calculated </w:t>
      </w:r>
      <w:proofErr w:type="gramStart"/>
      <w:r w:rsidRPr="00FD06ED">
        <w:rPr>
          <w:rFonts w:eastAsia="Times New Roman"/>
          <w:bCs/>
          <w:sz w:val="18"/>
          <w:szCs w:val="18"/>
          <w:lang w:eastAsia="en-US"/>
        </w:rPr>
        <w:t>on the basis of</w:t>
      </w:r>
      <w:proofErr w:type="gramEnd"/>
      <w:r w:rsidRPr="00FD06ED">
        <w:rPr>
          <w:rFonts w:eastAsia="Times New Roman"/>
          <w:bCs/>
          <w:sz w:val="18"/>
          <w:szCs w:val="18"/>
          <w:lang w:eastAsia="en-US"/>
        </w:rPr>
        <w:t xml:space="preserve"> employees’ remuneration at the estimated salary rates that will be applied at the time the leave is taken, including the Agency’s employer superannuation contribution rates to the extent that the leave is likely to be taken during service rather than paid out on termination. </w:t>
      </w:r>
    </w:p>
    <w:p w14:paraId="63FB066E"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Superannuation</w:t>
      </w:r>
    </w:p>
    <w:p w14:paraId="30329842"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Agency staff are members of the Commonwealth Superannuation Scheme (CSS), the Public Sector Superannuation Scheme (PSS), the PSS accumulation plan (</w:t>
      </w:r>
      <w:proofErr w:type="spellStart"/>
      <w:r w:rsidRPr="00FD06ED">
        <w:rPr>
          <w:rFonts w:eastAsia="Times New Roman"/>
          <w:bCs/>
          <w:sz w:val="18"/>
          <w:szCs w:val="18"/>
          <w:lang w:eastAsia="en-US"/>
        </w:rPr>
        <w:t>PSSap</w:t>
      </w:r>
      <w:proofErr w:type="spellEnd"/>
      <w:r w:rsidRPr="00FD06ED">
        <w:rPr>
          <w:rFonts w:eastAsia="Times New Roman"/>
          <w:bCs/>
          <w:sz w:val="18"/>
          <w:szCs w:val="18"/>
          <w:lang w:eastAsia="en-US"/>
        </w:rPr>
        <w:t xml:space="preserve">) or other superannuation funds held outside the Australian Government. The CSS and PSS are defined benefit schemes for the Australian Government. The </w:t>
      </w:r>
      <w:proofErr w:type="spellStart"/>
      <w:r w:rsidRPr="00FD06ED">
        <w:rPr>
          <w:rFonts w:eastAsia="Times New Roman"/>
          <w:bCs/>
          <w:sz w:val="18"/>
          <w:szCs w:val="18"/>
          <w:lang w:eastAsia="en-US"/>
        </w:rPr>
        <w:t>PSSap</w:t>
      </w:r>
      <w:proofErr w:type="spellEnd"/>
      <w:r w:rsidRPr="00FD06ED">
        <w:rPr>
          <w:rFonts w:eastAsia="Times New Roman"/>
          <w:bCs/>
          <w:sz w:val="18"/>
          <w:szCs w:val="18"/>
          <w:lang w:eastAsia="en-US"/>
        </w:rPr>
        <w:t xml:space="preserve"> is a defined contribution scheme.</w:t>
      </w:r>
      <w:r w:rsidRPr="00FD06ED">
        <w:rPr>
          <w:rFonts w:eastAsia="Times New Roman"/>
          <w:bCs/>
          <w:sz w:val="18"/>
          <w:szCs w:val="18"/>
          <w:lang w:eastAsia="en-US"/>
        </w:rPr>
        <w:tab/>
      </w:r>
    </w:p>
    <w:p w14:paraId="2007DDD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The liability for defined benefits is recognised in the financial statements of the Australian Government and is settled by the Australian Government in due course. This liability is reported in the Department of Finance’s administered schedules and notes.</w:t>
      </w:r>
    </w:p>
    <w:p w14:paraId="68D64DFB"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Agency makes employer contributions to employee superannuation schemes at rates determined by an actuary to be sufficient to meet the current cost to the Government. The Agency accounts for these contributions as if they were contributions to defined contribution plans. </w:t>
      </w:r>
    </w:p>
    <w:p w14:paraId="007A7DF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 xml:space="preserve">The liability for superannuation recognised at Note 2.3B Other payables represents contributions outstanding at balance date. </w:t>
      </w:r>
    </w:p>
    <w:p w14:paraId="763F0FCB"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Key Accounting judgements and estimates</w:t>
      </w:r>
    </w:p>
    <w:p w14:paraId="6C4DDF3F"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i/>
          <w:sz w:val="18"/>
          <w:szCs w:val="18"/>
          <w:lang w:eastAsia="en-US"/>
        </w:rPr>
      </w:pPr>
      <w:r w:rsidRPr="00FD06ED">
        <w:rPr>
          <w:rFonts w:eastAsia="Times New Roman"/>
          <w:bCs/>
          <w:sz w:val="18"/>
          <w:szCs w:val="18"/>
          <w:lang w:eastAsia="en-US"/>
        </w:rPr>
        <w:t xml:space="preserve">The liability for long service leave has been determined by reference to the work of the Australian Government Actuary as </w:t>
      </w:r>
      <w:proofErr w:type="gramStart"/>
      <w:r w:rsidRPr="00FD06ED">
        <w:rPr>
          <w:rFonts w:eastAsia="Times New Roman"/>
          <w:bCs/>
          <w:sz w:val="18"/>
          <w:szCs w:val="18"/>
          <w:lang w:eastAsia="en-US"/>
        </w:rPr>
        <w:t>at</w:t>
      </w:r>
      <w:proofErr w:type="gramEnd"/>
      <w:r w:rsidRPr="00FD06ED">
        <w:rPr>
          <w:rFonts w:eastAsia="Times New Roman"/>
          <w:bCs/>
          <w:sz w:val="18"/>
          <w:szCs w:val="18"/>
          <w:lang w:eastAsia="en-US"/>
        </w:rPr>
        <w:t xml:space="preserve"> 30 June 2022. The estimate of the present value of the liability for long service leave </w:t>
      </w:r>
      <w:proofErr w:type="gramStart"/>
      <w:r w:rsidRPr="00FD06ED">
        <w:rPr>
          <w:rFonts w:eastAsia="Times New Roman"/>
          <w:bCs/>
          <w:sz w:val="18"/>
          <w:szCs w:val="18"/>
          <w:lang w:eastAsia="en-US"/>
        </w:rPr>
        <w:t>takes into account</w:t>
      </w:r>
      <w:proofErr w:type="gramEnd"/>
      <w:r w:rsidRPr="00FD06ED">
        <w:rPr>
          <w:rFonts w:eastAsia="Times New Roman"/>
          <w:bCs/>
          <w:sz w:val="18"/>
          <w:szCs w:val="18"/>
          <w:lang w:eastAsia="en-US"/>
        </w:rPr>
        <w:t xml:space="preserve"> attrition rates and pay increases through promotion and inflation. The estimate of future costs requires management and independent actuarial assessment of assumed salary growth rates, future on-cost rates and the experience of employee departures. The future costs are then discounted to present value using market yields on government bonds in accordance with AASB 119</w:t>
      </w:r>
      <w:r w:rsidRPr="00FD06ED">
        <w:rPr>
          <w:rFonts w:eastAsia="Times New Roman"/>
          <w:bCs/>
          <w:i/>
          <w:sz w:val="18"/>
          <w:szCs w:val="18"/>
          <w:lang w:eastAsia="en-US"/>
        </w:rPr>
        <w:t>.</w:t>
      </w:r>
    </w:p>
    <w:p w14:paraId="027A6D0D" w14:textId="77777777" w:rsidR="00FD06ED" w:rsidRPr="00FD06ED" w:rsidRDefault="00FD06ED" w:rsidP="00FD06ED">
      <w:pPr>
        <w:spacing w:before="0" w:after="0"/>
        <w:ind w:left="0"/>
        <w:rPr>
          <w:rFonts w:eastAsia="Times New Roman" w:cs="Times New Roman"/>
          <w:b/>
          <w:sz w:val="20"/>
          <w:szCs w:val="20"/>
          <w:lang w:eastAsia="en-US"/>
        </w:rPr>
      </w:pPr>
      <w:r w:rsidRPr="00FD06ED">
        <w:rPr>
          <w:rFonts w:ascii="Times New Roman" w:eastAsia="Times New Roman" w:hAnsi="Times New Roman" w:cs="Times New Roman"/>
          <w:szCs w:val="20"/>
          <w:lang w:eastAsia="en-US"/>
        </w:rPr>
        <w:br w:type="page"/>
      </w:r>
    </w:p>
    <w:p w14:paraId="2DB63443" w14:textId="66C32531" w:rsidR="00FD06ED" w:rsidRPr="00FD06ED" w:rsidRDefault="00706881"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52" w:name="_Toc447030547"/>
      <w:bookmarkStart w:id="253" w:name="_Toc447030699"/>
      <w:bookmarkStart w:id="254" w:name="_Toc447030792"/>
      <w:bookmarkStart w:id="255" w:name="_Toc65742855"/>
      <w:bookmarkStart w:id="256" w:name="_Toc114477517"/>
      <w:bookmarkStart w:id="257" w:name="_Toc116414688"/>
      <w:bookmarkStart w:id="258" w:name="_Toc116472667"/>
      <w:bookmarkStart w:id="259" w:name="_Toc116473882"/>
      <w:r>
        <w:rPr>
          <w:rFonts w:eastAsia="Times New Roman"/>
          <w:b/>
          <w:color w:val="FFFFFF"/>
          <w:sz w:val="20"/>
          <w:szCs w:val="20"/>
          <w:lang w:eastAsia="en-US"/>
        </w:rPr>
        <w:lastRenderedPageBreak/>
        <w:t xml:space="preserve">3.1 </w:t>
      </w:r>
      <w:r w:rsidR="00FD06ED" w:rsidRPr="00FD06ED">
        <w:rPr>
          <w:rFonts w:eastAsia="Times New Roman"/>
          <w:b/>
          <w:color w:val="FFFFFF"/>
          <w:sz w:val="20"/>
          <w:szCs w:val="20"/>
          <w:lang w:eastAsia="en-US"/>
        </w:rPr>
        <w:t>Key Management Personnel Remuneration</w:t>
      </w:r>
      <w:bookmarkEnd w:id="249"/>
      <w:bookmarkEnd w:id="250"/>
      <w:bookmarkEnd w:id="251"/>
      <w:bookmarkEnd w:id="252"/>
      <w:bookmarkEnd w:id="253"/>
      <w:bookmarkEnd w:id="254"/>
      <w:bookmarkEnd w:id="255"/>
      <w:bookmarkEnd w:id="256"/>
      <w:bookmarkEnd w:id="257"/>
      <w:bookmarkEnd w:id="258"/>
      <w:bookmarkEnd w:id="259"/>
    </w:p>
    <w:p w14:paraId="41FFAC15" w14:textId="77777777" w:rsidR="00FD06ED" w:rsidRPr="00FD06ED" w:rsidRDefault="00FD06ED" w:rsidP="00FD06ED">
      <w:pPr>
        <w:autoSpaceDE w:val="0"/>
        <w:autoSpaceDN w:val="0"/>
        <w:adjustRightInd w:val="0"/>
        <w:spacing w:before="0" w:after="0"/>
        <w:ind w:left="0"/>
        <w:rPr>
          <w:rFonts w:ascii="Cambria" w:eastAsia="Times New Roman" w:hAnsi="Cambria" w:cs="Cambria"/>
          <w:sz w:val="18"/>
          <w:szCs w:val="18"/>
          <w:lang w:eastAsia="en-AU"/>
        </w:rPr>
      </w:pPr>
    </w:p>
    <w:p w14:paraId="087985E3" w14:textId="77777777" w:rsidR="00FD06ED" w:rsidRPr="00FD06ED" w:rsidRDefault="00FD06ED" w:rsidP="00FD06ED">
      <w:pPr>
        <w:autoSpaceDE w:val="0"/>
        <w:autoSpaceDN w:val="0"/>
        <w:adjustRightInd w:val="0"/>
        <w:spacing w:before="0" w:after="0"/>
        <w:ind w:left="0"/>
        <w:rPr>
          <w:rFonts w:eastAsia="Times New Roman" w:cs="Times New Roman"/>
          <w:sz w:val="18"/>
          <w:szCs w:val="20"/>
          <w:lang w:eastAsia="en-US"/>
        </w:rPr>
      </w:pPr>
      <w:r w:rsidRPr="00FD06ED">
        <w:rPr>
          <w:rFonts w:eastAsia="Times New Roman"/>
          <w:sz w:val="18"/>
          <w:szCs w:val="18"/>
          <w:lang w:eastAsia="en-US"/>
        </w:rPr>
        <w:t xml:space="preserve">Key Management Personnel (KMP) are those persons having authority and responsibility for planning, </w:t>
      </w:r>
      <w:proofErr w:type="gramStart"/>
      <w:r w:rsidRPr="00FD06ED">
        <w:rPr>
          <w:rFonts w:eastAsia="Times New Roman"/>
          <w:sz w:val="18"/>
          <w:szCs w:val="18"/>
          <w:lang w:eastAsia="en-US"/>
        </w:rPr>
        <w:t>directing</w:t>
      </w:r>
      <w:proofErr w:type="gramEnd"/>
      <w:r w:rsidRPr="00FD06ED">
        <w:rPr>
          <w:rFonts w:eastAsia="Times New Roman"/>
          <w:sz w:val="18"/>
          <w:szCs w:val="18"/>
          <w:lang w:eastAsia="en-US"/>
        </w:rPr>
        <w:t xml:space="preserve"> and controlling the activities of the Agency, directly or indirectly. The Agency has determined the Key Management Personnel to be Board members, the Chief </w:t>
      </w:r>
      <w:proofErr w:type="gramStart"/>
      <w:r w:rsidRPr="00FD06ED">
        <w:rPr>
          <w:rFonts w:eastAsia="Times New Roman"/>
          <w:sz w:val="18"/>
          <w:szCs w:val="18"/>
          <w:lang w:eastAsia="en-US"/>
        </w:rPr>
        <w:t>Executive</w:t>
      </w:r>
      <w:proofErr w:type="gramEnd"/>
      <w:r w:rsidRPr="00FD06ED">
        <w:rPr>
          <w:rFonts w:eastAsia="Times New Roman"/>
          <w:sz w:val="18"/>
          <w:szCs w:val="18"/>
          <w:lang w:eastAsia="en-US"/>
        </w:rPr>
        <w:t xml:space="preserve"> and other members of the Executive Leadership Team. </w:t>
      </w:r>
      <w:r w:rsidRPr="00FD06ED">
        <w:rPr>
          <w:rFonts w:eastAsia="Times New Roman" w:cs="Times New Roman"/>
          <w:sz w:val="18"/>
          <w:szCs w:val="20"/>
          <w:lang w:eastAsia="en-US"/>
        </w:rPr>
        <w:t>Despite the formal definition of Key Management Personnel, Board members are independent of management.</w:t>
      </w:r>
    </w:p>
    <w:p w14:paraId="39120A4A" w14:textId="77777777" w:rsidR="00FD06ED" w:rsidRPr="00FD06ED" w:rsidRDefault="00FD06ED" w:rsidP="00FD06ED">
      <w:pPr>
        <w:autoSpaceDE w:val="0"/>
        <w:autoSpaceDN w:val="0"/>
        <w:adjustRightInd w:val="0"/>
        <w:spacing w:before="0" w:after="0"/>
        <w:ind w:left="0"/>
        <w:rPr>
          <w:rFonts w:eastAsia="Times New Roman"/>
          <w:sz w:val="18"/>
          <w:szCs w:val="18"/>
          <w:lang w:eastAsia="en-US"/>
        </w:rPr>
      </w:pPr>
      <w:r w:rsidRPr="00FD06ED">
        <w:rPr>
          <w:rFonts w:eastAsia="Times New Roman"/>
          <w:sz w:val="18"/>
          <w:szCs w:val="18"/>
          <w:lang w:eastAsia="en-US"/>
        </w:rPr>
        <w:t xml:space="preserve">Key Management Personnel remuneration is reported in the table below: </w:t>
      </w:r>
    </w:p>
    <w:p w14:paraId="042194E6" w14:textId="77777777" w:rsidR="00FD06ED" w:rsidRPr="00FD06ED" w:rsidRDefault="00FD06ED" w:rsidP="00FD06ED">
      <w:pPr>
        <w:autoSpaceDE w:val="0"/>
        <w:autoSpaceDN w:val="0"/>
        <w:adjustRightInd w:val="0"/>
        <w:spacing w:before="0" w:after="0"/>
        <w:ind w:left="0"/>
        <w:rPr>
          <w:rFonts w:eastAsia="Times New Roman"/>
          <w:sz w:val="18"/>
          <w:szCs w:val="18"/>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3E871A6F" w14:textId="77777777" w:rsidTr="005C33EF">
        <w:trPr>
          <w:trHeight w:val="270"/>
        </w:trPr>
        <w:tc>
          <w:tcPr>
            <w:tcW w:w="6376" w:type="dxa"/>
            <w:tcBorders>
              <w:top w:val="nil"/>
              <w:left w:val="nil"/>
              <w:bottom w:val="nil"/>
              <w:right w:val="nil"/>
            </w:tcBorders>
            <w:shd w:val="clear" w:color="FFFFFF" w:fill="FFFFFF"/>
            <w:noWrap/>
            <w:vAlign w:val="bottom"/>
            <w:hideMark/>
          </w:tcPr>
          <w:p w14:paraId="1759F122" w14:textId="77777777" w:rsidR="00FD06ED" w:rsidRPr="00FD06ED" w:rsidRDefault="00FD06ED" w:rsidP="00FD06ED">
            <w:pPr>
              <w:spacing w:before="0" w:after="0" w:line="260" w:lineRule="atLeast"/>
              <w:ind w:left="0"/>
              <w:rPr>
                <w:rFonts w:eastAsia="Times New Roman"/>
                <w:b/>
                <w:bCs/>
                <w:sz w:val="18"/>
                <w:szCs w:val="18"/>
                <w:lang w:eastAsia="en-US"/>
              </w:rPr>
            </w:pPr>
            <w:bookmarkStart w:id="260" w:name="Note_ERETABLE1" w:colFirst="0" w:colLast="0"/>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vAlign w:val="bottom"/>
            <w:hideMark/>
          </w:tcPr>
          <w:p w14:paraId="708453F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1F95B71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4D9DEC8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260"/>
      <w:tr w:rsidR="00FD06ED" w:rsidRPr="00FD06ED" w14:paraId="356BE90D" w14:textId="77777777" w:rsidTr="005C33EF">
        <w:trPr>
          <w:trHeight w:val="255"/>
        </w:trPr>
        <w:tc>
          <w:tcPr>
            <w:tcW w:w="6376" w:type="dxa"/>
            <w:tcBorders>
              <w:top w:val="nil"/>
              <w:left w:val="nil"/>
              <w:bottom w:val="nil"/>
              <w:right w:val="nil"/>
            </w:tcBorders>
            <w:shd w:val="clear" w:color="FFFFFF" w:fill="FFFFFF"/>
            <w:noWrap/>
            <w:vAlign w:val="bottom"/>
            <w:hideMark/>
          </w:tcPr>
          <w:p w14:paraId="600DDAAE"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0E8B348F" w14:textId="197C3CF5"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w:t>
            </w:r>
            <w:r w:rsidR="00706881">
              <w:rPr>
                <w:rFonts w:eastAsia="Times New Roman"/>
                <w:b/>
                <w:bCs/>
                <w:sz w:val="18"/>
                <w:szCs w:val="18"/>
                <w:lang w:eastAsia="en-US"/>
              </w:rPr>
              <w:t>’</w:t>
            </w: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0D6C024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03A03DB5" w14:textId="4E3B45B1"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r w:rsidR="00706881">
              <w:rPr>
                <w:rFonts w:eastAsia="Times New Roman"/>
                <w:sz w:val="18"/>
                <w:szCs w:val="18"/>
                <w:lang w:eastAsia="en-US"/>
              </w:rPr>
              <w:t>’</w:t>
            </w:r>
            <w:r w:rsidRPr="00FD06ED">
              <w:rPr>
                <w:rFonts w:eastAsia="Times New Roman"/>
                <w:sz w:val="18"/>
                <w:szCs w:val="18"/>
                <w:lang w:eastAsia="en-US"/>
              </w:rPr>
              <w:t>000</w:t>
            </w:r>
          </w:p>
        </w:tc>
      </w:tr>
      <w:tr w:rsidR="00FD06ED" w:rsidRPr="00FD06ED" w14:paraId="2466E394" w14:textId="77777777" w:rsidTr="005C33EF">
        <w:trPr>
          <w:trHeight w:val="270"/>
        </w:trPr>
        <w:tc>
          <w:tcPr>
            <w:tcW w:w="6376" w:type="dxa"/>
            <w:tcBorders>
              <w:top w:val="nil"/>
              <w:left w:val="nil"/>
              <w:bottom w:val="nil"/>
              <w:right w:val="nil"/>
            </w:tcBorders>
            <w:shd w:val="clear" w:color="FFFFFF" w:fill="FFFFFF"/>
            <w:noWrap/>
            <w:vAlign w:val="bottom"/>
            <w:hideMark/>
          </w:tcPr>
          <w:p w14:paraId="07D85637"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3.1: Key Management Personnel Remuneration</w:t>
            </w:r>
            <w:r w:rsidRPr="00FD06ED">
              <w:rPr>
                <w:rFonts w:eastAsia="Times New Roman"/>
                <w:b/>
                <w:bCs/>
                <w:sz w:val="18"/>
                <w:szCs w:val="18"/>
                <w:u w:val="single"/>
                <w:vertAlign w:val="superscript"/>
                <w:lang w:eastAsia="en-US"/>
              </w:rPr>
              <w:t>1</w:t>
            </w:r>
          </w:p>
        </w:tc>
        <w:tc>
          <w:tcPr>
            <w:tcW w:w="1236" w:type="dxa"/>
            <w:tcBorders>
              <w:top w:val="nil"/>
              <w:left w:val="nil"/>
              <w:bottom w:val="nil"/>
              <w:right w:val="nil"/>
            </w:tcBorders>
            <w:shd w:val="clear" w:color="FFFFFF" w:fill="FFFFFF"/>
            <w:vAlign w:val="bottom"/>
            <w:hideMark/>
          </w:tcPr>
          <w:p w14:paraId="1170423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1AA80CD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3C01996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0308BE78" w14:textId="77777777" w:rsidTr="005C33EF">
        <w:trPr>
          <w:trHeight w:val="270"/>
        </w:trPr>
        <w:tc>
          <w:tcPr>
            <w:tcW w:w="6376" w:type="dxa"/>
            <w:tcBorders>
              <w:top w:val="nil"/>
              <w:left w:val="nil"/>
              <w:bottom w:val="nil"/>
              <w:right w:val="nil"/>
            </w:tcBorders>
            <w:shd w:val="clear" w:color="FFFFFF" w:fill="FFFFFF"/>
            <w:noWrap/>
            <w:vAlign w:val="bottom"/>
            <w:hideMark/>
          </w:tcPr>
          <w:p w14:paraId="1A357278"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Short-term employee benefits</w:t>
            </w:r>
            <w:r w:rsidRPr="00FD06ED">
              <w:rPr>
                <w:rFonts w:eastAsia="Times New Roman"/>
                <w:sz w:val="18"/>
                <w:szCs w:val="18"/>
                <w:vertAlign w:val="superscript"/>
                <w:lang w:eastAsia="en-US"/>
              </w:rPr>
              <w:t>2, 3</w:t>
            </w:r>
          </w:p>
        </w:tc>
        <w:tc>
          <w:tcPr>
            <w:tcW w:w="1236" w:type="dxa"/>
            <w:tcBorders>
              <w:top w:val="nil"/>
              <w:left w:val="nil"/>
              <w:bottom w:val="nil"/>
              <w:right w:val="nil"/>
            </w:tcBorders>
            <w:shd w:val="clear" w:color="FFFFFF" w:fill="FFFFFF"/>
            <w:noWrap/>
            <w:vAlign w:val="bottom"/>
            <w:hideMark/>
          </w:tcPr>
          <w:p w14:paraId="0F7526EF"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4,935</w:t>
            </w:r>
          </w:p>
        </w:tc>
        <w:tc>
          <w:tcPr>
            <w:tcW w:w="267" w:type="dxa"/>
            <w:tcBorders>
              <w:top w:val="nil"/>
              <w:left w:val="nil"/>
              <w:bottom w:val="nil"/>
              <w:right w:val="nil"/>
            </w:tcBorders>
            <w:shd w:val="clear" w:color="FFFFFF" w:fill="FFFFFF"/>
            <w:noWrap/>
            <w:vAlign w:val="bottom"/>
            <w:hideMark/>
          </w:tcPr>
          <w:p w14:paraId="1C63614A" w14:textId="77777777" w:rsidR="00FD06ED" w:rsidRPr="00FD06ED" w:rsidRDefault="00FD06ED" w:rsidP="00FD06ED">
            <w:pPr>
              <w:spacing w:before="0" w:after="0" w:line="260" w:lineRule="atLeast"/>
              <w:ind w:left="0"/>
              <w:rPr>
                <w:rFonts w:eastAsia="Times New Roman"/>
                <w:b/>
                <w:bCs/>
                <w:color w:val="00B050"/>
                <w:sz w:val="18"/>
                <w:szCs w:val="18"/>
                <w:lang w:eastAsia="en-US"/>
              </w:rPr>
            </w:pPr>
            <w:r w:rsidRPr="00FD06ED">
              <w:rPr>
                <w:rFonts w:eastAsia="Times New Roman"/>
                <w:b/>
                <w:bCs/>
                <w:color w:val="00B050"/>
                <w:sz w:val="18"/>
                <w:szCs w:val="18"/>
                <w:lang w:eastAsia="en-US"/>
              </w:rPr>
              <w:t> </w:t>
            </w:r>
          </w:p>
        </w:tc>
        <w:tc>
          <w:tcPr>
            <w:tcW w:w="1236" w:type="dxa"/>
            <w:tcBorders>
              <w:top w:val="nil"/>
              <w:left w:val="nil"/>
              <w:bottom w:val="nil"/>
              <w:right w:val="nil"/>
            </w:tcBorders>
            <w:shd w:val="clear" w:color="FFFFFF" w:fill="FFFFFF"/>
            <w:noWrap/>
            <w:vAlign w:val="bottom"/>
            <w:hideMark/>
          </w:tcPr>
          <w:p w14:paraId="2B980BC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4,975</w:t>
            </w:r>
          </w:p>
        </w:tc>
      </w:tr>
      <w:tr w:rsidR="00FD06ED" w:rsidRPr="00FD06ED" w14:paraId="2A0E5106" w14:textId="77777777" w:rsidTr="005C33EF">
        <w:trPr>
          <w:trHeight w:val="255"/>
        </w:trPr>
        <w:tc>
          <w:tcPr>
            <w:tcW w:w="6376" w:type="dxa"/>
            <w:tcBorders>
              <w:top w:val="nil"/>
              <w:left w:val="nil"/>
              <w:bottom w:val="nil"/>
              <w:right w:val="nil"/>
            </w:tcBorders>
            <w:shd w:val="clear" w:color="FFFFFF" w:fill="FFFFFF"/>
            <w:noWrap/>
            <w:vAlign w:val="bottom"/>
            <w:hideMark/>
          </w:tcPr>
          <w:p w14:paraId="017FA7A9"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Post-employment benefits</w:t>
            </w:r>
          </w:p>
        </w:tc>
        <w:tc>
          <w:tcPr>
            <w:tcW w:w="1236" w:type="dxa"/>
            <w:tcBorders>
              <w:top w:val="nil"/>
              <w:left w:val="nil"/>
              <w:bottom w:val="nil"/>
              <w:right w:val="nil"/>
            </w:tcBorders>
            <w:shd w:val="clear" w:color="FFFFFF" w:fill="FFFFFF"/>
            <w:noWrap/>
            <w:vAlign w:val="bottom"/>
            <w:hideMark/>
          </w:tcPr>
          <w:p w14:paraId="194FBC5E"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395</w:t>
            </w:r>
          </w:p>
        </w:tc>
        <w:tc>
          <w:tcPr>
            <w:tcW w:w="267" w:type="dxa"/>
            <w:tcBorders>
              <w:top w:val="nil"/>
              <w:left w:val="nil"/>
              <w:bottom w:val="nil"/>
              <w:right w:val="nil"/>
            </w:tcBorders>
            <w:shd w:val="clear" w:color="FFFFFF" w:fill="FFFFFF"/>
            <w:noWrap/>
            <w:vAlign w:val="bottom"/>
            <w:hideMark/>
          </w:tcPr>
          <w:p w14:paraId="22FA0E94"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6E0DFF7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378</w:t>
            </w:r>
          </w:p>
        </w:tc>
      </w:tr>
      <w:tr w:rsidR="00FD06ED" w:rsidRPr="00FD06ED" w14:paraId="3F9ACEA5" w14:textId="77777777" w:rsidTr="005C33EF">
        <w:trPr>
          <w:trHeight w:val="255"/>
        </w:trPr>
        <w:tc>
          <w:tcPr>
            <w:tcW w:w="6376" w:type="dxa"/>
            <w:tcBorders>
              <w:top w:val="nil"/>
              <w:left w:val="nil"/>
              <w:bottom w:val="nil"/>
              <w:right w:val="nil"/>
            </w:tcBorders>
            <w:shd w:val="clear" w:color="FFFFFF" w:fill="FFFFFF"/>
            <w:noWrap/>
            <w:vAlign w:val="bottom"/>
            <w:hideMark/>
          </w:tcPr>
          <w:p w14:paraId="0247101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long-term employee benefits</w:t>
            </w:r>
          </w:p>
        </w:tc>
        <w:tc>
          <w:tcPr>
            <w:tcW w:w="1236" w:type="dxa"/>
            <w:tcBorders>
              <w:top w:val="nil"/>
              <w:left w:val="nil"/>
              <w:bottom w:val="nil"/>
              <w:right w:val="nil"/>
            </w:tcBorders>
            <w:shd w:val="clear" w:color="FFFFFF" w:fill="FFFFFF"/>
            <w:noWrap/>
            <w:vAlign w:val="bottom"/>
            <w:hideMark/>
          </w:tcPr>
          <w:p w14:paraId="7B415C6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71</w:t>
            </w:r>
          </w:p>
        </w:tc>
        <w:tc>
          <w:tcPr>
            <w:tcW w:w="267" w:type="dxa"/>
            <w:tcBorders>
              <w:top w:val="nil"/>
              <w:left w:val="nil"/>
              <w:bottom w:val="nil"/>
              <w:right w:val="nil"/>
            </w:tcBorders>
            <w:shd w:val="clear" w:color="FFFFFF" w:fill="FFFFFF"/>
            <w:noWrap/>
            <w:vAlign w:val="bottom"/>
            <w:hideMark/>
          </w:tcPr>
          <w:p w14:paraId="1582ED02"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5ACB2D6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67</w:t>
            </w:r>
          </w:p>
        </w:tc>
      </w:tr>
      <w:tr w:rsidR="00FD06ED" w:rsidRPr="00FD06ED" w14:paraId="660C47E5" w14:textId="77777777" w:rsidTr="005C33EF">
        <w:trPr>
          <w:trHeight w:val="285"/>
        </w:trPr>
        <w:tc>
          <w:tcPr>
            <w:tcW w:w="6376" w:type="dxa"/>
            <w:tcBorders>
              <w:top w:val="nil"/>
              <w:left w:val="nil"/>
              <w:bottom w:val="nil"/>
              <w:right w:val="nil"/>
            </w:tcBorders>
            <w:shd w:val="clear" w:color="FFFFFF" w:fill="FFFFFF"/>
            <w:vAlign w:val="bottom"/>
            <w:hideMark/>
          </w:tcPr>
          <w:p w14:paraId="30F6692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Key Management Personnel remuneration expenses</w:t>
            </w:r>
            <w:r w:rsidRPr="00FD06ED">
              <w:rPr>
                <w:rFonts w:eastAsia="Times New Roman"/>
                <w:b/>
                <w:bCs/>
                <w:sz w:val="18"/>
                <w:szCs w:val="18"/>
                <w:vertAlign w:val="superscript"/>
                <w:lang w:eastAsia="en-US"/>
              </w:rPr>
              <w:t>4</w:t>
            </w:r>
          </w:p>
        </w:tc>
        <w:tc>
          <w:tcPr>
            <w:tcW w:w="1236" w:type="dxa"/>
            <w:tcBorders>
              <w:top w:val="single" w:sz="4" w:space="0" w:color="auto"/>
              <w:left w:val="nil"/>
              <w:bottom w:val="single" w:sz="4" w:space="0" w:color="auto"/>
              <w:right w:val="nil"/>
            </w:tcBorders>
            <w:shd w:val="clear" w:color="FFFFFF" w:fill="FFFFFF"/>
            <w:noWrap/>
            <w:vAlign w:val="bottom"/>
            <w:hideMark/>
          </w:tcPr>
          <w:p w14:paraId="782DF05C"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5,401</w:t>
            </w:r>
          </w:p>
        </w:tc>
        <w:tc>
          <w:tcPr>
            <w:tcW w:w="267" w:type="dxa"/>
            <w:tcBorders>
              <w:top w:val="nil"/>
              <w:left w:val="nil"/>
              <w:bottom w:val="nil"/>
              <w:right w:val="nil"/>
            </w:tcBorders>
            <w:shd w:val="clear" w:color="FFFFFF" w:fill="FFFFFF"/>
            <w:noWrap/>
            <w:vAlign w:val="bottom"/>
            <w:hideMark/>
          </w:tcPr>
          <w:p w14:paraId="156AF3C8"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43170AF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5,420</w:t>
            </w:r>
          </w:p>
        </w:tc>
      </w:tr>
    </w:tbl>
    <w:p w14:paraId="002F15CE" w14:textId="77777777" w:rsidR="00FD06ED" w:rsidRPr="00FD06ED" w:rsidRDefault="00FD06ED" w:rsidP="00FD06ED">
      <w:pPr>
        <w:spacing w:before="0" w:after="0" w:line="260" w:lineRule="atLeast"/>
        <w:ind w:left="0"/>
        <w:rPr>
          <w:rFonts w:eastAsia="Times New Roman"/>
          <w:sz w:val="18"/>
          <w:szCs w:val="18"/>
          <w:lang w:eastAsia="en-US"/>
        </w:rPr>
      </w:pPr>
    </w:p>
    <w:p w14:paraId="29642BB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The total number of Key Management Personnel that are included in the above table is 22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r w:rsidRPr="00FD06ED">
        <w:rPr>
          <w:rFonts w:eastAsia="Times New Roman"/>
          <w:sz w:val="18"/>
          <w:szCs w:val="18"/>
          <w:lang w:eastAsia="en-US"/>
        </w:rPr>
        <w:t>: 20).</w:t>
      </w:r>
    </w:p>
    <w:p w14:paraId="02EF02CD" w14:textId="77777777" w:rsidR="00FD06ED" w:rsidRPr="00FD06ED" w:rsidRDefault="00FD06ED" w:rsidP="00FD06ED">
      <w:pPr>
        <w:spacing w:before="0" w:after="0" w:line="260" w:lineRule="atLeast"/>
        <w:ind w:left="0"/>
        <w:rPr>
          <w:rFonts w:eastAsia="Times New Roman"/>
          <w:sz w:val="18"/>
          <w:szCs w:val="18"/>
          <w:lang w:eastAsia="en-US"/>
        </w:rPr>
      </w:pPr>
    </w:p>
    <w:p w14:paraId="264B2E1E" w14:textId="77777777" w:rsidR="00FD06ED" w:rsidRPr="00FD06ED" w:rsidRDefault="00FD06ED" w:rsidP="00FD06ED">
      <w:pPr>
        <w:spacing w:before="0" w:after="0" w:line="260" w:lineRule="atLeast"/>
        <w:ind w:left="0"/>
        <w:rPr>
          <w:rFonts w:eastAsia="Times New Roman"/>
          <w:sz w:val="16"/>
          <w:szCs w:val="18"/>
          <w:lang w:eastAsia="en-US"/>
        </w:rPr>
      </w:pPr>
      <w:bookmarkStart w:id="261" w:name="_Toc427244156"/>
      <w:r w:rsidRPr="00FD06ED">
        <w:rPr>
          <w:rFonts w:eastAsia="Times New Roman"/>
          <w:sz w:val="16"/>
          <w:szCs w:val="18"/>
          <w:vertAlign w:val="superscript"/>
          <w:lang w:eastAsia="en-US"/>
        </w:rPr>
        <w:t xml:space="preserve">1 </w:t>
      </w:r>
      <w:r w:rsidRPr="00FD06ED">
        <w:rPr>
          <w:rFonts w:eastAsia="Times New Roman"/>
          <w:sz w:val="16"/>
          <w:szCs w:val="18"/>
          <w:lang w:eastAsia="en-US"/>
        </w:rPr>
        <w:t xml:space="preserve">All remuneration in the table above and reported in Appendix 5.6 of the annual report is calculated on an accrual basis. </w:t>
      </w:r>
    </w:p>
    <w:p w14:paraId="2D34FEDB" w14:textId="77777777" w:rsidR="00FD06ED" w:rsidRPr="00FD06ED" w:rsidRDefault="00FD06ED" w:rsidP="00FD06ED">
      <w:pPr>
        <w:spacing w:before="0" w:after="0" w:line="260" w:lineRule="atLeast"/>
        <w:ind w:left="0"/>
        <w:rPr>
          <w:rFonts w:eastAsia="Times New Roman"/>
          <w:sz w:val="16"/>
          <w:szCs w:val="18"/>
          <w:lang w:eastAsia="en-US"/>
        </w:rPr>
      </w:pPr>
      <w:r w:rsidRPr="00FD06ED">
        <w:rPr>
          <w:rFonts w:eastAsia="Times New Roman"/>
          <w:sz w:val="16"/>
          <w:szCs w:val="18"/>
          <w:vertAlign w:val="superscript"/>
          <w:lang w:eastAsia="en-US"/>
        </w:rPr>
        <w:t xml:space="preserve">2 </w:t>
      </w:r>
      <w:r w:rsidRPr="00FD06ED">
        <w:rPr>
          <w:rFonts w:eastAsia="Times New Roman"/>
          <w:sz w:val="16"/>
          <w:szCs w:val="18"/>
          <w:lang w:eastAsia="en-US"/>
        </w:rPr>
        <w:t>Employee benefits include salary and vehicle allowances.</w:t>
      </w:r>
      <w:bookmarkEnd w:id="261"/>
    </w:p>
    <w:p w14:paraId="6521ECC0" w14:textId="77777777" w:rsidR="00FD06ED" w:rsidRPr="00FD06ED" w:rsidRDefault="00FD06ED" w:rsidP="00FD06ED">
      <w:pPr>
        <w:spacing w:before="0" w:after="0" w:line="260" w:lineRule="atLeast"/>
        <w:ind w:left="0"/>
        <w:rPr>
          <w:rFonts w:eastAsia="Times New Roman"/>
          <w:sz w:val="16"/>
          <w:szCs w:val="18"/>
          <w:lang w:eastAsia="en-US"/>
        </w:rPr>
      </w:pPr>
      <w:r w:rsidRPr="00FD06ED">
        <w:rPr>
          <w:rFonts w:eastAsia="Times New Roman"/>
          <w:sz w:val="16"/>
          <w:szCs w:val="18"/>
          <w:vertAlign w:val="superscript"/>
          <w:lang w:eastAsia="en-US"/>
        </w:rPr>
        <w:t>3</w:t>
      </w:r>
      <w:r w:rsidRPr="00FD06ED">
        <w:rPr>
          <w:rFonts w:eastAsia="Times New Roman"/>
          <w:sz w:val="16"/>
          <w:szCs w:val="18"/>
          <w:lang w:eastAsia="en-US"/>
        </w:rPr>
        <w:t xml:space="preserve"> Where the Agency engages Key Management Personnel through direct contract arrangements the total contract costs for those individuals are reflected as short-term employee benefits.</w:t>
      </w:r>
    </w:p>
    <w:p w14:paraId="61846FBE" w14:textId="77777777" w:rsidR="00FD06ED" w:rsidRPr="00FD06ED" w:rsidRDefault="00FD06ED" w:rsidP="00FD06ED">
      <w:pPr>
        <w:spacing w:before="0" w:after="0" w:line="260" w:lineRule="atLeast"/>
        <w:ind w:left="0"/>
        <w:rPr>
          <w:rFonts w:eastAsia="Times New Roman"/>
          <w:sz w:val="16"/>
          <w:szCs w:val="18"/>
          <w:lang w:eastAsia="en-US"/>
        </w:rPr>
      </w:pPr>
      <w:r w:rsidRPr="00FD06ED">
        <w:rPr>
          <w:rFonts w:eastAsia="Times New Roman"/>
          <w:sz w:val="16"/>
          <w:szCs w:val="18"/>
          <w:vertAlign w:val="superscript"/>
          <w:lang w:eastAsia="en-US"/>
        </w:rPr>
        <w:t xml:space="preserve">4 </w:t>
      </w:r>
      <w:r w:rsidRPr="00FD06ED">
        <w:rPr>
          <w:rFonts w:eastAsia="Times New Roman"/>
          <w:sz w:val="16"/>
          <w:szCs w:val="18"/>
          <w:lang w:eastAsia="en-US"/>
        </w:rPr>
        <w:t xml:space="preserve">The above Key Management Personnel remuneration excludes the remuneration and other benefits of the Minister and Portfolio Minister. The Minister’s and Portfolio Minister’s remuneration and other benefits are set by the Remuneration Tribunal and are not paid by the Agency. These expenses are reported in the Department of Finance’s administered schedules and notes. </w:t>
      </w:r>
    </w:p>
    <w:p w14:paraId="30BFBEBD" w14:textId="77777777" w:rsidR="00FD06ED" w:rsidRPr="00FD06ED" w:rsidRDefault="00FD06ED" w:rsidP="00FD06ED">
      <w:pPr>
        <w:spacing w:before="0" w:after="0" w:line="260" w:lineRule="atLeast"/>
        <w:ind w:left="0"/>
        <w:rPr>
          <w:rFonts w:eastAsia="Times New Roman"/>
          <w:sz w:val="18"/>
          <w:szCs w:val="18"/>
          <w:lang w:eastAsia="en-US"/>
        </w:rPr>
      </w:pPr>
    </w:p>
    <w:p w14:paraId="47053605" w14:textId="4DA63B1C" w:rsidR="00FD06ED" w:rsidRPr="00FD06ED" w:rsidRDefault="00706881"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62" w:name="_Toc65742856"/>
      <w:bookmarkStart w:id="263" w:name="_Toc114477518"/>
      <w:bookmarkStart w:id="264" w:name="_Toc116414689"/>
      <w:bookmarkStart w:id="265" w:name="_Toc116472668"/>
      <w:bookmarkStart w:id="266" w:name="_Toc116473883"/>
      <w:r>
        <w:rPr>
          <w:rFonts w:eastAsia="Times New Roman"/>
          <w:b/>
          <w:color w:val="FFFFFF"/>
          <w:sz w:val="20"/>
          <w:szCs w:val="20"/>
          <w:lang w:eastAsia="en-US"/>
        </w:rPr>
        <w:t xml:space="preserve">3.2 </w:t>
      </w:r>
      <w:r w:rsidR="00FD06ED" w:rsidRPr="00FD06ED">
        <w:rPr>
          <w:rFonts w:eastAsia="Times New Roman"/>
          <w:b/>
          <w:color w:val="FFFFFF"/>
          <w:sz w:val="20"/>
          <w:szCs w:val="20"/>
          <w:lang w:eastAsia="en-US"/>
        </w:rPr>
        <w:t>Related Party Disclosures</w:t>
      </w:r>
      <w:bookmarkEnd w:id="262"/>
      <w:bookmarkEnd w:id="263"/>
      <w:bookmarkEnd w:id="264"/>
      <w:bookmarkEnd w:id="265"/>
      <w:bookmarkEnd w:id="266"/>
    </w:p>
    <w:p w14:paraId="2DF64418" w14:textId="77777777" w:rsidR="00FD06ED" w:rsidRPr="00FD06ED" w:rsidRDefault="00FD06ED" w:rsidP="00FD06ED">
      <w:pPr>
        <w:spacing w:before="0" w:after="0" w:line="40" w:lineRule="atLeast"/>
        <w:ind w:left="0"/>
        <w:rPr>
          <w:rFonts w:eastAsia="Times New Roman" w:cs="Times New Roman"/>
          <w:b/>
          <w:sz w:val="18"/>
          <w:szCs w:val="20"/>
          <w:lang w:eastAsia="en-US"/>
        </w:rPr>
      </w:pPr>
    </w:p>
    <w:p w14:paraId="5B9F243C" w14:textId="77777777" w:rsidR="00FD06ED" w:rsidRPr="00FD06ED" w:rsidRDefault="00FD06ED" w:rsidP="00FD06ED">
      <w:pPr>
        <w:spacing w:before="0" w:after="0" w:line="40" w:lineRule="atLeast"/>
        <w:ind w:left="0"/>
        <w:rPr>
          <w:rFonts w:eastAsia="Times New Roman" w:cs="Times New Roman"/>
          <w:b/>
          <w:sz w:val="18"/>
          <w:szCs w:val="20"/>
          <w:lang w:eastAsia="en-US"/>
        </w:rPr>
      </w:pPr>
      <w:r w:rsidRPr="00FD06ED">
        <w:rPr>
          <w:rFonts w:eastAsia="Times New Roman" w:cs="Times New Roman"/>
          <w:b/>
          <w:sz w:val="18"/>
          <w:szCs w:val="20"/>
          <w:lang w:eastAsia="en-US"/>
        </w:rPr>
        <w:t>Related party relationships:</w:t>
      </w:r>
    </w:p>
    <w:p w14:paraId="033DF1A2"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7A6B938A" w14:textId="77777777" w:rsidR="00FD06ED" w:rsidRPr="00FD06ED" w:rsidRDefault="00FD06ED" w:rsidP="00FD06ED">
      <w:pPr>
        <w:spacing w:before="0" w:after="0" w:line="40" w:lineRule="atLeast"/>
        <w:ind w:left="0"/>
        <w:rPr>
          <w:rFonts w:eastAsia="Times New Roman"/>
          <w:sz w:val="18"/>
          <w:szCs w:val="18"/>
          <w:lang w:eastAsia="en-US"/>
        </w:rPr>
      </w:pPr>
      <w:r w:rsidRPr="00FD06ED">
        <w:rPr>
          <w:rFonts w:eastAsia="Times New Roman"/>
          <w:sz w:val="18"/>
          <w:szCs w:val="18"/>
          <w:lang w:eastAsia="en-US"/>
        </w:rPr>
        <w:t xml:space="preserve">The Agency is an Australian Government controlled entity, which is governed by an independent Board. For reporting </w:t>
      </w:r>
      <w:proofErr w:type="gramStart"/>
      <w:r w:rsidRPr="00FD06ED">
        <w:rPr>
          <w:rFonts w:eastAsia="Times New Roman"/>
          <w:sz w:val="18"/>
          <w:szCs w:val="18"/>
          <w:lang w:eastAsia="en-US"/>
        </w:rPr>
        <w:t>purposes</w:t>
      </w:r>
      <w:proofErr w:type="gramEnd"/>
      <w:r w:rsidRPr="00FD06ED">
        <w:rPr>
          <w:rFonts w:eastAsia="Times New Roman"/>
          <w:sz w:val="18"/>
          <w:szCs w:val="18"/>
          <w:lang w:eastAsia="en-US"/>
        </w:rPr>
        <w:t xml:space="preserve"> the Agency’s related parties are the DSS, Services Australia and Key Management Personnel. The definition of Key Management Personnel is included in Note 3.1.</w:t>
      </w:r>
    </w:p>
    <w:p w14:paraId="0C07FE1D" w14:textId="77777777" w:rsidR="00FD06ED" w:rsidRPr="00FD06ED" w:rsidRDefault="00FD06ED" w:rsidP="00FD06ED">
      <w:pPr>
        <w:spacing w:before="0" w:after="0" w:line="40" w:lineRule="atLeast"/>
        <w:ind w:left="0"/>
        <w:rPr>
          <w:rFonts w:eastAsia="Times New Roman"/>
          <w:sz w:val="18"/>
          <w:szCs w:val="18"/>
          <w:lang w:eastAsia="en-US"/>
        </w:rPr>
      </w:pPr>
    </w:p>
    <w:p w14:paraId="29AC5502" w14:textId="77777777" w:rsidR="00FD06ED" w:rsidRPr="00FD06ED" w:rsidRDefault="00FD06ED" w:rsidP="00FD06ED">
      <w:pPr>
        <w:spacing w:before="0" w:after="0" w:line="40" w:lineRule="atLeast"/>
        <w:ind w:left="0"/>
        <w:rPr>
          <w:rFonts w:eastAsia="Times New Roman"/>
          <w:sz w:val="18"/>
          <w:szCs w:val="18"/>
          <w:lang w:eastAsia="en-US"/>
        </w:rPr>
      </w:pPr>
      <w:r w:rsidRPr="00FD06ED">
        <w:rPr>
          <w:rFonts w:eastAsia="Times New Roman"/>
          <w:sz w:val="18"/>
          <w:szCs w:val="18"/>
          <w:lang w:eastAsia="en-US"/>
        </w:rPr>
        <w:t>There were no loans to any Key Management Personnel or other related parties during the period (2021: Nil).</w:t>
      </w:r>
    </w:p>
    <w:p w14:paraId="53460996"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40EAB3DB" w14:textId="77777777" w:rsidR="00FD06ED" w:rsidRPr="00FD06ED" w:rsidRDefault="00FD06ED" w:rsidP="00FD06ED">
      <w:pPr>
        <w:spacing w:before="0" w:after="0" w:line="40" w:lineRule="atLeast"/>
        <w:ind w:left="0"/>
        <w:rPr>
          <w:rFonts w:eastAsia="Times New Roman" w:cs="Times New Roman"/>
          <w:b/>
          <w:sz w:val="18"/>
          <w:szCs w:val="20"/>
          <w:lang w:eastAsia="en-US"/>
        </w:rPr>
      </w:pPr>
      <w:r w:rsidRPr="00FD06ED">
        <w:rPr>
          <w:rFonts w:eastAsia="Times New Roman" w:cs="Times New Roman"/>
          <w:b/>
          <w:sz w:val="18"/>
          <w:szCs w:val="20"/>
          <w:lang w:eastAsia="en-US"/>
        </w:rPr>
        <w:t>Transactions with related parties:</w:t>
      </w:r>
    </w:p>
    <w:p w14:paraId="0702B5C6" w14:textId="77777777" w:rsidR="00FD06ED" w:rsidRPr="00FD06ED" w:rsidRDefault="00FD06ED" w:rsidP="00FD06ED">
      <w:pPr>
        <w:spacing w:before="0" w:after="0" w:line="40" w:lineRule="atLeast"/>
        <w:ind w:left="0"/>
        <w:rPr>
          <w:rFonts w:eastAsia="Times New Roman"/>
          <w:sz w:val="18"/>
          <w:szCs w:val="18"/>
          <w:lang w:eastAsia="en-US"/>
        </w:rPr>
      </w:pPr>
      <w:r w:rsidRPr="00FD06ED">
        <w:rPr>
          <w:rFonts w:eastAsia="Times New Roman"/>
          <w:sz w:val="18"/>
          <w:szCs w:val="18"/>
          <w:lang w:eastAsia="en-US"/>
        </w:rPr>
        <w:t xml:space="preserve">Given the scope of Government activities, related parties may transact with the government sector in the same capacity as ordinary citizens and/or may have family members that are participants in the Scheme. These transactions are conducted at arm’s length and have not been separately disclosed in this note. </w:t>
      </w:r>
      <w:proofErr w:type="gramStart"/>
      <w:r w:rsidRPr="00FD06ED">
        <w:rPr>
          <w:rFonts w:eastAsia="Times New Roman"/>
          <w:sz w:val="18"/>
          <w:szCs w:val="18"/>
          <w:lang w:eastAsia="en-US"/>
        </w:rPr>
        <w:t>A number of</w:t>
      </w:r>
      <w:proofErr w:type="gramEnd"/>
      <w:r w:rsidRPr="00FD06ED">
        <w:rPr>
          <w:rFonts w:eastAsia="Times New Roman"/>
          <w:sz w:val="18"/>
          <w:szCs w:val="18"/>
          <w:lang w:eastAsia="en-US"/>
        </w:rPr>
        <w:t xml:space="preserve"> Key Management Personnel fall into this category. Where the Agency has had interactions with DSS and Services Australia, the financial impact of such interactions </w:t>
      </w:r>
      <w:proofErr w:type="gramStart"/>
      <w:r w:rsidRPr="00FD06ED">
        <w:rPr>
          <w:rFonts w:eastAsia="Times New Roman"/>
          <w:sz w:val="18"/>
          <w:szCs w:val="18"/>
          <w:lang w:eastAsia="en-US"/>
        </w:rPr>
        <w:t>have</w:t>
      </w:r>
      <w:proofErr w:type="gramEnd"/>
      <w:r w:rsidRPr="00FD06ED">
        <w:rPr>
          <w:rFonts w:eastAsia="Times New Roman"/>
          <w:sz w:val="18"/>
          <w:szCs w:val="18"/>
          <w:lang w:eastAsia="en-US"/>
        </w:rPr>
        <w:t xml:space="preserve"> been disclosed in sections 1 and 2 of the financial statements.</w:t>
      </w:r>
    </w:p>
    <w:p w14:paraId="0E041EE9" w14:textId="77777777" w:rsidR="00FD06ED" w:rsidRPr="00FD06ED" w:rsidRDefault="00FD06ED" w:rsidP="00FD06ED">
      <w:pPr>
        <w:spacing w:before="0" w:after="0" w:line="40" w:lineRule="atLeast"/>
        <w:ind w:left="0"/>
        <w:rPr>
          <w:rFonts w:eastAsia="Times New Roman"/>
          <w:sz w:val="18"/>
          <w:szCs w:val="18"/>
          <w:lang w:eastAsia="en-US"/>
        </w:rPr>
      </w:pPr>
    </w:p>
    <w:p w14:paraId="4F228A0A" w14:textId="77777777" w:rsidR="00FD06ED" w:rsidRPr="00FD06ED" w:rsidRDefault="00FD06ED" w:rsidP="00FD06ED">
      <w:pPr>
        <w:spacing w:before="0" w:after="0" w:line="40" w:lineRule="atLeast"/>
        <w:ind w:left="0"/>
        <w:rPr>
          <w:rFonts w:eastAsia="Times New Roman" w:cs="Times New Roman"/>
          <w:i/>
          <w:sz w:val="18"/>
          <w:szCs w:val="20"/>
          <w:u w:val="single"/>
          <w:lang w:eastAsia="en-US"/>
        </w:rPr>
      </w:pPr>
      <w:r w:rsidRPr="00FD06ED">
        <w:rPr>
          <w:rFonts w:eastAsia="Times New Roman" w:cs="Times New Roman"/>
          <w:i/>
          <w:sz w:val="18"/>
          <w:szCs w:val="20"/>
          <w:u w:val="single"/>
          <w:lang w:eastAsia="en-US"/>
        </w:rPr>
        <w:t>Registered Service Providers</w:t>
      </w:r>
    </w:p>
    <w:p w14:paraId="7B1680B7" w14:textId="77777777" w:rsidR="00FD06ED" w:rsidRPr="00FD06ED" w:rsidRDefault="00FD06ED" w:rsidP="00FD06ED">
      <w:pPr>
        <w:spacing w:before="0" w:after="0" w:line="40" w:lineRule="atLeast"/>
        <w:ind w:left="0"/>
        <w:rPr>
          <w:rFonts w:eastAsia="Times New Roman" w:cs="Times New Roman"/>
          <w:sz w:val="18"/>
          <w:szCs w:val="20"/>
          <w:lang w:eastAsia="en-US"/>
        </w:rPr>
      </w:pPr>
      <w:r w:rsidRPr="00FD06ED">
        <w:rPr>
          <w:rFonts w:eastAsia="Times New Roman" w:cs="Times New Roman"/>
          <w:sz w:val="18"/>
          <w:szCs w:val="20"/>
          <w:lang w:eastAsia="en-US"/>
        </w:rPr>
        <w:t xml:space="preserve">Participants who elect to have their plan managed by the Agency must select a registered service provider to deliver the supports in their plan. To become a registered service provider an organisation must </w:t>
      </w:r>
      <w:proofErr w:type="gramStart"/>
      <w:r w:rsidRPr="00FD06ED">
        <w:rPr>
          <w:rFonts w:eastAsia="Times New Roman" w:cs="Times New Roman"/>
          <w:sz w:val="18"/>
          <w:szCs w:val="20"/>
          <w:lang w:eastAsia="en-US"/>
        </w:rPr>
        <w:t>submit an application</w:t>
      </w:r>
      <w:proofErr w:type="gramEnd"/>
      <w:r w:rsidRPr="00FD06ED">
        <w:rPr>
          <w:rFonts w:eastAsia="Times New Roman" w:cs="Times New Roman"/>
          <w:sz w:val="18"/>
          <w:szCs w:val="20"/>
          <w:lang w:eastAsia="en-US"/>
        </w:rPr>
        <w:t xml:space="preserve"> to the NDIS Quality and Safeguards Commission. All applications are assessed against the criteria specified in </w:t>
      </w:r>
      <w:r w:rsidRPr="00FD06ED">
        <w:rPr>
          <w:rFonts w:eastAsia="Times New Roman" w:cs="Times New Roman"/>
          <w:i/>
          <w:iCs/>
          <w:sz w:val="18"/>
          <w:szCs w:val="20"/>
          <w:lang w:eastAsia="en-US"/>
        </w:rPr>
        <w:t>National Disability Insurance Scheme (Provider Registration and Practice Standards) Rules 2018.</w:t>
      </w:r>
      <w:r w:rsidRPr="00FD06ED">
        <w:rPr>
          <w:rFonts w:eastAsia="Times New Roman" w:cs="Times New Roman"/>
          <w:sz w:val="18"/>
          <w:szCs w:val="20"/>
          <w:lang w:eastAsia="en-US"/>
        </w:rPr>
        <w:t xml:space="preserve"> </w:t>
      </w:r>
    </w:p>
    <w:p w14:paraId="2954D994"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372BC83A" w14:textId="77777777" w:rsidR="00FD06ED" w:rsidRPr="00FD06ED" w:rsidRDefault="00FD06ED" w:rsidP="00FD06ED">
      <w:pPr>
        <w:spacing w:before="0" w:after="0" w:line="40" w:lineRule="atLeast"/>
        <w:ind w:left="0"/>
        <w:rPr>
          <w:rFonts w:eastAsia="Times New Roman" w:cs="Times New Roman"/>
          <w:sz w:val="18"/>
          <w:szCs w:val="20"/>
          <w:lang w:eastAsia="en-US"/>
        </w:rPr>
      </w:pPr>
      <w:r w:rsidRPr="00FD06ED">
        <w:rPr>
          <w:rFonts w:eastAsia="Times New Roman" w:cs="Times New Roman"/>
          <w:sz w:val="18"/>
          <w:szCs w:val="20"/>
          <w:lang w:eastAsia="en-US"/>
        </w:rPr>
        <w:t xml:space="preserve">Given the scope of the sector in which the Agency operates, </w:t>
      </w:r>
      <w:proofErr w:type="gramStart"/>
      <w:r w:rsidRPr="00FD06ED">
        <w:rPr>
          <w:rFonts w:eastAsia="Times New Roman" w:cs="Times New Roman"/>
          <w:sz w:val="18"/>
          <w:szCs w:val="20"/>
          <w:lang w:eastAsia="en-US"/>
        </w:rPr>
        <w:t>a number of</w:t>
      </w:r>
      <w:proofErr w:type="gramEnd"/>
      <w:r w:rsidRPr="00FD06ED">
        <w:rPr>
          <w:rFonts w:eastAsia="Times New Roman" w:cs="Times New Roman"/>
          <w:sz w:val="18"/>
          <w:szCs w:val="20"/>
          <w:lang w:eastAsia="en-US"/>
        </w:rPr>
        <w:t xml:space="preserve"> Board members also hold positions with registered service providers. Directors of the Agency are not involved in any decisions to accept or reject applications to register as a service provider. Transactions between the Agency and registered providers are initiated by the participants rather than the Agency, are at arm’s length and have not been separately disclosed in this note.</w:t>
      </w:r>
    </w:p>
    <w:p w14:paraId="25AD1B29"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450D6B7A" w14:textId="77777777" w:rsidR="00FD06ED" w:rsidRPr="00FD06ED" w:rsidRDefault="00FD06ED" w:rsidP="00FD06ED">
      <w:pPr>
        <w:spacing w:before="0" w:after="0" w:line="40" w:lineRule="atLeast"/>
        <w:ind w:left="0"/>
        <w:rPr>
          <w:rFonts w:eastAsia="Times New Roman" w:cs="Times New Roman"/>
          <w:sz w:val="18"/>
          <w:szCs w:val="20"/>
          <w:lang w:eastAsia="en-US"/>
        </w:rPr>
      </w:pPr>
      <w:r w:rsidRPr="00FD06ED">
        <w:rPr>
          <w:rFonts w:eastAsia="Times New Roman"/>
          <w:sz w:val="18"/>
          <w:szCs w:val="18"/>
          <w:lang w:eastAsia="en-US"/>
        </w:rPr>
        <w:t>The following cash payments were made to parties related to Key Management Personnel members during the financial year:</w:t>
      </w:r>
    </w:p>
    <w:tbl>
      <w:tblPr>
        <w:tblW w:w="9356" w:type="dxa"/>
        <w:tblLayout w:type="fixed"/>
        <w:tblLook w:val="04A0" w:firstRow="1" w:lastRow="0" w:firstColumn="1" w:lastColumn="0" w:noHBand="0" w:noVBand="1"/>
      </w:tblPr>
      <w:tblGrid>
        <w:gridCol w:w="2694"/>
        <w:gridCol w:w="1994"/>
        <w:gridCol w:w="2683"/>
        <w:gridCol w:w="851"/>
        <w:gridCol w:w="275"/>
        <w:gridCol w:w="859"/>
      </w:tblGrid>
      <w:tr w:rsidR="00FD06ED" w:rsidRPr="00FD06ED" w14:paraId="428155BE" w14:textId="77777777" w:rsidTr="005C33EF">
        <w:trPr>
          <w:trHeight w:val="255"/>
        </w:trPr>
        <w:tc>
          <w:tcPr>
            <w:tcW w:w="2694" w:type="dxa"/>
            <w:tcBorders>
              <w:top w:val="nil"/>
              <w:left w:val="nil"/>
              <w:bottom w:val="nil"/>
              <w:right w:val="nil"/>
            </w:tcBorders>
            <w:shd w:val="clear" w:color="FFFFFF" w:fill="FFFFFF"/>
            <w:noWrap/>
            <w:vAlign w:val="bottom"/>
          </w:tcPr>
          <w:p w14:paraId="2EE0F1E0"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1994" w:type="dxa"/>
            <w:tcBorders>
              <w:top w:val="nil"/>
              <w:left w:val="nil"/>
              <w:bottom w:val="nil"/>
              <w:right w:val="nil"/>
            </w:tcBorders>
            <w:shd w:val="clear" w:color="FFFFFF" w:fill="FFFFFF"/>
          </w:tcPr>
          <w:p w14:paraId="06ABEDF4"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2683" w:type="dxa"/>
            <w:tcBorders>
              <w:top w:val="nil"/>
              <w:left w:val="nil"/>
              <w:bottom w:val="nil"/>
              <w:right w:val="nil"/>
            </w:tcBorders>
            <w:shd w:val="clear" w:color="FFFFFF" w:fill="FFFFFF"/>
          </w:tcPr>
          <w:p w14:paraId="0CD45960"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851" w:type="dxa"/>
            <w:tcBorders>
              <w:top w:val="nil"/>
              <w:left w:val="nil"/>
              <w:bottom w:val="nil"/>
              <w:right w:val="nil"/>
            </w:tcBorders>
            <w:shd w:val="clear" w:color="FFFFFF" w:fill="FFFFFF"/>
            <w:vAlign w:val="bottom"/>
          </w:tcPr>
          <w:p w14:paraId="49756009"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fldChar w:fldCharType="begin"/>
            </w:r>
            <w:r w:rsidRPr="00FD06ED">
              <w:rPr>
                <w:rFonts w:eastAsia="Times New Roman"/>
                <w:b/>
                <w:bCs/>
                <w:sz w:val="18"/>
                <w:szCs w:val="18"/>
                <w:lang w:eastAsia="en-US"/>
              </w:rPr>
              <w:instrText xml:space="preserve"> DOCPROPERTY  crYear  \* MERGEFORMAT </w:instrText>
            </w:r>
            <w:r w:rsidRPr="00FD06ED">
              <w:rPr>
                <w:rFonts w:eastAsia="Times New Roman"/>
                <w:b/>
                <w:bCs/>
                <w:sz w:val="18"/>
                <w:szCs w:val="18"/>
                <w:lang w:eastAsia="en-US"/>
              </w:rPr>
              <w:fldChar w:fldCharType="separate"/>
            </w:r>
            <w:r w:rsidRPr="00FD06ED">
              <w:rPr>
                <w:rFonts w:eastAsia="Times New Roman"/>
                <w:b/>
                <w:bCs/>
                <w:sz w:val="18"/>
                <w:szCs w:val="18"/>
                <w:lang w:eastAsia="en-US"/>
              </w:rPr>
              <w:t>2022</w:t>
            </w:r>
            <w:r w:rsidRPr="00FD06ED">
              <w:rPr>
                <w:rFonts w:eastAsia="Times New Roman"/>
                <w:b/>
                <w:bCs/>
                <w:sz w:val="18"/>
                <w:szCs w:val="18"/>
                <w:lang w:eastAsia="en-US"/>
              </w:rPr>
              <w:fldChar w:fldCharType="end"/>
            </w:r>
          </w:p>
        </w:tc>
        <w:tc>
          <w:tcPr>
            <w:tcW w:w="275" w:type="dxa"/>
            <w:tcBorders>
              <w:top w:val="nil"/>
              <w:left w:val="nil"/>
              <w:bottom w:val="nil"/>
              <w:right w:val="nil"/>
            </w:tcBorders>
            <w:shd w:val="clear" w:color="FFFFFF" w:fill="FFFFFF"/>
            <w:noWrap/>
            <w:vAlign w:val="bottom"/>
          </w:tcPr>
          <w:p w14:paraId="36F220E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859" w:type="dxa"/>
            <w:tcBorders>
              <w:top w:val="nil"/>
              <w:left w:val="nil"/>
              <w:bottom w:val="nil"/>
              <w:right w:val="nil"/>
            </w:tcBorders>
            <w:shd w:val="clear" w:color="FFFFFF" w:fill="FFFFFF"/>
            <w:vAlign w:val="bottom"/>
          </w:tcPr>
          <w:p w14:paraId="01E4D30D"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2021</w:t>
            </w:r>
            <w:r w:rsidRPr="00FD06ED">
              <w:rPr>
                <w:rFonts w:eastAsia="Times New Roman"/>
                <w:sz w:val="18"/>
                <w:szCs w:val="18"/>
                <w:lang w:eastAsia="en-US"/>
              </w:rPr>
              <w:fldChar w:fldCharType="end"/>
            </w:r>
          </w:p>
        </w:tc>
      </w:tr>
      <w:tr w:rsidR="00FD06ED" w:rsidRPr="00FD06ED" w14:paraId="46BD2BD7" w14:textId="77777777" w:rsidTr="005C33EF">
        <w:trPr>
          <w:trHeight w:val="255"/>
        </w:trPr>
        <w:tc>
          <w:tcPr>
            <w:tcW w:w="2694" w:type="dxa"/>
            <w:tcBorders>
              <w:top w:val="nil"/>
              <w:left w:val="nil"/>
              <w:bottom w:val="single" w:sz="4" w:space="0" w:color="auto"/>
              <w:right w:val="nil"/>
            </w:tcBorders>
            <w:shd w:val="clear" w:color="FFFFFF" w:fill="FFFFFF"/>
            <w:noWrap/>
            <w:vAlign w:val="bottom"/>
          </w:tcPr>
          <w:p w14:paraId="76C32075"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1994" w:type="dxa"/>
            <w:tcBorders>
              <w:top w:val="nil"/>
              <w:left w:val="nil"/>
              <w:bottom w:val="single" w:sz="4" w:space="0" w:color="auto"/>
              <w:right w:val="nil"/>
            </w:tcBorders>
            <w:shd w:val="clear" w:color="FFFFFF" w:fill="FFFFFF"/>
          </w:tcPr>
          <w:p w14:paraId="36C10F75"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2683" w:type="dxa"/>
            <w:tcBorders>
              <w:top w:val="nil"/>
              <w:left w:val="nil"/>
              <w:bottom w:val="single" w:sz="4" w:space="0" w:color="auto"/>
              <w:right w:val="nil"/>
            </w:tcBorders>
            <w:shd w:val="clear" w:color="FFFFFF" w:fill="FFFFFF"/>
          </w:tcPr>
          <w:p w14:paraId="277AC529" w14:textId="77777777" w:rsidR="00FD06ED" w:rsidRPr="00FD06ED" w:rsidRDefault="00FD06ED" w:rsidP="00FD06ED">
            <w:pPr>
              <w:spacing w:before="0" w:after="0" w:line="260" w:lineRule="atLeast"/>
              <w:ind w:left="0"/>
              <w:rPr>
                <w:rFonts w:eastAsia="Times New Roman"/>
                <w:b/>
                <w:bCs/>
                <w:sz w:val="18"/>
                <w:szCs w:val="18"/>
                <w:lang w:eastAsia="en-US"/>
              </w:rPr>
            </w:pPr>
          </w:p>
        </w:tc>
        <w:tc>
          <w:tcPr>
            <w:tcW w:w="851" w:type="dxa"/>
            <w:tcBorders>
              <w:top w:val="nil"/>
              <w:left w:val="nil"/>
              <w:bottom w:val="single" w:sz="4" w:space="0" w:color="auto"/>
              <w:right w:val="nil"/>
            </w:tcBorders>
            <w:shd w:val="clear" w:color="FFFFFF" w:fill="FFFFFF"/>
            <w:vAlign w:val="bottom"/>
          </w:tcPr>
          <w:p w14:paraId="2BEA7E9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75" w:type="dxa"/>
            <w:tcBorders>
              <w:top w:val="nil"/>
              <w:left w:val="nil"/>
              <w:bottom w:val="single" w:sz="4" w:space="0" w:color="auto"/>
              <w:right w:val="nil"/>
            </w:tcBorders>
            <w:shd w:val="clear" w:color="FFFFFF" w:fill="FFFFFF"/>
            <w:noWrap/>
            <w:vAlign w:val="bottom"/>
          </w:tcPr>
          <w:p w14:paraId="5E06AE9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859" w:type="dxa"/>
            <w:tcBorders>
              <w:top w:val="nil"/>
              <w:left w:val="nil"/>
              <w:bottom w:val="single" w:sz="4" w:space="0" w:color="auto"/>
              <w:right w:val="nil"/>
            </w:tcBorders>
            <w:shd w:val="clear" w:color="FFFFFF" w:fill="FFFFFF"/>
            <w:vAlign w:val="bottom"/>
          </w:tcPr>
          <w:p w14:paraId="41647A8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27771A7A" w14:textId="77777777" w:rsidTr="005C33EF">
        <w:trPr>
          <w:trHeight w:val="255"/>
        </w:trPr>
        <w:tc>
          <w:tcPr>
            <w:tcW w:w="2694" w:type="dxa"/>
            <w:tcBorders>
              <w:top w:val="single" w:sz="4" w:space="0" w:color="auto"/>
              <w:left w:val="nil"/>
              <w:bottom w:val="single" w:sz="4" w:space="0" w:color="auto"/>
              <w:right w:val="nil"/>
            </w:tcBorders>
            <w:shd w:val="clear" w:color="FFFFFF" w:fill="FFFFFF"/>
            <w:noWrap/>
            <w:vAlign w:val="center"/>
            <w:hideMark/>
          </w:tcPr>
          <w:p w14:paraId="6247A3AE" w14:textId="77777777" w:rsidR="00FD06ED" w:rsidRPr="00FD06ED" w:rsidRDefault="00FD06ED" w:rsidP="00FD06ED">
            <w:pPr>
              <w:spacing w:before="0" w:after="0" w:line="260" w:lineRule="atLeast"/>
              <w:ind w:left="0"/>
              <w:rPr>
                <w:rFonts w:eastAsia="Times New Roman"/>
                <w:b/>
                <w:sz w:val="18"/>
                <w:szCs w:val="18"/>
                <w:lang w:eastAsia="en-US"/>
              </w:rPr>
            </w:pPr>
            <w:r w:rsidRPr="00FD06ED">
              <w:rPr>
                <w:rFonts w:eastAsia="Times New Roman"/>
                <w:b/>
                <w:sz w:val="18"/>
                <w:szCs w:val="18"/>
                <w:lang w:eastAsia="en-US"/>
              </w:rPr>
              <w:t>Board Member</w:t>
            </w:r>
          </w:p>
        </w:tc>
        <w:tc>
          <w:tcPr>
            <w:tcW w:w="4677" w:type="dxa"/>
            <w:gridSpan w:val="2"/>
            <w:tcBorders>
              <w:top w:val="single" w:sz="4" w:space="0" w:color="auto"/>
              <w:left w:val="nil"/>
              <w:bottom w:val="single" w:sz="4" w:space="0" w:color="auto"/>
              <w:right w:val="nil"/>
            </w:tcBorders>
            <w:shd w:val="clear" w:color="FFFFFF" w:fill="FFFFFF"/>
          </w:tcPr>
          <w:p w14:paraId="715F3C7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Related party and payments for services rendered by the related party</w:t>
            </w:r>
            <w:r w:rsidRPr="00FD06ED">
              <w:rPr>
                <w:rFonts w:eastAsia="Times New Roman"/>
                <w:bCs/>
                <w:sz w:val="16"/>
                <w:szCs w:val="16"/>
                <w:vertAlign w:val="superscript"/>
                <w:lang w:eastAsia="en-US"/>
              </w:rPr>
              <w:t>1</w:t>
            </w:r>
          </w:p>
        </w:tc>
        <w:tc>
          <w:tcPr>
            <w:tcW w:w="851" w:type="dxa"/>
            <w:tcBorders>
              <w:top w:val="single" w:sz="4" w:space="0" w:color="auto"/>
              <w:left w:val="nil"/>
              <w:bottom w:val="single" w:sz="4" w:space="0" w:color="auto"/>
              <w:right w:val="nil"/>
            </w:tcBorders>
            <w:shd w:val="clear" w:color="FFFFFF" w:fill="FFFFFF"/>
            <w:vAlign w:val="bottom"/>
          </w:tcPr>
          <w:p w14:paraId="6D9FEE3B" w14:textId="77777777" w:rsidR="00FD06ED" w:rsidRPr="00FD06ED" w:rsidRDefault="00FD06ED" w:rsidP="00FD06ED">
            <w:pPr>
              <w:spacing w:before="0" w:after="0" w:line="260" w:lineRule="atLeast"/>
              <w:ind w:left="0"/>
              <w:jc w:val="right"/>
              <w:rPr>
                <w:rFonts w:eastAsia="Times New Roman"/>
                <w:b/>
                <w:bCs/>
                <w:sz w:val="18"/>
                <w:szCs w:val="18"/>
                <w:highlight w:val="yellow"/>
                <w:lang w:eastAsia="en-US"/>
              </w:rPr>
            </w:pPr>
          </w:p>
        </w:tc>
        <w:tc>
          <w:tcPr>
            <w:tcW w:w="275" w:type="dxa"/>
            <w:tcBorders>
              <w:top w:val="single" w:sz="4" w:space="0" w:color="auto"/>
              <w:left w:val="nil"/>
              <w:bottom w:val="single" w:sz="4" w:space="0" w:color="auto"/>
              <w:right w:val="nil"/>
            </w:tcBorders>
            <w:shd w:val="clear" w:color="FFFFFF" w:fill="FFFFFF"/>
            <w:noWrap/>
            <w:vAlign w:val="bottom"/>
          </w:tcPr>
          <w:p w14:paraId="2B834C70" w14:textId="77777777" w:rsidR="00FD06ED" w:rsidRPr="00FD06ED" w:rsidRDefault="00FD06ED" w:rsidP="00FD06ED">
            <w:pPr>
              <w:spacing w:before="0" w:after="0" w:line="260" w:lineRule="atLeast"/>
              <w:ind w:left="0"/>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vAlign w:val="bottom"/>
          </w:tcPr>
          <w:p w14:paraId="67183A07"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r>
      <w:tr w:rsidR="00FD06ED" w:rsidRPr="00FD06ED" w14:paraId="1D5A890B" w14:textId="77777777" w:rsidTr="005C33EF">
        <w:trPr>
          <w:trHeight w:val="255"/>
        </w:trPr>
        <w:tc>
          <w:tcPr>
            <w:tcW w:w="2694" w:type="dxa"/>
            <w:tcBorders>
              <w:top w:val="dotted" w:sz="4" w:space="0" w:color="auto"/>
              <w:left w:val="nil"/>
              <w:bottom w:val="dotted" w:sz="4" w:space="0" w:color="auto"/>
              <w:right w:val="nil"/>
            </w:tcBorders>
            <w:shd w:val="clear" w:color="FFFFFF" w:fill="FFFFFF"/>
            <w:noWrap/>
          </w:tcPr>
          <w:p w14:paraId="1F3F7E6F" w14:textId="77777777" w:rsidR="00FD06ED" w:rsidRPr="00FD06ED" w:rsidRDefault="00FD06ED" w:rsidP="00FD06ED">
            <w:pPr>
              <w:spacing w:before="0" w:after="0" w:line="260" w:lineRule="atLeast"/>
              <w:ind w:left="176"/>
              <w:rPr>
                <w:rFonts w:eastAsia="Times New Roman"/>
                <w:sz w:val="18"/>
                <w:szCs w:val="18"/>
                <w:lang w:eastAsia="en-US"/>
              </w:rPr>
            </w:pPr>
            <w:r w:rsidRPr="00FD06ED">
              <w:rPr>
                <w:rFonts w:eastAsia="Times New Roman"/>
                <w:sz w:val="18"/>
                <w:szCs w:val="18"/>
                <w:lang w:eastAsia="en-US"/>
              </w:rPr>
              <w:t>Mr Glenn Keys AO</w:t>
            </w:r>
          </w:p>
        </w:tc>
        <w:tc>
          <w:tcPr>
            <w:tcW w:w="4677" w:type="dxa"/>
            <w:gridSpan w:val="2"/>
            <w:tcBorders>
              <w:top w:val="dotted" w:sz="4" w:space="0" w:color="auto"/>
              <w:left w:val="nil"/>
              <w:bottom w:val="dotted" w:sz="4" w:space="0" w:color="auto"/>
              <w:right w:val="nil"/>
            </w:tcBorders>
            <w:shd w:val="clear" w:color="FFFFFF" w:fill="FFFFFF"/>
          </w:tcPr>
          <w:p w14:paraId="61E2201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Executive Chair of Aspen Medical Pty Ltd (Aspen). Aspen provided support to the Agency’s COVID-19 Response.</w:t>
            </w:r>
          </w:p>
        </w:tc>
        <w:tc>
          <w:tcPr>
            <w:tcW w:w="851" w:type="dxa"/>
            <w:tcBorders>
              <w:top w:val="dotted" w:sz="4" w:space="0" w:color="auto"/>
              <w:left w:val="nil"/>
              <w:bottom w:val="dotted" w:sz="4" w:space="0" w:color="auto"/>
              <w:right w:val="nil"/>
            </w:tcBorders>
            <w:shd w:val="clear" w:color="FFFFFF" w:fill="FFFFFF"/>
          </w:tcPr>
          <w:p w14:paraId="3AF531C6" w14:textId="77777777" w:rsidR="00FD06ED" w:rsidRPr="00FD06ED" w:rsidRDefault="00FD06ED" w:rsidP="00FD06ED">
            <w:pPr>
              <w:spacing w:before="0" w:after="0" w:line="260" w:lineRule="atLeast"/>
              <w:ind w:left="0" w:right="90"/>
              <w:jc w:val="right"/>
              <w:rPr>
                <w:rFonts w:eastAsia="Times New Roman"/>
                <w:b/>
                <w:bCs/>
                <w:sz w:val="18"/>
                <w:szCs w:val="18"/>
                <w:highlight w:val="yellow"/>
                <w:lang w:eastAsia="en-US"/>
              </w:rPr>
            </w:pPr>
            <w:r w:rsidRPr="00FD06ED">
              <w:rPr>
                <w:rFonts w:eastAsia="Times New Roman"/>
                <w:b/>
                <w:bCs/>
                <w:sz w:val="18"/>
                <w:szCs w:val="18"/>
                <w:lang w:eastAsia="en-US"/>
              </w:rPr>
              <w:t>265</w:t>
            </w:r>
          </w:p>
        </w:tc>
        <w:tc>
          <w:tcPr>
            <w:tcW w:w="275" w:type="dxa"/>
            <w:tcBorders>
              <w:top w:val="dotted" w:sz="4" w:space="0" w:color="auto"/>
              <w:left w:val="nil"/>
              <w:bottom w:val="dotted" w:sz="4" w:space="0" w:color="auto"/>
              <w:right w:val="nil"/>
            </w:tcBorders>
            <w:shd w:val="clear" w:color="FFFFFF" w:fill="FFFFFF"/>
            <w:noWrap/>
          </w:tcPr>
          <w:p w14:paraId="6B834D99" w14:textId="77777777" w:rsidR="00FD06ED" w:rsidRPr="00FD06ED" w:rsidRDefault="00FD06ED" w:rsidP="00FD06ED">
            <w:pPr>
              <w:spacing w:before="0" w:after="0" w:line="260" w:lineRule="atLeast"/>
              <w:ind w:left="0"/>
              <w:rPr>
                <w:rFonts w:eastAsia="Times New Roman"/>
                <w:sz w:val="18"/>
                <w:szCs w:val="18"/>
                <w:highlight w:val="yellow"/>
                <w:lang w:eastAsia="en-US"/>
              </w:rPr>
            </w:pPr>
          </w:p>
          <w:p w14:paraId="2744CA2A" w14:textId="77777777" w:rsidR="00FD06ED" w:rsidRPr="00FD06ED" w:rsidRDefault="00FD06ED" w:rsidP="00FD06ED">
            <w:pPr>
              <w:spacing w:before="0" w:after="0" w:line="260" w:lineRule="atLeast"/>
              <w:ind w:left="0"/>
              <w:rPr>
                <w:rFonts w:eastAsia="Times New Roman"/>
                <w:sz w:val="18"/>
                <w:szCs w:val="18"/>
                <w:highlight w:val="yellow"/>
                <w:lang w:eastAsia="en-US"/>
              </w:rPr>
            </w:pPr>
          </w:p>
          <w:p w14:paraId="150C702C" w14:textId="77777777" w:rsidR="00FD06ED" w:rsidRPr="00FD06ED" w:rsidRDefault="00FD06ED" w:rsidP="00FD06ED">
            <w:pPr>
              <w:spacing w:before="0" w:after="0" w:line="260" w:lineRule="atLeast"/>
              <w:ind w:left="0"/>
              <w:rPr>
                <w:rFonts w:eastAsia="Times New Roman"/>
                <w:sz w:val="18"/>
                <w:szCs w:val="18"/>
                <w:highlight w:val="yellow"/>
                <w:lang w:eastAsia="en-US"/>
              </w:rPr>
            </w:pPr>
          </w:p>
          <w:p w14:paraId="19380355" w14:textId="77777777" w:rsidR="00FD06ED" w:rsidRPr="00FD06ED" w:rsidRDefault="00FD06ED" w:rsidP="00FD06ED">
            <w:pPr>
              <w:spacing w:before="0" w:after="0" w:line="260" w:lineRule="atLeast"/>
              <w:ind w:left="0"/>
              <w:rPr>
                <w:rFonts w:eastAsia="Times New Roman"/>
                <w:sz w:val="18"/>
                <w:szCs w:val="18"/>
                <w:highlight w:val="yellow"/>
                <w:lang w:eastAsia="en-US"/>
              </w:rPr>
            </w:pPr>
          </w:p>
        </w:tc>
        <w:tc>
          <w:tcPr>
            <w:tcW w:w="859" w:type="dxa"/>
            <w:tcBorders>
              <w:top w:val="dotted" w:sz="4" w:space="0" w:color="auto"/>
              <w:left w:val="nil"/>
              <w:bottom w:val="dotted" w:sz="4" w:space="0" w:color="auto"/>
              <w:right w:val="nil"/>
            </w:tcBorders>
            <w:shd w:val="clear" w:color="FFFFFF" w:fill="FFFFFF"/>
          </w:tcPr>
          <w:p w14:paraId="14E481F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353</w:t>
            </w:r>
          </w:p>
        </w:tc>
      </w:tr>
      <w:tr w:rsidR="00FD06ED" w:rsidRPr="00FD06ED" w14:paraId="3A8BBA68" w14:textId="77777777" w:rsidTr="005C33EF">
        <w:trPr>
          <w:trHeight w:val="255"/>
        </w:trPr>
        <w:tc>
          <w:tcPr>
            <w:tcW w:w="2694" w:type="dxa"/>
            <w:tcBorders>
              <w:top w:val="single" w:sz="4" w:space="0" w:color="auto"/>
              <w:left w:val="nil"/>
              <w:bottom w:val="single" w:sz="4" w:space="0" w:color="auto"/>
              <w:right w:val="nil"/>
            </w:tcBorders>
            <w:shd w:val="clear" w:color="FFFFFF" w:fill="FFFFFF"/>
            <w:noWrap/>
            <w:vAlign w:val="center"/>
          </w:tcPr>
          <w:p w14:paraId="35483A32" w14:textId="77777777" w:rsidR="00FD06ED" w:rsidRPr="00FD06ED" w:rsidRDefault="00FD06ED" w:rsidP="00FD06ED">
            <w:pPr>
              <w:spacing w:before="0" w:after="0" w:line="260" w:lineRule="atLeast"/>
              <w:ind w:left="176"/>
              <w:rPr>
                <w:rFonts w:eastAsia="Times New Roman"/>
                <w:sz w:val="18"/>
                <w:szCs w:val="18"/>
                <w:lang w:eastAsia="en-US"/>
              </w:rPr>
            </w:pPr>
            <w:r w:rsidRPr="00FD06ED">
              <w:rPr>
                <w:rFonts w:eastAsia="Times New Roman"/>
                <w:b/>
                <w:bCs/>
                <w:sz w:val="18"/>
                <w:szCs w:val="18"/>
                <w:lang w:eastAsia="en-US"/>
              </w:rPr>
              <w:t>Key Management Personnel Executive Members</w:t>
            </w:r>
          </w:p>
        </w:tc>
        <w:tc>
          <w:tcPr>
            <w:tcW w:w="4677" w:type="dxa"/>
            <w:gridSpan w:val="2"/>
            <w:tcBorders>
              <w:top w:val="single" w:sz="4" w:space="0" w:color="auto"/>
              <w:left w:val="nil"/>
              <w:bottom w:val="single" w:sz="4" w:space="0" w:color="auto"/>
              <w:right w:val="nil"/>
            </w:tcBorders>
            <w:shd w:val="clear" w:color="FFFFFF" w:fill="FFFFFF"/>
            <w:vAlign w:val="center"/>
          </w:tcPr>
          <w:p w14:paraId="2EED69C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b/>
                <w:bCs/>
                <w:sz w:val="18"/>
                <w:szCs w:val="18"/>
                <w:lang w:eastAsia="en-US"/>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14:paraId="64FFDA6C" w14:textId="77777777" w:rsidR="00FD06ED" w:rsidRPr="00FD06ED" w:rsidRDefault="00FD06ED" w:rsidP="00FD06ED">
            <w:pPr>
              <w:spacing w:before="0" w:after="0" w:line="260" w:lineRule="atLeast"/>
              <w:ind w:left="0"/>
              <w:jc w:val="right"/>
              <w:rPr>
                <w:rFonts w:eastAsia="Times New Roman"/>
                <w:b/>
                <w:bCs/>
                <w:sz w:val="18"/>
                <w:szCs w:val="18"/>
                <w:highlight w:val="yellow"/>
                <w:lang w:eastAsia="en-US"/>
              </w:rPr>
            </w:pPr>
          </w:p>
        </w:tc>
        <w:tc>
          <w:tcPr>
            <w:tcW w:w="275" w:type="dxa"/>
            <w:tcBorders>
              <w:top w:val="single" w:sz="4" w:space="0" w:color="auto"/>
              <w:left w:val="nil"/>
              <w:bottom w:val="single" w:sz="4" w:space="0" w:color="auto"/>
              <w:right w:val="nil"/>
            </w:tcBorders>
            <w:shd w:val="clear" w:color="FFFFFF" w:fill="FFFFFF"/>
            <w:noWrap/>
            <w:vAlign w:val="bottom"/>
          </w:tcPr>
          <w:p w14:paraId="466B46FD" w14:textId="77777777" w:rsidR="00FD06ED" w:rsidRPr="00FD06ED" w:rsidRDefault="00FD06ED" w:rsidP="00FD06ED">
            <w:pPr>
              <w:spacing w:before="0" w:after="0" w:line="260" w:lineRule="atLeast"/>
              <w:ind w:left="0"/>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vAlign w:val="bottom"/>
          </w:tcPr>
          <w:p w14:paraId="1C8F2504"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r>
      <w:tr w:rsidR="00FD06ED" w:rsidRPr="00FD06ED" w14:paraId="7727205D" w14:textId="77777777" w:rsidTr="005C33EF">
        <w:trPr>
          <w:trHeight w:val="873"/>
        </w:trPr>
        <w:tc>
          <w:tcPr>
            <w:tcW w:w="2694" w:type="dxa"/>
            <w:tcBorders>
              <w:top w:val="single" w:sz="4" w:space="0" w:color="auto"/>
              <w:left w:val="nil"/>
              <w:bottom w:val="single" w:sz="4" w:space="0" w:color="auto"/>
              <w:right w:val="nil"/>
            </w:tcBorders>
            <w:shd w:val="clear" w:color="FFFFFF" w:fill="FFFFFF"/>
            <w:noWrap/>
          </w:tcPr>
          <w:p w14:paraId="1D7B0B37" w14:textId="77777777" w:rsidR="00FD06ED" w:rsidRPr="00FD06ED" w:rsidRDefault="00FD06ED" w:rsidP="00FD06ED">
            <w:pPr>
              <w:spacing w:before="0" w:after="0" w:line="260" w:lineRule="atLeast"/>
              <w:ind w:left="176"/>
              <w:rPr>
                <w:rFonts w:eastAsia="Times New Roman"/>
                <w:sz w:val="18"/>
                <w:szCs w:val="18"/>
                <w:lang w:eastAsia="en-US"/>
              </w:rPr>
            </w:pPr>
            <w:r w:rsidRPr="00FD06ED">
              <w:rPr>
                <w:rFonts w:eastAsia="Times New Roman"/>
                <w:sz w:val="18"/>
                <w:szCs w:val="18"/>
                <w:lang w:eastAsia="en-US"/>
              </w:rPr>
              <w:t xml:space="preserve">Ms Sarah Johnson </w:t>
            </w:r>
          </w:p>
          <w:p w14:paraId="1469F1E2" w14:textId="77777777" w:rsidR="00FD06ED" w:rsidRPr="00FD06ED" w:rsidRDefault="00FD06ED" w:rsidP="00FD06ED">
            <w:pPr>
              <w:spacing w:before="0" w:after="0" w:line="260" w:lineRule="atLeast"/>
              <w:ind w:left="0"/>
              <w:rPr>
                <w:rFonts w:eastAsia="Times New Roman"/>
                <w:i/>
                <w:sz w:val="18"/>
                <w:szCs w:val="18"/>
                <w:lang w:eastAsia="en-US"/>
              </w:rPr>
            </w:pPr>
          </w:p>
        </w:tc>
        <w:tc>
          <w:tcPr>
            <w:tcW w:w="4677" w:type="dxa"/>
            <w:gridSpan w:val="2"/>
            <w:tcBorders>
              <w:top w:val="single" w:sz="4" w:space="0" w:color="auto"/>
              <w:left w:val="nil"/>
              <w:bottom w:val="single" w:sz="4" w:space="0" w:color="auto"/>
              <w:right w:val="nil"/>
            </w:tcBorders>
            <w:shd w:val="clear" w:color="FFFFFF" w:fill="FFFFFF"/>
          </w:tcPr>
          <w:p w14:paraId="3F7127B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Proprietor of Sarah Consulting Pty Ltd. </w:t>
            </w:r>
          </w:p>
          <w:p w14:paraId="730D95A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Sarah Consulting provided scheme actuarial services to the Agency.</w:t>
            </w:r>
            <w:r w:rsidRPr="00FD06ED">
              <w:rPr>
                <w:rFonts w:eastAsia="Times New Roman"/>
                <w:sz w:val="18"/>
                <w:szCs w:val="18"/>
                <w:lang w:eastAsia="en-US"/>
              </w:rPr>
              <w:br/>
              <w:t>Acting Deputy CEO Design, Digital and Strategy.</w:t>
            </w:r>
          </w:p>
        </w:tc>
        <w:tc>
          <w:tcPr>
            <w:tcW w:w="851" w:type="dxa"/>
            <w:tcBorders>
              <w:top w:val="single" w:sz="4" w:space="0" w:color="auto"/>
              <w:left w:val="nil"/>
              <w:bottom w:val="single" w:sz="4" w:space="0" w:color="auto"/>
              <w:right w:val="nil"/>
            </w:tcBorders>
            <w:shd w:val="clear" w:color="FFFFFF" w:fill="FFFFFF"/>
          </w:tcPr>
          <w:p w14:paraId="6B3349BC" w14:textId="77777777" w:rsidR="00FD06ED" w:rsidRPr="00FD06ED" w:rsidRDefault="00FD06ED" w:rsidP="00FD06ED">
            <w:pPr>
              <w:spacing w:before="0" w:after="0" w:line="260" w:lineRule="atLeast"/>
              <w:ind w:left="0"/>
              <w:jc w:val="right"/>
              <w:rPr>
                <w:rFonts w:eastAsia="Times New Roman"/>
                <w:b/>
                <w:bCs/>
                <w:sz w:val="18"/>
                <w:szCs w:val="18"/>
                <w:highlight w:val="yellow"/>
                <w:lang w:eastAsia="en-US"/>
              </w:rPr>
            </w:pPr>
            <w:r w:rsidRPr="00FD06ED">
              <w:rPr>
                <w:rFonts w:eastAsia="Times New Roman"/>
                <w:b/>
                <w:bCs/>
                <w:sz w:val="18"/>
                <w:szCs w:val="18"/>
                <w:lang w:eastAsia="en-US"/>
              </w:rPr>
              <w:t>484</w:t>
            </w:r>
          </w:p>
        </w:tc>
        <w:tc>
          <w:tcPr>
            <w:tcW w:w="275" w:type="dxa"/>
            <w:tcBorders>
              <w:top w:val="single" w:sz="4" w:space="0" w:color="auto"/>
              <w:left w:val="nil"/>
              <w:bottom w:val="single" w:sz="4" w:space="0" w:color="auto"/>
              <w:right w:val="nil"/>
            </w:tcBorders>
            <w:shd w:val="clear" w:color="FFFFFF" w:fill="FFFFFF"/>
            <w:noWrap/>
          </w:tcPr>
          <w:p w14:paraId="29A0AD4E"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tcPr>
          <w:p w14:paraId="1425547E"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r w:rsidRPr="00FD06ED">
              <w:rPr>
                <w:rFonts w:eastAsia="Times New Roman"/>
                <w:sz w:val="18"/>
                <w:szCs w:val="18"/>
                <w:lang w:eastAsia="en-US"/>
              </w:rPr>
              <w:t>442</w:t>
            </w:r>
          </w:p>
        </w:tc>
      </w:tr>
      <w:tr w:rsidR="00FD06ED" w:rsidRPr="00FD06ED" w14:paraId="67BDAC9F" w14:textId="77777777" w:rsidTr="005C33EF">
        <w:trPr>
          <w:trHeight w:val="255"/>
        </w:trPr>
        <w:tc>
          <w:tcPr>
            <w:tcW w:w="2694" w:type="dxa"/>
            <w:tcBorders>
              <w:top w:val="single" w:sz="4" w:space="0" w:color="auto"/>
              <w:left w:val="nil"/>
              <w:bottom w:val="single" w:sz="4" w:space="0" w:color="auto"/>
              <w:right w:val="nil"/>
            </w:tcBorders>
            <w:shd w:val="clear" w:color="FFFFFF" w:fill="FFFFFF"/>
            <w:noWrap/>
          </w:tcPr>
          <w:p w14:paraId="331191A3" w14:textId="77777777" w:rsidR="00FD06ED" w:rsidRPr="00FD06ED" w:rsidRDefault="00FD06ED" w:rsidP="00FD06ED">
            <w:pPr>
              <w:spacing w:before="0" w:after="0" w:line="260" w:lineRule="atLeast"/>
              <w:ind w:left="176"/>
              <w:rPr>
                <w:rFonts w:eastAsia="Times New Roman"/>
                <w:sz w:val="18"/>
                <w:szCs w:val="18"/>
                <w:lang w:eastAsia="en-US"/>
              </w:rPr>
            </w:pPr>
            <w:r w:rsidRPr="00FD06ED">
              <w:rPr>
                <w:rFonts w:eastAsia="Times New Roman"/>
                <w:sz w:val="18"/>
                <w:szCs w:val="18"/>
                <w:lang w:eastAsia="en-US"/>
              </w:rPr>
              <w:t xml:space="preserve">Mr Oliver </w:t>
            </w:r>
            <w:proofErr w:type="spellStart"/>
            <w:r w:rsidRPr="00FD06ED">
              <w:rPr>
                <w:rFonts w:eastAsia="Times New Roman"/>
                <w:sz w:val="18"/>
                <w:szCs w:val="18"/>
                <w:lang w:eastAsia="en-US"/>
              </w:rPr>
              <w:t>Bladek</w:t>
            </w:r>
            <w:proofErr w:type="spellEnd"/>
          </w:p>
          <w:p w14:paraId="440CEBD0" w14:textId="77777777" w:rsidR="00FD06ED" w:rsidRPr="00FD06ED" w:rsidRDefault="00FD06ED" w:rsidP="00FD06ED">
            <w:pPr>
              <w:spacing w:before="0" w:after="0" w:line="260" w:lineRule="atLeast"/>
              <w:ind w:left="176"/>
              <w:rPr>
                <w:rFonts w:eastAsia="Times New Roman"/>
                <w:b/>
                <w:bCs/>
                <w:sz w:val="18"/>
                <w:szCs w:val="18"/>
                <w:u w:val="single"/>
                <w:lang w:eastAsia="en-US"/>
              </w:rPr>
            </w:pPr>
          </w:p>
        </w:tc>
        <w:tc>
          <w:tcPr>
            <w:tcW w:w="4677" w:type="dxa"/>
            <w:gridSpan w:val="2"/>
            <w:tcBorders>
              <w:top w:val="single" w:sz="4" w:space="0" w:color="auto"/>
              <w:left w:val="nil"/>
              <w:bottom w:val="single" w:sz="4" w:space="0" w:color="auto"/>
              <w:right w:val="nil"/>
            </w:tcBorders>
            <w:shd w:val="clear" w:color="FFFFFF" w:fill="FFFFFF"/>
          </w:tcPr>
          <w:p w14:paraId="3EBF5CFC"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Proprietor of </w:t>
            </w:r>
            <w:proofErr w:type="spellStart"/>
            <w:r w:rsidRPr="00FD06ED">
              <w:rPr>
                <w:rFonts w:eastAsia="Times New Roman"/>
                <w:sz w:val="18"/>
                <w:szCs w:val="18"/>
                <w:lang w:eastAsia="en-US"/>
              </w:rPr>
              <w:t>Bladek</w:t>
            </w:r>
            <w:proofErr w:type="spellEnd"/>
            <w:r w:rsidRPr="00FD06ED">
              <w:rPr>
                <w:rFonts w:eastAsia="Times New Roman"/>
                <w:sz w:val="18"/>
                <w:szCs w:val="18"/>
                <w:lang w:eastAsia="en-US"/>
              </w:rPr>
              <w:t xml:space="preserve"> and Company Pty Ltd. </w:t>
            </w:r>
          </w:p>
          <w:p w14:paraId="4E5F01E4" w14:textId="77777777" w:rsidR="00FD06ED" w:rsidRPr="00FD06ED" w:rsidRDefault="00FD06ED" w:rsidP="00FD06ED">
            <w:pPr>
              <w:spacing w:before="0" w:after="0" w:line="260" w:lineRule="atLeast"/>
              <w:ind w:left="0"/>
              <w:rPr>
                <w:rFonts w:eastAsia="Times New Roman"/>
                <w:sz w:val="18"/>
                <w:szCs w:val="18"/>
                <w:lang w:eastAsia="en-US"/>
              </w:rPr>
            </w:pPr>
            <w:proofErr w:type="spellStart"/>
            <w:r w:rsidRPr="00FD06ED">
              <w:rPr>
                <w:rFonts w:eastAsia="Times New Roman"/>
                <w:sz w:val="18"/>
                <w:szCs w:val="18"/>
                <w:lang w:eastAsia="en-US"/>
              </w:rPr>
              <w:t>Bladek</w:t>
            </w:r>
            <w:proofErr w:type="spellEnd"/>
            <w:r w:rsidRPr="00FD06ED">
              <w:rPr>
                <w:rFonts w:eastAsia="Times New Roman"/>
                <w:sz w:val="18"/>
                <w:szCs w:val="18"/>
                <w:lang w:eastAsia="en-US"/>
              </w:rPr>
              <w:t xml:space="preserve"> and Company provided design, digital and strategic services to the Agency. </w:t>
            </w:r>
            <w:r w:rsidRPr="00FD06ED">
              <w:rPr>
                <w:rFonts w:eastAsia="Times New Roman"/>
                <w:sz w:val="18"/>
                <w:szCs w:val="18"/>
                <w:lang w:eastAsia="en-US"/>
              </w:rPr>
              <w:br/>
              <w:t>Deputy CEO Design, Digital and Strategy until 27 January 2022.</w:t>
            </w:r>
          </w:p>
        </w:tc>
        <w:tc>
          <w:tcPr>
            <w:tcW w:w="851" w:type="dxa"/>
            <w:tcBorders>
              <w:top w:val="single" w:sz="4" w:space="0" w:color="auto"/>
              <w:left w:val="nil"/>
              <w:bottom w:val="single" w:sz="4" w:space="0" w:color="auto"/>
              <w:right w:val="nil"/>
            </w:tcBorders>
            <w:shd w:val="clear" w:color="FFFFFF" w:fill="FFFFFF"/>
          </w:tcPr>
          <w:p w14:paraId="2DD87992" w14:textId="77777777" w:rsidR="00FD06ED" w:rsidRPr="00FD06ED" w:rsidRDefault="00FD06ED" w:rsidP="00FD06ED">
            <w:pPr>
              <w:spacing w:before="0" w:after="0" w:line="260" w:lineRule="atLeast"/>
              <w:ind w:left="0"/>
              <w:jc w:val="right"/>
              <w:rPr>
                <w:rFonts w:eastAsia="Times New Roman"/>
                <w:b/>
                <w:bCs/>
                <w:sz w:val="18"/>
                <w:szCs w:val="18"/>
                <w:highlight w:val="yellow"/>
                <w:lang w:eastAsia="en-US"/>
              </w:rPr>
            </w:pPr>
            <w:r w:rsidRPr="00FD06ED">
              <w:rPr>
                <w:rFonts w:eastAsia="Times New Roman"/>
                <w:b/>
                <w:bCs/>
                <w:sz w:val="18"/>
                <w:szCs w:val="18"/>
                <w:lang w:eastAsia="en-US"/>
              </w:rPr>
              <w:t>329</w:t>
            </w:r>
          </w:p>
        </w:tc>
        <w:tc>
          <w:tcPr>
            <w:tcW w:w="275" w:type="dxa"/>
            <w:tcBorders>
              <w:top w:val="single" w:sz="4" w:space="0" w:color="auto"/>
              <w:left w:val="nil"/>
              <w:bottom w:val="single" w:sz="4" w:space="0" w:color="auto"/>
              <w:right w:val="nil"/>
            </w:tcBorders>
            <w:shd w:val="clear" w:color="FFFFFF" w:fill="FFFFFF"/>
            <w:noWrap/>
          </w:tcPr>
          <w:p w14:paraId="64BCA589"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tcPr>
          <w:p w14:paraId="34276E42"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r w:rsidRPr="00FD06ED">
              <w:rPr>
                <w:rFonts w:eastAsia="Times New Roman"/>
                <w:sz w:val="18"/>
                <w:szCs w:val="18"/>
                <w:lang w:eastAsia="en-US"/>
              </w:rPr>
              <w:t>433</w:t>
            </w:r>
          </w:p>
        </w:tc>
      </w:tr>
      <w:tr w:rsidR="00FD06ED" w:rsidRPr="00FD06ED" w14:paraId="293D6B4E" w14:textId="77777777" w:rsidTr="005C33EF">
        <w:trPr>
          <w:trHeight w:val="255"/>
        </w:trPr>
        <w:tc>
          <w:tcPr>
            <w:tcW w:w="2694" w:type="dxa"/>
            <w:tcBorders>
              <w:top w:val="single" w:sz="4" w:space="0" w:color="auto"/>
              <w:left w:val="nil"/>
              <w:bottom w:val="single" w:sz="4" w:space="0" w:color="auto"/>
              <w:right w:val="nil"/>
            </w:tcBorders>
            <w:shd w:val="clear" w:color="FFFFFF" w:fill="FFFFFF"/>
            <w:noWrap/>
          </w:tcPr>
          <w:p w14:paraId="72943703" w14:textId="77777777" w:rsidR="00FD06ED" w:rsidRPr="00FD06ED" w:rsidRDefault="00FD06ED" w:rsidP="00FD06ED">
            <w:pPr>
              <w:spacing w:before="0" w:after="0" w:line="260" w:lineRule="atLeast"/>
              <w:ind w:left="176"/>
              <w:rPr>
                <w:rFonts w:eastAsia="Times New Roman"/>
                <w:sz w:val="18"/>
                <w:szCs w:val="18"/>
                <w:lang w:eastAsia="en-US"/>
              </w:rPr>
            </w:pPr>
            <w:r w:rsidRPr="00FD06ED">
              <w:rPr>
                <w:rFonts w:eastAsia="Times New Roman"/>
                <w:sz w:val="18"/>
                <w:szCs w:val="18"/>
                <w:lang w:eastAsia="en-US"/>
              </w:rPr>
              <w:t>Mr David Gifford </w:t>
            </w:r>
          </w:p>
          <w:p w14:paraId="3B0F5378" w14:textId="77777777" w:rsidR="00FD06ED" w:rsidRPr="00FD06ED" w:rsidRDefault="00FD06ED" w:rsidP="00FD06ED">
            <w:pPr>
              <w:spacing w:before="0" w:after="0" w:line="260" w:lineRule="atLeast"/>
              <w:ind w:left="176"/>
              <w:rPr>
                <w:rFonts w:eastAsia="Times New Roman"/>
                <w:i/>
                <w:iCs/>
                <w:sz w:val="18"/>
                <w:szCs w:val="18"/>
                <w:lang w:eastAsia="en-US"/>
              </w:rPr>
            </w:pPr>
          </w:p>
        </w:tc>
        <w:tc>
          <w:tcPr>
            <w:tcW w:w="4677" w:type="dxa"/>
            <w:gridSpan w:val="2"/>
            <w:tcBorders>
              <w:top w:val="single" w:sz="4" w:space="0" w:color="auto"/>
              <w:left w:val="nil"/>
              <w:bottom w:val="single" w:sz="4" w:space="0" w:color="auto"/>
              <w:right w:val="nil"/>
            </w:tcBorders>
            <w:shd w:val="clear" w:color="FFFFFF" w:fill="FFFFFF"/>
          </w:tcPr>
          <w:p w14:paraId="5601F34A"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xml:space="preserve">Proprietor of </w:t>
            </w:r>
            <w:proofErr w:type="spellStart"/>
            <w:r w:rsidRPr="00FD06ED">
              <w:rPr>
                <w:rFonts w:eastAsia="Times New Roman"/>
                <w:sz w:val="18"/>
                <w:szCs w:val="18"/>
                <w:lang w:eastAsia="en-US"/>
              </w:rPr>
              <w:t>Davegiff</w:t>
            </w:r>
            <w:proofErr w:type="spellEnd"/>
            <w:r w:rsidRPr="00FD06ED">
              <w:rPr>
                <w:rFonts w:eastAsia="Times New Roman"/>
                <w:sz w:val="18"/>
                <w:szCs w:val="18"/>
                <w:lang w:eastAsia="en-US"/>
              </w:rPr>
              <w:t xml:space="preserve"> Consulting Services Pty Ltd. </w:t>
            </w:r>
            <w:proofErr w:type="spellStart"/>
            <w:r w:rsidRPr="00FD06ED">
              <w:rPr>
                <w:rFonts w:eastAsia="Times New Roman"/>
                <w:sz w:val="18"/>
                <w:szCs w:val="18"/>
                <w:lang w:eastAsia="en-US"/>
              </w:rPr>
              <w:t>Davegiff</w:t>
            </w:r>
            <w:proofErr w:type="spellEnd"/>
            <w:r w:rsidRPr="00FD06ED">
              <w:rPr>
                <w:rFonts w:eastAsia="Times New Roman"/>
                <w:sz w:val="18"/>
                <w:szCs w:val="18"/>
                <w:lang w:eastAsia="en-US"/>
              </w:rPr>
              <w:t xml:space="preserve"> Consulting Services provided scheme actuarial services to the Agency.</w:t>
            </w:r>
            <w:r w:rsidRPr="00FD06ED">
              <w:rPr>
                <w:rFonts w:eastAsia="Times New Roman"/>
                <w:sz w:val="18"/>
                <w:szCs w:val="18"/>
                <w:lang w:eastAsia="en-US"/>
              </w:rPr>
              <w:br/>
              <w:t>Acting Deputy Scheme Actuary - Key Management Personnel executive member from 31 January 2022.</w:t>
            </w:r>
          </w:p>
        </w:tc>
        <w:tc>
          <w:tcPr>
            <w:tcW w:w="851" w:type="dxa"/>
            <w:tcBorders>
              <w:top w:val="single" w:sz="4" w:space="0" w:color="auto"/>
              <w:left w:val="nil"/>
              <w:bottom w:val="single" w:sz="4" w:space="0" w:color="auto"/>
              <w:right w:val="nil"/>
            </w:tcBorders>
            <w:shd w:val="clear" w:color="FFFFFF" w:fill="FFFFFF"/>
          </w:tcPr>
          <w:p w14:paraId="23DF4FC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161</w:t>
            </w:r>
          </w:p>
        </w:tc>
        <w:tc>
          <w:tcPr>
            <w:tcW w:w="275" w:type="dxa"/>
            <w:tcBorders>
              <w:top w:val="single" w:sz="4" w:space="0" w:color="auto"/>
              <w:left w:val="nil"/>
              <w:bottom w:val="single" w:sz="4" w:space="0" w:color="auto"/>
              <w:right w:val="nil"/>
            </w:tcBorders>
            <w:shd w:val="clear" w:color="FFFFFF" w:fill="FFFFFF"/>
            <w:noWrap/>
          </w:tcPr>
          <w:p w14:paraId="49043C5D"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tcPr>
          <w:p w14:paraId="428CA908"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w:t>
            </w:r>
          </w:p>
        </w:tc>
      </w:tr>
      <w:tr w:rsidR="00FD06ED" w:rsidRPr="00FD06ED" w14:paraId="1280C69E" w14:textId="77777777" w:rsidTr="005C33EF">
        <w:trPr>
          <w:trHeight w:val="255"/>
        </w:trPr>
        <w:tc>
          <w:tcPr>
            <w:tcW w:w="2694" w:type="dxa"/>
            <w:tcBorders>
              <w:top w:val="single" w:sz="4" w:space="0" w:color="auto"/>
              <w:left w:val="nil"/>
              <w:bottom w:val="single" w:sz="4" w:space="0" w:color="auto"/>
              <w:right w:val="nil"/>
            </w:tcBorders>
            <w:shd w:val="clear" w:color="FFFFFF" w:fill="FFFFFF"/>
            <w:noWrap/>
          </w:tcPr>
          <w:p w14:paraId="344A492E" w14:textId="77777777" w:rsidR="00FD06ED" w:rsidRPr="00FD06ED" w:rsidRDefault="00FD06ED" w:rsidP="00FD06ED">
            <w:pPr>
              <w:spacing w:before="0" w:after="0" w:line="260" w:lineRule="atLeast"/>
              <w:ind w:left="176"/>
              <w:rPr>
                <w:rFonts w:eastAsia="Times New Roman"/>
                <w:i/>
                <w:sz w:val="18"/>
                <w:szCs w:val="18"/>
                <w:lang w:eastAsia="en-US"/>
              </w:rPr>
            </w:pPr>
          </w:p>
        </w:tc>
        <w:tc>
          <w:tcPr>
            <w:tcW w:w="4677" w:type="dxa"/>
            <w:gridSpan w:val="2"/>
            <w:tcBorders>
              <w:top w:val="single" w:sz="4" w:space="0" w:color="auto"/>
              <w:left w:val="nil"/>
              <w:bottom w:val="single" w:sz="4" w:space="0" w:color="auto"/>
              <w:right w:val="nil"/>
            </w:tcBorders>
            <w:shd w:val="clear" w:color="FFFFFF" w:fill="FFFFFF"/>
          </w:tcPr>
          <w:p w14:paraId="20E64C3E" w14:textId="77777777" w:rsidR="00FD06ED" w:rsidRPr="00FD06ED" w:rsidRDefault="00FD06ED" w:rsidP="00FD06ED">
            <w:pPr>
              <w:spacing w:before="0" w:after="0" w:line="260" w:lineRule="atLeast"/>
              <w:ind w:left="0"/>
              <w:rPr>
                <w:rFonts w:eastAsia="Times New Roman"/>
                <w:sz w:val="18"/>
                <w:szCs w:val="18"/>
                <w:lang w:eastAsia="en-US"/>
              </w:rPr>
            </w:pPr>
          </w:p>
        </w:tc>
        <w:tc>
          <w:tcPr>
            <w:tcW w:w="851" w:type="dxa"/>
            <w:tcBorders>
              <w:top w:val="single" w:sz="4" w:space="0" w:color="auto"/>
              <w:left w:val="nil"/>
              <w:bottom w:val="single" w:sz="4" w:space="0" w:color="auto"/>
              <w:right w:val="nil"/>
            </w:tcBorders>
            <w:shd w:val="clear" w:color="FFFFFF" w:fill="FFFFFF"/>
          </w:tcPr>
          <w:p w14:paraId="3E07BAE5" w14:textId="77777777" w:rsidR="00FD06ED" w:rsidRPr="00FD06ED" w:rsidRDefault="00FD06ED" w:rsidP="00FD06ED">
            <w:pPr>
              <w:spacing w:before="0" w:after="0" w:line="260" w:lineRule="atLeast"/>
              <w:ind w:left="0"/>
              <w:jc w:val="right"/>
              <w:rPr>
                <w:rFonts w:eastAsia="Times New Roman"/>
                <w:b/>
                <w:bCs/>
                <w:sz w:val="18"/>
                <w:szCs w:val="18"/>
                <w:highlight w:val="yellow"/>
                <w:lang w:eastAsia="en-US"/>
              </w:rPr>
            </w:pPr>
          </w:p>
        </w:tc>
        <w:tc>
          <w:tcPr>
            <w:tcW w:w="275" w:type="dxa"/>
            <w:tcBorders>
              <w:top w:val="single" w:sz="4" w:space="0" w:color="auto"/>
              <w:left w:val="nil"/>
              <w:bottom w:val="single" w:sz="4" w:space="0" w:color="auto"/>
              <w:right w:val="nil"/>
            </w:tcBorders>
            <w:shd w:val="clear" w:color="FFFFFF" w:fill="FFFFFF"/>
            <w:noWrap/>
          </w:tcPr>
          <w:p w14:paraId="4999AAE6"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c>
          <w:tcPr>
            <w:tcW w:w="859" w:type="dxa"/>
            <w:tcBorders>
              <w:top w:val="single" w:sz="4" w:space="0" w:color="auto"/>
              <w:left w:val="nil"/>
              <w:bottom w:val="single" w:sz="4" w:space="0" w:color="auto"/>
              <w:right w:val="nil"/>
            </w:tcBorders>
            <w:shd w:val="clear" w:color="FFFFFF" w:fill="FFFFFF"/>
          </w:tcPr>
          <w:p w14:paraId="273E0CE0" w14:textId="77777777" w:rsidR="00FD06ED" w:rsidRPr="00FD06ED" w:rsidRDefault="00FD06ED" w:rsidP="00FD06ED">
            <w:pPr>
              <w:spacing w:before="0" w:after="0" w:line="260" w:lineRule="atLeast"/>
              <w:ind w:left="0"/>
              <w:jc w:val="right"/>
              <w:rPr>
                <w:rFonts w:eastAsia="Times New Roman"/>
                <w:sz w:val="18"/>
                <w:szCs w:val="18"/>
                <w:highlight w:val="yellow"/>
                <w:lang w:eastAsia="en-US"/>
              </w:rPr>
            </w:pPr>
          </w:p>
        </w:tc>
      </w:tr>
    </w:tbl>
    <w:p w14:paraId="71505BAF"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32DA42EF" w14:textId="77777777" w:rsidR="00FD06ED" w:rsidRPr="00FD06ED" w:rsidRDefault="00FD06ED" w:rsidP="00FD06ED">
      <w:pPr>
        <w:spacing w:before="0" w:after="0" w:line="260" w:lineRule="atLeast"/>
        <w:ind w:left="0"/>
        <w:rPr>
          <w:rFonts w:eastAsia="Times New Roman"/>
          <w:sz w:val="14"/>
          <w:szCs w:val="16"/>
          <w:lang w:eastAsia="en-US"/>
        </w:rPr>
      </w:pPr>
      <w:r w:rsidRPr="00FD06ED">
        <w:rPr>
          <w:rFonts w:eastAsia="Times New Roman"/>
          <w:sz w:val="16"/>
          <w:szCs w:val="18"/>
          <w:vertAlign w:val="superscript"/>
          <w:lang w:eastAsia="en-US"/>
        </w:rPr>
        <w:t xml:space="preserve">1 </w:t>
      </w:r>
      <w:r w:rsidRPr="00FD06ED">
        <w:rPr>
          <w:rFonts w:eastAsia="Times New Roman"/>
          <w:sz w:val="14"/>
          <w:szCs w:val="16"/>
          <w:lang w:eastAsia="en-US"/>
        </w:rPr>
        <w:t>All payments in the table above are calculated on a cash rather than accrual basis and therefore may differ from any amounts reported in Note 3.2 and Appendix 5.6 of the annual report.</w:t>
      </w:r>
    </w:p>
    <w:p w14:paraId="7A469620"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00FA3886" w14:textId="77777777" w:rsidR="00FD06ED" w:rsidRPr="00FD06ED" w:rsidRDefault="00FD06ED" w:rsidP="00FD06ED">
      <w:pPr>
        <w:spacing w:before="0" w:after="0" w:line="40" w:lineRule="atLeast"/>
        <w:ind w:left="0"/>
        <w:rPr>
          <w:rFonts w:eastAsia="Times New Roman" w:cs="Times New Roman"/>
          <w:sz w:val="18"/>
          <w:szCs w:val="20"/>
          <w:lang w:eastAsia="en-US"/>
        </w:rPr>
      </w:pPr>
      <w:r w:rsidRPr="00FD06ED">
        <w:rPr>
          <w:rFonts w:eastAsia="Times New Roman" w:cs="Times New Roman"/>
          <w:sz w:val="18"/>
          <w:szCs w:val="20"/>
          <w:lang w:eastAsia="en-US"/>
        </w:rPr>
        <w:t>None of the above Key Management Personnel played any role in Agency decisions in relation to their related party transactions noted above.</w:t>
      </w:r>
    </w:p>
    <w:p w14:paraId="1A571990"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1A7C7B96" w14:textId="77777777" w:rsidR="00FD06ED" w:rsidRPr="00FD06ED" w:rsidRDefault="00FD06ED" w:rsidP="00FD06ED">
      <w:pPr>
        <w:spacing w:before="0" w:after="0" w:line="40" w:lineRule="atLeast"/>
        <w:ind w:left="0"/>
        <w:rPr>
          <w:rFonts w:eastAsia="Times New Roman" w:cs="Times New Roman"/>
          <w:sz w:val="18"/>
          <w:szCs w:val="20"/>
          <w:lang w:eastAsia="en-US"/>
        </w:rPr>
      </w:pPr>
      <w:r w:rsidRPr="00FD06ED">
        <w:rPr>
          <w:rFonts w:eastAsia="Times New Roman" w:cs="Times New Roman"/>
          <w:sz w:val="18"/>
          <w:szCs w:val="20"/>
          <w:lang w:eastAsia="en-US"/>
        </w:rPr>
        <w:t xml:space="preserve">There were no other related party payments made during the period. </w:t>
      </w:r>
      <w:bookmarkEnd w:id="246"/>
      <w:bookmarkEnd w:id="247"/>
      <w:bookmarkEnd w:id="248"/>
      <w:r w:rsidRPr="00FD06ED">
        <w:rPr>
          <w:rFonts w:eastAsia="Times New Roman" w:cs="Times New Roman"/>
          <w:sz w:val="18"/>
          <w:szCs w:val="20"/>
          <w:lang w:eastAsia="en-US"/>
        </w:rPr>
        <w:br w:type="page"/>
      </w:r>
    </w:p>
    <w:p w14:paraId="349DF967" w14:textId="77777777" w:rsidR="00FD06ED" w:rsidRPr="00FD06ED" w:rsidRDefault="00FD06ED" w:rsidP="00FD06ED">
      <w:pPr>
        <w:spacing w:before="0" w:after="0" w:line="40" w:lineRule="atLeast"/>
        <w:ind w:left="0"/>
        <w:rPr>
          <w:rFonts w:eastAsia="Times New Roman" w:cs="Times New Roman"/>
          <w:sz w:val="18"/>
          <w:szCs w:val="20"/>
          <w:lang w:eastAsia="en-US"/>
        </w:rPr>
      </w:pPr>
    </w:p>
    <w:p w14:paraId="2B75C6B0" w14:textId="31448F4B" w:rsidR="00FD06ED" w:rsidRPr="00EE2D88" w:rsidRDefault="00085D7A" w:rsidP="00015F3C">
      <w:pPr>
        <w:shd w:val="clear" w:color="00CC99" w:fill="800080"/>
        <w:spacing w:before="0" w:line="260" w:lineRule="atLeast"/>
        <w:ind w:left="0"/>
        <w:outlineLvl w:val="2"/>
        <w:rPr>
          <w:rFonts w:ascii="Arial Bold" w:eastAsia="Times New Roman" w:hAnsi="Arial Bold" w:cs="Times New Roman"/>
          <w:b/>
          <w:color w:val="FFFFFF"/>
          <w:sz w:val="24"/>
          <w:szCs w:val="20"/>
          <w:lang w:eastAsia="en-US"/>
        </w:rPr>
      </w:pPr>
      <w:bookmarkStart w:id="267" w:name="_Toc65742857"/>
      <w:bookmarkStart w:id="268" w:name="_Toc114477519"/>
      <w:bookmarkStart w:id="269" w:name="_Toc116414690"/>
      <w:bookmarkStart w:id="270" w:name="_Toc116472669"/>
      <w:bookmarkStart w:id="271" w:name="_Toc116473884"/>
      <w:r>
        <w:rPr>
          <w:rFonts w:ascii="Arial Bold" w:eastAsia="Times New Roman" w:hAnsi="Arial Bold" w:cs="Times New Roman"/>
          <w:b/>
          <w:color w:val="FFFFFF"/>
          <w:sz w:val="24"/>
          <w:szCs w:val="20"/>
          <w:lang w:eastAsia="en-US"/>
        </w:rPr>
        <w:t xml:space="preserve">4. </w:t>
      </w:r>
      <w:r w:rsidR="00706881">
        <w:rPr>
          <w:rFonts w:ascii="Arial Bold" w:eastAsia="Times New Roman" w:hAnsi="Arial Bold" w:cs="Times New Roman"/>
          <w:b/>
          <w:color w:val="FFFFFF"/>
          <w:sz w:val="24"/>
          <w:szCs w:val="20"/>
          <w:lang w:eastAsia="en-US"/>
        </w:rPr>
        <w:t>M</w:t>
      </w:r>
      <w:r w:rsidR="00FD06ED" w:rsidRPr="00EE2D88">
        <w:rPr>
          <w:rFonts w:ascii="Arial Bold" w:eastAsia="Times New Roman" w:hAnsi="Arial Bold" w:cs="Times New Roman"/>
          <w:b/>
          <w:color w:val="FFFFFF"/>
          <w:sz w:val="24"/>
          <w:szCs w:val="20"/>
          <w:lang w:eastAsia="en-US"/>
        </w:rPr>
        <w:t>anaging Uncertainties</w:t>
      </w:r>
      <w:bookmarkEnd w:id="267"/>
      <w:bookmarkEnd w:id="268"/>
      <w:bookmarkEnd w:id="269"/>
      <w:bookmarkEnd w:id="270"/>
      <w:bookmarkEnd w:id="271"/>
    </w:p>
    <w:p w14:paraId="60541D19" w14:textId="77777777" w:rsidR="00FD06ED" w:rsidRPr="00FD06ED" w:rsidRDefault="00FD06ED" w:rsidP="00FD06ED">
      <w:pPr>
        <w:shd w:val="clear" w:color="00CC99" w:fill="800080"/>
        <w:spacing w:before="0" w:after="0" w:line="260" w:lineRule="atLeast"/>
        <w:ind w:left="0"/>
        <w:rPr>
          <w:rFonts w:eastAsia="Times New Roman" w:cs="Times New Roman"/>
          <w:color w:val="FFFFFF"/>
          <w:sz w:val="18"/>
          <w:szCs w:val="18"/>
          <w:lang w:eastAsia="en-US"/>
        </w:rPr>
      </w:pPr>
      <w:r w:rsidRPr="00FD06ED">
        <w:rPr>
          <w:rFonts w:eastAsia="Times New Roman" w:cs="Times New Roman"/>
          <w:color w:val="FFFFFF"/>
          <w:sz w:val="18"/>
          <w:szCs w:val="18"/>
          <w:lang w:eastAsia="en-US"/>
        </w:rPr>
        <w:t>This section analyses how the Agency manages financial risks within its operating environment.</w:t>
      </w:r>
    </w:p>
    <w:p w14:paraId="15ED3166" w14:textId="01E153D8" w:rsidR="00FD06ED" w:rsidRPr="00EE2D88" w:rsidRDefault="00085D7A" w:rsidP="00015F3C">
      <w:pPr>
        <w:pStyle w:val="FGCHEADING2"/>
        <w:numPr>
          <w:ilvl w:val="0"/>
          <w:numId w:val="0"/>
        </w:numPr>
        <w:shd w:val="clear" w:color="auto" w:fill="000000"/>
        <w:spacing w:before="0" w:after="0" w:line="260" w:lineRule="atLeast"/>
        <w:ind w:left="677" w:hanging="677"/>
        <w:outlineLvl w:val="3"/>
        <w:rPr>
          <w:rFonts w:eastAsia="Times New Roman"/>
          <w:b w:val="0"/>
          <w:color w:val="FFFFFF"/>
          <w:sz w:val="20"/>
          <w:szCs w:val="20"/>
        </w:rPr>
      </w:pPr>
      <w:bookmarkStart w:id="272" w:name="_Toc65742858"/>
      <w:bookmarkStart w:id="273" w:name="_Toc114477520"/>
      <w:bookmarkStart w:id="274" w:name="_Toc116414691"/>
      <w:bookmarkStart w:id="275" w:name="_Toc116472670"/>
      <w:bookmarkStart w:id="276" w:name="_Toc116473885"/>
      <w:r>
        <w:rPr>
          <w:rFonts w:eastAsia="Times New Roman"/>
          <w:color w:val="FFFFFF"/>
          <w:sz w:val="20"/>
          <w:szCs w:val="20"/>
        </w:rPr>
        <w:t xml:space="preserve">4.1 </w:t>
      </w:r>
      <w:r w:rsidR="00FD06ED" w:rsidRPr="00EE2D88">
        <w:rPr>
          <w:rFonts w:eastAsia="Times New Roman"/>
          <w:color w:val="FFFFFF"/>
          <w:sz w:val="20"/>
          <w:szCs w:val="20"/>
        </w:rPr>
        <w:t>Contingent Assets and Liabilities</w:t>
      </w:r>
      <w:bookmarkEnd w:id="272"/>
      <w:bookmarkEnd w:id="273"/>
      <w:bookmarkEnd w:id="274"/>
      <w:bookmarkEnd w:id="275"/>
      <w:bookmarkEnd w:id="276"/>
    </w:p>
    <w:p w14:paraId="478CC1AA" w14:textId="77777777" w:rsidR="00FD06ED" w:rsidRPr="00FD06ED" w:rsidRDefault="00FD06ED" w:rsidP="00FD06ED">
      <w:pPr>
        <w:spacing w:before="0" w:after="0"/>
        <w:ind w:left="0"/>
        <w:rPr>
          <w:rFonts w:ascii="Times New Roman" w:eastAsia="Times New Roman" w:hAnsi="Times New Roman" w:cs="Times New Roman"/>
          <w:szCs w:val="20"/>
          <w:lang w:eastAsia="en-US"/>
        </w:rPr>
      </w:pPr>
    </w:p>
    <w:p w14:paraId="7DEE65A7" w14:textId="77777777" w:rsidR="00FD06ED" w:rsidRPr="00FD06ED" w:rsidRDefault="00FD06ED" w:rsidP="00FD06ED">
      <w:pPr>
        <w:spacing w:before="0" w:after="0" w:line="260" w:lineRule="atLeast"/>
        <w:ind w:left="0"/>
        <w:rPr>
          <w:rFonts w:eastAsia="Times New Roman"/>
          <w:b/>
          <w:sz w:val="18"/>
          <w:szCs w:val="18"/>
          <w:u w:val="single"/>
          <w:lang w:eastAsia="en-AU"/>
        </w:rPr>
      </w:pPr>
      <w:r w:rsidRPr="00FD06ED">
        <w:rPr>
          <w:rFonts w:eastAsia="Times New Roman"/>
          <w:b/>
          <w:sz w:val="18"/>
          <w:szCs w:val="18"/>
          <w:u w:val="single"/>
          <w:lang w:eastAsia="en-AU"/>
        </w:rPr>
        <w:t>Quantifiable Contingencies</w:t>
      </w:r>
    </w:p>
    <w:p w14:paraId="3DBEC223" w14:textId="77777777" w:rsidR="00FD06ED" w:rsidRPr="00FD06ED" w:rsidRDefault="00FD06ED" w:rsidP="00FD06ED">
      <w:pPr>
        <w:spacing w:before="0" w:after="0" w:line="260" w:lineRule="atLeast"/>
        <w:ind w:left="0"/>
        <w:rPr>
          <w:rFonts w:eastAsia="Times New Roman"/>
          <w:sz w:val="18"/>
          <w:szCs w:val="18"/>
          <w:lang w:eastAsia="en-AU"/>
        </w:rPr>
      </w:pPr>
      <w:bookmarkStart w:id="277" w:name="_Ref338146507"/>
      <w:r w:rsidRPr="00FD06ED">
        <w:rPr>
          <w:rFonts w:eastAsia="Times New Roman" w:cs="Times New Roman"/>
          <w:sz w:val="18"/>
          <w:szCs w:val="20"/>
          <w:lang w:eastAsia="en-US"/>
        </w:rPr>
        <w:t xml:space="preserve">As at </w:t>
      </w:r>
      <w:r w:rsidRPr="00FD06ED">
        <w:rPr>
          <w:rFonts w:eastAsia="Times New Roman" w:cs="Times New Roman"/>
          <w:sz w:val="18"/>
          <w:szCs w:val="20"/>
          <w:lang w:eastAsia="en-US"/>
        </w:rPr>
        <w:fldChar w:fldCharType="begin"/>
      </w:r>
      <w:r w:rsidRPr="00FD06ED">
        <w:rPr>
          <w:rFonts w:eastAsia="Times New Roman" w:cs="Times New Roman"/>
          <w:sz w:val="18"/>
          <w:szCs w:val="20"/>
          <w:lang w:eastAsia="en-US"/>
        </w:rPr>
        <w:instrText xml:space="preserve"> DOCPROPERTY  pEnd  \* MERGEFORMAT </w:instrText>
      </w:r>
      <w:r w:rsidRPr="00FD06ED">
        <w:rPr>
          <w:rFonts w:eastAsia="Times New Roman" w:cs="Times New Roman"/>
          <w:sz w:val="18"/>
          <w:szCs w:val="20"/>
          <w:lang w:eastAsia="en-US"/>
        </w:rPr>
        <w:fldChar w:fldCharType="separate"/>
      </w:r>
      <w:r w:rsidRPr="00FD06ED">
        <w:rPr>
          <w:rFonts w:eastAsia="Times New Roman" w:cs="Times New Roman"/>
          <w:sz w:val="18"/>
          <w:szCs w:val="20"/>
          <w:lang w:eastAsia="en-US"/>
        </w:rPr>
        <w:t>30 June</w:t>
      </w:r>
      <w:r w:rsidRPr="00FD06ED">
        <w:rPr>
          <w:rFonts w:eastAsia="Times New Roman" w:cs="Times New Roman"/>
          <w:sz w:val="18"/>
          <w:szCs w:val="20"/>
          <w:lang w:eastAsia="en-US"/>
        </w:rPr>
        <w:fldChar w:fldCharType="end"/>
      </w:r>
      <w:r w:rsidRPr="00FD06ED">
        <w:rPr>
          <w:rFonts w:eastAsia="Times New Roman" w:cs="Times New Roman"/>
          <w:sz w:val="18"/>
          <w:szCs w:val="20"/>
          <w:lang w:eastAsia="en-US"/>
        </w:rPr>
        <w:t xml:space="preserve"> </w:t>
      </w:r>
      <w:r w:rsidRPr="00FD06ED">
        <w:rPr>
          <w:rFonts w:eastAsia="Times New Roman" w:cs="Times New Roman"/>
          <w:sz w:val="18"/>
          <w:szCs w:val="20"/>
          <w:lang w:eastAsia="en-US"/>
        </w:rPr>
        <w:fldChar w:fldCharType="begin"/>
      </w:r>
      <w:r w:rsidRPr="00FD06ED">
        <w:rPr>
          <w:rFonts w:eastAsia="Times New Roman" w:cs="Times New Roman"/>
          <w:sz w:val="18"/>
          <w:szCs w:val="20"/>
          <w:lang w:eastAsia="en-US"/>
        </w:rPr>
        <w:instrText xml:space="preserve"> DOCPROPERTY  crYear  \* MERGEFORMAT </w:instrText>
      </w:r>
      <w:r w:rsidRPr="00FD06ED">
        <w:rPr>
          <w:rFonts w:eastAsia="Times New Roman" w:cs="Times New Roman"/>
          <w:sz w:val="18"/>
          <w:szCs w:val="20"/>
          <w:lang w:eastAsia="en-US"/>
        </w:rPr>
        <w:fldChar w:fldCharType="separate"/>
      </w:r>
      <w:r w:rsidRPr="00FD06ED">
        <w:rPr>
          <w:rFonts w:eastAsia="Times New Roman" w:cs="Times New Roman"/>
          <w:sz w:val="18"/>
          <w:szCs w:val="20"/>
          <w:lang w:eastAsia="en-US"/>
        </w:rPr>
        <w:t>2022</w:t>
      </w:r>
      <w:r w:rsidRPr="00FD06ED">
        <w:rPr>
          <w:rFonts w:eastAsia="Times New Roman" w:cs="Times New Roman"/>
          <w:sz w:val="18"/>
          <w:szCs w:val="20"/>
          <w:lang w:eastAsia="en-US"/>
        </w:rPr>
        <w:fldChar w:fldCharType="end"/>
      </w:r>
      <w:r w:rsidRPr="00FD06ED">
        <w:rPr>
          <w:rFonts w:eastAsia="Times New Roman" w:cs="Times New Roman"/>
          <w:sz w:val="18"/>
          <w:szCs w:val="20"/>
          <w:lang w:eastAsia="en-US"/>
        </w:rPr>
        <w:t>, the Agency had no quantifiable</w:t>
      </w:r>
      <w:r w:rsidRPr="00FD06ED">
        <w:rPr>
          <w:rFonts w:eastAsia="Times New Roman" w:cs="Times New Roman"/>
          <w:color w:val="C00000"/>
          <w:sz w:val="18"/>
          <w:szCs w:val="20"/>
          <w:lang w:eastAsia="en-US"/>
        </w:rPr>
        <w:t xml:space="preserve"> </w:t>
      </w:r>
      <w:r w:rsidRPr="00FD06ED">
        <w:rPr>
          <w:rFonts w:eastAsia="Times New Roman" w:cs="Times New Roman"/>
          <w:sz w:val="18"/>
          <w:szCs w:val="20"/>
          <w:lang w:eastAsia="en-US"/>
        </w:rPr>
        <w:t xml:space="preserve">contingent assets or liabilities </w:t>
      </w:r>
      <w:r w:rsidRPr="00FD06ED">
        <w:rPr>
          <w:rFonts w:eastAsia="Times New Roman"/>
          <w:sz w:val="18"/>
          <w:szCs w:val="18"/>
          <w:lang w:eastAsia="en-AU"/>
        </w:rPr>
        <w:t>(</w:t>
      </w:r>
      <w:r w:rsidRPr="00FD06ED">
        <w:rPr>
          <w:rFonts w:eastAsia="Times New Roman"/>
          <w:sz w:val="18"/>
          <w:szCs w:val="18"/>
          <w:lang w:eastAsia="en-AU"/>
        </w:rPr>
        <w:fldChar w:fldCharType="begin"/>
      </w:r>
      <w:r w:rsidRPr="00FD06ED">
        <w:rPr>
          <w:rFonts w:eastAsia="Times New Roman"/>
          <w:sz w:val="18"/>
          <w:szCs w:val="18"/>
          <w:lang w:eastAsia="en-AU"/>
        </w:rPr>
        <w:instrText xml:space="preserve"> DOCPROPERTY  prYear  \* MERGEFORMAT </w:instrText>
      </w:r>
      <w:r w:rsidRPr="00FD06ED">
        <w:rPr>
          <w:rFonts w:eastAsia="Times New Roman"/>
          <w:sz w:val="18"/>
          <w:szCs w:val="18"/>
          <w:lang w:eastAsia="en-AU"/>
        </w:rPr>
        <w:fldChar w:fldCharType="separate"/>
      </w:r>
      <w:r w:rsidRPr="00FD06ED">
        <w:rPr>
          <w:rFonts w:eastAsia="Times New Roman"/>
          <w:sz w:val="18"/>
          <w:szCs w:val="18"/>
          <w:lang w:eastAsia="en-AU"/>
        </w:rPr>
        <w:t>2021</w:t>
      </w:r>
      <w:r w:rsidRPr="00FD06ED">
        <w:rPr>
          <w:rFonts w:eastAsia="Times New Roman"/>
          <w:sz w:val="18"/>
          <w:szCs w:val="18"/>
          <w:lang w:eastAsia="en-AU"/>
        </w:rPr>
        <w:fldChar w:fldCharType="end"/>
      </w:r>
      <w:r w:rsidRPr="00FD06ED">
        <w:rPr>
          <w:rFonts w:eastAsia="Times New Roman"/>
          <w:sz w:val="18"/>
          <w:szCs w:val="18"/>
          <w:lang w:eastAsia="en-AU"/>
        </w:rPr>
        <w:t>: $Nil).</w:t>
      </w:r>
    </w:p>
    <w:p w14:paraId="5A2A85F7" w14:textId="77777777" w:rsidR="00FD06ED" w:rsidRPr="00FD06ED" w:rsidRDefault="00FD06ED" w:rsidP="00FD06ED">
      <w:pPr>
        <w:spacing w:before="0" w:after="0" w:line="260" w:lineRule="atLeast"/>
        <w:ind w:left="0"/>
        <w:rPr>
          <w:rFonts w:eastAsia="Times New Roman"/>
          <w:b/>
          <w:sz w:val="18"/>
          <w:szCs w:val="18"/>
          <w:u w:val="single"/>
          <w:lang w:eastAsia="en-AU"/>
        </w:rPr>
      </w:pPr>
    </w:p>
    <w:p w14:paraId="2C6238FC" w14:textId="77777777" w:rsidR="00FD06ED" w:rsidRPr="00FD06ED" w:rsidRDefault="00FD06ED" w:rsidP="00FD06ED">
      <w:pPr>
        <w:spacing w:before="0" w:after="0" w:line="260" w:lineRule="atLeast"/>
        <w:ind w:left="0"/>
        <w:rPr>
          <w:rFonts w:eastAsia="Times New Roman"/>
          <w:b/>
          <w:sz w:val="18"/>
          <w:szCs w:val="18"/>
          <w:u w:val="single"/>
          <w:lang w:eastAsia="en-AU"/>
        </w:rPr>
      </w:pPr>
      <w:r w:rsidRPr="00FD06ED">
        <w:rPr>
          <w:rFonts w:eastAsia="Times New Roman"/>
          <w:b/>
          <w:sz w:val="18"/>
          <w:szCs w:val="18"/>
          <w:u w:val="single"/>
          <w:lang w:eastAsia="en-AU"/>
        </w:rPr>
        <w:t>Unquantifiable Contingencies</w:t>
      </w:r>
    </w:p>
    <w:p w14:paraId="4F30F6BC" w14:textId="77777777" w:rsidR="00FD06ED" w:rsidRPr="00FD06ED" w:rsidRDefault="00FD06ED" w:rsidP="00FD06ED">
      <w:pPr>
        <w:spacing w:before="0" w:after="0" w:line="260" w:lineRule="atLeast"/>
        <w:ind w:left="0"/>
        <w:rPr>
          <w:rFonts w:eastAsia="Times New Roman"/>
          <w:b/>
          <w:i/>
          <w:u w:val="single"/>
          <w:lang w:eastAsia="en-US"/>
        </w:rPr>
      </w:pPr>
      <w:r w:rsidRPr="00FD06ED">
        <w:rPr>
          <w:rFonts w:eastAsia="Times New Roman" w:cs="Times New Roman"/>
          <w:i/>
          <w:sz w:val="18"/>
          <w:szCs w:val="20"/>
          <w:u w:val="single"/>
          <w:lang w:eastAsia="en-US"/>
        </w:rPr>
        <w:t>Contingent</w:t>
      </w:r>
      <w:r w:rsidRPr="00FD06ED">
        <w:rPr>
          <w:rFonts w:eastAsia="Times New Roman"/>
          <w:b/>
          <w:i/>
          <w:u w:val="single"/>
          <w:lang w:eastAsia="en-US"/>
        </w:rPr>
        <w:t xml:space="preserve"> </w:t>
      </w:r>
      <w:r w:rsidRPr="00FD06ED">
        <w:rPr>
          <w:rFonts w:eastAsia="Times New Roman"/>
          <w:i/>
          <w:sz w:val="18"/>
          <w:szCs w:val="18"/>
          <w:u w:val="single"/>
          <w:lang w:eastAsia="en-US"/>
        </w:rPr>
        <w:t>asset</w:t>
      </w:r>
      <w:r w:rsidRPr="00FD06ED">
        <w:rPr>
          <w:rFonts w:eastAsia="Times New Roman"/>
          <w:b/>
          <w:i/>
          <w:u w:val="single"/>
          <w:lang w:eastAsia="en-US"/>
        </w:rPr>
        <w:t xml:space="preserve"> </w:t>
      </w:r>
      <w:r w:rsidRPr="00FD06ED">
        <w:rPr>
          <w:rFonts w:eastAsia="Times New Roman"/>
          <w:i/>
          <w:sz w:val="18"/>
          <w:szCs w:val="18"/>
          <w:u w:val="single"/>
          <w:lang w:eastAsia="en-US"/>
        </w:rPr>
        <w:t>–</w:t>
      </w:r>
      <w:r w:rsidRPr="00FD06ED">
        <w:rPr>
          <w:rFonts w:eastAsia="Times New Roman"/>
          <w:b/>
          <w:i/>
          <w:u w:val="single"/>
          <w:lang w:eastAsia="en-US"/>
        </w:rPr>
        <w:t xml:space="preserve"> </w:t>
      </w:r>
      <w:r w:rsidRPr="00FD06ED">
        <w:rPr>
          <w:rFonts w:eastAsia="Times New Roman"/>
          <w:i/>
          <w:sz w:val="18"/>
          <w:szCs w:val="18"/>
          <w:u w:val="single"/>
          <w:lang w:eastAsia="en-US"/>
        </w:rPr>
        <w:t>Compensation</w:t>
      </w:r>
      <w:r w:rsidRPr="00FD06ED">
        <w:rPr>
          <w:rFonts w:eastAsia="Times New Roman"/>
          <w:b/>
          <w:i/>
          <w:u w:val="single"/>
          <w:lang w:eastAsia="en-US"/>
        </w:rPr>
        <w:t xml:space="preserve"> </w:t>
      </w:r>
      <w:r w:rsidRPr="00FD06ED">
        <w:rPr>
          <w:rFonts w:eastAsia="Times New Roman" w:cs="Times New Roman"/>
          <w:i/>
          <w:sz w:val="18"/>
          <w:szCs w:val="20"/>
          <w:u w:val="single"/>
          <w:lang w:eastAsia="en-US"/>
        </w:rPr>
        <w:t>recoveries</w:t>
      </w:r>
    </w:p>
    <w:p w14:paraId="2476665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cs="Times New Roman"/>
          <w:sz w:val="18"/>
          <w:szCs w:val="20"/>
          <w:lang w:eastAsia="en-US"/>
        </w:rPr>
        <w:t>There</w:t>
      </w:r>
      <w:r w:rsidRPr="00FD06ED">
        <w:rPr>
          <w:rFonts w:eastAsia="Times New Roman"/>
          <w:i/>
          <w:lang w:eastAsia="en-US"/>
        </w:rPr>
        <w:t xml:space="preserve"> </w:t>
      </w:r>
      <w:r w:rsidRPr="00FD06ED">
        <w:rPr>
          <w:rFonts w:eastAsia="Times New Roman"/>
          <w:sz w:val="18"/>
          <w:szCs w:val="18"/>
          <w:lang w:eastAsia="en-US"/>
        </w:rPr>
        <w:t xml:space="preserve">are provisions set out in the Act and the NDIS Compensation Rules that allow the Agency to recover amounts of compensation that have been paid to, or given up by, Scheme participants. These provisions apply to a number of Scheme participant plans, for which compensation recovery decisions have not yet been made at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pEnd  \* MERGEFORMAT </w:instrText>
      </w:r>
      <w:r w:rsidRPr="00FD06ED">
        <w:rPr>
          <w:rFonts w:eastAsia="Times New Roman"/>
          <w:sz w:val="18"/>
          <w:szCs w:val="18"/>
          <w:lang w:eastAsia="en-US"/>
        </w:rPr>
        <w:fldChar w:fldCharType="separate"/>
      </w:r>
      <w:r w:rsidRPr="00FD06ED">
        <w:rPr>
          <w:rFonts w:eastAsia="Times New Roman"/>
          <w:sz w:val="18"/>
          <w:szCs w:val="18"/>
          <w:lang w:eastAsia="en-US"/>
        </w:rPr>
        <w:t>30 June</w:t>
      </w:r>
      <w:r w:rsidRPr="00FD06ED">
        <w:rPr>
          <w:rFonts w:eastAsia="Times New Roman"/>
          <w:sz w:val="18"/>
          <w:szCs w:val="18"/>
          <w:lang w:eastAsia="en-US"/>
        </w:rPr>
        <w:fldChar w:fldCharType="end"/>
      </w:r>
      <w:r w:rsidRPr="00FD06ED">
        <w:rPr>
          <w:rFonts w:eastAsia="Times New Roman"/>
          <w:sz w:val="18"/>
          <w:szCs w:val="18"/>
          <w:lang w:eastAsia="en-US"/>
        </w:rPr>
        <w:t xml:space="preserve">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crYear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2022</w:t>
      </w:r>
      <w:r w:rsidRPr="00FD06ED">
        <w:rPr>
          <w:rFonts w:eastAsia="Times New Roman"/>
          <w:sz w:val="18"/>
          <w:szCs w:val="18"/>
          <w:lang w:eastAsia="en-US"/>
        </w:rPr>
        <w:fldChar w:fldCharType="end"/>
      </w:r>
      <w:r w:rsidRPr="00FD06ED">
        <w:rPr>
          <w:rFonts w:eastAsia="Times New Roman"/>
          <w:sz w:val="18"/>
          <w:szCs w:val="18"/>
          <w:lang w:eastAsia="en-US"/>
        </w:rPr>
        <w:t xml:space="preserve">. A number of potential compensation cases are in progress at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pEnd  \* MERGEFORMAT </w:instrText>
      </w:r>
      <w:r w:rsidRPr="00FD06ED">
        <w:rPr>
          <w:rFonts w:eastAsia="Times New Roman"/>
          <w:sz w:val="18"/>
          <w:szCs w:val="18"/>
          <w:lang w:eastAsia="en-US"/>
        </w:rPr>
        <w:fldChar w:fldCharType="separate"/>
      </w:r>
      <w:r w:rsidRPr="00FD06ED">
        <w:rPr>
          <w:rFonts w:eastAsia="Times New Roman"/>
          <w:sz w:val="18"/>
          <w:szCs w:val="18"/>
          <w:lang w:eastAsia="en-US"/>
        </w:rPr>
        <w:t>30 June</w:t>
      </w:r>
      <w:r w:rsidRPr="00FD06ED">
        <w:rPr>
          <w:rFonts w:eastAsia="Times New Roman"/>
          <w:sz w:val="18"/>
          <w:szCs w:val="18"/>
          <w:lang w:eastAsia="en-US"/>
        </w:rPr>
        <w:fldChar w:fldCharType="end"/>
      </w:r>
      <w:r w:rsidRPr="00FD06ED">
        <w:rPr>
          <w:rFonts w:eastAsia="Times New Roman"/>
          <w:sz w:val="18"/>
          <w:szCs w:val="18"/>
          <w:lang w:eastAsia="en-US"/>
        </w:rPr>
        <w:t xml:space="preserve"> </w:t>
      </w:r>
      <w:r w:rsidRPr="00FD06ED">
        <w:rPr>
          <w:rFonts w:eastAsia="Times New Roman"/>
          <w:sz w:val="18"/>
          <w:szCs w:val="18"/>
          <w:lang w:eastAsia="en-US"/>
        </w:rPr>
        <w:fldChar w:fldCharType="begin"/>
      </w:r>
      <w:r w:rsidRPr="00FD06ED">
        <w:rPr>
          <w:rFonts w:eastAsia="Times New Roman"/>
          <w:sz w:val="18"/>
          <w:szCs w:val="18"/>
          <w:lang w:eastAsia="en-US"/>
        </w:rPr>
        <w:instrText xml:space="preserve"> DOCPROPERTY  crYear  \* MERGEFORMAT </w:instrText>
      </w:r>
      <w:r w:rsidRPr="00FD06ED">
        <w:rPr>
          <w:rFonts w:eastAsia="Times New Roman"/>
          <w:sz w:val="18"/>
          <w:szCs w:val="18"/>
          <w:lang w:eastAsia="en-US"/>
        </w:rPr>
        <w:fldChar w:fldCharType="separate"/>
      </w:r>
      <w:r w:rsidRPr="00FD06ED">
        <w:rPr>
          <w:rFonts w:eastAsia="Times New Roman"/>
          <w:sz w:val="18"/>
          <w:szCs w:val="18"/>
          <w:lang w:eastAsia="en-US"/>
        </w:rPr>
        <w:t>2022</w:t>
      </w:r>
      <w:r w:rsidRPr="00FD06ED">
        <w:rPr>
          <w:rFonts w:eastAsia="Times New Roman"/>
          <w:sz w:val="18"/>
          <w:szCs w:val="18"/>
          <w:lang w:eastAsia="en-US"/>
        </w:rPr>
        <w:fldChar w:fldCharType="end"/>
      </w:r>
      <w:r w:rsidRPr="00FD06ED">
        <w:rPr>
          <w:rFonts w:eastAsia="Times New Roman"/>
          <w:sz w:val="18"/>
          <w:szCs w:val="18"/>
          <w:lang w:eastAsia="en-US"/>
        </w:rPr>
        <w:t>, which may result in future compensation recoveries by the Agency. Due to the unique circumstances of each case, the Agency is currently unable to estimate the amount that may be recoverable from these cases. These amounts will be recognised as income in future periods when the relevant recognition criteria are met. The accounting policy for compensation receipts is included in Note 1.2C.</w:t>
      </w:r>
    </w:p>
    <w:p w14:paraId="6D3FC0A2" w14:textId="77777777" w:rsidR="00FD06ED" w:rsidRPr="00FD06ED" w:rsidRDefault="00FD06ED" w:rsidP="00FD06ED">
      <w:pPr>
        <w:spacing w:before="0" w:after="0" w:line="260" w:lineRule="atLeast"/>
        <w:ind w:left="0"/>
        <w:rPr>
          <w:rFonts w:eastAsia="Times New Roman"/>
          <w:sz w:val="18"/>
          <w:szCs w:val="18"/>
          <w:lang w:eastAsia="en-AU"/>
        </w:rPr>
      </w:pPr>
    </w:p>
    <w:p w14:paraId="41CE022F" w14:textId="77777777" w:rsidR="00FD06ED" w:rsidRPr="00FD06ED" w:rsidRDefault="00FD06ED" w:rsidP="00FD06ED">
      <w:pPr>
        <w:spacing w:before="0" w:after="0" w:line="260" w:lineRule="atLeast"/>
        <w:ind w:left="0"/>
        <w:rPr>
          <w:rFonts w:eastAsia="Times New Roman"/>
          <w:i/>
          <w:sz w:val="18"/>
          <w:szCs w:val="18"/>
          <w:u w:val="single"/>
          <w:lang w:eastAsia="en-AU"/>
        </w:rPr>
      </w:pPr>
      <w:r w:rsidRPr="00FD06ED">
        <w:rPr>
          <w:rFonts w:eastAsia="Times New Roman"/>
          <w:i/>
          <w:sz w:val="18"/>
          <w:szCs w:val="18"/>
          <w:u w:val="single"/>
          <w:lang w:eastAsia="en-AU"/>
        </w:rPr>
        <w:t>Contingent liabilities</w:t>
      </w:r>
    </w:p>
    <w:p w14:paraId="17369E51" w14:textId="77777777" w:rsidR="00FD06ED" w:rsidRPr="00FD06ED" w:rsidRDefault="00FD06ED" w:rsidP="00FD06ED">
      <w:pPr>
        <w:spacing w:before="0" w:after="0" w:line="260" w:lineRule="atLeast"/>
        <w:ind w:left="0"/>
        <w:rPr>
          <w:rFonts w:eastAsia="Times New Roman"/>
          <w:iCs/>
          <w:sz w:val="18"/>
          <w:szCs w:val="18"/>
          <w:lang w:eastAsia="en-US"/>
        </w:rPr>
      </w:pPr>
      <w:r w:rsidRPr="00FD06ED">
        <w:rPr>
          <w:rFonts w:eastAsia="Times New Roman"/>
          <w:iCs/>
          <w:sz w:val="18"/>
          <w:szCs w:val="18"/>
          <w:lang w:eastAsia="en-US"/>
        </w:rPr>
        <w:t xml:space="preserve">As at </w:t>
      </w:r>
      <w:r w:rsidRPr="00FD06ED">
        <w:rPr>
          <w:rFonts w:eastAsia="Times New Roman"/>
          <w:iCs/>
          <w:sz w:val="18"/>
          <w:szCs w:val="18"/>
          <w:lang w:eastAsia="en-US"/>
        </w:rPr>
        <w:fldChar w:fldCharType="begin"/>
      </w:r>
      <w:r w:rsidRPr="00FD06ED">
        <w:rPr>
          <w:rFonts w:eastAsia="Times New Roman"/>
          <w:iCs/>
          <w:sz w:val="18"/>
          <w:szCs w:val="18"/>
          <w:lang w:eastAsia="en-US"/>
        </w:rPr>
        <w:instrText xml:space="preserve"> DOCPROPERTY  pEnd  \* MERGEFORMAT </w:instrText>
      </w:r>
      <w:r w:rsidRPr="00FD06ED">
        <w:rPr>
          <w:rFonts w:eastAsia="Times New Roman"/>
          <w:iCs/>
          <w:sz w:val="18"/>
          <w:szCs w:val="18"/>
          <w:lang w:eastAsia="en-US"/>
        </w:rPr>
        <w:fldChar w:fldCharType="separate"/>
      </w:r>
      <w:r w:rsidRPr="00FD06ED">
        <w:rPr>
          <w:rFonts w:eastAsia="Times New Roman"/>
          <w:iCs/>
          <w:sz w:val="18"/>
          <w:szCs w:val="18"/>
          <w:lang w:eastAsia="en-US"/>
        </w:rPr>
        <w:t>30 June</w:t>
      </w:r>
      <w:r w:rsidRPr="00FD06ED">
        <w:rPr>
          <w:rFonts w:eastAsia="Times New Roman"/>
          <w:iCs/>
          <w:sz w:val="18"/>
          <w:szCs w:val="18"/>
          <w:lang w:eastAsia="en-US"/>
        </w:rPr>
        <w:fldChar w:fldCharType="end"/>
      </w:r>
      <w:r w:rsidRPr="00FD06ED">
        <w:rPr>
          <w:rFonts w:eastAsia="Times New Roman"/>
          <w:iCs/>
          <w:sz w:val="18"/>
          <w:szCs w:val="18"/>
          <w:lang w:eastAsia="en-US"/>
        </w:rPr>
        <w:t xml:space="preserve"> 2022, the Agency has </w:t>
      </w:r>
      <w:proofErr w:type="gramStart"/>
      <w:r w:rsidRPr="00FD06ED">
        <w:rPr>
          <w:rFonts w:eastAsia="Times New Roman"/>
          <w:iCs/>
          <w:sz w:val="18"/>
          <w:szCs w:val="18"/>
          <w:lang w:eastAsia="en-US"/>
        </w:rPr>
        <w:t>entered into</w:t>
      </w:r>
      <w:proofErr w:type="gramEnd"/>
      <w:r w:rsidRPr="00FD06ED">
        <w:rPr>
          <w:rFonts w:eastAsia="Times New Roman"/>
          <w:iCs/>
          <w:sz w:val="18"/>
          <w:szCs w:val="18"/>
          <w:lang w:eastAsia="en-US"/>
        </w:rPr>
        <w:t xml:space="preserve"> a contract with a supplier which includes unquantifiable contingent liabilities. These relate to the indemnification of the supplier for expenses arising from alleged or actual violations of any third-party rights arising from the Agency’s data, alleged or actual use or misuse of the supplier’s intellectual property, software and subscriptions. The Agency has assessed that it is unlikely that events crystallising these contingent liabilities will occur.</w:t>
      </w:r>
    </w:p>
    <w:p w14:paraId="256449B7" w14:textId="77777777" w:rsidR="00FD06ED" w:rsidRPr="00FD06ED" w:rsidRDefault="00FD06ED" w:rsidP="00FD06ED">
      <w:pPr>
        <w:spacing w:before="0" w:after="0" w:line="260" w:lineRule="atLeast"/>
        <w:ind w:left="0"/>
        <w:rPr>
          <w:rFonts w:eastAsia="Times New Roman"/>
          <w:iCs/>
          <w:sz w:val="18"/>
          <w:szCs w:val="18"/>
          <w:lang w:eastAsia="en-US"/>
        </w:rPr>
      </w:pPr>
    </w:p>
    <w:p w14:paraId="136CC57A" w14:textId="77777777" w:rsidR="00FD06ED" w:rsidRPr="00FD06ED" w:rsidRDefault="00FD06ED" w:rsidP="00FD06ED">
      <w:pPr>
        <w:spacing w:before="0" w:after="0" w:line="260" w:lineRule="atLeast"/>
        <w:ind w:left="0"/>
        <w:rPr>
          <w:rFonts w:eastAsia="Times New Roman"/>
          <w:iCs/>
          <w:sz w:val="18"/>
          <w:szCs w:val="18"/>
          <w:lang w:eastAsia="en-US"/>
        </w:rPr>
      </w:pPr>
      <w:r w:rsidRPr="00FD06ED">
        <w:rPr>
          <w:rFonts w:eastAsia="Times New Roman"/>
          <w:iCs/>
          <w:sz w:val="18"/>
          <w:szCs w:val="18"/>
          <w:lang w:eastAsia="en-US"/>
        </w:rPr>
        <w:t>During 2021–22, the Agency was involved in a number of cases before the Administrative Appeals Tribunal. It is not possible to estimate the amounts of any eventual payments that may be required in relation to these claims.</w:t>
      </w:r>
    </w:p>
    <w:p w14:paraId="4EE0A48C" w14:textId="77777777" w:rsidR="00FD06ED" w:rsidRPr="00FD06ED" w:rsidRDefault="00FD06ED" w:rsidP="00FD06ED">
      <w:pPr>
        <w:spacing w:before="0" w:after="0" w:line="260" w:lineRule="atLeast"/>
        <w:ind w:left="0"/>
        <w:rPr>
          <w:rFonts w:eastAsia="Times New Roman"/>
          <w:sz w:val="18"/>
          <w:szCs w:val="18"/>
          <w:lang w:eastAsia="en-AU"/>
        </w:rPr>
      </w:pPr>
    </w:p>
    <w:p w14:paraId="1B1576CA"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 xml:space="preserve">Accounting Policy </w:t>
      </w:r>
    </w:p>
    <w:p w14:paraId="217AD463"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US"/>
        </w:rPr>
      </w:pPr>
      <w:r w:rsidRPr="00FD06ED">
        <w:rPr>
          <w:rFonts w:eastAsia="Times New Roman"/>
          <w:bCs/>
          <w:sz w:val="18"/>
          <w:szCs w:val="18"/>
          <w:lang w:eastAsia="en-US"/>
        </w:rPr>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0032ABDE" w14:textId="77777777" w:rsidR="00FD06ED" w:rsidRPr="00FD06ED" w:rsidRDefault="00FD06ED" w:rsidP="00FD06ED">
      <w:pPr>
        <w:spacing w:before="0" w:after="0"/>
        <w:ind w:left="0"/>
        <w:rPr>
          <w:rFonts w:eastAsia="Times New Roman"/>
          <w:sz w:val="18"/>
          <w:szCs w:val="18"/>
          <w:lang w:eastAsia="en-AU"/>
        </w:rPr>
      </w:pPr>
      <w:r w:rsidRPr="00FD06ED">
        <w:rPr>
          <w:rFonts w:eastAsia="Times New Roman"/>
          <w:sz w:val="18"/>
          <w:szCs w:val="18"/>
          <w:lang w:eastAsia="en-AU"/>
        </w:rPr>
        <w:br w:type="page"/>
      </w:r>
    </w:p>
    <w:p w14:paraId="32F80538" w14:textId="6AD1BE66" w:rsidR="00FD06ED" w:rsidRPr="00FD06ED" w:rsidRDefault="00085D7A"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78" w:name="_Toc443469549"/>
      <w:bookmarkStart w:id="279" w:name="_Toc444065804"/>
      <w:bookmarkStart w:id="280" w:name="_Toc444080001"/>
      <w:bookmarkStart w:id="281" w:name="_Toc447030550"/>
      <w:bookmarkStart w:id="282" w:name="_Toc447030702"/>
      <w:bookmarkStart w:id="283" w:name="_Toc447030795"/>
      <w:bookmarkStart w:id="284" w:name="_Toc65742859"/>
      <w:bookmarkStart w:id="285" w:name="_Toc114477521"/>
      <w:bookmarkStart w:id="286" w:name="_Toc116414692"/>
      <w:bookmarkStart w:id="287" w:name="_Toc116472671"/>
      <w:bookmarkStart w:id="288" w:name="_Toc116473886"/>
      <w:r>
        <w:rPr>
          <w:rFonts w:eastAsia="Times New Roman"/>
          <w:b/>
          <w:color w:val="FFFFFF"/>
          <w:sz w:val="20"/>
          <w:szCs w:val="20"/>
          <w:lang w:eastAsia="en-US"/>
        </w:rPr>
        <w:lastRenderedPageBreak/>
        <w:t xml:space="preserve">4.2 </w:t>
      </w:r>
      <w:r w:rsidR="00FD06ED" w:rsidRPr="00FD06ED">
        <w:rPr>
          <w:rFonts w:eastAsia="Times New Roman"/>
          <w:b/>
          <w:color w:val="FFFFFF"/>
          <w:sz w:val="20"/>
          <w:szCs w:val="20"/>
          <w:lang w:eastAsia="en-US"/>
        </w:rPr>
        <w:t>Financial Instruments</w:t>
      </w:r>
      <w:bookmarkEnd w:id="278"/>
      <w:bookmarkEnd w:id="279"/>
      <w:bookmarkEnd w:id="280"/>
      <w:bookmarkEnd w:id="281"/>
      <w:bookmarkEnd w:id="282"/>
      <w:bookmarkEnd w:id="283"/>
      <w:bookmarkEnd w:id="284"/>
      <w:bookmarkEnd w:id="285"/>
      <w:bookmarkEnd w:id="286"/>
      <w:bookmarkEnd w:id="287"/>
      <w:bookmarkEnd w:id="288"/>
    </w:p>
    <w:tbl>
      <w:tblPr>
        <w:tblW w:w="9087" w:type="dxa"/>
        <w:tblLayout w:type="fixed"/>
        <w:tblLook w:val="04A0" w:firstRow="1" w:lastRow="0" w:firstColumn="1" w:lastColumn="0" w:noHBand="0" w:noVBand="1"/>
      </w:tblPr>
      <w:tblGrid>
        <w:gridCol w:w="6354"/>
        <w:gridCol w:w="1233"/>
        <w:gridCol w:w="267"/>
        <w:gridCol w:w="1233"/>
      </w:tblGrid>
      <w:tr w:rsidR="00FD06ED" w:rsidRPr="00FD06ED" w14:paraId="54184193" w14:textId="77777777" w:rsidTr="005C33EF">
        <w:trPr>
          <w:trHeight w:val="255"/>
        </w:trPr>
        <w:tc>
          <w:tcPr>
            <w:tcW w:w="6376" w:type="dxa"/>
            <w:tcBorders>
              <w:top w:val="nil"/>
              <w:left w:val="nil"/>
              <w:bottom w:val="nil"/>
              <w:right w:val="nil"/>
            </w:tcBorders>
            <w:shd w:val="clear" w:color="FFFFFF" w:fill="FFFFFF"/>
            <w:noWrap/>
            <w:vAlign w:val="bottom"/>
            <w:hideMark/>
          </w:tcPr>
          <w:p w14:paraId="6FECF734" w14:textId="77777777" w:rsidR="00FD06ED" w:rsidRPr="00FD06ED" w:rsidRDefault="00FD06ED" w:rsidP="00FD06ED">
            <w:pPr>
              <w:spacing w:before="0" w:after="0" w:line="260" w:lineRule="atLeast"/>
              <w:ind w:left="0"/>
              <w:rPr>
                <w:rFonts w:eastAsia="Times New Roman"/>
                <w:sz w:val="18"/>
                <w:szCs w:val="18"/>
                <w:lang w:eastAsia="en-US"/>
              </w:rPr>
            </w:pPr>
            <w:bookmarkStart w:id="289" w:name="Note_FIATABLE1" w:colFirst="0" w:colLast="0"/>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70D4878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67" w:type="dxa"/>
            <w:tcBorders>
              <w:top w:val="nil"/>
              <w:left w:val="nil"/>
              <w:bottom w:val="nil"/>
              <w:right w:val="nil"/>
            </w:tcBorders>
            <w:shd w:val="clear" w:color="FFFFFF" w:fill="FFFFFF"/>
            <w:noWrap/>
            <w:vAlign w:val="bottom"/>
            <w:hideMark/>
          </w:tcPr>
          <w:p w14:paraId="245FB61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06D9297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bookmarkEnd w:id="289"/>
      <w:tr w:rsidR="00FD06ED" w:rsidRPr="00FD06ED" w14:paraId="1B4881AE" w14:textId="77777777" w:rsidTr="005C33EF">
        <w:trPr>
          <w:trHeight w:val="270"/>
        </w:trPr>
        <w:tc>
          <w:tcPr>
            <w:tcW w:w="6376" w:type="dxa"/>
            <w:tcBorders>
              <w:top w:val="nil"/>
              <w:left w:val="nil"/>
              <w:bottom w:val="nil"/>
              <w:right w:val="nil"/>
            </w:tcBorders>
            <w:shd w:val="clear" w:color="FFFFFF" w:fill="FFFFFF"/>
            <w:noWrap/>
            <w:vAlign w:val="bottom"/>
            <w:hideMark/>
          </w:tcPr>
          <w:p w14:paraId="4198769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110AAF6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67" w:type="dxa"/>
            <w:tcBorders>
              <w:top w:val="nil"/>
              <w:left w:val="nil"/>
              <w:bottom w:val="nil"/>
              <w:right w:val="nil"/>
            </w:tcBorders>
            <w:shd w:val="clear" w:color="FFFFFF" w:fill="FFFFFF"/>
            <w:noWrap/>
            <w:vAlign w:val="bottom"/>
            <w:hideMark/>
          </w:tcPr>
          <w:p w14:paraId="61F740B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vAlign w:val="bottom"/>
            <w:hideMark/>
          </w:tcPr>
          <w:p w14:paraId="657A2E20"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FD06ED" w:rsidRPr="00FD06ED" w14:paraId="60251046" w14:textId="77777777" w:rsidTr="005C33EF">
        <w:trPr>
          <w:trHeight w:val="255"/>
        </w:trPr>
        <w:tc>
          <w:tcPr>
            <w:tcW w:w="6376" w:type="dxa"/>
            <w:tcBorders>
              <w:top w:val="nil"/>
              <w:left w:val="nil"/>
              <w:bottom w:val="nil"/>
              <w:right w:val="nil"/>
            </w:tcBorders>
            <w:shd w:val="clear" w:color="FFFFFF" w:fill="FFFFFF"/>
            <w:noWrap/>
            <w:vAlign w:val="bottom"/>
            <w:hideMark/>
          </w:tcPr>
          <w:p w14:paraId="47A3B3F2" w14:textId="77777777" w:rsidR="00FD06ED" w:rsidRPr="00FD06ED" w:rsidRDefault="00FD06ED" w:rsidP="00FD06ED">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4.2A: Categories of financial instruments</w:t>
            </w:r>
          </w:p>
        </w:tc>
        <w:tc>
          <w:tcPr>
            <w:tcW w:w="1236" w:type="dxa"/>
            <w:tcBorders>
              <w:top w:val="nil"/>
              <w:left w:val="nil"/>
              <w:bottom w:val="nil"/>
              <w:right w:val="nil"/>
            </w:tcBorders>
            <w:shd w:val="clear" w:color="FFFFFF" w:fill="FFFFFF"/>
            <w:noWrap/>
            <w:vAlign w:val="bottom"/>
            <w:hideMark/>
          </w:tcPr>
          <w:p w14:paraId="6E3B2C8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6F28C455"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A00EA3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72A5D811" w14:textId="77777777" w:rsidTr="005C33EF">
        <w:trPr>
          <w:trHeight w:val="255"/>
        </w:trPr>
        <w:tc>
          <w:tcPr>
            <w:tcW w:w="6376" w:type="dxa"/>
            <w:tcBorders>
              <w:top w:val="nil"/>
              <w:left w:val="nil"/>
              <w:bottom w:val="nil"/>
              <w:right w:val="nil"/>
            </w:tcBorders>
            <w:shd w:val="clear" w:color="FFFFFF" w:fill="FFFFFF"/>
            <w:vAlign w:val="bottom"/>
            <w:hideMark/>
          </w:tcPr>
          <w:p w14:paraId="08EE294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Financial assets at amortised cost</w:t>
            </w:r>
          </w:p>
        </w:tc>
        <w:tc>
          <w:tcPr>
            <w:tcW w:w="1236" w:type="dxa"/>
            <w:tcBorders>
              <w:top w:val="nil"/>
              <w:left w:val="nil"/>
              <w:bottom w:val="nil"/>
              <w:right w:val="nil"/>
            </w:tcBorders>
            <w:shd w:val="clear" w:color="FFFFFF" w:fill="FFFFFF"/>
            <w:noWrap/>
            <w:vAlign w:val="bottom"/>
            <w:hideMark/>
          </w:tcPr>
          <w:p w14:paraId="33B2F03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72B77E1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46D5D6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99CED85" w14:textId="77777777" w:rsidTr="005C33EF">
        <w:trPr>
          <w:trHeight w:val="255"/>
        </w:trPr>
        <w:tc>
          <w:tcPr>
            <w:tcW w:w="6376" w:type="dxa"/>
            <w:tcBorders>
              <w:top w:val="nil"/>
              <w:left w:val="nil"/>
              <w:bottom w:val="nil"/>
              <w:right w:val="nil"/>
            </w:tcBorders>
            <w:shd w:val="clear" w:color="FFFFFF" w:fill="FFFFFF"/>
            <w:noWrap/>
            <w:vAlign w:val="bottom"/>
            <w:hideMark/>
          </w:tcPr>
          <w:p w14:paraId="5F5EEA3A"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Cash and cash equivalents</w:t>
            </w:r>
          </w:p>
        </w:tc>
        <w:tc>
          <w:tcPr>
            <w:tcW w:w="1236" w:type="dxa"/>
            <w:tcBorders>
              <w:top w:val="nil"/>
              <w:left w:val="nil"/>
              <w:bottom w:val="nil"/>
              <w:right w:val="nil"/>
            </w:tcBorders>
            <w:shd w:val="clear" w:color="FFFFFF" w:fill="FFFFFF"/>
            <w:noWrap/>
            <w:vAlign w:val="bottom"/>
            <w:hideMark/>
          </w:tcPr>
          <w:p w14:paraId="574C9C3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1,918,956</w:t>
            </w:r>
          </w:p>
        </w:tc>
        <w:tc>
          <w:tcPr>
            <w:tcW w:w="267" w:type="dxa"/>
            <w:tcBorders>
              <w:top w:val="nil"/>
              <w:left w:val="nil"/>
              <w:bottom w:val="nil"/>
              <w:right w:val="nil"/>
            </w:tcBorders>
            <w:shd w:val="clear" w:color="FFFFFF" w:fill="FFFFFF"/>
            <w:noWrap/>
            <w:vAlign w:val="bottom"/>
            <w:hideMark/>
          </w:tcPr>
          <w:p w14:paraId="3110FDE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3EA968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1,819,084</w:t>
            </w:r>
          </w:p>
        </w:tc>
      </w:tr>
      <w:tr w:rsidR="00FD06ED" w:rsidRPr="00FD06ED" w14:paraId="0A1C19B8" w14:textId="77777777" w:rsidTr="005C33EF">
        <w:trPr>
          <w:trHeight w:val="255"/>
        </w:trPr>
        <w:tc>
          <w:tcPr>
            <w:tcW w:w="6376" w:type="dxa"/>
            <w:tcBorders>
              <w:top w:val="nil"/>
              <w:left w:val="nil"/>
              <w:bottom w:val="nil"/>
              <w:right w:val="nil"/>
            </w:tcBorders>
            <w:shd w:val="clear" w:color="FFFFFF" w:fill="FFFFFF"/>
            <w:noWrap/>
            <w:vAlign w:val="bottom"/>
            <w:hideMark/>
          </w:tcPr>
          <w:p w14:paraId="6450B732"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receivables</w:t>
            </w:r>
          </w:p>
        </w:tc>
        <w:tc>
          <w:tcPr>
            <w:tcW w:w="1236" w:type="dxa"/>
            <w:tcBorders>
              <w:top w:val="nil"/>
              <w:left w:val="nil"/>
              <w:bottom w:val="nil"/>
              <w:right w:val="nil"/>
            </w:tcBorders>
            <w:shd w:val="clear" w:color="FFFFFF" w:fill="FFFFFF"/>
            <w:noWrap/>
            <w:vAlign w:val="bottom"/>
            <w:hideMark/>
          </w:tcPr>
          <w:p w14:paraId="0790D5A1"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30,640</w:t>
            </w:r>
          </w:p>
        </w:tc>
        <w:tc>
          <w:tcPr>
            <w:tcW w:w="267" w:type="dxa"/>
            <w:tcBorders>
              <w:top w:val="nil"/>
              <w:left w:val="nil"/>
              <w:bottom w:val="nil"/>
              <w:right w:val="nil"/>
            </w:tcBorders>
            <w:shd w:val="clear" w:color="FFFFFF" w:fill="FFFFFF"/>
            <w:noWrap/>
            <w:vAlign w:val="bottom"/>
            <w:hideMark/>
          </w:tcPr>
          <w:p w14:paraId="5A603A82"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8B16FD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42,707</w:t>
            </w:r>
          </w:p>
        </w:tc>
      </w:tr>
      <w:tr w:rsidR="00FD06ED" w:rsidRPr="00FD06ED" w14:paraId="1F7B24DF" w14:textId="77777777" w:rsidTr="005C33EF">
        <w:trPr>
          <w:trHeight w:val="255"/>
        </w:trPr>
        <w:tc>
          <w:tcPr>
            <w:tcW w:w="6376" w:type="dxa"/>
            <w:tcBorders>
              <w:top w:val="nil"/>
              <w:left w:val="nil"/>
              <w:bottom w:val="nil"/>
              <w:right w:val="nil"/>
            </w:tcBorders>
            <w:shd w:val="clear" w:color="FFFFFF" w:fill="FFFFFF"/>
            <w:noWrap/>
            <w:vAlign w:val="bottom"/>
            <w:hideMark/>
          </w:tcPr>
          <w:p w14:paraId="73136B6D"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financial assets</w:t>
            </w:r>
          </w:p>
        </w:tc>
        <w:tc>
          <w:tcPr>
            <w:tcW w:w="1236" w:type="dxa"/>
            <w:tcBorders>
              <w:top w:val="nil"/>
              <w:left w:val="nil"/>
              <w:bottom w:val="nil"/>
              <w:right w:val="nil"/>
            </w:tcBorders>
            <w:shd w:val="clear" w:color="FFFFFF" w:fill="FFFFFF"/>
            <w:noWrap/>
            <w:vAlign w:val="bottom"/>
            <w:hideMark/>
          </w:tcPr>
          <w:p w14:paraId="4B0D2EA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2,465,000</w:t>
            </w:r>
          </w:p>
        </w:tc>
        <w:tc>
          <w:tcPr>
            <w:tcW w:w="267" w:type="dxa"/>
            <w:tcBorders>
              <w:top w:val="nil"/>
              <w:left w:val="nil"/>
              <w:bottom w:val="nil"/>
              <w:right w:val="nil"/>
            </w:tcBorders>
            <w:shd w:val="clear" w:color="FFFFFF" w:fill="FFFFFF"/>
            <w:noWrap/>
            <w:vAlign w:val="bottom"/>
            <w:hideMark/>
          </w:tcPr>
          <w:p w14:paraId="53C3B8D3"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16964FAC"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1,495,000</w:t>
            </w:r>
          </w:p>
        </w:tc>
      </w:tr>
      <w:tr w:rsidR="00FD06ED" w:rsidRPr="00FD06ED" w14:paraId="717902D9" w14:textId="77777777" w:rsidTr="005C33EF">
        <w:trPr>
          <w:trHeight w:val="255"/>
        </w:trPr>
        <w:tc>
          <w:tcPr>
            <w:tcW w:w="6376" w:type="dxa"/>
            <w:tcBorders>
              <w:top w:val="nil"/>
              <w:left w:val="nil"/>
              <w:bottom w:val="nil"/>
              <w:right w:val="nil"/>
            </w:tcBorders>
            <w:shd w:val="clear" w:color="FFFFFF" w:fill="FFFFFF"/>
            <w:noWrap/>
            <w:vAlign w:val="bottom"/>
            <w:hideMark/>
          </w:tcPr>
          <w:p w14:paraId="52423901"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financial assets at amortised cost</w:t>
            </w:r>
          </w:p>
        </w:tc>
        <w:tc>
          <w:tcPr>
            <w:tcW w:w="1236" w:type="dxa"/>
            <w:tcBorders>
              <w:top w:val="single" w:sz="4" w:space="0" w:color="auto"/>
              <w:left w:val="nil"/>
              <w:bottom w:val="single" w:sz="4" w:space="0" w:color="auto"/>
              <w:right w:val="nil"/>
            </w:tcBorders>
            <w:shd w:val="clear" w:color="FFFFFF" w:fill="FFFFFF"/>
            <w:noWrap/>
            <w:vAlign w:val="bottom"/>
            <w:hideMark/>
          </w:tcPr>
          <w:p w14:paraId="5191CBD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4,414,596</w:t>
            </w:r>
          </w:p>
        </w:tc>
        <w:tc>
          <w:tcPr>
            <w:tcW w:w="267" w:type="dxa"/>
            <w:tcBorders>
              <w:top w:val="nil"/>
              <w:left w:val="nil"/>
              <w:bottom w:val="nil"/>
              <w:right w:val="nil"/>
            </w:tcBorders>
            <w:shd w:val="clear" w:color="FFFFFF" w:fill="FFFFFF"/>
            <w:noWrap/>
            <w:vAlign w:val="bottom"/>
            <w:hideMark/>
          </w:tcPr>
          <w:p w14:paraId="61457681"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40E021AF"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3,356,791</w:t>
            </w:r>
          </w:p>
        </w:tc>
      </w:tr>
      <w:tr w:rsidR="00FD06ED" w:rsidRPr="00FD06ED" w14:paraId="37890146" w14:textId="77777777" w:rsidTr="005C33EF">
        <w:trPr>
          <w:trHeight w:val="255"/>
        </w:trPr>
        <w:tc>
          <w:tcPr>
            <w:tcW w:w="6376" w:type="dxa"/>
            <w:tcBorders>
              <w:top w:val="nil"/>
              <w:left w:val="nil"/>
              <w:bottom w:val="nil"/>
              <w:right w:val="nil"/>
            </w:tcBorders>
            <w:shd w:val="clear" w:color="FFFFFF" w:fill="FFFFFF"/>
            <w:vAlign w:val="bottom"/>
            <w:hideMark/>
          </w:tcPr>
          <w:p w14:paraId="4A6F3B96"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236" w:type="dxa"/>
            <w:tcBorders>
              <w:top w:val="nil"/>
              <w:left w:val="nil"/>
              <w:bottom w:val="nil"/>
              <w:right w:val="nil"/>
            </w:tcBorders>
            <w:shd w:val="clear" w:color="FFFFFF" w:fill="FFFFFF"/>
            <w:noWrap/>
            <w:vAlign w:val="bottom"/>
            <w:hideMark/>
          </w:tcPr>
          <w:p w14:paraId="284DD3F8"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4CC988D7"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6A937F56"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w:t>
            </w:r>
          </w:p>
        </w:tc>
      </w:tr>
      <w:tr w:rsidR="00FD06ED" w:rsidRPr="00FD06ED" w14:paraId="37DE9C00" w14:textId="77777777" w:rsidTr="005C33EF">
        <w:trPr>
          <w:trHeight w:val="255"/>
        </w:trPr>
        <w:tc>
          <w:tcPr>
            <w:tcW w:w="6376" w:type="dxa"/>
            <w:tcBorders>
              <w:top w:val="nil"/>
              <w:left w:val="nil"/>
              <w:bottom w:val="nil"/>
              <w:right w:val="nil"/>
            </w:tcBorders>
            <w:shd w:val="clear" w:color="FFFFFF" w:fill="FFFFFF"/>
            <w:vAlign w:val="bottom"/>
            <w:hideMark/>
          </w:tcPr>
          <w:p w14:paraId="1E02BE03"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Financial liabilities measured at amortised cost</w:t>
            </w:r>
          </w:p>
        </w:tc>
        <w:tc>
          <w:tcPr>
            <w:tcW w:w="1236" w:type="dxa"/>
            <w:tcBorders>
              <w:top w:val="nil"/>
              <w:left w:val="nil"/>
              <w:bottom w:val="nil"/>
              <w:right w:val="nil"/>
            </w:tcBorders>
            <w:shd w:val="clear" w:color="FFFFFF" w:fill="FFFFFF"/>
            <w:noWrap/>
            <w:vAlign w:val="bottom"/>
            <w:hideMark/>
          </w:tcPr>
          <w:p w14:paraId="6A403BE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3D47CDD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6B06350"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64177201" w14:textId="77777777" w:rsidTr="005C33EF">
        <w:trPr>
          <w:trHeight w:val="255"/>
        </w:trPr>
        <w:tc>
          <w:tcPr>
            <w:tcW w:w="6376" w:type="dxa"/>
            <w:tcBorders>
              <w:top w:val="nil"/>
              <w:left w:val="nil"/>
              <w:bottom w:val="nil"/>
              <w:right w:val="nil"/>
            </w:tcBorders>
            <w:shd w:val="clear" w:color="FFFFFF" w:fill="FFFFFF"/>
            <w:noWrap/>
            <w:vAlign w:val="bottom"/>
            <w:hideMark/>
          </w:tcPr>
          <w:p w14:paraId="72137EB8"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Supplier and other payables</w:t>
            </w:r>
          </w:p>
        </w:tc>
        <w:tc>
          <w:tcPr>
            <w:tcW w:w="1236" w:type="dxa"/>
            <w:tcBorders>
              <w:top w:val="nil"/>
              <w:left w:val="nil"/>
              <w:bottom w:val="nil"/>
              <w:right w:val="nil"/>
            </w:tcBorders>
            <w:shd w:val="clear" w:color="FFFFFF" w:fill="FFFFFF"/>
            <w:noWrap/>
            <w:vAlign w:val="bottom"/>
            <w:hideMark/>
          </w:tcPr>
          <w:p w14:paraId="70F14710"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192,116</w:t>
            </w:r>
          </w:p>
        </w:tc>
        <w:tc>
          <w:tcPr>
            <w:tcW w:w="267" w:type="dxa"/>
            <w:tcBorders>
              <w:top w:val="nil"/>
              <w:left w:val="nil"/>
              <w:bottom w:val="nil"/>
              <w:right w:val="nil"/>
            </w:tcBorders>
            <w:shd w:val="clear" w:color="FFFFFF" w:fill="FFFFFF"/>
            <w:noWrap/>
            <w:vAlign w:val="bottom"/>
            <w:hideMark/>
          </w:tcPr>
          <w:p w14:paraId="7340122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C04ED7B"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151,830</w:t>
            </w:r>
          </w:p>
        </w:tc>
      </w:tr>
      <w:tr w:rsidR="00FD06ED" w:rsidRPr="00FD06ED" w14:paraId="1CC2D0C7" w14:textId="77777777" w:rsidTr="005C33EF">
        <w:trPr>
          <w:trHeight w:val="270"/>
        </w:trPr>
        <w:tc>
          <w:tcPr>
            <w:tcW w:w="6376" w:type="dxa"/>
            <w:tcBorders>
              <w:top w:val="nil"/>
              <w:left w:val="nil"/>
              <w:bottom w:val="nil"/>
              <w:right w:val="nil"/>
            </w:tcBorders>
            <w:shd w:val="clear" w:color="FFFFFF" w:fill="FFFFFF"/>
            <w:vAlign w:val="bottom"/>
            <w:hideMark/>
          </w:tcPr>
          <w:p w14:paraId="727D86F9"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financial liabilities at amortised cost</w:t>
            </w:r>
          </w:p>
        </w:tc>
        <w:tc>
          <w:tcPr>
            <w:tcW w:w="1236" w:type="dxa"/>
            <w:tcBorders>
              <w:top w:val="single" w:sz="4" w:space="0" w:color="auto"/>
              <w:left w:val="nil"/>
              <w:bottom w:val="single" w:sz="4" w:space="0" w:color="auto"/>
              <w:right w:val="nil"/>
            </w:tcBorders>
            <w:shd w:val="clear" w:color="FFFFFF" w:fill="FFFFFF"/>
            <w:noWrap/>
            <w:vAlign w:val="bottom"/>
            <w:hideMark/>
          </w:tcPr>
          <w:p w14:paraId="54AFECE7"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192,116</w:t>
            </w:r>
          </w:p>
        </w:tc>
        <w:tc>
          <w:tcPr>
            <w:tcW w:w="267" w:type="dxa"/>
            <w:tcBorders>
              <w:top w:val="nil"/>
              <w:left w:val="nil"/>
              <w:bottom w:val="nil"/>
              <w:right w:val="nil"/>
            </w:tcBorders>
            <w:shd w:val="clear" w:color="FFFFFF" w:fill="FFFFFF"/>
            <w:noWrap/>
            <w:vAlign w:val="bottom"/>
            <w:hideMark/>
          </w:tcPr>
          <w:p w14:paraId="7C2029D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78F2FC37"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151,830</w:t>
            </w:r>
          </w:p>
        </w:tc>
      </w:tr>
    </w:tbl>
    <w:p w14:paraId="78D03370" w14:textId="77777777" w:rsidR="00FD06ED" w:rsidRPr="00FD06ED" w:rsidRDefault="00FD06ED" w:rsidP="00FD06ED">
      <w:pPr>
        <w:spacing w:before="0" w:after="0" w:line="260" w:lineRule="atLeast"/>
        <w:ind w:left="0"/>
        <w:rPr>
          <w:rFonts w:ascii="Times New Roman" w:eastAsia="Times New Roman" w:hAnsi="Times New Roman" w:cs="Times New Roman"/>
          <w:szCs w:val="20"/>
          <w:highlight w:val="yellow"/>
          <w:lang w:eastAsia="en-US"/>
        </w:rPr>
      </w:pPr>
    </w:p>
    <w:tbl>
      <w:tblPr>
        <w:tblW w:w="9087" w:type="dxa"/>
        <w:tblLayout w:type="fixed"/>
        <w:tblLook w:val="04A0" w:firstRow="1" w:lastRow="0" w:firstColumn="1" w:lastColumn="0" w:noHBand="0" w:noVBand="1"/>
      </w:tblPr>
      <w:tblGrid>
        <w:gridCol w:w="6354"/>
        <w:gridCol w:w="1233"/>
        <w:gridCol w:w="267"/>
        <w:gridCol w:w="1233"/>
      </w:tblGrid>
      <w:tr w:rsidR="00FD06ED" w:rsidRPr="00FD06ED" w14:paraId="5BB0A77B" w14:textId="77777777" w:rsidTr="005C33EF">
        <w:trPr>
          <w:trHeight w:val="255"/>
        </w:trPr>
        <w:tc>
          <w:tcPr>
            <w:tcW w:w="6376" w:type="dxa"/>
            <w:tcBorders>
              <w:top w:val="nil"/>
              <w:left w:val="nil"/>
              <w:bottom w:val="nil"/>
              <w:right w:val="nil"/>
            </w:tcBorders>
            <w:shd w:val="clear" w:color="FFFFFF" w:fill="FFFFFF"/>
            <w:noWrap/>
            <w:vAlign w:val="bottom"/>
            <w:hideMark/>
          </w:tcPr>
          <w:p w14:paraId="66524506" w14:textId="77777777" w:rsidR="00FD06ED" w:rsidRPr="00FD06ED" w:rsidRDefault="00FD06ED" w:rsidP="00FD06ED">
            <w:pPr>
              <w:spacing w:before="0" w:after="0" w:line="260" w:lineRule="atLeast"/>
              <w:ind w:left="0"/>
              <w:rPr>
                <w:rFonts w:eastAsia="Times New Roman"/>
                <w:b/>
                <w:bCs/>
                <w:sz w:val="18"/>
                <w:szCs w:val="18"/>
                <w:u w:val="single"/>
                <w:lang w:eastAsia="en-US"/>
              </w:rPr>
            </w:pPr>
            <w:bookmarkStart w:id="290" w:name="Note_FIBTABLE1" w:colFirst="0" w:colLast="0"/>
            <w:r w:rsidRPr="00FD06ED">
              <w:rPr>
                <w:rFonts w:eastAsia="Times New Roman"/>
                <w:b/>
                <w:bCs/>
                <w:sz w:val="18"/>
                <w:szCs w:val="18"/>
                <w:u w:val="single"/>
                <w:lang w:eastAsia="en-US"/>
              </w:rPr>
              <w:t>Note 4.2B: Net gains or losses on financial assets</w:t>
            </w:r>
          </w:p>
        </w:tc>
        <w:tc>
          <w:tcPr>
            <w:tcW w:w="1236" w:type="dxa"/>
            <w:tcBorders>
              <w:top w:val="nil"/>
              <w:left w:val="nil"/>
              <w:bottom w:val="nil"/>
              <w:right w:val="nil"/>
            </w:tcBorders>
            <w:shd w:val="clear" w:color="FFFFFF" w:fill="FFFFFF"/>
            <w:noWrap/>
            <w:vAlign w:val="bottom"/>
            <w:hideMark/>
          </w:tcPr>
          <w:p w14:paraId="7D2EE26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67" w:type="dxa"/>
            <w:tcBorders>
              <w:top w:val="nil"/>
              <w:left w:val="nil"/>
              <w:bottom w:val="nil"/>
              <w:right w:val="nil"/>
            </w:tcBorders>
            <w:shd w:val="clear" w:color="FFFFFF" w:fill="FFFFFF"/>
            <w:noWrap/>
            <w:vAlign w:val="bottom"/>
            <w:hideMark/>
          </w:tcPr>
          <w:p w14:paraId="0AB0607D"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2B725196"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bookmarkEnd w:id="290"/>
      <w:tr w:rsidR="00FD06ED" w:rsidRPr="00FD06ED" w14:paraId="78EF31F9" w14:textId="77777777" w:rsidTr="005C33EF">
        <w:trPr>
          <w:trHeight w:val="255"/>
        </w:trPr>
        <w:tc>
          <w:tcPr>
            <w:tcW w:w="6376" w:type="dxa"/>
            <w:tcBorders>
              <w:top w:val="nil"/>
              <w:left w:val="nil"/>
              <w:bottom w:val="nil"/>
              <w:right w:val="nil"/>
            </w:tcBorders>
            <w:shd w:val="clear" w:color="FFFFFF" w:fill="FFFFFF"/>
            <w:vAlign w:val="bottom"/>
            <w:hideMark/>
          </w:tcPr>
          <w:p w14:paraId="2315F82C"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Financial assets at amortised cost</w:t>
            </w:r>
          </w:p>
        </w:tc>
        <w:tc>
          <w:tcPr>
            <w:tcW w:w="1236" w:type="dxa"/>
            <w:tcBorders>
              <w:top w:val="nil"/>
              <w:left w:val="nil"/>
              <w:bottom w:val="nil"/>
              <w:right w:val="nil"/>
            </w:tcBorders>
            <w:shd w:val="clear" w:color="FFFFFF" w:fill="FFFFFF"/>
            <w:noWrap/>
            <w:vAlign w:val="bottom"/>
            <w:hideMark/>
          </w:tcPr>
          <w:p w14:paraId="1CDE6556"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267" w:type="dxa"/>
            <w:tcBorders>
              <w:top w:val="nil"/>
              <w:left w:val="nil"/>
              <w:bottom w:val="nil"/>
              <w:right w:val="nil"/>
            </w:tcBorders>
            <w:shd w:val="clear" w:color="FFFFFF" w:fill="FFFFFF"/>
            <w:noWrap/>
            <w:vAlign w:val="bottom"/>
            <w:hideMark/>
          </w:tcPr>
          <w:p w14:paraId="1AE2544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77C919C9"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FD06ED" w:rsidRPr="00FD06ED" w14:paraId="02D87A28" w14:textId="77777777" w:rsidTr="005C33EF">
        <w:trPr>
          <w:trHeight w:val="255"/>
        </w:trPr>
        <w:tc>
          <w:tcPr>
            <w:tcW w:w="6376" w:type="dxa"/>
            <w:tcBorders>
              <w:top w:val="nil"/>
              <w:left w:val="nil"/>
              <w:bottom w:val="nil"/>
              <w:right w:val="nil"/>
            </w:tcBorders>
            <w:shd w:val="clear" w:color="FFFFFF" w:fill="FFFFFF"/>
            <w:vAlign w:val="bottom"/>
            <w:hideMark/>
          </w:tcPr>
          <w:p w14:paraId="0B5D0456"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Interest revenue</w:t>
            </w:r>
          </w:p>
        </w:tc>
        <w:tc>
          <w:tcPr>
            <w:tcW w:w="1236" w:type="dxa"/>
            <w:tcBorders>
              <w:top w:val="nil"/>
              <w:left w:val="nil"/>
              <w:bottom w:val="nil"/>
              <w:right w:val="nil"/>
            </w:tcBorders>
            <w:shd w:val="clear" w:color="FFFFFF" w:fill="FFFFFF"/>
            <w:noWrap/>
            <w:vAlign w:val="bottom"/>
            <w:hideMark/>
          </w:tcPr>
          <w:p w14:paraId="0A7C19DB"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17,475</w:t>
            </w:r>
          </w:p>
        </w:tc>
        <w:tc>
          <w:tcPr>
            <w:tcW w:w="267" w:type="dxa"/>
            <w:tcBorders>
              <w:top w:val="nil"/>
              <w:left w:val="nil"/>
              <w:bottom w:val="nil"/>
              <w:right w:val="nil"/>
            </w:tcBorders>
            <w:shd w:val="clear" w:color="FFFFFF" w:fill="FFFFFF"/>
            <w:noWrap/>
            <w:vAlign w:val="bottom"/>
            <w:hideMark/>
          </w:tcPr>
          <w:p w14:paraId="55F8AC64"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3FFA5D42"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9,854</w:t>
            </w:r>
          </w:p>
        </w:tc>
      </w:tr>
      <w:tr w:rsidR="00FD06ED" w:rsidRPr="00FD06ED" w14:paraId="28CF11BD" w14:textId="77777777" w:rsidTr="005C33EF">
        <w:trPr>
          <w:trHeight w:val="255"/>
        </w:trPr>
        <w:tc>
          <w:tcPr>
            <w:tcW w:w="6376" w:type="dxa"/>
            <w:tcBorders>
              <w:top w:val="nil"/>
              <w:left w:val="nil"/>
              <w:bottom w:val="nil"/>
              <w:right w:val="nil"/>
            </w:tcBorders>
            <w:shd w:val="clear" w:color="FFFFFF" w:fill="FFFFFF"/>
            <w:vAlign w:val="bottom"/>
            <w:hideMark/>
          </w:tcPr>
          <w:p w14:paraId="45D30774" w14:textId="77777777" w:rsidR="00FD06ED" w:rsidRPr="00FD06ED" w:rsidRDefault="00FD06ED" w:rsidP="00FD06ED">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 xml:space="preserve">Impairment loss on financial instruments </w:t>
            </w:r>
          </w:p>
        </w:tc>
        <w:tc>
          <w:tcPr>
            <w:tcW w:w="1236" w:type="dxa"/>
            <w:tcBorders>
              <w:top w:val="nil"/>
              <w:left w:val="nil"/>
              <w:bottom w:val="nil"/>
              <w:right w:val="nil"/>
            </w:tcBorders>
            <w:shd w:val="clear" w:color="FFFFFF" w:fill="FFFFFF"/>
            <w:noWrap/>
            <w:vAlign w:val="bottom"/>
            <w:hideMark/>
          </w:tcPr>
          <w:p w14:paraId="4BD1CC7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135</w:t>
            </w:r>
          </w:p>
        </w:tc>
        <w:tc>
          <w:tcPr>
            <w:tcW w:w="267" w:type="dxa"/>
            <w:tcBorders>
              <w:top w:val="nil"/>
              <w:left w:val="nil"/>
              <w:bottom w:val="nil"/>
              <w:right w:val="nil"/>
            </w:tcBorders>
            <w:shd w:val="clear" w:color="FFFFFF" w:fill="FFFFFF"/>
            <w:noWrap/>
            <w:vAlign w:val="bottom"/>
            <w:hideMark/>
          </w:tcPr>
          <w:p w14:paraId="4A9D4A6B"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nil"/>
              <w:right w:val="nil"/>
            </w:tcBorders>
            <w:shd w:val="clear" w:color="FFFFFF" w:fill="FFFFFF"/>
            <w:noWrap/>
            <w:vAlign w:val="bottom"/>
            <w:hideMark/>
          </w:tcPr>
          <w:p w14:paraId="0F3CC144"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FD06ED" w:rsidRPr="00FD06ED" w14:paraId="256996EA" w14:textId="77777777" w:rsidTr="005C33EF">
        <w:trPr>
          <w:trHeight w:val="255"/>
        </w:trPr>
        <w:tc>
          <w:tcPr>
            <w:tcW w:w="6376" w:type="dxa"/>
            <w:tcBorders>
              <w:top w:val="nil"/>
              <w:left w:val="nil"/>
              <w:bottom w:val="nil"/>
              <w:right w:val="nil"/>
            </w:tcBorders>
            <w:shd w:val="clear" w:color="FFFFFF" w:fill="FFFFFF"/>
            <w:vAlign w:val="bottom"/>
            <w:hideMark/>
          </w:tcPr>
          <w:p w14:paraId="2AE856CE"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gains/(losses) on financial assets at amortised cost</w:t>
            </w:r>
          </w:p>
        </w:tc>
        <w:tc>
          <w:tcPr>
            <w:tcW w:w="1236" w:type="dxa"/>
            <w:tcBorders>
              <w:top w:val="single" w:sz="4" w:space="0" w:color="auto"/>
              <w:left w:val="nil"/>
              <w:bottom w:val="single" w:sz="4" w:space="0" w:color="auto"/>
              <w:right w:val="nil"/>
            </w:tcBorders>
            <w:shd w:val="clear" w:color="FFFFFF" w:fill="FFFFFF"/>
            <w:noWrap/>
            <w:vAlign w:val="bottom"/>
            <w:hideMark/>
          </w:tcPr>
          <w:p w14:paraId="2E56D9D4"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17,610</w:t>
            </w:r>
          </w:p>
        </w:tc>
        <w:tc>
          <w:tcPr>
            <w:tcW w:w="267" w:type="dxa"/>
            <w:tcBorders>
              <w:top w:val="nil"/>
              <w:left w:val="nil"/>
              <w:bottom w:val="nil"/>
              <w:right w:val="nil"/>
            </w:tcBorders>
            <w:shd w:val="clear" w:color="FFFFFF" w:fill="FFFFFF"/>
            <w:noWrap/>
            <w:vAlign w:val="bottom"/>
            <w:hideMark/>
          </w:tcPr>
          <w:p w14:paraId="54EF6E4F"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single" w:sz="4" w:space="0" w:color="auto"/>
              <w:left w:val="nil"/>
              <w:bottom w:val="single" w:sz="4" w:space="0" w:color="auto"/>
              <w:right w:val="nil"/>
            </w:tcBorders>
            <w:shd w:val="clear" w:color="FFFFFF" w:fill="FFFFFF"/>
            <w:noWrap/>
            <w:vAlign w:val="bottom"/>
            <w:hideMark/>
          </w:tcPr>
          <w:p w14:paraId="0067B3CE"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9,854</w:t>
            </w:r>
          </w:p>
        </w:tc>
      </w:tr>
      <w:tr w:rsidR="00FD06ED" w:rsidRPr="00FD06ED" w14:paraId="7D896DFD" w14:textId="77777777" w:rsidTr="005C33EF">
        <w:trPr>
          <w:trHeight w:val="270"/>
        </w:trPr>
        <w:tc>
          <w:tcPr>
            <w:tcW w:w="6376" w:type="dxa"/>
            <w:tcBorders>
              <w:top w:val="nil"/>
              <w:left w:val="nil"/>
              <w:bottom w:val="nil"/>
              <w:right w:val="nil"/>
            </w:tcBorders>
            <w:shd w:val="clear" w:color="FFFFFF" w:fill="FFFFFF"/>
            <w:vAlign w:val="bottom"/>
            <w:hideMark/>
          </w:tcPr>
          <w:p w14:paraId="5ECF67DF" w14:textId="77777777" w:rsidR="00FD06ED" w:rsidRPr="00FD06ED" w:rsidRDefault="00FD06ED" w:rsidP="00FD06ED">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Net gains/(losses) on financial assets</w:t>
            </w:r>
          </w:p>
        </w:tc>
        <w:tc>
          <w:tcPr>
            <w:tcW w:w="1236" w:type="dxa"/>
            <w:tcBorders>
              <w:top w:val="nil"/>
              <w:left w:val="nil"/>
              <w:bottom w:val="single" w:sz="4" w:space="0" w:color="auto"/>
              <w:right w:val="nil"/>
            </w:tcBorders>
            <w:shd w:val="clear" w:color="FFFFFF" w:fill="FFFFFF"/>
            <w:noWrap/>
            <w:vAlign w:val="bottom"/>
            <w:hideMark/>
          </w:tcPr>
          <w:p w14:paraId="55D0CE92" w14:textId="77777777" w:rsidR="00FD06ED" w:rsidRPr="00FD06ED" w:rsidRDefault="00FD06ED" w:rsidP="00FD06ED">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17,610</w:t>
            </w:r>
          </w:p>
        </w:tc>
        <w:tc>
          <w:tcPr>
            <w:tcW w:w="267" w:type="dxa"/>
            <w:tcBorders>
              <w:top w:val="nil"/>
              <w:left w:val="nil"/>
              <w:bottom w:val="nil"/>
              <w:right w:val="nil"/>
            </w:tcBorders>
            <w:shd w:val="clear" w:color="FFFFFF" w:fill="FFFFFF"/>
            <w:noWrap/>
            <w:vAlign w:val="bottom"/>
            <w:hideMark/>
          </w:tcPr>
          <w:p w14:paraId="46919AD8" w14:textId="77777777" w:rsidR="00FD06ED" w:rsidRPr="00FD06ED" w:rsidRDefault="00FD06ED" w:rsidP="00FD06ED">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236" w:type="dxa"/>
            <w:tcBorders>
              <w:top w:val="nil"/>
              <w:left w:val="nil"/>
              <w:bottom w:val="single" w:sz="4" w:space="0" w:color="auto"/>
              <w:right w:val="nil"/>
            </w:tcBorders>
            <w:shd w:val="clear" w:color="FFFFFF" w:fill="FFFFFF"/>
            <w:noWrap/>
            <w:vAlign w:val="bottom"/>
            <w:hideMark/>
          </w:tcPr>
          <w:p w14:paraId="5AEE2835" w14:textId="77777777" w:rsidR="00FD06ED" w:rsidRPr="00FD06ED" w:rsidRDefault="00FD06ED" w:rsidP="00FD06ED">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9,854</w:t>
            </w:r>
          </w:p>
        </w:tc>
      </w:tr>
      <w:bookmarkEnd w:id="277"/>
    </w:tbl>
    <w:p w14:paraId="1C4D82F7" w14:textId="77777777" w:rsidR="00FD06ED" w:rsidRPr="00FD06ED" w:rsidRDefault="00FD06ED" w:rsidP="00FD06ED">
      <w:pPr>
        <w:spacing w:before="0" w:after="0"/>
        <w:ind w:left="0"/>
        <w:rPr>
          <w:rFonts w:eastAsia="Times New Roman"/>
          <w:b/>
          <w:bCs/>
          <w:sz w:val="18"/>
          <w:szCs w:val="18"/>
          <w:lang w:eastAsia="en-US"/>
        </w:rPr>
      </w:pPr>
    </w:p>
    <w:p w14:paraId="64A6018A"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
          <w:bCs/>
          <w:sz w:val="18"/>
          <w:szCs w:val="18"/>
          <w:lang w:eastAsia="en-US"/>
        </w:rPr>
      </w:pPr>
      <w:r w:rsidRPr="00FD06ED">
        <w:rPr>
          <w:rFonts w:eastAsia="Times New Roman"/>
          <w:b/>
          <w:bCs/>
          <w:sz w:val="18"/>
          <w:szCs w:val="18"/>
          <w:lang w:eastAsia="en-US"/>
        </w:rPr>
        <w:t>Accounting Policy</w:t>
      </w:r>
    </w:p>
    <w:p w14:paraId="4F95F3BB"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 xml:space="preserve">Financial Assets </w:t>
      </w:r>
    </w:p>
    <w:p w14:paraId="46B43CA7"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proofErr w:type="gramStart"/>
      <w:r w:rsidRPr="00FD06ED">
        <w:rPr>
          <w:rFonts w:eastAsia="Times New Roman"/>
          <w:bCs/>
          <w:sz w:val="18"/>
          <w:szCs w:val="18"/>
          <w:lang w:eastAsia="en-AU"/>
        </w:rPr>
        <w:t>All of</w:t>
      </w:r>
      <w:proofErr w:type="gramEnd"/>
      <w:r w:rsidRPr="00FD06ED">
        <w:rPr>
          <w:rFonts w:eastAsia="Times New Roman"/>
          <w:bCs/>
          <w:sz w:val="18"/>
          <w:szCs w:val="18"/>
          <w:lang w:eastAsia="en-AU"/>
        </w:rPr>
        <w:t xml:space="preserve"> the Agency’s financial assets have been classified as financial assets measured at amortised cost. Financial assets at amortised costs must be:</w:t>
      </w:r>
    </w:p>
    <w:p w14:paraId="0B87A5D8"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 xml:space="preserve">1. held </w:t>
      </w:r>
      <w:proofErr w:type="gramStart"/>
      <w:r w:rsidRPr="00FD06ED">
        <w:rPr>
          <w:rFonts w:eastAsia="Times New Roman"/>
          <w:bCs/>
          <w:sz w:val="18"/>
          <w:szCs w:val="18"/>
          <w:lang w:eastAsia="en-AU"/>
        </w:rPr>
        <w:t>in order to</w:t>
      </w:r>
      <w:proofErr w:type="gramEnd"/>
      <w:r w:rsidRPr="00FD06ED">
        <w:rPr>
          <w:rFonts w:eastAsia="Times New Roman"/>
          <w:bCs/>
          <w:sz w:val="18"/>
          <w:szCs w:val="18"/>
          <w:lang w:eastAsia="en-AU"/>
        </w:rPr>
        <w:t xml:space="preserve"> collect the contractual cash flows; and</w:t>
      </w:r>
    </w:p>
    <w:p w14:paraId="6DF1F468"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2. their cash flows must be solely payments of principal and interest (SPPI) on the principal outstanding amount.</w:t>
      </w:r>
    </w:p>
    <w:p w14:paraId="763A28AC"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r w:rsidRPr="00FD06ED">
        <w:rPr>
          <w:rFonts w:eastAsia="Times New Roman"/>
          <w:bCs/>
          <w:sz w:val="18"/>
          <w:szCs w:val="18"/>
          <w:lang w:eastAsia="en-AU"/>
        </w:rPr>
        <w:t>The accounting policy for financial assets is contained in Note 2.1 Financial Assets.</w:t>
      </w:r>
    </w:p>
    <w:p w14:paraId="30374818"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i/>
          <w:sz w:val="18"/>
          <w:szCs w:val="18"/>
          <w:u w:val="single"/>
          <w:lang w:eastAsia="en-US"/>
        </w:rPr>
      </w:pPr>
      <w:r w:rsidRPr="00FD06ED">
        <w:rPr>
          <w:rFonts w:eastAsia="Times New Roman"/>
          <w:bCs/>
          <w:i/>
          <w:sz w:val="18"/>
          <w:szCs w:val="18"/>
          <w:u w:val="single"/>
          <w:lang w:eastAsia="en-US"/>
        </w:rPr>
        <w:t xml:space="preserve">Financial Liabilities </w:t>
      </w:r>
    </w:p>
    <w:p w14:paraId="53D59310"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proofErr w:type="gramStart"/>
      <w:r w:rsidRPr="00FD06ED">
        <w:rPr>
          <w:rFonts w:eastAsia="Times New Roman"/>
          <w:bCs/>
          <w:sz w:val="18"/>
          <w:szCs w:val="18"/>
          <w:lang w:eastAsia="en-AU"/>
        </w:rPr>
        <w:t>All of</w:t>
      </w:r>
      <w:proofErr w:type="gramEnd"/>
      <w:r w:rsidRPr="00FD06ED">
        <w:rPr>
          <w:rFonts w:eastAsia="Times New Roman"/>
          <w:bCs/>
          <w:sz w:val="18"/>
          <w:szCs w:val="18"/>
          <w:lang w:eastAsia="en-AU"/>
        </w:rPr>
        <w:t xml:space="preserve"> the Agency’s financial liabilities have been classified as financial liabilities measured at amortised cost. These liabilities are subsequently measured at amortised cost using the effective interest method, with interest expense recognised on an effective interest basis. Supplier and other payables are recognised at amortised cost.  Liabilities are recognised to the extent that the goods or services have been received (and irrespective of having been invoiced).</w:t>
      </w:r>
    </w:p>
    <w:p w14:paraId="4377BE8E" w14:textId="77777777" w:rsidR="00FD06ED" w:rsidRPr="00FD06ED" w:rsidRDefault="00FD06ED" w:rsidP="00FD06ED">
      <w:pPr>
        <w:pBdr>
          <w:top w:val="single" w:sz="4" w:space="1" w:color="800080"/>
          <w:left w:val="single" w:sz="4" w:space="4" w:color="800080"/>
          <w:bottom w:val="single" w:sz="4" w:space="1" w:color="800080"/>
          <w:right w:val="single" w:sz="4" w:space="4" w:color="800080"/>
        </w:pBdr>
        <w:spacing w:before="0" w:line="120" w:lineRule="atLeast"/>
        <w:ind w:left="0"/>
        <w:rPr>
          <w:rFonts w:eastAsia="Times New Roman"/>
          <w:bCs/>
          <w:sz w:val="18"/>
          <w:szCs w:val="18"/>
          <w:lang w:eastAsia="en-AU"/>
        </w:rPr>
      </w:pPr>
    </w:p>
    <w:p w14:paraId="63D61D15" w14:textId="77777777" w:rsidR="00FD06ED" w:rsidRPr="00FD06ED" w:rsidRDefault="00FD06ED" w:rsidP="00015F3C">
      <w:pPr>
        <w:rPr>
          <w:lang w:eastAsia="en-AU"/>
        </w:rPr>
      </w:pPr>
    </w:p>
    <w:p w14:paraId="6860E35B" w14:textId="77777777" w:rsidR="005834CE" w:rsidRDefault="005834CE" w:rsidP="00FD06ED">
      <w:pPr>
        <w:spacing w:before="0" w:after="0" w:line="260" w:lineRule="atLeast"/>
        <w:ind w:left="1134" w:right="607" w:hanging="1134"/>
        <w:outlineLvl w:val="0"/>
        <w:rPr>
          <w:rFonts w:eastAsia="Times New Roman" w:cs="Times New Roman"/>
          <w:b/>
          <w:sz w:val="20"/>
          <w:szCs w:val="20"/>
          <w:lang w:eastAsia="en-AU"/>
        </w:rPr>
        <w:sectPr w:rsidR="005834CE" w:rsidSect="002A4DCC">
          <w:headerReference w:type="even" r:id="rId72"/>
          <w:headerReference w:type="default" r:id="rId73"/>
          <w:headerReference w:type="first" r:id="rId74"/>
          <w:pgSz w:w="11906" w:h="16838" w:code="9"/>
          <w:pgMar w:top="1134" w:right="1701" w:bottom="851" w:left="1134" w:header="958" w:footer="737" w:gutter="0"/>
          <w:cols w:space="708"/>
          <w:docGrid w:linePitch="360"/>
        </w:sectPr>
      </w:pPr>
    </w:p>
    <w:p w14:paraId="0AF14B7C" w14:textId="77777777" w:rsidR="00FD06ED" w:rsidRDefault="00FD06ED" w:rsidP="00015F3C">
      <w:pPr>
        <w:rPr>
          <w:lang w:eastAsia="en-AU"/>
        </w:rPr>
      </w:pPr>
    </w:p>
    <w:p w14:paraId="109F7F08" w14:textId="1E95266B" w:rsidR="005834CE" w:rsidRPr="00EE2D88" w:rsidRDefault="00085D7A" w:rsidP="00015F3C">
      <w:pPr>
        <w:shd w:val="clear" w:color="00CC99" w:fill="800080"/>
        <w:spacing w:before="0" w:line="260" w:lineRule="atLeast"/>
        <w:ind w:left="0"/>
        <w:outlineLvl w:val="2"/>
        <w:rPr>
          <w:rFonts w:ascii="Arial Bold" w:eastAsia="Times New Roman" w:hAnsi="Arial Bold" w:cs="Times New Roman"/>
          <w:b/>
          <w:color w:val="FFFFFF"/>
          <w:sz w:val="24"/>
          <w:szCs w:val="20"/>
          <w:lang w:eastAsia="en-US"/>
        </w:rPr>
      </w:pPr>
      <w:bookmarkStart w:id="291" w:name="_Toc114477522"/>
      <w:bookmarkStart w:id="292" w:name="_Toc116414693"/>
      <w:bookmarkStart w:id="293" w:name="_Toc116472672"/>
      <w:bookmarkStart w:id="294" w:name="_Toc116473887"/>
      <w:r>
        <w:rPr>
          <w:rFonts w:ascii="Arial Bold" w:eastAsia="Times New Roman" w:hAnsi="Arial Bold" w:cs="Times New Roman"/>
          <w:b/>
          <w:color w:val="FFFFFF"/>
          <w:sz w:val="24"/>
          <w:szCs w:val="20"/>
          <w:lang w:eastAsia="en-US"/>
        </w:rPr>
        <w:t>5. O</w:t>
      </w:r>
      <w:r w:rsidR="005834CE" w:rsidRPr="00EE2D88">
        <w:rPr>
          <w:rFonts w:ascii="Arial Bold" w:eastAsia="Times New Roman" w:hAnsi="Arial Bold" w:cs="Times New Roman"/>
          <w:b/>
          <w:color w:val="FFFFFF"/>
          <w:sz w:val="24"/>
          <w:szCs w:val="20"/>
          <w:lang w:eastAsia="en-US"/>
        </w:rPr>
        <w:t>ther Information</w:t>
      </w:r>
      <w:bookmarkEnd w:id="291"/>
      <w:bookmarkEnd w:id="292"/>
      <w:bookmarkEnd w:id="293"/>
      <w:bookmarkEnd w:id="294"/>
    </w:p>
    <w:p w14:paraId="51D8FFF1" w14:textId="32536D3D" w:rsidR="005834CE" w:rsidRPr="00FD06ED" w:rsidRDefault="00085D7A" w:rsidP="00015F3C">
      <w:pPr>
        <w:numPr>
          <w:ilvl w:val="1"/>
          <w:numId w:val="0"/>
        </w:numPr>
        <w:shd w:val="clear" w:color="auto" w:fill="000000"/>
        <w:spacing w:before="0" w:after="0" w:line="260" w:lineRule="atLeast"/>
        <w:ind w:left="432" w:hanging="432"/>
        <w:outlineLvl w:val="3"/>
        <w:rPr>
          <w:rFonts w:eastAsia="Times New Roman"/>
          <w:b/>
          <w:color w:val="FFFFFF"/>
          <w:sz w:val="20"/>
          <w:szCs w:val="20"/>
          <w:lang w:eastAsia="en-US"/>
        </w:rPr>
      </w:pPr>
      <w:bookmarkStart w:id="295" w:name="_Toc114477523"/>
      <w:bookmarkStart w:id="296" w:name="_Toc116414694"/>
      <w:bookmarkStart w:id="297" w:name="_Toc116472673"/>
      <w:bookmarkStart w:id="298" w:name="_Toc116473888"/>
      <w:r>
        <w:rPr>
          <w:rFonts w:eastAsia="Times New Roman"/>
          <w:b/>
          <w:color w:val="FFFFFF"/>
          <w:sz w:val="20"/>
          <w:szCs w:val="20"/>
          <w:lang w:eastAsia="en-US"/>
        </w:rPr>
        <w:t xml:space="preserve">5.1 </w:t>
      </w:r>
      <w:r w:rsidR="005834CE" w:rsidRPr="00FD06ED">
        <w:rPr>
          <w:rFonts w:eastAsia="Times New Roman"/>
          <w:b/>
          <w:color w:val="FFFFFF"/>
          <w:sz w:val="20"/>
          <w:szCs w:val="20"/>
          <w:lang w:eastAsia="en-US"/>
        </w:rPr>
        <w:t>Current/Non-current Distinction for Assets and Liabilities</w:t>
      </w:r>
      <w:bookmarkEnd w:id="295"/>
      <w:bookmarkEnd w:id="296"/>
      <w:bookmarkEnd w:id="297"/>
      <w:bookmarkEnd w:id="298"/>
    </w:p>
    <w:p w14:paraId="0CDF9692" w14:textId="77777777" w:rsidR="005834CE" w:rsidRPr="00FD06ED" w:rsidRDefault="005834CE" w:rsidP="005834CE">
      <w:pPr>
        <w:spacing w:before="0" w:after="0"/>
        <w:ind w:left="0" w:right="607"/>
        <w:rPr>
          <w:rFonts w:eastAsia="Times New Roman" w:cs="Times New Roman"/>
          <w:b/>
          <w:sz w:val="20"/>
          <w:szCs w:val="20"/>
          <w:lang w:eastAsia="en-US"/>
        </w:rPr>
      </w:pPr>
    </w:p>
    <w:tbl>
      <w:tblPr>
        <w:tblW w:w="9087" w:type="dxa"/>
        <w:tblLayout w:type="fixed"/>
        <w:tblLook w:val="04A0" w:firstRow="1" w:lastRow="0" w:firstColumn="1" w:lastColumn="0" w:noHBand="0" w:noVBand="1"/>
      </w:tblPr>
      <w:tblGrid>
        <w:gridCol w:w="6348"/>
        <w:gridCol w:w="1389"/>
        <w:gridCol w:w="236"/>
        <w:gridCol w:w="1114"/>
      </w:tblGrid>
      <w:tr w:rsidR="005834CE" w:rsidRPr="00FD06ED" w14:paraId="41E4D323" w14:textId="77777777" w:rsidTr="005C33EF">
        <w:trPr>
          <w:trHeight w:val="252"/>
        </w:trPr>
        <w:tc>
          <w:tcPr>
            <w:tcW w:w="6348" w:type="dxa"/>
            <w:tcBorders>
              <w:top w:val="nil"/>
              <w:left w:val="nil"/>
              <w:bottom w:val="nil"/>
              <w:right w:val="nil"/>
            </w:tcBorders>
            <w:shd w:val="clear" w:color="FFFFFF" w:fill="FFFFFF"/>
            <w:noWrap/>
            <w:vAlign w:val="bottom"/>
            <w:hideMark/>
          </w:tcPr>
          <w:p w14:paraId="78A02698"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89" w:type="dxa"/>
            <w:tcBorders>
              <w:top w:val="nil"/>
              <w:left w:val="nil"/>
              <w:bottom w:val="nil"/>
              <w:right w:val="nil"/>
            </w:tcBorders>
            <w:shd w:val="clear" w:color="FFFFFF" w:fill="FFFFFF"/>
            <w:noWrap/>
            <w:vAlign w:val="bottom"/>
            <w:hideMark/>
          </w:tcPr>
          <w:p w14:paraId="32F580F7"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2022</w:t>
            </w:r>
          </w:p>
        </w:tc>
        <w:tc>
          <w:tcPr>
            <w:tcW w:w="236" w:type="dxa"/>
            <w:tcBorders>
              <w:top w:val="nil"/>
              <w:left w:val="nil"/>
              <w:bottom w:val="nil"/>
              <w:right w:val="nil"/>
            </w:tcBorders>
            <w:shd w:val="clear" w:color="FFFFFF" w:fill="FFFFFF"/>
            <w:noWrap/>
            <w:vAlign w:val="bottom"/>
            <w:hideMark/>
          </w:tcPr>
          <w:p w14:paraId="0F61655E"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267A6E43"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2021</w:t>
            </w:r>
          </w:p>
        </w:tc>
      </w:tr>
      <w:tr w:rsidR="005834CE" w:rsidRPr="00FD06ED" w14:paraId="559DA0AE" w14:textId="77777777" w:rsidTr="005C33EF">
        <w:trPr>
          <w:trHeight w:val="252"/>
        </w:trPr>
        <w:tc>
          <w:tcPr>
            <w:tcW w:w="6348" w:type="dxa"/>
            <w:tcBorders>
              <w:top w:val="nil"/>
              <w:left w:val="nil"/>
              <w:bottom w:val="nil"/>
              <w:right w:val="nil"/>
            </w:tcBorders>
            <w:shd w:val="clear" w:color="FFFFFF" w:fill="FFFFFF"/>
            <w:noWrap/>
            <w:vAlign w:val="bottom"/>
            <w:hideMark/>
          </w:tcPr>
          <w:p w14:paraId="0284B48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89" w:type="dxa"/>
            <w:tcBorders>
              <w:top w:val="nil"/>
              <w:left w:val="nil"/>
              <w:bottom w:val="nil"/>
              <w:right w:val="nil"/>
            </w:tcBorders>
            <w:shd w:val="clear" w:color="FFFFFF" w:fill="FFFFFF"/>
            <w:noWrap/>
            <w:vAlign w:val="bottom"/>
            <w:hideMark/>
          </w:tcPr>
          <w:p w14:paraId="380EEF45"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2FFDFB71"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3DA3F292"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$'000</w:t>
            </w:r>
          </w:p>
        </w:tc>
      </w:tr>
      <w:tr w:rsidR="005834CE" w:rsidRPr="00FD06ED" w14:paraId="40F2328C" w14:textId="77777777" w:rsidTr="005C33EF">
        <w:trPr>
          <w:trHeight w:val="252"/>
        </w:trPr>
        <w:tc>
          <w:tcPr>
            <w:tcW w:w="6348" w:type="dxa"/>
            <w:tcBorders>
              <w:top w:val="nil"/>
              <w:left w:val="nil"/>
              <w:bottom w:val="nil"/>
              <w:right w:val="nil"/>
            </w:tcBorders>
            <w:shd w:val="clear" w:color="FFFFFF" w:fill="FFFFFF"/>
            <w:noWrap/>
            <w:vAlign w:val="bottom"/>
            <w:hideMark/>
          </w:tcPr>
          <w:p w14:paraId="1B2A24A8" w14:textId="77777777" w:rsidR="005834CE" w:rsidRPr="00FD06ED" w:rsidRDefault="005834CE" w:rsidP="005C33EF">
            <w:pPr>
              <w:spacing w:before="0" w:after="0" w:line="260" w:lineRule="atLeast"/>
              <w:ind w:left="0"/>
              <w:rPr>
                <w:rFonts w:eastAsia="Times New Roman"/>
                <w:b/>
                <w:bCs/>
                <w:sz w:val="18"/>
                <w:szCs w:val="18"/>
                <w:u w:val="single"/>
                <w:lang w:eastAsia="en-US"/>
              </w:rPr>
            </w:pPr>
            <w:r w:rsidRPr="00FD06ED">
              <w:rPr>
                <w:rFonts w:eastAsia="Times New Roman"/>
                <w:b/>
                <w:bCs/>
                <w:sz w:val="18"/>
                <w:szCs w:val="18"/>
                <w:u w:val="single"/>
                <w:lang w:eastAsia="en-US"/>
              </w:rPr>
              <w:t>Note 5.1: Current/non-current distinction for assets and liabilities</w:t>
            </w:r>
          </w:p>
        </w:tc>
        <w:tc>
          <w:tcPr>
            <w:tcW w:w="1389" w:type="dxa"/>
            <w:tcBorders>
              <w:top w:val="nil"/>
              <w:left w:val="nil"/>
              <w:bottom w:val="nil"/>
              <w:right w:val="nil"/>
            </w:tcBorders>
            <w:shd w:val="clear" w:color="FFFFFF" w:fill="FFFFFF"/>
            <w:noWrap/>
            <w:vAlign w:val="bottom"/>
            <w:hideMark/>
          </w:tcPr>
          <w:p w14:paraId="3ACCF4A8"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3D2B0A3"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24CF54B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472A05C7" w14:textId="77777777" w:rsidTr="005C33EF">
        <w:trPr>
          <w:trHeight w:val="252"/>
        </w:trPr>
        <w:tc>
          <w:tcPr>
            <w:tcW w:w="6348" w:type="dxa"/>
            <w:tcBorders>
              <w:top w:val="nil"/>
              <w:left w:val="nil"/>
              <w:bottom w:val="nil"/>
              <w:right w:val="nil"/>
            </w:tcBorders>
            <w:shd w:val="clear" w:color="FFFFFF" w:fill="FFFFFF"/>
            <w:vAlign w:val="bottom"/>
            <w:hideMark/>
          </w:tcPr>
          <w:p w14:paraId="2689E99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89" w:type="dxa"/>
            <w:tcBorders>
              <w:top w:val="nil"/>
              <w:left w:val="nil"/>
              <w:bottom w:val="nil"/>
              <w:right w:val="nil"/>
            </w:tcBorders>
            <w:shd w:val="clear" w:color="FFFFFF" w:fill="FFFFFF"/>
            <w:noWrap/>
            <w:vAlign w:val="bottom"/>
            <w:hideMark/>
          </w:tcPr>
          <w:p w14:paraId="13D24F2C"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06340941"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553B3E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41917BD4" w14:textId="77777777" w:rsidTr="005C33EF">
        <w:trPr>
          <w:trHeight w:val="252"/>
        </w:trPr>
        <w:tc>
          <w:tcPr>
            <w:tcW w:w="6348" w:type="dxa"/>
            <w:tcBorders>
              <w:top w:val="nil"/>
              <w:left w:val="nil"/>
              <w:bottom w:val="nil"/>
              <w:right w:val="nil"/>
            </w:tcBorders>
            <w:shd w:val="clear" w:color="FFFFFF" w:fill="FFFFFF"/>
            <w:vAlign w:val="bottom"/>
            <w:hideMark/>
          </w:tcPr>
          <w:p w14:paraId="322C811B"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Assets expected to be recovered in:</w:t>
            </w:r>
          </w:p>
        </w:tc>
        <w:tc>
          <w:tcPr>
            <w:tcW w:w="1389" w:type="dxa"/>
            <w:tcBorders>
              <w:top w:val="nil"/>
              <w:left w:val="nil"/>
              <w:bottom w:val="nil"/>
              <w:right w:val="nil"/>
            </w:tcBorders>
            <w:shd w:val="clear" w:color="FFFFFF" w:fill="FFFFFF"/>
            <w:noWrap/>
            <w:vAlign w:val="bottom"/>
            <w:hideMark/>
          </w:tcPr>
          <w:p w14:paraId="7061AC2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E16D2C6"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7CA0D828"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15CB8E10" w14:textId="77777777" w:rsidTr="005C33EF">
        <w:trPr>
          <w:trHeight w:val="252"/>
        </w:trPr>
        <w:tc>
          <w:tcPr>
            <w:tcW w:w="6348" w:type="dxa"/>
            <w:tcBorders>
              <w:top w:val="nil"/>
              <w:left w:val="nil"/>
              <w:bottom w:val="nil"/>
              <w:right w:val="nil"/>
            </w:tcBorders>
            <w:shd w:val="clear" w:color="FFFFFF" w:fill="FFFFFF"/>
            <w:vAlign w:val="bottom"/>
            <w:hideMark/>
          </w:tcPr>
          <w:p w14:paraId="05485341"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No more than 12 months</w:t>
            </w:r>
          </w:p>
        </w:tc>
        <w:tc>
          <w:tcPr>
            <w:tcW w:w="1389" w:type="dxa"/>
            <w:tcBorders>
              <w:top w:val="nil"/>
              <w:left w:val="nil"/>
              <w:bottom w:val="nil"/>
              <w:right w:val="nil"/>
            </w:tcBorders>
            <w:shd w:val="clear" w:color="FFFFFF" w:fill="FFFFFF"/>
            <w:noWrap/>
            <w:vAlign w:val="bottom"/>
            <w:hideMark/>
          </w:tcPr>
          <w:p w14:paraId="42AE92E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E4724F4"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A61677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4620E2D7" w14:textId="77777777" w:rsidTr="005C33EF">
        <w:trPr>
          <w:trHeight w:val="252"/>
        </w:trPr>
        <w:tc>
          <w:tcPr>
            <w:tcW w:w="6348" w:type="dxa"/>
            <w:tcBorders>
              <w:top w:val="nil"/>
              <w:left w:val="nil"/>
              <w:bottom w:val="nil"/>
              <w:right w:val="nil"/>
            </w:tcBorders>
            <w:shd w:val="clear" w:color="FFFFFF" w:fill="FFFFFF"/>
            <w:noWrap/>
            <w:vAlign w:val="bottom"/>
            <w:hideMark/>
          </w:tcPr>
          <w:p w14:paraId="3D15AE04"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Cash and cash equivalents</w:t>
            </w:r>
          </w:p>
        </w:tc>
        <w:tc>
          <w:tcPr>
            <w:tcW w:w="1389" w:type="dxa"/>
            <w:tcBorders>
              <w:top w:val="nil"/>
              <w:left w:val="nil"/>
              <w:bottom w:val="nil"/>
              <w:right w:val="nil"/>
            </w:tcBorders>
            <w:shd w:val="clear" w:color="FFFFFF" w:fill="FFFFFF"/>
            <w:noWrap/>
            <w:vAlign w:val="bottom"/>
            <w:hideMark/>
          </w:tcPr>
          <w:p w14:paraId="03C19DC2"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1,918,956</w:t>
            </w:r>
          </w:p>
        </w:tc>
        <w:tc>
          <w:tcPr>
            <w:tcW w:w="236" w:type="dxa"/>
            <w:tcBorders>
              <w:top w:val="nil"/>
              <w:left w:val="nil"/>
              <w:bottom w:val="nil"/>
              <w:right w:val="nil"/>
            </w:tcBorders>
            <w:shd w:val="clear" w:color="FFFFFF" w:fill="FFFFFF"/>
            <w:noWrap/>
            <w:vAlign w:val="bottom"/>
            <w:hideMark/>
          </w:tcPr>
          <w:p w14:paraId="35CDC7D6"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32782499"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1,819,084</w:t>
            </w:r>
          </w:p>
        </w:tc>
      </w:tr>
      <w:tr w:rsidR="005834CE" w:rsidRPr="00FD06ED" w14:paraId="79DE47B9" w14:textId="77777777" w:rsidTr="005C33EF">
        <w:trPr>
          <w:trHeight w:val="252"/>
        </w:trPr>
        <w:tc>
          <w:tcPr>
            <w:tcW w:w="6348" w:type="dxa"/>
            <w:tcBorders>
              <w:top w:val="nil"/>
              <w:left w:val="nil"/>
              <w:bottom w:val="nil"/>
              <w:right w:val="nil"/>
            </w:tcBorders>
            <w:shd w:val="clear" w:color="FFFFFF" w:fill="FFFFFF"/>
            <w:noWrap/>
            <w:vAlign w:val="bottom"/>
            <w:hideMark/>
          </w:tcPr>
          <w:p w14:paraId="76AB231A"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Trade and other receivables</w:t>
            </w:r>
          </w:p>
        </w:tc>
        <w:tc>
          <w:tcPr>
            <w:tcW w:w="1389" w:type="dxa"/>
            <w:tcBorders>
              <w:top w:val="nil"/>
              <w:left w:val="nil"/>
              <w:bottom w:val="nil"/>
              <w:right w:val="nil"/>
            </w:tcBorders>
            <w:shd w:val="clear" w:color="FFFFFF" w:fill="FFFFFF"/>
            <w:noWrap/>
            <w:vAlign w:val="bottom"/>
            <w:hideMark/>
          </w:tcPr>
          <w:p w14:paraId="1E6E83D9"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48,920</w:t>
            </w:r>
          </w:p>
        </w:tc>
        <w:tc>
          <w:tcPr>
            <w:tcW w:w="236" w:type="dxa"/>
            <w:tcBorders>
              <w:top w:val="nil"/>
              <w:left w:val="nil"/>
              <w:bottom w:val="nil"/>
              <w:right w:val="nil"/>
            </w:tcBorders>
            <w:shd w:val="clear" w:color="FFFFFF" w:fill="FFFFFF"/>
            <w:noWrap/>
            <w:vAlign w:val="bottom"/>
            <w:hideMark/>
          </w:tcPr>
          <w:p w14:paraId="10C4E8C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6D232F66"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55,498</w:t>
            </w:r>
          </w:p>
        </w:tc>
      </w:tr>
      <w:tr w:rsidR="005834CE" w:rsidRPr="00FD06ED" w14:paraId="7F4D6162" w14:textId="77777777" w:rsidTr="005C33EF">
        <w:trPr>
          <w:trHeight w:val="252"/>
        </w:trPr>
        <w:tc>
          <w:tcPr>
            <w:tcW w:w="6348" w:type="dxa"/>
            <w:tcBorders>
              <w:top w:val="nil"/>
              <w:left w:val="nil"/>
              <w:bottom w:val="nil"/>
              <w:right w:val="nil"/>
            </w:tcBorders>
            <w:shd w:val="clear" w:color="FFFFFF" w:fill="FFFFFF"/>
            <w:noWrap/>
            <w:vAlign w:val="bottom"/>
            <w:hideMark/>
          </w:tcPr>
          <w:p w14:paraId="5F728528"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financial assets</w:t>
            </w:r>
          </w:p>
        </w:tc>
        <w:tc>
          <w:tcPr>
            <w:tcW w:w="1389" w:type="dxa"/>
            <w:tcBorders>
              <w:top w:val="nil"/>
              <w:left w:val="nil"/>
              <w:bottom w:val="nil"/>
              <w:right w:val="nil"/>
            </w:tcBorders>
            <w:shd w:val="clear" w:color="FFFFFF" w:fill="FFFFFF"/>
            <w:noWrap/>
            <w:vAlign w:val="bottom"/>
            <w:hideMark/>
          </w:tcPr>
          <w:p w14:paraId="476B4099"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2,465,000</w:t>
            </w:r>
          </w:p>
        </w:tc>
        <w:tc>
          <w:tcPr>
            <w:tcW w:w="236" w:type="dxa"/>
            <w:tcBorders>
              <w:top w:val="nil"/>
              <w:left w:val="nil"/>
              <w:bottom w:val="nil"/>
              <w:right w:val="nil"/>
            </w:tcBorders>
            <w:shd w:val="clear" w:color="FFFFFF" w:fill="FFFFFF"/>
            <w:noWrap/>
            <w:vAlign w:val="bottom"/>
            <w:hideMark/>
          </w:tcPr>
          <w:p w14:paraId="789A0B17"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8A86592"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1,495,000</w:t>
            </w:r>
          </w:p>
        </w:tc>
      </w:tr>
      <w:tr w:rsidR="005834CE" w:rsidRPr="00FD06ED" w14:paraId="75DC19E2" w14:textId="77777777" w:rsidTr="005C33EF">
        <w:trPr>
          <w:trHeight w:val="252"/>
        </w:trPr>
        <w:tc>
          <w:tcPr>
            <w:tcW w:w="6348" w:type="dxa"/>
            <w:tcBorders>
              <w:top w:val="nil"/>
              <w:left w:val="nil"/>
              <w:bottom w:val="nil"/>
              <w:right w:val="nil"/>
            </w:tcBorders>
            <w:shd w:val="clear" w:color="FFFFFF" w:fill="FFFFFF"/>
            <w:noWrap/>
            <w:vAlign w:val="bottom"/>
            <w:hideMark/>
          </w:tcPr>
          <w:p w14:paraId="569DFA84"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non-financial assets</w:t>
            </w:r>
          </w:p>
        </w:tc>
        <w:tc>
          <w:tcPr>
            <w:tcW w:w="1389" w:type="dxa"/>
            <w:tcBorders>
              <w:top w:val="nil"/>
              <w:left w:val="nil"/>
              <w:bottom w:val="nil"/>
              <w:right w:val="nil"/>
            </w:tcBorders>
            <w:shd w:val="clear" w:color="FFFFFF" w:fill="FFFFFF"/>
            <w:noWrap/>
            <w:vAlign w:val="bottom"/>
            <w:hideMark/>
          </w:tcPr>
          <w:p w14:paraId="05A074FF"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23,353</w:t>
            </w:r>
          </w:p>
        </w:tc>
        <w:tc>
          <w:tcPr>
            <w:tcW w:w="236" w:type="dxa"/>
            <w:tcBorders>
              <w:top w:val="nil"/>
              <w:left w:val="nil"/>
              <w:bottom w:val="nil"/>
              <w:right w:val="nil"/>
            </w:tcBorders>
            <w:shd w:val="clear" w:color="FFFFFF" w:fill="FFFFFF"/>
            <w:noWrap/>
            <w:vAlign w:val="bottom"/>
            <w:hideMark/>
          </w:tcPr>
          <w:p w14:paraId="77B50258"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7627F482"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18,572</w:t>
            </w:r>
          </w:p>
        </w:tc>
      </w:tr>
      <w:tr w:rsidR="005834CE" w:rsidRPr="00FD06ED" w14:paraId="085BA657" w14:textId="77777777" w:rsidTr="005C33EF">
        <w:trPr>
          <w:trHeight w:val="252"/>
        </w:trPr>
        <w:tc>
          <w:tcPr>
            <w:tcW w:w="6348" w:type="dxa"/>
            <w:tcBorders>
              <w:top w:val="nil"/>
              <w:left w:val="nil"/>
              <w:bottom w:val="nil"/>
              <w:right w:val="nil"/>
            </w:tcBorders>
            <w:shd w:val="clear" w:color="FFFFFF" w:fill="FFFFFF"/>
            <w:vAlign w:val="bottom"/>
            <w:hideMark/>
          </w:tcPr>
          <w:p w14:paraId="17D9DA48"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no more than 12 months</w:t>
            </w:r>
          </w:p>
        </w:tc>
        <w:tc>
          <w:tcPr>
            <w:tcW w:w="1389" w:type="dxa"/>
            <w:tcBorders>
              <w:top w:val="single" w:sz="4" w:space="0" w:color="auto"/>
              <w:left w:val="nil"/>
              <w:bottom w:val="single" w:sz="4" w:space="0" w:color="auto"/>
              <w:right w:val="nil"/>
            </w:tcBorders>
            <w:shd w:val="clear" w:color="FFFFFF" w:fill="FFFFFF"/>
            <w:noWrap/>
            <w:vAlign w:val="bottom"/>
            <w:hideMark/>
          </w:tcPr>
          <w:p w14:paraId="1B97B448"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4,456,229</w:t>
            </w:r>
          </w:p>
        </w:tc>
        <w:tc>
          <w:tcPr>
            <w:tcW w:w="236" w:type="dxa"/>
            <w:tcBorders>
              <w:top w:val="nil"/>
              <w:left w:val="nil"/>
              <w:bottom w:val="nil"/>
              <w:right w:val="nil"/>
            </w:tcBorders>
            <w:shd w:val="clear" w:color="FFFFFF" w:fill="FFFFFF"/>
            <w:noWrap/>
            <w:vAlign w:val="bottom"/>
            <w:hideMark/>
          </w:tcPr>
          <w:p w14:paraId="25EBE38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single" w:sz="4" w:space="0" w:color="auto"/>
              <w:left w:val="nil"/>
              <w:bottom w:val="single" w:sz="4" w:space="0" w:color="auto"/>
              <w:right w:val="nil"/>
            </w:tcBorders>
            <w:shd w:val="clear" w:color="FFFFFF" w:fill="FFFFFF"/>
            <w:noWrap/>
            <w:vAlign w:val="bottom"/>
            <w:hideMark/>
          </w:tcPr>
          <w:p w14:paraId="6583B24A"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3,388,154</w:t>
            </w:r>
          </w:p>
        </w:tc>
      </w:tr>
      <w:tr w:rsidR="005834CE" w:rsidRPr="00FD06ED" w14:paraId="587290C5" w14:textId="77777777" w:rsidTr="005C33EF">
        <w:trPr>
          <w:trHeight w:val="252"/>
        </w:trPr>
        <w:tc>
          <w:tcPr>
            <w:tcW w:w="6348" w:type="dxa"/>
            <w:tcBorders>
              <w:top w:val="nil"/>
              <w:left w:val="nil"/>
              <w:bottom w:val="nil"/>
              <w:right w:val="nil"/>
            </w:tcBorders>
            <w:shd w:val="clear" w:color="FFFFFF" w:fill="FFFFFF"/>
            <w:vAlign w:val="bottom"/>
            <w:hideMark/>
          </w:tcPr>
          <w:p w14:paraId="3F0908D5"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389" w:type="dxa"/>
            <w:tcBorders>
              <w:top w:val="nil"/>
              <w:left w:val="nil"/>
              <w:bottom w:val="nil"/>
              <w:right w:val="nil"/>
            </w:tcBorders>
            <w:shd w:val="clear" w:color="FFFFFF" w:fill="FFFFFF"/>
            <w:noWrap/>
            <w:vAlign w:val="bottom"/>
            <w:hideMark/>
          </w:tcPr>
          <w:p w14:paraId="58A4BA2E"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428758A4"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5D6074ED"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17023FBF" w14:textId="77777777" w:rsidTr="005C33EF">
        <w:trPr>
          <w:trHeight w:val="252"/>
        </w:trPr>
        <w:tc>
          <w:tcPr>
            <w:tcW w:w="6348" w:type="dxa"/>
            <w:tcBorders>
              <w:top w:val="nil"/>
              <w:left w:val="nil"/>
              <w:bottom w:val="nil"/>
              <w:right w:val="nil"/>
            </w:tcBorders>
            <w:shd w:val="clear" w:color="FFFFFF" w:fill="FFFFFF"/>
            <w:vAlign w:val="bottom"/>
            <w:hideMark/>
          </w:tcPr>
          <w:p w14:paraId="3E28CC41"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More than 12 months</w:t>
            </w:r>
          </w:p>
        </w:tc>
        <w:tc>
          <w:tcPr>
            <w:tcW w:w="1389" w:type="dxa"/>
            <w:tcBorders>
              <w:top w:val="nil"/>
              <w:left w:val="nil"/>
              <w:bottom w:val="nil"/>
              <w:right w:val="nil"/>
            </w:tcBorders>
            <w:shd w:val="clear" w:color="FFFFFF" w:fill="FFFFFF"/>
            <w:noWrap/>
            <w:vAlign w:val="bottom"/>
            <w:hideMark/>
          </w:tcPr>
          <w:p w14:paraId="3E30A8A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6BC34D6F"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3E7E86B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258E8066" w14:textId="77777777" w:rsidTr="005C33EF">
        <w:trPr>
          <w:trHeight w:val="252"/>
        </w:trPr>
        <w:tc>
          <w:tcPr>
            <w:tcW w:w="6348" w:type="dxa"/>
            <w:tcBorders>
              <w:top w:val="nil"/>
              <w:left w:val="nil"/>
              <w:bottom w:val="nil"/>
              <w:right w:val="nil"/>
            </w:tcBorders>
            <w:shd w:val="clear" w:color="FFFFFF" w:fill="FFFFFF"/>
            <w:noWrap/>
            <w:vAlign w:val="bottom"/>
            <w:hideMark/>
          </w:tcPr>
          <w:p w14:paraId="4C543723"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Buildings</w:t>
            </w:r>
          </w:p>
        </w:tc>
        <w:tc>
          <w:tcPr>
            <w:tcW w:w="1389" w:type="dxa"/>
            <w:tcBorders>
              <w:top w:val="nil"/>
              <w:left w:val="nil"/>
              <w:bottom w:val="nil"/>
              <w:right w:val="nil"/>
            </w:tcBorders>
            <w:shd w:val="clear" w:color="FFFFFF" w:fill="FFFFFF"/>
            <w:noWrap/>
            <w:vAlign w:val="bottom"/>
            <w:hideMark/>
          </w:tcPr>
          <w:p w14:paraId="55D40EC2"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217,416</w:t>
            </w:r>
          </w:p>
        </w:tc>
        <w:tc>
          <w:tcPr>
            <w:tcW w:w="236" w:type="dxa"/>
            <w:tcBorders>
              <w:top w:val="nil"/>
              <w:left w:val="nil"/>
              <w:bottom w:val="nil"/>
              <w:right w:val="nil"/>
            </w:tcBorders>
            <w:shd w:val="clear" w:color="FFFFFF" w:fill="FFFFFF"/>
            <w:noWrap/>
            <w:vAlign w:val="bottom"/>
            <w:hideMark/>
          </w:tcPr>
          <w:p w14:paraId="4347088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71F445E"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241,269</w:t>
            </w:r>
          </w:p>
        </w:tc>
      </w:tr>
      <w:tr w:rsidR="005834CE" w:rsidRPr="00FD06ED" w14:paraId="400F6DAB" w14:textId="77777777" w:rsidTr="005C33EF">
        <w:trPr>
          <w:trHeight w:val="252"/>
        </w:trPr>
        <w:tc>
          <w:tcPr>
            <w:tcW w:w="6348" w:type="dxa"/>
            <w:tcBorders>
              <w:top w:val="nil"/>
              <w:left w:val="nil"/>
              <w:bottom w:val="nil"/>
              <w:right w:val="nil"/>
            </w:tcBorders>
            <w:shd w:val="clear" w:color="FFFFFF" w:fill="FFFFFF"/>
            <w:noWrap/>
            <w:vAlign w:val="bottom"/>
            <w:hideMark/>
          </w:tcPr>
          <w:p w14:paraId="66E09002"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Plant and equipment</w:t>
            </w:r>
          </w:p>
        </w:tc>
        <w:tc>
          <w:tcPr>
            <w:tcW w:w="1389" w:type="dxa"/>
            <w:tcBorders>
              <w:top w:val="nil"/>
              <w:left w:val="nil"/>
              <w:bottom w:val="nil"/>
              <w:right w:val="nil"/>
            </w:tcBorders>
            <w:shd w:val="clear" w:color="FFFFFF" w:fill="FFFFFF"/>
            <w:noWrap/>
            <w:vAlign w:val="bottom"/>
            <w:hideMark/>
          </w:tcPr>
          <w:p w14:paraId="50019D74"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10,373</w:t>
            </w:r>
          </w:p>
        </w:tc>
        <w:tc>
          <w:tcPr>
            <w:tcW w:w="236" w:type="dxa"/>
            <w:tcBorders>
              <w:top w:val="nil"/>
              <w:left w:val="nil"/>
              <w:bottom w:val="nil"/>
              <w:right w:val="nil"/>
            </w:tcBorders>
            <w:shd w:val="clear" w:color="FFFFFF" w:fill="FFFFFF"/>
            <w:noWrap/>
            <w:vAlign w:val="bottom"/>
            <w:hideMark/>
          </w:tcPr>
          <w:p w14:paraId="6902473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7735EFA"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1,238</w:t>
            </w:r>
          </w:p>
        </w:tc>
      </w:tr>
      <w:tr w:rsidR="005834CE" w:rsidRPr="00FD06ED" w14:paraId="26BF8EB1" w14:textId="77777777" w:rsidTr="005C33EF">
        <w:trPr>
          <w:trHeight w:val="252"/>
        </w:trPr>
        <w:tc>
          <w:tcPr>
            <w:tcW w:w="6348" w:type="dxa"/>
            <w:tcBorders>
              <w:top w:val="nil"/>
              <w:left w:val="nil"/>
              <w:bottom w:val="nil"/>
              <w:right w:val="nil"/>
            </w:tcBorders>
            <w:shd w:val="clear" w:color="FFFFFF" w:fill="FFFFFF"/>
            <w:noWrap/>
            <w:vAlign w:val="bottom"/>
            <w:hideMark/>
          </w:tcPr>
          <w:p w14:paraId="2AEF1296"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non-financial assets</w:t>
            </w:r>
          </w:p>
        </w:tc>
        <w:tc>
          <w:tcPr>
            <w:tcW w:w="1389" w:type="dxa"/>
            <w:tcBorders>
              <w:top w:val="nil"/>
              <w:left w:val="nil"/>
              <w:bottom w:val="nil"/>
              <w:right w:val="nil"/>
            </w:tcBorders>
            <w:shd w:val="clear" w:color="FFFFFF" w:fill="FFFFFF"/>
            <w:noWrap/>
            <w:vAlign w:val="bottom"/>
            <w:hideMark/>
          </w:tcPr>
          <w:p w14:paraId="30A8D9B0"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327</w:t>
            </w:r>
          </w:p>
        </w:tc>
        <w:tc>
          <w:tcPr>
            <w:tcW w:w="236" w:type="dxa"/>
            <w:tcBorders>
              <w:top w:val="nil"/>
              <w:left w:val="nil"/>
              <w:bottom w:val="nil"/>
              <w:right w:val="nil"/>
            </w:tcBorders>
            <w:shd w:val="clear" w:color="FFFFFF" w:fill="FFFFFF"/>
            <w:noWrap/>
            <w:vAlign w:val="bottom"/>
            <w:hideMark/>
          </w:tcPr>
          <w:p w14:paraId="58B3FC91"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0BED3965"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43</w:t>
            </w:r>
          </w:p>
        </w:tc>
      </w:tr>
      <w:tr w:rsidR="005834CE" w:rsidRPr="00FD06ED" w14:paraId="33E3A86B" w14:textId="77777777" w:rsidTr="005C33EF">
        <w:trPr>
          <w:trHeight w:val="252"/>
        </w:trPr>
        <w:tc>
          <w:tcPr>
            <w:tcW w:w="6348" w:type="dxa"/>
            <w:tcBorders>
              <w:top w:val="nil"/>
              <w:left w:val="nil"/>
              <w:bottom w:val="nil"/>
              <w:right w:val="nil"/>
            </w:tcBorders>
            <w:shd w:val="clear" w:color="FFFFFF" w:fill="FFFFFF"/>
            <w:vAlign w:val="bottom"/>
            <w:hideMark/>
          </w:tcPr>
          <w:p w14:paraId="1DD1DC38"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more than 12 months</w:t>
            </w:r>
          </w:p>
        </w:tc>
        <w:tc>
          <w:tcPr>
            <w:tcW w:w="1389" w:type="dxa"/>
            <w:tcBorders>
              <w:top w:val="single" w:sz="4" w:space="0" w:color="auto"/>
              <w:left w:val="nil"/>
              <w:bottom w:val="single" w:sz="4" w:space="0" w:color="auto"/>
              <w:right w:val="nil"/>
            </w:tcBorders>
            <w:shd w:val="clear" w:color="FFFFFF" w:fill="FFFFFF"/>
            <w:noWrap/>
            <w:vAlign w:val="bottom"/>
            <w:hideMark/>
          </w:tcPr>
          <w:p w14:paraId="16FA0180"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228,116</w:t>
            </w:r>
          </w:p>
        </w:tc>
        <w:tc>
          <w:tcPr>
            <w:tcW w:w="236" w:type="dxa"/>
            <w:tcBorders>
              <w:top w:val="nil"/>
              <w:left w:val="nil"/>
              <w:bottom w:val="nil"/>
              <w:right w:val="nil"/>
            </w:tcBorders>
            <w:shd w:val="clear" w:color="FFFFFF" w:fill="FFFFFF"/>
            <w:noWrap/>
            <w:vAlign w:val="bottom"/>
            <w:hideMark/>
          </w:tcPr>
          <w:p w14:paraId="101844F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single" w:sz="4" w:space="0" w:color="auto"/>
              <w:left w:val="nil"/>
              <w:bottom w:val="single" w:sz="4" w:space="0" w:color="auto"/>
              <w:right w:val="nil"/>
            </w:tcBorders>
            <w:shd w:val="clear" w:color="FFFFFF" w:fill="FFFFFF"/>
            <w:noWrap/>
            <w:vAlign w:val="bottom"/>
            <w:hideMark/>
          </w:tcPr>
          <w:p w14:paraId="0E1AC426"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242,550</w:t>
            </w:r>
          </w:p>
        </w:tc>
      </w:tr>
      <w:tr w:rsidR="005834CE" w:rsidRPr="00FD06ED" w14:paraId="234287D7" w14:textId="77777777" w:rsidTr="005C33EF">
        <w:trPr>
          <w:trHeight w:val="252"/>
        </w:trPr>
        <w:tc>
          <w:tcPr>
            <w:tcW w:w="6348" w:type="dxa"/>
            <w:tcBorders>
              <w:top w:val="nil"/>
              <w:left w:val="nil"/>
              <w:bottom w:val="nil"/>
              <w:right w:val="nil"/>
            </w:tcBorders>
            <w:shd w:val="clear" w:color="FFFFFF" w:fill="FFFFFF"/>
            <w:vAlign w:val="bottom"/>
            <w:hideMark/>
          </w:tcPr>
          <w:p w14:paraId="3FC0D6B4"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assets</w:t>
            </w:r>
          </w:p>
        </w:tc>
        <w:tc>
          <w:tcPr>
            <w:tcW w:w="1389" w:type="dxa"/>
            <w:tcBorders>
              <w:top w:val="nil"/>
              <w:left w:val="nil"/>
              <w:bottom w:val="single" w:sz="4" w:space="0" w:color="auto"/>
              <w:right w:val="nil"/>
            </w:tcBorders>
            <w:shd w:val="clear" w:color="FFFFFF" w:fill="FFFFFF"/>
            <w:noWrap/>
            <w:vAlign w:val="bottom"/>
            <w:hideMark/>
          </w:tcPr>
          <w:p w14:paraId="63F99C51"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4,684,345</w:t>
            </w:r>
          </w:p>
        </w:tc>
        <w:tc>
          <w:tcPr>
            <w:tcW w:w="236" w:type="dxa"/>
            <w:tcBorders>
              <w:top w:val="nil"/>
              <w:left w:val="nil"/>
              <w:bottom w:val="nil"/>
              <w:right w:val="nil"/>
            </w:tcBorders>
            <w:shd w:val="clear" w:color="FFFFFF" w:fill="FFFFFF"/>
            <w:noWrap/>
            <w:vAlign w:val="bottom"/>
            <w:hideMark/>
          </w:tcPr>
          <w:p w14:paraId="79EEC2F6"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single" w:sz="4" w:space="0" w:color="auto"/>
              <w:right w:val="nil"/>
            </w:tcBorders>
            <w:shd w:val="clear" w:color="FFFFFF" w:fill="FFFFFF"/>
            <w:noWrap/>
            <w:vAlign w:val="bottom"/>
            <w:hideMark/>
          </w:tcPr>
          <w:p w14:paraId="57BA5B04"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3,630,704</w:t>
            </w:r>
          </w:p>
        </w:tc>
      </w:tr>
      <w:tr w:rsidR="005834CE" w:rsidRPr="00FD06ED" w14:paraId="6126FF83" w14:textId="77777777" w:rsidTr="005C33EF">
        <w:trPr>
          <w:trHeight w:val="240"/>
        </w:trPr>
        <w:tc>
          <w:tcPr>
            <w:tcW w:w="6348" w:type="dxa"/>
            <w:tcBorders>
              <w:top w:val="nil"/>
              <w:left w:val="nil"/>
              <w:bottom w:val="nil"/>
              <w:right w:val="nil"/>
            </w:tcBorders>
            <w:shd w:val="clear" w:color="FFFFFF" w:fill="FFFFFF"/>
            <w:vAlign w:val="bottom"/>
            <w:hideMark/>
          </w:tcPr>
          <w:p w14:paraId="4A61FF5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389" w:type="dxa"/>
            <w:tcBorders>
              <w:top w:val="nil"/>
              <w:left w:val="nil"/>
              <w:bottom w:val="nil"/>
              <w:right w:val="nil"/>
            </w:tcBorders>
            <w:shd w:val="clear" w:color="FFFFFF" w:fill="FFFFFF"/>
            <w:noWrap/>
            <w:vAlign w:val="bottom"/>
            <w:hideMark/>
          </w:tcPr>
          <w:p w14:paraId="2C8DD4AC"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58248E1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0D6B1C3D"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42F7A70E" w14:textId="77777777" w:rsidTr="005C33EF">
        <w:trPr>
          <w:trHeight w:val="252"/>
        </w:trPr>
        <w:tc>
          <w:tcPr>
            <w:tcW w:w="6348" w:type="dxa"/>
            <w:tcBorders>
              <w:top w:val="nil"/>
              <w:left w:val="nil"/>
              <w:bottom w:val="nil"/>
              <w:right w:val="nil"/>
            </w:tcBorders>
            <w:shd w:val="clear" w:color="FFFFFF" w:fill="FFFFFF"/>
            <w:vAlign w:val="bottom"/>
            <w:hideMark/>
          </w:tcPr>
          <w:p w14:paraId="30253D00"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Liabilities expected to be settled in:</w:t>
            </w:r>
          </w:p>
        </w:tc>
        <w:tc>
          <w:tcPr>
            <w:tcW w:w="1389" w:type="dxa"/>
            <w:tcBorders>
              <w:top w:val="nil"/>
              <w:left w:val="nil"/>
              <w:bottom w:val="nil"/>
              <w:right w:val="nil"/>
            </w:tcBorders>
            <w:shd w:val="clear" w:color="FFFFFF" w:fill="FFFFFF"/>
            <w:noWrap/>
            <w:vAlign w:val="bottom"/>
            <w:hideMark/>
          </w:tcPr>
          <w:p w14:paraId="1FA1FEDF"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24BB6AA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4F6967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7FD7625A" w14:textId="77777777" w:rsidTr="005C33EF">
        <w:trPr>
          <w:trHeight w:val="252"/>
        </w:trPr>
        <w:tc>
          <w:tcPr>
            <w:tcW w:w="6348" w:type="dxa"/>
            <w:tcBorders>
              <w:top w:val="nil"/>
              <w:left w:val="nil"/>
              <w:bottom w:val="nil"/>
              <w:right w:val="nil"/>
            </w:tcBorders>
            <w:shd w:val="clear" w:color="FFFFFF" w:fill="FFFFFF"/>
            <w:vAlign w:val="bottom"/>
            <w:hideMark/>
          </w:tcPr>
          <w:p w14:paraId="31D08AAB"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No more than 12 months</w:t>
            </w:r>
          </w:p>
        </w:tc>
        <w:tc>
          <w:tcPr>
            <w:tcW w:w="1389" w:type="dxa"/>
            <w:tcBorders>
              <w:top w:val="nil"/>
              <w:left w:val="nil"/>
              <w:bottom w:val="nil"/>
              <w:right w:val="nil"/>
            </w:tcBorders>
            <w:shd w:val="clear" w:color="FFFFFF" w:fill="FFFFFF"/>
            <w:noWrap/>
            <w:vAlign w:val="bottom"/>
            <w:hideMark/>
          </w:tcPr>
          <w:p w14:paraId="2864A00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236" w:type="dxa"/>
            <w:tcBorders>
              <w:top w:val="nil"/>
              <w:left w:val="nil"/>
              <w:bottom w:val="nil"/>
              <w:right w:val="nil"/>
            </w:tcBorders>
            <w:shd w:val="clear" w:color="FFFFFF" w:fill="FFFFFF"/>
            <w:noWrap/>
            <w:vAlign w:val="bottom"/>
            <w:hideMark/>
          </w:tcPr>
          <w:p w14:paraId="375B370E"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15BF51E"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r>
      <w:tr w:rsidR="005834CE" w:rsidRPr="00FD06ED" w14:paraId="6253336B" w14:textId="77777777" w:rsidTr="005C33EF">
        <w:trPr>
          <w:trHeight w:val="252"/>
        </w:trPr>
        <w:tc>
          <w:tcPr>
            <w:tcW w:w="6348" w:type="dxa"/>
            <w:tcBorders>
              <w:top w:val="nil"/>
              <w:left w:val="nil"/>
              <w:bottom w:val="nil"/>
              <w:right w:val="nil"/>
            </w:tcBorders>
            <w:shd w:val="clear" w:color="FFFFFF" w:fill="FFFFFF"/>
            <w:noWrap/>
            <w:vAlign w:val="bottom"/>
            <w:hideMark/>
          </w:tcPr>
          <w:p w14:paraId="04E50A77"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Suppliers</w:t>
            </w:r>
          </w:p>
        </w:tc>
        <w:tc>
          <w:tcPr>
            <w:tcW w:w="1389" w:type="dxa"/>
            <w:tcBorders>
              <w:top w:val="nil"/>
              <w:left w:val="nil"/>
              <w:bottom w:val="nil"/>
              <w:right w:val="nil"/>
            </w:tcBorders>
            <w:shd w:val="clear" w:color="FFFFFF" w:fill="FFFFFF"/>
            <w:noWrap/>
            <w:vAlign w:val="bottom"/>
            <w:hideMark/>
          </w:tcPr>
          <w:p w14:paraId="61CF1CC5"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250,705</w:t>
            </w:r>
          </w:p>
        </w:tc>
        <w:tc>
          <w:tcPr>
            <w:tcW w:w="236" w:type="dxa"/>
            <w:tcBorders>
              <w:top w:val="nil"/>
              <w:left w:val="nil"/>
              <w:bottom w:val="nil"/>
              <w:right w:val="nil"/>
            </w:tcBorders>
            <w:shd w:val="clear" w:color="FFFFFF" w:fill="FFFFFF"/>
            <w:noWrap/>
            <w:vAlign w:val="bottom"/>
            <w:hideMark/>
          </w:tcPr>
          <w:p w14:paraId="618F8B7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5AE6C653"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206,540</w:t>
            </w:r>
          </w:p>
        </w:tc>
      </w:tr>
      <w:tr w:rsidR="005834CE" w:rsidRPr="00FD06ED" w14:paraId="4DCE41BB" w14:textId="77777777" w:rsidTr="005C33EF">
        <w:trPr>
          <w:trHeight w:val="252"/>
        </w:trPr>
        <w:tc>
          <w:tcPr>
            <w:tcW w:w="6348" w:type="dxa"/>
            <w:tcBorders>
              <w:top w:val="nil"/>
              <w:left w:val="nil"/>
              <w:bottom w:val="nil"/>
              <w:right w:val="nil"/>
            </w:tcBorders>
            <w:shd w:val="clear" w:color="FFFFFF" w:fill="FFFFFF"/>
            <w:noWrap/>
            <w:vAlign w:val="bottom"/>
            <w:hideMark/>
          </w:tcPr>
          <w:p w14:paraId="2CE884D6"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Other payables</w:t>
            </w:r>
          </w:p>
        </w:tc>
        <w:tc>
          <w:tcPr>
            <w:tcW w:w="1389" w:type="dxa"/>
            <w:tcBorders>
              <w:top w:val="nil"/>
              <w:left w:val="nil"/>
              <w:bottom w:val="nil"/>
              <w:right w:val="nil"/>
            </w:tcBorders>
            <w:shd w:val="clear" w:color="FFFFFF" w:fill="FFFFFF"/>
            <w:noWrap/>
            <w:vAlign w:val="bottom"/>
            <w:hideMark/>
          </w:tcPr>
          <w:p w14:paraId="6F3CCDF8"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10,984</w:t>
            </w:r>
          </w:p>
        </w:tc>
        <w:tc>
          <w:tcPr>
            <w:tcW w:w="236" w:type="dxa"/>
            <w:tcBorders>
              <w:top w:val="nil"/>
              <w:left w:val="nil"/>
              <w:bottom w:val="nil"/>
              <w:right w:val="nil"/>
            </w:tcBorders>
            <w:shd w:val="clear" w:color="FFFFFF" w:fill="FFFFFF"/>
            <w:noWrap/>
            <w:vAlign w:val="bottom"/>
            <w:hideMark/>
          </w:tcPr>
          <w:p w14:paraId="0AB6A732"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C38E5A2"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7,612</w:t>
            </w:r>
          </w:p>
        </w:tc>
      </w:tr>
      <w:tr w:rsidR="005834CE" w:rsidRPr="00FD06ED" w14:paraId="2393E6F3" w14:textId="77777777" w:rsidTr="005C33EF">
        <w:trPr>
          <w:trHeight w:val="252"/>
        </w:trPr>
        <w:tc>
          <w:tcPr>
            <w:tcW w:w="6348" w:type="dxa"/>
            <w:tcBorders>
              <w:top w:val="nil"/>
              <w:left w:val="nil"/>
              <w:bottom w:val="nil"/>
              <w:right w:val="nil"/>
            </w:tcBorders>
            <w:shd w:val="clear" w:color="FFFFFF" w:fill="FFFFFF"/>
            <w:noWrap/>
            <w:vAlign w:val="bottom"/>
            <w:hideMark/>
          </w:tcPr>
          <w:p w14:paraId="7CBC8084"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Unearned revenue</w:t>
            </w:r>
          </w:p>
        </w:tc>
        <w:tc>
          <w:tcPr>
            <w:tcW w:w="1389" w:type="dxa"/>
            <w:tcBorders>
              <w:top w:val="nil"/>
              <w:left w:val="nil"/>
              <w:bottom w:val="nil"/>
              <w:right w:val="nil"/>
            </w:tcBorders>
            <w:shd w:val="clear" w:color="FFFFFF" w:fill="FFFFFF"/>
            <w:noWrap/>
            <w:vAlign w:val="bottom"/>
            <w:hideMark/>
          </w:tcPr>
          <w:p w14:paraId="669B4322"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477,070</w:t>
            </w:r>
          </w:p>
        </w:tc>
        <w:tc>
          <w:tcPr>
            <w:tcW w:w="236" w:type="dxa"/>
            <w:tcBorders>
              <w:top w:val="nil"/>
              <w:left w:val="nil"/>
              <w:bottom w:val="nil"/>
              <w:right w:val="nil"/>
            </w:tcBorders>
            <w:shd w:val="clear" w:color="FFFFFF" w:fill="FFFFFF"/>
            <w:noWrap/>
            <w:vAlign w:val="bottom"/>
            <w:hideMark/>
          </w:tcPr>
          <w:p w14:paraId="6D6B60DE"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B70059B"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522,576</w:t>
            </w:r>
          </w:p>
        </w:tc>
      </w:tr>
      <w:tr w:rsidR="005834CE" w:rsidRPr="00FD06ED" w14:paraId="073FBC56" w14:textId="77777777" w:rsidTr="005C33EF">
        <w:trPr>
          <w:trHeight w:val="252"/>
        </w:trPr>
        <w:tc>
          <w:tcPr>
            <w:tcW w:w="6348" w:type="dxa"/>
            <w:tcBorders>
              <w:top w:val="nil"/>
              <w:left w:val="nil"/>
              <w:bottom w:val="nil"/>
              <w:right w:val="nil"/>
            </w:tcBorders>
            <w:shd w:val="clear" w:color="FFFFFF" w:fill="FFFFFF"/>
            <w:noWrap/>
            <w:vAlign w:val="bottom"/>
            <w:hideMark/>
          </w:tcPr>
          <w:p w14:paraId="7C0FB15F"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Leases</w:t>
            </w:r>
          </w:p>
        </w:tc>
        <w:tc>
          <w:tcPr>
            <w:tcW w:w="1389" w:type="dxa"/>
            <w:tcBorders>
              <w:top w:val="nil"/>
              <w:left w:val="nil"/>
              <w:bottom w:val="nil"/>
              <w:right w:val="nil"/>
            </w:tcBorders>
            <w:shd w:val="clear" w:color="FFFFFF" w:fill="FFFFFF"/>
            <w:noWrap/>
            <w:vAlign w:val="bottom"/>
            <w:hideMark/>
          </w:tcPr>
          <w:p w14:paraId="01147317"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33,424</w:t>
            </w:r>
          </w:p>
        </w:tc>
        <w:tc>
          <w:tcPr>
            <w:tcW w:w="236" w:type="dxa"/>
            <w:tcBorders>
              <w:top w:val="nil"/>
              <w:left w:val="nil"/>
              <w:bottom w:val="nil"/>
              <w:right w:val="nil"/>
            </w:tcBorders>
            <w:shd w:val="clear" w:color="FFFFFF" w:fill="FFFFFF"/>
            <w:noWrap/>
            <w:vAlign w:val="bottom"/>
            <w:hideMark/>
          </w:tcPr>
          <w:p w14:paraId="088FEA4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41BBD74"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34,905</w:t>
            </w:r>
          </w:p>
        </w:tc>
      </w:tr>
      <w:tr w:rsidR="005834CE" w:rsidRPr="00FD06ED" w14:paraId="708F0CB2" w14:textId="77777777" w:rsidTr="005C33EF">
        <w:trPr>
          <w:trHeight w:val="252"/>
        </w:trPr>
        <w:tc>
          <w:tcPr>
            <w:tcW w:w="6348" w:type="dxa"/>
            <w:tcBorders>
              <w:top w:val="nil"/>
              <w:left w:val="nil"/>
              <w:bottom w:val="nil"/>
              <w:right w:val="nil"/>
            </w:tcBorders>
            <w:shd w:val="clear" w:color="FFFFFF" w:fill="FFFFFF"/>
            <w:noWrap/>
            <w:vAlign w:val="bottom"/>
            <w:hideMark/>
          </w:tcPr>
          <w:p w14:paraId="3328D904"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Employee provisions</w:t>
            </w:r>
          </w:p>
        </w:tc>
        <w:tc>
          <w:tcPr>
            <w:tcW w:w="1389" w:type="dxa"/>
            <w:tcBorders>
              <w:top w:val="nil"/>
              <w:left w:val="nil"/>
              <w:bottom w:val="nil"/>
              <w:right w:val="nil"/>
            </w:tcBorders>
            <w:shd w:val="clear" w:color="FFFFFF" w:fill="FFFFFF"/>
            <w:noWrap/>
            <w:vAlign w:val="bottom"/>
            <w:hideMark/>
          </w:tcPr>
          <w:p w14:paraId="411A3F43"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28,695</w:t>
            </w:r>
          </w:p>
        </w:tc>
        <w:tc>
          <w:tcPr>
            <w:tcW w:w="236" w:type="dxa"/>
            <w:tcBorders>
              <w:top w:val="nil"/>
              <w:left w:val="nil"/>
              <w:bottom w:val="nil"/>
              <w:right w:val="nil"/>
            </w:tcBorders>
            <w:shd w:val="clear" w:color="FFFFFF" w:fill="FFFFFF"/>
            <w:noWrap/>
            <w:vAlign w:val="bottom"/>
            <w:hideMark/>
          </w:tcPr>
          <w:p w14:paraId="26F9D681"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59A6D6E6"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27,017</w:t>
            </w:r>
          </w:p>
        </w:tc>
      </w:tr>
      <w:tr w:rsidR="005834CE" w:rsidRPr="00FD06ED" w14:paraId="14F89949" w14:textId="77777777" w:rsidTr="005C33EF">
        <w:trPr>
          <w:trHeight w:val="252"/>
        </w:trPr>
        <w:tc>
          <w:tcPr>
            <w:tcW w:w="6348" w:type="dxa"/>
            <w:tcBorders>
              <w:top w:val="nil"/>
              <w:left w:val="nil"/>
              <w:bottom w:val="nil"/>
              <w:right w:val="nil"/>
            </w:tcBorders>
            <w:shd w:val="clear" w:color="FFFFFF" w:fill="FFFFFF"/>
            <w:noWrap/>
            <w:vAlign w:val="bottom"/>
            <w:hideMark/>
          </w:tcPr>
          <w:p w14:paraId="3AE6EC05"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plan provisions</w:t>
            </w:r>
          </w:p>
        </w:tc>
        <w:tc>
          <w:tcPr>
            <w:tcW w:w="1389" w:type="dxa"/>
            <w:tcBorders>
              <w:top w:val="nil"/>
              <w:left w:val="nil"/>
              <w:bottom w:val="nil"/>
              <w:right w:val="nil"/>
            </w:tcBorders>
            <w:shd w:val="clear" w:color="FFFFFF" w:fill="FFFFFF"/>
            <w:noWrap/>
            <w:vAlign w:val="bottom"/>
            <w:hideMark/>
          </w:tcPr>
          <w:p w14:paraId="47F95043"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1,874,364</w:t>
            </w:r>
          </w:p>
        </w:tc>
        <w:tc>
          <w:tcPr>
            <w:tcW w:w="236" w:type="dxa"/>
            <w:tcBorders>
              <w:top w:val="nil"/>
              <w:left w:val="nil"/>
              <w:bottom w:val="nil"/>
              <w:right w:val="nil"/>
            </w:tcBorders>
            <w:shd w:val="clear" w:color="FFFFFF" w:fill="FFFFFF"/>
            <w:noWrap/>
            <w:vAlign w:val="bottom"/>
            <w:hideMark/>
          </w:tcPr>
          <w:p w14:paraId="4288E904"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9600DA8"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1,546,924</w:t>
            </w:r>
          </w:p>
        </w:tc>
      </w:tr>
      <w:tr w:rsidR="005834CE" w:rsidRPr="00FD06ED" w14:paraId="5766C1A3" w14:textId="77777777" w:rsidTr="005C33EF">
        <w:trPr>
          <w:trHeight w:val="252"/>
        </w:trPr>
        <w:tc>
          <w:tcPr>
            <w:tcW w:w="6348" w:type="dxa"/>
            <w:tcBorders>
              <w:top w:val="nil"/>
              <w:left w:val="nil"/>
              <w:bottom w:val="nil"/>
              <w:right w:val="nil"/>
            </w:tcBorders>
            <w:shd w:val="clear" w:color="FFFFFF" w:fill="FFFFFF"/>
            <w:noWrap/>
            <w:vAlign w:val="bottom"/>
            <w:hideMark/>
          </w:tcPr>
          <w:p w14:paraId="201D424A"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Provision for provider additional costs</w:t>
            </w:r>
          </w:p>
        </w:tc>
        <w:tc>
          <w:tcPr>
            <w:tcW w:w="1389" w:type="dxa"/>
            <w:tcBorders>
              <w:top w:val="nil"/>
              <w:left w:val="nil"/>
              <w:bottom w:val="nil"/>
              <w:right w:val="nil"/>
            </w:tcBorders>
            <w:shd w:val="clear" w:color="FFFFFF" w:fill="FFFFFF"/>
            <w:noWrap/>
            <w:vAlign w:val="bottom"/>
            <w:hideMark/>
          </w:tcPr>
          <w:p w14:paraId="1D84D046"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475,644</w:t>
            </w:r>
          </w:p>
        </w:tc>
        <w:tc>
          <w:tcPr>
            <w:tcW w:w="236" w:type="dxa"/>
            <w:tcBorders>
              <w:top w:val="nil"/>
              <w:left w:val="nil"/>
              <w:bottom w:val="nil"/>
              <w:right w:val="nil"/>
            </w:tcBorders>
            <w:shd w:val="clear" w:color="FFFFFF" w:fill="FFFFFF"/>
            <w:noWrap/>
            <w:vAlign w:val="bottom"/>
            <w:hideMark/>
          </w:tcPr>
          <w:p w14:paraId="0B36DA8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526A69B9"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 xml:space="preserve"> -</w:t>
            </w:r>
          </w:p>
        </w:tc>
      </w:tr>
      <w:tr w:rsidR="005834CE" w:rsidRPr="00FD06ED" w14:paraId="0DE69C24" w14:textId="77777777" w:rsidTr="005C33EF">
        <w:trPr>
          <w:trHeight w:val="252"/>
        </w:trPr>
        <w:tc>
          <w:tcPr>
            <w:tcW w:w="6348" w:type="dxa"/>
            <w:tcBorders>
              <w:top w:val="nil"/>
              <w:left w:val="nil"/>
              <w:bottom w:val="nil"/>
              <w:right w:val="nil"/>
            </w:tcBorders>
            <w:shd w:val="clear" w:color="FFFFFF" w:fill="FFFFFF"/>
            <w:noWrap/>
            <w:vAlign w:val="bottom"/>
            <w:hideMark/>
          </w:tcPr>
          <w:p w14:paraId="1C1F657B"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Provision for restoration obligations</w:t>
            </w:r>
          </w:p>
        </w:tc>
        <w:tc>
          <w:tcPr>
            <w:tcW w:w="1389" w:type="dxa"/>
            <w:tcBorders>
              <w:top w:val="nil"/>
              <w:left w:val="nil"/>
              <w:bottom w:val="nil"/>
              <w:right w:val="nil"/>
            </w:tcBorders>
            <w:shd w:val="clear" w:color="FFFFFF" w:fill="FFFFFF"/>
            <w:noWrap/>
            <w:vAlign w:val="bottom"/>
            <w:hideMark/>
          </w:tcPr>
          <w:p w14:paraId="7B84DC4C"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2,788</w:t>
            </w:r>
          </w:p>
        </w:tc>
        <w:tc>
          <w:tcPr>
            <w:tcW w:w="236" w:type="dxa"/>
            <w:tcBorders>
              <w:top w:val="nil"/>
              <w:left w:val="nil"/>
              <w:bottom w:val="nil"/>
              <w:right w:val="nil"/>
            </w:tcBorders>
            <w:shd w:val="clear" w:color="FFFFFF" w:fill="FFFFFF"/>
            <w:noWrap/>
            <w:vAlign w:val="bottom"/>
            <w:hideMark/>
          </w:tcPr>
          <w:p w14:paraId="33044DCA"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472913BA"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663</w:t>
            </w:r>
          </w:p>
        </w:tc>
      </w:tr>
      <w:tr w:rsidR="005834CE" w:rsidRPr="00FD06ED" w14:paraId="2B44AC8C" w14:textId="77777777" w:rsidTr="005C33EF">
        <w:trPr>
          <w:trHeight w:val="252"/>
        </w:trPr>
        <w:tc>
          <w:tcPr>
            <w:tcW w:w="6348" w:type="dxa"/>
            <w:tcBorders>
              <w:top w:val="nil"/>
              <w:left w:val="nil"/>
              <w:bottom w:val="nil"/>
              <w:right w:val="nil"/>
            </w:tcBorders>
            <w:shd w:val="clear" w:color="FFFFFF" w:fill="FFFFFF"/>
            <w:vAlign w:val="bottom"/>
            <w:hideMark/>
          </w:tcPr>
          <w:p w14:paraId="6300D530"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no more than 12 months</w:t>
            </w:r>
          </w:p>
        </w:tc>
        <w:tc>
          <w:tcPr>
            <w:tcW w:w="1389" w:type="dxa"/>
            <w:tcBorders>
              <w:top w:val="single" w:sz="4" w:space="0" w:color="auto"/>
              <w:left w:val="nil"/>
              <w:bottom w:val="single" w:sz="4" w:space="0" w:color="auto"/>
              <w:right w:val="nil"/>
            </w:tcBorders>
            <w:shd w:val="clear" w:color="FFFFFF" w:fill="FFFFFF"/>
            <w:noWrap/>
            <w:vAlign w:val="bottom"/>
            <w:hideMark/>
          </w:tcPr>
          <w:p w14:paraId="31FF708C"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3,153,674</w:t>
            </w:r>
          </w:p>
        </w:tc>
        <w:tc>
          <w:tcPr>
            <w:tcW w:w="236" w:type="dxa"/>
            <w:tcBorders>
              <w:top w:val="nil"/>
              <w:left w:val="nil"/>
              <w:bottom w:val="nil"/>
              <w:right w:val="nil"/>
            </w:tcBorders>
            <w:shd w:val="clear" w:color="FFFFFF" w:fill="FFFFFF"/>
            <w:noWrap/>
            <w:vAlign w:val="bottom"/>
            <w:hideMark/>
          </w:tcPr>
          <w:p w14:paraId="2F8D8A18"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single" w:sz="4" w:space="0" w:color="auto"/>
              <w:left w:val="nil"/>
              <w:bottom w:val="single" w:sz="4" w:space="0" w:color="auto"/>
              <w:right w:val="nil"/>
            </w:tcBorders>
            <w:shd w:val="clear" w:color="FFFFFF" w:fill="FFFFFF"/>
            <w:noWrap/>
            <w:vAlign w:val="bottom"/>
            <w:hideMark/>
          </w:tcPr>
          <w:p w14:paraId="63F78F63"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2,346,237</w:t>
            </w:r>
          </w:p>
        </w:tc>
      </w:tr>
      <w:tr w:rsidR="005834CE" w:rsidRPr="00FD06ED" w14:paraId="0D6DAF4C" w14:textId="77777777" w:rsidTr="005C33EF">
        <w:trPr>
          <w:trHeight w:val="252"/>
        </w:trPr>
        <w:tc>
          <w:tcPr>
            <w:tcW w:w="6348" w:type="dxa"/>
            <w:tcBorders>
              <w:top w:val="nil"/>
              <w:left w:val="nil"/>
              <w:bottom w:val="nil"/>
              <w:right w:val="nil"/>
            </w:tcBorders>
            <w:shd w:val="clear" w:color="FFFFFF" w:fill="FFFFFF"/>
            <w:vAlign w:val="bottom"/>
            <w:hideMark/>
          </w:tcPr>
          <w:p w14:paraId="049C39B3"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1389" w:type="dxa"/>
            <w:tcBorders>
              <w:top w:val="nil"/>
              <w:left w:val="nil"/>
              <w:bottom w:val="nil"/>
              <w:right w:val="nil"/>
            </w:tcBorders>
            <w:shd w:val="clear" w:color="FFFFFF" w:fill="FFFFFF"/>
            <w:vAlign w:val="bottom"/>
            <w:hideMark/>
          </w:tcPr>
          <w:p w14:paraId="785E3C66"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24013FC"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vAlign w:val="bottom"/>
            <w:hideMark/>
          </w:tcPr>
          <w:p w14:paraId="7F4B78FE"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r>
      <w:tr w:rsidR="005834CE" w:rsidRPr="00FD06ED" w14:paraId="1A21FD2D" w14:textId="77777777" w:rsidTr="005C33EF">
        <w:trPr>
          <w:trHeight w:val="252"/>
        </w:trPr>
        <w:tc>
          <w:tcPr>
            <w:tcW w:w="6348" w:type="dxa"/>
            <w:tcBorders>
              <w:top w:val="nil"/>
              <w:left w:val="nil"/>
              <w:bottom w:val="nil"/>
              <w:right w:val="nil"/>
            </w:tcBorders>
            <w:shd w:val="clear" w:color="FFFFFF" w:fill="FFFFFF"/>
            <w:vAlign w:val="bottom"/>
            <w:hideMark/>
          </w:tcPr>
          <w:p w14:paraId="43EAB660"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More than 12 months</w:t>
            </w:r>
          </w:p>
        </w:tc>
        <w:tc>
          <w:tcPr>
            <w:tcW w:w="1389" w:type="dxa"/>
            <w:tcBorders>
              <w:top w:val="nil"/>
              <w:left w:val="nil"/>
              <w:bottom w:val="nil"/>
              <w:right w:val="nil"/>
            </w:tcBorders>
            <w:shd w:val="clear" w:color="FFFFFF" w:fill="FFFFFF"/>
            <w:vAlign w:val="bottom"/>
            <w:hideMark/>
          </w:tcPr>
          <w:p w14:paraId="1E634A75"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22C2C37"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vAlign w:val="bottom"/>
            <w:hideMark/>
          </w:tcPr>
          <w:p w14:paraId="53A91F48"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 </w:t>
            </w:r>
          </w:p>
        </w:tc>
      </w:tr>
      <w:tr w:rsidR="005834CE" w:rsidRPr="00FD06ED" w14:paraId="6AF16F75" w14:textId="77777777" w:rsidTr="005C33EF">
        <w:trPr>
          <w:trHeight w:val="252"/>
        </w:trPr>
        <w:tc>
          <w:tcPr>
            <w:tcW w:w="6348" w:type="dxa"/>
            <w:tcBorders>
              <w:top w:val="nil"/>
              <w:left w:val="nil"/>
              <w:bottom w:val="nil"/>
              <w:right w:val="nil"/>
            </w:tcBorders>
            <w:shd w:val="clear" w:color="FFFFFF" w:fill="FFFFFF"/>
            <w:noWrap/>
            <w:vAlign w:val="bottom"/>
            <w:hideMark/>
          </w:tcPr>
          <w:p w14:paraId="24FA7008"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Leases</w:t>
            </w:r>
          </w:p>
        </w:tc>
        <w:tc>
          <w:tcPr>
            <w:tcW w:w="1389" w:type="dxa"/>
            <w:tcBorders>
              <w:top w:val="nil"/>
              <w:left w:val="nil"/>
              <w:bottom w:val="nil"/>
              <w:right w:val="nil"/>
            </w:tcBorders>
            <w:shd w:val="clear" w:color="FFFFFF" w:fill="FFFFFF"/>
            <w:noWrap/>
            <w:vAlign w:val="bottom"/>
            <w:hideMark/>
          </w:tcPr>
          <w:p w14:paraId="36A89DBA"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123,473</w:t>
            </w:r>
          </w:p>
        </w:tc>
        <w:tc>
          <w:tcPr>
            <w:tcW w:w="236" w:type="dxa"/>
            <w:tcBorders>
              <w:top w:val="nil"/>
              <w:left w:val="nil"/>
              <w:bottom w:val="nil"/>
              <w:right w:val="nil"/>
            </w:tcBorders>
            <w:shd w:val="clear" w:color="FFFFFF" w:fill="FFFFFF"/>
            <w:noWrap/>
            <w:vAlign w:val="bottom"/>
            <w:hideMark/>
          </w:tcPr>
          <w:p w14:paraId="7DB7B299"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0B4B831C"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128,966</w:t>
            </w:r>
          </w:p>
        </w:tc>
      </w:tr>
      <w:tr w:rsidR="005834CE" w:rsidRPr="00FD06ED" w14:paraId="5594E38E" w14:textId="77777777" w:rsidTr="005C33EF">
        <w:trPr>
          <w:trHeight w:val="252"/>
        </w:trPr>
        <w:tc>
          <w:tcPr>
            <w:tcW w:w="6348" w:type="dxa"/>
            <w:tcBorders>
              <w:top w:val="nil"/>
              <w:left w:val="nil"/>
              <w:bottom w:val="nil"/>
              <w:right w:val="nil"/>
            </w:tcBorders>
            <w:shd w:val="clear" w:color="FFFFFF" w:fill="FFFFFF"/>
            <w:noWrap/>
            <w:vAlign w:val="bottom"/>
            <w:hideMark/>
          </w:tcPr>
          <w:p w14:paraId="4B4DD4BD"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Employee provisions</w:t>
            </w:r>
          </w:p>
        </w:tc>
        <w:tc>
          <w:tcPr>
            <w:tcW w:w="1389" w:type="dxa"/>
            <w:tcBorders>
              <w:top w:val="nil"/>
              <w:left w:val="nil"/>
              <w:bottom w:val="nil"/>
              <w:right w:val="nil"/>
            </w:tcBorders>
            <w:shd w:val="clear" w:color="FFFFFF" w:fill="FFFFFF"/>
            <w:noWrap/>
            <w:vAlign w:val="bottom"/>
            <w:hideMark/>
          </w:tcPr>
          <w:p w14:paraId="03E72C9B"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69,248</w:t>
            </w:r>
          </w:p>
        </w:tc>
        <w:tc>
          <w:tcPr>
            <w:tcW w:w="236" w:type="dxa"/>
            <w:tcBorders>
              <w:top w:val="nil"/>
              <w:left w:val="nil"/>
              <w:bottom w:val="nil"/>
              <w:right w:val="nil"/>
            </w:tcBorders>
            <w:shd w:val="clear" w:color="FFFFFF" w:fill="FFFFFF"/>
            <w:noWrap/>
            <w:vAlign w:val="bottom"/>
            <w:hideMark/>
          </w:tcPr>
          <w:p w14:paraId="56A6F6E5"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5E5A9F0F"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65,092</w:t>
            </w:r>
          </w:p>
        </w:tc>
      </w:tr>
      <w:tr w:rsidR="005834CE" w:rsidRPr="00FD06ED" w14:paraId="5CFD9770" w14:textId="77777777" w:rsidTr="005C33EF">
        <w:trPr>
          <w:trHeight w:val="252"/>
        </w:trPr>
        <w:tc>
          <w:tcPr>
            <w:tcW w:w="6348" w:type="dxa"/>
            <w:tcBorders>
              <w:top w:val="nil"/>
              <w:left w:val="nil"/>
              <w:bottom w:val="nil"/>
              <w:right w:val="nil"/>
            </w:tcBorders>
            <w:shd w:val="clear" w:color="FFFFFF" w:fill="FFFFFF"/>
            <w:noWrap/>
            <w:vAlign w:val="bottom"/>
            <w:hideMark/>
          </w:tcPr>
          <w:p w14:paraId="4BEAA802"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Participant plan provisions</w:t>
            </w:r>
          </w:p>
        </w:tc>
        <w:tc>
          <w:tcPr>
            <w:tcW w:w="1389" w:type="dxa"/>
            <w:tcBorders>
              <w:top w:val="nil"/>
              <w:left w:val="nil"/>
              <w:bottom w:val="nil"/>
              <w:right w:val="nil"/>
            </w:tcBorders>
            <w:shd w:val="clear" w:color="FFFFFF" w:fill="FFFFFF"/>
            <w:noWrap/>
            <w:vAlign w:val="bottom"/>
            <w:hideMark/>
          </w:tcPr>
          <w:p w14:paraId="043C4460"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89,348</w:t>
            </w:r>
          </w:p>
        </w:tc>
        <w:tc>
          <w:tcPr>
            <w:tcW w:w="236" w:type="dxa"/>
            <w:tcBorders>
              <w:top w:val="nil"/>
              <w:left w:val="nil"/>
              <w:bottom w:val="nil"/>
              <w:right w:val="nil"/>
            </w:tcBorders>
            <w:shd w:val="clear" w:color="FFFFFF" w:fill="FFFFFF"/>
            <w:noWrap/>
            <w:vAlign w:val="bottom"/>
            <w:hideMark/>
          </w:tcPr>
          <w:p w14:paraId="1717BCB7"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04AF87E9"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111,998</w:t>
            </w:r>
          </w:p>
        </w:tc>
      </w:tr>
      <w:tr w:rsidR="005834CE" w:rsidRPr="00FD06ED" w14:paraId="50309CC8" w14:textId="77777777" w:rsidTr="005C33EF">
        <w:trPr>
          <w:trHeight w:val="252"/>
        </w:trPr>
        <w:tc>
          <w:tcPr>
            <w:tcW w:w="6348" w:type="dxa"/>
            <w:tcBorders>
              <w:top w:val="nil"/>
              <w:left w:val="nil"/>
              <w:bottom w:val="nil"/>
              <w:right w:val="nil"/>
            </w:tcBorders>
            <w:shd w:val="clear" w:color="FFFFFF" w:fill="FFFFFF"/>
            <w:noWrap/>
            <w:vAlign w:val="bottom"/>
            <w:hideMark/>
          </w:tcPr>
          <w:p w14:paraId="07A77A75" w14:textId="77777777" w:rsidR="005834CE" w:rsidRPr="00FD06ED" w:rsidRDefault="005834CE" w:rsidP="005C33EF">
            <w:pPr>
              <w:spacing w:before="0" w:after="0" w:line="260" w:lineRule="atLeast"/>
              <w:ind w:left="0" w:firstLineChars="100" w:firstLine="180"/>
              <w:rPr>
                <w:rFonts w:eastAsia="Times New Roman"/>
                <w:sz w:val="18"/>
                <w:szCs w:val="18"/>
                <w:lang w:eastAsia="en-US"/>
              </w:rPr>
            </w:pPr>
            <w:r w:rsidRPr="00FD06ED">
              <w:rPr>
                <w:rFonts w:eastAsia="Times New Roman"/>
                <w:sz w:val="18"/>
                <w:szCs w:val="18"/>
                <w:lang w:eastAsia="en-US"/>
              </w:rPr>
              <w:t>Provision for restoration obligations</w:t>
            </w:r>
          </w:p>
        </w:tc>
        <w:tc>
          <w:tcPr>
            <w:tcW w:w="1389" w:type="dxa"/>
            <w:tcBorders>
              <w:top w:val="nil"/>
              <w:left w:val="nil"/>
              <w:bottom w:val="nil"/>
              <w:right w:val="nil"/>
            </w:tcBorders>
            <w:shd w:val="clear" w:color="FFFFFF" w:fill="FFFFFF"/>
            <w:noWrap/>
            <w:vAlign w:val="bottom"/>
            <w:hideMark/>
          </w:tcPr>
          <w:p w14:paraId="3F119B04"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4,513</w:t>
            </w:r>
          </w:p>
        </w:tc>
        <w:tc>
          <w:tcPr>
            <w:tcW w:w="236" w:type="dxa"/>
            <w:tcBorders>
              <w:top w:val="nil"/>
              <w:left w:val="nil"/>
              <w:bottom w:val="nil"/>
              <w:right w:val="nil"/>
            </w:tcBorders>
            <w:shd w:val="clear" w:color="FFFFFF" w:fill="FFFFFF"/>
            <w:noWrap/>
            <w:vAlign w:val="bottom"/>
            <w:hideMark/>
          </w:tcPr>
          <w:p w14:paraId="2174D15B"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nil"/>
              <w:right w:val="nil"/>
            </w:tcBorders>
            <w:shd w:val="clear" w:color="FFFFFF" w:fill="FFFFFF"/>
            <w:noWrap/>
            <w:vAlign w:val="bottom"/>
            <w:hideMark/>
          </w:tcPr>
          <w:p w14:paraId="19904EED"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6,421</w:t>
            </w:r>
          </w:p>
        </w:tc>
      </w:tr>
      <w:tr w:rsidR="005834CE" w:rsidRPr="00FD06ED" w14:paraId="3848081A" w14:textId="77777777" w:rsidTr="005C33EF">
        <w:trPr>
          <w:trHeight w:val="252"/>
        </w:trPr>
        <w:tc>
          <w:tcPr>
            <w:tcW w:w="6348" w:type="dxa"/>
            <w:tcBorders>
              <w:top w:val="nil"/>
              <w:left w:val="nil"/>
              <w:bottom w:val="nil"/>
              <w:right w:val="nil"/>
            </w:tcBorders>
            <w:shd w:val="clear" w:color="FFFFFF" w:fill="FFFFFF"/>
            <w:vAlign w:val="bottom"/>
            <w:hideMark/>
          </w:tcPr>
          <w:p w14:paraId="73FB97D1"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more than 12 months</w:t>
            </w:r>
          </w:p>
        </w:tc>
        <w:tc>
          <w:tcPr>
            <w:tcW w:w="1389" w:type="dxa"/>
            <w:tcBorders>
              <w:top w:val="single" w:sz="4" w:space="0" w:color="auto"/>
              <w:left w:val="nil"/>
              <w:bottom w:val="single" w:sz="4" w:space="0" w:color="auto"/>
              <w:right w:val="nil"/>
            </w:tcBorders>
            <w:shd w:val="clear" w:color="FFFFFF" w:fill="FFFFFF"/>
            <w:noWrap/>
            <w:vAlign w:val="bottom"/>
            <w:hideMark/>
          </w:tcPr>
          <w:p w14:paraId="15FC3419"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286,582</w:t>
            </w:r>
          </w:p>
        </w:tc>
        <w:tc>
          <w:tcPr>
            <w:tcW w:w="236" w:type="dxa"/>
            <w:tcBorders>
              <w:top w:val="nil"/>
              <w:left w:val="nil"/>
              <w:bottom w:val="nil"/>
              <w:right w:val="nil"/>
            </w:tcBorders>
            <w:shd w:val="clear" w:color="FFFFFF" w:fill="FFFFFF"/>
            <w:noWrap/>
            <w:vAlign w:val="bottom"/>
            <w:hideMark/>
          </w:tcPr>
          <w:p w14:paraId="076770A3"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single" w:sz="4" w:space="0" w:color="auto"/>
              <w:left w:val="nil"/>
              <w:bottom w:val="single" w:sz="4" w:space="0" w:color="auto"/>
              <w:right w:val="nil"/>
            </w:tcBorders>
            <w:shd w:val="clear" w:color="FFFFFF" w:fill="FFFFFF"/>
            <w:noWrap/>
            <w:vAlign w:val="bottom"/>
            <w:hideMark/>
          </w:tcPr>
          <w:p w14:paraId="2658D09E"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312,477</w:t>
            </w:r>
          </w:p>
        </w:tc>
      </w:tr>
      <w:tr w:rsidR="005834CE" w:rsidRPr="00FD06ED" w14:paraId="10EF7961" w14:textId="77777777" w:rsidTr="005C33EF">
        <w:trPr>
          <w:trHeight w:val="252"/>
        </w:trPr>
        <w:tc>
          <w:tcPr>
            <w:tcW w:w="6348" w:type="dxa"/>
            <w:tcBorders>
              <w:top w:val="nil"/>
              <w:left w:val="nil"/>
              <w:bottom w:val="nil"/>
              <w:right w:val="nil"/>
            </w:tcBorders>
            <w:shd w:val="clear" w:color="FFFFFF" w:fill="FFFFFF"/>
            <w:vAlign w:val="bottom"/>
            <w:hideMark/>
          </w:tcPr>
          <w:p w14:paraId="3E6BAAF5" w14:textId="77777777" w:rsidR="005834CE" w:rsidRPr="00FD06ED" w:rsidRDefault="005834CE" w:rsidP="005C33EF">
            <w:pPr>
              <w:spacing w:before="0" w:after="0" w:line="260" w:lineRule="atLeast"/>
              <w:ind w:left="0"/>
              <w:rPr>
                <w:rFonts w:eastAsia="Times New Roman"/>
                <w:b/>
                <w:bCs/>
                <w:sz w:val="18"/>
                <w:szCs w:val="18"/>
                <w:lang w:eastAsia="en-US"/>
              </w:rPr>
            </w:pPr>
            <w:r w:rsidRPr="00FD06ED">
              <w:rPr>
                <w:rFonts w:eastAsia="Times New Roman"/>
                <w:b/>
                <w:bCs/>
                <w:sz w:val="18"/>
                <w:szCs w:val="18"/>
                <w:lang w:eastAsia="en-US"/>
              </w:rPr>
              <w:t>Total liabilities</w:t>
            </w:r>
          </w:p>
        </w:tc>
        <w:tc>
          <w:tcPr>
            <w:tcW w:w="1389" w:type="dxa"/>
            <w:tcBorders>
              <w:top w:val="nil"/>
              <w:left w:val="nil"/>
              <w:bottom w:val="single" w:sz="4" w:space="0" w:color="auto"/>
              <w:right w:val="nil"/>
            </w:tcBorders>
            <w:shd w:val="clear" w:color="FFFFFF" w:fill="FFFFFF"/>
            <w:noWrap/>
            <w:vAlign w:val="bottom"/>
            <w:hideMark/>
          </w:tcPr>
          <w:p w14:paraId="438A46DB" w14:textId="77777777" w:rsidR="005834CE" w:rsidRPr="00FD06ED" w:rsidRDefault="005834CE" w:rsidP="005C33EF">
            <w:pPr>
              <w:spacing w:before="0" w:after="0" w:line="260" w:lineRule="atLeast"/>
              <w:ind w:left="0"/>
              <w:jc w:val="right"/>
              <w:rPr>
                <w:rFonts w:eastAsia="Times New Roman"/>
                <w:b/>
                <w:bCs/>
                <w:sz w:val="18"/>
                <w:szCs w:val="18"/>
                <w:lang w:eastAsia="en-US"/>
              </w:rPr>
            </w:pPr>
            <w:r w:rsidRPr="00FD06ED">
              <w:rPr>
                <w:rFonts w:eastAsia="Times New Roman"/>
                <w:b/>
                <w:bCs/>
                <w:sz w:val="18"/>
                <w:szCs w:val="18"/>
                <w:lang w:eastAsia="en-US"/>
              </w:rPr>
              <w:t>3,440,256</w:t>
            </w:r>
          </w:p>
        </w:tc>
        <w:tc>
          <w:tcPr>
            <w:tcW w:w="236" w:type="dxa"/>
            <w:tcBorders>
              <w:top w:val="nil"/>
              <w:left w:val="nil"/>
              <w:bottom w:val="nil"/>
              <w:right w:val="nil"/>
            </w:tcBorders>
            <w:shd w:val="clear" w:color="FFFFFF" w:fill="FFFFFF"/>
            <w:noWrap/>
            <w:vAlign w:val="bottom"/>
            <w:hideMark/>
          </w:tcPr>
          <w:p w14:paraId="2ACD0ED6" w14:textId="77777777" w:rsidR="005834CE" w:rsidRPr="00FD06ED" w:rsidRDefault="005834CE" w:rsidP="005C33EF">
            <w:pPr>
              <w:spacing w:before="0" w:after="0" w:line="260" w:lineRule="atLeast"/>
              <w:ind w:left="0"/>
              <w:rPr>
                <w:rFonts w:eastAsia="Times New Roman"/>
                <w:sz w:val="18"/>
                <w:szCs w:val="18"/>
                <w:lang w:eastAsia="en-US"/>
              </w:rPr>
            </w:pPr>
            <w:r w:rsidRPr="00FD06ED">
              <w:rPr>
                <w:rFonts w:eastAsia="Times New Roman"/>
                <w:sz w:val="18"/>
                <w:szCs w:val="18"/>
                <w:lang w:eastAsia="en-US"/>
              </w:rPr>
              <w:t> </w:t>
            </w:r>
          </w:p>
        </w:tc>
        <w:tc>
          <w:tcPr>
            <w:tcW w:w="1114" w:type="dxa"/>
            <w:tcBorders>
              <w:top w:val="nil"/>
              <w:left w:val="nil"/>
              <w:bottom w:val="single" w:sz="4" w:space="0" w:color="auto"/>
              <w:right w:val="nil"/>
            </w:tcBorders>
            <w:shd w:val="clear" w:color="FFFFFF" w:fill="FFFFFF"/>
            <w:noWrap/>
            <w:vAlign w:val="bottom"/>
            <w:hideMark/>
          </w:tcPr>
          <w:p w14:paraId="17BEE1F7" w14:textId="77777777" w:rsidR="005834CE" w:rsidRPr="00FD06ED" w:rsidRDefault="005834CE" w:rsidP="005C33EF">
            <w:pPr>
              <w:spacing w:before="0" w:after="0" w:line="260" w:lineRule="atLeast"/>
              <w:ind w:left="0"/>
              <w:jc w:val="right"/>
              <w:rPr>
                <w:rFonts w:eastAsia="Times New Roman"/>
                <w:sz w:val="18"/>
                <w:szCs w:val="18"/>
                <w:lang w:eastAsia="en-US"/>
              </w:rPr>
            </w:pPr>
            <w:r w:rsidRPr="00FD06ED">
              <w:rPr>
                <w:rFonts w:eastAsia="Times New Roman"/>
                <w:sz w:val="18"/>
                <w:szCs w:val="18"/>
                <w:lang w:eastAsia="en-US"/>
              </w:rPr>
              <w:t>2,658,714</w:t>
            </w:r>
          </w:p>
        </w:tc>
      </w:tr>
    </w:tbl>
    <w:p w14:paraId="2826A41E" w14:textId="5344A16A" w:rsidR="005834CE" w:rsidRPr="00FD06ED" w:rsidRDefault="005834CE" w:rsidP="005834CE">
      <w:pPr>
        <w:rPr>
          <w:rFonts w:eastAsia="Times New Roman" w:cs="Times New Roman"/>
          <w:sz w:val="20"/>
          <w:szCs w:val="20"/>
          <w:lang w:eastAsia="en-AU"/>
        </w:rPr>
        <w:sectPr w:rsidR="005834CE" w:rsidRPr="00FD06ED" w:rsidSect="002A4DCC">
          <w:pgSz w:w="11906" w:h="16838" w:code="9"/>
          <w:pgMar w:top="1134" w:right="1701" w:bottom="851" w:left="1134" w:header="958" w:footer="737" w:gutter="0"/>
          <w:cols w:space="708"/>
          <w:docGrid w:linePitch="360"/>
        </w:sectPr>
      </w:pPr>
    </w:p>
    <w:p w14:paraId="13CDBFFE" w14:textId="30E44B00" w:rsidR="00EC35FC" w:rsidRPr="005C7EAD" w:rsidRDefault="005C7EAD" w:rsidP="005C7EAD">
      <w:pPr>
        <w:pStyle w:val="FGCHEADING2"/>
      </w:pPr>
      <w:bookmarkStart w:id="299" w:name="_Toc51067971"/>
      <w:bookmarkStart w:id="300" w:name="_Ref109373009"/>
      <w:bookmarkStart w:id="301" w:name="_Toc114477524"/>
      <w:bookmarkStart w:id="302" w:name="_Toc116472674"/>
      <w:bookmarkStart w:id="303" w:name="_Toc116473889"/>
      <w:r>
        <w:lastRenderedPageBreak/>
        <w:t>F</w:t>
      </w:r>
      <w:r w:rsidR="00EC35FC" w:rsidRPr="005C7EAD">
        <w:t xml:space="preserve">inancial </w:t>
      </w:r>
      <w:r w:rsidR="00262F3A" w:rsidRPr="005C7EAD">
        <w:t xml:space="preserve">Sustainability Report </w:t>
      </w:r>
      <w:r w:rsidR="00623EF9" w:rsidRPr="005C7EAD">
        <w:t>2021</w:t>
      </w:r>
      <w:r w:rsidR="00F229A7" w:rsidRPr="005C7EAD">
        <w:t>‒</w:t>
      </w:r>
      <w:r w:rsidR="00EC35FC" w:rsidRPr="005C7EAD">
        <w:t>2</w:t>
      </w:r>
      <w:bookmarkEnd w:id="299"/>
      <w:r w:rsidR="00623EF9" w:rsidRPr="005C7EAD">
        <w:t>2</w:t>
      </w:r>
      <w:bookmarkEnd w:id="300"/>
      <w:bookmarkEnd w:id="301"/>
      <w:bookmarkEnd w:id="302"/>
      <w:bookmarkEnd w:id="303"/>
    </w:p>
    <w:p w14:paraId="65BD2170" w14:textId="123DBC5B" w:rsidR="00194E96" w:rsidRPr="00D2134C" w:rsidRDefault="00DF4937" w:rsidP="00873C47">
      <w:pPr>
        <w:pStyle w:val="FGCHEADING3"/>
        <w:numPr>
          <w:ilvl w:val="2"/>
          <w:numId w:val="34"/>
        </w:numPr>
      </w:pPr>
      <w:bookmarkStart w:id="304" w:name="_Toc113030852"/>
      <w:bookmarkStart w:id="305" w:name="_Toc114477525"/>
      <w:bookmarkStart w:id="306" w:name="_Toc116414696"/>
      <w:bookmarkStart w:id="307" w:name="_Toc116472675"/>
      <w:bookmarkStart w:id="308" w:name="_Toc116473890"/>
      <w:bookmarkStart w:id="309" w:name="_Toc83220836"/>
      <w:r>
        <w:t>Executive summary</w:t>
      </w:r>
      <w:bookmarkEnd w:id="304"/>
      <w:bookmarkEnd w:id="305"/>
      <w:bookmarkEnd w:id="306"/>
      <w:bookmarkEnd w:id="307"/>
      <w:bookmarkEnd w:id="308"/>
    </w:p>
    <w:p w14:paraId="541CE359" w14:textId="092AF762" w:rsidR="00747F39" w:rsidRPr="00D2134C" w:rsidRDefault="00747F39" w:rsidP="00217FA1">
      <w:pPr>
        <w:pStyle w:val="FGCNORMAL"/>
      </w:pPr>
      <w:r w:rsidRPr="00D2134C">
        <w:t xml:space="preserve">An </w:t>
      </w:r>
      <w:r w:rsidR="00BB6A48">
        <w:t>A</w:t>
      </w:r>
      <w:r w:rsidRPr="00D2134C">
        <w:t xml:space="preserve">nnual </w:t>
      </w:r>
      <w:r w:rsidR="00BB6A48">
        <w:t>F</w:t>
      </w:r>
      <w:r w:rsidRPr="00D2134C">
        <w:t>inancial</w:t>
      </w:r>
      <w:r w:rsidR="00BB6A48">
        <w:t xml:space="preserve"> S</w:t>
      </w:r>
      <w:r w:rsidRPr="00D2134C">
        <w:t xml:space="preserve">ustainability </w:t>
      </w:r>
      <w:r w:rsidR="00BB6A48">
        <w:t>R</w:t>
      </w:r>
      <w:r w:rsidRPr="00D2134C">
        <w:t>eport (AFSR) is required under section 180B of the NDIS Act and provides an assessment of the financial sustainability of the National Disability Insurance Scheme (</w:t>
      </w:r>
      <w:r w:rsidR="003234EE">
        <w:t>‘</w:t>
      </w:r>
      <w:r w:rsidRPr="00D2134C">
        <w:t>the Scheme</w:t>
      </w:r>
      <w:r w:rsidR="003234EE">
        <w:t>’</w:t>
      </w:r>
      <w:r w:rsidRPr="00D2134C">
        <w:t xml:space="preserve">, or NDIS). The AFSR is produced using data </w:t>
      </w:r>
      <w:proofErr w:type="gramStart"/>
      <w:r w:rsidRPr="00D2134C">
        <w:t>at</w:t>
      </w:r>
      <w:proofErr w:type="gramEnd"/>
      <w:r w:rsidRPr="00D2134C">
        <w:t xml:space="preserve"> 30 June each year and a summary of each year’s AFSR has been included in the NDIA annual report. This report uses data to 30 June 2022 to project the future expenses of the Scheme.</w:t>
      </w:r>
    </w:p>
    <w:p w14:paraId="734AABAA" w14:textId="0ED66AB7" w:rsidR="00747F39" w:rsidRPr="00D2134C" w:rsidRDefault="00747F39" w:rsidP="00217FA1">
      <w:pPr>
        <w:pStyle w:val="FGCNORMAL"/>
      </w:pPr>
      <w:r w:rsidRPr="00D2134C">
        <w:t xml:space="preserve">References to the </w:t>
      </w:r>
      <w:r w:rsidR="00115A7A">
        <w:t>‘</w:t>
      </w:r>
      <w:r w:rsidRPr="00D2134C">
        <w:t>previous review</w:t>
      </w:r>
      <w:r w:rsidR="00115A7A">
        <w:t>’</w:t>
      </w:r>
      <w:r w:rsidRPr="00D2134C">
        <w:t xml:space="preserve"> throughout this report refer to results contained within </w:t>
      </w:r>
      <w:r w:rsidR="002050F1">
        <w:t>the 2020-21 AFSR.</w:t>
      </w:r>
    </w:p>
    <w:p w14:paraId="12A88CE6" w14:textId="77777777" w:rsidR="00747F39" w:rsidRPr="00D2134C" w:rsidRDefault="00747F39" w:rsidP="00CE04C7">
      <w:pPr>
        <w:pStyle w:val="FGCHEADING4"/>
      </w:pPr>
      <w:r w:rsidRPr="00D2134C">
        <w:t>Financial sustainability</w:t>
      </w:r>
    </w:p>
    <w:p w14:paraId="67321C02" w14:textId="414286E3" w:rsidR="00747F39" w:rsidRPr="00D2134C" w:rsidRDefault="00747F39" w:rsidP="00217FA1">
      <w:pPr>
        <w:pStyle w:val="FGCNORMAL"/>
      </w:pPr>
      <w:r w:rsidRPr="00D2134C">
        <w:t>The NDIS Insurance Principles and Financial Sustainability Manual</w:t>
      </w:r>
      <w:r w:rsidRPr="00D2134C">
        <w:rPr>
          <w:rStyle w:val="FootnoteReference"/>
        </w:rPr>
        <w:footnoteReference w:id="8"/>
      </w:r>
      <w:r w:rsidRPr="00D2134C">
        <w:t xml:space="preserve"> outlines the NDIS’</w:t>
      </w:r>
      <w:r w:rsidR="00FC6EB1">
        <w:t>s</w:t>
      </w:r>
      <w:r w:rsidRPr="00D2134C">
        <w:t xml:space="preserve"> insurance model in detail and defines financial sustainability as the state where:</w:t>
      </w:r>
    </w:p>
    <w:p w14:paraId="08696B5F" w14:textId="7769F51E" w:rsidR="00747F39" w:rsidRPr="00D2134C" w:rsidRDefault="00FC6EB1" w:rsidP="00217FA1">
      <w:pPr>
        <w:pStyle w:val="FGCBULLET1"/>
      </w:pPr>
      <w:r>
        <w:t>T</w:t>
      </w:r>
      <w:r w:rsidR="00747F39" w:rsidRPr="00D2134C">
        <w:t xml:space="preserve">he Scheme is successful on the balance of objective measures and projections of economic and social participation and independence, and on participants’ views that they are getting enough money to buy enough goods and services to allow them reasonable access to life opportunities </w:t>
      </w:r>
      <w:r>
        <w:t>–</w:t>
      </w:r>
      <w:r w:rsidR="00747F39" w:rsidRPr="00D2134C">
        <w:t xml:space="preserve"> that is, reasonable and necessary support</w:t>
      </w:r>
    </w:p>
    <w:p w14:paraId="4F48CB8A" w14:textId="36ED893E" w:rsidR="00747F39" w:rsidRPr="00D2134C" w:rsidRDefault="00FC6EB1" w:rsidP="00217FA1">
      <w:pPr>
        <w:pStyle w:val="FGCBULLET1"/>
      </w:pPr>
      <w:r>
        <w:t>C</w:t>
      </w:r>
      <w:r w:rsidR="00217FA1" w:rsidRPr="00D2134C">
        <w:t>ontributors think that the cost is and will continue to be affordable, under control, represents value for money and, therefore, remain willing to contribute.</w:t>
      </w:r>
    </w:p>
    <w:p w14:paraId="36B55788" w14:textId="3636549E" w:rsidR="00747F39" w:rsidRPr="00D2134C" w:rsidRDefault="00140C64" w:rsidP="00CE04C7">
      <w:pPr>
        <w:pStyle w:val="FGCHEADING4"/>
      </w:pPr>
      <w:r>
        <w:t>2021‒22</w:t>
      </w:r>
      <w:r w:rsidR="00747F39" w:rsidRPr="00D2134C">
        <w:t xml:space="preserve"> financial projection of Scheme expenses</w:t>
      </w:r>
    </w:p>
    <w:p w14:paraId="65EBD38C" w14:textId="42F7AEBC" w:rsidR="00747F39" w:rsidRPr="00D2134C" w:rsidRDefault="00747F39" w:rsidP="00217FA1">
      <w:pPr>
        <w:pStyle w:val="FGCNORMAL"/>
      </w:pPr>
      <w:r w:rsidRPr="00D2134C">
        <w:t>Projected total Scheme expenses on an accrual basis are $34.0 billion in 2022</w:t>
      </w:r>
      <w:r w:rsidR="00990A99">
        <w:t>–</w:t>
      </w:r>
      <w:r w:rsidRPr="00D2134C">
        <w:t>23, increasing to $89.4 billion in 2031</w:t>
      </w:r>
      <w:r w:rsidR="00990A99">
        <w:t>–</w:t>
      </w:r>
      <w:r w:rsidRPr="00D2134C">
        <w:t>32.</w:t>
      </w:r>
      <w:r w:rsidRPr="00D2134C">
        <w:rPr>
          <w:rStyle w:val="FootnoteReference"/>
        </w:rPr>
        <w:footnoteReference w:id="9"/>
      </w:r>
      <w:r w:rsidRPr="00D2134C">
        <w:t xml:space="preserve"> Projected Scheme expenses on an accrual basis, for the </w:t>
      </w:r>
      <w:r w:rsidR="002A1FCD">
        <w:t xml:space="preserve">4 </w:t>
      </w:r>
      <w:r w:rsidRPr="00D2134C">
        <w:t>years to June 2026, have been estimated to be $166.6 billion.</w:t>
      </w:r>
    </w:p>
    <w:p w14:paraId="0B466347" w14:textId="3EA3B4BB" w:rsidR="00747F39" w:rsidRPr="00D2134C" w:rsidRDefault="00747F39" w:rsidP="00CE04C7">
      <w:pPr>
        <w:pStyle w:val="FGCNORMAL"/>
        <w:rPr>
          <w:highlight w:val="yellow"/>
        </w:rPr>
      </w:pPr>
      <w:bookmarkStart w:id="310" w:name="_Ref112410973"/>
      <w:r w:rsidRPr="00D2134C">
        <w:rPr>
          <w:rStyle w:val="FGCEMPHASIS"/>
        </w:rPr>
        <w:t>Table</w:t>
      </w:r>
      <w:r w:rsidR="006234E3">
        <w:rPr>
          <w:rStyle w:val="FGCEMPHASIS"/>
        </w:rPr>
        <w:t xml:space="preserve"> 3.2.1</w:t>
      </w:r>
      <w:r w:rsidR="00A26550">
        <w:rPr>
          <w:rStyle w:val="FGCEMPHASIS"/>
        </w:rPr>
        <w:t>A</w:t>
      </w:r>
      <w:bookmarkEnd w:id="310"/>
      <w:r w:rsidRPr="00D2134C">
        <w:t>: Baseline projection of Scheme expenses</w:t>
      </w:r>
      <w:r w:rsidRPr="00D2134C">
        <w:rPr>
          <w:rStyle w:val="FootnoteReference"/>
        </w:rPr>
        <w:footnoteReference w:id="10"/>
      </w:r>
      <w:r w:rsidRPr="00D2134C">
        <w:t xml:space="preserve"> </w:t>
      </w:r>
    </w:p>
    <w:tbl>
      <w:tblPr>
        <w:tblStyle w:val="FSRtable"/>
        <w:tblW w:w="9498" w:type="dxa"/>
        <w:tblInd w:w="567" w:type="dxa"/>
        <w:tblLayout w:type="fixed"/>
        <w:tblLook w:val="04A0" w:firstRow="1" w:lastRow="0" w:firstColumn="1" w:lastColumn="0" w:noHBand="0" w:noVBand="1"/>
      </w:tblPr>
      <w:tblGrid>
        <w:gridCol w:w="2977"/>
        <w:gridCol w:w="1063"/>
        <w:gridCol w:w="1063"/>
        <w:gridCol w:w="1063"/>
        <w:gridCol w:w="1064"/>
        <w:gridCol w:w="1134"/>
        <w:gridCol w:w="1134"/>
      </w:tblGrid>
      <w:tr w:rsidR="00FB51F2" w:rsidRPr="00D2134C" w14:paraId="316D3436" w14:textId="77777777" w:rsidTr="00EE2D88">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65B5B88" w14:textId="32F74D38" w:rsidR="00747F39" w:rsidRPr="00D2134C" w:rsidRDefault="00747F39" w:rsidP="003C7ED2">
            <w:pPr>
              <w:pStyle w:val="FGCTABLENORMAL"/>
            </w:pPr>
            <w:r w:rsidRPr="00D2134C">
              <w:t xml:space="preserve">Scheme </w:t>
            </w:r>
            <w:r w:rsidR="000445EA">
              <w:t>e</w:t>
            </w:r>
            <w:r w:rsidRPr="00D2134C">
              <w:t>xpenses ($m) </w:t>
            </w:r>
          </w:p>
        </w:tc>
        <w:tc>
          <w:tcPr>
            <w:tcW w:w="1063" w:type="dxa"/>
            <w:noWrap/>
            <w:hideMark/>
          </w:tcPr>
          <w:p w14:paraId="19D347DA"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2022-23</w:t>
            </w:r>
          </w:p>
        </w:tc>
        <w:tc>
          <w:tcPr>
            <w:tcW w:w="1063" w:type="dxa"/>
            <w:noWrap/>
            <w:hideMark/>
          </w:tcPr>
          <w:p w14:paraId="597828B2"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2023-24</w:t>
            </w:r>
          </w:p>
        </w:tc>
        <w:tc>
          <w:tcPr>
            <w:tcW w:w="1063" w:type="dxa"/>
            <w:noWrap/>
            <w:hideMark/>
          </w:tcPr>
          <w:p w14:paraId="71BE1ED6"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2024-25</w:t>
            </w:r>
          </w:p>
        </w:tc>
        <w:tc>
          <w:tcPr>
            <w:tcW w:w="1064" w:type="dxa"/>
            <w:tcBorders>
              <w:top w:val="single" w:sz="4" w:space="0" w:color="auto"/>
              <w:right w:val="dotted" w:sz="4" w:space="0" w:color="auto"/>
            </w:tcBorders>
            <w:noWrap/>
            <w:hideMark/>
          </w:tcPr>
          <w:p w14:paraId="25B1E058"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2025-26</w:t>
            </w:r>
          </w:p>
        </w:tc>
        <w:tc>
          <w:tcPr>
            <w:tcW w:w="1134" w:type="dxa"/>
            <w:tcBorders>
              <w:top w:val="single" w:sz="4" w:space="0" w:color="auto"/>
              <w:left w:val="dotted" w:sz="4" w:space="0" w:color="auto"/>
              <w:right w:val="single" w:sz="4" w:space="0" w:color="auto"/>
            </w:tcBorders>
            <w:noWrap/>
            <w:hideMark/>
          </w:tcPr>
          <w:p w14:paraId="33F85953"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2031-32</w:t>
            </w:r>
          </w:p>
        </w:tc>
        <w:tc>
          <w:tcPr>
            <w:tcW w:w="1134" w:type="dxa"/>
            <w:tcBorders>
              <w:left w:val="single" w:sz="4" w:space="0" w:color="auto"/>
            </w:tcBorders>
          </w:tcPr>
          <w:p w14:paraId="59879852" w14:textId="77777777" w:rsidR="00747F39" w:rsidRPr="00D2134C" w:rsidRDefault="00747F39" w:rsidP="003C7ED2">
            <w:pPr>
              <w:pStyle w:val="FGCTABLENORMAL"/>
              <w:jc w:val="left"/>
              <w:cnfStyle w:val="100000000000" w:firstRow="1" w:lastRow="0" w:firstColumn="0" w:lastColumn="0" w:oddVBand="0" w:evenVBand="0" w:oddHBand="0" w:evenHBand="0" w:firstRowFirstColumn="0" w:firstRowLastColumn="0" w:lastRowFirstColumn="0" w:lastRowLastColumn="0"/>
            </w:pPr>
            <w:r w:rsidRPr="00D2134C">
              <w:t>2022-26</w:t>
            </w:r>
          </w:p>
        </w:tc>
      </w:tr>
      <w:tr w:rsidR="00FB51F2" w:rsidRPr="00D2134C" w14:paraId="0BDE67D9"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0B9180A" w14:textId="545A3EE6" w:rsidR="00747F39" w:rsidRPr="00D2134C" w:rsidRDefault="00747F39" w:rsidP="003C7ED2">
            <w:pPr>
              <w:pStyle w:val="FGCTABLENORMAL"/>
            </w:pPr>
            <w:r w:rsidRPr="00D2134C">
              <w:t xml:space="preserve">Scheme </w:t>
            </w:r>
            <w:r w:rsidR="000445EA">
              <w:t>e</w:t>
            </w:r>
            <w:r w:rsidRPr="00D2134C">
              <w:t>xpenses (cash basis)</w:t>
            </w:r>
          </w:p>
        </w:tc>
        <w:tc>
          <w:tcPr>
            <w:tcW w:w="1063" w:type="dxa"/>
            <w:noWrap/>
            <w:hideMark/>
          </w:tcPr>
          <w:p w14:paraId="57DBE484"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 </w:t>
            </w:r>
          </w:p>
        </w:tc>
        <w:tc>
          <w:tcPr>
            <w:tcW w:w="1063" w:type="dxa"/>
            <w:noWrap/>
            <w:hideMark/>
          </w:tcPr>
          <w:p w14:paraId="29DA6E3A"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 </w:t>
            </w:r>
          </w:p>
        </w:tc>
        <w:tc>
          <w:tcPr>
            <w:tcW w:w="1063" w:type="dxa"/>
            <w:noWrap/>
            <w:hideMark/>
          </w:tcPr>
          <w:p w14:paraId="3BC376F2"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 </w:t>
            </w:r>
          </w:p>
        </w:tc>
        <w:tc>
          <w:tcPr>
            <w:tcW w:w="1064" w:type="dxa"/>
            <w:tcBorders>
              <w:right w:val="dotted" w:sz="4" w:space="0" w:color="auto"/>
            </w:tcBorders>
            <w:noWrap/>
            <w:hideMark/>
          </w:tcPr>
          <w:p w14:paraId="54B6ED84"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 </w:t>
            </w:r>
          </w:p>
        </w:tc>
        <w:tc>
          <w:tcPr>
            <w:tcW w:w="1134" w:type="dxa"/>
            <w:tcBorders>
              <w:left w:val="dotted" w:sz="4" w:space="0" w:color="auto"/>
              <w:right w:val="single" w:sz="4" w:space="0" w:color="auto"/>
            </w:tcBorders>
            <w:noWrap/>
            <w:hideMark/>
          </w:tcPr>
          <w:p w14:paraId="08C2C55C"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 </w:t>
            </w:r>
          </w:p>
        </w:tc>
        <w:tc>
          <w:tcPr>
            <w:tcW w:w="1134" w:type="dxa"/>
            <w:tcBorders>
              <w:left w:val="single" w:sz="4" w:space="0" w:color="auto"/>
            </w:tcBorders>
          </w:tcPr>
          <w:p w14:paraId="331A1D2F"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r>
      <w:tr w:rsidR="00FB51F2" w:rsidRPr="00D2134C" w14:paraId="041BD793" w14:textId="77777777" w:rsidTr="00EE2D8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E42A627" w14:textId="20CD2E84" w:rsidR="00747F39" w:rsidRPr="00D2134C" w:rsidRDefault="00747F39" w:rsidP="003C7ED2">
            <w:pPr>
              <w:pStyle w:val="FGCTABLENORMAL"/>
            </w:pPr>
            <w:r w:rsidRPr="00D2134C">
              <w:t xml:space="preserve">Scheme </w:t>
            </w:r>
            <w:r w:rsidR="000445EA">
              <w:t>e</w:t>
            </w:r>
            <w:r w:rsidRPr="00D2134C">
              <w:t>xpenses (0</w:t>
            </w:r>
            <w:r w:rsidR="003F4E4F">
              <w:t>–</w:t>
            </w:r>
            <w:r w:rsidRPr="00D2134C">
              <w:t>64)</w:t>
            </w:r>
          </w:p>
        </w:tc>
        <w:tc>
          <w:tcPr>
            <w:tcW w:w="1063" w:type="dxa"/>
            <w:noWrap/>
            <w:hideMark/>
          </w:tcPr>
          <w:p w14:paraId="0DED1A76"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30,931</w:t>
            </w:r>
          </w:p>
        </w:tc>
        <w:tc>
          <w:tcPr>
            <w:tcW w:w="1063" w:type="dxa"/>
            <w:noWrap/>
            <w:hideMark/>
          </w:tcPr>
          <w:p w14:paraId="5C1CD0BF"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34,357</w:t>
            </w:r>
          </w:p>
        </w:tc>
        <w:tc>
          <w:tcPr>
            <w:tcW w:w="1063" w:type="dxa"/>
            <w:noWrap/>
            <w:hideMark/>
          </w:tcPr>
          <w:p w14:paraId="58810BD9"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39,364</w:t>
            </w:r>
          </w:p>
        </w:tc>
        <w:tc>
          <w:tcPr>
            <w:tcW w:w="1064" w:type="dxa"/>
            <w:tcBorders>
              <w:right w:val="dotted" w:sz="4" w:space="0" w:color="auto"/>
            </w:tcBorders>
            <w:noWrap/>
            <w:hideMark/>
          </w:tcPr>
          <w:p w14:paraId="69B06337"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44,519</w:t>
            </w:r>
          </w:p>
        </w:tc>
        <w:tc>
          <w:tcPr>
            <w:tcW w:w="1134" w:type="dxa"/>
            <w:tcBorders>
              <w:left w:val="dotted" w:sz="4" w:space="0" w:color="auto"/>
              <w:right w:val="single" w:sz="4" w:space="0" w:color="auto"/>
            </w:tcBorders>
            <w:noWrap/>
            <w:hideMark/>
          </w:tcPr>
          <w:p w14:paraId="2EDB1796"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76,700</w:t>
            </w:r>
          </w:p>
        </w:tc>
        <w:tc>
          <w:tcPr>
            <w:tcW w:w="1134" w:type="dxa"/>
            <w:tcBorders>
              <w:left w:val="single" w:sz="4" w:space="0" w:color="auto"/>
            </w:tcBorders>
          </w:tcPr>
          <w:p w14:paraId="2624B0D5"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149,171</w:t>
            </w:r>
          </w:p>
        </w:tc>
      </w:tr>
      <w:tr w:rsidR="00FB51F2" w:rsidRPr="00D2134C" w14:paraId="5F563A0E"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noWrap/>
            <w:hideMark/>
          </w:tcPr>
          <w:p w14:paraId="74FF3D6C" w14:textId="7A7E4C66" w:rsidR="00747F39" w:rsidRPr="00D2134C" w:rsidRDefault="00747F39" w:rsidP="003C7ED2">
            <w:pPr>
              <w:pStyle w:val="FGCTABLENORMAL"/>
            </w:pPr>
            <w:r w:rsidRPr="00D2134C">
              <w:t xml:space="preserve">Scheme </w:t>
            </w:r>
            <w:r w:rsidR="000445EA">
              <w:t>e</w:t>
            </w:r>
            <w:r w:rsidRPr="00D2134C">
              <w:t>xpenses (65+)</w:t>
            </w:r>
          </w:p>
        </w:tc>
        <w:tc>
          <w:tcPr>
            <w:tcW w:w="1063" w:type="dxa"/>
            <w:tcBorders>
              <w:bottom w:val="single" w:sz="4" w:space="0" w:color="auto"/>
            </w:tcBorders>
            <w:noWrap/>
            <w:hideMark/>
          </w:tcPr>
          <w:p w14:paraId="7EE45450"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2,544</w:t>
            </w:r>
          </w:p>
        </w:tc>
        <w:tc>
          <w:tcPr>
            <w:tcW w:w="1063" w:type="dxa"/>
            <w:tcBorders>
              <w:bottom w:val="single" w:sz="4" w:space="0" w:color="auto"/>
            </w:tcBorders>
            <w:noWrap/>
            <w:hideMark/>
          </w:tcPr>
          <w:p w14:paraId="1883797A"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3,211</w:t>
            </w:r>
          </w:p>
        </w:tc>
        <w:tc>
          <w:tcPr>
            <w:tcW w:w="1063" w:type="dxa"/>
            <w:tcBorders>
              <w:bottom w:val="single" w:sz="4" w:space="0" w:color="auto"/>
            </w:tcBorders>
            <w:noWrap/>
            <w:hideMark/>
          </w:tcPr>
          <w:p w14:paraId="06D7ECE7"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4,099</w:t>
            </w:r>
          </w:p>
        </w:tc>
        <w:tc>
          <w:tcPr>
            <w:tcW w:w="1064" w:type="dxa"/>
            <w:tcBorders>
              <w:bottom w:val="single" w:sz="4" w:space="0" w:color="auto"/>
              <w:right w:val="dotted" w:sz="4" w:space="0" w:color="auto"/>
            </w:tcBorders>
            <w:noWrap/>
            <w:hideMark/>
          </w:tcPr>
          <w:p w14:paraId="24A81A82"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5,081</w:t>
            </w:r>
          </w:p>
        </w:tc>
        <w:tc>
          <w:tcPr>
            <w:tcW w:w="1134" w:type="dxa"/>
            <w:tcBorders>
              <w:left w:val="dotted" w:sz="4" w:space="0" w:color="auto"/>
              <w:bottom w:val="single" w:sz="4" w:space="0" w:color="auto"/>
              <w:right w:val="single" w:sz="4" w:space="0" w:color="auto"/>
            </w:tcBorders>
            <w:noWrap/>
            <w:hideMark/>
          </w:tcPr>
          <w:p w14:paraId="600DB6BB"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11,389</w:t>
            </w:r>
          </w:p>
        </w:tc>
        <w:tc>
          <w:tcPr>
            <w:tcW w:w="1134" w:type="dxa"/>
            <w:tcBorders>
              <w:left w:val="single" w:sz="4" w:space="0" w:color="auto"/>
              <w:bottom w:val="single" w:sz="4" w:space="0" w:color="auto"/>
            </w:tcBorders>
          </w:tcPr>
          <w:p w14:paraId="0928050B"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14,934</w:t>
            </w:r>
          </w:p>
        </w:tc>
      </w:tr>
      <w:tr w:rsidR="005807B3" w:rsidRPr="00D2134C" w14:paraId="4D9D4878" w14:textId="77777777" w:rsidTr="005807B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D4C5D7"/>
            <w:noWrap/>
            <w:hideMark/>
          </w:tcPr>
          <w:p w14:paraId="09FE1ABC" w14:textId="5A45EC13" w:rsidR="00747F39" w:rsidRPr="00D2134C" w:rsidRDefault="00747F39" w:rsidP="003C7ED2">
            <w:pPr>
              <w:pStyle w:val="FGCTABLENORMAL"/>
            </w:pPr>
            <w:r w:rsidRPr="00D2134C">
              <w:t xml:space="preserve">Total Scheme </w:t>
            </w:r>
            <w:r w:rsidR="000445EA">
              <w:t>e</w:t>
            </w:r>
            <w:r w:rsidRPr="00D2134C">
              <w:t>xpenses (cash basis)</w:t>
            </w:r>
          </w:p>
        </w:tc>
        <w:tc>
          <w:tcPr>
            <w:tcW w:w="1063" w:type="dxa"/>
            <w:tcBorders>
              <w:top w:val="single" w:sz="4" w:space="0" w:color="auto"/>
              <w:bottom w:val="single" w:sz="4" w:space="0" w:color="auto"/>
            </w:tcBorders>
            <w:shd w:val="clear" w:color="auto" w:fill="D4C5D7"/>
            <w:noWrap/>
            <w:hideMark/>
          </w:tcPr>
          <w:p w14:paraId="74544422"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33,475</w:t>
            </w:r>
          </w:p>
        </w:tc>
        <w:tc>
          <w:tcPr>
            <w:tcW w:w="1063" w:type="dxa"/>
            <w:tcBorders>
              <w:top w:val="single" w:sz="4" w:space="0" w:color="auto"/>
              <w:bottom w:val="single" w:sz="4" w:space="0" w:color="auto"/>
            </w:tcBorders>
            <w:shd w:val="clear" w:color="auto" w:fill="D4C5D7"/>
            <w:noWrap/>
            <w:hideMark/>
          </w:tcPr>
          <w:p w14:paraId="5FC6C223"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37,568</w:t>
            </w:r>
          </w:p>
        </w:tc>
        <w:tc>
          <w:tcPr>
            <w:tcW w:w="1063" w:type="dxa"/>
            <w:tcBorders>
              <w:top w:val="single" w:sz="4" w:space="0" w:color="auto"/>
              <w:bottom w:val="single" w:sz="4" w:space="0" w:color="auto"/>
            </w:tcBorders>
            <w:shd w:val="clear" w:color="auto" w:fill="D4C5D7"/>
            <w:noWrap/>
            <w:hideMark/>
          </w:tcPr>
          <w:p w14:paraId="6712A73B"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43,463</w:t>
            </w:r>
          </w:p>
        </w:tc>
        <w:tc>
          <w:tcPr>
            <w:tcW w:w="1064" w:type="dxa"/>
            <w:tcBorders>
              <w:top w:val="single" w:sz="4" w:space="0" w:color="auto"/>
              <w:bottom w:val="single" w:sz="4" w:space="0" w:color="auto"/>
              <w:right w:val="dotted" w:sz="4" w:space="0" w:color="auto"/>
            </w:tcBorders>
            <w:shd w:val="clear" w:color="auto" w:fill="D4C5D7"/>
            <w:noWrap/>
            <w:hideMark/>
          </w:tcPr>
          <w:p w14:paraId="51A67F90"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49,599</w:t>
            </w:r>
          </w:p>
        </w:tc>
        <w:tc>
          <w:tcPr>
            <w:tcW w:w="1134" w:type="dxa"/>
            <w:tcBorders>
              <w:top w:val="single" w:sz="4" w:space="0" w:color="auto"/>
              <w:left w:val="dotted" w:sz="4" w:space="0" w:color="auto"/>
              <w:bottom w:val="single" w:sz="4" w:space="0" w:color="auto"/>
              <w:right w:val="single" w:sz="4" w:space="0" w:color="auto"/>
            </w:tcBorders>
            <w:shd w:val="clear" w:color="auto" w:fill="D4C5D7"/>
            <w:noWrap/>
            <w:hideMark/>
          </w:tcPr>
          <w:p w14:paraId="7B789E30"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88,089</w:t>
            </w:r>
          </w:p>
        </w:tc>
        <w:tc>
          <w:tcPr>
            <w:tcW w:w="1134" w:type="dxa"/>
            <w:tcBorders>
              <w:top w:val="single" w:sz="4" w:space="0" w:color="auto"/>
              <w:left w:val="single" w:sz="4" w:space="0" w:color="auto"/>
              <w:bottom w:val="single" w:sz="4" w:space="0" w:color="auto"/>
            </w:tcBorders>
            <w:shd w:val="clear" w:color="auto" w:fill="D4C5D7"/>
          </w:tcPr>
          <w:p w14:paraId="5D598056"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164,105</w:t>
            </w:r>
          </w:p>
        </w:tc>
      </w:tr>
      <w:tr w:rsidR="00FB51F2" w:rsidRPr="00D2134C" w14:paraId="2B39A81B"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tcBorders>
            <w:noWrap/>
            <w:hideMark/>
          </w:tcPr>
          <w:p w14:paraId="25F20CA5" w14:textId="477E7B08" w:rsidR="00747F39" w:rsidRPr="00D2134C" w:rsidRDefault="00747F39" w:rsidP="003C7ED2">
            <w:pPr>
              <w:pStyle w:val="FGCTABLENORMAL"/>
            </w:pPr>
            <w:r w:rsidRPr="00D2134C">
              <w:t xml:space="preserve">Scheme </w:t>
            </w:r>
            <w:r w:rsidR="000445EA">
              <w:t>e</w:t>
            </w:r>
            <w:r w:rsidRPr="00D2134C">
              <w:t>xpenses (accrual basis)</w:t>
            </w:r>
          </w:p>
        </w:tc>
        <w:tc>
          <w:tcPr>
            <w:tcW w:w="1063" w:type="dxa"/>
            <w:tcBorders>
              <w:top w:val="single" w:sz="4" w:space="0" w:color="auto"/>
            </w:tcBorders>
            <w:noWrap/>
            <w:hideMark/>
          </w:tcPr>
          <w:p w14:paraId="51DBE2BE"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c>
          <w:tcPr>
            <w:tcW w:w="1063" w:type="dxa"/>
            <w:tcBorders>
              <w:top w:val="single" w:sz="4" w:space="0" w:color="auto"/>
            </w:tcBorders>
            <w:noWrap/>
            <w:hideMark/>
          </w:tcPr>
          <w:p w14:paraId="7B9673D4"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c>
          <w:tcPr>
            <w:tcW w:w="1063" w:type="dxa"/>
            <w:tcBorders>
              <w:top w:val="single" w:sz="4" w:space="0" w:color="auto"/>
            </w:tcBorders>
            <w:noWrap/>
            <w:hideMark/>
          </w:tcPr>
          <w:p w14:paraId="55E67FEE"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c>
          <w:tcPr>
            <w:tcW w:w="1064" w:type="dxa"/>
            <w:tcBorders>
              <w:top w:val="single" w:sz="4" w:space="0" w:color="auto"/>
              <w:right w:val="dotted" w:sz="4" w:space="0" w:color="auto"/>
            </w:tcBorders>
            <w:noWrap/>
            <w:hideMark/>
          </w:tcPr>
          <w:p w14:paraId="06C6A74E"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auto"/>
              <w:left w:val="dotted" w:sz="4" w:space="0" w:color="auto"/>
              <w:right w:val="single" w:sz="4" w:space="0" w:color="auto"/>
            </w:tcBorders>
            <w:noWrap/>
            <w:hideMark/>
          </w:tcPr>
          <w:p w14:paraId="0E0D06A6"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auto"/>
              <w:left w:val="single" w:sz="4" w:space="0" w:color="auto"/>
            </w:tcBorders>
          </w:tcPr>
          <w:p w14:paraId="24C4C155"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p>
        </w:tc>
      </w:tr>
      <w:tr w:rsidR="00FB51F2" w:rsidRPr="00D2134C" w14:paraId="11625C64" w14:textId="77777777" w:rsidTr="00EE2D8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DF2DF8F" w14:textId="4AB99C1F" w:rsidR="00747F39" w:rsidRPr="00D2134C" w:rsidRDefault="00747F39" w:rsidP="003C7ED2">
            <w:pPr>
              <w:pStyle w:val="FGCTABLENORMAL"/>
            </w:pPr>
            <w:r w:rsidRPr="00D2134C">
              <w:t xml:space="preserve">Scheme </w:t>
            </w:r>
            <w:r w:rsidR="000445EA">
              <w:t>e</w:t>
            </w:r>
            <w:r w:rsidRPr="00D2134C">
              <w:t>xpenses (0</w:t>
            </w:r>
            <w:r w:rsidR="003C5C38">
              <w:t>–</w:t>
            </w:r>
            <w:r w:rsidRPr="00D2134C">
              <w:t>64) </w:t>
            </w:r>
          </w:p>
        </w:tc>
        <w:tc>
          <w:tcPr>
            <w:tcW w:w="1063" w:type="dxa"/>
            <w:noWrap/>
            <w:hideMark/>
          </w:tcPr>
          <w:p w14:paraId="4977634A"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31,394</w:t>
            </w:r>
          </w:p>
        </w:tc>
        <w:tc>
          <w:tcPr>
            <w:tcW w:w="1063" w:type="dxa"/>
            <w:noWrap/>
            <w:hideMark/>
          </w:tcPr>
          <w:p w14:paraId="0428EEC5"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34,874</w:t>
            </w:r>
          </w:p>
        </w:tc>
        <w:tc>
          <w:tcPr>
            <w:tcW w:w="1063" w:type="dxa"/>
            <w:noWrap/>
            <w:hideMark/>
          </w:tcPr>
          <w:p w14:paraId="315CA9B9"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39,955</w:t>
            </w:r>
          </w:p>
        </w:tc>
        <w:tc>
          <w:tcPr>
            <w:tcW w:w="1064" w:type="dxa"/>
            <w:tcBorders>
              <w:right w:val="dotted" w:sz="4" w:space="0" w:color="auto"/>
            </w:tcBorders>
            <w:noWrap/>
            <w:hideMark/>
          </w:tcPr>
          <w:p w14:paraId="4AE7F3DA"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45,187</w:t>
            </w:r>
          </w:p>
        </w:tc>
        <w:tc>
          <w:tcPr>
            <w:tcW w:w="1134" w:type="dxa"/>
            <w:tcBorders>
              <w:left w:val="dotted" w:sz="4" w:space="0" w:color="auto"/>
              <w:right w:val="single" w:sz="4" w:space="0" w:color="auto"/>
            </w:tcBorders>
            <w:noWrap/>
            <w:hideMark/>
          </w:tcPr>
          <w:p w14:paraId="3F82BD46"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77,843</w:t>
            </w:r>
          </w:p>
        </w:tc>
        <w:tc>
          <w:tcPr>
            <w:tcW w:w="1134" w:type="dxa"/>
            <w:tcBorders>
              <w:left w:val="single" w:sz="4" w:space="0" w:color="auto"/>
            </w:tcBorders>
          </w:tcPr>
          <w:p w14:paraId="15A4006C" w14:textId="77777777" w:rsidR="00747F39" w:rsidRPr="00D2134C"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pPr>
            <w:r w:rsidRPr="00D2134C">
              <w:t>151,411</w:t>
            </w:r>
          </w:p>
        </w:tc>
      </w:tr>
      <w:tr w:rsidR="00FB51F2" w:rsidRPr="00D2134C" w14:paraId="7ACA0751"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auto"/>
            </w:tcBorders>
            <w:noWrap/>
            <w:hideMark/>
          </w:tcPr>
          <w:p w14:paraId="50D387D5" w14:textId="4DA73690" w:rsidR="00747F39" w:rsidRPr="00D2134C" w:rsidRDefault="00747F39" w:rsidP="003C7ED2">
            <w:pPr>
              <w:pStyle w:val="FGCTABLENORMAL"/>
              <w:rPr>
                <w:lang w:eastAsia="en-AU"/>
              </w:rPr>
            </w:pPr>
            <w:r w:rsidRPr="00D2134C">
              <w:rPr>
                <w:lang w:eastAsia="en-AU"/>
              </w:rPr>
              <w:t xml:space="preserve">Scheme </w:t>
            </w:r>
            <w:r w:rsidR="000445EA">
              <w:rPr>
                <w:lang w:eastAsia="en-AU"/>
              </w:rPr>
              <w:t>e</w:t>
            </w:r>
            <w:r w:rsidRPr="00D2134C">
              <w:rPr>
                <w:lang w:eastAsia="en-AU"/>
              </w:rPr>
              <w:t>xpenses (65+) </w:t>
            </w:r>
          </w:p>
        </w:tc>
        <w:tc>
          <w:tcPr>
            <w:tcW w:w="1063" w:type="dxa"/>
            <w:tcBorders>
              <w:bottom w:val="single" w:sz="4" w:space="0" w:color="auto"/>
            </w:tcBorders>
            <w:noWrap/>
            <w:hideMark/>
          </w:tcPr>
          <w:p w14:paraId="5E0EC55A"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2,582</w:t>
            </w:r>
          </w:p>
        </w:tc>
        <w:tc>
          <w:tcPr>
            <w:tcW w:w="1063" w:type="dxa"/>
            <w:tcBorders>
              <w:bottom w:val="single" w:sz="4" w:space="0" w:color="auto"/>
            </w:tcBorders>
            <w:noWrap/>
            <w:hideMark/>
          </w:tcPr>
          <w:p w14:paraId="77B5F8C4"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3,259</w:t>
            </w:r>
          </w:p>
        </w:tc>
        <w:tc>
          <w:tcPr>
            <w:tcW w:w="1063" w:type="dxa"/>
            <w:tcBorders>
              <w:bottom w:val="single" w:sz="4" w:space="0" w:color="auto"/>
            </w:tcBorders>
            <w:noWrap/>
            <w:hideMark/>
          </w:tcPr>
          <w:p w14:paraId="1B1566B3"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4,160</w:t>
            </w:r>
          </w:p>
        </w:tc>
        <w:tc>
          <w:tcPr>
            <w:tcW w:w="1064" w:type="dxa"/>
            <w:tcBorders>
              <w:bottom w:val="single" w:sz="4" w:space="0" w:color="auto"/>
              <w:right w:val="dotted" w:sz="4" w:space="0" w:color="auto"/>
            </w:tcBorders>
            <w:noWrap/>
            <w:hideMark/>
          </w:tcPr>
          <w:p w14:paraId="1F119F4C"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5,157</w:t>
            </w:r>
          </w:p>
        </w:tc>
        <w:tc>
          <w:tcPr>
            <w:tcW w:w="1134" w:type="dxa"/>
            <w:tcBorders>
              <w:left w:val="dotted" w:sz="4" w:space="0" w:color="auto"/>
              <w:bottom w:val="single" w:sz="4" w:space="0" w:color="auto"/>
              <w:right w:val="single" w:sz="4" w:space="0" w:color="auto"/>
            </w:tcBorders>
            <w:noWrap/>
            <w:hideMark/>
          </w:tcPr>
          <w:p w14:paraId="0218D7EB"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11,559</w:t>
            </w:r>
          </w:p>
        </w:tc>
        <w:tc>
          <w:tcPr>
            <w:tcW w:w="1134" w:type="dxa"/>
            <w:tcBorders>
              <w:left w:val="single" w:sz="4" w:space="0" w:color="auto"/>
              <w:bottom w:val="single" w:sz="4" w:space="0" w:color="auto"/>
            </w:tcBorders>
          </w:tcPr>
          <w:p w14:paraId="0E1FF36B" w14:textId="77777777" w:rsidR="00747F39" w:rsidRPr="00D2134C" w:rsidRDefault="00747F39" w:rsidP="003C7ED2">
            <w:pPr>
              <w:pStyle w:val="FGCTABLENORMAL"/>
              <w:jc w:val="left"/>
              <w:cnfStyle w:val="000000000000" w:firstRow="0" w:lastRow="0" w:firstColumn="0" w:lastColumn="0" w:oddVBand="0" w:evenVBand="0" w:oddHBand="0" w:evenHBand="0" w:firstRowFirstColumn="0" w:firstRowLastColumn="0" w:lastRowFirstColumn="0" w:lastRowLastColumn="0"/>
            </w:pPr>
            <w:r w:rsidRPr="00D2134C">
              <w:t>15,158</w:t>
            </w:r>
          </w:p>
        </w:tc>
      </w:tr>
      <w:tr w:rsidR="005807B3" w:rsidRPr="00D2134C" w14:paraId="1D4E1920" w14:textId="77777777" w:rsidTr="005807B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D4C5D7"/>
            <w:noWrap/>
            <w:hideMark/>
          </w:tcPr>
          <w:p w14:paraId="3387AF27" w14:textId="22E52255" w:rsidR="00747F39" w:rsidRPr="00EE2D88" w:rsidRDefault="00747F39" w:rsidP="003C7ED2">
            <w:pPr>
              <w:pStyle w:val="FGCTABLENORMAL"/>
              <w:rPr>
                <w:b/>
                <w:bCs/>
                <w:lang w:eastAsia="en-AU"/>
              </w:rPr>
            </w:pPr>
            <w:r w:rsidRPr="00EE2D88">
              <w:rPr>
                <w:b/>
                <w:bCs/>
                <w:lang w:eastAsia="en-AU"/>
              </w:rPr>
              <w:t xml:space="preserve">Total Scheme </w:t>
            </w:r>
            <w:r w:rsidR="000445EA" w:rsidRPr="00EE2D88">
              <w:rPr>
                <w:b/>
                <w:bCs/>
                <w:lang w:eastAsia="en-AU"/>
              </w:rPr>
              <w:t>e</w:t>
            </w:r>
            <w:r w:rsidRPr="00EE2D88">
              <w:rPr>
                <w:b/>
                <w:bCs/>
                <w:lang w:eastAsia="en-AU"/>
              </w:rPr>
              <w:t>xpenses (accrual basis) </w:t>
            </w:r>
          </w:p>
        </w:tc>
        <w:tc>
          <w:tcPr>
            <w:tcW w:w="1063" w:type="dxa"/>
            <w:tcBorders>
              <w:top w:val="single" w:sz="4" w:space="0" w:color="auto"/>
              <w:bottom w:val="single" w:sz="4" w:space="0" w:color="auto"/>
            </w:tcBorders>
            <w:shd w:val="clear" w:color="auto" w:fill="D4C5D7"/>
            <w:noWrap/>
            <w:hideMark/>
          </w:tcPr>
          <w:p w14:paraId="77574767"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lang w:eastAsia="en-AU"/>
              </w:rPr>
            </w:pPr>
            <w:r w:rsidRPr="00EE2D88">
              <w:rPr>
                <w:b/>
                <w:bCs/>
              </w:rPr>
              <w:t>33,976</w:t>
            </w:r>
          </w:p>
        </w:tc>
        <w:tc>
          <w:tcPr>
            <w:tcW w:w="1063" w:type="dxa"/>
            <w:tcBorders>
              <w:top w:val="single" w:sz="4" w:space="0" w:color="auto"/>
              <w:bottom w:val="single" w:sz="4" w:space="0" w:color="auto"/>
            </w:tcBorders>
            <w:shd w:val="clear" w:color="auto" w:fill="D4C5D7"/>
            <w:noWrap/>
            <w:hideMark/>
          </w:tcPr>
          <w:p w14:paraId="6A5B2B42"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lang w:eastAsia="en-AU"/>
              </w:rPr>
            </w:pPr>
            <w:r w:rsidRPr="00EE2D88">
              <w:rPr>
                <w:b/>
                <w:bCs/>
              </w:rPr>
              <w:t>38,133</w:t>
            </w:r>
          </w:p>
        </w:tc>
        <w:tc>
          <w:tcPr>
            <w:tcW w:w="1063" w:type="dxa"/>
            <w:tcBorders>
              <w:top w:val="single" w:sz="4" w:space="0" w:color="auto"/>
              <w:bottom w:val="single" w:sz="4" w:space="0" w:color="auto"/>
            </w:tcBorders>
            <w:shd w:val="clear" w:color="auto" w:fill="D4C5D7"/>
            <w:noWrap/>
            <w:hideMark/>
          </w:tcPr>
          <w:p w14:paraId="46977218"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lang w:eastAsia="en-AU"/>
              </w:rPr>
            </w:pPr>
            <w:r w:rsidRPr="00EE2D88">
              <w:rPr>
                <w:b/>
                <w:bCs/>
              </w:rPr>
              <w:t>44,116</w:t>
            </w:r>
          </w:p>
        </w:tc>
        <w:tc>
          <w:tcPr>
            <w:tcW w:w="1064" w:type="dxa"/>
            <w:tcBorders>
              <w:top w:val="single" w:sz="4" w:space="0" w:color="auto"/>
              <w:bottom w:val="single" w:sz="4" w:space="0" w:color="auto"/>
              <w:right w:val="dotted" w:sz="4" w:space="0" w:color="auto"/>
            </w:tcBorders>
            <w:shd w:val="clear" w:color="auto" w:fill="D4C5D7"/>
            <w:noWrap/>
            <w:hideMark/>
          </w:tcPr>
          <w:p w14:paraId="3B00EADF"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lang w:eastAsia="en-AU"/>
              </w:rPr>
            </w:pPr>
            <w:r w:rsidRPr="00EE2D88">
              <w:rPr>
                <w:b/>
                <w:bCs/>
              </w:rPr>
              <w:t>50,344</w:t>
            </w:r>
          </w:p>
        </w:tc>
        <w:tc>
          <w:tcPr>
            <w:tcW w:w="1134" w:type="dxa"/>
            <w:tcBorders>
              <w:top w:val="single" w:sz="4" w:space="0" w:color="auto"/>
              <w:left w:val="dotted" w:sz="4" w:space="0" w:color="auto"/>
              <w:bottom w:val="single" w:sz="4" w:space="0" w:color="auto"/>
              <w:right w:val="single" w:sz="4" w:space="0" w:color="auto"/>
            </w:tcBorders>
            <w:shd w:val="clear" w:color="auto" w:fill="D4C5D7"/>
            <w:noWrap/>
            <w:hideMark/>
          </w:tcPr>
          <w:p w14:paraId="2D3F32EC"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lang w:eastAsia="en-AU"/>
              </w:rPr>
            </w:pPr>
            <w:r w:rsidRPr="00EE2D88">
              <w:rPr>
                <w:b/>
                <w:bCs/>
              </w:rPr>
              <w:t>89,403</w:t>
            </w:r>
          </w:p>
        </w:tc>
        <w:tc>
          <w:tcPr>
            <w:tcW w:w="1134" w:type="dxa"/>
            <w:tcBorders>
              <w:top w:val="single" w:sz="4" w:space="0" w:color="auto"/>
              <w:left w:val="single" w:sz="4" w:space="0" w:color="auto"/>
              <w:bottom w:val="single" w:sz="4" w:space="0" w:color="auto"/>
            </w:tcBorders>
            <w:shd w:val="clear" w:color="auto" w:fill="D4C5D7"/>
          </w:tcPr>
          <w:p w14:paraId="6C914D44" w14:textId="77777777" w:rsidR="00747F39" w:rsidRPr="00EE2D88" w:rsidRDefault="00747F39" w:rsidP="003C7ED2">
            <w:pPr>
              <w:pStyle w:val="FGCTABLENORMAL"/>
              <w:jc w:val="left"/>
              <w:cnfStyle w:val="000000010000" w:firstRow="0" w:lastRow="0" w:firstColumn="0" w:lastColumn="0" w:oddVBand="0" w:evenVBand="0" w:oddHBand="0" w:evenHBand="1" w:firstRowFirstColumn="0" w:firstRowLastColumn="0" w:lastRowFirstColumn="0" w:lastRowLastColumn="0"/>
              <w:rPr>
                <w:b/>
                <w:bCs/>
              </w:rPr>
            </w:pPr>
            <w:r w:rsidRPr="00EE2D88">
              <w:rPr>
                <w:b/>
                <w:bCs/>
              </w:rPr>
              <w:t>166,569</w:t>
            </w:r>
          </w:p>
        </w:tc>
      </w:tr>
      <w:tr w:rsidR="00D06CA5" w:rsidRPr="00D2134C" w14:paraId="72BE5698" w14:textId="77777777" w:rsidTr="005807B3">
        <w:trPr>
          <w:trHeight w:val="301"/>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auto"/>
              <w:bottom w:val="single" w:sz="4" w:space="0" w:color="auto"/>
            </w:tcBorders>
            <w:shd w:val="clear" w:color="auto" w:fill="D4C5D7"/>
            <w:noWrap/>
          </w:tcPr>
          <w:p w14:paraId="76AD9EFE" w14:textId="44F6672F" w:rsidR="00D06CA5" w:rsidRPr="00EE2D88" w:rsidRDefault="00D06CA5" w:rsidP="00D06CA5">
            <w:pPr>
              <w:pStyle w:val="FGCTABLENORMAL"/>
              <w:rPr>
                <w:szCs w:val="22"/>
                <w:lang w:eastAsia="en-AU"/>
              </w:rPr>
            </w:pPr>
            <w:r w:rsidRPr="00EE2D88">
              <w:rPr>
                <w:rFonts w:eastAsia="Times New Roman"/>
                <w:b/>
                <w:bCs/>
                <w:color w:val="000000"/>
                <w:szCs w:val="22"/>
                <w:lang w:eastAsia="en-AU"/>
              </w:rPr>
              <w:t>Total Scheme Expenses (% of GDP)</w:t>
            </w:r>
          </w:p>
        </w:tc>
        <w:tc>
          <w:tcPr>
            <w:tcW w:w="1063" w:type="dxa"/>
            <w:tcBorders>
              <w:top w:val="single" w:sz="4" w:space="0" w:color="auto"/>
              <w:bottom w:val="single" w:sz="4" w:space="0" w:color="auto"/>
            </w:tcBorders>
            <w:shd w:val="clear" w:color="auto" w:fill="D4C5D7"/>
            <w:noWrap/>
          </w:tcPr>
          <w:p w14:paraId="7DB97785" w14:textId="3BE15250"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1.48%</w:t>
            </w:r>
          </w:p>
        </w:tc>
        <w:tc>
          <w:tcPr>
            <w:tcW w:w="1063" w:type="dxa"/>
            <w:tcBorders>
              <w:top w:val="single" w:sz="4" w:space="0" w:color="auto"/>
              <w:bottom w:val="single" w:sz="4" w:space="0" w:color="auto"/>
            </w:tcBorders>
            <w:shd w:val="clear" w:color="auto" w:fill="D4C5D7"/>
            <w:noWrap/>
          </w:tcPr>
          <w:p w14:paraId="4F2B3642" w14:textId="4E1F918A"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1.61%</w:t>
            </w:r>
          </w:p>
        </w:tc>
        <w:tc>
          <w:tcPr>
            <w:tcW w:w="1063" w:type="dxa"/>
            <w:tcBorders>
              <w:top w:val="single" w:sz="4" w:space="0" w:color="auto"/>
              <w:bottom w:val="single" w:sz="4" w:space="0" w:color="auto"/>
            </w:tcBorders>
            <w:shd w:val="clear" w:color="auto" w:fill="D4C5D7"/>
            <w:noWrap/>
          </w:tcPr>
          <w:p w14:paraId="47CD4F14" w14:textId="2C1F4A1A"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1.77%</w:t>
            </w:r>
          </w:p>
        </w:tc>
        <w:tc>
          <w:tcPr>
            <w:tcW w:w="1064" w:type="dxa"/>
            <w:tcBorders>
              <w:top w:val="single" w:sz="4" w:space="0" w:color="auto"/>
              <w:bottom w:val="single" w:sz="4" w:space="0" w:color="auto"/>
              <w:right w:val="dotted" w:sz="4" w:space="0" w:color="auto"/>
            </w:tcBorders>
            <w:shd w:val="clear" w:color="auto" w:fill="D4C5D7"/>
            <w:noWrap/>
          </w:tcPr>
          <w:p w14:paraId="2A5F8896" w14:textId="476AA1A9"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1.93%</w:t>
            </w:r>
          </w:p>
        </w:tc>
        <w:tc>
          <w:tcPr>
            <w:tcW w:w="1134" w:type="dxa"/>
            <w:tcBorders>
              <w:top w:val="single" w:sz="4" w:space="0" w:color="auto"/>
              <w:left w:val="dotted" w:sz="4" w:space="0" w:color="auto"/>
              <w:bottom w:val="single" w:sz="4" w:space="0" w:color="auto"/>
              <w:right w:val="single" w:sz="4" w:space="0" w:color="auto"/>
            </w:tcBorders>
            <w:shd w:val="clear" w:color="auto" w:fill="D4C5D7"/>
            <w:noWrap/>
          </w:tcPr>
          <w:p w14:paraId="2E079F8F" w14:textId="60C89E8B"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2.55%</w:t>
            </w:r>
          </w:p>
        </w:tc>
        <w:tc>
          <w:tcPr>
            <w:tcW w:w="1134" w:type="dxa"/>
            <w:tcBorders>
              <w:top w:val="single" w:sz="4" w:space="0" w:color="auto"/>
              <w:left w:val="single" w:sz="4" w:space="0" w:color="auto"/>
              <w:bottom w:val="single" w:sz="4" w:space="0" w:color="auto"/>
            </w:tcBorders>
            <w:shd w:val="clear" w:color="auto" w:fill="D4C5D7"/>
          </w:tcPr>
          <w:p w14:paraId="75810C35" w14:textId="0B7725A6" w:rsidR="00D06CA5" w:rsidRPr="00EE2D88" w:rsidRDefault="00D06CA5" w:rsidP="00D06CA5">
            <w:pPr>
              <w:pStyle w:val="FGCTABLENORMAL"/>
              <w:cnfStyle w:val="000000000000" w:firstRow="0" w:lastRow="0" w:firstColumn="0" w:lastColumn="0" w:oddVBand="0" w:evenVBand="0" w:oddHBand="0" w:evenHBand="0" w:firstRowFirstColumn="0" w:firstRowLastColumn="0" w:lastRowFirstColumn="0" w:lastRowLastColumn="0"/>
              <w:rPr>
                <w:szCs w:val="22"/>
              </w:rPr>
            </w:pPr>
            <w:r w:rsidRPr="00EE2D88">
              <w:rPr>
                <w:b/>
                <w:szCs w:val="22"/>
              </w:rPr>
              <w:t>1.70%</w:t>
            </w:r>
          </w:p>
        </w:tc>
      </w:tr>
    </w:tbl>
    <w:p w14:paraId="5A19F7A1" w14:textId="5609E15C" w:rsidR="00D6645B" w:rsidRDefault="00D6645B">
      <w:pPr>
        <w:pStyle w:val="FGCNORMAL"/>
      </w:pPr>
      <w:r>
        <w:lastRenderedPageBreak/>
        <w:t xml:space="preserve">It is important to recognise that the projected Scheme expenses are shown in nominal terms, </w:t>
      </w:r>
      <w:proofErr w:type="gramStart"/>
      <w:r>
        <w:t>i.e.</w:t>
      </w:r>
      <w:proofErr w:type="gramEnd"/>
      <w:r>
        <w:t xml:space="preserve"> that future dollars of estimated Scheme expenses include the effects of inflation over time. This impact of inflation increases over the longer term and so is particularly significant for the result in 2031-32. Expressing Scheme expenses as a proportion of GDP is a way of removing the impacts of economic inflation. Scheme expenses are estimated to be 1.48% of GDP in 2022-23, increasing to 2.55% in 2031-32.</w:t>
      </w:r>
    </w:p>
    <w:p w14:paraId="54176E0C" w14:textId="150245AF" w:rsidR="00C123CF" w:rsidRPr="00EE2D88" w:rsidRDefault="00C123CF" w:rsidP="00EE2D88">
      <w:pPr>
        <w:pStyle w:val="FGCNORMAL"/>
        <w:rPr>
          <w:rFonts w:eastAsiaTheme="minorHAnsi"/>
          <w:lang w:eastAsia="en-US"/>
        </w:rPr>
      </w:pPr>
      <w:r w:rsidRPr="00EE2D88">
        <w:rPr>
          <w:rFonts w:eastAsiaTheme="minorHAnsi"/>
          <w:lang w:eastAsia="en-US"/>
        </w:rPr>
        <w:t>In considering longer term projections it is recommended that users refer to expenses as a proportion of GDP rather than nominal dollar figures as these provide a more meaningful measure of Scheme expenses.</w:t>
      </w:r>
    </w:p>
    <w:p w14:paraId="7122BC28" w14:textId="6E21D88E" w:rsidR="0034396E" w:rsidRPr="00EE2D88" w:rsidRDefault="00D6645B" w:rsidP="00863165">
      <w:pPr>
        <w:pStyle w:val="FGCNORMAL"/>
        <w:rPr>
          <w:szCs w:val="24"/>
        </w:rPr>
      </w:pPr>
      <w:r>
        <w:t xml:space="preserve">The level of uncertainty associated with the Scheme projections also increases over the longer term. </w:t>
      </w:r>
      <w:proofErr w:type="gramStart"/>
      <w:r>
        <w:t>In particular, there</w:t>
      </w:r>
      <w:proofErr w:type="gramEnd"/>
      <w:r>
        <w:t xml:space="preserve"> is a wide range of plausible outcomes for the 2031-32 year as shown in Table </w:t>
      </w:r>
      <w:r w:rsidR="00A46639">
        <w:t>3.2.1B</w:t>
      </w:r>
      <w:r>
        <w:t>. The 5th percentile and 95th percentile results form a</w:t>
      </w:r>
      <w:r>
        <w:rPr>
          <w:rStyle w:val="normaltextrun"/>
        </w:rPr>
        <w:t xml:space="preserve"> 90% confidence interval for the range of expected outcomes for projected Scheme expenses. The 90</w:t>
      </w:r>
      <w:r w:rsidR="00F163A6">
        <w:rPr>
          <w:rStyle w:val="normaltextrun"/>
        </w:rPr>
        <w:t>%</w:t>
      </w:r>
      <w:r>
        <w:rPr>
          <w:rStyle w:val="normaltextrun"/>
        </w:rPr>
        <w:t xml:space="preserve"> confidence interval is $31.8 billion to $37.4 billion or 1.38% to 1.63% of GDP for 2022-23. This increases to $72.7 billion to $115.0 billion or 2.07% to 3.28% of GDP for 2031</w:t>
      </w:r>
      <w:r w:rsidR="00E61FCB">
        <w:rPr>
          <w:rStyle w:val="normaltextrun"/>
        </w:rPr>
        <w:t>–</w:t>
      </w:r>
      <w:r>
        <w:rPr>
          <w:rStyle w:val="normaltextrun"/>
        </w:rPr>
        <w:t xml:space="preserve">32. </w:t>
      </w:r>
    </w:p>
    <w:p w14:paraId="6FA19FF7" w14:textId="3CF47911" w:rsidR="007D30B1" w:rsidRPr="007D30B1" w:rsidRDefault="007D30B1" w:rsidP="00EE2D88">
      <w:pPr>
        <w:keepNext/>
        <w:spacing w:before="0"/>
        <w:rPr>
          <w:rFonts w:eastAsia="Calibri" w:cs="Cordia New"/>
          <w:b/>
          <w:bCs/>
          <w:szCs w:val="18"/>
          <w:lang w:eastAsia="en-US"/>
        </w:rPr>
      </w:pPr>
      <w:r w:rsidRPr="007D30B1">
        <w:rPr>
          <w:rFonts w:eastAsiaTheme="minorHAnsi"/>
          <w:b/>
          <w:bCs/>
          <w:szCs w:val="18"/>
          <w:lang w:eastAsia="en-US"/>
        </w:rPr>
        <w:t>Table</w:t>
      </w:r>
      <w:r w:rsidR="00146677">
        <w:rPr>
          <w:rFonts w:eastAsiaTheme="minorHAnsi"/>
          <w:b/>
          <w:bCs/>
          <w:szCs w:val="18"/>
          <w:lang w:eastAsia="en-US"/>
        </w:rPr>
        <w:t xml:space="preserve"> </w:t>
      </w:r>
      <w:r w:rsidR="00863165">
        <w:rPr>
          <w:rFonts w:eastAsiaTheme="minorHAnsi"/>
          <w:b/>
          <w:bCs/>
          <w:szCs w:val="18"/>
          <w:lang w:eastAsia="en-US"/>
        </w:rPr>
        <w:t>3.</w:t>
      </w:r>
      <w:r w:rsidRPr="007D30B1">
        <w:rPr>
          <w:rFonts w:eastAsiaTheme="minorHAnsi"/>
          <w:b/>
          <w:bCs/>
          <w:szCs w:val="18"/>
          <w:lang w:eastAsia="en-US"/>
        </w:rPr>
        <w:fldChar w:fldCharType="begin"/>
      </w:r>
      <w:r w:rsidRPr="007D30B1">
        <w:rPr>
          <w:rFonts w:eastAsiaTheme="minorHAnsi"/>
          <w:b/>
          <w:bCs/>
          <w:szCs w:val="18"/>
          <w:lang w:eastAsia="en-US"/>
        </w:rPr>
        <w:instrText xml:space="preserve"> SEQ Table \* ARABIC \s 2 </w:instrText>
      </w:r>
      <w:r w:rsidRPr="007D30B1">
        <w:rPr>
          <w:rFonts w:eastAsiaTheme="minorHAnsi"/>
          <w:b/>
          <w:bCs/>
          <w:szCs w:val="18"/>
          <w:lang w:eastAsia="en-US"/>
        </w:rPr>
        <w:fldChar w:fldCharType="separate"/>
      </w:r>
      <w:r w:rsidRPr="007D30B1">
        <w:rPr>
          <w:rFonts w:eastAsiaTheme="minorHAnsi"/>
          <w:b/>
          <w:bCs/>
          <w:noProof/>
          <w:szCs w:val="18"/>
          <w:lang w:eastAsia="en-US"/>
        </w:rPr>
        <w:t>2</w:t>
      </w:r>
      <w:r w:rsidRPr="007D30B1">
        <w:rPr>
          <w:rFonts w:eastAsiaTheme="minorHAnsi"/>
          <w:b/>
          <w:bCs/>
          <w:noProof/>
          <w:szCs w:val="18"/>
          <w:lang w:eastAsia="en-US"/>
        </w:rPr>
        <w:fldChar w:fldCharType="end"/>
      </w:r>
      <w:r w:rsidR="00863165">
        <w:rPr>
          <w:rFonts w:eastAsiaTheme="minorHAnsi"/>
          <w:b/>
          <w:bCs/>
          <w:noProof/>
          <w:szCs w:val="18"/>
          <w:lang w:eastAsia="en-US"/>
        </w:rPr>
        <w:t>.1B</w:t>
      </w:r>
      <w:r w:rsidRPr="007D30B1">
        <w:rPr>
          <w:rFonts w:eastAsiaTheme="minorHAnsi"/>
          <w:b/>
          <w:bCs/>
          <w:szCs w:val="18"/>
          <w:lang w:eastAsia="en-US"/>
        </w:rPr>
        <w:t xml:space="preserve">: </w:t>
      </w:r>
      <w:r w:rsidRPr="00760744">
        <w:rPr>
          <w:rFonts w:eastAsiaTheme="minorHAnsi"/>
          <w:szCs w:val="18"/>
          <w:lang w:eastAsia="en-US"/>
        </w:rPr>
        <w:t>Range of plausible outcomes of Scheme expenses</w:t>
      </w:r>
    </w:p>
    <w:tbl>
      <w:tblPr>
        <w:tblStyle w:val="FSRtable1"/>
        <w:tblW w:w="4647" w:type="pct"/>
        <w:tblInd w:w="709" w:type="dxa"/>
        <w:tblLook w:val="04A0" w:firstRow="1" w:lastRow="0" w:firstColumn="1" w:lastColumn="0" w:noHBand="0" w:noVBand="1"/>
      </w:tblPr>
      <w:tblGrid>
        <w:gridCol w:w="3040"/>
        <w:gridCol w:w="1047"/>
        <w:gridCol w:w="1050"/>
        <w:gridCol w:w="1048"/>
        <w:gridCol w:w="1048"/>
        <w:gridCol w:w="1048"/>
        <w:gridCol w:w="1046"/>
      </w:tblGrid>
      <w:tr w:rsidR="007D30B1" w:rsidRPr="007D30B1" w14:paraId="10019841" w14:textId="77777777" w:rsidTr="0086316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629" w:type="pct"/>
            <w:tcBorders>
              <w:top w:val="single" w:sz="4" w:space="0" w:color="auto"/>
              <w:left w:val="nil"/>
              <w:bottom w:val="nil"/>
              <w:right w:val="nil"/>
            </w:tcBorders>
            <w:noWrap/>
            <w:hideMark/>
          </w:tcPr>
          <w:p w14:paraId="2682B33A" w14:textId="02A94B9F" w:rsidR="007D30B1" w:rsidRPr="00EE2D88" w:rsidRDefault="00577731" w:rsidP="00EE2D88">
            <w:pPr>
              <w:spacing w:before="0" w:after="0"/>
              <w:ind w:left="0"/>
              <w:rPr>
                <w:rFonts w:eastAsia="Times New Roman" w:cs="Cordia New"/>
                <w:bCs/>
                <w:color w:val="FFFFFF"/>
                <w:szCs w:val="22"/>
                <w:lang w:eastAsia="en-AU" w:bidi="th-TH"/>
              </w:rPr>
            </w:pPr>
            <w:r>
              <w:rPr>
                <w:rFonts w:eastAsia="Times New Roman" w:cs="Cordia New"/>
                <w:bCs/>
                <w:color w:val="FFFFFF"/>
                <w:szCs w:val="22"/>
                <w:lang w:eastAsia="en-AU" w:bidi="th-TH"/>
              </w:rPr>
              <w:t>2021–</w:t>
            </w:r>
            <w:proofErr w:type="gramStart"/>
            <w:r>
              <w:rPr>
                <w:rFonts w:eastAsia="Times New Roman" w:cs="Cordia New"/>
                <w:bCs/>
                <w:color w:val="FFFFFF"/>
                <w:szCs w:val="22"/>
                <w:lang w:eastAsia="en-AU" w:bidi="th-TH"/>
              </w:rPr>
              <w:t xml:space="preserve">22 </w:t>
            </w:r>
            <w:r w:rsidR="007D30B1" w:rsidRPr="00EE2D88">
              <w:rPr>
                <w:rFonts w:eastAsia="Times New Roman" w:cs="Cordia New"/>
                <w:bCs/>
                <w:color w:val="FFFFFF"/>
                <w:szCs w:val="22"/>
                <w:lang w:eastAsia="en-AU" w:bidi="th-TH"/>
              </w:rPr>
              <w:t xml:space="preserve"> AFSR</w:t>
            </w:r>
            <w:proofErr w:type="gramEnd"/>
            <w:r w:rsidR="007D30B1" w:rsidRPr="00EE2D88">
              <w:rPr>
                <w:rFonts w:eastAsia="Times New Roman" w:cs="Cordia New"/>
                <w:bCs/>
                <w:color w:val="FFFFFF"/>
                <w:szCs w:val="22"/>
                <w:lang w:eastAsia="en-AU" w:bidi="th-TH"/>
              </w:rPr>
              <w:t> </w:t>
            </w:r>
          </w:p>
        </w:tc>
        <w:tc>
          <w:tcPr>
            <w:tcW w:w="561" w:type="pct"/>
            <w:tcBorders>
              <w:top w:val="single" w:sz="4" w:space="0" w:color="auto"/>
              <w:left w:val="nil"/>
              <w:bottom w:val="nil"/>
              <w:right w:val="nil"/>
            </w:tcBorders>
            <w:noWrap/>
            <w:hideMark/>
          </w:tcPr>
          <w:p w14:paraId="7F229281"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2022-23</w:t>
            </w:r>
          </w:p>
        </w:tc>
        <w:tc>
          <w:tcPr>
            <w:tcW w:w="563" w:type="pct"/>
            <w:tcBorders>
              <w:top w:val="single" w:sz="4" w:space="0" w:color="auto"/>
              <w:left w:val="nil"/>
              <w:bottom w:val="nil"/>
              <w:right w:val="nil"/>
            </w:tcBorders>
            <w:noWrap/>
            <w:hideMark/>
          </w:tcPr>
          <w:p w14:paraId="6C5B6848"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2023-24</w:t>
            </w:r>
          </w:p>
        </w:tc>
        <w:tc>
          <w:tcPr>
            <w:tcW w:w="562" w:type="pct"/>
            <w:tcBorders>
              <w:top w:val="single" w:sz="4" w:space="0" w:color="auto"/>
              <w:left w:val="nil"/>
              <w:bottom w:val="nil"/>
              <w:right w:val="nil"/>
            </w:tcBorders>
            <w:noWrap/>
            <w:hideMark/>
          </w:tcPr>
          <w:p w14:paraId="09BC7118"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2024-25</w:t>
            </w:r>
          </w:p>
        </w:tc>
        <w:tc>
          <w:tcPr>
            <w:tcW w:w="562" w:type="pct"/>
            <w:tcBorders>
              <w:top w:val="single" w:sz="4" w:space="0" w:color="auto"/>
              <w:left w:val="nil"/>
              <w:bottom w:val="nil"/>
              <w:right w:val="dotted" w:sz="4" w:space="0" w:color="auto"/>
            </w:tcBorders>
            <w:noWrap/>
            <w:hideMark/>
          </w:tcPr>
          <w:p w14:paraId="1D4B5E97"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2025-26</w:t>
            </w:r>
          </w:p>
        </w:tc>
        <w:tc>
          <w:tcPr>
            <w:tcW w:w="562" w:type="pct"/>
            <w:tcBorders>
              <w:top w:val="single" w:sz="4" w:space="0" w:color="auto"/>
              <w:left w:val="dotted" w:sz="4" w:space="0" w:color="auto"/>
              <w:bottom w:val="nil"/>
              <w:right w:val="single" w:sz="4" w:space="0" w:color="auto"/>
            </w:tcBorders>
            <w:noWrap/>
            <w:hideMark/>
          </w:tcPr>
          <w:p w14:paraId="6F789B86"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2031-32</w:t>
            </w:r>
          </w:p>
        </w:tc>
        <w:tc>
          <w:tcPr>
            <w:tcW w:w="562" w:type="pct"/>
            <w:tcBorders>
              <w:top w:val="single" w:sz="4" w:space="0" w:color="auto"/>
              <w:left w:val="single" w:sz="4" w:space="0" w:color="auto"/>
              <w:bottom w:val="nil"/>
              <w:right w:val="nil"/>
            </w:tcBorders>
            <w:hideMark/>
          </w:tcPr>
          <w:p w14:paraId="00F34743" w14:textId="77777777" w:rsidR="007D30B1" w:rsidRPr="00EE2D88" w:rsidRDefault="007D30B1" w:rsidP="007D30B1">
            <w:pPr>
              <w:spacing w:before="0" w:after="0"/>
              <w:ind w:left="0"/>
              <w:cnfStyle w:val="100000000000" w:firstRow="1" w:lastRow="0" w:firstColumn="0" w:lastColumn="0" w:oddVBand="0" w:evenVBand="0" w:oddHBand="0" w:evenHBand="0" w:firstRowFirstColumn="0" w:firstRowLastColumn="0" w:lastRowFirstColumn="0" w:lastRowLastColumn="0"/>
              <w:rPr>
                <w:rFonts w:eastAsia="Times New Roman" w:cs="Cordia New"/>
                <w:bCs/>
                <w:color w:val="FFFFFF"/>
                <w:szCs w:val="22"/>
                <w:lang w:eastAsia="en-AU" w:bidi="th-TH"/>
              </w:rPr>
            </w:pPr>
            <w:r w:rsidRPr="00EE2D88">
              <w:rPr>
                <w:rFonts w:eastAsia="Times New Roman" w:cs="Cordia New"/>
                <w:bCs/>
                <w:color w:val="FFFFFF"/>
                <w:szCs w:val="22"/>
                <w:lang w:eastAsia="en-AU" w:bidi="th-TH"/>
              </w:rPr>
              <w:t>2022-26</w:t>
            </w:r>
          </w:p>
        </w:tc>
      </w:tr>
      <w:tr w:rsidR="00FD78B3" w:rsidRPr="007D30B1" w14:paraId="151DB59D" w14:textId="77777777" w:rsidTr="00863165">
        <w:trPr>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nil"/>
              <w:right w:val="nil"/>
            </w:tcBorders>
            <w:noWrap/>
            <w:hideMark/>
          </w:tcPr>
          <w:p w14:paraId="283AB0F6" w14:textId="0E6339AF" w:rsidR="007D30B1" w:rsidRPr="00EE2D88" w:rsidRDefault="007D30B1" w:rsidP="00EE2D88">
            <w:pPr>
              <w:spacing w:before="0" w:after="0"/>
              <w:ind w:left="0"/>
              <w:rPr>
                <w:rFonts w:eastAsia="Times New Roman"/>
                <w:b/>
                <w:bCs/>
                <w:color w:val="000000"/>
                <w:szCs w:val="22"/>
                <w:lang w:eastAsia="en-AU" w:bidi="th-TH"/>
              </w:rPr>
            </w:pPr>
            <w:r w:rsidRPr="00EE2D88">
              <w:rPr>
                <w:rFonts w:eastAsia="Times New Roman"/>
                <w:b/>
                <w:bCs/>
                <w:color w:val="000000"/>
                <w:szCs w:val="22"/>
                <w:lang w:eastAsia="en-AU" w:bidi="th-TH"/>
              </w:rPr>
              <w:t xml:space="preserve">Scheme </w:t>
            </w:r>
            <w:r w:rsidR="00EB5608">
              <w:rPr>
                <w:rFonts w:eastAsia="Times New Roman"/>
                <w:b/>
                <w:bCs/>
                <w:color w:val="000000"/>
                <w:szCs w:val="22"/>
                <w:lang w:eastAsia="en-AU" w:bidi="th-TH"/>
              </w:rPr>
              <w:t>e</w:t>
            </w:r>
            <w:r w:rsidRPr="00EE2D88">
              <w:rPr>
                <w:rFonts w:eastAsia="Times New Roman"/>
                <w:b/>
                <w:bCs/>
                <w:color w:val="000000"/>
                <w:szCs w:val="22"/>
                <w:lang w:eastAsia="en-AU" w:bidi="th-TH"/>
              </w:rPr>
              <w:t>xpenses ($m)</w:t>
            </w:r>
          </w:p>
        </w:tc>
        <w:tc>
          <w:tcPr>
            <w:tcW w:w="561" w:type="pct"/>
            <w:tcBorders>
              <w:top w:val="nil"/>
              <w:left w:val="nil"/>
              <w:bottom w:val="nil"/>
              <w:right w:val="nil"/>
            </w:tcBorders>
            <w:noWrap/>
            <w:hideMark/>
          </w:tcPr>
          <w:p w14:paraId="6EA386F2"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r w:rsidRPr="00EE2D88">
              <w:rPr>
                <w:rFonts w:eastAsia="Times New Roman"/>
                <w:b/>
                <w:bCs/>
                <w:i/>
                <w:iCs/>
                <w:color w:val="000000"/>
                <w:szCs w:val="22"/>
                <w:lang w:eastAsia="en-AU" w:bidi="th-TH"/>
              </w:rPr>
              <w:t> </w:t>
            </w:r>
          </w:p>
        </w:tc>
        <w:tc>
          <w:tcPr>
            <w:tcW w:w="563" w:type="pct"/>
            <w:tcBorders>
              <w:top w:val="nil"/>
              <w:left w:val="nil"/>
              <w:bottom w:val="nil"/>
              <w:right w:val="nil"/>
            </w:tcBorders>
            <w:noWrap/>
            <w:hideMark/>
          </w:tcPr>
          <w:p w14:paraId="127CF59B"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r w:rsidRPr="00EE2D88">
              <w:rPr>
                <w:rFonts w:eastAsia="Times New Roman"/>
                <w:b/>
                <w:bCs/>
                <w:i/>
                <w:iCs/>
                <w:color w:val="000000"/>
                <w:szCs w:val="22"/>
                <w:lang w:eastAsia="en-AU" w:bidi="th-TH"/>
              </w:rPr>
              <w:t> </w:t>
            </w:r>
          </w:p>
        </w:tc>
        <w:tc>
          <w:tcPr>
            <w:tcW w:w="562" w:type="pct"/>
            <w:tcBorders>
              <w:top w:val="nil"/>
              <w:left w:val="nil"/>
              <w:bottom w:val="nil"/>
              <w:right w:val="nil"/>
            </w:tcBorders>
            <w:noWrap/>
            <w:hideMark/>
          </w:tcPr>
          <w:p w14:paraId="5EE6E498"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r w:rsidRPr="00EE2D88">
              <w:rPr>
                <w:rFonts w:eastAsia="Times New Roman"/>
                <w:b/>
                <w:bCs/>
                <w:i/>
                <w:iCs/>
                <w:color w:val="000000"/>
                <w:szCs w:val="22"/>
                <w:lang w:eastAsia="en-AU" w:bidi="th-TH"/>
              </w:rPr>
              <w:t> </w:t>
            </w:r>
          </w:p>
        </w:tc>
        <w:tc>
          <w:tcPr>
            <w:tcW w:w="562" w:type="pct"/>
            <w:tcBorders>
              <w:top w:val="nil"/>
              <w:left w:val="nil"/>
              <w:bottom w:val="nil"/>
              <w:right w:val="dotted" w:sz="4" w:space="0" w:color="auto"/>
            </w:tcBorders>
            <w:noWrap/>
            <w:hideMark/>
          </w:tcPr>
          <w:p w14:paraId="5ADC7847"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r w:rsidRPr="00EE2D88">
              <w:rPr>
                <w:rFonts w:eastAsia="Times New Roman"/>
                <w:b/>
                <w:bCs/>
                <w:i/>
                <w:iCs/>
                <w:color w:val="000000"/>
                <w:szCs w:val="22"/>
                <w:lang w:eastAsia="en-AU" w:bidi="th-TH"/>
              </w:rPr>
              <w:t> </w:t>
            </w:r>
          </w:p>
        </w:tc>
        <w:tc>
          <w:tcPr>
            <w:tcW w:w="562" w:type="pct"/>
            <w:tcBorders>
              <w:top w:val="nil"/>
              <w:left w:val="dotted" w:sz="4" w:space="0" w:color="auto"/>
              <w:bottom w:val="nil"/>
              <w:right w:val="single" w:sz="4" w:space="0" w:color="auto"/>
            </w:tcBorders>
            <w:noWrap/>
            <w:hideMark/>
          </w:tcPr>
          <w:p w14:paraId="56FF2C8F"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r w:rsidRPr="00EE2D88">
              <w:rPr>
                <w:rFonts w:eastAsia="Times New Roman"/>
                <w:b/>
                <w:bCs/>
                <w:i/>
                <w:iCs/>
                <w:color w:val="000000"/>
                <w:szCs w:val="22"/>
                <w:lang w:eastAsia="en-AU" w:bidi="th-TH"/>
              </w:rPr>
              <w:t> </w:t>
            </w:r>
          </w:p>
        </w:tc>
        <w:tc>
          <w:tcPr>
            <w:tcW w:w="562" w:type="pct"/>
            <w:tcBorders>
              <w:top w:val="nil"/>
              <w:left w:val="single" w:sz="4" w:space="0" w:color="auto"/>
              <w:bottom w:val="nil"/>
              <w:right w:val="nil"/>
            </w:tcBorders>
          </w:tcPr>
          <w:p w14:paraId="165D51F4"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p>
        </w:tc>
      </w:tr>
      <w:tr w:rsidR="007D30B1" w:rsidRPr="007D30B1" w14:paraId="2E5C542A" w14:textId="77777777" w:rsidTr="008631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nil"/>
              <w:right w:val="nil"/>
            </w:tcBorders>
            <w:noWrap/>
            <w:hideMark/>
          </w:tcPr>
          <w:p w14:paraId="2FCD15D0" w14:textId="75EA9A6B" w:rsidR="007D30B1" w:rsidRPr="00EE2D88" w:rsidRDefault="007D30B1" w:rsidP="00EE2D88">
            <w:pPr>
              <w:spacing w:before="0" w:after="0"/>
              <w:ind w:left="0"/>
              <w:rPr>
                <w:rFonts w:eastAsia="Times New Roman"/>
                <w:color w:val="000000"/>
                <w:szCs w:val="22"/>
                <w:lang w:eastAsia="en-AU" w:bidi="th-TH"/>
              </w:rPr>
            </w:pPr>
            <w:r w:rsidRPr="00EE2D88">
              <w:rPr>
                <w:rFonts w:eastAsia="Times New Roman"/>
                <w:bCs/>
                <w:color w:val="000000"/>
                <w:szCs w:val="22"/>
                <w:lang w:eastAsia="en-AU" w:bidi="th-TH"/>
              </w:rPr>
              <w:t xml:space="preserve">Baseline </w:t>
            </w:r>
            <w:r w:rsidR="00EB5608">
              <w:rPr>
                <w:rFonts w:eastAsia="Times New Roman"/>
                <w:bCs/>
                <w:color w:val="000000"/>
                <w:szCs w:val="22"/>
                <w:lang w:eastAsia="en-AU" w:bidi="th-TH"/>
              </w:rPr>
              <w:t>p</w:t>
            </w:r>
            <w:r w:rsidRPr="00EE2D88">
              <w:rPr>
                <w:rFonts w:eastAsia="Times New Roman"/>
                <w:bCs/>
                <w:color w:val="000000"/>
                <w:szCs w:val="22"/>
                <w:lang w:eastAsia="en-AU" w:bidi="th-TH"/>
              </w:rPr>
              <w:t>rojection</w:t>
            </w:r>
          </w:p>
        </w:tc>
        <w:tc>
          <w:tcPr>
            <w:tcW w:w="561" w:type="pct"/>
            <w:tcBorders>
              <w:top w:val="nil"/>
              <w:left w:val="nil"/>
              <w:bottom w:val="nil"/>
              <w:right w:val="nil"/>
            </w:tcBorders>
            <w:noWrap/>
            <w:hideMark/>
          </w:tcPr>
          <w:p w14:paraId="69CA94DE"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33,976</w:t>
            </w:r>
          </w:p>
        </w:tc>
        <w:tc>
          <w:tcPr>
            <w:tcW w:w="563" w:type="pct"/>
            <w:tcBorders>
              <w:top w:val="nil"/>
              <w:left w:val="nil"/>
              <w:bottom w:val="nil"/>
              <w:right w:val="nil"/>
            </w:tcBorders>
            <w:noWrap/>
            <w:hideMark/>
          </w:tcPr>
          <w:p w14:paraId="1BBDED5B"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38,133</w:t>
            </w:r>
          </w:p>
        </w:tc>
        <w:tc>
          <w:tcPr>
            <w:tcW w:w="562" w:type="pct"/>
            <w:tcBorders>
              <w:top w:val="nil"/>
              <w:left w:val="nil"/>
              <w:bottom w:val="nil"/>
              <w:right w:val="nil"/>
            </w:tcBorders>
            <w:noWrap/>
            <w:hideMark/>
          </w:tcPr>
          <w:p w14:paraId="60477454"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44,116</w:t>
            </w:r>
          </w:p>
        </w:tc>
        <w:tc>
          <w:tcPr>
            <w:tcW w:w="562" w:type="pct"/>
            <w:tcBorders>
              <w:top w:val="nil"/>
              <w:left w:val="nil"/>
              <w:bottom w:val="nil"/>
              <w:right w:val="dotted" w:sz="4" w:space="0" w:color="auto"/>
            </w:tcBorders>
            <w:noWrap/>
            <w:hideMark/>
          </w:tcPr>
          <w:p w14:paraId="3046A42A"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50,344</w:t>
            </w:r>
          </w:p>
        </w:tc>
        <w:tc>
          <w:tcPr>
            <w:tcW w:w="562" w:type="pct"/>
            <w:tcBorders>
              <w:top w:val="nil"/>
              <w:left w:val="dotted" w:sz="4" w:space="0" w:color="auto"/>
              <w:bottom w:val="nil"/>
              <w:right w:val="single" w:sz="4" w:space="0" w:color="auto"/>
            </w:tcBorders>
            <w:noWrap/>
            <w:hideMark/>
          </w:tcPr>
          <w:p w14:paraId="2114BD72"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89,403</w:t>
            </w:r>
          </w:p>
        </w:tc>
        <w:tc>
          <w:tcPr>
            <w:tcW w:w="562" w:type="pct"/>
            <w:tcBorders>
              <w:top w:val="nil"/>
              <w:left w:val="single" w:sz="4" w:space="0" w:color="auto"/>
              <w:bottom w:val="nil"/>
              <w:right w:val="nil"/>
            </w:tcBorders>
            <w:hideMark/>
          </w:tcPr>
          <w:p w14:paraId="33B47E41"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DengXian"/>
                <w:color w:val="000000"/>
                <w:szCs w:val="22"/>
                <w:lang w:bidi="th-TH"/>
              </w:rPr>
            </w:pPr>
            <w:r w:rsidRPr="00EE2D88">
              <w:rPr>
                <w:rFonts w:eastAsia="DengXian" w:cs="Cordia New"/>
                <w:szCs w:val="22"/>
                <w:lang w:bidi="th-TH"/>
              </w:rPr>
              <w:t>166,569</w:t>
            </w:r>
          </w:p>
        </w:tc>
      </w:tr>
      <w:tr w:rsidR="00FD78B3" w:rsidRPr="007D30B1" w14:paraId="39EC0A78" w14:textId="77777777" w:rsidTr="00863165">
        <w:trPr>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nil"/>
              <w:right w:val="nil"/>
            </w:tcBorders>
            <w:noWrap/>
            <w:hideMark/>
          </w:tcPr>
          <w:p w14:paraId="27158CDA" w14:textId="128086CF" w:rsidR="007D30B1" w:rsidRPr="00EE2D88" w:rsidRDefault="007D30B1" w:rsidP="00EE2D88">
            <w:pPr>
              <w:spacing w:before="0" w:after="0"/>
              <w:ind w:left="0"/>
              <w:rPr>
                <w:rFonts w:eastAsia="Times New Roman"/>
                <w:color w:val="000000"/>
                <w:szCs w:val="22"/>
                <w:lang w:eastAsia="en-AU" w:bidi="th-TH"/>
              </w:rPr>
            </w:pPr>
            <w:r w:rsidRPr="00EE2D88">
              <w:rPr>
                <w:rFonts w:eastAsia="Times New Roman"/>
                <w:color w:val="000000"/>
                <w:szCs w:val="22"/>
                <w:lang w:eastAsia="en-AU" w:bidi="th-TH"/>
              </w:rPr>
              <w:t>5</w:t>
            </w:r>
            <w:r w:rsidRPr="00EE2D88">
              <w:rPr>
                <w:rFonts w:eastAsia="Times New Roman"/>
                <w:color w:val="000000"/>
                <w:szCs w:val="22"/>
                <w:vertAlign w:val="superscript"/>
                <w:lang w:eastAsia="en-AU" w:bidi="th-TH"/>
              </w:rPr>
              <w:t>th</w:t>
            </w:r>
            <w:r w:rsidRPr="00EE2D88">
              <w:rPr>
                <w:rFonts w:eastAsia="Times New Roman"/>
                <w:color w:val="000000"/>
                <w:szCs w:val="22"/>
                <w:lang w:eastAsia="en-AU" w:bidi="th-TH"/>
              </w:rPr>
              <w:t xml:space="preserve"> </w:t>
            </w:r>
            <w:r w:rsidR="00071EE0">
              <w:rPr>
                <w:rFonts w:eastAsia="Times New Roman"/>
                <w:color w:val="000000"/>
                <w:szCs w:val="22"/>
                <w:lang w:eastAsia="en-AU" w:bidi="th-TH"/>
              </w:rPr>
              <w:t>p</w:t>
            </w:r>
            <w:r w:rsidRPr="00EE2D88">
              <w:rPr>
                <w:rFonts w:eastAsia="Times New Roman"/>
                <w:color w:val="000000"/>
                <w:szCs w:val="22"/>
                <w:lang w:eastAsia="en-AU" w:bidi="th-TH"/>
              </w:rPr>
              <w:t xml:space="preserve">ercentile </w:t>
            </w:r>
            <w:r w:rsidR="00EB5608">
              <w:rPr>
                <w:rFonts w:eastAsia="Times New Roman"/>
                <w:color w:val="000000"/>
                <w:szCs w:val="22"/>
                <w:lang w:eastAsia="en-AU" w:bidi="th-TH"/>
              </w:rPr>
              <w:t>p</w:t>
            </w:r>
            <w:r w:rsidRPr="00EE2D88">
              <w:rPr>
                <w:rFonts w:eastAsia="Times New Roman"/>
                <w:color w:val="000000"/>
                <w:szCs w:val="22"/>
                <w:lang w:eastAsia="en-AU" w:bidi="th-TH"/>
              </w:rPr>
              <w:t xml:space="preserve">rojection </w:t>
            </w:r>
          </w:p>
        </w:tc>
        <w:tc>
          <w:tcPr>
            <w:tcW w:w="561" w:type="pct"/>
            <w:tcBorders>
              <w:top w:val="nil"/>
              <w:left w:val="nil"/>
              <w:bottom w:val="nil"/>
              <w:right w:val="nil"/>
            </w:tcBorders>
            <w:noWrap/>
            <w:hideMark/>
          </w:tcPr>
          <w:p w14:paraId="00C94684"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31,844</w:t>
            </w:r>
          </w:p>
        </w:tc>
        <w:tc>
          <w:tcPr>
            <w:tcW w:w="563" w:type="pct"/>
            <w:tcBorders>
              <w:top w:val="nil"/>
              <w:left w:val="nil"/>
              <w:bottom w:val="nil"/>
              <w:right w:val="nil"/>
            </w:tcBorders>
            <w:noWrap/>
            <w:hideMark/>
          </w:tcPr>
          <w:p w14:paraId="44A2D5B9"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35,224</w:t>
            </w:r>
          </w:p>
        </w:tc>
        <w:tc>
          <w:tcPr>
            <w:tcW w:w="562" w:type="pct"/>
            <w:tcBorders>
              <w:top w:val="nil"/>
              <w:left w:val="nil"/>
              <w:bottom w:val="nil"/>
              <w:right w:val="nil"/>
            </w:tcBorders>
            <w:noWrap/>
            <w:hideMark/>
          </w:tcPr>
          <w:p w14:paraId="35EDF4A6"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40,069</w:t>
            </w:r>
          </w:p>
        </w:tc>
        <w:tc>
          <w:tcPr>
            <w:tcW w:w="562" w:type="pct"/>
            <w:tcBorders>
              <w:top w:val="nil"/>
              <w:left w:val="nil"/>
              <w:bottom w:val="nil"/>
              <w:right w:val="dotted" w:sz="4" w:space="0" w:color="auto"/>
            </w:tcBorders>
            <w:noWrap/>
            <w:hideMark/>
          </w:tcPr>
          <w:p w14:paraId="04CF4C77"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45,108</w:t>
            </w:r>
          </w:p>
        </w:tc>
        <w:tc>
          <w:tcPr>
            <w:tcW w:w="562" w:type="pct"/>
            <w:tcBorders>
              <w:top w:val="nil"/>
              <w:left w:val="dotted" w:sz="4" w:space="0" w:color="auto"/>
              <w:bottom w:val="nil"/>
              <w:right w:val="single" w:sz="4" w:space="0" w:color="auto"/>
            </w:tcBorders>
            <w:noWrap/>
            <w:hideMark/>
          </w:tcPr>
          <w:p w14:paraId="1FB521A3"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72,700</w:t>
            </w:r>
          </w:p>
        </w:tc>
        <w:tc>
          <w:tcPr>
            <w:tcW w:w="562" w:type="pct"/>
            <w:tcBorders>
              <w:top w:val="nil"/>
              <w:left w:val="single" w:sz="4" w:space="0" w:color="auto"/>
              <w:bottom w:val="nil"/>
              <w:right w:val="nil"/>
            </w:tcBorders>
            <w:hideMark/>
          </w:tcPr>
          <w:p w14:paraId="02D82ABB"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DengXian"/>
                <w:color w:val="000000"/>
                <w:szCs w:val="22"/>
                <w:lang w:bidi="th-TH"/>
              </w:rPr>
            </w:pPr>
            <w:r w:rsidRPr="00EE2D88">
              <w:rPr>
                <w:rFonts w:eastAsia="DengXian" w:cs="Cordia New"/>
                <w:szCs w:val="22"/>
                <w:lang w:bidi="th-TH"/>
              </w:rPr>
              <w:t>152,246</w:t>
            </w:r>
          </w:p>
        </w:tc>
      </w:tr>
      <w:tr w:rsidR="007D30B1" w:rsidRPr="007D30B1" w14:paraId="50E8563E" w14:textId="77777777" w:rsidTr="008631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single" w:sz="4" w:space="0" w:color="auto"/>
              <w:right w:val="nil"/>
            </w:tcBorders>
            <w:shd w:val="clear" w:color="auto" w:fill="BFBFBF" w:themeFill="background1" w:themeFillShade="BF"/>
            <w:noWrap/>
            <w:hideMark/>
          </w:tcPr>
          <w:p w14:paraId="2F5A82D3" w14:textId="4EBA39A4" w:rsidR="007D30B1" w:rsidRPr="00EE2D88" w:rsidRDefault="007D30B1" w:rsidP="00EE2D88">
            <w:pPr>
              <w:spacing w:before="0" w:after="0"/>
              <w:ind w:left="0"/>
              <w:rPr>
                <w:rFonts w:eastAsia="Times New Roman"/>
                <w:bCs/>
                <w:color w:val="000000"/>
                <w:szCs w:val="22"/>
                <w:lang w:eastAsia="en-AU" w:bidi="th-TH"/>
              </w:rPr>
            </w:pPr>
            <w:r w:rsidRPr="00EE2D88">
              <w:rPr>
                <w:rFonts w:eastAsia="DengXian" w:cs="Cordia New"/>
                <w:szCs w:val="22"/>
                <w:lang w:bidi="th-TH"/>
              </w:rPr>
              <w:t>95</w:t>
            </w:r>
            <w:r w:rsidRPr="00EE2D88">
              <w:rPr>
                <w:rFonts w:eastAsia="DengXian" w:cs="Cordia New"/>
                <w:szCs w:val="22"/>
                <w:vertAlign w:val="superscript"/>
                <w:lang w:bidi="th-TH"/>
              </w:rPr>
              <w:t>th</w:t>
            </w:r>
            <w:r w:rsidRPr="00EE2D88">
              <w:rPr>
                <w:rFonts w:eastAsia="DengXian" w:cs="Cordia New"/>
                <w:szCs w:val="22"/>
                <w:lang w:bidi="th-TH"/>
              </w:rPr>
              <w:t xml:space="preserve"> </w:t>
            </w:r>
            <w:r w:rsidR="00071EE0">
              <w:rPr>
                <w:rFonts w:eastAsia="DengXian" w:cs="Cordia New"/>
                <w:szCs w:val="22"/>
                <w:lang w:bidi="th-TH"/>
              </w:rPr>
              <w:t>p</w:t>
            </w:r>
            <w:r w:rsidRPr="00EE2D88">
              <w:rPr>
                <w:rFonts w:eastAsia="DengXian" w:cs="Cordia New"/>
                <w:szCs w:val="22"/>
                <w:lang w:bidi="th-TH"/>
              </w:rPr>
              <w:t xml:space="preserve">ercentile </w:t>
            </w:r>
            <w:r w:rsidR="00EB5608">
              <w:rPr>
                <w:rFonts w:eastAsia="DengXian" w:cs="Cordia New"/>
                <w:szCs w:val="22"/>
                <w:lang w:bidi="th-TH"/>
              </w:rPr>
              <w:t>p</w:t>
            </w:r>
            <w:r w:rsidRPr="00EE2D88">
              <w:rPr>
                <w:rFonts w:eastAsia="DengXian" w:cs="Cordia New"/>
                <w:szCs w:val="22"/>
                <w:lang w:bidi="th-TH"/>
              </w:rPr>
              <w:t xml:space="preserve">rojection </w:t>
            </w:r>
          </w:p>
        </w:tc>
        <w:tc>
          <w:tcPr>
            <w:tcW w:w="561" w:type="pct"/>
            <w:tcBorders>
              <w:top w:val="nil"/>
              <w:left w:val="nil"/>
              <w:bottom w:val="single" w:sz="4" w:space="0" w:color="auto"/>
              <w:right w:val="nil"/>
            </w:tcBorders>
            <w:shd w:val="clear" w:color="auto" w:fill="BFBFBF" w:themeFill="background1" w:themeFillShade="BF"/>
            <w:noWrap/>
            <w:hideMark/>
          </w:tcPr>
          <w:p w14:paraId="3E59B258"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Cs/>
                <w:color w:val="000000"/>
                <w:szCs w:val="22"/>
                <w:lang w:eastAsia="en-AU" w:bidi="th-TH"/>
              </w:rPr>
            </w:pPr>
            <w:r w:rsidRPr="00EE2D88">
              <w:rPr>
                <w:rFonts w:eastAsia="DengXian" w:cs="Cordia New"/>
                <w:szCs w:val="22"/>
                <w:lang w:bidi="th-TH"/>
              </w:rPr>
              <w:t>37,439</w:t>
            </w:r>
          </w:p>
        </w:tc>
        <w:tc>
          <w:tcPr>
            <w:tcW w:w="563" w:type="pct"/>
            <w:tcBorders>
              <w:top w:val="nil"/>
              <w:left w:val="nil"/>
              <w:bottom w:val="single" w:sz="4" w:space="0" w:color="auto"/>
              <w:right w:val="nil"/>
            </w:tcBorders>
            <w:shd w:val="clear" w:color="auto" w:fill="BFBFBF" w:themeFill="background1" w:themeFillShade="BF"/>
            <w:noWrap/>
            <w:hideMark/>
          </w:tcPr>
          <w:p w14:paraId="121B9DB5"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Cs/>
                <w:color w:val="000000"/>
                <w:szCs w:val="22"/>
                <w:lang w:eastAsia="en-AU" w:bidi="th-TH"/>
              </w:rPr>
            </w:pPr>
            <w:r w:rsidRPr="00EE2D88">
              <w:rPr>
                <w:rFonts w:eastAsia="DengXian" w:cs="Cordia New"/>
                <w:szCs w:val="22"/>
                <w:lang w:bidi="th-TH"/>
              </w:rPr>
              <w:t>43,844</w:t>
            </w:r>
          </w:p>
        </w:tc>
        <w:tc>
          <w:tcPr>
            <w:tcW w:w="562" w:type="pct"/>
            <w:tcBorders>
              <w:top w:val="nil"/>
              <w:left w:val="nil"/>
              <w:bottom w:val="single" w:sz="4" w:space="0" w:color="auto"/>
              <w:right w:val="nil"/>
            </w:tcBorders>
            <w:shd w:val="clear" w:color="auto" w:fill="BFBFBF" w:themeFill="background1" w:themeFillShade="BF"/>
            <w:noWrap/>
            <w:hideMark/>
          </w:tcPr>
          <w:p w14:paraId="487DE406"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Cs/>
                <w:color w:val="000000"/>
                <w:szCs w:val="22"/>
                <w:lang w:eastAsia="en-AU" w:bidi="th-TH"/>
              </w:rPr>
            </w:pPr>
            <w:r w:rsidRPr="00EE2D88">
              <w:rPr>
                <w:rFonts w:eastAsia="DengXian" w:cs="Cordia New"/>
                <w:szCs w:val="22"/>
                <w:lang w:bidi="th-TH"/>
              </w:rPr>
              <w:t>51,853</w:t>
            </w:r>
          </w:p>
        </w:tc>
        <w:tc>
          <w:tcPr>
            <w:tcW w:w="562" w:type="pct"/>
            <w:tcBorders>
              <w:top w:val="nil"/>
              <w:left w:val="nil"/>
              <w:bottom w:val="single" w:sz="4" w:space="0" w:color="auto"/>
              <w:right w:val="dotted" w:sz="4" w:space="0" w:color="auto"/>
            </w:tcBorders>
            <w:shd w:val="clear" w:color="auto" w:fill="BFBFBF" w:themeFill="background1" w:themeFillShade="BF"/>
            <w:noWrap/>
            <w:hideMark/>
          </w:tcPr>
          <w:p w14:paraId="20A187A8"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Cs/>
                <w:color w:val="000000"/>
                <w:szCs w:val="22"/>
                <w:lang w:eastAsia="en-AU" w:bidi="th-TH"/>
              </w:rPr>
            </w:pPr>
            <w:r w:rsidRPr="00EE2D88">
              <w:rPr>
                <w:rFonts w:eastAsia="DengXian" w:cs="Cordia New"/>
                <w:szCs w:val="22"/>
                <w:lang w:bidi="th-TH"/>
              </w:rPr>
              <w:t>59,926</w:t>
            </w:r>
          </w:p>
        </w:tc>
        <w:tc>
          <w:tcPr>
            <w:tcW w:w="562" w:type="pct"/>
            <w:tcBorders>
              <w:top w:val="nil"/>
              <w:left w:val="dotted" w:sz="4" w:space="0" w:color="auto"/>
              <w:bottom w:val="single" w:sz="4" w:space="0" w:color="auto"/>
              <w:right w:val="single" w:sz="4" w:space="0" w:color="auto"/>
            </w:tcBorders>
            <w:shd w:val="clear" w:color="auto" w:fill="BFBFBF" w:themeFill="background1" w:themeFillShade="BF"/>
            <w:noWrap/>
            <w:hideMark/>
          </w:tcPr>
          <w:p w14:paraId="6FDE0AD3"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Cs/>
                <w:color w:val="000000"/>
                <w:szCs w:val="22"/>
                <w:lang w:eastAsia="en-AU" w:bidi="th-TH"/>
              </w:rPr>
            </w:pPr>
            <w:r w:rsidRPr="00EE2D88">
              <w:rPr>
                <w:rFonts w:eastAsia="DengXian" w:cs="Cordia New"/>
                <w:szCs w:val="22"/>
                <w:lang w:bidi="th-TH"/>
              </w:rPr>
              <w:t>114,973</w:t>
            </w:r>
          </w:p>
        </w:tc>
        <w:tc>
          <w:tcPr>
            <w:tcW w:w="562" w:type="pct"/>
            <w:tcBorders>
              <w:top w:val="nil"/>
              <w:left w:val="single" w:sz="4" w:space="0" w:color="auto"/>
              <w:bottom w:val="single" w:sz="4" w:space="0" w:color="auto"/>
              <w:right w:val="nil"/>
            </w:tcBorders>
            <w:shd w:val="clear" w:color="auto" w:fill="BFBFBF" w:themeFill="background1" w:themeFillShade="BF"/>
            <w:hideMark/>
          </w:tcPr>
          <w:p w14:paraId="345235D7"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193,061</w:t>
            </w:r>
          </w:p>
        </w:tc>
      </w:tr>
      <w:tr w:rsidR="00FD78B3" w:rsidRPr="007D30B1" w14:paraId="7943B7FF" w14:textId="77777777" w:rsidTr="00863165">
        <w:trPr>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single" w:sz="4" w:space="0" w:color="auto"/>
              <w:left w:val="nil"/>
              <w:bottom w:val="nil"/>
              <w:right w:val="nil"/>
            </w:tcBorders>
            <w:noWrap/>
            <w:hideMark/>
          </w:tcPr>
          <w:p w14:paraId="7C4159E4" w14:textId="77777777" w:rsidR="007D30B1" w:rsidRPr="00EE2D88" w:rsidRDefault="007D30B1" w:rsidP="00EE2D88">
            <w:pPr>
              <w:spacing w:before="0" w:after="0"/>
              <w:ind w:left="0"/>
              <w:rPr>
                <w:rFonts w:eastAsia="Times New Roman"/>
                <w:b/>
                <w:bCs/>
                <w:color w:val="000000"/>
                <w:szCs w:val="22"/>
                <w:lang w:eastAsia="en-AU" w:bidi="th-TH"/>
              </w:rPr>
            </w:pPr>
            <w:r w:rsidRPr="00EE2D88">
              <w:rPr>
                <w:rFonts w:eastAsia="Times New Roman"/>
                <w:b/>
                <w:bCs/>
                <w:color w:val="000000"/>
                <w:szCs w:val="22"/>
                <w:lang w:eastAsia="en-AU" w:bidi="th-TH"/>
              </w:rPr>
              <w:t xml:space="preserve">% </w:t>
            </w:r>
            <w:proofErr w:type="gramStart"/>
            <w:r w:rsidRPr="00EE2D88">
              <w:rPr>
                <w:rFonts w:eastAsia="Times New Roman"/>
                <w:b/>
                <w:bCs/>
                <w:color w:val="000000"/>
                <w:szCs w:val="22"/>
                <w:lang w:eastAsia="en-AU" w:bidi="th-TH"/>
              </w:rPr>
              <w:t>of</w:t>
            </w:r>
            <w:proofErr w:type="gramEnd"/>
            <w:r w:rsidRPr="00EE2D88">
              <w:rPr>
                <w:rFonts w:eastAsia="Times New Roman"/>
                <w:b/>
                <w:bCs/>
                <w:color w:val="000000"/>
                <w:szCs w:val="22"/>
                <w:lang w:eastAsia="en-AU" w:bidi="th-TH"/>
              </w:rPr>
              <w:t xml:space="preserve"> GDP</w:t>
            </w:r>
          </w:p>
        </w:tc>
        <w:tc>
          <w:tcPr>
            <w:tcW w:w="561" w:type="pct"/>
            <w:tcBorders>
              <w:top w:val="single" w:sz="4" w:space="0" w:color="auto"/>
              <w:left w:val="nil"/>
              <w:bottom w:val="nil"/>
              <w:right w:val="nil"/>
            </w:tcBorders>
            <w:noWrap/>
            <w:hideMark/>
          </w:tcPr>
          <w:p w14:paraId="72228A11" w14:textId="77777777" w:rsidR="007D30B1" w:rsidRPr="00EE2D88" w:rsidRDefault="007D30B1" w:rsidP="007D30B1">
            <w:pPr>
              <w:spacing w:before="0" w:after="200" w:line="288" w:lineRule="auto"/>
              <w:ind w:left="0"/>
              <w:cnfStyle w:val="000000000000" w:firstRow="0" w:lastRow="0" w:firstColumn="0" w:lastColumn="0" w:oddVBand="0" w:evenVBand="0" w:oddHBand="0" w:evenHBand="0" w:firstRowFirstColumn="0" w:firstRowLastColumn="0" w:lastRowFirstColumn="0" w:lastRowLastColumn="0"/>
              <w:rPr>
                <w:rFonts w:eastAsia="Times New Roman"/>
                <w:b/>
                <w:bCs/>
                <w:color w:val="000000"/>
                <w:szCs w:val="22"/>
                <w:lang w:eastAsia="en-AU" w:bidi="th-TH"/>
              </w:rPr>
            </w:pPr>
          </w:p>
        </w:tc>
        <w:tc>
          <w:tcPr>
            <w:tcW w:w="563" w:type="pct"/>
            <w:tcBorders>
              <w:top w:val="single" w:sz="4" w:space="0" w:color="auto"/>
              <w:left w:val="nil"/>
              <w:bottom w:val="nil"/>
              <w:right w:val="nil"/>
            </w:tcBorders>
            <w:noWrap/>
            <w:hideMark/>
          </w:tcPr>
          <w:p w14:paraId="3217B353"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ordia New"/>
                <w:szCs w:val="22"/>
                <w:lang w:eastAsia="zh-CN" w:bidi="th-TH"/>
              </w:rPr>
            </w:pPr>
          </w:p>
        </w:tc>
        <w:tc>
          <w:tcPr>
            <w:tcW w:w="562" w:type="pct"/>
            <w:tcBorders>
              <w:top w:val="single" w:sz="4" w:space="0" w:color="auto"/>
              <w:left w:val="nil"/>
              <w:bottom w:val="nil"/>
              <w:right w:val="nil"/>
            </w:tcBorders>
            <w:noWrap/>
            <w:hideMark/>
          </w:tcPr>
          <w:p w14:paraId="52474873"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ordia New"/>
                <w:szCs w:val="22"/>
                <w:lang w:eastAsia="zh-CN" w:bidi="th-TH"/>
              </w:rPr>
            </w:pPr>
          </w:p>
        </w:tc>
        <w:tc>
          <w:tcPr>
            <w:tcW w:w="562" w:type="pct"/>
            <w:tcBorders>
              <w:top w:val="single" w:sz="4" w:space="0" w:color="auto"/>
              <w:left w:val="nil"/>
              <w:bottom w:val="nil"/>
              <w:right w:val="dotted" w:sz="4" w:space="0" w:color="auto"/>
            </w:tcBorders>
            <w:noWrap/>
            <w:hideMark/>
          </w:tcPr>
          <w:p w14:paraId="13B340B1"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ordia New"/>
                <w:szCs w:val="22"/>
                <w:lang w:eastAsia="zh-CN" w:bidi="th-TH"/>
              </w:rPr>
            </w:pPr>
          </w:p>
        </w:tc>
        <w:tc>
          <w:tcPr>
            <w:tcW w:w="562" w:type="pct"/>
            <w:tcBorders>
              <w:top w:val="single" w:sz="4" w:space="0" w:color="auto"/>
              <w:left w:val="dotted" w:sz="4" w:space="0" w:color="auto"/>
              <w:bottom w:val="nil"/>
              <w:right w:val="single" w:sz="4" w:space="0" w:color="auto"/>
            </w:tcBorders>
            <w:noWrap/>
            <w:hideMark/>
          </w:tcPr>
          <w:p w14:paraId="5EC582C4"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ascii="Calibri" w:eastAsia="Calibri" w:hAnsi="Calibri" w:cs="Cordia New"/>
                <w:szCs w:val="22"/>
                <w:lang w:eastAsia="zh-CN" w:bidi="th-TH"/>
              </w:rPr>
            </w:pPr>
          </w:p>
        </w:tc>
        <w:tc>
          <w:tcPr>
            <w:tcW w:w="562" w:type="pct"/>
            <w:tcBorders>
              <w:top w:val="single" w:sz="4" w:space="0" w:color="auto"/>
              <w:left w:val="single" w:sz="4" w:space="0" w:color="auto"/>
              <w:bottom w:val="nil"/>
              <w:right w:val="nil"/>
            </w:tcBorders>
          </w:tcPr>
          <w:p w14:paraId="5A368972"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b/>
                <w:bCs/>
                <w:i/>
                <w:iCs/>
                <w:color w:val="000000"/>
                <w:szCs w:val="22"/>
                <w:lang w:eastAsia="en-AU" w:bidi="th-TH"/>
              </w:rPr>
            </w:pPr>
          </w:p>
        </w:tc>
      </w:tr>
      <w:tr w:rsidR="007D30B1" w:rsidRPr="007D30B1" w14:paraId="1D73F232" w14:textId="77777777" w:rsidTr="008631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nil"/>
              <w:right w:val="nil"/>
            </w:tcBorders>
            <w:noWrap/>
            <w:hideMark/>
          </w:tcPr>
          <w:p w14:paraId="35F6ACD2" w14:textId="3AE10B85" w:rsidR="007D30B1" w:rsidRPr="00EE2D88" w:rsidRDefault="007D30B1" w:rsidP="00EE2D88">
            <w:pPr>
              <w:spacing w:before="0" w:after="0"/>
              <w:ind w:left="0"/>
              <w:rPr>
                <w:rFonts w:eastAsia="Times New Roman"/>
                <w:color w:val="000000"/>
                <w:szCs w:val="22"/>
                <w:lang w:eastAsia="en-AU" w:bidi="th-TH"/>
              </w:rPr>
            </w:pPr>
            <w:r w:rsidRPr="00EE2D88">
              <w:rPr>
                <w:rFonts w:eastAsia="Times New Roman"/>
                <w:bCs/>
                <w:color w:val="000000"/>
                <w:szCs w:val="22"/>
                <w:lang w:eastAsia="en-AU" w:bidi="th-TH"/>
              </w:rPr>
              <w:t xml:space="preserve">Baseline </w:t>
            </w:r>
            <w:r w:rsidR="00EB5608">
              <w:rPr>
                <w:rFonts w:eastAsia="Times New Roman"/>
                <w:bCs/>
                <w:color w:val="000000"/>
                <w:szCs w:val="22"/>
                <w:lang w:eastAsia="en-AU" w:bidi="th-TH"/>
              </w:rPr>
              <w:t>p</w:t>
            </w:r>
            <w:r w:rsidRPr="00EE2D88">
              <w:rPr>
                <w:rFonts w:eastAsia="Times New Roman"/>
                <w:bCs/>
                <w:color w:val="000000"/>
                <w:szCs w:val="22"/>
                <w:lang w:eastAsia="en-AU" w:bidi="th-TH"/>
              </w:rPr>
              <w:t>rojection</w:t>
            </w:r>
          </w:p>
        </w:tc>
        <w:tc>
          <w:tcPr>
            <w:tcW w:w="561" w:type="pct"/>
            <w:tcBorders>
              <w:top w:val="nil"/>
              <w:left w:val="nil"/>
              <w:bottom w:val="nil"/>
              <w:right w:val="nil"/>
            </w:tcBorders>
            <w:noWrap/>
            <w:hideMark/>
          </w:tcPr>
          <w:p w14:paraId="5350BF71"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1.48%</w:t>
            </w:r>
          </w:p>
        </w:tc>
        <w:tc>
          <w:tcPr>
            <w:tcW w:w="563" w:type="pct"/>
            <w:tcBorders>
              <w:top w:val="nil"/>
              <w:left w:val="nil"/>
              <w:bottom w:val="nil"/>
              <w:right w:val="nil"/>
            </w:tcBorders>
            <w:noWrap/>
            <w:hideMark/>
          </w:tcPr>
          <w:p w14:paraId="5BCD3302"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1.61%</w:t>
            </w:r>
          </w:p>
        </w:tc>
        <w:tc>
          <w:tcPr>
            <w:tcW w:w="562" w:type="pct"/>
            <w:tcBorders>
              <w:top w:val="nil"/>
              <w:left w:val="nil"/>
              <w:bottom w:val="nil"/>
              <w:right w:val="nil"/>
            </w:tcBorders>
            <w:noWrap/>
            <w:hideMark/>
          </w:tcPr>
          <w:p w14:paraId="6A2AAF36"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1.77%</w:t>
            </w:r>
          </w:p>
        </w:tc>
        <w:tc>
          <w:tcPr>
            <w:tcW w:w="562" w:type="pct"/>
            <w:tcBorders>
              <w:top w:val="nil"/>
              <w:left w:val="nil"/>
              <w:bottom w:val="nil"/>
              <w:right w:val="dotted" w:sz="4" w:space="0" w:color="auto"/>
            </w:tcBorders>
            <w:noWrap/>
            <w:hideMark/>
          </w:tcPr>
          <w:p w14:paraId="0290A282"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1.93%</w:t>
            </w:r>
          </w:p>
        </w:tc>
        <w:tc>
          <w:tcPr>
            <w:tcW w:w="562" w:type="pct"/>
            <w:tcBorders>
              <w:top w:val="nil"/>
              <w:left w:val="dotted" w:sz="4" w:space="0" w:color="auto"/>
              <w:bottom w:val="nil"/>
              <w:right w:val="single" w:sz="4" w:space="0" w:color="auto"/>
            </w:tcBorders>
            <w:noWrap/>
            <w:hideMark/>
          </w:tcPr>
          <w:p w14:paraId="01B6FA52"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2.55%</w:t>
            </w:r>
          </w:p>
        </w:tc>
        <w:tc>
          <w:tcPr>
            <w:tcW w:w="562" w:type="pct"/>
            <w:tcBorders>
              <w:top w:val="nil"/>
              <w:left w:val="single" w:sz="4" w:space="0" w:color="auto"/>
              <w:bottom w:val="nil"/>
              <w:right w:val="nil"/>
            </w:tcBorders>
            <w:hideMark/>
          </w:tcPr>
          <w:p w14:paraId="63ADCBE5"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DengXian"/>
                <w:color w:val="000000"/>
                <w:szCs w:val="22"/>
                <w:lang w:bidi="th-TH"/>
              </w:rPr>
            </w:pPr>
            <w:r w:rsidRPr="00EE2D88">
              <w:rPr>
                <w:rFonts w:eastAsia="DengXian" w:cs="Cordia New"/>
                <w:szCs w:val="22"/>
                <w:lang w:bidi="th-TH"/>
              </w:rPr>
              <w:t>1.70%</w:t>
            </w:r>
          </w:p>
        </w:tc>
      </w:tr>
      <w:tr w:rsidR="00FD78B3" w:rsidRPr="007D30B1" w14:paraId="6E24CCB5" w14:textId="77777777" w:rsidTr="00863165">
        <w:trPr>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nil"/>
              <w:right w:val="nil"/>
            </w:tcBorders>
            <w:noWrap/>
            <w:hideMark/>
          </w:tcPr>
          <w:p w14:paraId="041F2A7B" w14:textId="6480E114" w:rsidR="007D30B1" w:rsidRPr="00EE2D88" w:rsidRDefault="007D30B1" w:rsidP="00EE2D88">
            <w:pPr>
              <w:spacing w:before="0" w:after="0"/>
              <w:ind w:left="0"/>
              <w:rPr>
                <w:rFonts w:eastAsia="Times New Roman"/>
                <w:color w:val="000000"/>
                <w:szCs w:val="22"/>
                <w:lang w:eastAsia="en-AU" w:bidi="th-TH"/>
              </w:rPr>
            </w:pPr>
            <w:r w:rsidRPr="00EE2D88">
              <w:rPr>
                <w:rFonts w:eastAsia="Times New Roman"/>
                <w:color w:val="000000"/>
                <w:szCs w:val="22"/>
                <w:lang w:eastAsia="en-AU" w:bidi="th-TH"/>
              </w:rPr>
              <w:t>5</w:t>
            </w:r>
            <w:r w:rsidRPr="00EE2D88">
              <w:rPr>
                <w:rFonts w:eastAsia="Times New Roman"/>
                <w:color w:val="000000"/>
                <w:szCs w:val="22"/>
                <w:vertAlign w:val="superscript"/>
                <w:lang w:eastAsia="en-AU" w:bidi="th-TH"/>
              </w:rPr>
              <w:t>th</w:t>
            </w:r>
            <w:r w:rsidRPr="00EE2D88">
              <w:rPr>
                <w:rFonts w:eastAsia="Times New Roman"/>
                <w:color w:val="000000"/>
                <w:szCs w:val="22"/>
                <w:lang w:eastAsia="en-AU" w:bidi="th-TH"/>
              </w:rPr>
              <w:t xml:space="preserve"> </w:t>
            </w:r>
            <w:r w:rsidR="00071EE0">
              <w:rPr>
                <w:rFonts w:eastAsia="Times New Roman"/>
                <w:color w:val="000000"/>
                <w:szCs w:val="22"/>
                <w:lang w:eastAsia="en-AU" w:bidi="th-TH"/>
              </w:rPr>
              <w:t>p</w:t>
            </w:r>
            <w:r w:rsidRPr="00EE2D88">
              <w:rPr>
                <w:rFonts w:eastAsia="Times New Roman"/>
                <w:color w:val="000000"/>
                <w:szCs w:val="22"/>
                <w:lang w:eastAsia="en-AU" w:bidi="th-TH"/>
              </w:rPr>
              <w:t xml:space="preserve">ercentile </w:t>
            </w:r>
            <w:r w:rsidR="00EB5608">
              <w:rPr>
                <w:rFonts w:eastAsia="Times New Roman"/>
                <w:color w:val="000000"/>
                <w:szCs w:val="22"/>
                <w:lang w:eastAsia="en-AU" w:bidi="th-TH"/>
              </w:rPr>
              <w:t>p</w:t>
            </w:r>
            <w:r w:rsidRPr="00EE2D88">
              <w:rPr>
                <w:rFonts w:eastAsia="Times New Roman"/>
                <w:color w:val="000000"/>
                <w:szCs w:val="22"/>
                <w:lang w:eastAsia="en-AU" w:bidi="th-TH"/>
              </w:rPr>
              <w:t xml:space="preserve">rojection </w:t>
            </w:r>
          </w:p>
        </w:tc>
        <w:tc>
          <w:tcPr>
            <w:tcW w:w="561" w:type="pct"/>
            <w:tcBorders>
              <w:top w:val="nil"/>
              <w:left w:val="nil"/>
              <w:bottom w:val="nil"/>
              <w:right w:val="nil"/>
            </w:tcBorders>
            <w:noWrap/>
            <w:hideMark/>
          </w:tcPr>
          <w:p w14:paraId="3AAD5AA5"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1.38%</w:t>
            </w:r>
          </w:p>
        </w:tc>
        <w:tc>
          <w:tcPr>
            <w:tcW w:w="563" w:type="pct"/>
            <w:tcBorders>
              <w:top w:val="nil"/>
              <w:left w:val="nil"/>
              <w:bottom w:val="nil"/>
              <w:right w:val="nil"/>
            </w:tcBorders>
            <w:noWrap/>
            <w:hideMark/>
          </w:tcPr>
          <w:p w14:paraId="277B3AFE"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1.49%</w:t>
            </w:r>
          </w:p>
        </w:tc>
        <w:tc>
          <w:tcPr>
            <w:tcW w:w="562" w:type="pct"/>
            <w:tcBorders>
              <w:top w:val="nil"/>
              <w:left w:val="nil"/>
              <w:bottom w:val="nil"/>
              <w:right w:val="nil"/>
            </w:tcBorders>
            <w:noWrap/>
            <w:hideMark/>
          </w:tcPr>
          <w:p w14:paraId="3D92EDF4"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1.61%</w:t>
            </w:r>
          </w:p>
        </w:tc>
        <w:tc>
          <w:tcPr>
            <w:tcW w:w="562" w:type="pct"/>
            <w:tcBorders>
              <w:top w:val="nil"/>
              <w:left w:val="nil"/>
              <w:bottom w:val="nil"/>
              <w:right w:val="dotted" w:sz="4" w:space="0" w:color="auto"/>
            </w:tcBorders>
            <w:noWrap/>
            <w:hideMark/>
          </w:tcPr>
          <w:p w14:paraId="48BF6EA6"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1.73%</w:t>
            </w:r>
          </w:p>
        </w:tc>
        <w:tc>
          <w:tcPr>
            <w:tcW w:w="562" w:type="pct"/>
            <w:tcBorders>
              <w:top w:val="nil"/>
              <w:left w:val="dotted" w:sz="4" w:space="0" w:color="auto"/>
              <w:bottom w:val="nil"/>
              <w:right w:val="single" w:sz="4" w:space="0" w:color="auto"/>
            </w:tcBorders>
            <w:noWrap/>
            <w:hideMark/>
          </w:tcPr>
          <w:p w14:paraId="7304BB4E"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eastAsia="en-AU" w:bidi="th-TH"/>
              </w:rPr>
            </w:pPr>
            <w:r w:rsidRPr="00EE2D88">
              <w:rPr>
                <w:rFonts w:eastAsia="DengXian" w:cs="Cordia New"/>
                <w:szCs w:val="22"/>
                <w:lang w:bidi="th-TH"/>
              </w:rPr>
              <w:t>2.07%</w:t>
            </w:r>
          </w:p>
        </w:tc>
        <w:tc>
          <w:tcPr>
            <w:tcW w:w="562" w:type="pct"/>
            <w:tcBorders>
              <w:top w:val="nil"/>
              <w:left w:val="single" w:sz="4" w:space="0" w:color="auto"/>
              <w:bottom w:val="nil"/>
              <w:right w:val="nil"/>
            </w:tcBorders>
            <w:hideMark/>
          </w:tcPr>
          <w:p w14:paraId="179299D9" w14:textId="77777777" w:rsidR="007D30B1" w:rsidRPr="00EE2D88" w:rsidRDefault="007D30B1" w:rsidP="007D30B1">
            <w:pPr>
              <w:spacing w:before="0" w:after="0"/>
              <w:ind w:left="0"/>
              <w:cnfStyle w:val="000000000000" w:firstRow="0" w:lastRow="0" w:firstColumn="0" w:lastColumn="0" w:oddVBand="0" w:evenVBand="0" w:oddHBand="0" w:evenHBand="0" w:firstRowFirstColumn="0" w:firstRowLastColumn="0" w:lastRowFirstColumn="0" w:lastRowLastColumn="0"/>
              <w:rPr>
                <w:rFonts w:eastAsia="DengXian"/>
                <w:color w:val="000000"/>
                <w:szCs w:val="22"/>
                <w:lang w:bidi="th-TH"/>
              </w:rPr>
            </w:pPr>
            <w:r w:rsidRPr="00EE2D88">
              <w:rPr>
                <w:rFonts w:eastAsia="DengXian" w:cs="Cordia New"/>
                <w:szCs w:val="22"/>
                <w:lang w:bidi="th-TH"/>
              </w:rPr>
              <w:t>1.56%</w:t>
            </w:r>
          </w:p>
        </w:tc>
      </w:tr>
      <w:tr w:rsidR="007D30B1" w:rsidRPr="007D30B1" w14:paraId="6523DD08" w14:textId="77777777" w:rsidTr="00863165">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629" w:type="pct"/>
            <w:tcBorders>
              <w:top w:val="nil"/>
              <w:left w:val="nil"/>
              <w:bottom w:val="single" w:sz="4" w:space="0" w:color="auto"/>
              <w:right w:val="nil"/>
            </w:tcBorders>
            <w:shd w:val="clear" w:color="auto" w:fill="BFBFBF" w:themeFill="background1" w:themeFillShade="BF"/>
            <w:noWrap/>
            <w:hideMark/>
          </w:tcPr>
          <w:p w14:paraId="14CE2269" w14:textId="050CD6F2" w:rsidR="007D30B1" w:rsidRPr="00EE2D88" w:rsidRDefault="007D30B1" w:rsidP="00EE2D88">
            <w:pPr>
              <w:spacing w:before="0" w:after="0"/>
              <w:ind w:left="0"/>
              <w:rPr>
                <w:rFonts w:eastAsia="Times New Roman"/>
                <w:b/>
                <w:bCs/>
                <w:color w:val="000000"/>
                <w:szCs w:val="22"/>
                <w:lang w:eastAsia="en-AU" w:bidi="th-TH"/>
              </w:rPr>
            </w:pPr>
            <w:r w:rsidRPr="00EE2D88">
              <w:rPr>
                <w:rFonts w:eastAsia="DengXian" w:cs="Cordia New"/>
                <w:szCs w:val="22"/>
                <w:lang w:bidi="th-TH"/>
              </w:rPr>
              <w:t>95</w:t>
            </w:r>
            <w:r w:rsidRPr="00EE2D88">
              <w:rPr>
                <w:rFonts w:eastAsia="DengXian" w:cs="Cordia New"/>
                <w:szCs w:val="22"/>
                <w:vertAlign w:val="superscript"/>
                <w:lang w:bidi="th-TH"/>
              </w:rPr>
              <w:t>th</w:t>
            </w:r>
            <w:r w:rsidRPr="00EE2D88">
              <w:rPr>
                <w:rFonts w:eastAsia="DengXian" w:cs="Cordia New"/>
                <w:szCs w:val="22"/>
                <w:lang w:bidi="th-TH"/>
              </w:rPr>
              <w:t xml:space="preserve"> </w:t>
            </w:r>
            <w:r w:rsidR="00071EE0">
              <w:rPr>
                <w:rFonts w:eastAsia="DengXian" w:cs="Cordia New"/>
                <w:szCs w:val="22"/>
                <w:lang w:bidi="th-TH"/>
              </w:rPr>
              <w:t>p</w:t>
            </w:r>
            <w:r w:rsidRPr="00EE2D88">
              <w:rPr>
                <w:rFonts w:eastAsia="DengXian" w:cs="Cordia New"/>
                <w:szCs w:val="22"/>
                <w:lang w:bidi="th-TH"/>
              </w:rPr>
              <w:t xml:space="preserve">ercentile </w:t>
            </w:r>
            <w:r w:rsidR="00EB5608">
              <w:rPr>
                <w:rFonts w:eastAsia="DengXian" w:cs="Cordia New"/>
                <w:szCs w:val="22"/>
                <w:lang w:bidi="th-TH"/>
              </w:rPr>
              <w:t>p</w:t>
            </w:r>
            <w:r w:rsidRPr="00EE2D88">
              <w:rPr>
                <w:rFonts w:eastAsia="DengXian" w:cs="Cordia New"/>
                <w:szCs w:val="22"/>
                <w:lang w:bidi="th-TH"/>
              </w:rPr>
              <w:t xml:space="preserve">rojection </w:t>
            </w:r>
          </w:p>
        </w:tc>
        <w:tc>
          <w:tcPr>
            <w:tcW w:w="561" w:type="pct"/>
            <w:tcBorders>
              <w:top w:val="nil"/>
              <w:left w:val="nil"/>
              <w:bottom w:val="single" w:sz="4" w:space="0" w:color="auto"/>
              <w:right w:val="nil"/>
            </w:tcBorders>
            <w:shd w:val="clear" w:color="auto" w:fill="BFBFBF" w:themeFill="background1" w:themeFillShade="BF"/>
            <w:noWrap/>
            <w:hideMark/>
          </w:tcPr>
          <w:p w14:paraId="430AC3ED"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
                <w:bCs/>
                <w:color w:val="000000"/>
                <w:szCs w:val="22"/>
                <w:lang w:eastAsia="en-AU" w:bidi="th-TH"/>
              </w:rPr>
            </w:pPr>
            <w:r w:rsidRPr="00EE2D88">
              <w:rPr>
                <w:rFonts w:eastAsia="DengXian" w:cs="Cordia New"/>
                <w:szCs w:val="22"/>
                <w:lang w:bidi="th-TH"/>
              </w:rPr>
              <w:t>1.63%</w:t>
            </w:r>
          </w:p>
        </w:tc>
        <w:tc>
          <w:tcPr>
            <w:tcW w:w="563" w:type="pct"/>
            <w:tcBorders>
              <w:top w:val="nil"/>
              <w:left w:val="nil"/>
              <w:bottom w:val="single" w:sz="4" w:space="0" w:color="auto"/>
              <w:right w:val="nil"/>
            </w:tcBorders>
            <w:shd w:val="clear" w:color="auto" w:fill="BFBFBF" w:themeFill="background1" w:themeFillShade="BF"/>
            <w:noWrap/>
            <w:hideMark/>
          </w:tcPr>
          <w:p w14:paraId="0F0B3444"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
                <w:bCs/>
                <w:color w:val="000000"/>
                <w:szCs w:val="22"/>
                <w:lang w:eastAsia="en-AU" w:bidi="th-TH"/>
              </w:rPr>
            </w:pPr>
            <w:r w:rsidRPr="00EE2D88">
              <w:rPr>
                <w:rFonts w:eastAsia="DengXian" w:cs="Cordia New"/>
                <w:szCs w:val="22"/>
                <w:lang w:bidi="th-TH"/>
              </w:rPr>
              <w:t>1.85%</w:t>
            </w:r>
          </w:p>
        </w:tc>
        <w:tc>
          <w:tcPr>
            <w:tcW w:w="562" w:type="pct"/>
            <w:tcBorders>
              <w:top w:val="nil"/>
              <w:left w:val="nil"/>
              <w:bottom w:val="single" w:sz="4" w:space="0" w:color="auto"/>
              <w:right w:val="nil"/>
            </w:tcBorders>
            <w:shd w:val="clear" w:color="auto" w:fill="BFBFBF" w:themeFill="background1" w:themeFillShade="BF"/>
            <w:noWrap/>
            <w:hideMark/>
          </w:tcPr>
          <w:p w14:paraId="3BE0CE06"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
                <w:bCs/>
                <w:color w:val="000000"/>
                <w:szCs w:val="22"/>
                <w:lang w:eastAsia="en-AU" w:bidi="th-TH"/>
              </w:rPr>
            </w:pPr>
            <w:r w:rsidRPr="00EE2D88">
              <w:rPr>
                <w:rFonts w:eastAsia="DengXian" w:cs="Cordia New"/>
                <w:szCs w:val="22"/>
                <w:lang w:bidi="th-TH"/>
              </w:rPr>
              <w:t>2.08%</w:t>
            </w:r>
          </w:p>
        </w:tc>
        <w:tc>
          <w:tcPr>
            <w:tcW w:w="562" w:type="pct"/>
            <w:tcBorders>
              <w:top w:val="nil"/>
              <w:left w:val="nil"/>
              <w:bottom w:val="single" w:sz="4" w:space="0" w:color="auto"/>
              <w:right w:val="dotted" w:sz="4" w:space="0" w:color="auto"/>
            </w:tcBorders>
            <w:shd w:val="clear" w:color="auto" w:fill="BFBFBF" w:themeFill="background1" w:themeFillShade="BF"/>
            <w:noWrap/>
            <w:hideMark/>
          </w:tcPr>
          <w:p w14:paraId="3A4C944C"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
                <w:bCs/>
                <w:color w:val="000000"/>
                <w:szCs w:val="22"/>
                <w:lang w:eastAsia="en-AU" w:bidi="th-TH"/>
              </w:rPr>
            </w:pPr>
            <w:r w:rsidRPr="00EE2D88">
              <w:rPr>
                <w:rFonts w:eastAsia="DengXian" w:cs="Cordia New"/>
                <w:szCs w:val="22"/>
                <w:lang w:bidi="th-TH"/>
              </w:rPr>
              <w:t>2.29%</w:t>
            </w:r>
          </w:p>
        </w:tc>
        <w:tc>
          <w:tcPr>
            <w:tcW w:w="562" w:type="pct"/>
            <w:tcBorders>
              <w:top w:val="nil"/>
              <w:left w:val="dotted" w:sz="4" w:space="0" w:color="auto"/>
              <w:bottom w:val="single" w:sz="4" w:space="0" w:color="auto"/>
              <w:right w:val="single" w:sz="4" w:space="0" w:color="auto"/>
            </w:tcBorders>
            <w:shd w:val="clear" w:color="auto" w:fill="BFBFBF" w:themeFill="background1" w:themeFillShade="BF"/>
            <w:noWrap/>
            <w:hideMark/>
          </w:tcPr>
          <w:p w14:paraId="26E1F277"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Times New Roman"/>
                <w:b/>
                <w:bCs/>
                <w:color w:val="000000"/>
                <w:szCs w:val="22"/>
                <w:lang w:eastAsia="en-AU" w:bidi="th-TH"/>
              </w:rPr>
            </w:pPr>
            <w:r w:rsidRPr="00EE2D88">
              <w:rPr>
                <w:rFonts w:eastAsia="DengXian" w:cs="Cordia New"/>
                <w:szCs w:val="22"/>
                <w:lang w:bidi="th-TH"/>
              </w:rPr>
              <w:t>3.28%</w:t>
            </w:r>
          </w:p>
        </w:tc>
        <w:tc>
          <w:tcPr>
            <w:tcW w:w="562" w:type="pct"/>
            <w:tcBorders>
              <w:top w:val="nil"/>
              <w:left w:val="single" w:sz="4" w:space="0" w:color="auto"/>
              <w:bottom w:val="single" w:sz="4" w:space="0" w:color="auto"/>
              <w:right w:val="nil"/>
            </w:tcBorders>
            <w:shd w:val="clear" w:color="auto" w:fill="BFBFBF" w:themeFill="background1" w:themeFillShade="BF"/>
            <w:hideMark/>
          </w:tcPr>
          <w:p w14:paraId="451F8450" w14:textId="77777777" w:rsidR="007D30B1" w:rsidRPr="00EE2D88" w:rsidRDefault="007D30B1" w:rsidP="007D30B1">
            <w:pPr>
              <w:spacing w:before="0" w:after="0"/>
              <w:ind w:left="0"/>
              <w:cnfStyle w:val="000000010000" w:firstRow="0" w:lastRow="0" w:firstColumn="0" w:lastColumn="0" w:oddVBand="0" w:evenVBand="0" w:oddHBand="0" w:evenHBand="1" w:firstRowFirstColumn="0" w:firstRowLastColumn="0" w:lastRowFirstColumn="0" w:lastRowLastColumn="0"/>
              <w:rPr>
                <w:rFonts w:eastAsia="DengXian"/>
                <w:b/>
                <w:bCs/>
                <w:color w:val="000000"/>
                <w:szCs w:val="22"/>
                <w:lang w:bidi="th-TH"/>
              </w:rPr>
            </w:pPr>
            <w:r w:rsidRPr="00EE2D88">
              <w:rPr>
                <w:rFonts w:eastAsia="DengXian" w:cs="Cordia New"/>
                <w:szCs w:val="22"/>
                <w:lang w:bidi="th-TH"/>
              </w:rPr>
              <w:t>1.97%</w:t>
            </w:r>
          </w:p>
        </w:tc>
      </w:tr>
    </w:tbl>
    <w:p w14:paraId="1AFE26B1" w14:textId="625215C6" w:rsidR="007D30B1" w:rsidRPr="00D2134C" w:rsidRDefault="00863165" w:rsidP="00863165">
      <w:pPr>
        <w:pStyle w:val="FGCNORMAL"/>
      </w:pPr>
      <w:r w:rsidRPr="00EE2D88">
        <w:t xml:space="preserve">The projected Scheme expenses are approximately $8.8 billion higher than the previous review in the </w:t>
      </w:r>
      <w:r w:rsidR="00145A63">
        <w:t>4</w:t>
      </w:r>
      <w:r w:rsidRPr="00EE2D88">
        <w:t xml:space="preserve"> years to June 2026, and about $21.4 billion higher in 2031-32 (Table 3.2.1</w:t>
      </w:r>
      <w:r w:rsidR="00DE2620" w:rsidRPr="00EE2D88">
        <w:t>C</w:t>
      </w:r>
      <w:r w:rsidRPr="00EE2D88">
        <w:t>).</w:t>
      </w:r>
      <w:r w:rsidRPr="00D2134C">
        <w:t xml:space="preserve"> </w:t>
      </w:r>
    </w:p>
    <w:p w14:paraId="5BA1F464" w14:textId="4051051C" w:rsidR="00747F39" w:rsidRPr="00D2134C" w:rsidRDefault="00747F39" w:rsidP="00CE04C7">
      <w:pPr>
        <w:pStyle w:val="FGCNORMAL"/>
        <w:keepNext/>
      </w:pPr>
      <w:bookmarkStart w:id="311" w:name="_Ref112313343"/>
      <w:r w:rsidRPr="00D2134C">
        <w:rPr>
          <w:rStyle w:val="FGCEMPHASIS"/>
        </w:rPr>
        <w:t>Table</w:t>
      </w:r>
      <w:r w:rsidR="00A26550">
        <w:rPr>
          <w:rStyle w:val="FGCEMPHASIS"/>
        </w:rPr>
        <w:t xml:space="preserve"> </w:t>
      </w:r>
      <w:r w:rsidR="00982224">
        <w:rPr>
          <w:rStyle w:val="FGCEMPHASIS"/>
        </w:rPr>
        <w:t>3.2.1</w:t>
      </w:r>
      <w:r w:rsidR="00F24907">
        <w:rPr>
          <w:rStyle w:val="FGCEMPHASIS"/>
        </w:rPr>
        <w:t>C</w:t>
      </w:r>
      <w:bookmarkEnd w:id="311"/>
      <w:r w:rsidR="004A645E" w:rsidRPr="00295C5E">
        <w:t>:</w:t>
      </w:r>
      <w:r w:rsidRPr="00D2134C">
        <w:t xml:space="preserve"> Comparison of </w:t>
      </w:r>
      <w:r w:rsidR="00140C64">
        <w:t>2021‒22</w:t>
      </w:r>
      <w:r w:rsidRPr="00D2134C">
        <w:t xml:space="preserve"> AFSR with 2020</w:t>
      </w:r>
      <w:r w:rsidR="00E9624F">
        <w:t>–</w:t>
      </w:r>
      <w:r w:rsidRPr="00D2134C">
        <w:t>21 AFSR</w:t>
      </w:r>
      <w:r w:rsidRPr="00D2134C">
        <w:rPr>
          <w:rStyle w:val="FootnoteReference"/>
        </w:rPr>
        <w:footnoteReference w:id="11"/>
      </w:r>
      <w:r w:rsidRPr="00D2134C">
        <w:t xml:space="preserve">  </w:t>
      </w:r>
    </w:p>
    <w:tbl>
      <w:tblPr>
        <w:tblStyle w:val="FSRtable"/>
        <w:tblW w:w="4720" w:type="pct"/>
        <w:tblInd w:w="567" w:type="dxa"/>
        <w:tblLayout w:type="fixed"/>
        <w:tblLook w:val="04A0" w:firstRow="1" w:lastRow="0" w:firstColumn="1" w:lastColumn="0" w:noHBand="0" w:noVBand="1"/>
      </w:tblPr>
      <w:tblGrid>
        <w:gridCol w:w="2983"/>
        <w:gridCol w:w="1082"/>
        <w:gridCol w:w="1082"/>
        <w:gridCol w:w="1082"/>
        <w:gridCol w:w="1084"/>
        <w:gridCol w:w="1082"/>
        <w:gridCol w:w="1078"/>
      </w:tblGrid>
      <w:tr w:rsidR="00111647" w:rsidRPr="00D2134C" w14:paraId="2DCF9BF2" w14:textId="77777777" w:rsidTr="005807B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4" w:type="pct"/>
            <w:hideMark/>
          </w:tcPr>
          <w:p w14:paraId="6F29899A" w14:textId="7F3DD870" w:rsidR="00747F39" w:rsidRPr="00D2134C" w:rsidRDefault="00747F39" w:rsidP="00D72614">
            <w:pPr>
              <w:pStyle w:val="FGCTABLENORMAL"/>
              <w:rPr>
                <w:b w:val="0"/>
                <w:lang w:eastAsia="en-AU"/>
              </w:rPr>
            </w:pPr>
            <w:r w:rsidRPr="00D2134C">
              <w:rPr>
                <w:lang w:eastAsia="en-AU"/>
              </w:rPr>
              <w:t xml:space="preserve">Projected Scheme </w:t>
            </w:r>
            <w:r w:rsidR="00EB5608">
              <w:rPr>
                <w:lang w:eastAsia="en-AU"/>
              </w:rPr>
              <w:t>e</w:t>
            </w:r>
            <w:r w:rsidRPr="00D2134C">
              <w:rPr>
                <w:lang w:eastAsia="en-AU"/>
              </w:rPr>
              <w:t>xpenses ($m)</w:t>
            </w:r>
          </w:p>
        </w:tc>
        <w:tc>
          <w:tcPr>
            <w:tcW w:w="571" w:type="pct"/>
            <w:noWrap/>
            <w:hideMark/>
          </w:tcPr>
          <w:p w14:paraId="2790BAA7"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2022-23</w:t>
            </w:r>
          </w:p>
        </w:tc>
        <w:tc>
          <w:tcPr>
            <w:tcW w:w="571" w:type="pct"/>
            <w:noWrap/>
            <w:hideMark/>
          </w:tcPr>
          <w:p w14:paraId="76556D1C"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2023-24</w:t>
            </w:r>
          </w:p>
        </w:tc>
        <w:tc>
          <w:tcPr>
            <w:tcW w:w="571" w:type="pct"/>
            <w:noWrap/>
            <w:hideMark/>
          </w:tcPr>
          <w:p w14:paraId="4647C036"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2024-25</w:t>
            </w:r>
          </w:p>
        </w:tc>
        <w:tc>
          <w:tcPr>
            <w:tcW w:w="572" w:type="pct"/>
            <w:tcBorders>
              <w:top w:val="single" w:sz="4" w:space="0" w:color="auto"/>
              <w:bottom w:val="nil"/>
              <w:right w:val="dotted" w:sz="4" w:space="0" w:color="auto"/>
            </w:tcBorders>
            <w:noWrap/>
            <w:hideMark/>
          </w:tcPr>
          <w:p w14:paraId="49A5A6F7"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2025-26</w:t>
            </w:r>
          </w:p>
        </w:tc>
        <w:tc>
          <w:tcPr>
            <w:tcW w:w="571" w:type="pct"/>
            <w:tcBorders>
              <w:top w:val="single" w:sz="4" w:space="0" w:color="auto"/>
              <w:left w:val="dotted" w:sz="4" w:space="0" w:color="auto"/>
              <w:bottom w:val="nil"/>
              <w:right w:val="single" w:sz="4" w:space="0" w:color="auto"/>
            </w:tcBorders>
            <w:noWrap/>
            <w:hideMark/>
          </w:tcPr>
          <w:p w14:paraId="73033947"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2031-32</w:t>
            </w:r>
          </w:p>
        </w:tc>
        <w:tc>
          <w:tcPr>
            <w:tcW w:w="569" w:type="pct"/>
            <w:tcBorders>
              <w:left w:val="single" w:sz="4" w:space="0" w:color="auto"/>
            </w:tcBorders>
          </w:tcPr>
          <w:p w14:paraId="5DB95A0B" w14:textId="77777777" w:rsidR="00747F39" w:rsidRPr="00D2134C" w:rsidRDefault="00747F39" w:rsidP="00D72614">
            <w:pPr>
              <w:pStyle w:val="FGCTABLENORMAL"/>
              <w:jc w:val="left"/>
              <w:cnfStyle w:val="100000000000" w:firstRow="1" w:lastRow="0" w:firstColumn="0" w:lastColumn="0" w:oddVBand="0" w:evenVBand="0" w:oddHBand="0" w:evenHBand="0" w:firstRowFirstColumn="0" w:firstRowLastColumn="0" w:lastRowFirstColumn="0" w:lastRowLastColumn="0"/>
              <w:rPr>
                <w:lang w:eastAsia="en-AU"/>
              </w:rPr>
            </w:pPr>
            <w:r w:rsidRPr="00D2134C">
              <w:rPr>
                <w:lang w:eastAsia="en-AU"/>
              </w:rPr>
              <w:t>2022-26</w:t>
            </w:r>
          </w:p>
        </w:tc>
      </w:tr>
      <w:tr w:rsidR="00EE2D88" w:rsidRPr="00D2134C" w14:paraId="02CBB969"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1574" w:type="pct"/>
            <w:noWrap/>
            <w:hideMark/>
          </w:tcPr>
          <w:p w14:paraId="2C2D5A6E" w14:textId="27443E5E" w:rsidR="00747F39" w:rsidRPr="00D2134C" w:rsidRDefault="00140C64" w:rsidP="00D72614">
            <w:pPr>
              <w:pStyle w:val="FGCTABLENORMAL"/>
              <w:rPr>
                <w:color w:val="000000"/>
                <w:lang w:eastAsia="en-AU"/>
              </w:rPr>
            </w:pPr>
            <w:r>
              <w:rPr>
                <w:color w:val="000000"/>
                <w:lang w:eastAsia="en-AU"/>
              </w:rPr>
              <w:t>2021‒22</w:t>
            </w:r>
            <w:r w:rsidR="00747F39" w:rsidRPr="00D2134C">
              <w:rPr>
                <w:color w:val="000000"/>
                <w:lang w:eastAsia="en-AU"/>
              </w:rPr>
              <w:t xml:space="preserve"> AFSR (a)</w:t>
            </w:r>
          </w:p>
        </w:tc>
        <w:tc>
          <w:tcPr>
            <w:tcW w:w="571" w:type="pct"/>
            <w:noWrap/>
            <w:hideMark/>
          </w:tcPr>
          <w:p w14:paraId="62F2FD4F"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33,976</w:t>
            </w:r>
          </w:p>
        </w:tc>
        <w:tc>
          <w:tcPr>
            <w:tcW w:w="571" w:type="pct"/>
            <w:noWrap/>
            <w:hideMark/>
          </w:tcPr>
          <w:p w14:paraId="1EECA741"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38,133</w:t>
            </w:r>
          </w:p>
        </w:tc>
        <w:tc>
          <w:tcPr>
            <w:tcW w:w="571" w:type="pct"/>
            <w:noWrap/>
            <w:hideMark/>
          </w:tcPr>
          <w:p w14:paraId="77D91D23"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44,116</w:t>
            </w:r>
          </w:p>
        </w:tc>
        <w:tc>
          <w:tcPr>
            <w:tcW w:w="572" w:type="pct"/>
            <w:tcBorders>
              <w:top w:val="nil"/>
              <w:bottom w:val="nil"/>
              <w:right w:val="dotted" w:sz="4" w:space="0" w:color="auto"/>
            </w:tcBorders>
            <w:noWrap/>
            <w:hideMark/>
          </w:tcPr>
          <w:p w14:paraId="5F3FAE37"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50,344</w:t>
            </w:r>
          </w:p>
        </w:tc>
        <w:tc>
          <w:tcPr>
            <w:tcW w:w="571" w:type="pct"/>
            <w:tcBorders>
              <w:top w:val="nil"/>
              <w:left w:val="dotted" w:sz="4" w:space="0" w:color="auto"/>
              <w:bottom w:val="nil"/>
              <w:right w:val="single" w:sz="4" w:space="0" w:color="auto"/>
            </w:tcBorders>
            <w:noWrap/>
            <w:hideMark/>
          </w:tcPr>
          <w:p w14:paraId="290B6067"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89,403</w:t>
            </w:r>
          </w:p>
        </w:tc>
        <w:tc>
          <w:tcPr>
            <w:tcW w:w="569" w:type="pct"/>
            <w:tcBorders>
              <w:left w:val="single" w:sz="4" w:space="0" w:color="auto"/>
            </w:tcBorders>
          </w:tcPr>
          <w:p w14:paraId="347E22E4"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rPr>
            </w:pPr>
            <w:r w:rsidRPr="00D2134C">
              <w:t>166,569</w:t>
            </w:r>
          </w:p>
        </w:tc>
      </w:tr>
      <w:tr w:rsidR="00EE2D88" w:rsidRPr="00D2134C" w14:paraId="068A8290" w14:textId="77777777" w:rsidTr="00EE2D88">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4" w:type="pct"/>
            <w:noWrap/>
            <w:hideMark/>
          </w:tcPr>
          <w:p w14:paraId="263582FD" w14:textId="77777777" w:rsidR="00747F39" w:rsidRPr="00D2134C" w:rsidRDefault="00747F39" w:rsidP="00D72614">
            <w:pPr>
              <w:pStyle w:val="FGCTABLENORMAL"/>
              <w:rPr>
                <w:color w:val="000000"/>
                <w:lang w:eastAsia="en-AU"/>
              </w:rPr>
            </w:pPr>
            <w:r w:rsidRPr="00D2134C">
              <w:rPr>
                <w:color w:val="000000"/>
                <w:lang w:eastAsia="en-AU"/>
              </w:rPr>
              <w:t>2020-21 AFSR (b)</w:t>
            </w:r>
          </w:p>
        </w:tc>
        <w:tc>
          <w:tcPr>
            <w:tcW w:w="571" w:type="pct"/>
            <w:noWrap/>
            <w:hideMark/>
          </w:tcPr>
          <w:p w14:paraId="6DEEF8A7"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en-AU"/>
              </w:rPr>
            </w:pPr>
            <w:r w:rsidRPr="00D2134C">
              <w:t>33,886</w:t>
            </w:r>
          </w:p>
        </w:tc>
        <w:tc>
          <w:tcPr>
            <w:tcW w:w="571" w:type="pct"/>
            <w:noWrap/>
            <w:hideMark/>
          </w:tcPr>
          <w:p w14:paraId="03C60938"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en-AU"/>
              </w:rPr>
            </w:pPr>
            <w:r w:rsidRPr="00D2134C">
              <w:t>37,973</w:t>
            </w:r>
          </w:p>
        </w:tc>
        <w:tc>
          <w:tcPr>
            <w:tcW w:w="571" w:type="pct"/>
            <w:noWrap/>
            <w:hideMark/>
          </w:tcPr>
          <w:p w14:paraId="5F5C6835"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en-AU"/>
              </w:rPr>
            </w:pPr>
            <w:r w:rsidRPr="00D2134C">
              <w:t>41,373</w:t>
            </w:r>
          </w:p>
        </w:tc>
        <w:tc>
          <w:tcPr>
            <w:tcW w:w="572" w:type="pct"/>
            <w:tcBorders>
              <w:top w:val="nil"/>
              <w:bottom w:val="nil"/>
              <w:right w:val="dotted" w:sz="4" w:space="0" w:color="auto"/>
            </w:tcBorders>
            <w:noWrap/>
            <w:hideMark/>
          </w:tcPr>
          <w:p w14:paraId="7716A24D"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en-AU"/>
              </w:rPr>
            </w:pPr>
            <w:r w:rsidRPr="00D2134C">
              <w:t>44,551</w:t>
            </w:r>
          </w:p>
        </w:tc>
        <w:tc>
          <w:tcPr>
            <w:tcW w:w="571" w:type="pct"/>
            <w:tcBorders>
              <w:top w:val="nil"/>
              <w:left w:val="dotted" w:sz="4" w:space="0" w:color="auto"/>
              <w:bottom w:val="nil"/>
              <w:right w:val="single" w:sz="4" w:space="0" w:color="auto"/>
            </w:tcBorders>
            <w:noWrap/>
            <w:hideMark/>
          </w:tcPr>
          <w:p w14:paraId="3A5D5723"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lang w:eastAsia="en-AU"/>
              </w:rPr>
            </w:pPr>
            <w:r w:rsidRPr="00D2134C">
              <w:t>68,049</w:t>
            </w:r>
          </w:p>
        </w:tc>
        <w:tc>
          <w:tcPr>
            <w:tcW w:w="569" w:type="pct"/>
            <w:tcBorders>
              <w:left w:val="single" w:sz="4" w:space="0" w:color="auto"/>
            </w:tcBorders>
          </w:tcPr>
          <w:p w14:paraId="29E4BA99"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color w:val="000000"/>
              </w:rPr>
            </w:pPr>
            <w:r w:rsidRPr="00D2134C">
              <w:t>157,782</w:t>
            </w:r>
          </w:p>
        </w:tc>
      </w:tr>
      <w:tr w:rsidR="00EE2D88" w:rsidRPr="00D2134C" w14:paraId="50CB1C32" w14:textId="77777777" w:rsidTr="00EE2D88">
        <w:trPr>
          <w:trHeight w:val="301"/>
        </w:trPr>
        <w:tc>
          <w:tcPr>
            <w:cnfStyle w:val="001000000000" w:firstRow="0" w:lastRow="0" w:firstColumn="1" w:lastColumn="0" w:oddVBand="0" w:evenVBand="0" w:oddHBand="0" w:evenHBand="0" w:firstRowFirstColumn="0" w:firstRowLastColumn="0" w:lastRowFirstColumn="0" w:lastRowLastColumn="0"/>
            <w:tcW w:w="1574" w:type="pct"/>
            <w:tcBorders>
              <w:bottom w:val="nil"/>
            </w:tcBorders>
            <w:noWrap/>
            <w:hideMark/>
          </w:tcPr>
          <w:p w14:paraId="4DC23F16" w14:textId="77777777" w:rsidR="00747F39" w:rsidRPr="00D2134C" w:rsidRDefault="00747F39" w:rsidP="00D72614">
            <w:pPr>
              <w:pStyle w:val="FGCTABLENORMAL"/>
              <w:rPr>
                <w:color w:val="000000"/>
                <w:lang w:eastAsia="en-AU"/>
              </w:rPr>
            </w:pPr>
            <w:r w:rsidRPr="00D2134C">
              <w:rPr>
                <w:color w:val="000000" w:themeColor="text1"/>
                <w:lang w:eastAsia="en-AU"/>
              </w:rPr>
              <w:t>Difference ($) (a – b)</w:t>
            </w:r>
          </w:p>
        </w:tc>
        <w:tc>
          <w:tcPr>
            <w:tcW w:w="571" w:type="pct"/>
            <w:tcBorders>
              <w:bottom w:val="nil"/>
            </w:tcBorders>
            <w:noWrap/>
            <w:hideMark/>
          </w:tcPr>
          <w:p w14:paraId="2FFB206F"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90</w:t>
            </w:r>
          </w:p>
        </w:tc>
        <w:tc>
          <w:tcPr>
            <w:tcW w:w="571" w:type="pct"/>
            <w:tcBorders>
              <w:bottom w:val="nil"/>
            </w:tcBorders>
            <w:noWrap/>
            <w:hideMark/>
          </w:tcPr>
          <w:p w14:paraId="50181C50"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160</w:t>
            </w:r>
          </w:p>
        </w:tc>
        <w:tc>
          <w:tcPr>
            <w:tcW w:w="571" w:type="pct"/>
            <w:tcBorders>
              <w:bottom w:val="nil"/>
            </w:tcBorders>
            <w:noWrap/>
            <w:hideMark/>
          </w:tcPr>
          <w:p w14:paraId="480308AC"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2,743</w:t>
            </w:r>
          </w:p>
        </w:tc>
        <w:tc>
          <w:tcPr>
            <w:tcW w:w="572" w:type="pct"/>
            <w:tcBorders>
              <w:top w:val="nil"/>
              <w:bottom w:val="nil"/>
              <w:right w:val="dotted" w:sz="4" w:space="0" w:color="auto"/>
            </w:tcBorders>
            <w:noWrap/>
            <w:hideMark/>
          </w:tcPr>
          <w:p w14:paraId="37707FA2"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t>5,793</w:t>
            </w:r>
          </w:p>
        </w:tc>
        <w:tc>
          <w:tcPr>
            <w:tcW w:w="571" w:type="pct"/>
            <w:tcBorders>
              <w:top w:val="nil"/>
              <w:left w:val="dotted" w:sz="4" w:space="0" w:color="auto"/>
              <w:bottom w:val="nil"/>
              <w:right w:val="single" w:sz="4" w:space="0" w:color="auto"/>
            </w:tcBorders>
            <w:noWrap/>
            <w:hideMark/>
          </w:tcPr>
          <w:p w14:paraId="71DD38D3"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lang w:eastAsia="en-AU"/>
              </w:rPr>
            </w:pPr>
            <w:r w:rsidRPr="00D2134C">
              <w:t>21,354</w:t>
            </w:r>
          </w:p>
        </w:tc>
        <w:tc>
          <w:tcPr>
            <w:tcW w:w="569" w:type="pct"/>
            <w:tcBorders>
              <w:left w:val="single" w:sz="4" w:space="0" w:color="auto"/>
              <w:bottom w:val="nil"/>
            </w:tcBorders>
          </w:tcPr>
          <w:p w14:paraId="4ED9E1B9" w14:textId="77777777" w:rsidR="00747F39" w:rsidRPr="00D2134C" w:rsidRDefault="00747F39" w:rsidP="00D72614">
            <w:pPr>
              <w:pStyle w:val="FGCTABLENORMAL"/>
              <w:jc w:val="left"/>
              <w:cnfStyle w:val="000000000000" w:firstRow="0" w:lastRow="0" w:firstColumn="0" w:lastColumn="0" w:oddVBand="0" w:evenVBand="0" w:oddHBand="0" w:evenHBand="0" w:firstRowFirstColumn="0" w:firstRowLastColumn="0" w:lastRowFirstColumn="0" w:lastRowLastColumn="0"/>
              <w:rPr>
                <w:color w:val="000000"/>
              </w:rPr>
            </w:pPr>
            <w:r w:rsidRPr="00D2134C">
              <w:t>8,786</w:t>
            </w:r>
          </w:p>
        </w:tc>
      </w:tr>
      <w:tr w:rsidR="00111647" w:rsidRPr="00D2134C" w14:paraId="638E1E5F" w14:textId="77777777" w:rsidTr="005807B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574" w:type="pct"/>
            <w:tcBorders>
              <w:top w:val="nil"/>
              <w:bottom w:val="single" w:sz="4" w:space="0" w:color="auto"/>
            </w:tcBorders>
            <w:noWrap/>
            <w:hideMark/>
          </w:tcPr>
          <w:p w14:paraId="250E4887" w14:textId="77777777" w:rsidR="00747F39" w:rsidRPr="00D2134C" w:rsidRDefault="00747F39" w:rsidP="00D72614">
            <w:pPr>
              <w:pStyle w:val="FGCTABLENORMAL"/>
              <w:rPr>
                <w:rFonts w:eastAsia="DengXian" w:cs="Cordia New"/>
                <w:color w:val="000000" w:themeColor="text1"/>
                <w:lang w:eastAsia="en-AU"/>
              </w:rPr>
            </w:pPr>
            <w:r w:rsidRPr="00D2134C">
              <w:rPr>
                <w:rFonts w:eastAsia="DengXian" w:cs="Cordia New"/>
                <w:color w:val="000000" w:themeColor="text1"/>
                <w:lang w:eastAsia="en-AU"/>
              </w:rPr>
              <w:t>Difference (%) (a/b – 1)</w:t>
            </w:r>
          </w:p>
        </w:tc>
        <w:tc>
          <w:tcPr>
            <w:tcW w:w="571" w:type="pct"/>
            <w:tcBorders>
              <w:top w:val="nil"/>
              <w:bottom w:val="single" w:sz="4" w:space="0" w:color="auto"/>
            </w:tcBorders>
            <w:noWrap/>
            <w:hideMark/>
          </w:tcPr>
          <w:p w14:paraId="30013697"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0.3%</w:t>
            </w:r>
          </w:p>
        </w:tc>
        <w:tc>
          <w:tcPr>
            <w:tcW w:w="571" w:type="pct"/>
            <w:tcBorders>
              <w:top w:val="nil"/>
              <w:bottom w:val="single" w:sz="4" w:space="0" w:color="auto"/>
            </w:tcBorders>
            <w:noWrap/>
            <w:hideMark/>
          </w:tcPr>
          <w:p w14:paraId="399806A3"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0.4%</w:t>
            </w:r>
          </w:p>
        </w:tc>
        <w:tc>
          <w:tcPr>
            <w:tcW w:w="571" w:type="pct"/>
            <w:tcBorders>
              <w:top w:val="nil"/>
              <w:bottom w:val="single" w:sz="4" w:space="0" w:color="auto"/>
            </w:tcBorders>
            <w:noWrap/>
            <w:hideMark/>
          </w:tcPr>
          <w:p w14:paraId="18437582"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6.6%</w:t>
            </w:r>
          </w:p>
        </w:tc>
        <w:tc>
          <w:tcPr>
            <w:tcW w:w="572" w:type="pct"/>
            <w:tcBorders>
              <w:top w:val="nil"/>
              <w:bottom w:val="single" w:sz="4" w:space="0" w:color="auto"/>
              <w:right w:val="dotted" w:sz="4" w:space="0" w:color="auto"/>
            </w:tcBorders>
            <w:noWrap/>
            <w:hideMark/>
          </w:tcPr>
          <w:p w14:paraId="6EFFAAFB"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13.0%</w:t>
            </w:r>
          </w:p>
        </w:tc>
        <w:tc>
          <w:tcPr>
            <w:tcW w:w="571" w:type="pct"/>
            <w:tcBorders>
              <w:top w:val="nil"/>
              <w:left w:val="dotted" w:sz="4" w:space="0" w:color="auto"/>
              <w:bottom w:val="single" w:sz="4" w:space="0" w:color="auto"/>
              <w:right w:val="single" w:sz="4" w:space="0" w:color="auto"/>
            </w:tcBorders>
            <w:noWrap/>
            <w:hideMark/>
          </w:tcPr>
          <w:p w14:paraId="614F4635"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31.4%</w:t>
            </w:r>
          </w:p>
        </w:tc>
        <w:tc>
          <w:tcPr>
            <w:tcW w:w="569" w:type="pct"/>
            <w:tcBorders>
              <w:top w:val="nil"/>
              <w:left w:val="single" w:sz="4" w:space="0" w:color="auto"/>
              <w:bottom w:val="single" w:sz="4" w:space="0" w:color="auto"/>
            </w:tcBorders>
          </w:tcPr>
          <w:p w14:paraId="3945562A" w14:textId="77777777" w:rsidR="00747F39" w:rsidRPr="00D2134C" w:rsidRDefault="00747F39" w:rsidP="00D72614">
            <w:pPr>
              <w:pStyle w:val="FGCTABLENORMAL"/>
              <w:jc w:val="left"/>
              <w:cnfStyle w:val="000000010000" w:firstRow="0" w:lastRow="0" w:firstColumn="0" w:lastColumn="0" w:oddVBand="0" w:evenVBand="0" w:oddHBand="0" w:evenHBand="1" w:firstRowFirstColumn="0" w:firstRowLastColumn="0" w:lastRowFirstColumn="0" w:lastRowLastColumn="0"/>
              <w:rPr>
                <w:rFonts w:eastAsia="DengXian" w:cs="Cordia New"/>
                <w:color w:val="000000" w:themeColor="text1"/>
              </w:rPr>
            </w:pPr>
            <w:r w:rsidRPr="00D2134C">
              <w:t>5.6%</w:t>
            </w:r>
          </w:p>
        </w:tc>
      </w:tr>
    </w:tbl>
    <w:p w14:paraId="1BF5964C" w14:textId="02A54CA8" w:rsidR="00747F39" w:rsidRPr="00D2134C" w:rsidRDefault="00747F39" w:rsidP="00217FA1">
      <w:pPr>
        <w:pStyle w:val="FGCNORMAL"/>
      </w:pPr>
      <w:r w:rsidRPr="00D2134C">
        <w:t>The sources of variance between this projection and the previous review are shown in</w:t>
      </w:r>
      <w:r w:rsidR="00982224">
        <w:t xml:space="preserve"> Table 3.2.1</w:t>
      </w:r>
      <w:r w:rsidR="00761082">
        <w:t>D</w:t>
      </w:r>
      <w:r w:rsidR="004A645E">
        <w:t>.</w:t>
      </w:r>
      <w:r w:rsidRPr="00D2134C">
        <w:t xml:space="preserve"> </w:t>
      </w:r>
    </w:p>
    <w:p w14:paraId="4FC07BE6" w14:textId="77777777" w:rsidR="00166E33" w:rsidRDefault="00166E33" w:rsidP="00CE04C7">
      <w:pPr>
        <w:pStyle w:val="FGCNORMAL"/>
        <w:keepNext/>
        <w:rPr>
          <w:rStyle w:val="FGCEMPHASIS"/>
        </w:rPr>
        <w:sectPr w:rsidR="00166E33" w:rsidSect="00873C47">
          <w:headerReference w:type="default" r:id="rId75"/>
          <w:pgSz w:w="11906" w:h="16838"/>
          <w:pgMar w:top="1021" w:right="907" w:bottom="1440" w:left="964" w:header="708" w:footer="737" w:gutter="0"/>
          <w:cols w:space="708"/>
          <w:titlePg/>
          <w:docGrid w:linePitch="360"/>
        </w:sectPr>
      </w:pPr>
      <w:bookmarkStart w:id="312" w:name="_Ref112313377"/>
    </w:p>
    <w:p w14:paraId="3793A7BE" w14:textId="1A7A8833" w:rsidR="00747F39" w:rsidRPr="00D2134C" w:rsidRDefault="00747F39" w:rsidP="00CE04C7">
      <w:pPr>
        <w:pStyle w:val="FGCNORMAL"/>
        <w:keepNext/>
      </w:pPr>
      <w:r w:rsidRPr="00D2134C">
        <w:rPr>
          <w:rStyle w:val="FGCEMPHASIS"/>
        </w:rPr>
        <w:lastRenderedPageBreak/>
        <w:t>Table</w:t>
      </w:r>
      <w:r w:rsidR="00982224">
        <w:rPr>
          <w:rStyle w:val="FGCEMPHASIS"/>
        </w:rPr>
        <w:t xml:space="preserve"> 3.2.1</w:t>
      </w:r>
      <w:r w:rsidR="00F24907">
        <w:rPr>
          <w:rStyle w:val="FGCEMPHASIS"/>
        </w:rPr>
        <w:t>D</w:t>
      </w:r>
      <w:r w:rsidR="004A645E" w:rsidRPr="00295C5E">
        <w:rPr>
          <w:rStyle w:val="FGCEMPHASIS"/>
          <w:b w:val="0"/>
          <w:bCs w:val="0"/>
        </w:rPr>
        <w:t>:</w:t>
      </w:r>
      <w:bookmarkEnd w:id="312"/>
      <w:r w:rsidRPr="00D2134C">
        <w:t xml:space="preserve"> Movements in Scheme expenses since previous review due to experience and updated assumptions </w:t>
      </w:r>
    </w:p>
    <w:tbl>
      <w:tblPr>
        <w:tblStyle w:val="FSRtable"/>
        <w:tblW w:w="9498" w:type="dxa"/>
        <w:tblInd w:w="567" w:type="dxa"/>
        <w:tblLayout w:type="fixed"/>
        <w:tblLook w:val="04A0" w:firstRow="1" w:lastRow="0" w:firstColumn="1" w:lastColumn="0" w:noHBand="0" w:noVBand="1"/>
      </w:tblPr>
      <w:tblGrid>
        <w:gridCol w:w="2694"/>
        <w:gridCol w:w="1134"/>
        <w:gridCol w:w="1134"/>
        <w:gridCol w:w="1134"/>
        <w:gridCol w:w="1134"/>
        <w:gridCol w:w="1134"/>
        <w:gridCol w:w="1134"/>
      </w:tblGrid>
      <w:tr w:rsidR="00C13365" w:rsidRPr="00D2134C" w14:paraId="6E055B01" w14:textId="77777777" w:rsidTr="00C63713">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000" w:firstRow="0" w:lastRow="0" w:firstColumn="1" w:lastColumn="0" w:oddVBand="0" w:evenVBand="0" w:oddHBand="0" w:evenHBand="0" w:firstRowFirstColumn="0" w:firstRowLastColumn="0" w:lastRowFirstColumn="0" w:lastRowLastColumn="0"/>
            <w:tcW w:w="2694" w:type="dxa"/>
            <w:noWrap/>
            <w:hideMark/>
          </w:tcPr>
          <w:p w14:paraId="3696FE76" w14:textId="69C7C4B9" w:rsidR="00747F39" w:rsidRPr="00D2134C" w:rsidRDefault="00747F39" w:rsidP="0011586B">
            <w:pPr>
              <w:pStyle w:val="FGCTABLENORMAL"/>
              <w:rPr>
                <w:lang w:eastAsia="zh-CN"/>
              </w:rPr>
            </w:pPr>
            <w:r w:rsidRPr="00D2134C">
              <w:rPr>
                <w:lang w:eastAsia="zh-CN"/>
              </w:rPr>
              <w:t xml:space="preserve">Projected Scheme </w:t>
            </w:r>
            <w:r w:rsidR="00166E33">
              <w:rPr>
                <w:lang w:eastAsia="zh-CN"/>
              </w:rPr>
              <w:t>e</w:t>
            </w:r>
            <w:r w:rsidRPr="00D2134C">
              <w:rPr>
                <w:lang w:eastAsia="zh-CN"/>
              </w:rPr>
              <w:t>xpenses ($m)</w:t>
            </w:r>
          </w:p>
        </w:tc>
        <w:tc>
          <w:tcPr>
            <w:tcW w:w="1134" w:type="dxa"/>
            <w:noWrap/>
            <w:hideMark/>
          </w:tcPr>
          <w:p w14:paraId="59ACD7EC"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2022-23</w:t>
            </w:r>
          </w:p>
        </w:tc>
        <w:tc>
          <w:tcPr>
            <w:tcW w:w="1134" w:type="dxa"/>
            <w:noWrap/>
            <w:hideMark/>
          </w:tcPr>
          <w:p w14:paraId="56E45785"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2023-24</w:t>
            </w:r>
          </w:p>
        </w:tc>
        <w:tc>
          <w:tcPr>
            <w:tcW w:w="1134" w:type="dxa"/>
            <w:noWrap/>
            <w:hideMark/>
          </w:tcPr>
          <w:p w14:paraId="10FE5A8B"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2024-25</w:t>
            </w:r>
          </w:p>
        </w:tc>
        <w:tc>
          <w:tcPr>
            <w:tcW w:w="1134" w:type="dxa"/>
            <w:tcBorders>
              <w:right w:val="dotted" w:sz="4" w:space="0" w:color="auto"/>
            </w:tcBorders>
            <w:noWrap/>
            <w:hideMark/>
          </w:tcPr>
          <w:p w14:paraId="08E43614"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2025-26</w:t>
            </w:r>
          </w:p>
        </w:tc>
        <w:tc>
          <w:tcPr>
            <w:tcW w:w="1134" w:type="dxa"/>
            <w:tcBorders>
              <w:top w:val="single" w:sz="4" w:space="0" w:color="auto"/>
              <w:left w:val="dotted" w:sz="4" w:space="0" w:color="auto"/>
              <w:bottom w:val="nil"/>
              <w:right w:val="single" w:sz="4" w:space="0" w:color="auto"/>
            </w:tcBorders>
            <w:noWrap/>
            <w:hideMark/>
          </w:tcPr>
          <w:p w14:paraId="35FB5DDB"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2031-32</w:t>
            </w:r>
          </w:p>
        </w:tc>
        <w:tc>
          <w:tcPr>
            <w:tcW w:w="1134" w:type="dxa"/>
            <w:tcBorders>
              <w:top w:val="single" w:sz="4" w:space="0" w:color="auto"/>
              <w:left w:val="single" w:sz="4" w:space="0" w:color="auto"/>
              <w:bottom w:val="nil"/>
            </w:tcBorders>
            <w:noWrap/>
            <w:hideMark/>
          </w:tcPr>
          <w:p w14:paraId="074C6411" w14:textId="77777777" w:rsidR="00747F39" w:rsidRPr="00D2134C" w:rsidRDefault="00747F39" w:rsidP="0011586B">
            <w:pPr>
              <w:pStyle w:val="FGCTABLENORMAL"/>
              <w:jc w:val="left"/>
              <w:cnfStyle w:val="100000000000" w:firstRow="1" w:lastRow="0" w:firstColumn="0" w:lastColumn="0" w:oddVBand="0" w:evenVBand="0" w:oddHBand="0" w:evenHBand="0" w:firstRowFirstColumn="0" w:firstRowLastColumn="0" w:lastRowFirstColumn="0" w:lastRowLastColumn="0"/>
              <w:rPr>
                <w:lang w:eastAsia="zh-CN"/>
              </w:rPr>
            </w:pPr>
            <w:r w:rsidRPr="00D2134C">
              <w:rPr>
                <w:lang w:eastAsia="zh-CN"/>
              </w:rPr>
              <w:t>2022-26</w:t>
            </w:r>
          </w:p>
        </w:tc>
      </w:tr>
      <w:tr w:rsidR="00FB51F2" w:rsidRPr="00D2134C" w14:paraId="2E1220A8" w14:textId="77777777" w:rsidTr="00C63713">
        <w:trPr>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D4C5D7"/>
            <w:noWrap/>
            <w:hideMark/>
          </w:tcPr>
          <w:p w14:paraId="70EF12CB" w14:textId="2FD2E6E4" w:rsidR="00747F39" w:rsidRPr="00D2134C" w:rsidRDefault="00747F39" w:rsidP="0011586B">
            <w:pPr>
              <w:pStyle w:val="FGCTABLENORMAL"/>
              <w:rPr>
                <w:bCs/>
                <w:color w:val="000000"/>
                <w:lang w:eastAsia="zh-CN"/>
              </w:rPr>
            </w:pPr>
            <w:r w:rsidRPr="00D2134C">
              <w:rPr>
                <w:bCs/>
                <w:color w:val="000000"/>
                <w:lang w:eastAsia="zh-CN"/>
              </w:rPr>
              <w:t>2020</w:t>
            </w:r>
            <w:r w:rsidR="00166E33">
              <w:rPr>
                <w:bCs/>
                <w:color w:val="000000"/>
                <w:lang w:eastAsia="zh-CN"/>
              </w:rPr>
              <w:t>–</w:t>
            </w:r>
            <w:r w:rsidRPr="00D2134C">
              <w:rPr>
                <w:bCs/>
                <w:color w:val="000000"/>
                <w:lang w:eastAsia="zh-CN"/>
              </w:rPr>
              <w:t>21 AFSR</w:t>
            </w:r>
          </w:p>
        </w:tc>
        <w:tc>
          <w:tcPr>
            <w:tcW w:w="1134" w:type="dxa"/>
            <w:shd w:val="clear" w:color="auto" w:fill="D4C5D7"/>
            <w:noWrap/>
            <w:hideMark/>
          </w:tcPr>
          <w:p w14:paraId="1EB0E564"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33,886</w:t>
            </w:r>
          </w:p>
        </w:tc>
        <w:tc>
          <w:tcPr>
            <w:tcW w:w="1134" w:type="dxa"/>
            <w:shd w:val="clear" w:color="auto" w:fill="D4C5D7"/>
            <w:noWrap/>
            <w:hideMark/>
          </w:tcPr>
          <w:p w14:paraId="035CF9AF"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37,973</w:t>
            </w:r>
          </w:p>
        </w:tc>
        <w:tc>
          <w:tcPr>
            <w:tcW w:w="1134" w:type="dxa"/>
            <w:shd w:val="clear" w:color="auto" w:fill="D4C5D7"/>
            <w:noWrap/>
            <w:hideMark/>
          </w:tcPr>
          <w:p w14:paraId="20E36593"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41,373</w:t>
            </w:r>
          </w:p>
        </w:tc>
        <w:tc>
          <w:tcPr>
            <w:tcW w:w="1134" w:type="dxa"/>
            <w:tcBorders>
              <w:right w:val="dotted" w:sz="4" w:space="0" w:color="auto"/>
            </w:tcBorders>
            <w:shd w:val="clear" w:color="auto" w:fill="D4C5D7"/>
            <w:noWrap/>
            <w:hideMark/>
          </w:tcPr>
          <w:p w14:paraId="4EBC7851"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44,551</w:t>
            </w:r>
          </w:p>
        </w:tc>
        <w:tc>
          <w:tcPr>
            <w:tcW w:w="1134" w:type="dxa"/>
            <w:tcBorders>
              <w:top w:val="nil"/>
              <w:left w:val="dotted" w:sz="4" w:space="0" w:color="auto"/>
              <w:bottom w:val="nil"/>
              <w:right w:val="single" w:sz="4" w:space="0" w:color="auto"/>
            </w:tcBorders>
            <w:shd w:val="clear" w:color="auto" w:fill="D4C5D7"/>
            <w:noWrap/>
            <w:hideMark/>
          </w:tcPr>
          <w:p w14:paraId="2F6092F2"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68,049</w:t>
            </w:r>
          </w:p>
        </w:tc>
        <w:tc>
          <w:tcPr>
            <w:tcW w:w="1134" w:type="dxa"/>
            <w:tcBorders>
              <w:top w:val="nil"/>
              <w:left w:val="single" w:sz="4" w:space="0" w:color="auto"/>
              <w:bottom w:val="nil"/>
            </w:tcBorders>
            <w:shd w:val="clear" w:color="auto" w:fill="D4C5D7"/>
            <w:noWrap/>
            <w:hideMark/>
          </w:tcPr>
          <w:p w14:paraId="26F20763"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color w:val="000000"/>
                <w:lang w:eastAsia="zh-CN"/>
              </w:rPr>
            </w:pPr>
            <w:r w:rsidRPr="00D2134C">
              <w:rPr>
                <w:bCs/>
                <w:color w:val="000000"/>
                <w:lang w:eastAsia="zh-CN"/>
              </w:rPr>
              <w:t>157,782</w:t>
            </w:r>
          </w:p>
        </w:tc>
      </w:tr>
      <w:tr w:rsidR="00FB51F2" w:rsidRPr="00D2134C" w14:paraId="76184889" w14:textId="77777777" w:rsidTr="00C6371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noWrap/>
            <w:hideMark/>
          </w:tcPr>
          <w:p w14:paraId="087B8FA5" w14:textId="77777777" w:rsidR="00747F39" w:rsidRPr="00D2134C" w:rsidRDefault="00747F39" w:rsidP="0011586B">
            <w:pPr>
              <w:pStyle w:val="FGCTABLENORMAL"/>
              <w:rPr>
                <w:color w:val="000000"/>
                <w:lang w:eastAsia="zh-CN"/>
              </w:rPr>
            </w:pPr>
            <w:r w:rsidRPr="00D2134C">
              <w:rPr>
                <w:color w:val="000000"/>
                <w:lang w:eastAsia="zh-CN"/>
              </w:rPr>
              <w:t>Update for participant population</w:t>
            </w:r>
          </w:p>
        </w:tc>
        <w:tc>
          <w:tcPr>
            <w:tcW w:w="1134" w:type="dxa"/>
            <w:shd w:val="clear" w:color="auto" w:fill="D9D9D9" w:themeFill="background1" w:themeFillShade="D9"/>
            <w:noWrap/>
            <w:hideMark/>
          </w:tcPr>
          <w:p w14:paraId="074272C7"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894</w:t>
            </w:r>
          </w:p>
        </w:tc>
        <w:tc>
          <w:tcPr>
            <w:tcW w:w="1134" w:type="dxa"/>
            <w:shd w:val="clear" w:color="auto" w:fill="D9D9D9" w:themeFill="background1" w:themeFillShade="D9"/>
            <w:noWrap/>
            <w:hideMark/>
          </w:tcPr>
          <w:p w14:paraId="1B39FADC"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969</w:t>
            </w:r>
          </w:p>
        </w:tc>
        <w:tc>
          <w:tcPr>
            <w:tcW w:w="1134" w:type="dxa"/>
            <w:shd w:val="clear" w:color="auto" w:fill="D9D9D9" w:themeFill="background1" w:themeFillShade="D9"/>
            <w:noWrap/>
            <w:hideMark/>
          </w:tcPr>
          <w:p w14:paraId="1A59971A"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999</w:t>
            </w:r>
          </w:p>
        </w:tc>
        <w:tc>
          <w:tcPr>
            <w:tcW w:w="1134" w:type="dxa"/>
            <w:tcBorders>
              <w:right w:val="dotted" w:sz="4" w:space="0" w:color="auto"/>
            </w:tcBorders>
            <w:shd w:val="clear" w:color="auto" w:fill="D9D9D9" w:themeFill="background1" w:themeFillShade="D9"/>
            <w:noWrap/>
            <w:hideMark/>
          </w:tcPr>
          <w:p w14:paraId="7A06775D"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1,026</w:t>
            </w:r>
          </w:p>
        </w:tc>
        <w:tc>
          <w:tcPr>
            <w:tcW w:w="1134" w:type="dxa"/>
            <w:tcBorders>
              <w:top w:val="nil"/>
              <w:left w:val="dotted" w:sz="4" w:space="0" w:color="auto"/>
              <w:bottom w:val="nil"/>
              <w:right w:val="single" w:sz="4" w:space="0" w:color="auto"/>
            </w:tcBorders>
            <w:shd w:val="clear" w:color="auto" w:fill="D9D9D9" w:themeFill="background1" w:themeFillShade="D9"/>
            <w:noWrap/>
            <w:hideMark/>
          </w:tcPr>
          <w:p w14:paraId="651E3075"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1,321</w:t>
            </w:r>
          </w:p>
        </w:tc>
        <w:tc>
          <w:tcPr>
            <w:tcW w:w="1134" w:type="dxa"/>
            <w:tcBorders>
              <w:top w:val="nil"/>
              <w:left w:val="single" w:sz="4" w:space="0" w:color="auto"/>
              <w:bottom w:val="nil"/>
            </w:tcBorders>
            <w:shd w:val="clear" w:color="auto" w:fill="D9D9D9" w:themeFill="background1" w:themeFillShade="D9"/>
            <w:noWrap/>
            <w:hideMark/>
          </w:tcPr>
          <w:p w14:paraId="5235D424"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3,887</w:t>
            </w:r>
          </w:p>
        </w:tc>
      </w:tr>
      <w:tr w:rsidR="00C13365" w:rsidRPr="00D2134C" w14:paraId="02C23537" w14:textId="77777777" w:rsidTr="00C63713">
        <w:trPr>
          <w:trHeight w:val="301"/>
        </w:trPr>
        <w:tc>
          <w:tcPr>
            <w:cnfStyle w:val="001000000000" w:firstRow="0" w:lastRow="0" w:firstColumn="1" w:lastColumn="0" w:oddVBand="0" w:evenVBand="0" w:oddHBand="0" w:evenHBand="0" w:firstRowFirstColumn="0" w:firstRowLastColumn="0" w:lastRowFirstColumn="0" w:lastRowLastColumn="0"/>
            <w:tcW w:w="2694" w:type="dxa"/>
            <w:noWrap/>
            <w:hideMark/>
          </w:tcPr>
          <w:p w14:paraId="1CA39959" w14:textId="77777777" w:rsidR="00747F39" w:rsidRPr="00D2134C" w:rsidRDefault="00747F39" w:rsidP="0011586B">
            <w:pPr>
              <w:pStyle w:val="FGCTABLENORMAL"/>
              <w:rPr>
                <w:color w:val="000000"/>
                <w:lang w:eastAsia="zh-CN"/>
              </w:rPr>
            </w:pPr>
            <w:r w:rsidRPr="00D2134C">
              <w:rPr>
                <w:color w:val="000000"/>
                <w:lang w:eastAsia="zh-CN"/>
              </w:rPr>
              <w:t>Update average payment assumptions</w:t>
            </w:r>
          </w:p>
        </w:tc>
        <w:tc>
          <w:tcPr>
            <w:tcW w:w="1134" w:type="dxa"/>
            <w:noWrap/>
            <w:hideMark/>
          </w:tcPr>
          <w:p w14:paraId="4B3E9C43"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-1,686</w:t>
            </w:r>
          </w:p>
        </w:tc>
        <w:tc>
          <w:tcPr>
            <w:tcW w:w="1134" w:type="dxa"/>
            <w:noWrap/>
            <w:hideMark/>
          </w:tcPr>
          <w:p w14:paraId="3BFD8145"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-1,921</w:t>
            </w:r>
          </w:p>
        </w:tc>
        <w:tc>
          <w:tcPr>
            <w:tcW w:w="1134" w:type="dxa"/>
            <w:noWrap/>
            <w:hideMark/>
          </w:tcPr>
          <w:p w14:paraId="0755001F"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-2,116</w:t>
            </w:r>
          </w:p>
        </w:tc>
        <w:tc>
          <w:tcPr>
            <w:tcW w:w="1134" w:type="dxa"/>
            <w:tcBorders>
              <w:right w:val="dotted" w:sz="4" w:space="0" w:color="auto"/>
            </w:tcBorders>
            <w:noWrap/>
            <w:hideMark/>
          </w:tcPr>
          <w:p w14:paraId="62F266BF"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-2,253</w:t>
            </w:r>
          </w:p>
        </w:tc>
        <w:tc>
          <w:tcPr>
            <w:tcW w:w="1134" w:type="dxa"/>
            <w:tcBorders>
              <w:top w:val="nil"/>
              <w:left w:val="dotted" w:sz="4" w:space="0" w:color="auto"/>
              <w:bottom w:val="nil"/>
              <w:right w:val="single" w:sz="4" w:space="0" w:color="auto"/>
            </w:tcBorders>
            <w:noWrap/>
            <w:hideMark/>
          </w:tcPr>
          <w:p w14:paraId="085CA427"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-3,765</w:t>
            </w:r>
          </w:p>
        </w:tc>
        <w:tc>
          <w:tcPr>
            <w:tcW w:w="1134" w:type="dxa"/>
            <w:tcBorders>
              <w:top w:val="nil"/>
              <w:left w:val="single" w:sz="4" w:space="0" w:color="auto"/>
              <w:bottom w:val="nil"/>
            </w:tcBorders>
            <w:noWrap/>
            <w:hideMark/>
          </w:tcPr>
          <w:p w14:paraId="65121BD2"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lang w:eastAsia="zh-CN"/>
              </w:rPr>
            </w:pPr>
            <w:r w:rsidRPr="00D2134C">
              <w:rPr>
                <w:color w:val="000000"/>
              </w:rPr>
              <w:t>-7,977</w:t>
            </w:r>
          </w:p>
        </w:tc>
      </w:tr>
      <w:tr w:rsidR="00FB51F2" w:rsidRPr="00D2134C" w14:paraId="4D714059" w14:textId="77777777" w:rsidTr="00C6371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noWrap/>
            <w:hideMark/>
          </w:tcPr>
          <w:p w14:paraId="6F801E00" w14:textId="48F09211" w:rsidR="00747F39" w:rsidRPr="00D2134C" w:rsidRDefault="00747F39" w:rsidP="0011586B">
            <w:pPr>
              <w:pStyle w:val="FGCTABLENORMAL"/>
              <w:rPr>
                <w:color w:val="000000"/>
                <w:lang w:eastAsia="zh-CN"/>
              </w:rPr>
            </w:pPr>
            <w:r w:rsidRPr="00D2134C">
              <w:rPr>
                <w:color w:val="000000"/>
                <w:lang w:eastAsia="zh-CN"/>
              </w:rPr>
              <w:t>Update for 2022</w:t>
            </w:r>
            <w:r w:rsidR="00166E33">
              <w:rPr>
                <w:color w:val="000000"/>
                <w:lang w:eastAsia="zh-CN"/>
              </w:rPr>
              <w:t>–</w:t>
            </w:r>
            <w:r w:rsidRPr="00D2134C">
              <w:rPr>
                <w:color w:val="000000"/>
                <w:lang w:eastAsia="zh-CN"/>
              </w:rPr>
              <w:t xml:space="preserve">23 Annual Pricing Review </w:t>
            </w:r>
          </w:p>
        </w:tc>
        <w:tc>
          <w:tcPr>
            <w:tcW w:w="1134" w:type="dxa"/>
            <w:shd w:val="clear" w:color="auto" w:fill="D9D9D9" w:themeFill="background1" w:themeFillShade="D9"/>
            <w:noWrap/>
            <w:hideMark/>
          </w:tcPr>
          <w:p w14:paraId="210BC77C"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1,242</w:t>
            </w:r>
          </w:p>
        </w:tc>
        <w:tc>
          <w:tcPr>
            <w:tcW w:w="1134" w:type="dxa"/>
            <w:shd w:val="clear" w:color="auto" w:fill="D9D9D9" w:themeFill="background1" w:themeFillShade="D9"/>
            <w:noWrap/>
            <w:hideMark/>
          </w:tcPr>
          <w:p w14:paraId="5BF0B696"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835</w:t>
            </w:r>
          </w:p>
        </w:tc>
        <w:tc>
          <w:tcPr>
            <w:tcW w:w="1134" w:type="dxa"/>
            <w:shd w:val="clear" w:color="auto" w:fill="D9D9D9" w:themeFill="background1" w:themeFillShade="D9"/>
            <w:noWrap/>
            <w:hideMark/>
          </w:tcPr>
          <w:p w14:paraId="3C9990D4"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915</w:t>
            </w:r>
          </w:p>
        </w:tc>
        <w:tc>
          <w:tcPr>
            <w:tcW w:w="1134" w:type="dxa"/>
            <w:tcBorders>
              <w:right w:val="dotted" w:sz="4" w:space="0" w:color="auto"/>
            </w:tcBorders>
            <w:shd w:val="clear" w:color="auto" w:fill="D9D9D9" w:themeFill="background1" w:themeFillShade="D9"/>
            <w:noWrap/>
            <w:hideMark/>
          </w:tcPr>
          <w:p w14:paraId="6A55E3EA"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993</w:t>
            </w:r>
          </w:p>
        </w:tc>
        <w:tc>
          <w:tcPr>
            <w:tcW w:w="1134" w:type="dxa"/>
            <w:tcBorders>
              <w:top w:val="nil"/>
              <w:left w:val="dotted" w:sz="4" w:space="0" w:color="auto"/>
              <w:bottom w:val="nil"/>
              <w:right w:val="single" w:sz="4" w:space="0" w:color="auto"/>
            </w:tcBorders>
            <w:shd w:val="clear" w:color="auto" w:fill="D9D9D9" w:themeFill="background1" w:themeFillShade="D9"/>
            <w:noWrap/>
            <w:hideMark/>
          </w:tcPr>
          <w:p w14:paraId="7C156C1C"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1,608</w:t>
            </w:r>
          </w:p>
        </w:tc>
        <w:tc>
          <w:tcPr>
            <w:tcW w:w="1134" w:type="dxa"/>
            <w:tcBorders>
              <w:top w:val="nil"/>
              <w:left w:val="single" w:sz="4" w:space="0" w:color="auto"/>
              <w:bottom w:val="nil"/>
            </w:tcBorders>
            <w:shd w:val="clear" w:color="auto" w:fill="D9D9D9" w:themeFill="background1" w:themeFillShade="D9"/>
            <w:noWrap/>
            <w:hideMark/>
          </w:tcPr>
          <w:p w14:paraId="5CE161C9"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3,984</w:t>
            </w:r>
          </w:p>
        </w:tc>
      </w:tr>
      <w:tr w:rsidR="00FB51F2" w:rsidRPr="00D2134C" w14:paraId="1D49B886" w14:textId="77777777" w:rsidTr="00C63713">
        <w:trPr>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noWrap/>
            <w:hideMark/>
          </w:tcPr>
          <w:p w14:paraId="0CBE787E" w14:textId="77777777" w:rsidR="00747F39" w:rsidRPr="00D2134C" w:rsidRDefault="00747F39" w:rsidP="0011586B">
            <w:pPr>
              <w:pStyle w:val="FGCTABLENORMAL"/>
              <w:rPr>
                <w:bCs/>
                <w:i/>
                <w:iCs/>
                <w:color w:val="000000"/>
                <w:lang w:eastAsia="zh-CN"/>
              </w:rPr>
            </w:pPr>
            <w:r w:rsidRPr="00D2134C">
              <w:rPr>
                <w:bCs/>
                <w:i/>
                <w:iCs/>
                <w:color w:val="000000"/>
                <w:lang w:eastAsia="zh-CN"/>
              </w:rPr>
              <w:t>Subtotal: updates for experience and Annual Pricing Review</w:t>
            </w:r>
          </w:p>
        </w:tc>
        <w:tc>
          <w:tcPr>
            <w:tcW w:w="1134" w:type="dxa"/>
            <w:shd w:val="clear" w:color="auto" w:fill="auto"/>
            <w:noWrap/>
            <w:hideMark/>
          </w:tcPr>
          <w:p w14:paraId="02212B4E"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450</w:t>
            </w:r>
          </w:p>
        </w:tc>
        <w:tc>
          <w:tcPr>
            <w:tcW w:w="1134" w:type="dxa"/>
            <w:shd w:val="clear" w:color="auto" w:fill="auto"/>
            <w:noWrap/>
            <w:hideMark/>
          </w:tcPr>
          <w:p w14:paraId="4D870549"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-118</w:t>
            </w:r>
          </w:p>
        </w:tc>
        <w:tc>
          <w:tcPr>
            <w:tcW w:w="1134" w:type="dxa"/>
            <w:shd w:val="clear" w:color="auto" w:fill="auto"/>
            <w:noWrap/>
            <w:hideMark/>
          </w:tcPr>
          <w:p w14:paraId="4FE292F8"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-203</w:t>
            </w:r>
          </w:p>
        </w:tc>
        <w:tc>
          <w:tcPr>
            <w:tcW w:w="1134" w:type="dxa"/>
            <w:tcBorders>
              <w:right w:val="dotted" w:sz="4" w:space="0" w:color="auto"/>
            </w:tcBorders>
            <w:shd w:val="clear" w:color="auto" w:fill="auto"/>
            <w:noWrap/>
            <w:hideMark/>
          </w:tcPr>
          <w:p w14:paraId="422D0F95"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-234</w:t>
            </w:r>
          </w:p>
        </w:tc>
        <w:tc>
          <w:tcPr>
            <w:tcW w:w="1134" w:type="dxa"/>
            <w:tcBorders>
              <w:top w:val="nil"/>
              <w:left w:val="dotted" w:sz="4" w:space="0" w:color="auto"/>
              <w:bottom w:val="nil"/>
              <w:right w:val="single" w:sz="4" w:space="0" w:color="auto"/>
            </w:tcBorders>
            <w:shd w:val="clear" w:color="auto" w:fill="auto"/>
            <w:noWrap/>
            <w:hideMark/>
          </w:tcPr>
          <w:p w14:paraId="55BB98A6"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-836</w:t>
            </w:r>
          </w:p>
        </w:tc>
        <w:tc>
          <w:tcPr>
            <w:tcW w:w="1134" w:type="dxa"/>
            <w:tcBorders>
              <w:top w:val="nil"/>
              <w:left w:val="single" w:sz="4" w:space="0" w:color="auto"/>
              <w:bottom w:val="nil"/>
            </w:tcBorders>
            <w:shd w:val="clear" w:color="auto" w:fill="auto"/>
            <w:noWrap/>
            <w:hideMark/>
          </w:tcPr>
          <w:p w14:paraId="18DC0A20"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rPr>
              <w:t>-105</w:t>
            </w:r>
          </w:p>
        </w:tc>
      </w:tr>
      <w:tr w:rsidR="00FB51F2" w:rsidRPr="00D2134C" w14:paraId="3AD3FD2E" w14:textId="77777777" w:rsidTr="00C6371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noWrap/>
            <w:hideMark/>
          </w:tcPr>
          <w:p w14:paraId="76EA59EF" w14:textId="77777777" w:rsidR="00747F39" w:rsidRPr="00D2134C" w:rsidRDefault="00747F39" w:rsidP="0011586B">
            <w:pPr>
              <w:pStyle w:val="FGCTABLENORMAL"/>
              <w:rPr>
                <w:color w:val="000000"/>
                <w:lang w:eastAsia="zh-CN"/>
              </w:rPr>
            </w:pPr>
            <w:r w:rsidRPr="00D2134C">
              <w:rPr>
                <w:color w:val="000000"/>
                <w:lang w:eastAsia="zh-CN"/>
              </w:rPr>
              <w:t xml:space="preserve">Update for all changes to participant population assumptions </w:t>
            </w:r>
          </w:p>
        </w:tc>
        <w:tc>
          <w:tcPr>
            <w:tcW w:w="1134" w:type="dxa"/>
            <w:shd w:val="clear" w:color="auto" w:fill="D9D9D9" w:themeFill="background1" w:themeFillShade="D9"/>
            <w:noWrap/>
            <w:hideMark/>
          </w:tcPr>
          <w:p w14:paraId="17891F36"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82</w:t>
            </w:r>
          </w:p>
        </w:tc>
        <w:tc>
          <w:tcPr>
            <w:tcW w:w="1134" w:type="dxa"/>
            <w:shd w:val="clear" w:color="auto" w:fill="D9D9D9" w:themeFill="background1" w:themeFillShade="D9"/>
            <w:noWrap/>
            <w:hideMark/>
          </w:tcPr>
          <w:p w14:paraId="027F17FD"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409</w:t>
            </w:r>
          </w:p>
        </w:tc>
        <w:tc>
          <w:tcPr>
            <w:tcW w:w="1134" w:type="dxa"/>
            <w:shd w:val="clear" w:color="auto" w:fill="D9D9D9" w:themeFill="background1" w:themeFillShade="D9"/>
            <w:noWrap/>
            <w:hideMark/>
          </w:tcPr>
          <w:p w14:paraId="60C7EF51"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876</w:t>
            </w:r>
          </w:p>
        </w:tc>
        <w:tc>
          <w:tcPr>
            <w:tcW w:w="1134" w:type="dxa"/>
            <w:tcBorders>
              <w:right w:val="dotted" w:sz="4" w:space="0" w:color="auto"/>
            </w:tcBorders>
            <w:shd w:val="clear" w:color="auto" w:fill="D9D9D9" w:themeFill="background1" w:themeFillShade="D9"/>
            <w:noWrap/>
            <w:hideMark/>
          </w:tcPr>
          <w:p w14:paraId="7134EF49"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1,304</w:t>
            </w:r>
          </w:p>
        </w:tc>
        <w:tc>
          <w:tcPr>
            <w:tcW w:w="1134" w:type="dxa"/>
            <w:tcBorders>
              <w:top w:val="nil"/>
              <w:left w:val="dotted" w:sz="4" w:space="0" w:color="auto"/>
              <w:bottom w:val="nil"/>
              <w:right w:val="single" w:sz="4" w:space="0" w:color="auto"/>
            </w:tcBorders>
            <w:shd w:val="clear" w:color="auto" w:fill="D9D9D9" w:themeFill="background1" w:themeFillShade="D9"/>
            <w:noWrap/>
            <w:hideMark/>
          </w:tcPr>
          <w:p w14:paraId="16CCB3D7"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4,825</w:t>
            </w:r>
          </w:p>
        </w:tc>
        <w:tc>
          <w:tcPr>
            <w:tcW w:w="1134" w:type="dxa"/>
            <w:tcBorders>
              <w:top w:val="nil"/>
              <w:left w:val="single" w:sz="4" w:space="0" w:color="auto"/>
              <w:bottom w:val="nil"/>
            </w:tcBorders>
            <w:shd w:val="clear" w:color="auto" w:fill="D9D9D9" w:themeFill="background1" w:themeFillShade="D9"/>
            <w:noWrap/>
            <w:hideMark/>
          </w:tcPr>
          <w:p w14:paraId="461BFD5F"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color w:val="000000"/>
                <w:lang w:eastAsia="zh-CN"/>
              </w:rPr>
            </w:pPr>
            <w:r w:rsidRPr="00D2134C">
              <w:rPr>
                <w:color w:val="000000"/>
                <w:lang w:eastAsia="zh-CN"/>
              </w:rPr>
              <w:t>2,671</w:t>
            </w:r>
          </w:p>
        </w:tc>
      </w:tr>
      <w:tr w:rsidR="00C13365" w:rsidRPr="00D2134C" w14:paraId="3D2EE44B" w14:textId="77777777" w:rsidTr="00C63713">
        <w:trPr>
          <w:trHeight w:val="301"/>
        </w:trPr>
        <w:tc>
          <w:tcPr>
            <w:cnfStyle w:val="001000000000" w:firstRow="0" w:lastRow="0" w:firstColumn="1" w:lastColumn="0" w:oddVBand="0" w:evenVBand="0" w:oddHBand="0" w:evenHBand="0" w:firstRowFirstColumn="0" w:firstRowLastColumn="0" w:lastRowFirstColumn="0" w:lastRowLastColumn="0"/>
            <w:tcW w:w="2694" w:type="dxa"/>
            <w:noWrap/>
            <w:hideMark/>
          </w:tcPr>
          <w:p w14:paraId="71A4951D" w14:textId="77777777" w:rsidR="00747F39" w:rsidRPr="00D2134C" w:rsidRDefault="00747F39" w:rsidP="0011586B">
            <w:pPr>
              <w:pStyle w:val="FGCTABLENORMAL"/>
              <w:rPr>
                <w:color w:val="000000"/>
                <w:lang w:eastAsia="zh-CN"/>
              </w:rPr>
            </w:pPr>
            <w:r w:rsidRPr="00D2134C">
              <w:rPr>
                <w:color w:val="000000"/>
                <w:lang w:eastAsia="zh-CN"/>
              </w:rPr>
              <w:t xml:space="preserve">Update for normal inflation </w:t>
            </w:r>
          </w:p>
        </w:tc>
        <w:tc>
          <w:tcPr>
            <w:tcW w:w="1134" w:type="dxa"/>
            <w:noWrap/>
            <w:hideMark/>
          </w:tcPr>
          <w:p w14:paraId="51F97DB5"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0</w:t>
            </w:r>
          </w:p>
        </w:tc>
        <w:tc>
          <w:tcPr>
            <w:tcW w:w="1134" w:type="dxa"/>
            <w:noWrap/>
            <w:hideMark/>
          </w:tcPr>
          <w:p w14:paraId="6B58727A"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327</w:t>
            </w:r>
          </w:p>
        </w:tc>
        <w:tc>
          <w:tcPr>
            <w:tcW w:w="1134" w:type="dxa"/>
            <w:noWrap/>
            <w:hideMark/>
          </w:tcPr>
          <w:p w14:paraId="3B2C9779"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518</w:t>
            </w:r>
          </w:p>
        </w:tc>
        <w:tc>
          <w:tcPr>
            <w:tcW w:w="1134" w:type="dxa"/>
            <w:tcBorders>
              <w:right w:val="dotted" w:sz="4" w:space="0" w:color="auto"/>
            </w:tcBorders>
            <w:noWrap/>
            <w:hideMark/>
          </w:tcPr>
          <w:p w14:paraId="38BBDF30"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735</w:t>
            </w:r>
          </w:p>
        </w:tc>
        <w:tc>
          <w:tcPr>
            <w:tcW w:w="1134" w:type="dxa"/>
            <w:tcBorders>
              <w:top w:val="nil"/>
              <w:left w:val="dotted" w:sz="4" w:space="0" w:color="auto"/>
              <w:bottom w:val="nil"/>
              <w:right w:val="single" w:sz="4" w:space="0" w:color="auto"/>
            </w:tcBorders>
            <w:noWrap/>
            <w:hideMark/>
          </w:tcPr>
          <w:p w14:paraId="1A6E134D"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1,200</w:t>
            </w:r>
          </w:p>
        </w:tc>
        <w:tc>
          <w:tcPr>
            <w:tcW w:w="1134" w:type="dxa"/>
            <w:tcBorders>
              <w:top w:val="nil"/>
              <w:left w:val="single" w:sz="4" w:space="0" w:color="auto"/>
              <w:bottom w:val="nil"/>
            </w:tcBorders>
            <w:noWrap/>
            <w:hideMark/>
          </w:tcPr>
          <w:p w14:paraId="0BE722CE"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color w:val="000000"/>
                <w:highlight w:val="yellow"/>
                <w:lang w:eastAsia="zh-CN"/>
              </w:rPr>
            </w:pPr>
            <w:r w:rsidRPr="00D2134C">
              <w:rPr>
                <w:color w:val="000000"/>
              </w:rPr>
              <w:t>1,579</w:t>
            </w:r>
          </w:p>
        </w:tc>
      </w:tr>
      <w:tr w:rsidR="00FB51F2" w:rsidRPr="00D2134C" w14:paraId="28ECD65F" w14:textId="77777777" w:rsidTr="00C63713">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694" w:type="dxa"/>
            <w:shd w:val="clear" w:color="auto" w:fill="D9D9D9" w:themeFill="background1" w:themeFillShade="D9"/>
            <w:noWrap/>
            <w:hideMark/>
          </w:tcPr>
          <w:p w14:paraId="4AF8F892" w14:textId="77777777" w:rsidR="00747F39" w:rsidRPr="00D2134C" w:rsidRDefault="00747F39" w:rsidP="0011586B">
            <w:pPr>
              <w:pStyle w:val="FGCTABLENORMAL"/>
              <w:rPr>
                <w:bCs/>
                <w:i/>
                <w:iCs/>
                <w:color w:val="000000"/>
                <w:lang w:eastAsia="zh-CN"/>
              </w:rPr>
            </w:pPr>
            <w:r w:rsidRPr="00D2134C">
              <w:rPr>
                <w:color w:val="000000"/>
                <w:lang w:eastAsia="zh-CN"/>
              </w:rPr>
              <w:t>Update for additional inflation</w:t>
            </w:r>
          </w:p>
        </w:tc>
        <w:tc>
          <w:tcPr>
            <w:tcW w:w="1134" w:type="dxa"/>
            <w:shd w:val="clear" w:color="auto" w:fill="D9D9D9" w:themeFill="background1" w:themeFillShade="D9"/>
            <w:noWrap/>
            <w:hideMark/>
          </w:tcPr>
          <w:p w14:paraId="4C64E563"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-442</w:t>
            </w:r>
          </w:p>
        </w:tc>
        <w:tc>
          <w:tcPr>
            <w:tcW w:w="1134" w:type="dxa"/>
            <w:shd w:val="clear" w:color="auto" w:fill="D9D9D9" w:themeFill="background1" w:themeFillShade="D9"/>
            <w:noWrap/>
            <w:hideMark/>
          </w:tcPr>
          <w:p w14:paraId="55C0D377"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-458</w:t>
            </w:r>
          </w:p>
        </w:tc>
        <w:tc>
          <w:tcPr>
            <w:tcW w:w="1134" w:type="dxa"/>
            <w:shd w:val="clear" w:color="auto" w:fill="D9D9D9" w:themeFill="background1" w:themeFillShade="D9"/>
            <w:noWrap/>
            <w:hideMark/>
          </w:tcPr>
          <w:p w14:paraId="617D6787"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1,553</w:t>
            </w:r>
          </w:p>
        </w:tc>
        <w:tc>
          <w:tcPr>
            <w:tcW w:w="1134" w:type="dxa"/>
            <w:tcBorders>
              <w:right w:val="dotted" w:sz="4" w:space="0" w:color="auto"/>
            </w:tcBorders>
            <w:shd w:val="clear" w:color="auto" w:fill="D9D9D9" w:themeFill="background1" w:themeFillShade="D9"/>
            <w:noWrap/>
            <w:hideMark/>
          </w:tcPr>
          <w:p w14:paraId="22F98414"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3,988</w:t>
            </w:r>
          </w:p>
        </w:tc>
        <w:tc>
          <w:tcPr>
            <w:tcW w:w="1134" w:type="dxa"/>
            <w:tcBorders>
              <w:top w:val="nil"/>
              <w:left w:val="dotted" w:sz="4" w:space="0" w:color="auto"/>
              <w:bottom w:val="nil"/>
              <w:right w:val="single" w:sz="4" w:space="0" w:color="auto"/>
            </w:tcBorders>
            <w:shd w:val="clear" w:color="auto" w:fill="D9D9D9" w:themeFill="background1" w:themeFillShade="D9"/>
            <w:noWrap/>
            <w:hideMark/>
          </w:tcPr>
          <w:p w14:paraId="594CCB88"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16,164</w:t>
            </w:r>
          </w:p>
        </w:tc>
        <w:tc>
          <w:tcPr>
            <w:tcW w:w="1134" w:type="dxa"/>
            <w:tcBorders>
              <w:top w:val="nil"/>
              <w:left w:val="single" w:sz="4" w:space="0" w:color="auto"/>
              <w:bottom w:val="nil"/>
            </w:tcBorders>
            <w:shd w:val="clear" w:color="auto" w:fill="D9D9D9" w:themeFill="background1" w:themeFillShade="D9"/>
            <w:noWrap/>
            <w:hideMark/>
          </w:tcPr>
          <w:p w14:paraId="7228F932" w14:textId="77777777" w:rsidR="00747F39" w:rsidRPr="00D2134C" w:rsidRDefault="00747F39" w:rsidP="0011586B">
            <w:pPr>
              <w:pStyle w:val="FGCTABLENORMAL"/>
              <w:jc w:val="left"/>
              <w:cnfStyle w:val="000000010000" w:firstRow="0" w:lastRow="0" w:firstColumn="0" w:lastColumn="0" w:oddVBand="0" w:evenVBand="0" w:oddHBand="0" w:evenHBand="1" w:firstRowFirstColumn="0" w:firstRowLastColumn="0" w:lastRowFirstColumn="0" w:lastRowLastColumn="0"/>
              <w:rPr>
                <w:bCs/>
                <w:i/>
                <w:iCs/>
                <w:color w:val="000000"/>
                <w:highlight w:val="yellow"/>
                <w:lang w:eastAsia="zh-CN"/>
              </w:rPr>
            </w:pPr>
            <w:r w:rsidRPr="00D2134C">
              <w:rPr>
                <w:color w:val="000000"/>
              </w:rPr>
              <w:t>4,642</w:t>
            </w:r>
          </w:p>
        </w:tc>
      </w:tr>
      <w:tr w:rsidR="00FB51F2" w:rsidRPr="00D2134C" w14:paraId="41A5BEDB" w14:textId="77777777" w:rsidTr="00C63713">
        <w:trPr>
          <w:trHeight w:val="301"/>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bottom w:val="single" w:sz="4" w:space="0" w:color="auto"/>
            </w:tcBorders>
            <w:shd w:val="clear" w:color="auto" w:fill="D4C5D7"/>
            <w:noWrap/>
            <w:hideMark/>
          </w:tcPr>
          <w:p w14:paraId="20E8C0DF" w14:textId="50207CD4" w:rsidR="00747F39" w:rsidRPr="00EE2D88" w:rsidRDefault="00747F39" w:rsidP="0011586B">
            <w:pPr>
              <w:pStyle w:val="FGCTABLENORMAL"/>
              <w:rPr>
                <w:bCs/>
                <w:color w:val="000000"/>
                <w:lang w:eastAsia="zh-CN"/>
              </w:rPr>
            </w:pPr>
            <w:r w:rsidRPr="00EE2D88">
              <w:rPr>
                <w:bCs/>
                <w:color w:val="000000"/>
                <w:lang w:eastAsia="zh-CN"/>
              </w:rPr>
              <w:t xml:space="preserve">Total </w:t>
            </w:r>
            <w:r w:rsidR="00C15684" w:rsidRPr="00EE2D88">
              <w:rPr>
                <w:bCs/>
                <w:color w:val="000000"/>
                <w:lang w:eastAsia="zh-CN"/>
              </w:rPr>
              <w:t>u</w:t>
            </w:r>
            <w:r w:rsidRPr="00EE2D88">
              <w:rPr>
                <w:bCs/>
                <w:color w:val="000000"/>
                <w:lang w:eastAsia="zh-CN"/>
              </w:rPr>
              <w:t>pdates for all changes</w:t>
            </w:r>
          </w:p>
        </w:tc>
        <w:tc>
          <w:tcPr>
            <w:tcW w:w="1134" w:type="dxa"/>
            <w:tcBorders>
              <w:top w:val="single" w:sz="4" w:space="0" w:color="auto"/>
              <w:bottom w:val="single" w:sz="4" w:space="0" w:color="auto"/>
            </w:tcBorders>
            <w:shd w:val="clear" w:color="auto" w:fill="D4C5D7"/>
            <w:noWrap/>
            <w:hideMark/>
          </w:tcPr>
          <w:p w14:paraId="1C3BF3FF"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90</w:t>
            </w:r>
          </w:p>
        </w:tc>
        <w:tc>
          <w:tcPr>
            <w:tcW w:w="1134" w:type="dxa"/>
            <w:tcBorders>
              <w:top w:val="single" w:sz="4" w:space="0" w:color="auto"/>
              <w:bottom w:val="single" w:sz="4" w:space="0" w:color="auto"/>
            </w:tcBorders>
            <w:shd w:val="clear" w:color="auto" w:fill="D4C5D7"/>
            <w:noWrap/>
            <w:hideMark/>
          </w:tcPr>
          <w:p w14:paraId="430C2DF7"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160</w:t>
            </w:r>
          </w:p>
        </w:tc>
        <w:tc>
          <w:tcPr>
            <w:tcW w:w="1134" w:type="dxa"/>
            <w:tcBorders>
              <w:top w:val="single" w:sz="4" w:space="0" w:color="auto"/>
              <w:bottom w:val="single" w:sz="4" w:space="0" w:color="auto"/>
            </w:tcBorders>
            <w:shd w:val="clear" w:color="auto" w:fill="D4C5D7"/>
            <w:noWrap/>
            <w:hideMark/>
          </w:tcPr>
          <w:p w14:paraId="454C3CA4"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2,743</w:t>
            </w:r>
          </w:p>
        </w:tc>
        <w:tc>
          <w:tcPr>
            <w:tcW w:w="1134" w:type="dxa"/>
            <w:tcBorders>
              <w:top w:val="single" w:sz="4" w:space="0" w:color="auto"/>
              <w:bottom w:val="single" w:sz="4" w:space="0" w:color="auto"/>
              <w:right w:val="dotted" w:sz="4" w:space="0" w:color="auto"/>
            </w:tcBorders>
            <w:shd w:val="clear" w:color="auto" w:fill="D4C5D7"/>
            <w:noWrap/>
            <w:hideMark/>
          </w:tcPr>
          <w:p w14:paraId="18BF263D"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5,793</w:t>
            </w:r>
          </w:p>
        </w:tc>
        <w:tc>
          <w:tcPr>
            <w:tcW w:w="1134" w:type="dxa"/>
            <w:tcBorders>
              <w:top w:val="single" w:sz="4" w:space="0" w:color="auto"/>
              <w:left w:val="dotted" w:sz="4" w:space="0" w:color="auto"/>
              <w:bottom w:val="single" w:sz="4" w:space="0" w:color="auto"/>
              <w:right w:val="single" w:sz="4" w:space="0" w:color="auto"/>
            </w:tcBorders>
            <w:shd w:val="clear" w:color="auto" w:fill="D4C5D7"/>
            <w:noWrap/>
            <w:hideMark/>
          </w:tcPr>
          <w:p w14:paraId="782AB0A6"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21,354</w:t>
            </w:r>
          </w:p>
        </w:tc>
        <w:tc>
          <w:tcPr>
            <w:tcW w:w="1134" w:type="dxa"/>
            <w:tcBorders>
              <w:top w:val="single" w:sz="4" w:space="0" w:color="auto"/>
              <w:left w:val="single" w:sz="4" w:space="0" w:color="auto"/>
              <w:bottom w:val="single" w:sz="4" w:space="0" w:color="auto"/>
            </w:tcBorders>
            <w:shd w:val="clear" w:color="auto" w:fill="D4C5D7"/>
            <w:noWrap/>
            <w:hideMark/>
          </w:tcPr>
          <w:p w14:paraId="18C7BCE1" w14:textId="77777777" w:rsidR="00747F39" w:rsidRPr="00D2134C" w:rsidRDefault="00747F39" w:rsidP="0011586B">
            <w:pPr>
              <w:pStyle w:val="FGCTABLENORMAL"/>
              <w:jc w:val="left"/>
              <w:cnfStyle w:val="000000000000" w:firstRow="0" w:lastRow="0" w:firstColumn="0" w:lastColumn="0" w:oddVBand="0" w:evenVBand="0" w:oddHBand="0" w:evenHBand="0" w:firstRowFirstColumn="0" w:firstRowLastColumn="0" w:lastRowFirstColumn="0" w:lastRowLastColumn="0"/>
              <w:rPr>
                <w:bCs/>
                <w:i/>
                <w:iCs/>
                <w:color w:val="000000"/>
                <w:lang w:eastAsia="zh-CN"/>
              </w:rPr>
            </w:pPr>
            <w:r w:rsidRPr="00D2134C">
              <w:rPr>
                <w:bCs/>
                <w:i/>
                <w:iCs/>
                <w:color w:val="000000"/>
                <w:lang w:eastAsia="zh-CN"/>
              </w:rPr>
              <w:t>8,786</w:t>
            </w:r>
          </w:p>
        </w:tc>
      </w:tr>
    </w:tbl>
    <w:p w14:paraId="0E97BD77" w14:textId="02042F52" w:rsidR="00747F39" w:rsidRPr="00D2134C" w:rsidRDefault="00747F39" w:rsidP="00D2134C">
      <w:pPr>
        <w:pStyle w:val="FGCNORMAL"/>
        <w:rPr>
          <w:rStyle w:val="FSRlistChar"/>
          <w:szCs w:val="22"/>
        </w:rPr>
      </w:pPr>
      <w:proofErr w:type="gramStart"/>
      <w:r w:rsidRPr="00D2134C">
        <w:t>Past experience</w:t>
      </w:r>
      <w:proofErr w:type="gramEnd"/>
      <w:r w:rsidRPr="00D2134C">
        <w:t xml:space="preserve"> and the Annual Pricing Review have resulted in a projection</w:t>
      </w:r>
      <w:r w:rsidRPr="00D2134C">
        <w:rPr>
          <w:rStyle w:val="FSRlistChar"/>
          <w:szCs w:val="22"/>
        </w:rPr>
        <w:t xml:space="preserve"> which is essentially unchanged (a $0.1</w:t>
      </w:r>
      <w:r w:rsidR="00CE2F17">
        <w:rPr>
          <w:rStyle w:val="FSRlistChar"/>
          <w:szCs w:val="22"/>
        </w:rPr>
        <w:t xml:space="preserve"> </w:t>
      </w:r>
      <w:r w:rsidRPr="00D2134C">
        <w:rPr>
          <w:rStyle w:val="FSRlistChar"/>
          <w:szCs w:val="22"/>
        </w:rPr>
        <w:t>b</w:t>
      </w:r>
      <w:r w:rsidR="00CE2F17">
        <w:rPr>
          <w:rStyle w:val="FSRlistChar"/>
          <w:szCs w:val="22"/>
        </w:rPr>
        <w:t>illio</w:t>
      </w:r>
      <w:r w:rsidRPr="00D2134C">
        <w:rPr>
          <w:rStyle w:val="FSRlistChar"/>
          <w:szCs w:val="22"/>
        </w:rPr>
        <w:t xml:space="preserve">n reduction) for the </w:t>
      </w:r>
      <w:r w:rsidR="005A7B6B">
        <w:rPr>
          <w:rStyle w:val="FSRlistChar"/>
          <w:szCs w:val="22"/>
        </w:rPr>
        <w:t>4</w:t>
      </w:r>
      <w:r w:rsidR="005A7B6B" w:rsidRPr="00D2134C">
        <w:rPr>
          <w:rStyle w:val="FSRlistChar"/>
          <w:szCs w:val="22"/>
        </w:rPr>
        <w:t xml:space="preserve"> </w:t>
      </w:r>
      <w:r w:rsidRPr="00D2134C">
        <w:rPr>
          <w:rStyle w:val="FSRlistChar"/>
          <w:szCs w:val="22"/>
        </w:rPr>
        <w:t>years (2022</w:t>
      </w:r>
      <w:r w:rsidR="005A7B6B">
        <w:rPr>
          <w:rStyle w:val="FSRlistChar"/>
          <w:szCs w:val="22"/>
        </w:rPr>
        <w:t>–</w:t>
      </w:r>
      <w:r w:rsidRPr="00D2134C">
        <w:rPr>
          <w:rStyle w:val="FSRlistChar"/>
          <w:szCs w:val="22"/>
        </w:rPr>
        <w:t>26), comprising:  </w:t>
      </w:r>
    </w:p>
    <w:p w14:paraId="6E4C32E7" w14:textId="0870560C" w:rsidR="00747F39" w:rsidRPr="00D2134C" w:rsidRDefault="00747F39" w:rsidP="0011586B">
      <w:pPr>
        <w:pStyle w:val="FGCBULLET1"/>
        <w:rPr>
          <w:rFonts w:ascii="Calibri" w:hAnsi="Calibri" w:cs="Calibri"/>
          <w:lang w:eastAsia="en-AU"/>
        </w:rPr>
      </w:pPr>
      <w:r w:rsidRPr="00D2134C">
        <w:rPr>
          <w:lang w:eastAsia="en-AU"/>
        </w:rPr>
        <w:t xml:space="preserve">a $3.9 billion increase due to </w:t>
      </w:r>
      <w:proofErr w:type="gramStart"/>
      <w:r w:rsidRPr="00D2134C">
        <w:rPr>
          <w:lang w:eastAsia="en-AU"/>
        </w:rPr>
        <w:t>higher than expected</w:t>
      </w:r>
      <w:proofErr w:type="gramEnd"/>
      <w:r w:rsidRPr="00D2134C">
        <w:rPr>
          <w:lang w:eastAsia="en-AU"/>
        </w:rPr>
        <w:t xml:space="preserve"> numbers of participants and a different mix of participants compared with expected</w:t>
      </w:r>
    </w:p>
    <w:p w14:paraId="7C49BC5A" w14:textId="7F7F8263" w:rsidR="00747F39" w:rsidRPr="00D2134C" w:rsidRDefault="00747F39" w:rsidP="0011586B">
      <w:pPr>
        <w:pStyle w:val="FGCBULLET1"/>
        <w:rPr>
          <w:rFonts w:ascii="Calibri" w:hAnsi="Calibri" w:cs="Calibri"/>
          <w:lang w:eastAsia="en-AU"/>
        </w:rPr>
      </w:pPr>
      <w:r w:rsidRPr="00D2134C">
        <w:rPr>
          <w:lang w:eastAsia="en-AU"/>
        </w:rPr>
        <w:t xml:space="preserve">an $8.0 billion reduction due to </w:t>
      </w:r>
      <w:proofErr w:type="gramStart"/>
      <w:r w:rsidRPr="00D2134C">
        <w:rPr>
          <w:lang w:eastAsia="en-AU"/>
        </w:rPr>
        <w:t>lower than expected</w:t>
      </w:r>
      <w:proofErr w:type="gramEnd"/>
      <w:r w:rsidRPr="00D2134C">
        <w:rPr>
          <w:lang w:eastAsia="en-AU"/>
        </w:rPr>
        <w:t xml:space="preserve"> average payments per participant in </w:t>
      </w:r>
      <w:r w:rsidR="00140C64">
        <w:rPr>
          <w:lang w:eastAsia="en-AU"/>
        </w:rPr>
        <w:t>2021‒22</w:t>
      </w:r>
      <w:r w:rsidRPr="00D2134C">
        <w:rPr>
          <w:lang w:eastAsia="en-AU"/>
        </w:rPr>
        <w:t>, and hence a lower starting point for the projection. This is driven by several factors including prolonged lockdowns due to</w:t>
      </w:r>
      <w:r w:rsidR="00CE2F17">
        <w:rPr>
          <w:lang w:eastAsia="en-AU"/>
        </w:rPr>
        <w:t xml:space="preserve"> the</w:t>
      </w:r>
      <w:r w:rsidRPr="00D2134C">
        <w:rPr>
          <w:lang w:eastAsia="en-AU"/>
        </w:rPr>
        <w:t xml:space="preserve"> COVID-19 pandemic and workforce shortages materialising in the second half of </w:t>
      </w:r>
      <w:r w:rsidR="005C631E">
        <w:rPr>
          <w:lang w:eastAsia="en-AU"/>
        </w:rPr>
        <w:t>2021‒</w:t>
      </w:r>
      <w:r w:rsidRPr="00D2134C">
        <w:rPr>
          <w:lang w:eastAsia="en-AU"/>
        </w:rPr>
        <w:t>22, impacting availability of support workers</w:t>
      </w:r>
    </w:p>
    <w:p w14:paraId="33CBD363" w14:textId="68E67B32" w:rsidR="00747F39" w:rsidRPr="00D2134C" w:rsidRDefault="00747F39" w:rsidP="0011586B">
      <w:pPr>
        <w:pStyle w:val="FGCBULLET1"/>
        <w:rPr>
          <w:rFonts w:ascii="Calibri" w:hAnsi="Calibri" w:cs="Calibri"/>
          <w:lang w:eastAsia="en-AU"/>
        </w:rPr>
      </w:pPr>
      <w:r w:rsidRPr="00D2134C">
        <w:rPr>
          <w:lang w:eastAsia="en-AU"/>
        </w:rPr>
        <w:t>a $4.0 billion increase due to the 2022</w:t>
      </w:r>
      <w:r w:rsidR="005C631E">
        <w:rPr>
          <w:lang w:eastAsia="en-AU"/>
        </w:rPr>
        <w:t>‒</w:t>
      </w:r>
      <w:r w:rsidRPr="00D2134C">
        <w:rPr>
          <w:lang w:eastAsia="en-AU"/>
        </w:rPr>
        <w:t>23 Annual Pricing Review (APR). The update to prices in the APR reflects the Fair Work Commission increase to the national minimum wage for disability support workers as well as additional inflationary pressures related to attendant care in the current COVID-19 impacted environment.  </w:t>
      </w:r>
    </w:p>
    <w:p w14:paraId="2D795F33" w14:textId="75981E59" w:rsidR="00747F39" w:rsidRPr="00D2134C" w:rsidRDefault="00747F39" w:rsidP="00E24940">
      <w:pPr>
        <w:pStyle w:val="FGCNORMAL"/>
      </w:pPr>
      <w:r w:rsidRPr="00D2134C">
        <w:t>Future assumptions result in an increase of $8.9</w:t>
      </w:r>
      <w:r w:rsidR="00872F3E">
        <w:t xml:space="preserve"> </w:t>
      </w:r>
      <w:r w:rsidRPr="00D2134C">
        <w:t>b</w:t>
      </w:r>
      <w:r w:rsidR="00872F3E">
        <w:t>illio</w:t>
      </w:r>
      <w:r w:rsidRPr="00D2134C">
        <w:t xml:space="preserve">n for the </w:t>
      </w:r>
      <w:r w:rsidR="00872F3E">
        <w:t>4</w:t>
      </w:r>
      <w:r w:rsidRPr="00D2134C">
        <w:t xml:space="preserve"> years (2022</w:t>
      </w:r>
      <w:r w:rsidR="005C631E">
        <w:t>‒</w:t>
      </w:r>
      <w:r w:rsidRPr="00D2134C">
        <w:t>26), comprising:</w:t>
      </w:r>
    </w:p>
    <w:p w14:paraId="2445E006" w14:textId="719DE8A6" w:rsidR="00747F39" w:rsidRPr="00D2134C" w:rsidRDefault="00747F39" w:rsidP="0011586B">
      <w:pPr>
        <w:pStyle w:val="FGCBULLET1"/>
        <w:rPr>
          <w:rFonts w:ascii="Calibri" w:hAnsi="Calibri" w:cs="Calibri"/>
          <w:lang w:eastAsia="en-AU"/>
        </w:rPr>
      </w:pPr>
      <w:r w:rsidRPr="00D2134C">
        <w:rPr>
          <w:lang w:eastAsia="en-AU"/>
        </w:rPr>
        <w:t>a $2.7 billion increase due to higher new entrant assumptions and assumptions of fewer participants leaving the Scheme to better reflect recent experience</w:t>
      </w:r>
    </w:p>
    <w:p w14:paraId="2A89F456" w14:textId="7666EB37" w:rsidR="00747F39" w:rsidRPr="00D2134C" w:rsidRDefault="00747F39" w:rsidP="00BD6FD0">
      <w:pPr>
        <w:pStyle w:val="FGCBULLET1"/>
        <w:rPr>
          <w:rFonts w:ascii="Calibri" w:hAnsi="Calibri" w:cs="Calibri"/>
          <w:lang w:eastAsia="en-AU"/>
        </w:rPr>
      </w:pPr>
      <w:r w:rsidRPr="00D2134C">
        <w:rPr>
          <w:lang w:eastAsia="en-AU"/>
        </w:rPr>
        <w:t>a $1.6 billion increase due to higher expectations regarding normal inflation after 2022</w:t>
      </w:r>
      <w:r w:rsidR="005C631E">
        <w:rPr>
          <w:lang w:eastAsia="en-AU"/>
        </w:rPr>
        <w:t>‒</w:t>
      </w:r>
      <w:r w:rsidRPr="00D2134C">
        <w:rPr>
          <w:lang w:eastAsia="en-AU"/>
        </w:rPr>
        <w:t xml:space="preserve">23. </w:t>
      </w:r>
      <w:r w:rsidRPr="00D2134C">
        <w:t xml:space="preserve">Normal inflation refers to the increases in the prices paid for supports and reflects both average increases to wage inflation and the </w:t>
      </w:r>
      <w:r w:rsidR="00144E9C">
        <w:t>c</w:t>
      </w:r>
      <w:r w:rsidRPr="00D2134C">
        <w:t xml:space="preserve">onsumer </w:t>
      </w:r>
      <w:r w:rsidR="00144E9C">
        <w:t>p</w:t>
      </w:r>
      <w:r w:rsidRPr="00D2134C">
        <w:t xml:space="preserve">rice </w:t>
      </w:r>
      <w:r w:rsidR="00144E9C">
        <w:t>i</w:t>
      </w:r>
      <w:r w:rsidRPr="00D2134C">
        <w:t>ndex (CPI)</w:t>
      </w:r>
    </w:p>
    <w:p w14:paraId="096F4835" w14:textId="77777777" w:rsidR="00747F39" w:rsidRPr="00D2134C" w:rsidRDefault="00747F39" w:rsidP="0011586B">
      <w:pPr>
        <w:pStyle w:val="FGCBULLET1"/>
        <w:rPr>
          <w:lang w:eastAsia="en-AU"/>
        </w:rPr>
      </w:pPr>
      <w:r w:rsidRPr="00D2134C">
        <w:rPr>
          <w:lang w:eastAsia="en-AU"/>
        </w:rPr>
        <w:t xml:space="preserve">a $4.6 billion increase due to changes in additional inflation assumptions. Additional inflation (in addition to normal inflation) may arise from a variety of sources including future </w:t>
      </w:r>
      <w:r w:rsidRPr="00D2134C">
        <w:t xml:space="preserve">price increases </w:t>
      </w:r>
      <w:proofErr w:type="gramStart"/>
      <w:r w:rsidRPr="00D2134C">
        <w:t>in excess of</w:t>
      </w:r>
      <w:proofErr w:type="gramEnd"/>
      <w:r w:rsidRPr="00D2134C">
        <w:t xml:space="preserve"> normal inflation, increased volumes of service being utilised by </w:t>
      </w:r>
      <w:r w:rsidRPr="00D2134C">
        <w:lastRenderedPageBreak/>
        <w:t>participants, reductions in levels of informal support received by participants and increases in the scope of supports provided by the Scheme</w:t>
      </w:r>
      <w:r w:rsidRPr="00D2134C">
        <w:rPr>
          <w:rStyle w:val="FootnoteReference"/>
        </w:rPr>
        <w:footnoteReference w:id="12"/>
      </w:r>
      <w:r w:rsidRPr="00D2134C">
        <w:t>.</w:t>
      </w:r>
    </w:p>
    <w:p w14:paraId="4D4DF3A9" w14:textId="77777777" w:rsidR="00747F39" w:rsidRPr="00D2134C" w:rsidRDefault="00747F39" w:rsidP="00CE04C7">
      <w:pPr>
        <w:pStyle w:val="FGCHEADING4"/>
      </w:pPr>
      <w:r w:rsidRPr="00D2134C">
        <w:t>Information and data used for analysis</w:t>
      </w:r>
    </w:p>
    <w:p w14:paraId="428985B1" w14:textId="5DA026E6" w:rsidR="00747F39" w:rsidRPr="00D2134C" w:rsidRDefault="00747F39" w:rsidP="00217FA1">
      <w:pPr>
        <w:pStyle w:val="FGCNORMAL"/>
      </w:pPr>
      <w:r w:rsidRPr="00D2134C">
        <w:t xml:space="preserve">The actuarial analysis underpinning this report relies upon the </w:t>
      </w:r>
      <w:r w:rsidR="007E020C">
        <w:t>NDIA</w:t>
      </w:r>
      <w:r w:rsidRPr="00D2134C">
        <w:t xml:space="preserve">’s case management system, finance system and data warehouse, as well as external sources (such as various industry benchmarks and population surveys). The analysis in this report is based on data </w:t>
      </w:r>
      <w:proofErr w:type="gramStart"/>
      <w:r w:rsidRPr="00D2134C">
        <w:t>at</w:t>
      </w:r>
      <w:proofErr w:type="gramEnd"/>
      <w:r w:rsidRPr="00D2134C">
        <w:t xml:space="preserve"> 30 June 2022, unless stated otherwise. The sources of data are summarised in </w:t>
      </w:r>
      <w:r w:rsidR="008003DD">
        <w:t>Table 3.2.1</w:t>
      </w:r>
      <w:r w:rsidR="00272489">
        <w:t>E</w:t>
      </w:r>
      <w:r w:rsidR="000C2F89">
        <w:t>.</w:t>
      </w:r>
      <w:r w:rsidR="008003DD">
        <w:t xml:space="preserve"> </w:t>
      </w:r>
    </w:p>
    <w:p w14:paraId="30DAB556" w14:textId="5C3694E5" w:rsidR="00747F39" w:rsidRPr="00D2134C" w:rsidRDefault="00747F39" w:rsidP="00F75A63">
      <w:pPr>
        <w:pStyle w:val="FGCNORMAL"/>
        <w:keepNext/>
      </w:pPr>
      <w:bookmarkStart w:id="313" w:name="_Ref113031561"/>
      <w:r w:rsidRPr="00D2134C">
        <w:rPr>
          <w:rStyle w:val="FGCEMPHASIS"/>
        </w:rPr>
        <w:t xml:space="preserve">Table </w:t>
      </w:r>
      <w:r w:rsidR="00B67556">
        <w:rPr>
          <w:rStyle w:val="FGCEMPHASIS"/>
        </w:rPr>
        <w:t>3.2.1</w:t>
      </w:r>
      <w:r w:rsidR="00F24907">
        <w:rPr>
          <w:rStyle w:val="FGCEMPHASIS"/>
        </w:rPr>
        <w:t>E</w:t>
      </w:r>
      <w:bookmarkEnd w:id="313"/>
      <w:r w:rsidRPr="00D2134C">
        <w:t>: Summary of data utilised for actuarial analysis</w:t>
      </w:r>
    </w:p>
    <w:tbl>
      <w:tblPr>
        <w:tblStyle w:val="ListTable2"/>
        <w:tblW w:w="9356" w:type="dxa"/>
        <w:tblInd w:w="709" w:type="dxa"/>
        <w:tblBorders>
          <w:top w:val="none" w:sz="0" w:space="0" w:color="auto"/>
          <w:bottom w:val="none" w:sz="0" w:space="0" w:color="auto"/>
          <w:insideH w:val="none" w:sz="0" w:space="0" w:color="auto"/>
        </w:tblBorders>
        <w:tblLook w:val="04A0" w:firstRow="1" w:lastRow="0" w:firstColumn="1" w:lastColumn="0" w:noHBand="0" w:noVBand="1"/>
      </w:tblPr>
      <w:tblGrid>
        <w:gridCol w:w="3402"/>
        <w:gridCol w:w="5954"/>
      </w:tblGrid>
      <w:tr w:rsidR="00747F39" w:rsidRPr="00D2134C" w14:paraId="0E345CA9" w14:textId="77777777" w:rsidTr="00EE2D88">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402" w:type="dxa"/>
            <w:shd w:val="clear" w:color="auto" w:fill="6B2976"/>
            <w:vAlign w:val="center"/>
            <w:hideMark/>
          </w:tcPr>
          <w:p w14:paraId="516B7C82" w14:textId="77777777" w:rsidR="00747F39" w:rsidRPr="00963578" w:rsidRDefault="00747F39" w:rsidP="00D2134C">
            <w:pPr>
              <w:pStyle w:val="FGCTABLENORMAL"/>
              <w:rPr>
                <w:color w:val="FFFFFF" w:themeColor="background1"/>
              </w:rPr>
            </w:pPr>
            <w:r w:rsidRPr="00963578">
              <w:rPr>
                <w:color w:val="FFFFFF" w:themeColor="background1"/>
              </w:rPr>
              <w:t>Data</w:t>
            </w:r>
          </w:p>
        </w:tc>
        <w:tc>
          <w:tcPr>
            <w:tcW w:w="5954" w:type="dxa"/>
            <w:shd w:val="clear" w:color="auto" w:fill="6B2976"/>
            <w:vAlign w:val="center"/>
            <w:hideMark/>
          </w:tcPr>
          <w:p w14:paraId="23946005" w14:textId="77777777" w:rsidR="00747F39" w:rsidRPr="00963578" w:rsidRDefault="00747F39" w:rsidP="00D2134C">
            <w:pPr>
              <w:pStyle w:val="FGCTABLENORMAL"/>
              <w:cnfStyle w:val="100000000000" w:firstRow="1" w:lastRow="0" w:firstColumn="0" w:lastColumn="0" w:oddVBand="0" w:evenVBand="0" w:oddHBand="0" w:evenHBand="0" w:firstRowFirstColumn="0" w:firstRowLastColumn="0" w:lastRowFirstColumn="0" w:lastRowLastColumn="0"/>
              <w:rPr>
                <w:color w:val="FFFFFF" w:themeColor="background1"/>
              </w:rPr>
            </w:pPr>
            <w:r w:rsidRPr="00963578">
              <w:rPr>
                <w:color w:val="FFFFFF" w:themeColor="background1"/>
              </w:rPr>
              <w:t>Description</w:t>
            </w:r>
          </w:p>
        </w:tc>
      </w:tr>
      <w:tr w:rsidR="00747F39" w:rsidRPr="00D2134C" w14:paraId="35B4EDE1"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09D385C1" w14:textId="77777777" w:rsidR="00747F39" w:rsidRPr="00D2134C" w:rsidRDefault="00747F39" w:rsidP="00D2134C">
            <w:pPr>
              <w:pStyle w:val="FGCTABLENORMAL"/>
            </w:pPr>
            <w:r w:rsidRPr="00D2134C">
              <w:t>Access requests to the NDIS</w:t>
            </w:r>
          </w:p>
        </w:tc>
        <w:tc>
          <w:tcPr>
            <w:tcW w:w="5954" w:type="dxa"/>
            <w:vAlign w:val="center"/>
            <w:hideMark/>
          </w:tcPr>
          <w:p w14:paraId="12BF0619" w14:textId="731E5DF4"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Demographic information (age, gender</w:t>
            </w:r>
            <w:r w:rsidR="00144E9C">
              <w:t xml:space="preserve"> identity</w:t>
            </w:r>
            <w:r w:rsidRPr="00D2134C">
              <w:t>, disability, geographic location, living arrangements and other participant profile information)</w:t>
            </w:r>
          </w:p>
          <w:p w14:paraId="45599D69"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Contact details</w:t>
            </w:r>
          </w:p>
          <w:p w14:paraId="19F8A50E"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Access request date</w:t>
            </w:r>
          </w:p>
          <w:p w14:paraId="72E0D0BE"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Outcome of request (for example: eligible, ineligible)</w:t>
            </w:r>
          </w:p>
        </w:tc>
      </w:tr>
      <w:tr w:rsidR="00747F39" w:rsidRPr="00D2134C" w14:paraId="0800C77C" w14:textId="77777777" w:rsidTr="00EE2D88">
        <w:tc>
          <w:tcPr>
            <w:cnfStyle w:val="001000000000" w:firstRow="0" w:lastRow="0" w:firstColumn="1" w:lastColumn="0" w:oddVBand="0" w:evenVBand="0" w:oddHBand="0" w:evenHBand="0" w:firstRowFirstColumn="0" w:firstRowLastColumn="0" w:lastRowFirstColumn="0" w:lastRowLastColumn="0"/>
            <w:tcW w:w="3402" w:type="dxa"/>
            <w:vAlign w:val="center"/>
          </w:tcPr>
          <w:p w14:paraId="79169718" w14:textId="77777777" w:rsidR="00747F39" w:rsidRPr="00D2134C" w:rsidRDefault="00747F39" w:rsidP="00D2134C">
            <w:pPr>
              <w:pStyle w:val="FGCTABLENORMAL"/>
            </w:pPr>
            <w:r w:rsidRPr="00D2134C">
              <w:t>Payments to service providers</w:t>
            </w:r>
          </w:p>
        </w:tc>
        <w:tc>
          <w:tcPr>
            <w:tcW w:w="5954" w:type="dxa"/>
            <w:vAlign w:val="center"/>
          </w:tcPr>
          <w:p w14:paraId="72AF630F"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Service provider submitting the claim for payment</w:t>
            </w:r>
          </w:p>
          <w:p w14:paraId="4D7833A7"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Participant for whom the support was provided</w:t>
            </w:r>
          </w:p>
          <w:p w14:paraId="17627B97"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The support item and cost of support provided</w:t>
            </w:r>
          </w:p>
          <w:p w14:paraId="382C153D"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Dates of when the support was provided</w:t>
            </w:r>
          </w:p>
          <w:p w14:paraId="0E37A6A5"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Method of plan management used</w:t>
            </w:r>
          </w:p>
        </w:tc>
      </w:tr>
      <w:tr w:rsidR="00747F39" w:rsidRPr="00D2134C" w14:paraId="05168875"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0F194B9" w14:textId="77777777" w:rsidR="00747F39" w:rsidRPr="00D2134C" w:rsidRDefault="00747F39" w:rsidP="00D2134C">
            <w:pPr>
              <w:pStyle w:val="FGCTABLENORMAL"/>
            </w:pPr>
            <w:r w:rsidRPr="00D2134C">
              <w:t>Payments to participants</w:t>
            </w:r>
          </w:p>
        </w:tc>
        <w:tc>
          <w:tcPr>
            <w:tcW w:w="5954" w:type="dxa"/>
            <w:vAlign w:val="center"/>
          </w:tcPr>
          <w:p w14:paraId="6EE34B48"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Participant submitting the claim for payment</w:t>
            </w:r>
          </w:p>
          <w:p w14:paraId="20CBED56"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The support category provided</w:t>
            </w:r>
          </w:p>
          <w:p w14:paraId="4A5CD089"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 xml:space="preserve">Total </w:t>
            </w:r>
            <w:proofErr w:type="gramStart"/>
            <w:r w:rsidRPr="00D2134C">
              <w:t>amount</w:t>
            </w:r>
            <w:proofErr w:type="gramEnd"/>
            <w:r w:rsidRPr="00D2134C">
              <w:t xml:space="preserve"> spend on support category</w:t>
            </w:r>
          </w:p>
          <w:p w14:paraId="65B8FEDE"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Period of reimbursement</w:t>
            </w:r>
          </w:p>
        </w:tc>
      </w:tr>
      <w:tr w:rsidR="00747F39" w:rsidRPr="00D2134C" w14:paraId="7481B297" w14:textId="77777777" w:rsidTr="00EE2D88">
        <w:tc>
          <w:tcPr>
            <w:cnfStyle w:val="001000000000" w:firstRow="0" w:lastRow="0" w:firstColumn="1" w:lastColumn="0" w:oddVBand="0" w:evenVBand="0" w:oddHBand="0" w:evenHBand="0" w:firstRowFirstColumn="0" w:firstRowLastColumn="0" w:lastRowFirstColumn="0" w:lastRowLastColumn="0"/>
            <w:tcW w:w="3402" w:type="dxa"/>
            <w:vAlign w:val="center"/>
            <w:hideMark/>
          </w:tcPr>
          <w:p w14:paraId="4C7DA301" w14:textId="77777777" w:rsidR="00747F39" w:rsidRPr="00D2134C" w:rsidRDefault="00747F39" w:rsidP="00D2134C">
            <w:pPr>
              <w:pStyle w:val="FGCTABLENORMAL"/>
            </w:pPr>
            <w:r w:rsidRPr="00D2134C">
              <w:t>NDIS participant plans</w:t>
            </w:r>
          </w:p>
        </w:tc>
        <w:tc>
          <w:tcPr>
            <w:tcW w:w="5954" w:type="dxa"/>
            <w:vAlign w:val="center"/>
            <w:hideMark/>
          </w:tcPr>
          <w:p w14:paraId="0AE3478A"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Plan approval date</w:t>
            </w:r>
          </w:p>
          <w:p w14:paraId="4C3C3B5E"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Length of plan</w:t>
            </w:r>
          </w:p>
          <w:p w14:paraId="3DBE74DE"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All plan budgets included in the plan</w:t>
            </w:r>
          </w:p>
          <w:p w14:paraId="4E963BD1" w14:textId="4AD5F623"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Level of function</w:t>
            </w:r>
          </w:p>
        </w:tc>
      </w:tr>
      <w:tr w:rsidR="00747F39" w:rsidRPr="00D2134C" w14:paraId="35F601E9"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2EAD39C0" w14:textId="77777777" w:rsidR="00747F39" w:rsidRPr="00D2134C" w:rsidRDefault="00747F39" w:rsidP="00D2134C">
            <w:pPr>
              <w:pStyle w:val="FGCTABLENORMAL"/>
            </w:pPr>
            <w:r w:rsidRPr="00D2134C">
              <w:t>In-kind supports data</w:t>
            </w:r>
          </w:p>
        </w:tc>
        <w:tc>
          <w:tcPr>
            <w:tcW w:w="5954" w:type="dxa"/>
            <w:vAlign w:val="center"/>
          </w:tcPr>
          <w:p w14:paraId="468D4DFF" w14:textId="1B40659B"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 xml:space="preserve">Unit record in-kind support details from </w:t>
            </w:r>
            <w:r w:rsidR="005663C3">
              <w:t>s</w:t>
            </w:r>
            <w:r w:rsidRPr="00D2134C">
              <w:t>tate/</w:t>
            </w:r>
            <w:r w:rsidR="005663C3">
              <w:t>t</w:t>
            </w:r>
            <w:r w:rsidRPr="00D2134C">
              <w:t xml:space="preserve">erritory programs including details on support type, </w:t>
            </w:r>
            <w:proofErr w:type="gramStart"/>
            <w:r w:rsidRPr="00D2134C">
              <w:t>level</w:t>
            </w:r>
            <w:proofErr w:type="gramEnd"/>
            <w:r w:rsidRPr="00D2134C">
              <w:t xml:space="preserve"> and duration of coverage.</w:t>
            </w:r>
          </w:p>
        </w:tc>
      </w:tr>
      <w:tr w:rsidR="00747F39" w:rsidRPr="00D2134C" w14:paraId="55D51681" w14:textId="77777777" w:rsidTr="00EE2D88">
        <w:tc>
          <w:tcPr>
            <w:cnfStyle w:val="001000000000" w:firstRow="0" w:lastRow="0" w:firstColumn="1" w:lastColumn="0" w:oddVBand="0" w:evenVBand="0" w:oddHBand="0" w:evenHBand="0" w:firstRowFirstColumn="0" w:firstRowLastColumn="0" w:lastRowFirstColumn="0" w:lastRowLastColumn="0"/>
            <w:tcW w:w="3402" w:type="dxa"/>
            <w:vAlign w:val="center"/>
          </w:tcPr>
          <w:p w14:paraId="39B40C0E" w14:textId="77777777" w:rsidR="00747F39" w:rsidRPr="00D2134C" w:rsidRDefault="00747F39" w:rsidP="00D2134C">
            <w:pPr>
              <w:pStyle w:val="FGCTABLENORMAL"/>
            </w:pPr>
            <w:r w:rsidRPr="00D2134C">
              <w:t>Data on outcomes</w:t>
            </w:r>
          </w:p>
        </w:tc>
        <w:tc>
          <w:tcPr>
            <w:tcW w:w="5954" w:type="dxa"/>
            <w:vAlign w:val="center"/>
          </w:tcPr>
          <w:p w14:paraId="4B3F48B5"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For participants entering the Scheme from 1 July 2016, data on outcomes has been collected from 99% of all participants, with the intention to collect information from all participants.</w:t>
            </w:r>
          </w:p>
        </w:tc>
      </w:tr>
      <w:tr w:rsidR="00747F39" w:rsidRPr="00D2134C" w14:paraId="6DBF45A2"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ACD2907" w14:textId="77777777" w:rsidR="00747F39" w:rsidRPr="00D2134C" w:rsidRDefault="00747F39" w:rsidP="00D2134C">
            <w:pPr>
              <w:pStyle w:val="FGCTABLENORMAL"/>
            </w:pPr>
            <w:r w:rsidRPr="00D2134C">
              <w:t>Financial information</w:t>
            </w:r>
          </w:p>
        </w:tc>
        <w:tc>
          <w:tcPr>
            <w:tcW w:w="5954" w:type="dxa"/>
            <w:vAlign w:val="center"/>
          </w:tcPr>
          <w:p w14:paraId="5BABED66" w14:textId="188ACA8C"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Data from the SAP</w:t>
            </w:r>
            <w:r w:rsidR="00146677">
              <w:rPr>
                <w:rStyle w:val="FootnoteReference"/>
              </w:rPr>
              <w:footnoteReference w:id="13"/>
            </w:r>
            <w:r w:rsidRPr="00D2134C">
              <w:t xml:space="preserve"> CRM system were reconciled with financial information in SAP.</w:t>
            </w:r>
          </w:p>
        </w:tc>
      </w:tr>
      <w:tr w:rsidR="00747F39" w:rsidRPr="00D2134C" w14:paraId="2834096F" w14:textId="77777777" w:rsidTr="00EE2D88">
        <w:tc>
          <w:tcPr>
            <w:cnfStyle w:val="001000000000" w:firstRow="0" w:lastRow="0" w:firstColumn="1" w:lastColumn="0" w:oddVBand="0" w:evenVBand="0" w:oddHBand="0" w:evenHBand="0" w:firstRowFirstColumn="0" w:firstRowLastColumn="0" w:lastRowFirstColumn="0" w:lastRowLastColumn="0"/>
            <w:tcW w:w="3402" w:type="dxa"/>
            <w:vAlign w:val="center"/>
          </w:tcPr>
          <w:p w14:paraId="5DDF410D" w14:textId="77777777" w:rsidR="00747F39" w:rsidRPr="00D2134C" w:rsidRDefault="00747F39" w:rsidP="00D2134C">
            <w:pPr>
              <w:pStyle w:val="FGCTABLENORMAL"/>
            </w:pPr>
            <w:r w:rsidRPr="00D2134C">
              <w:t>ABS Survey of Disability, Ageing and Carers</w:t>
            </w:r>
          </w:p>
        </w:tc>
        <w:tc>
          <w:tcPr>
            <w:tcW w:w="5954" w:type="dxa"/>
            <w:vAlign w:val="center"/>
          </w:tcPr>
          <w:p w14:paraId="58CF6A76" w14:textId="0FD64D7A"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Prevalence of disability in Australia, including demographic and socio</w:t>
            </w:r>
            <w:r w:rsidR="00142E94">
              <w:t>-</w:t>
            </w:r>
            <w:r w:rsidRPr="00D2134C">
              <w:t>economic profile of people with disabilities.</w:t>
            </w:r>
          </w:p>
        </w:tc>
      </w:tr>
      <w:tr w:rsidR="00747F39" w:rsidRPr="00D2134C" w14:paraId="1B919232"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F5AB59F" w14:textId="77777777" w:rsidR="00747F39" w:rsidRPr="00D2134C" w:rsidRDefault="00747F39" w:rsidP="00D2134C">
            <w:pPr>
              <w:pStyle w:val="FGCTABLENORMAL"/>
            </w:pPr>
            <w:r w:rsidRPr="00D2134C">
              <w:t>Economic information</w:t>
            </w:r>
          </w:p>
        </w:tc>
        <w:tc>
          <w:tcPr>
            <w:tcW w:w="5954" w:type="dxa"/>
            <w:vAlign w:val="center"/>
          </w:tcPr>
          <w:p w14:paraId="05F68DDA"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Government economic forecasts for GDP</w:t>
            </w:r>
          </w:p>
          <w:p w14:paraId="5EAC85B0" w14:textId="77777777" w:rsidR="00747F39" w:rsidRPr="00D2134C" w:rsidRDefault="00747F39" w:rsidP="00873C47">
            <w:pPr>
              <w:pStyle w:val="FGCTABLENORMAL"/>
              <w:numPr>
                <w:ilvl w:val="0"/>
                <w:numId w:val="35"/>
              </w:numPr>
              <w:ind w:left="527" w:hanging="357"/>
              <w:cnfStyle w:val="000000100000" w:firstRow="0" w:lastRow="0" w:firstColumn="0" w:lastColumn="0" w:oddVBand="0" w:evenVBand="0" w:oddHBand="1" w:evenHBand="0" w:firstRowFirstColumn="0" w:firstRowLastColumn="0" w:lastRowFirstColumn="0" w:lastRowLastColumn="0"/>
            </w:pPr>
            <w:r w:rsidRPr="00D2134C">
              <w:t>Inflation indicators</w:t>
            </w:r>
          </w:p>
        </w:tc>
      </w:tr>
      <w:tr w:rsidR="00747F39" w:rsidRPr="00D2134C" w14:paraId="1ED17E7A" w14:textId="77777777" w:rsidTr="00EE2D88">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vAlign w:val="center"/>
          </w:tcPr>
          <w:p w14:paraId="3AA2592A" w14:textId="77777777" w:rsidR="00747F39" w:rsidRPr="00D2134C" w:rsidRDefault="00747F39" w:rsidP="00D2134C">
            <w:pPr>
              <w:pStyle w:val="FGCTABLENORMAL"/>
            </w:pPr>
            <w:r w:rsidRPr="00D2134C">
              <w:lastRenderedPageBreak/>
              <w:t>Demographic information</w:t>
            </w:r>
          </w:p>
        </w:tc>
        <w:tc>
          <w:tcPr>
            <w:tcW w:w="5954" w:type="dxa"/>
            <w:tcBorders>
              <w:bottom w:val="single" w:sz="4" w:space="0" w:color="auto"/>
            </w:tcBorders>
            <w:vAlign w:val="center"/>
          </w:tcPr>
          <w:p w14:paraId="0143614D" w14:textId="1086A0F6"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Australian Life Tables 2018</w:t>
            </w:r>
            <w:r w:rsidR="00142E94">
              <w:t>–</w:t>
            </w:r>
            <w:r w:rsidRPr="00D2134C">
              <w:t>2020 – published in November 2021</w:t>
            </w:r>
          </w:p>
          <w:p w14:paraId="10F86D90" w14:textId="77777777"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 xml:space="preserve">Population forecasts – estimated for the 2021 Intergenerational Report </w:t>
            </w:r>
          </w:p>
          <w:p w14:paraId="258FF5B2" w14:textId="15B29C86" w:rsidR="00747F39" w:rsidRPr="00D2134C" w:rsidRDefault="00747F39" w:rsidP="00873C47">
            <w:pPr>
              <w:pStyle w:val="FGCTABLENORMAL"/>
              <w:numPr>
                <w:ilvl w:val="0"/>
                <w:numId w:val="35"/>
              </w:numPr>
              <w:ind w:left="527" w:hanging="357"/>
              <w:cnfStyle w:val="000000000000" w:firstRow="0" w:lastRow="0" w:firstColumn="0" w:lastColumn="0" w:oddVBand="0" w:evenVBand="0" w:oddHBand="0" w:evenHBand="0" w:firstRowFirstColumn="0" w:firstRowLastColumn="0" w:lastRowFirstColumn="0" w:lastRowLastColumn="0"/>
            </w:pPr>
            <w:r w:rsidRPr="00D2134C">
              <w:t>Budget 2022</w:t>
            </w:r>
            <w:r w:rsidR="00142E94">
              <w:t>–</w:t>
            </w:r>
            <w:r w:rsidRPr="00D2134C">
              <w:t xml:space="preserve">23: population projections, Australia, </w:t>
            </w:r>
            <w:r w:rsidR="00140C64">
              <w:t>2021‒22</w:t>
            </w:r>
            <w:r w:rsidRPr="00D2134C">
              <w:t xml:space="preserve"> to 2032</w:t>
            </w:r>
            <w:r w:rsidR="00142E94">
              <w:t>–</w:t>
            </w:r>
            <w:r w:rsidRPr="00D2134C">
              <w:t>33 from the Centre for Population Projections</w:t>
            </w:r>
          </w:p>
        </w:tc>
      </w:tr>
    </w:tbl>
    <w:p w14:paraId="65EDD11E" w14:textId="77777777" w:rsidR="00747F39" w:rsidRPr="00D2134C" w:rsidRDefault="00747F39" w:rsidP="00CE04C7">
      <w:pPr>
        <w:pStyle w:val="FGCHEADING4"/>
      </w:pPr>
      <w:r w:rsidRPr="00D2134C">
        <w:t>Projection model</w:t>
      </w:r>
    </w:p>
    <w:p w14:paraId="6F7C5655" w14:textId="26F617D2" w:rsidR="00747F39" w:rsidRPr="00D2134C" w:rsidRDefault="00747F39" w:rsidP="00217FA1">
      <w:pPr>
        <w:pStyle w:val="FGCNORMAL"/>
      </w:pPr>
      <w:r w:rsidRPr="00D2134C">
        <w:t xml:space="preserve">An experience-based projection model continues to be used to project Scheme participant numbers, average payments per participant, and total Scheme expenses reported in the AFSR. As with previous AFSRs, the </w:t>
      </w:r>
      <w:r w:rsidR="00140C64">
        <w:t>2021‒22</w:t>
      </w:r>
      <w:r w:rsidRPr="00D2134C">
        <w:t xml:space="preserve"> AFSR is based on projecting average payments made for supports for 2,052 participant cohorts</w:t>
      </w:r>
      <w:r w:rsidRPr="00D2134C">
        <w:rPr>
          <w:rStyle w:val="FootnoteReference"/>
        </w:rPr>
        <w:footnoteReference w:id="14"/>
      </w:r>
      <w:r w:rsidRPr="00D2134C">
        <w:t>. The average payments for each cohort are then multiplied by projected participant numbers and summed across all cohorts to arrive at the total Scheme expenses.</w:t>
      </w:r>
    </w:p>
    <w:p w14:paraId="1008E8BA" w14:textId="78E5DDD2" w:rsidR="00747F39" w:rsidRPr="00D2134C" w:rsidRDefault="00747F39" w:rsidP="00217FA1">
      <w:pPr>
        <w:pStyle w:val="FGCNORMAL"/>
      </w:pPr>
      <w:r w:rsidRPr="00D2134C">
        <w:t xml:space="preserve">To enable a closer alignment to the </w:t>
      </w:r>
      <w:r w:rsidR="007E020C">
        <w:t>NDIA</w:t>
      </w:r>
      <w:r w:rsidRPr="00D2134C">
        <w:t xml:space="preserve">’s plan budget setting process, the projection model has been enhanced to include a projection of </w:t>
      </w:r>
      <w:proofErr w:type="gramStart"/>
      <w:r w:rsidRPr="00D2134C">
        <w:t>future plan</w:t>
      </w:r>
      <w:proofErr w:type="gramEnd"/>
      <w:r w:rsidRPr="00D2134C">
        <w:t xml:space="preserve"> budgets. This complements the total projection of Scheme expenses and allows future utilisation rates to be estimated. </w:t>
      </w:r>
    </w:p>
    <w:p w14:paraId="40D4E623" w14:textId="77777777" w:rsidR="00747F39" w:rsidRPr="00D2134C" w:rsidRDefault="00747F39" w:rsidP="00217FA1">
      <w:pPr>
        <w:pStyle w:val="FGCNORMAL"/>
      </w:pPr>
      <w:r w:rsidRPr="00D2134C">
        <w:t>Assumptions have been set considering factors both internal and external to the Scheme. External factors include broader macroeconomic factors, insofar as they impact the Scheme. Internal factors include trends in past numbers of participants and average payments per participant.</w:t>
      </w:r>
    </w:p>
    <w:p w14:paraId="428D99E4" w14:textId="030C630A" w:rsidR="00747F39" w:rsidRPr="00D2134C" w:rsidRDefault="00747F39" w:rsidP="00217FA1">
      <w:pPr>
        <w:pStyle w:val="FGCNORMAL"/>
      </w:pPr>
      <w:r w:rsidRPr="00D2134C">
        <w:t xml:space="preserve">As with any projection, there is uncertainty in the results. As the Scheme continues to mature, the expected trajectory of Scheme experience and projected expenses can change materially, resulting from the decisions and actions of the Government and </w:t>
      </w:r>
      <w:r w:rsidR="007E020C">
        <w:t>NDIA</w:t>
      </w:r>
      <w:r w:rsidRPr="00D2134C">
        <w:t xml:space="preserve"> and the Australian and global economic climate. Two approaches have been used to illustrate the drivers of uncertainty and the estimated impacts those have on the projection results:</w:t>
      </w:r>
    </w:p>
    <w:p w14:paraId="4D559D1D" w14:textId="002B7369" w:rsidR="00747F39" w:rsidRPr="00D2134C" w:rsidRDefault="006F6238" w:rsidP="000E5234">
      <w:pPr>
        <w:pStyle w:val="FGCBULLET1"/>
      </w:pPr>
      <w:r>
        <w:t>t</w:t>
      </w:r>
      <w:r w:rsidR="00747F39" w:rsidRPr="00D2134C">
        <w:t>esting the sensitivity of projected Scheme expenses to changes in specific key assumptions</w:t>
      </w:r>
    </w:p>
    <w:p w14:paraId="687940D8" w14:textId="6298156B" w:rsidR="00747F39" w:rsidRPr="00D2134C" w:rsidRDefault="006F6238" w:rsidP="000E5234">
      <w:pPr>
        <w:pStyle w:val="FGCBULLET1"/>
      </w:pPr>
      <w:r>
        <w:t>p</w:t>
      </w:r>
      <w:r w:rsidR="00747F39" w:rsidRPr="00D2134C">
        <w:t>rojecting Scheme expenses using a stochastic model</w:t>
      </w:r>
      <w:r w:rsidR="00747F39" w:rsidRPr="00D2134C">
        <w:rPr>
          <w:rStyle w:val="FootnoteReference"/>
        </w:rPr>
        <w:footnoteReference w:id="15"/>
      </w:r>
      <w:r w:rsidR="00747F39" w:rsidRPr="00D2134C">
        <w:t xml:space="preserve"> which provides a more holistic view of the interaction between material risks facing the Scheme and the variability in these risk factors. </w:t>
      </w:r>
    </w:p>
    <w:p w14:paraId="0EB97A1C" w14:textId="77777777" w:rsidR="00747F39" w:rsidRPr="00D2134C" w:rsidRDefault="00747F39" w:rsidP="00CE04C7">
      <w:pPr>
        <w:pStyle w:val="FGCHEADING4"/>
      </w:pPr>
      <w:bookmarkStart w:id="314" w:name="_Hlk114141295"/>
      <w:r w:rsidRPr="00D2134C">
        <w:t>Number of participants</w:t>
      </w:r>
    </w:p>
    <w:p w14:paraId="7C8E3D44" w14:textId="1DF73580" w:rsidR="00747F39" w:rsidRPr="00D2134C" w:rsidRDefault="00747F39" w:rsidP="00217FA1">
      <w:pPr>
        <w:pStyle w:val="FGCNORMAL"/>
        <w:rPr>
          <w:i/>
        </w:rPr>
      </w:pPr>
      <w:r w:rsidRPr="00D2134C">
        <w:t xml:space="preserve">The number of actual participants in the Scheme each year, and the projected number of future participants at this review compared to those from the previous review, are presented in </w:t>
      </w:r>
      <w:r w:rsidR="00CC5D0F" w:rsidRPr="008B51A3">
        <w:t>Figure 3.2.1A</w:t>
      </w:r>
      <w:r w:rsidRPr="00D2134C">
        <w:t xml:space="preserve">. </w:t>
      </w:r>
      <w:proofErr w:type="gramStart"/>
      <w:r w:rsidRPr="00D2134C">
        <w:t>At</w:t>
      </w:r>
      <w:proofErr w:type="gramEnd"/>
      <w:r w:rsidRPr="00D2134C">
        <w:t xml:space="preserve"> 30 June 2026 it is estimated that there will be 741,077 participants in the Scheme, and by 30 June 2032 it is estimated that the number of participants will increase to 1,017,522. The current projections indicate a higher rate of growth in projected participant </w:t>
      </w:r>
      <w:r w:rsidRPr="00A72600">
        <w:t xml:space="preserve">numbers, </w:t>
      </w:r>
      <w:r w:rsidRPr="00A72600">
        <w:rPr>
          <w:rFonts w:eastAsiaTheme="minorHAnsi"/>
          <w:bCs/>
          <w:szCs w:val="18"/>
          <w:lang w:eastAsia="en-US"/>
        </w:rPr>
        <w:t>compared</w:t>
      </w:r>
      <w:r w:rsidRPr="00A72600">
        <w:t xml:space="preserve"> to the previous review.</w:t>
      </w:r>
    </w:p>
    <w:p w14:paraId="77D14346" w14:textId="6613BFD4" w:rsidR="00747F39" w:rsidRPr="00D2134C" w:rsidRDefault="00747F39" w:rsidP="0048554D">
      <w:pPr>
        <w:pStyle w:val="FGCNORMAL"/>
        <w:keepNext/>
      </w:pPr>
      <w:bookmarkStart w:id="315" w:name="_Ref112406537"/>
      <w:r w:rsidRPr="0048554D">
        <w:rPr>
          <w:rStyle w:val="FGCEMPHASIS"/>
        </w:rPr>
        <w:lastRenderedPageBreak/>
        <w:t>Figure</w:t>
      </w:r>
      <w:r w:rsidR="008003DD">
        <w:rPr>
          <w:rStyle w:val="FGCEMPHASIS"/>
        </w:rPr>
        <w:t xml:space="preserve"> 3.2.1A</w:t>
      </w:r>
      <w:bookmarkEnd w:id="315"/>
      <w:r w:rsidRPr="00D2134C">
        <w:t>: Comparison of participant numbers to previous review</w:t>
      </w:r>
    </w:p>
    <w:p w14:paraId="320ED216" w14:textId="1EB3132A" w:rsidR="00747F39" w:rsidRPr="00D2134C" w:rsidRDefault="005807B3" w:rsidP="001C71F8">
      <w:pPr>
        <w:pStyle w:val="Figures"/>
        <w:ind w:left="567"/>
      </w:pPr>
      <w:r w:rsidRPr="00D2134C">
        <w:rPr>
          <w:noProof/>
          <w:lang w:eastAsia="en-AU"/>
        </w:rPr>
        <w:drawing>
          <wp:inline distT="0" distB="0" distL="0" distR="0" wp14:anchorId="7A62C354" wp14:editId="5D4BC9EF">
            <wp:extent cx="5731510" cy="2904258"/>
            <wp:effectExtent l="0" t="0" r="2540" b="0"/>
            <wp:docPr id="452" name="Picture 452" descr="The graph shows the trend of participant numbers comparing 2021-2022 AFSR with 2020-2021 AFSR from 30 June 2018 to 30 June 2032. It shows that: &#10;Actual numbers are 172,333 as at 30 June 2018. &#10;286,015 as at 30 June 2019. &#10;391,999 as at 30 June 2020; &#10;466,619 as at 30 June 2021. &#10;534,655 as at 30 June 2022; &#10;Projected numbers based on 2021-22 AFSR are as at 30 June 2022; 741,077 as at 30 June 2026; &#10;1,017,522 as at 30 June 2032; &#10;Projected numbers based on 2020-21 AFSR are as at 30 June 2022; 709,645 as at 30 June 2026; &#10;931,591 as at 30 June 2032;&#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descr="The graph shows the trend of participant numbers comparing 2021-2022 AFSR with 2020-2021 AFSR from 30 June 2018 to 30 June 2032. It shows that: &#10;Actual numbers are 172,333 as at 30 June 2018. &#10;286,015 as at 30 June 2019. &#10;391,999 as at 30 June 2020; &#10;466,619 as at 30 June 2021. &#10;534,655 as at 30 June 2022; &#10;Projected numbers based on 2021-22 AFSR are as at 30 June 2022; 741,077 as at 30 June 2026; &#10;1,017,522 as at 30 June 2032; &#10;Projected numbers based on 2020-21 AFSR are as at 30 June 2022; 709,645 as at 30 June 2026; &#10;931,591 as at 30 June 2032;&#10;&#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2904258"/>
                    </a:xfrm>
                    <a:prstGeom prst="rect">
                      <a:avLst/>
                    </a:prstGeom>
                    <a:noFill/>
                    <a:ln>
                      <a:noFill/>
                    </a:ln>
                  </pic:spPr>
                </pic:pic>
              </a:graphicData>
            </a:graphic>
          </wp:inline>
        </w:drawing>
      </w:r>
    </w:p>
    <w:p w14:paraId="7D9E60FE" w14:textId="77777777" w:rsidR="00747F39" w:rsidRPr="00D2134C" w:rsidRDefault="00747F39" w:rsidP="00217FA1">
      <w:pPr>
        <w:pStyle w:val="FGCNORMAL"/>
      </w:pPr>
      <w:r w:rsidRPr="00D2134C">
        <w:t xml:space="preserve">The drivers in the growth in the number of participants are the rate of new entrants to the Scheme and the rate at which participants leave the Scheme. </w:t>
      </w:r>
    </w:p>
    <w:p w14:paraId="3FFBE9A8" w14:textId="5033CD54" w:rsidR="00747F39" w:rsidRPr="00D2134C" w:rsidRDefault="00747F39" w:rsidP="00217FA1">
      <w:pPr>
        <w:pStyle w:val="FGCNORMAL"/>
      </w:pPr>
      <w:r w:rsidRPr="00D2134C">
        <w:t>It is also important to note that the mix of participants in the Scheme is changing over time. A high proportion of recent new entrants to the Scheme are children and/or have a high reported level of function compared with existing participants. Both children and those with a high level of function tend to have lower support needs than other participants. As a result, the average payment per new entrant to the Scheme is lower than that of existing participants, and so the increase in participant numbers does not necessarily lead to an increase in Scheme expenses of the same magnitude.</w:t>
      </w:r>
    </w:p>
    <w:bookmarkEnd w:id="314"/>
    <w:p w14:paraId="2D2CCA9D" w14:textId="77777777" w:rsidR="00747F39" w:rsidRPr="00D2134C" w:rsidRDefault="00747F39" w:rsidP="00CE04C7">
      <w:pPr>
        <w:pStyle w:val="FGCHEADING4"/>
      </w:pPr>
      <w:r w:rsidRPr="00D2134C">
        <w:t>New entrants</w:t>
      </w:r>
    </w:p>
    <w:p w14:paraId="2A65BB88" w14:textId="45C2ACBD" w:rsidR="00747F39" w:rsidRPr="00D2134C" w:rsidRDefault="00747F39" w:rsidP="00217FA1">
      <w:pPr>
        <w:pStyle w:val="FGCNORMAL"/>
        <w:rPr>
          <w:bCs/>
          <w:szCs w:val="18"/>
          <w:lang w:eastAsia="en-US"/>
        </w:rPr>
      </w:pPr>
      <w:r w:rsidRPr="00D2134C">
        <w:t>The rate of new entrants to the Scheme continues to be high, including in the geographical areas where the Scheme has been operating for several years. As an example, the rate of new entrants in geographical areas that commenced in 2014 was 380 participants per 100,000 population aged between 0 and 64 over the year ended 31 March 2022. This is approximately 40% higher than the 2020</w:t>
      </w:r>
      <w:r w:rsidR="00EF66A4">
        <w:t>–</w:t>
      </w:r>
      <w:r w:rsidRPr="00D2134C">
        <w:t>21 AFSR assumed rate of 272 participants per 100,000 population aged between 0 and 64, and about 23% higher than the rate assumed at this review of 308 per 100,000 population aged between 0 and 64.</w:t>
      </w:r>
    </w:p>
    <w:p w14:paraId="1BD829B9" w14:textId="2DFAE487" w:rsidR="00747F39" w:rsidRPr="00D2134C" w:rsidRDefault="00747F39" w:rsidP="0048554D">
      <w:pPr>
        <w:pStyle w:val="FGCNORMAL"/>
        <w:keepNext/>
      </w:pPr>
      <w:r w:rsidRPr="0048554D">
        <w:rPr>
          <w:rStyle w:val="FGCEMPHASIS"/>
        </w:rPr>
        <w:lastRenderedPageBreak/>
        <w:t>Figure</w:t>
      </w:r>
      <w:r w:rsidR="00F34993">
        <w:rPr>
          <w:rStyle w:val="FGCEMPHASIS"/>
        </w:rPr>
        <w:t xml:space="preserve"> 3.2.1B</w:t>
      </w:r>
      <w:r w:rsidRPr="00D2134C">
        <w:t>: Expected new entrant rate together with observed experience for the year ended 31 March 2022 by financial phasing year</w:t>
      </w:r>
      <w:r w:rsidRPr="00D2134C">
        <w:rPr>
          <w:rStyle w:val="FootnoteReference"/>
        </w:rPr>
        <w:footnoteReference w:id="16"/>
      </w:r>
    </w:p>
    <w:p w14:paraId="4EC56577" w14:textId="77777777" w:rsidR="00747F39" w:rsidRPr="00D2134C" w:rsidRDefault="00747F39" w:rsidP="00747F39">
      <w:pPr>
        <w:spacing w:line="264" w:lineRule="auto"/>
      </w:pPr>
      <w:r w:rsidRPr="00D2134C">
        <w:rPr>
          <w:noProof/>
          <w:lang w:eastAsia="en-AU"/>
        </w:rPr>
        <w:drawing>
          <wp:inline distT="0" distB="0" distL="0" distR="0" wp14:anchorId="3C3D348F" wp14:editId="600F7AC0">
            <wp:extent cx="5724000" cy="2842196"/>
            <wp:effectExtent l="0" t="0" r="0" b="0"/>
            <wp:docPr id="249" name="Picture 249" descr="&#10;The figure shows the expected new entrant rate from the previous AFSR, the proposed new entrant rate for the 2021-22 AFSR, and the observed experience as at 31 March 2022 by financial phasing year.&#10;The expected new entrant rate adopted in the 2020-21 AFSR is 272 per 100,000 population, whilst the expected new entrant rate adopted in the 2021-22 AFSR is 308, and the observed new entrant rate for all phasing years as at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10;The figure shows the expected new entrant rate from the previous AFSR, the proposed new entrant rate for the 2021-22 AFSR, and the observed experience as at 31 March 2022 by financial phasing year.&#10;The expected new entrant rate adopted in the 2020-21 AFSR is 272 per 100,000 population, whilst the expected new entrant rate adopted in the 2021-22 AFSR is 308, and the observed new entrant rate for all phasing years as at 31 March 2022 is 342 per 100,000 population.&#10;The observed new entrant rate experience observed by financial phasing year is as follows: in 2014 380 per 100,000 population; in 2015 314 per 100,000 population; in 2016 0 per 100,000 population as no regions phased into the Scheme in this year; in 2017 324 per 100,000 population; in 2018 330 per 100,000 population; in 2019 375 per 100,000 population; in 2020 291 per 100,000 population.&#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24000" cy="2842196"/>
                    </a:xfrm>
                    <a:prstGeom prst="rect">
                      <a:avLst/>
                    </a:prstGeom>
                    <a:noFill/>
                  </pic:spPr>
                </pic:pic>
              </a:graphicData>
            </a:graphic>
          </wp:inline>
        </w:drawing>
      </w:r>
    </w:p>
    <w:p w14:paraId="05D2561C" w14:textId="5869B8D5" w:rsidR="00747F39" w:rsidRPr="00D2134C" w:rsidRDefault="00747F39" w:rsidP="00217FA1">
      <w:pPr>
        <w:pStyle w:val="FGCNORMAL"/>
      </w:pPr>
      <w:r w:rsidRPr="00D2134C">
        <w:t xml:space="preserve">The new entrant assumption adopted at this review (308 participants per 100,000 population aged between 0 and 64) is 14% higher than the rate assumed in the previous review. The approach to modelling new entrants has evolved over time in response to the emerging experience and available data. More recently, the observed experience of new participants entering the Scheme has stabilised such that the new entrant rates adopted at this review have been estimated solely based on a method which relies on currently observed experience, whilst noting that the assumed number of new participants in the medium to long term is below the number recently observed. </w:t>
      </w:r>
    </w:p>
    <w:p w14:paraId="75C8418C" w14:textId="77777777" w:rsidR="00747F39" w:rsidRPr="00D2134C" w:rsidRDefault="00747F39" w:rsidP="00CE04C7">
      <w:pPr>
        <w:pStyle w:val="FGCHEADING4"/>
      </w:pPr>
      <w:r w:rsidRPr="00D2134C">
        <w:t>Participants leaving the Scheme</w:t>
      </w:r>
    </w:p>
    <w:p w14:paraId="1E8780FC" w14:textId="61A68589" w:rsidR="00747F39" w:rsidRPr="00D2134C" w:rsidRDefault="00747F39" w:rsidP="00217FA1">
      <w:pPr>
        <w:pStyle w:val="FGCNORMAL"/>
      </w:pPr>
      <w:r w:rsidRPr="00D2134C">
        <w:t xml:space="preserve">A proportion of participants leaving the Scheme was always expected within the original Scheme design, as one of the Scheme’s objectives is that early investment and intervention should lead to </w:t>
      </w:r>
      <w:r w:rsidR="00632EA6">
        <w:t>capacity-building</w:t>
      </w:r>
      <w:r w:rsidRPr="00D2134C">
        <w:t xml:space="preserve"> and greater </w:t>
      </w:r>
      <w:r w:rsidR="00886AFE">
        <w:t>community and workforce</w:t>
      </w:r>
      <w:r w:rsidRPr="00D2134C">
        <w:t xml:space="preserve"> participation where support from the NDIS is no longer required. </w:t>
      </w:r>
    </w:p>
    <w:p w14:paraId="4F6C1764" w14:textId="13F02192" w:rsidR="00747F39" w:rsidRPr="00D2134C" w:rsidRDefault="00747F39" w:rsidP="00217FA1">
      <w:pPr>
        <w:pStyle w:val="FGCNORMAL"/>
      </w:pPr>
      <w:r w:rsidRPr="00D2134C">
        <w:t>The experience of participants leaving the Scheme has changed materially since the last full review</w:t>
      </w:r>
      <w:r w:rsidR="000665DD">
        <w:t>,</w:t>
      </w:r>
      <w:r w:rsidRPr="00D2134C">
        <w:t xml:space="preserve"> which was completed in 2019 (using 2018 experience). The refinement to the eligibility reassessment</w:t>
      </w:r>
      <w:r w:rsidRPr="00D2134C">
        <w:rPr>
          <w:rStyle w:val="FootnoteReference"/>
        </w:rPr>
        <w:footnoteReference w:id="17"/>
      </w:r>
      <w:r w:rsidRPr="00D2134C">
        <w:t xml:space="preserve"> process during 2019 and ongoing operational improvements since then have had a significant impact on the underlying experience, whilst the COVID-19 lockdown restrictions have had a significant though transitory impact on the experience since 2020.</w:t>
      </w:r>
    </w:p>
    <w:p w14:paraId="00CA3AFD" w14:textId="4C5DD261" w:rsidR="00747F39" w:rsidRPr="00D2134C" w:rsidRDefault="00747F39" w:rsidP="00217FA1">
      <w:pPr>
        <w:pStyle w:val="FGCNORMAL"/>
      </w:pPr>
      <w:r w:rsidRPr="00D2134C">
        <w:t>The actual overall rates of participants leaving the Scheme from 2019 to 2021 were much lower than the long-term rate of 1.67% per annum adopted in the 2020</w:t>
      </w:r>
      <w:r w:rsidR="00C71CD1">
        <w:t>–</w:t>
      </w:r>
      <w:r w:rsidRPr="00D2134C">
        <w:t xml:space="preserve">21 AFSR. As a result, overall rates of participants leaving the Scheme have been revised downwards from 1.67% to 1.19% (based on the participant mix </w:t>
      </w:r>
      <w:proofErr w:type="gramStart"/>
      <w:r w:rsidRPr="00D2134C">
        <w:t>at</w:t>
      </w:r>
      <w:proofErr w:type="gramEnd"/>
      <w:r w:rsidRPr="00D2134C">
        <w:t xml:space="preserve"> 30 June 2021). </w:t>
      </w:r>
    </w:p>
    <w:p w14:paraId="69459F59" w14:textId="04846EA0" w:rsidR="00747F39" w:rsidRPr="00D2134C" w:rsidRDefault="00747F39" w:rsidP="00CE04C7">
      <w:pPr>
        <w:pStyle w:val="FGCHEADING4"/>
      </w:pPr>
      <w:r w:rsidRPr="00D2134C">
        <w:t xml:space="preserve">Participants with </w:t>
      </w:r>
      <w:r w:rsidR="00C71CD1">
        <w:t>s</w:t>
      </w:r>
      <w:r w:rsidRPr="00D2134C">
        <w:t xml:space="preserve">upported </w:t>
      </w:r>
      <w:r w:rsidR="00C71CD1">
        <w:t>i</w:t>
      </w:r>
      <w:r w:rsidRPr="00D2134C">
        <w:t xml:space="preserve">ndependent </w:t>
      </w:r>
      <w:r w:rsidR="00C71CD1">
        <w:t>l</w:t>
      </w:r>
      <w:r w:rsidRPr="00D2134C">
        <w:t>iving</w:t>
      </w:r>
    </w:p>
    <w:p w14:paraId="2EFF1651" w14:textId="37827AF8" w:rsidR="00747F39" w:rsidRPr="00D2134C" w:rsidRDefault="00747F39" w:rsidP="00217FA1">
      <w:pPr>
        <w:pStyle w:val="FGCNORMAL"/>
      </w:pPr>
      <w:r w:rsidRPr="00D2134C">
        <w:t xml:space="preserve">Since the previous review, analysis has been undertaken to understand the composition of the participants new to </w:t>
      </w:r>
      <w:r w:rsidR="00C71CD1">
        <w:t>s</w:t>
      </w:r>
      <w:r w:rsidRPr="00D2134C">
        <w:t xml:space="preserve">upported </w:t>
      </w:r>
      <w:r w:rsidR="00C71CD1">
        <w:t>i</w:t>
      </w:r>
      <w:r w:rsidRPr="00D2134C">
        <w:t xml:space="preserve">ndependent </w:t>
      </w:r>
      <w:r w:rsidR="00C71CD1">
        <w:t>l</w:t>
      </w:r>
      <w:r w:rsidRPr="00D2134C">
        <w:t xml:space="preserve">iving (SIL) arrangements between those participants transitioning from existing schemes and those who were new to disability supports. </w:t>
      </w:r>
    </w:p>
    <w:p w14:paraId="0B07DF78" w14:textId="5BA9D46C" w:rsidR="00747F39" w:rsidRPr="00D2134C" w:rsidRDefault="00F34993" w:rsidP="00217FA1">
      <w:pPr>
        <w:pStyle w:val="FGCNORMAL"/>
      </w:pPr>
      <w:r w:rsidRPr="00295C5E">
        <w:lastRenderedPageBreak/>
        <w:t>Figure 3.2.1</w:t>
      </w:r>
      <w:r w:rsidR="00214688">
        <w:t>C</w:t>
      </w:r>
      <w:r w:rsidRPr="00295C5E">
        <w:t xml:space="preserve"> </w:t>
      </w:r>
      <w:r w:rsidR="00747F39" w:rsidRPr="00D2134C">
        <w:t>shows that the revised projection is slightly higher than at the previous review</w:t>
      </w:r>
      <w:r w:rsidR="00747F39" w:rsidRPr="00D2134C">
        <w:rPr>
          <w:rStyle w:val="FootnoteReference"/>
        </w:rPr>
        <w:footnoteReference w:id="18"/>
      </w:r>
      <w:r w:rsidR="00747F39" w:rsidRPr="00D2134C">
        <w:t>. This reflects a higher number of participants having moved into SIL arrangements due to the clearing of backlogs of home and living decisions. While this initiative is well progressed, at this review a higher number of participants has been assumed to move into SIL in the future compared with the 2020</w:t>
      </w:r>
      <w:r w:rsidR="006B6471">
        <w:t>–</w:t>
      </w:r>
      <w:r w:rsidR="00747F39" w:rsidRPr="00D2134C">
        <w:t>21 AFSR (with an increase of approximately 300 to 400 additional SIL participants per year).</w:t>
      </w:r>
    </w:p>
    <w:p w14:paraId="4814C15B" w14:textId="1D470B6D" w:rsidR="00747F39" w:rsidRPr="00D2134C" w:rsidRDefault="00747F39" w:rsidP="0048554D">
      <w:pPr>
        <w:pStyle w:val="FGCNORMAL"/>
        <w:keepNext/>
      </w:pPr>
      <w:bookmarkStart w:id="316" w:name="_Ref112406599"/>
      <w:r w:rsidRPr="0048554D">
        <w:rPr>
          <w:rStyle w:val="FGCEMPHASIS"/>
        </w:rPr>
        <w:t>Figure</w:t>
      </w:r>
      <w:r w:rsidR="00F34993">
        <w:rPr>
          <w:rStyle w:val="FGCEMPHASIS"/>
        </w:rPr>
        <w:t xml:space="preserve"> 3.2.1</w:t>
      </w:r>
      <w:r w:rsidR="00E170FE">
        <w:rPr>
          <w:rStyle w:val="FGCEMPHASIS"/>
        </w:rPr>
        <w:t>C</w:t>
      </w:r>
      <w:bookmarkEnd w:id="316"/>
      <w:r w:rsidRPr="00D2134C">
        <w:t>: Experience to date and projections of participants new to SIL</w:t>
      </w:r>
      <w:r w:rsidRPr="00D2134C">
        <w:rPr>
          <w:rStyle w:val="FootnoteReference"/>
        </w:rPr>
        <w:footnoteReference w:id="19"/>
      </w:r>
    </w:p>
    <w:p w14:paraId="5F4A93D4" w14:textId="77777777" w:rsidR="00747F39" w:rsidRPr="00D2134C" w:rsidRDefault="00747F39" w:rsidP="006457DB">
      <w:pPr>
        <w:pStyle w:val="FGCNORMAL"/>
      </w:pPr>
      <w:r w:rsidRPr="00D2134C">
        <w:rPr>
          <w:noProof/>
        </w:rPr>
        <w:drawing>
          <wp:inline distT="0" distB="0" distL="0" distR="0" wp14:anchorId="50F48016" wp14:editId="7DA4B875">
            <wp:extent cx="5724000" cy="3012251"/>
            <wp:effectExtent l="0" t="0" r="0" b="0"/>
            <wp:docPr id="252" name="Picture 252" descr="&#10;The chart show experience to date and trajectory for participants with SIL: &#10;Actual participants new to SIL supports are 5,867 as at 30 June 2018; &#10;8,389 as at 30 June 2019; &#10;3,067 as at 30 June 2020; &#10;1,201 as at 30 June 2021; &#10;&#10;Actual participants new to SIL supports (new SIL definition) is 2,408 as at 30 June 2022; &#10;&#10;Actual new entrants with SIL supports are 0 as at 30 June 2018; &#10;430 as at 30 June 2019; &#10;767 as at 30 June 2020; &#10;726 as at 30 June 2021; &#10;1,157 as at 30 June 2022; &#10;&#10;Projected participants new to SIL supports based on 2020-2022 AFSR are 905 as at 30 June 2023; &#10;1,006 as at 30 June 2024; &#10;1,015 as at 30 June 2025; &#10;1,067 as at 30 June 2026; &#10;1,106 as at 30 June 2027; &#10;1,166 as at 30 June 2028; &#10;1,195 as at 30 June 2029; &#10;1,261 as at 30 June 2030; &#10;1,323 as at 30 June 2031; &#10;and 1,380 as at 30 June 2032; &#10;&#10;Projected participants new to SIL supports based on 2021-2022 AFSR are 1,361 as at 30 June 2023; &#10;1,434 as at 30 June 2024; &#10;1,289 as at 30 June 2025; &#10;1,347 as at 30 June 2026; &#10;1,398 as at 30 June 2027; &#10;1,474 as at 30 June 2028; &#10;1,513 as at 30 June 2029; &#10;1,597 as at 30 June 2030; &#10;1,676 as at 30 June 2031; &#10;1,756 as at 30 June 2032;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10;The chart show experience to date and trajectory for participants with SIL: &#10;Actual participants new to SIL supports are 5,867 as at 30 June 2018; &#10;8,389 as at 30 June 2019; &#10;3,067 as at 30 June 2020; &#10;1,201 as at 30 June 2021; &#10;&#10;Actual participants new to SIL supports (new SIL definition) is 2,408 as at 30 June 2022; &#10;&#10;Actual new entrants with SIL supports are 0 as at 30 June 2018; &#10;430 as at 30 June 2019; &#10;767 as at 30 June 2020; &#10;726 as at 30 June 2021; &#10;1,157 as at 30 June 2022; &#10;&#10;Projected participants new to SIL supports based on 2020-2022 AFSR are 905 as at 30 June 2023; &#10;1,006 as at 30 June 2024; &#10;1,015 as at 30 June 2025; &#10;1,067 as at 30 June 2026; &#10;1,106 as at 30 June 2027; &#10;1,166 as at 30 June 2028; &#10;1,195 as at 30 June 2029; &#10;1,261 as at 30 June 2030; &#10;1,323 as at 30 June 2031; &#10;and 1,380 as at 30 June 2032; &#10;&#10;Projected participants new to SIL supports based on 2021-2022 AFSR are 1,361 as at 30 June 2023; &#10;1,434 as at 30 June 2024; &#10;1,289 as at 30 June 2025; &#10;1,347 as at 30 June 2026; &#10;1,398 as at 30 June 2027; &#10;1,474 as at 30 June 2028; &#10;1,513 as at 30 June 2029; &#10;1,597 as at 30 June 2030; &#10;1,676 as at 30 June 2031; &#10;1,756 as at 30 June 2032;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24000" cy="3012251"/>
                    </a:xfrm>
                    <a:prstGeom prst="rect">
                      <a:avLst/>
                    </a:prstGeom>
                    <a:noFill/>
                  </pic:spPr>
                </pic:pic>
              </a:graphicData>
            </a:graphic>
          </wp:inline>
        </w:drawing>
      </w:r>
    </w:p>
    <w:p w14:paraId="4B1608B4" w14:textId="6D64BE32" w:rsidR="00747F39" w:rsidRPr="00D2134C" w:rsidRDefault="00747F39" w:rsidP="00CE04C7">
      <w:pPr>
        <w:pStyle w:val="FGCHEADING4"/>
      </w:pPr>
      <w:proofErr w:type="gramStart"/>
      <w:r w:rsidRPr="00D2134C">
        <w:t>Payments</w:t>
      </w:r>
      <w:proofErr w:type="gramEnd"/>
      <w:r w:rsidRPr="00D2134C">
        <w:t xml:space="preserve"> </w:t>
      </w:r>
      <w:r w:rsidR="00DA2156">
        <w:t>e</w:t>
      </w:r>
      <w:r w:rsidRPr="00D2134C">
        <w:t>xperience 2021</w:t>
      </w:r>
      <w:r w:rsidR="003E59D1">
        <w:t>–</w:t>
      </w:r>
      <w:r w:rsidRPr="00D2134C">
        <w:t>22</w:t>
      </w:r>
    </w:p>
    <w:p w14:paraId="2758AF51" w14:textId="7FA61E3D" w:rsidR="00747F39" w:rsidRPr="00D2134C" w:rsidRDefault="00747F39" w:rsidP="00217FA1">
      <w:pPr>
        <w:pStyle w:val="FGCNORMAL"/>
      </w:pPr>
      <w:r w:rsidRPr="00D2134C">
        <w:t>From 1 July 2021 to 30 June 2022, $27.6 billion in payments for supports were made on a cash basis across all participants. This was $1.2 billion or 4.2% less than the 2020</w:t>
      </w:r>
      <w:r w:rsidR="00B461FD">
        <w:t>–</w:t>
      </w:r>
      <w:r w:rsidRPr="00D2134C">
        <w:t>21 AFSR estimate of $28.8 billion. Total payments on an accrual basis were $28.6 billion</w:t>
      </w:r>
      <w:r w:rsidRPr="00D2134C">
        <w:rPr>
          <w:rStyle w:val="FootnoteReference"/>
          <w:rFonts w:eastAsia="Times New Roman"/>
        </w:rPr>
        <w:footnoteReference w:id="20"/>
      </w:r>
      <w:r w:rsidRPr="00D2134C">
        <w:t>, 2.0% lower than the 2020</w:t>
      </w:r>
      <w:r w:rsidR="006F5B8D">
        <w:t>–</w:t>
      </w:r>
      <w:r w:rsidRPr="00D2134C">
        <w:t>21 AFSR estimate of $29.2 billion.</w:t>
      </w:r>
    </w:p>
    <w:p w14:paraId="104A8CAC" w14:textId="77777777" w:rsidR="00747F39" w:rsidRPr="00D2134C" w:rsidRDefault="00747F39" w:rsidP="00217FA1">
      <w:pPr>
        <w:pStyle w:val="FGCNORMAL"/>
      </w:pPr>
      <w:r w:rsidRPr="00D2134C">
        <w:t>A significant component of the variance is estimated to be related to systemic impacts from COVID-19 on the supply of and demand for disability support services. Supply-side impacts that are likely to have driven lower payment experience include disability workforce shortages, mobility restrictions and workforce absenteeism from COVID illness and isolation requirements. Demand-side impacts include participant or family wariness of accessing supports due to COVID exposure and participant COVID infection and illness.</w:t>
      </w:r>
    </w:p>
    <w:p w14:paraId="766A2B82" w14:textId="7A060FA2" w:rsidR="00747F39" w:rsidRPr="00D2134C" w:rsidRDefault="00747F39" w:rsidP="00217FA1">
      <w:pPr>
        <w:pStyle w:val="FGCNORMAL"/>
      </w:pPr>
      <w:r w:rsidRPr="00D2134C">
        <w:t xml:space="preserve">The impacts of the primary drivers of the variance in the Scheme expenses for </w:t>
      </w:r>
      <w:r w:rsidR="00140C64">
        <w:t>2021‒22</w:t>
      </w:r>
      <w:r w:rsidRPr="00D2134C">
        <w:t xml:space="preserve"> </w:t>
      </w:r>
      <w:proofErr w:type="gramStart"/>
      <w:r w:rsidRPr="00D2134C">
        <w:t>are</w:t>
      </w:r>
      <w:proofErr w:type="gramEnd"/>
      <w:r w:rsidRPr="00D2134C">
        <w:t xml:space="preserve"> summarised in </w:t>
      </w:r>
      <w:r w:rsidR="00DA152E">
        <w:t>Table 3.2.1F</w:t>
      </w:r>
      <w:r w:rsidRPr="00D2134C">
        <w:t>.</w:t>
      </w:r>
    </w:p>
    <w:p w14:paraId="62142332" w14:textId="5592A0CD" w:rsidR="00747F39" w:rsidRPr="00D2134C" w:rsidRDefault="00747F39" w:rsidP="0048554D">
      <w:pPr>
        <w:pStyle w:val="FGCNORMAL"/>
        <w:keepNext/>
      </w:pPr>
      <w:bookmarkStart w:id="317" w:name="_Ref112314227"/>
      <w:r w:rsidRPr="0048554D">
        <w:rPr>
          <w:rStyle w:val="FGCEMPHASIS"/>
        </w:rPr>
        <w:lastRenderedPageBreak/>
        <w:t>Table</w:t>
      </w:r>
      <w:r w:rsidR="001E4AE1">
        <w:rPr>
          <w:rStyle w:val="FGCEMPHASIS"/>
        </w:rPr>
        <w:t xml:space="preserve"> 3.2.1</w:t>
      </w:r>
      <w:r w:rsidR="00F24907">
        <w:rPr>
          <w:rStyle w:val="FGCEMPHASIS"/>
        </w:rPr>
        <w:t>F</w:t>
      </w:r>
      <w:bookmarkEnd w:id="317"/>
      <w:r w:rsidRPr="00D2134C">
        <w:t xml:space="preserve">: Estimated drivers of variation in Scheme expenses in </w:t>
      </w:r>
      <w:r w:rsidR="00140C64">
        <w:t>2021‒22</w:t>
      </w:r>
    </w:p>
    <w:tbl>
      <w:tblPr>
        <w:tblW w:w="9356" w:type="dxa"/>
        <w:tblInd w:w="567" w:type="dxa"/>
        <w:tblLook w:val="04A0" w:firstRow="1" w:lastRow="0" w:firstColumn="1" w:lastColumn="0" w:noHBand="0" w:noVBand="1"/>
      </w:tblPr>
      <w:tblGrid>
        <w:gridCol w:w="4928"/>
        <w:gridCol w:w="2674"/>
        <w:gridCol w:w="1754"/>
      </w:tblGrid>
      <w:tr w:rsidR="00A75CB7" w:rsidRPr="00D2134C" w14:paraId="2BB86800" w14:textId="77777777" w:rsidTr="00EE2D88">
        <w:trPr>
          <w:trHeight w:val="397"/>
          <w:tblHeader/>
        </w:trPr>
        <w:tc>
          <w:tcPr>
            <w:tcW w:w="4928" w:type="dxa"/>
            <w:shd w:val="clear" w:color="000000" w:fill="6B2976"/>
            <w:vAlign w:val="center"/>
            <w:hideMark/>
          </w:tcPr>
          <w:p w14:paraId="39971081" w14:textId="77777777" w:rsidR="00747F39" w:rsidRPr="004B454B" w:rsidRDefault="00747F39" w:rsidP="004B454B">
            <w:pPr>
              <w:pStyle w:val="FGCTABLENORMAL"/>
              <w:rPr>
                <w:b/>
                <w:bCs/>
                <w:color w:val="FFFFFF" w:themeColor="background1"/>
                <w:lang w:eastAsia="en-AU"/>
              </w:rPr>
            </w:pPr>
            <w:r w:rsidRPr="004B454B">
              <w:rPr>
                <w:b/>
                <w:bCs/>
                <w:color w:val="FFFFFF" w:themeColor="background1"/>
                <w:lang w:eastAsia="en-AU"/>
              </w:rPr>
              <w:t xml:space="preserve">Drivers of variation </w:t>
            </w:r>
          </w:p>
        </w:tc>
        <w:tc>
          <w:tcPr>
            <w:tcW w:w="2674" w:type="dxa"/>
            <w:shd w:val="clear" w:color="000000" w:fill="6B2976"/>
            <w:vAlign w:val="center"/>
          </w:tcPr>
          <w:p w14:paraId="7360E872" w14:textId="77777777" w:rsidR="00747F39" w:rsidRPr="004B454B" w:rsidRDefault="00747F39" w:rsidP="004B454B">
            <w:pPr>
              <w:pStyle w:val="FGCTABLENORMAL"/>
              <w:rPr>
                <w:b/>
                <w:bCs/>
                <w:color w:val="FFFFFF" w:themeColor="background1"/>
                <w:lang w:eastAsia="en-AU"/>
              </w:rPr>
            </w:pPr>
            <w:r w:rsidRPr="004B454B">
              <w:rPr>
                <w:b/>
                <w:bCs/>
                <w:color w:val="FFFFFF" w:themeColor="background1"/>
                <w:lang w:eastAsia="en-AU"/>
              </w:rPr>
              <w:t xml:space="preserve">Estimated </w:t>
            </w:r>
          </w:p>
          <w:p w14:paraId="67C25778" w14:textId="752FC87D" w:rsidR="00747F39" w:rsidRPr="004B454B" w:rsidRDefault="00787F6C" w:rsidP="004B454B">
            <w:pPr>
              <w:pStyle w:val="FGCTABLENORMAL"/>
              <w:rPr>
                <w:b/>
                <w:bCs/>
                <w:color w:val="FFFFFF" w:themeColor="background1"/>
                <w:lang w:eastAsia="en-AU"/>
              </w:rPr>
            </w:pPr>
            <w:r>
              <w:rPr>
                <w:b/>
                <w:bCs/>
                <w:color w:val="FFFFFF" w:themeColor="background1"/>
                <w:lang w:eastAsia="en-AU"/>
              </w:rPr>
              <w:t>i</w:t>
            </w:r>
            <w:r w:rsidR="00747F39" w:rsidRPr="004B454B">
              <w:rPr>
                <w:b/>
                <w:bCs/>
                <w:color w:val="FFFFFF" w:themeColor="background1"/>
                <w:lang w:eastAsia="en-AU"/>
              </w:rPr>
              <w:t>mpact ($m)</w:t>
            </w:r>
          </w:p>
        </w:tc>
        <w:tc>
          <w:tcPr>
            <w:tcW w:w="1754" w:type="dxa"/>
            <w:shd w:val="clear" w:color="000000" w:fill="6B2976"/>
          </w:tcPr>
          <w:p w14:paraId="25A292C0" w14:textId="452B5274" w:rsidR="00747F39" w:rsidRPr="004B454B" w:rsidRDefault="00747F39" w:rsidP="004B454B">
            <w:pPr>
              <w:pStyle w:val="FGCTABLENORMAL"/>
              <w:rPr>
                <w:b/>
                <w:bCs/>
                <w:color w:val="FFFFFF" w:themeColor="background1"/>
                <w:lang w:eastAsia="en-AU"/>
              </w:rPr>
            </w:pPr>
            <w:r w:rsidRPr="004B454B">
              <w:rPr>
                <w:b/>
                <w:bCs/>
                <w:color w:val="FFFFFF" w:themeColor="background1"/>
                <w:lang w:eastAsia="en-AU"/>
              </w:rPr>
              <w:t xml:space="preserve">Estimated </w:t>
            </w:r>
            <w:r w:rsidR="00787F6C">
              <w:rPr>
                <w:b/>
                <w:bCs/>
                <w:color w:val="FFFFFF" w:themeColor="background1"/>
                <w:lang w:eastAsia="en-AU"/>
              </w:rPr>
              <w:t>i</w:t>
            </w:r>
            <w:r w:rsidRPr="004B454B">
              <w:rPr>
                <w:b/>
                <w:bCs/>
                <w:color w:val="FFFFFF" w:themeColor="background1"/>
                <w:lang w:eastAsia="en-AU"/>
              </w:rPr>
              <w:t>mpact (%)</w:t>
            </w:r>
          </w:p>
        </w:tc>
      </w:tr>
      <w:tr w:rsidR="00A75CB7" w:rsidRPr="00D2134C" w14:paraId="68AC4B70" w14:textId="77777777" w:rsidTr="00EE2D88">
        <w:trPr>
          <w:trHeight w:val="301"/>
        </w:trPr>
        <w:tc>
          <w:tcPr>
            <w:tcW w:w="4928" w:type="dxa"/>
            <w:shd w:val="clear" w:color="auto" w:fill="auto"/>
            <w:noWrap/>
            <w:vAlign w:val="center"/>
            <w:hideMark/>
          </w:tcPr>
          <w:p w14:paraId="272B38F4" w14:textId="77777777" w:rsidR="00747F39" w:rsidRPr="00D2134C" w:rsidRDefault="00747F39" w:rsidP="004B454B">
            <w:pPr>
              <w:pStyle w:val="FGCTABLENORMAL"/>
              <w:rPr>
                <w:color w:val="000000"/>
                <w:lang w:eastAsia="en-AU"/>
              </w:rPr>
            </w:pPr>
            <w:r w:rsidRPr="00D2134C">
              <w:rPr>
                <w:color w:val="000000"/>
                <w:lang w:eastAsia="en-AU"/>
              </w:rPr>
              <w:t>Participant numbers</w:t>
            </w:r>
          </w:p>
        </w:tc>
        <w:tc>
          <w:tcPr>
            <w:tcW w:w="2674" w:type="dxa"/>
            <w:shd w:val="clear" w:color="auto" w:fill="auto"/>
            <w:noWrap/>
            <w:vAlign w:val="center"/>
            <w:hideMark/>
          </w:tcPr>
          <w:p w14:paraId="4034A2A3" w14:textId="77777777" w:rsidR="00747F39" w:rsidRPr="00D2134C" w:rsidRDefault="00747F39" w:rsidP="004B454B">
            <w:pPr>
              <w:pStyle w:val="FGCTABLENORMAL"/>
              <w:rPr>
                <w:color w:val="000000"/>
                <w:lang w:eastAsia="en-AU"/>
              </w:rPr>
            </w:pPr>
            <w:r w:rsidRPr="00D2134C">
              <w:rPr>
                <w:color w:val="000000"/>
                <w:lang w:eastAsia="en-AU"/>
              </w:rPr>
              <w:t xml:space="preserve">+15 </w:t>
            </w:r>
          </w:p>
        </w:tc>
        <w:tc>
          <w:tcPr>
            <w:tcW w:w="1754" w:type="dxa"/>
          </w:tcPr>
          <w:p w14:paraId="3E501152" w14:textId="77777777" w:rsidR="00747F39" w:rsidRPr="00D2134C" w:rsidRDefault="00747F39" w:rsidP="004B454B">
            <w:pPr>
              <w:pStyle w:val="FGCTABLENORMAL"/>
              <w:rPr>
                <w:color w:val="000000"/>
                <w:lang w:eastAsia="en-AU"/>
              </w:rPr>
            </w:pPr>
            <w:r w:rsidRPr="00D2134C">
              <w:rPr>
                <w:color w:val="000000"/>
                <w:lang w:eastAsia="en-AU"/>
              </w:rPr>
              <w:t>-1%</w:t>
            </w:r>
          </w:p>
        </w:tc>
      </w:tr>
      <w:tr w:rsidR="00A75CB7" w:rsidRPr="00D2134C" w14:paraId="0B139D73" w14:textId="77777777" w:rsidTr="00EE2D88">
        <w:trPr>
          <w:trHeight w:val="301"/>
        </w:trPr>
        <w:tc>
          <w:tcPr>
            <w:tcW w:w="4928" w:type="dxa"/>
            <w:shd w:val="clear" w:color="auto" w:fill="D9D9D9" w:themeFill="background1" w:themeFillShade="D9"/>
            <w:noWrap/>
            <w:vAlign w:val="center"/>
            <w:hideMark/>
          </w:tcPr>
          <w:p w14:paraId="64D4F9D3" w14:textId="77777777" w:rsidR="00747F39" w:rsidRPr="00D2134C" w:rsidRDefault="00747F39" w:rsidP="004B454B">
            <w:pPr>
              <w:pStyle w:val="FGCTABLENORMAL"/>
              <w:rPr>
                <w:color w:val="000000"/>
                <w:lang w:eastAsia="en-AU"/>
              </w:rPr>
            </w:pPr>
            <w:r w:rsidRPr="00D2134C">
              <w:rPr>
                <w:color w:val="000000"/>
                <w:lang w:eastAsia="en-AU"/>
              </w:rPr>
              <w:t>Participant mix</w:t>
            </w:r>
          </w:p>
        </w:tc>
        <w:tc>
          <w:tcPr>
            <w:tcW w:w="2674" w:type="dxa"/>
            <w:shd w:val="clear" w:color="auto" w:fill="D9D9D9" w:themeFill="background1" w:themeFillShade="D9"/>
            <w:noWrap/>
            <w:vAlign w:val="center"/>
            <w:hideMark/>
          </w:tcPr>
          <w:p w14:paraId="5981064B" w14:textId="77777777" w:rsidR="00747F39" w:rsidRPr="00D2134C" w:rsidRDefault="00747F39" w:rsidP="004B454B">
            <w:pPr>
              <w:pStyle w:val="FGCTABLENORMAL"/>
              <w:rPr>
                <w:color w:val="000000"/>
                <w:lang w:eastAsia="en-AU"/>
              </w:rPr>
            </w:pPr>
            <w:r w:rsidRPr="00D2134C">
              <w:rPr>
                <w:color w:val="000000"/>
                <w:lang w:eastAsia="en-AU"/>
              </w:rPr>
              <w:t xml:space="preserve">-126 </w:t>
            </w:r>
          </w:p>
        </w:tc>
        <w:tc>
          <w:tcPr>
            <w:tcW w:w="1754" w:type="dxa"/>
            <w:shd w:val="clear" w:color="auto" w:fill="D9D9D9" w:themeFill="background1" w:themeFillShade="D9"/>
          </w:tcPr>
          <w:p w14:paraId="45DB41A3" w14:textId="77777777" w:rsidR="00747F39" w:rsidRPr="00D2134C" w:rsidRDefault="00747F39" w:rsidP="004B454B">
            <w:pPr>
              <w:pStyle w:val="FGCTABLENORMAL"/>
              <w:rPr>
                <w:color w:val="000000"/>
                <w:lang w:eastAsia="en-AU"/>
              </w:rPr>
            </w:pPr>
            <w:r w:rsidRPr="00D2134C">
              <w:rPr>
                <w:color w:val="000000"/>
                <w:lang w:eastAsia="en-AU"/>
              </w:rPr>
              <w:t>10%</w:t>
            </w:r>
          </w:p>
        </w:tc>
      </w:tr>
      <w:tr w:rsidR="00A75CB7" w:rsidRPr="00D2134C" w14:paraId="00ACD7C6" w14:textId="77777777" w:rsidTr="00EE2D88">
        <w:trPr>
          <w:trHeight w:val="301"/>
        </w:trPr>
        <w:tc>
          <w:tcPr>
            <w:tcW w:w="4928" w:type="dxa"/>
            <w:shd w:val="clear" w:color="auto" w:fill="auto"/>
            <w:noWrap/>
            <w:vAlign w:val="center"/>
            <w:hideMark/>
          </w:tcPr>
          <w:p w14:paraId="39C2022D" w14:textId="77777777" w:rsidR="00747F39" w:rsidRPr="00D2134C" w:rsidRDefault="00747F39" w:rsidP="004B454B">
            <w:pPr>
              <w:pStyle w:val="FGCTABLENORMAL"/>
              <w:rPr>
                <w:color w:val="000000"/>
                <w:lang w:eastAsia="en-AU"/>
              </w:rPr>
            </w:pPr>
            <w:r w:rsidRPr="00D2134C">
              <w:rPr>
                <w:color w:val="000000"/>
                <w:lang w:eastAsia="en-AU"/>
              </w:rPr>
              <w:t>Systematic supply and demand impacts</w:t>
            </w:r>
          </w:p>
        </w:tc>
        <w:tc>
          <w:tcPr>
            <w:tcW w:w="2674" w:type="dxa"/>
            <w:shd w:val="clear" w:color="auto" w:fill="auto"/>
            <w:noWrap/>
            <w:vAlign w:val="center"/>
            <w:hideMark/>
          </w:tcPr>
          <w:p w14:paraId="62DA5BB3" w14:textId="77777777" w:rsidR="00747F39" w:rsidRPr="00D2134C" w:rsidRDefault="00747F39" w:rsidP="004B454B">
            <w:pPr>
              <w:pStyle w:val="FGCTABLENORMAL"/>
              <w:rPr>
                <w:color w:val="000000"/>
                <w:lang w:eastAsia="en-AU"/>
              </w:rPr>
            </w:pPr>
            <w:r w:rsidRPr="00D2134C">
              <w:rPr>
                <w:color w:val="000000"/>
                <w:lang w:eastAsia="en-AU"/>
              </w:rPr>
              <w:t xml:space="preserve">-440 </w:t>
            </w:r>
          </w:p>
        </w:tc>
        <w:tc>
          <w:tcPr>
            <w:tcW w:w="1754" w:type="dxa"/>
          </w:tcPr>
          <w:p w14:paraId="6DFCDCAF" w14:textId="77777777" w:rsidR="00747F39" w:rsidRPr="00D2134C" w:rsidRDefault="00747F39" w:rsidP="004B454B">
            <w:pPr>
              <w:pStyle w:val="FGCTABLENORMAL"/>
              <w:rPr>
                <w:color w:val="000000"/>
                <w:lang w:eastAsia="en-AU"/>
              </w:rPr>
            </w:pPr>
            <w:r w:rsidRPr="00D2134C">
              <w:rPr>
                <w:color w:val="000000"/>
                <w:lang w:eastAsia="en-AU"/>
              </w:rPr>
              <w:t>37%</w:t>
            </w:r>
          </w:p>
        </w:tc>
      </w:tr>
      <w:tr w:rsidR="00A75CB7" w:rsidRPr="00D2134C" w14:paraId="136A9266" w14:textId="77777777" w:rsidTr="00EE2D88">
        <w:trPr>
          <w:trHeight w:val="301"/>
        </w:trPr>
        <w:tc>
          <w:tcPr>
            <w:tcW w:w="4928" w:type="dxa"/>
            <w:shd w:val="clear" w:color="auto" w:fill="D9D9D9" w:themeFill="background1" w:themeFillShade="D9"/>
            <w:noWrap/>
            <w:vAlign w:val="center"/>
            <w:hideMark/>
          </w:tcPr>
          <w:p w14:paraId="75122049" w14:textId="77777777" w:rsidR="00747F39" w:rsidRPr="00D2134C" w:rsidRDefault="00747F39" w:rsidP="004B454B">
            <w:pPr>
              <w:pStyle w:val="FGCTABLENORMAL"/>
              <w:rPr>
                <w:color w:val="000000"/>
                <w:lang w:eastAsia="en-AU"/>
              </w:rPr>
            </w:pPr>
            <w:r w:rsidRPr="00D2134C">
              <w:rPr>
                <w:color w:val="000000"/>
                <w:lang w:eastAsia="en-AU"/>
              </w:rPr>
              <w:t>Provider compliance</w:t>
            </w:r>
          </w:p>
        </w:tc>
        <w:tc>
          <w:tcPr>
            <w:tcW w:w="2674" w:type="dxa"/>
            <w:shd w:val="clear" w:color="auto" w:fill="D9D9D9" w:themeFill="background1" w:themeFillShade="D9"/>
            <w:noWrap/>
            <w:vAlign w:val="center"/>
            <w:hideMark/>
          </w:tcPr>
          <w:p w14:paraId="536D8FBF" w14:textId="77777777" w:rsidR="00747F39" w:rsidRPr="00D2134C" w:rsidRDefault="00747F39" w:rsidP="004B454B">
            <w:pPr>
              <w:pStyle w:val="FGCTABLENORMAL"/>
              <w:rPr>
                <w:color w:val="000000"/>
                <w:lang w:eastAsia="en-AU"/>
              </w:rPr>
            </w:pPr>
            <w:r w:rsidRPr="00D2134C">
              <w:rPr>
                <w:color w:val="000000"/>
                <w:lang w:eastAsia="en-AU"/>
              </w:rPr>
              <w:t xml:space="preserve">-65 </w:t>
            </w:r>
          </w:p>
        </w:tc>
        <w:tc>
          <w:tcPr>
            <w:tcW w:w="1754" w:type="dxa"/>
            <w:shd w:val="clear" w:color="auto" w:fill="D9D9D9" w:themeFill="background1" w:themeFillShade="D9"/>
          </w:tcPr>
          <w:p w14:paraId="2D307CB6" w14:textId="77777777" w:rsidR="00747F39" w:rsidRPr="00D2134C" w:rsidRDefault="00747F39" w:rsidP="004B454B">
            <w:pPr>
              <w:pStyle w:val="FGCTABLENORMAL"/>
              <w:rPr>
                <w:color w:val="000000"/>
                <w:lang w:eastAsia="en-AU"/>
              </w:rPr>
            </w:pPr>
            <w:r w:rsidRPr="00D2134C">
              <w:rPr>
                <w:color w:val="000000"/>
                <w:lang w:eastAsia="en-AU"/>
              </w:rPr>
              <w:t>5%</w:t>
            </w:r>
          </w:p>
        </w:tc>
      </w:tr>
      <w:tr w:rsidR="00A75CB7" w:rsidRPr="00D2134C" w14:paraId="580E242A" w14:textId="77777777" w:rsidTr="00EE2D88">
        <w:trPr>
          <w:trHeight w:val="301"/>
        </w:trPr>
        <w:tc>
          <w:tcPr>
            <w:tcW w:w="4928" w:type="dxa"/>
            <w:shd w:val="clear" w:color="auto" w:fill="auto"/>
            <w:noWrap/>
            <w:vAlign w:val="center"/>
            <w:hideMark/>
          </w:tcPr>
          <w:p w14:paraId="3689585C" w14:textId="6B9CB2EC" w:rsidR="00747F39" w:rsidRPr="00D2134C" w:rsidRDefault="00747F39" w:rsidP="004B454B">
            <w:pPr>
              <w:pStyle w:val="FGCTABLENORMAL"/>
              <w:rPr>
                <w:color w:val="000000"/>
                <w:lang w:eastAsia="en-AU"/>
              </w:rPr>
            </w:pPr>
            <w:r w:rsidRPr="00D2134C">
              <w:rPr>
                <w:color w:val="000000"/>
                <w:lang w:eastAsia="en-AU"/>
              </w:rPr>
              <w:t xml:space="preserve">Residential </w:t>
            </w:r>
            <w:r w:rsidR="00787F6C">
              <w:rPr>
                <w:color w:val="000000"/>
                <w:lang w:eastAsia="en-AU"/>
              </w:rPr>
              <w:t>a</w:t>
            </w:r>
            <w:r w:rsidRPr="00D2134C">
              <w:rPr>
                <w:color w:val="000000"/>
                <w:lang w:eastAsia="en-AU"/>
              </w:rPr>
              <w:t xml:space="preserve">ged </w:t>
            </w:r>
            <w:r w:rsidR="00787F6C">
              <w:rPr>
                <w:color w:val="000000"/>
                <w:lang w:eastAsia="en-AU"/>
              </w:rPr>
              <w:t>c</w:t>
            </w:r>
            <w:r w:rsidRPr="00D2134C">
              <w:rPr>
                <w:color w:val="000000"/>
                <w:lang w:eastAsia="en-AU"/>
              </w:rPr>
              <w:t>are variance</w:t>
            </w:r>
          </w:p>
        </w:tc>
        <w:tc>
          <w:tcPr>
            <w:tcW w:w="2674" w:type="dxa"/>
            <w:shd w:val="clear" w:color="auto" w:fill="auto"/>
            <w:noWrap/>
            <w:vAlign w:val="center"/>
            <w:hideMark/>
          </w:tcPr>
          <w:p w14:paraId="4E0F9557" w14:textId="77777777" w:rsidR="00747F39" w:rsidRPr="00D2134C" w:rsidRDefault="00747F39" w:rsidP="004B454B">
            <w:pPr>
              <w:pStyle w:val="FGCTABLENORMAL"/>
              <w:rPr>
                <w:color w:val="000000"/>
                <w:lang w:eastAsia="en-AU"/>
              </w:rPr>
            </w:pPr>
            <w:r w:rsidRPr="00D2134C">
              <w:rPr>
                <w:color w:val="000000"/>
                <w:lang w:eastAsia="en-AU"/>
              </w:rPr>
              <w:t xml:space="preserve">-175 </w:t>
            </w:r>
          </w:p>
        </w:tc>
        <w:tc>
          <w:tcPr>
            <w:tcW w:w="1754" w:type="dxa"/>
          </w:tcPr>
          <w:p w14:paraId="46E1153A" w14:textId="77777777" w:rsidR="00747F39" w:rsidRPr="00D2134C" w:rsidRDefault="00747F39" w:rsidP="004B454B">
            <w:pPr>
              <w:pStyle w:val="FGCTABLENORMAL"/>
              <w:rPr>
                <w:color w:val="000000"/>
                <w:lang w:eastAsia="en-AU"/>
              </w:rPr>
            </w:pPr>
            <w:r w:rsidRPr="00D2134C">
              <w:rPr>
                <w:color w:val="000000"/>
                <w:lang w:eastAsia="en-AU"/>
              </w:rPr>
              <w:t>15%</w:t>
            </w:r>
          </w:p>
        </w:tc>
      </w:tr>
      <w:tr w:rsidR="00A75CB7" w:rsidRPr="00D2134C" w14:paraId="4290D0D7" w14:textId="77777777" w:rsidTr="00EE2D88">
        <w:trPr>
          <w:trHeight w:val="301"/>
        </w:trPr>
        <w:tc>
          <w:tcPr>
            <w:tcW w:w="4928" w:type="dxa"/>
            <w:tcBorders>
              <w:bottom w:val="single" w:sz="4" w:space="0" w:color="auto"/>
            </w:tcBorders>
            <w:shd w:val="clear" w:color="auto" w:fill="D9D9D9" w:themeFill="background1" w:themeFillShade="D9"/>
            <w:noWrap/>
            <w:vAlign w:val="center"/>
          </w:tcPr>
          <w:p w14:paraId="2573DBE4" w14:textId="77777777" w:rsidR="00747F39" w:rsidRPr="00EA7DD2" w:rsidRDefault="00747F39" w:rsidP="004B454B">
            <w:pPr>
              <w:pStyle w:val="FGCTABLENORMAL"/>
              <w:rPr>
                <w:b/>
                <w:bCs/>
                <w:color w:val="000000"/>
                <w:lang w:eastAsia="en-AU"/>
              </w:rPr>
            </w:pPr>
            <w:r w:rsidRPr="00EA7DD2">
              <w:rPr>
                <w:b/>
                <w:bCs/>
                <w:color w:val="000000"/>
                <w:lang w:eastAsia="en-AU"/>
              </w:rPr>
              <w:t>Total explained</w:t>
            </w:r>
          </w:p>
        </w:tc>
        <w:tc>
          <w:tcPr>
            <w:tcW w:w="2674" w:type="dxa"/>
            <w:tcBorders>
              <w:bottom w:val="single" w:sz="4" w:space="0" w:color="auto"/>
            </w:tcBorders>
            <w:shd w:val="clear" w:color="auto" w:fill="D9D9D9" w:themeFill="background1" w:themeFillShade="D9"/>
            <w:noWrap/>
            <w:vAlign w:val="center"/>
          </w:tcPr>
          <w:p w14:paraId="68C78F3F" w14:textId="77777777" w:rsidR="00747F39" w:rsidRPr="00EA7DD2" w:rsidRDefault="00747F39" w:rsidP="004B454B">
            <w:pPr>
              <w:pStyle w:val="FGCTABLENORMAL"/>
              <w:rPr>
                <w:b/>
                <w:bCs/>
                <w:color w:val="000000"/>
                <w:lang w:eastAsia="en-AU"/>
              </w:rPr>
            </w:pPr>
            <w:r w:rsidRPr="00EA7DD2">
              <w:rPr>
                <w:b/>
                <w:bCs/>
                <w:color w:val="000000"/>
                <w:lang w:eastAsia="en-AU"/>
              </w:rPr>
              <w:t>-792</w:t>
            </w:r>
          </w:p>
        </w:tc>
        <w:tc>
          <w:tcPr>
            <w:tcW w:w="1754" w:type="dxa"/>
            <w:tcBorders>
              <w:bottom w:val="single" w:sz="4" w:space="0" w:color="auto"/>
            </w:tcBorders>
            <w:shd w:val="clear" w:color="auto" w:fill="D9D9D9" w:themeFill="background1" w:themeFillShade="D9"/>
          </w:tcPr>
          <w:p w14:paraId="4ACF406C" w14:textId="77777777" w:rsidR="00747F39" w:rsidRPr="00EA7DD2" w:rsidRDefault="00747F39" w:rsidP="004B454B">
            <w:pPr>
              <w:pStyle w:val="FGCTABLENORMAL"/>
              <w:rPr>
                <w:b/>
                <w:bCs/>
                <w:color w:val="000000"/>
                <w:lang w:eastAsia="en-AU"/>
              </w:rPr>
            </w:pPr>
            <w:r w:rsidRPr="00EA7DD2">
              <w:rPr>
                <w:b/>
                <w:bCs/>
                <w:color w:val="000000"/>
                <w:lang w:eastAsia="en-AU"/>
              </w:rPr>
              <w:t>66%</w:t>
            </w:r>
          </w:p>
        </w:tc>
      </w:tr>
      <w:tr w:rsidR="00A75CB7" w:rsidRPr="00D2134C" w14:paraId="1ECC852E" w14:textId="77777777" w:rsidTr="00EE2D88">
        <w:trPr>
          <w:trHeight w:val="301"/>
        </w:trPr>
        <w:tc>
          <w:tcPr>
            <w:tcW w:w="4928" w:type="dxa"/>
            <w:tcBorders>
              <w:bottom w:val="single" w:sz="4" w:space="0" w:color="auto"/>
            </w:tcBorders>
            <w:shd w:val="clear" w:color="auto" w:fill="auto"/>
            <w:noWrap/>
            <w:vAlign w:val="center"/>
            <w:hideMark/>
          </w:tcPr>
          <w:p w14:paraId="44CB39FA" w14:textId="77777777" w:rsidR="00747F39" w:rsidRPr="00DA588B" w:rsidRDefault="00747F39" w:rsidP="004B454B">
            <w:pPr>
              <w:pStyle w:val="FGCTABLENORMAL"/>
              <w:rPr>
                <w:color w:val="000000"/>
                <w:lang w:eastAsia="en-AU"/>
              </w:rPr>
            </w:pPr>
            <w:r w:rsidRPr="00DA588B">
              <w:rPr>
                <w:color w:val="000000"/>
                <w:lang w:eastAsia="en-AU"/>
              </w:rPr>
              <w:t>Unexplained variation</w:t>
            </w:r>
          </w:p>
        </w:tc>
        <w:tc>
          <w:tcPr>
            <w:tcW w:w="2674" w:type="dxa"/>
            <w:tcBorders>
              <w:bottom w:val="single" w:sz="4" w:space="0" w:color="auto"/>
            </w:tcBorders>
            <w:shd w:val="clear" w:color="auto" w:fill="auto"/>
            <w:noWrap/>
            <w:vAlign w:val="center"/>
            <w:hideMark/>
          </w:tcPr>
          <w:p w14:paraId="437C0788" w14:textId="77777777" w:rsidR="00747F39" w:rsidRPr="00DA588B" w:rsidRDefault="00747F39" w:rsidP="004B454B">
            <w:pPr>
              <w:pStyle w:val="FGCTABLENORMAL"/>
              <w:rPr>
                <w:color w:val="000000"/>
                <w:lang w:eastAsia="en-AU"/>
              </w:rPr>
            </w:pPr>
            <w:r w:rsidRPr="00DA588B">
              <w:rPr>
                <w:color w:val="000000"/>
                <w:lang w:eastAsia="en-AU"/>
              </w:rPr>
              <w:t xml:space="preserve">-413 </w:t>
            </w:r>
          </w:p>
        </w:tc>
        <w:tc>
          <w:tcPr>
            <w:tcW w:w="1754" w:type="dxa"/>
            <w:tcBorders>
              <w:bottom w:val="single" w:sz="4" w:space="0" w:color="auto"/>
            </w:tcBorders>
          </w:tcPr>
          <w:p w14:paraId="0839D2D6" w14:textId="77777777" w:rsidR="00747F39" w:rsidRPr="00DA588B" w:rsidRDefault="00747F39" w:rsidP="004B454B">
            <w:pPr>
              <w:pStyle w:val="FGCTABLENORMAL"/>
              <w:rPr>
                <w:color w:val="000000"/>
                <w:lang w:eastAsia="en-AU"/>
              </w:rPr>
            </w:pPr>
            <w:r w:rsidRPr="00DA588B">
              <w:rPr>
                <w:color w:val="000000"/>
                <w:lang w:eastAsia="en-AU"/>
              </w:rPr>
              <w:t>34%</w:t>
            </w:r>
          </w:p>
        </w:tc>
      </w:tr>
      <w:tr w:rsidR="00A75CB7" w:rsidRPr="00D2134C" w14:paraId="1BCF03A6" w14:textId="77777777" w:rsidTr="00EE2D88">
        <w:trPr>
          <w:trHeight w:val="301"/>
        </w:trPr>
        <w:tc>
          <w:tcPr>
            <w:tcW w:w="4928" w:type="dxa"/>
            <w:tcBorders>
              <w:top w:val="single" w:sz="4" w:space="0" w:color="auto"/>
              <w:bottom w:val="single" w:sz="4" w:space="0" w:color="auto"/>
            </w:tcBorders>
            <w:shd w:val="clear" w:color="auto" w:fill="D4C5D7"/>
            <w:noWrap/>
            <w:vAlign w:val="center"/>
            <w:hideMark/>
          </w:tcPr>
          <w:p w14:paraId="74C434F8" w14:textId="77777777" w:rsidR="00747F39" w:rsidRPr="00EA7DD2" w:rsidRDefault="00747F39" w:rsidP="004B454B">
            <w:pPr>
              <w:pStyle w:val="FGCTABLENORMAL"/>
              <w:rPr>
                <w:b/>
                <w:bCs/>
                <w:color w:val="000000"/>
                <w:lang w:eastAsia="en-AU"/>
              </w:rPr>
            </w:pPr>
            <w:r w:rsidRPr="00EA7DD2">
              <w:rPr>
                <w:b/>
                <w:bCs/>
                <w:color w:val="000000"/>
                <w:lang w:eastAsia="en-AU"/>
              </w:rPr>
              <w:t>Total variation (Actual less expected on cash basis)</w:t>
            </w:r>
          </w:p>
        </w:tc>
        <w:tc>
          <w:tcPr>
            <w:tcW w:w="2674" w:type="dxa"/>
            <w:tcBorders>
              <w:top w:val="single" w:sz="4" w:space="0" w:color="auto"/>
              <w:bottom w:val="single" w:sz="4" w:space="0" w:color="auto"/>
            </w:tcBorders>
            <w:shd w:val="clear" w:color="auto" w:fill="D4C5D7"/>
            <w:noWrap/>
            <w:vAlign w:val="center"/>
            <w:hideMark/>
          </w:tcPr>
          <w:p w14:paraId="2630F4E6" w14:textId="77777777" w:rsidR="00747F39" w:rsidRPr="00EA7DD2" w:rsidRDefault="00747F39" w:rsidP="004B454B">
            <w:pPr>
              <w:pStyle w:val="FGCTABLENORMAL"/>
              <w:rPr>
                <w:b/>
                <w:bCs/>
                <w:color w:val="000000"/>
                <w:lang w:eastAsia="en-AU"/>
              </w:rPr>
            </w:pPr>
            <w:r w:rsidRPr="00EA7DD2">
              <w:rPr>
                <w:b/>
                <w:bCs/>
                <w:color w:val="000000"/>
                <w:lang w:eastAsia="en-AU"/>
              </w:rPr>
              <w:t>-1,204</w:t>
            </w:r>
          </w:p>
        </w:tc>
        <w:tc>
          <w:tcPr>
            <w:tcW w:w="1754" w:type="dxa"/>
            <w:tcBorders>
              <w:top w:val="single" w:sz="4" w:space="0" w:color="auto"/>
              <w:bottom w:val="single" w:sz="4" w:space="0" w:color="auto"/>
            </w:tcBorders>
            <w:shd w:val="clear" w:color="auto" w:fill="D4C5D7"/>
          </w:tcPr>
          <w:p w14:paraId="3F2FD720" w14:textId="77777777" w:rsidR="00747F39" w:rsidRPr="00EA7DD2" w:rsidRDefault="00747F39" w:rsidP="004B454B">
            <w:pPr>
              <w:pStyle w:val="FGCTABLENORMAL"/>
              <w:rPr>
                <w:b/>
                <w:bCs/>
                <w:color w:val="000000"/>
                <w:lang w:eastAsia="en-AU"/>
              </w:rPr>
            </w:pPr>
            <w:r w:rsidRPr="00EA7DD2">
              <w:rPr>
                <w:b/>
                <w:bCs/>
                <w:color w:val="000000"/>
                <w:lang w:eastAsia="en-AU"/>
              </w:rPr>
              <w:t>100%</w:t>
            </w:r>
          </w:p>
        </w:tc>
      </w:tr>
    </w:tbl>
    <w:p w14:paraId="62E3AE58" w14:textId="204196DA" w:rsidR="00747F39" w:rsidRPr="00D2134C" w:rsidRDefault="00747F39" w:rsidP="00217FA1">
      <w:pPr>
        <w:pStyle w:val="FGCNORMAL"/>
      </w:pPr>
      <w:r w:rsidRPr="00D2134C">
        <w:t xml:space="preserve">In summary, the variance in Scheme expenses for </w:t>
      </w:r>
      <w:r w:rsidR="00140C64">
        <w:t>2021‒22</w:t>
      </w:r>
      <w:r w:rsidRPr="00D2134C">
        <w:t xml:space="preserve"> compared with expected is explained by:</w:t>
      </w:r>
    </w:p>
    <w:p w14:paraId="53A45CA7" w14:textId="4C0599E8" w:rsidR="00747F39" w:rsidRPr="00D2134C" w:rsidRDefault="00653560" w:rsidP="0048554D">
      <w:pPr>
        <w:pStyle w:val="FGCBULLET1"/>
      </w:pPr>
      <w:r>
        <w:t>s</w:t>
      </w:r>
      <w:r w:rsidR="00747F39" w:rsidRPr="00D2134C">
        <w:t>ystematic disruptions to demand for and supply of services (estimated to be $440</w:t>
      </w:r>
      <w:r w:rsidR="00AD5CDA">
        <w:t xml:space="preserve"> </w:t>
      </w:r>
      <w:r w:rsidR="00747F39" w:rsidRPr="00D2134C">
        <w:t>m</w:t>
      </w:r>
      <w:r w:rsidR="00AD5CDA">
        <w:t>illion</w:t>
      </w:r>
      <w:r w:rsidR="00747F39" w:rsidRPr="00D2134C">
        <w:t xml:space="preserve"> or 37% of total variation)</w:t>
      </w:r>
    </w:p>
    <w:p w14:paraId="63836814" w14:textId="1F2F2E77" w:rsidR="00747F39" w:rsidRPr="00D2134C" w:rsidRDefault="00653560" w:rsidP="0048554D">
      <w:pPr>
        <w:pStyle w:val="FGCBULLET1"/>
      </w:pPr>
      <w:r>
        <w:t>a</w:t>
      </w:r>
      <w:r w:rsidR="00747F39" w:rsidRPr="00D2134C">
        <w:t xml:space="preserve"> </w:t>
      </w:r>
      <w:proofErr w:type="gramStart"/>
      <w:r w:rsidR="00747F39" w:rsidRPr="00D2134C">
        <w:t>lower than expected</w:t>
      </w:r>
      <w:proofErr w:type="gramEnd"/>
      <w:r w:rsidR="00747F39" w:rsidRPr="00D2134C">
        <w:t xml:space="preserve"> expense for participants in </w:t>
      </w:r>
      <w:r w:rsidR="000E5BB4">
        <w:t>r</w:t>
      </w:r>
      <w:r w:rsidR="00747F39" w:rsidRPr="00D2134C">
        <w:t xml:space="preserve">esidential </w:t>
      </w:r>
      <w:r w:rsidR="000E5BB4">
        <w:t>a</w:t>
      </w:r>
      <w:r w:rsidR="00747F39" w:rsidRPr="00D2134C">
        <w:t xml:space="preserve">ged </w:t>
      </w:r>
      <w:r w:rsidR="000E5BB4">
        <w:t>c</w:t>
      </w:r>
      <w:r w:rsidR="00747F39" w:rsidRPr="00D2134C">
        <w:t>are (estimated to be $175</w:t>
      </w:r>
      <w:r w:rsidR="000E5BB4">
        <w:t xml:space="preserve"> </w:t>
      </w:r>
      <w:r w:rsidR="00747F39" w:rsidRPr="00D2134C">
        <w:t>m</w:t>
      </w:r>
      <w:r w:rsidR="000E5BB4">
        <w:t>illion</w:t>
      </w:r>
      <w:r w:rsidR="00747F39" w:rsidRPr="00D2134C">
        <w:t xml:space="preserve"> or 15% of total variation)</w:t>
      </w:r>
    </w:p>
    <w:p w14:paraId="433CB94E" w14:textId="0CC69784" w:rsidR="00747F39" w:rsidRPr="00D2134C" w:rsidRDefault="00653560" w:rsidP="0048554D">
      <w:pPr>
        <w:pStyle w:val="FGCBULLET1"/>
      </w:pPr>
      <w:r>
        <w:t>t</w:t>
      </w:r>
      <w:r w:rsidR="00747F39" w:rsidRPr="00D2134C">
        <w:t xml:space="preserve">he mix of new entrants which have a relatively low per participant expense, (partially offset by </w:t>
      </w:r>
      <w:proofErr w:type="gramStart"/>
      <w:r w:rsidR="00747F39" w:rsidRPr="00D2134C">
        <w:t>higher than expected</w:t>
      </w:r>
      <w:proofErr w:type="gramEnd"/>
      <w:r w:rsidR="00747F39" w:rsidRPr="00D2134C">
        <w:t xml:space="preserve"> participant numbers overall) – estimated to be $111</w:t>
      </w:r>
      <w:r w:rsidR="00AD5CDA">
        <w:t xml:space="preserve"> </w:t>
      </w:r>
      <w:r w:rsidR="00747F39" w:rsidRPr="00D2134C">
        <w:t>m</w:t>
      </w:r>
      <w:r w:rsidR="00AD5CDA">
        <w:t>illion</w:t>
      </w:r>
      <w:r w:rsidR="00747F39" w:rsidRPr="00D2134C">
        <w:rPr>
          <w:rStyle w:val="FootnoteReference"/>
          <w:rFonts w:eastAsia="Times New Roman"/>
        </w:rPr>
        <w:footnoteReference w:id="21"/>
      </w:r>
      <w:r w:rsidR="00747F39" w:rsidRPr="00D2134C">
        <w:t xml:space="preserve"> or 9%</w:t>
      </w:r>
    </w:p>
    <w:p w14:paraId="0B9DD0B6" w14:textId="6475611A" w:rsidR="00747F39" w:rsidRPr="00D2134C" w:rsidRDefault="00653560" w:rsidP="0048554D">
      <w:pPr>
        <w:pStyle w:val="FGCBULLET1"/>
      </w:pPr>
      <w:r>
        <w:t>a</w:t>
      </w:r>
      <w:r w:rsidR="00747F39" w:rsidRPr="00D2134C">
        <w:t>ctivities to address provider compliance</w:t>
      </w:r>
    </w:p>
    <w:p w14:paraId="405C94C2" w14:textId="264B1F23" w:rsidR="00747F39" w:rsidRPr="00D2134C" w:rsidRDefault="00653560" w:rsidP="0048554D">
      <w:pPr>
        <w:pStyle w:val="FGCBULLET1"/>
      </w:pPr>
      <w:r>
        <w:t>o</w:t>
      </w:r>
      <w:r w:rsidR="00747F39" w:rsidRPr="00D2134C">
        <w:t>ther items which are not explained as they are not able to be quantified</w:t>
      </w:r>
      <w:r>
        <w:t>.</w:t>
      </w:r>
    </w:p>
    <w:p w14:paraId="3AC3AA9F" w14:textId="77777777" w:rsidR="00747F39" w:rsidRPr="00D2134C" w:rsidRDefault="00747F39" w:rsidP="00CE04C7">
      <w:pPr>
        <w:pStyle w:val="FGCHEADING4"/>
      </w:pPr>
      <w:r w:rsidRPr="00D2134C">
        <w:t>Average payments per participant</w:t>
      </w:r>
    </w:p>
    <w:p w14:paraId="7F756EEC" w14:textId="03E8D3F5" w:rsidR="00747F39" w:rsidRPr="00D2134C" w:rsidRDefault="00747F39" w:rsidP="00217FA1">
      <w:pPr>
        <w:pStyle w:val="FGCNORMAL"/>
      </w:pPr>
      <w:r w:rsidRPr="00D2134C">
        <w:t xml:space="preserve">Despite the </w:t>
      </w:r>
      <w:proofErr w:type="gramStart"/>
      <w:r w:rsidRPr="00D2134C">
        <w:t>lower than expected</w:t>
      </w:r>
      <w:proofErr w:type="gramEnd"/>
      <w:r w:rsidRPr="00D2134C">
        <w:t xml:space="preserve"> Scheme expenses in </w:t>
      </w:r>
      <w:r w:rsidR="00140C64">
        <w:t>2021‒22</w:t>
      </w:r>
      <w:r w:rsidRPr="00D2134C">
        <w:t>, the average payment increased between 2020</w:t>
      </w:r>
      <w:r w:rsidR="00542074">
        <w:t>–</w:t>
      </w:r>
      <w:r w:rsidRPr="00D2134C">
        <w:t xml:space="preserve">21 and </w:t>
      </w:r>
      <w:r w:rsidR="00140C64">
        <w:t>2021‒22</w:t>
      </w:r>
      <w:r w:rsidRPr="00D2134C">
        <w:t xml:space="preserve"> by 1.6% to about $55,200 per participant. This is lower than the increases observed in previous periods. Average payments have increased by 9.2% p.a. over the last </w:t>
      </w:r>
      <w:r w:rsidR="00542074">
        <w:t>3</w:t>
      </w:r>
      <w:r w:rsidRPr="00D2134C">
        <w:t xml:space="preserve"> years (</w:t>
      </w:r>
      <w:r w:rsidR="001E4AE1">
        <w:t>Figure 3.2.1</w:t>
      </w:r>
      <w:r w:rsidR="00A437EB">
        <w:t>D</w:t>
      </w:r>
      <w:r w:rsidR="001E4AE1">
        <w:t>)</w:t>
      </w:r>
      <w:r w:rsidR="008B51A3">
        <w:t>.</w:t>
      </w:r>
    </w:p>
    <w:p w14:paraId="572D59C8" w14:textId="5EA521D2" w:rsidR="00747F39" w:rsidRPr="00D2134C" w:rsidRDefault="00747F39" w:rsidP="004B454B">
      <w:pPr>
        <w:pStyle w:val="FGCNORMAL"/>
        <w:keepNext/>
      </w:pPr>
      <w:bookmarkStart w:id="318" w:name="_Ref112410379"/>
      <w:r w:rsidRPr="004B454B">
        <w:rPr>
          <w:b/>
          <w:bCs/>
        </w:rPr>
        <w:lastRenderedPageBreak/>
        <w:t>Figure</w:t>
      </w:r>
      <w:r w:rsidR="001E4AE1">
        <w:rPr>
          <w:b/>
          <w:bCs/>
        </w:rPr>
        <w:t xml:space="preserve"> 3.2.1</w:t>
      </w:r>
      <w:r w:rsidR="00E170FE">
        <w:rPr>
          <w:b/>
          <w:bCs/>
        </w:rPr>
        <w:t>D</w:t>
      </w:r>
      <w:bookmarkEnd w:id="318"/>
      <w:r w:rsidRPr="00D2134C">
        <w:t>: Average annualised payments over time</w:t>
      </w:r>
      <w:r w:rsidR="00B54BCB">
        <w:t xml:space="preserve"> ($)</w:t>
      </w:r>
      <w:r w:rsidRPr="00D2134C">
        <w:rPr>
          <w:rStyle w:val="FootnoteReference"/>
        </w:rPr>
        <w:footnoteReference w:id="22"/>
      </w:r>
    </w:p>
    <w:p w14:paraId="01DA25DA" w14:textId="77777777" w:rsidR="00747F39" w:rsidRPr="00D2134C" w:rsidRDefault="00747F39" w:rsidP="00217FA1">
      <w:pPr>
        <w:pStyle w:val="FGCNORMAL"/>
      </w:pPr>
      <w:r w:rsidRPr="00D2134C">
        <w:rPr>
          <w:noProof/>
          <w:lang w:eastAsia="en-AU"/>
        </w:rPr>
        <w:drawing>
          <wp:inline distT="0" distB="0" distL="0" distR="0" wp14:anchorId="676E14A5" wp14:editId="1E8C471F">
            <wp:extent cx="4365548" cy="3453319"/>
            <wp:effectExtent l="0" t="0" r="0" b="0"/>
            <wp:docPr id="25" name="Picture 25" descr="&#10;The chart shows the average annualised payments over time starting from $42,375 in 2018-19 to $55,184 in 2021-22, an average increase of 9.2% 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10;The chart shows the average annualised payments over time starting from $42,375 in 2018-19 to $55,184 in 2021-22, an average increase of 9.2% p.a."/>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393097" cy="3475111"/>
                    </a:xfrm>
                    <a:prstGeom prst="rect">
                      <a:avLst/>
                    </a:prstGeom>
                    <a:noFill/>
                  </pic:spPr>
                </pic:pic>
              </a:graphicData>
            </a:graphic>
          </wp:inline>
        </w:drawing>
      </w:r>
    </w:p>
    <w:p w14:paraId="28EAC7A8" w14:textId="33BF94BA" w:rsidR="00747F39" w:rsidRPr="00D2134C" w:rsidRDefault="00747F39" w:rsidP="00217FA1">
      <w:pPr>
        <w:pStyle w:val="FGCNORMAL"/>
        <w:rPr>
          <w:lang w:eastAsia="en-US"/>
        </w:rPr>
      </w:pPr>
      <w:r w:rsidRPr="00D2134C">
        <w:rPr>
          <w:lang w:eastAsia="en-US"/>
        </w:rPr>
        <w:t xml:space="preserve">Over the past </w:t>
      </w:r>
      <w:r w:rsidR="00A437EB">
        <w:rPr>
          <w:lang w:eastAsia="en-US"/>
        </w:rPr>
        <w:t>4</w:t>
      </w:r>
      <w:r w:rsidRPr="00D2134C">
        <w:rPr>
          <w:lang w:eastAsia="en-US"/>
        </w:rPr>
        <w:t xml:space="preserve"> years, the mix of participants in the Scheme has changed. That is, as the Scheme has rolled out across the country, the proportion of participants by different characteristics has changed. In particular, the proportion of children in the Scheme </w:t>
      </w:r>
      <w:proofErr w:type="gramStart"/>
      <w:r w:rsidRPr="00D2134C">
        <w:rPr>
          <w:lang w:eastAsia="en-US"/>
        </w:rPr>
        <w:t>at</w:t>
      </w:r>
      <w:proofErr w:type="gramEnd"/>
      <w:r w:rsidRPr="00D2134C">
        <w:rPr>
          <w:lang w:eastAsia="en-US"/>
        </w:rPr>
        <w:t xml:space="preserve"> June 2022 is much higher compared to the proportion at June 2019, and the proportion of participants with SIL in the Scheme at June 2022 is lower compared to the proportion at June 2019.</w:t>
      </w:r>
    </w:p>
    <w:p w14:paraId="51FA38FF" w14:textId="4B9455C2" w:rsidR="00747F39" w:rsidRPr="00D2134C" w:rsidRDefault="00747F39" w:rsidP="00217FA1">
      <w:pPr>
        <w:pStyle w:val="FGCNORMAL"/>
        <w:rPr>
          <w:highlight w:val="yellow"/>
        </w:rPr>
      </w:pPr>
      <w:r w:rsidRPr="00D2134C">
        <w:t xml:space="preserve">In </w:t>
      </w:r>
      <w:r w:rsidR="00140C64">
        <w:t>2021‒22</w:t>
      </w:r>
      <w:r w:rsidRPr="00D2134C">
        <w:t xml:space="preserve">, average payments increased by 5.1% for participants with SIL and 3.6% for participants without SIL compared to 1.6% overall. Over the last </w:t>
      </w:r>
      <w:r w:rsidR="0093750E">
        <w:t>3</w:t>
      </w:r>
      <w:r w:rsidRPr="00D2134C">
        <w:t xml:space="preserve"> years, the average annual</w:t>
      </w:r>
      <w:r w:rsidR="00C0106E">
        <w:t>ised</w:t>
      </w:r>
      <w:r w:rsidRPr="00D2134C">
        <w:t xml:space="preserve"> payment has increased for participants with SIL by 11.9%, and the average annual</w:t>
      </w:r>
      <w:r w:rsidR="001C4971">
        <w:t>ised</w:t>
      </w:r>
      <w:r w:rsidRPr="00D2134C">
        <w:t xml:space="preserve"> payment has increased for participants without SIL by 14.4% as shown in</w:t>
      </w:r>
      <w:r w:rsidR="001E4AE1">
        <w:t xml:space="preserve"> Figure 3.2.1</w:t>
      </w:r>
      <w:r w:rsidR="0093750E">
        <w:t>E</w:t>
      </w:r>
      <w:r w:rsidR="001E4AE1">
        <w:t>.</w:t>
      </w:r>
      <w:r w:rsidRPr="00D2134C">
        <w:t xml:space="preserve"> </w:t>
      </w:r>
      <w:r w:rsidRPr="00295C5E">
        <w:rPr>
          <w:highlight w:val="magenta"/>
        </w:rPr>
        <w:fldChar w:fldCharType="begin"/>
      </w:r>
      <w:r w:rsidRPr="00295C5E">
        <w:rPr>
          <w:highlight w:val="magenta"/>
        </w:rPr>
        <w:instrText xml:space="preserve"> REF _Ref112410465 \h </w:instrText>
      </w:r>
      <w:r w:rsidR="001E4AE1">
        <w:rPr>
          <w:highlight w:val="magenta"/>
        </w:rPr>
        <w:instrText xml:space="preserve"> \* MERGEFORMAT </w:instrText>
      </w:r>
      <w:r w:rsidRPr="00295C5E">
        <w:rPr>
          <w:highlight w:val="magenta"/>
        </w:rPr>
      </w:r>
      <w:r w:rsidR="00000000">
        <w:rPr>
          <w:highlight w:val="magenta"/>
        </w:rPr>
        <w:fldChar w:fldCharType="separate"/>
      </w:r>
      <w:r w:rsidRPr="00295C5E">
        <w:rPr>
          <w:highlight w:val="magenta"/>
        </w:rPr>
        <w:fldChar w:fldCharType="end"/>
      </w:r>
    </w:p>
    <w:p w14:paraId="07696BA0" w14:textId="311F430A" w:rsidR="00747F39" w:rsidRPr="00D2134C" w:rsidRDefault="00747F39" w:rsidP="004B454B">
      <w:pPr>
        <w:pStyle w:val="FGCNORMAL"/>
        <w:keepNext/>
      </w:pPr>
      <w:bookmarkStart w:id="319" w:name="_Ref112410465"/>
      <w:r w:rsidRPr="004B454B">
        <w:rPr>
          <w:rStyle w:val="FGCEMPHASIS"/>
        </w:rPr>
        <w:t>Figure</w:t>
      </w:r>
      <w:r w:rsidR="001E4AE1">
        <w:rPr>
          <w:rStyle w:val="FGCEMPHASIS"/>
        </w:rPr>
        <w:t xml:space="preserve"> 3.2.1</w:t>
      </w:r>
      <w:r w:rsidR="00E170FE">
        <w:rPr>
          <w:rStyle w:val="FGCEMPHASIS"/>
        </w:rPr>
        <w:t>E</w:t>
      </w:r>
      <w:bookmarkEnd w:id="319"/>
      <w:r w:rsidRPr="004B454B">
        <w:rPr>
          <w:rStyle w:val="FGCEMPHASIS"/>
        </w:rPr>
        <w:t>:</w:t>
      </w:r>
      <w:r w:rsidRPr="00D2134C">
        <w:t xml:space="preserve"> Average annualised payments over time by SIL status</w:t>
      </w:r>
      <w:r w:rsidR="0038790C">
        <w:t xml:space="preserve"> ($)</w:t>
      </w:r>
    </w:p>
    <w:p w14:paraId="72529C8F" w14:textId="77777777" w:rsidR="00747F39" w:rsidRPr="00D2134C" w:rsidRDefault="00747F39" w:rsidP="00217FA1">
      <w:pPr>
        <w:pStyle w:val="FGCNORMAL"/>
      </w:pPr>
      <w:r w:rsidRPr="00D2134C">
        <w:rPr>
          <w:noProof/>
          <w:lang w:eastAsia="en-AU"/>
        </w:rPr>
        <w:drawing>
          <wp:inline distT="0" distB="0" distL="0" distR="0" wp14:anchorId="7483E66B" wp14:editId="2355D64F">
            <wp:extent cx="5724000" cy="2253949"/>
            <wp:effectExtent l="0" t="0" r="0" b="0"/>
            <wp:docPr id="240" name="Picture 240" descr="&#10;The charts show the average annualised payments, split for participants with and without SIL, over time. For participants with SIL, average annualised payments start from $243,317 in 2018-19 to $340,859 in 2021-22, an average increase of 11.9% p.a. For participants without SIL, average annualised payments start from $26,421 in 2018-19 to $39,471 in 2021-22, an increase of 14.4% p.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10;The charts show the average annualised payments, split for participants with and without SIL, over time. For participants with SIL, average annualised payments start from $243,317 in 2018-19 to $340,859 in 2021-22, an average increase of 11.9% p.a. For participants without SIL, average annualised payments start from $26,421 in 2018-19 to $39,471 in 2021-22, an increase of 14.4% p.a.&#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24000" cy="2253949"/>
                    </a:xfrm>
                    <a:prstGeom prst="rect">
                      <a:avLst/>
                    </a:prstGeom>
                    <a:noFill/>
                  </pic:spPr>
                </pic:pic>
              </a:graphicData>
            </a:graphic>
          </wp:inline>
        </w:drawing>
      </w:r>
    </w:p>
    <w:p w14:paraId="664D0612" w14:textId="13A8FB76" w:rsidR="00747F39" w:rsidRPr="00D2134C" w:rsidRDefault="00747F39" w:rsidP="00217FA1">
      <w:pPr>
        <w:pStyle w:val="FGCNORMAL"/>
        <w:rPr>
          <w:b/>
        </w:rPr>
      </w:pPr>
      <w:r w:rsidRPr="00D2134C">
        <w:fldChar w:fldCharType="begin"/>
      </w:r>
      <w:r w:rsidRPr="00D2134C">
        <w:instrText xml:space="preserve"> REF _Ref76039593 \h  \* MERGEFORMAT </w:instrText>
      </w:r>
      <w:r w:rsidR="00000000">
        <w:fldChar w:fldCharType="separate"/>
      </w:r>
      <w:r w:rsidRPr="00D2134C">
        <w:fldChar w:fldCharType="end"/>
      </w:r>
      <w:r w:rsidR="001E4AE1">
        <w:t>Figure 3.2.1</w:t>
      </w:r>
      <w:r w:rsidR="00EB283A">
        <w:t>F</w:t>
      </w:r>
      <w:r w:rsidR="001E4AE1">
        <w:t xml:space="preserve"> </w:t>
      </w:r>
      <w:r w:rsidRPr="00D2134C">
        <w:t xml:space="preserve">shows the change in average payment over time by age band for participants without SIL. The average annual increase over the last </w:t>
      </w:r>
      <w:r w:rsidR="00EB283A">
        <w:t>3</w:t>
      </w:r>
      <w:r w:rsidR="00EB283A" w:rsidRPr="00D2134C">
        <w:t xml:space="preserve"> </w:t>
      </w:r>
      <w:r w:rsidRPr="00D2134C">
        <w:t xml:space="preserve">years for participants aged 0 to 14 was 10% p.a., the average increase for participants aged 15 to 24 years was 9% p.a., the average </w:t>
      </w:r>
      <w:r w:rsidRPr="00D2134C">
        <w:lastRenderedPageBreak/>
        <w:t>increase for participants aged 25 to 64 was 19% p.a., and the average increase for participants aged over 65 was 20% p.a. For participants without SIL, average payments have increased at a faster rate for adults (those aged over 25). This reflects a material increase in the hours of attendant care support these participants are receiving over time.</w:t>
      </w:r>
    </w:p>
    <w:p w14:paraId="33EEBE93" w14:textId="798C7959" w:rsidR="00747F39" w:rsidRPr="00D2134C" w:rsidRDefault="00747F39" w:rsidP="004B454B">
      <w:pPr>
        <w:pStyle w:val="FGCNORMAL"/>
        <w:keepNext/>
        <w:rPr>
          <w:highlight w:val="yellow"/>
        </w:rPr>
      </w:pPr>
      <w:bookmarkStart w:id="320" w:name="_Ref112410662"/>
      <w:r w:rsidRPr="004B454B">
        <w:rPr>
          <w:rStyle w:val="FGCEMPHASIS"/>
        </w:rPr>
        <w:t>Figure</w:t>
      </w:r>
      <w:r w:rsidR="001E4AE1">
        <w:rPr>
          <w:rStyle w:val="FGCEMPHASIS"/>
        </w:rPr>
        <w:t xml:space="preserve"> 3.2.1</w:t>
      </w:r>
      <w:r w:rsidR="00E170FE">
        <w:rPr>
          <w:rStyle w:val="FGCEMPHASIS"/>
        </w:rPr>
        <w:t>F</w:t>
      </w:r>
      <w:bookmarkEnd w:id="320"/>
      <w:r w:rsidRPr="00D2134C">
        <w:t xml:space="preserve">: Average annualised payments over time for participants without SIL by </w:t>
      </w:r>
      <w:r w:rsidR="006C5153">
        <w:br/>
      </w:r>
      <w:r w:rsidRPr="00D2134C">
        <w:t>age band</w:t>
      </w:r>
      <w:r w:rsidR="006C5153">
        <w:t xml:space="preserve"> ($) </w:t>
      </w:r>
    </w:p>
    <w:p w14:paraId="6911E5AA" w14:textId="6C753C9B" w:rsidR="00747F39" w:rsidRPr="00D2134C" w:rsidRDefault="00B547ED" w:rsidP="00217FA1">
      <w:pPr>
        <w:pStyle w:val="FGCNORMAL"/>
      </w:pPr>
      <w:r w:rsidRPr="00B547ED">
        <w:rPr>
          <w:noProof/>
        </w:rPr>
        <w:drawing>
          <wp:inline distT="0" distB="0" distL="0" distR="0" wp14:anchorId="2001DC11" wp14:editId="5264643C">
            <wp:extent cx="5753903" cy="3258005"/>
            <wp:effectExtent l="0" t="0" r="0" b="0"/>
            <wp:docPr id="495" name="Picture 495" descr="This is a series of vertical bar graphs representing the: Average annualised payments over time for participants without SIL by age band in Dollars.&#10;Each series represents an age group of participants:&#10;0 to 14, 15 to 24, 25 to 64 and 65 and older.&#10;Each age group is broken down into 4 year ranges, 2018 -2019, 2019-2020, 2020-2021 and 2021- 2022.&#10;0 to 14 years had an annual growth of 10%.&#10;15 to 24 years had an annual growth of 9%.&#10;25 to 64 years had an annual growth of 19%.&#10;65 years and greater has an annual growth of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descr="This is a series of vertical bar graphs representing the: Average annualised payments over time for participants without SIL by age band in Dollars.&#10;Each series represents an age group of participants:&#10;0 to 14, 15 to 24, 25 to 64 and 65 and older.&#10;Each age group is broken down into 4 year ranges, 2018 -2019, 2019-2020, 2020-2021 and 2021- 2022.&#10;0 to 14 years had an annual growth of 10%.&#10;15 to 24 years had an annual growth of 9%.&#10;25 to 64 years had an annual growth of 19%.&#10;65 years and greater has an annual growth of 20%&#10;"/>
                    <pic:cNvPicPr/>
                  </pic:nvPicPr>
                  <pic:blipFill>
                    <a:blip r:embed="rId81"/>
                    <a:stretch>
                      <a:fillRect/>
                    </a:stretch>
                  </pic:blipFill>
                  <pic:spPr>
                    <a:xfrm>
                      <a:off x="0" y="0"/>
                      <a:ext cx="5753903" cy="3258005"/>
                    </a:xfrm>
                    <a:prstGeom prst="rect">
                      <a:avLst/>
                    </a:prstGeom>
                  </pic:spPr>
                </pic:pic>
              </a:graphicData>
            </a:graphic>
          </wp:inline>
        </w:drawing>
      </w:r>
    </w:p>
    <w:p w14:paraId="6EA4A9E9" w14:textId="521A370F" w:rsidR="00747F39" w:rsidRPr="00D2134C" w:rsidRDefault="00747F39" w:rsidP="00217FA1">
      <w:pPr>
        <w:pStyle w:val="FGCNORMAL"/>
      </w:pPr>
      <w:r w:rsidRPr="00D2134C">
        <w:t>For age groups other than 25</w:t>
      </w:r>
      <w:r w:rsidR="00396EA6">
        <w:t>–</w:t>
      </w:r>
      <w:r w:rsidRPr="00D2134C">
        <w:t xml:space="preserve">64 years, the </w:t>
      </w:r>
      <w:r w:rsidR="00BC5A44">
        <w:t>average annualised</w:t>
      </w:r>
      <w:r w:rsidRPr="00D2134C">
        <w:t xml:space="preserve"> payment was very similar in </w:t>
      </w:r>
      <w:r w:rsidR="00140C64">
        <w:t>2021‒22</w:t>
      </w:r>
      <w:r w:rsidRPr="00D2134C">
        <w:t xml:space="preserve"> compared with 2020</w:t>
      </w:r>
      <w:r w:rsidR="00396EA6">
        <w:t>–</w:t>
      </w:r>
      <w:r w:rsidRPr="00D2134C">
        <w:t>21, while the age group 25</w:t>
      </w:r>
      <w:r w:rsidR="00396EA6">
        <w:t>–</w:t>
      </w:r>
      <w:r w:rsidRPr="00D2134C">
        <w:t xml:space="preserve">64 saw an increase of 6% in average payment. </w:t>
      </w:r>
    </w:p>
    <w:p w14:paraId="1B069B8E" w14:textId="77777777" w:rsidR="00747F39" w:rsidRPr="00D2134C" w:rsidRDefault="00747F39" w:rsidP="00CE04C7">
      <w:pPr>
        <w:pStyle w:val="FGCHEADING4"/>
      </w:pPr>
      <w:r w:rsidRPr="00D2134C">
        <w:t>Inflation</w:t>
      </w:r>
    </w:p>
    <w:p w14:paraId="678A5F90" w14:textId="7A185377" w:rsidR="00747F39" w:rsidRPr="00D2134C" w:rsidRDefault="00747F39" w:rsidP="00217FA1">
      <w:pPr>
        <w:pStyle w:val="FGCNORMAL"/>
      </w:pPr>
      <w:r w:rsidRPr="00D2134C">
        <w:t>An analysis has been undertaken to quantify the components driving historic inflation.</w:t>
      </w:r>
      <w:r w:rsidR="00557961">
        <w:t xml:space="preserve"> Tabl</w:t>
      </w:r>
      <w:r w:rsidR="006C4B32">
        <w:t>e</w:t>
      </w:r>
      <w:r w:rsidR="006C4B32" w:rsidRPr="00D2134C">
        <w:t> </w:t>
      </w:r>
      <w:r w:rsidR="00557961">
        <w:t>3.2.1</w:t>
      </w:r>
      <w:r w:rsidR="001047F5">
        <w:t>G</w:t>
      </w:r>
      <w:r w:rsidRPr="00D2134C">
        <w:t xml:space="preserve"> sets out the high-level results of the experience analysis where inflation is measured as the yearly change in average payments.  </w:t>
      </w:r>
    </w:p>
    <w:p w14:paraId="4281145E" w14:textId="1246F95D" w:rsidR="00747F39" w:rsidRPr="00D2134C" w:rsidRDefault="00747F39" w:rsidP="00CC7B37">
      <w:pPr>
        <w:pStyle w:val="FGCNORMAL"/>
        <w:keepNext/>
        <w:rPr>
          <w:rFonts w:ascii="Segoe UI" w:hAnsi="Segoe UI" w:cs="Segoe UI"/>
          <w:sz w:val="18"/>
        </w:rPr>
      </w:pPr>
      <w:bookmarkStart w:id="321" w:name="_Ref112410988"/>
      <w:r w:rsidRPr="00CC7B37">
        <w:rPr>
          <w:rStyle w:val="FGCEMPHASIS"/>
        </w:rPr>
        <w:t xml:space="preserve">Table </w:t>
      </w:r>
      <w:r w:rsidR="00557961">
        <w:rPr>
          <w:rStyle w:val="FGCEMPHASIS"/>
        </w:rPr>
        <w:t>3.2.1</w:t>
      </w:r>
      <w:r w:rsidR="00F24907">
        <w:rPr>
          <w:rStyle w:val="FGCEMPHASIS"/>
        </w:rPr>
        <w:t>G</w:t>
      </w:r>
      <w:bookmarkEnd w:id="321"/>
      <w:r w:rsidRPr="00CC7B37">
        <w:rPr>
          <w:rStyle w:val="FGCEMPHASIS"/>
        </w:rPr>
        <w:t>:</w:t>
      </w:r>
      <w:r w:rsidRPr="00D2134C">
        <w:t xml:space="preserve"> Breakdown of past observed inflation  </w:t>
      </w:r>
    </w:p>
    <w:tbl>
      <w:tblPr>
        <w:tblW w:w="9356" w:type="dxa"/>
        <w:tblInd w:w="709"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0"/>
        <w:gridCol w:w="1276"/>
        <w:gridCol w:w="1089"/>
        <w:gridCol w:w="1179"/>
        <w:gridCol w:w="1134"/>
        <w:gridCol w:w="1134"/>
        <w:gridCol w:w="1134"/>
      </w:tblGrid>
      <w:tr w:rsidR="003F2A9F" w:rsidRPr="004B454B" w14:paraId="5BC72973" w14:textId="77777777" w:rsidTr="00EE2D88">
        <w:trPr>
          <w:trHeight w:val="300"/>
          <w:tblHeader/>
        </w:trPr>
        <w:tc>
          <w:tcPr>
            <w:tcW w:w="2410" w:type="dxa"/>
            <w:tcBorders>
              <w:top w:val="nil"/>
              <w:left w:val="nil"/>
              <w:bottom w:val="nil"/>
              <w:right w:val="nil"/>
            </w:tcBorders>
            <w:shd w:val="clear" w:color="auto" w:fill="6B2976"/>
            <w:vAlign w:val="center"/>
            <w:hideMark/>
          </w:tcPr>
          <w:p w14:paraId="6CF73A0E" w14:textId="77777777" w:rsidR="00747F39" w:rsidRPr="004B454B" w:rsidRDefault="00747F39" w:rsidP="004B454B">
            <w:pPr>
              <w:pStyle w:val="FGCTABLENORMAL"/>
              <w:rPr>
                <w:rFonts w:ascii="Times New Roman" w:hAnsi="Times New Roman" w:cs="Times New Roman"/>
                <w:b/>
                <w:bCs/>
                <w:i/>
                <w:iCs/>
                <w:color w:val="FFFFFF" w:themeColor="background1"/>
                <w:lang w:eastAsia="en-AU"/>
              </w:rPr>
            </w:pPr>
            <w:r w:rsidRPr="004B454B">
              <w:rPr>
                <w:b/>
                <w:bCs/>
                <w:color w:val="FFFFFF" w:themeColor="background1"/>
                <w:lang w:eastAsia="en-AU"/>
              </w:rPr>
              <w:t>Item of inflation</w:t>
            </w:r>
            <w:r w:rsidRPr="004B454B">
              <w:rPr>
                <w:b/>
                <w:bCs/>
                <w:i/>
                <w:iCs/>
                <w:color w:val="FFFFFF" w:themeColor="background1"/>
                <w:lang w:eastAsia="en-AU"/>
              </w:rPr>
              <w:t> </w:t>
            </w:r>
          </w:p>
        </w:tc>
        <w:tc>
          <w:tcPr>
            <w:tcW w:w="1276" w:type="dxa"/>
            <w:tcBorders>
              <w:top w:val="nil"/>
              <w:left w:val="nil"/>
              <w:bottom w:val="nil"/>
              <w:right w:val="nil"/>
            </w:tcBorders>
            <w:shd w:val="clear" w:color="auto" w:fill="6B2976"/>
            <w:vAlign w:val="center"/>
            <w:hideMark/>
          </w:tcPr>
          <w:p w14:paraId="637B181B" w14:textId="77777777" w:rsidR="00747F39" w:rsidRPr="004B454B" w:rsidRDefault="00747F39" w:rsidP="004B454B">
            <w:pPr>
              <w:pStyle w:val="FGCTABLENORMAL"/>
              <w:rPr>
                <w:rFonts w:ascii="Times New Roman" w:hAnsi="Times New Roman" w:cs="Times New Roman"/>
                <w:b/>
                <w:bCs/>
                <w:i/>
                <w:iCs/>
                <w:color w:val="FFFFFF" w:themeColor="background1"/>
                <w:lang w:eastAsia="en-AU"/>
              </w:rPr>
            </w:pPr>
            <w:r w:rsidRPr="004B454B">
              <w:rPr>
                <w:b/>
                <w:bCs/>
                <w:color w:val="FFFFFF" w:themeColor="background1"/>
                <w:lang w:eastAsia="en-AU"/>
              </w:rPr>
              <w:t>2018-19</w:t>
            </w:r>
            <w:r w:rsidRPr="004B454B">
              <w:rPr>
                <w:rStyle w:val="FootnoteReference"/>
                <w:rFonts w:eastAsia="Times New Roman"/>
                <w:b/>
                <w:bCs/>
                <w:color w:val="FFFFFF" w:themeColor="background1"/>
                <w:sz w:val="18"/>
                <w:szCs w:val="18"/>
                <w:lang w:eastAsia="en-AU"/>
              </w:rPr>
              <w:footnoteReference w:id="23"/>
            </w:r>
          </w:p>
        </w:tc>
        <w:tc>
          <w:tcPr>
            <w:tcW w:w="1089" w:type="dxa"/>
            <w:tcBorders>
              <w:top w:val="nil"/>
              <w:left w:val="nil"/>
              <w:bottom w:val="nil"/>
              <w:right w:val="nil"/>
            </w:tcBorders>
            <w:shd w:val="clear" w:color="auto" w:fill="6B2976"/>
            <w:vAlign w:val="center"/>
            <w:hideMark/>
          </w:tcPr>
          <w:p w14:paraId="0458A8BE" w14:textId="77777777" w:rsidR="00747F39" w:rsidRPr="004B454B" w:rsidRDefault="00747F39" w:rsidP="004B454B">
            <w:pPr>
              <w:pStyle w:val="FGCTABLENORMAL"/>
              <w:rPr>
                <w:rFonts w:ascii="Times New Roman" w:hAnsi="Times New Roman" w:cs="Times New Roman"/>
                <w:b/>
                <w:bCs/>
                <w:i/>
                <w:iCs/>
                <w:color w:val="FFFFFF" w:themeColor="background1"/>
                <w:lang w:eastAsia="en-AU"/>
              </w:rPr>
            </w:pPr>
            <w:r w:rsidRPr="004B454B">
              <w:rPr>
                <w:b/>
                <w:bCs/>
                <w:color w:val="FFFFFF" w:themeColor="background1"/>
                <w:lang w:eastAsia="en-AU"/>
              </w:rPr>
              <w:t>2019-20</w:t>
            </w:r>
          </w:p>
        </w:tc>
        <w:tc>
          <w:tcPr>
            <w:tcW w:w="1179" w:type="dxa"/>
            <w:tcBorders>
              <w:top w:val="nil"/>
              <w:left w:val="nil"/>
              <w:bottom w:val="nil"/>
              <w:right w:val="nil"/>
            </w:tcBorders>
            <w:shd w:val="clear" w:color="auto" w:fill="6B2976"/>
            <w:vAlign w:val="center"/>
            <w:hideMark/>
          </w:tcPr>
          <w:p w14:paraId="584E27D6" w14:textId="77777777" w:rsidR="00747F39" w:rsidRPr="004B454B" w:rsidRDefault="00747F39" w:rsidP="004B454B">
            <w:pPr>
              <w:pStyle w:val="FGCTABLENORMAL"/>
              <w:rPr>
                <w:rFonts w:ascii="Times New Roman" w:hAnsi="Times New Roman" w:cs="Times New Roman"/>
                <w:b/>
                <w:bCs/>
                <w:i/>
                <w:iCs/>
                <w:color w:val="FFFFFF" w:themeColor="background1"/>
                <w:lang w:eastAsia="en-AU"/>
              </w:rPr>
            </w:pPr>
            <w:r w:rsidRPr="004B454B">
              <w:rPr>
                <w:b/>
                <w:bCs/>
                <w:color w:val="FFFFFF" w:themeColor="background1"/>
                <w:lang w:eastAsia="en-AU"/>
              </w:rPr>
              <w:t>2020-21</w:t>
            </w:r>
          </w:p>
        </w:tc>
        <w:tc>
          <w:tcPr>
            <w:tcW w:w="1134" w:type="dxa"/>
            <w:tcBorders>
              <w:top w:val="nil"/>
              <w:left w:val="nil"/>
              <w:bottom w:val="nil"/>
              <w:right w:val="nil"/>
            </w:tcBorders>
            <w:shd w:val="clear" w:color="auto" w:fill="6B2976"/>
            <w:vAlign w:val="center"/>
            <w:hideMark/>
          </w:tcPr>
          <w:p w14:paraId="495B1A07" w14:textId="6009C6F0" w:rsidR="00747F39" w:rsidRPr="004B454B" w:rsidRDefault="00140C64" w:rsidP="004B454B">
            <w:pPr>
              <w:pStyle w:val="FGCTABLENORMAL"/>
              <w:rPr>
                <w:rFonts w:ascii="Times New Roman" w:hAnsi="Times New Roman" w:cs="Times New Roman"/>
                <w:b/>
                <w:bCs/>
                <w:i/>
                <w:iCs/>
                <w:color w:val="FFFFFF" w:themeColor="background1"/>
                <w:lang w:eastAsia="en-AU"/>
              </w:rPr>
            </w:pPr>
            <w:r>
              <w:rPr>
                <w:b/>
                <w:bCs/>
                <w:color w:val="FFFFFF" w:themeColor="background1"/>
                <w:lang w:eastAsia="en-AU"/>
              </w:rPr>
              <w:t>2021‒22</w:t>
            </w:r>
          </w:p>
        </w:tc>
        <w:tc>
          <w:tcPr>
            <w:tcW w:w="1134" w:type="dxa"/>
            <w:tcBorders>
              <w:top w:val="nil"/>
              <w:left w:val="nil"/>
              <w:bottom w:val="nil"/>
              <w:right w:val="nil"/>
            </w:tcBorders>
            <w:shd w:val="clear" w:color="auto" w:fill="6B2976"/>
            <w:vAlign w:val="center"/>
            <w:hideMark/>
          </w:tcPr>
          <w:p w14:paraId="47025DDA" w14:textId="77777777" w:rsidR="00747F39" w:rsidRPr="004B454B" w:rsidRDefault="00747F39" w:rsidP="004B454B">
            <w:pPr>
              <w:pStyle w:val="FGCTABLENORMAL"/>
              <w:rPr>
                <w:b/>
                <w:bCs/>
                <w:color w:val="FFFFFF" w:themeColor="background1"/>
                <w:lang w:eastAsia="en-AU"/>
              </w:rPr>
            </w:pPr>
            <w:r w:rsidRPr="004B454B">
              <w:rPr>
                <w:b/>
                <w:bCs/>
                <w:color w:val="FFFFFF" w:themeColor="background1"/>
                <w:lang w:eastAsia="en-AU"/>
              </w:rPr>
              <w:t>Average</w:t>
            </w:r>
          </w:p>
          <w:p w14:paraId="40D74FD5" w14:textId="77777777" w:rsidR="00747F39" w:rsidRPr="004B454B" w:rsidRDefault="00747F39" w:rsidP="004B454B">
            <w:pPr>
              <w:pStyle w:val="FGCTABLENORMAL"/>
              <w:rPr>
                <w:rFonts w:ascii="Times New Roman" w:hAnsi="Times New Roman" w:cs="Times New Roman"/>
                <w:b/>
                <w:bCs/>
                <w:i/>
                <w:iCs/>
                <w:color w:val="FFFFFF" w:themeColor="background1"/>
                <w:lang w:eastAsia="en-AU"/>
              </w:rPr>
            </w:pPr>
            <w:r w:rsidRPr="004B454B">
              <w:rPr>
                <w:b/>
                <w:bCs/>
                <w:color w:val="FFFFFF" w:themeColor="background1"/>
                <w:lang w:eastAsia="en-AU"/>
              </w:rPr>
              <w:t>2018-22</w:t>
            </w:r>
          </w:p>
        </w:tc>
        <w:tc>
          <w:tcPr>
            <w:tcW w:w="1134" w:type="dxa"/>
            <w:tcBorders>
              <w:top w:val="nil"/>
              <w:left w:val="nil"/>
              <w:bottom w:val="nil"/>
              <w:right w:val="nil"/>
            </w:tcBorders>
            <w:shd w:val="clear" w:color="auto" w:fill="6B2976"/>
            <w:vAlign w:val="center"/>
          </w:tcPr>
          <w:p w14:paraId="1F1E7DD7" w14:textId="77777777" w:rsidR="00747F39" w:rsidRPr="004B454B" w:rsidRDefault="00747F39" w:rsidP="004B454B">
            <w:pPr>
              <w:pStyle w:val="FGCTABLENORMAL"/>
              <w:rPr>
                <w:b/>
                <w:bCs/>
                <w:color w:val="FFFFFF" w:themeColor="background1"/>
                <w:lang w:eastAsia="en-AU"/>
              </w:rPr>
            </w:pPr>
            <w:r w:rsidRPr="004B454B">
              <w:rPr>
                <w:b/>
                <w:bCs/>
                <w:color w:val="FFFFFF" w:themeColor="background1"/>
                <w:lang w:eastAsia="en-AU"/>
              </w:rPr>
              <w:t>Average 2019-22</w:t>
            </w:r>
          </w:p>
        </w:tc>
      </w:tr>
      <w:tr w:rsidR="003F2A9F" w:rsidRPr="00D2134C" w14:paraId="227423A0" w14:textId="77777777" w:rsidTr="00EE2D88">
        <w:trPr>
          <w:trHeight w:val="300"/>
        </w:trPr>
        <w:tc>
          <w:tcPr>
            <w:tcW w:w="2410" w:type="dxa"/>
            <w:tcBorders>
              <w:top w:val="nil"/>
              <w:left w:val="nil"/>
              <w:bottom w:val="nil"/>
              <w:right w:val="nil"/>
            </w:tcBorders>
            <w:shd w:val="clear" w:color="auto" w:fill="D9D9D9" w:themeFill="background1" w:themeFillShade="D9"/>
            <w:vAlign w:val="center"/>
            <w:hideMark/>
          </w:tcPr>
          <w:p w14:paraId="5BEB4EA4" w14:textId="77777777" w:rsidR="00747F39" w:rsidRPr="00D2134C" w:rsidRDefault="00747F39" w:rsidP="004B454B">
            <w:pPr>
              <w:pStyle w:val="FGCTABLENORMAL"/>
              <w:rPr>
                <w:rFonts w:ascii="Times New Roman" w:hAnsi="Times New Roman" w:cs="Times New Roman"/>
                <w:lang w:eastAsia="en-AU"/>
              </w:rPr>
            </w:pPr>
            <w:r w:rsidRPr="00D2134C">
              <w:rPr>
                <w:lang w:eastAsia="en-AU"/>
              </w:rPr>
              <w:t>Observed inflation </w:t>
            </w:r>
          </w:p>
        </w:tc>
        <w:tc>
          <w:tcPr>
            <w:tcW w:w="1276" w:type="dxa"/>
            <w:tcBorders>
              <w:top w:val="nil"/>
              <w:left w:val="nil"/>
              <w:bottom w:val="nil"/>
              <w:right w:val="nil"/>
            </w:tcBorders>
            <w:shd w:val="clear" w:color="auto" w:fill="D9D9D9" w:themeFill="background1" w:themeFillShade="D9"/>
            <w:vAlign w:val="center"/>
            <w:hideMark/>
          </w:tcPr>
          <w:p w14:paraId="6D34D3E6"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9.2%</w:t>
            </w:r>
          </w:p>
        </w:tc>
        <w:tc>
          <w:tcPr>
            <w:tcW w:w="1089" w:type="dxa"/>
            <w:tcBorders>
              <w:top w:val="nil"/>
              <w:left w:val="nil"/>
              <w:bottom w:val="nil"/>
              <w:right w:val="nil"/>
            </w:tcBorders>
            <w:shd w:val="clear" w:color="auto" w:fill="D9D9D9" w:themeFill="background1" w:themeFillShade="D9"/>
            <w:vAlign w:val="center"/>
            <w:hideMark/>
          </w:tcPr>
          <w:p w14:paraId="1EB21518"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19.7%</w:t>
            </w:r>
          </w:p>
        </w:tc>
        <w:tc>
          <w:tcPr>
            <w:tcW w:w="1179" w:type="dxa"/>
            <w:tcBorders>
              <w:top w:val="nil"/>
              <w:left w:val="nil"/>
              <w:bottom w:val="nil"/>
              <w:right w:val="nil"/>
            </w:tcBorders>
            <w:shd w:val="clear" w:color="auto" w:fill="D9D9D9" w:themeFill="background1" w:themeFillShade="D9"/>
            <w:vAlign w:val="center"/>
            <w:hideMark/>
          </w:tcPr>
          <w:p w14:paraId="30DFFAFC"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6.9%</w:t>
            </w:r>
          </w:p>
        </w:tc>
        <w:tc>
          <w:tcPr>
            <w:tcW w:w="1134" w:type="dxa"/>
            <w:tcBorders>
              <w:top w:val="nil"/>
              <w:left w:val="nil"/>
              <w:bottom w:val="nil"/>
              <w:right w:val="nil"/>
            </w:tcBorders>
            <w:shd w:val="clear" w:color="auto" w:fill="D9D9D9" w:themeFill="background1" w:themeFillShade="D9"/>
            <w:vAlign w:val="center"/>
            <w:hideMark/>
          </w:tcPr>
          <w:p w14:paraId="1BAC510B"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1.6%</w:t>
            </w:r>
          </w:p>
        </w:tc>
        <w:tc>
          <w:tcPr>
            <w:tcW w:w="1134" w:type="dxa"/>
            <w:tcBorders>
              <w:top w:val="nil"/>
              <w:left w:val="nil"/>
              <w:bottom w:val="nil"/>
              <w:right w:val="nil"/>
            </w:tcBorders>
            <w:shd w:val="clear" w:color="auto" w:fill="D9D9D9" w:themeFill="background1" w:themeFillShade="D9"/>
            <w:vAlign w:val="center"/>
            <w:hideMark/>
          </w:tcPr>
          <w:p w14:paraId="3CADCF04" w14:textId="0FDAFE5C" w:rsidR="00747F39" w:rsidRPr="00D2134C" w:rsidRDefault="00747F39" w:rsidP="004B454B">
            <w:pPr>
              <w:pStyle w:val="FGCTABLENORMAL"/>
              <w:rPr>
                <w:rFonts w:ascii="Times New Roman" w:hAnsi="Times New Roman" w:cs="Times New Roman"/>
                <w:lang w:eastAsia="en-AU"/>
              </w:rPr>
            </w:pPr>
            <w:r w:rsidRPr="00D2134C">
              <w:rPr>
                <w:color w:val="000000"/>
                <w:lang w:eastAsia="en-AU"/>
              </w:rPr>
              <w:t>9.</w:t>
            </w:r>
            <w:r w:rsidR="00576389">
              <w:rPr>
                <w:color w:val="000000"/>
                <w:lang w:eastAsia="en-AU"/>
              </w:rPr>
              <w:t>2</w:t>
            </w:r>
            <w:r w:rsidRPr="00D2134C">
              <w:rPr>
                <w:color w:val="000000"/>
                <w:lang w:eastAsia="en-AU"/>
              </w:rPr>
              <w:t>%</w:t>
            </w:r>
          </w:p>
        </w:tc>
        <w:tc>
          <w:tcPr>
            <w:tcW w:w="1134" w:type="dxa"/>
            <w:tcBorders>
              <w:top w:val="nil"/>
              <w:left w:val="nil"/>
              <w:bottom w:val="nil"/>
              <w:right w:val="nil"/>
            </w:tcBorders>
            <w:shd w:val="clear" w:color="auto" w:fill="D9D9D9" w:themeFill="background1" w:themeFillShade="D9"/>
            <w:vAlign w:val="center"/>
          </w:tcPr>
          <w:p w14:paraId="72EB92E2" w14:textId="77777777" w:rsidR="00747F39" w:rsidRPr="00D2134C" w:rsidRDefault="00747F39" w:rsidP="004B454B">
            <w:pPr>
              <w:pStyle w:val="FGCTABLENORMAL"/>
              <w:rPr>
                <w:color w:val="000000"/>
                <w:lang w:eastAsia="en-AU"/>
              </w:rPr>
            </w:pPr>
            <w:r w:rsidRPr="00D2134C">
              <w:rPr>
                <w:color w:val="000000" w:themeColor="text1"/>
                <w:lang w:eastAsia="en-AU"/>
              </w:rPr>
              <w:t>9.2%</w:t>
            </w:r>
          </w:p>
        </w:tc>
      </w:tr>
      <w:tr w:rsidR="00A75CB7" w:rsidRPr="00D2134C" w14:paraId="294C989E" w14:textId="77777777" w:rsidTr="00EE2D88">
        <w:trPr>
          <w:trHeight w:val="300"/>
        </w:trPr>
        <w:tc>
          <w:tcPr>
            <w:tcW w:w="2410" w:type="dxa"/>
            <w:tcBorders>
              <w:top w:val="nil"/>
              <w:left w:val="nil"/>
              <w:bottom w:val="nil"/>
              <w:right w:val="nil"/>
            </w:tcBorders>
            <w:shd w:val="clear" w:color="auto" w:fill="auto"/>
            <w:vAlign w:val="center"/>
            <w:hideMark/>
          </w:tcPr>
          <w:p w14:paraId="02575B28" w14:textId="77777777" w:rsidR="00747F39" w:rsidRPr="00D2134C" w:rsidRDefault="00747F39" w:rsidP="004B454B">
            <w:pPr>
              <w:pStyle w:val="FGCTABLENORMAL"/>
              <w:rPr>
                <w:rFonts w:ascii="Times New Roman" w:hAnsi="Times New Roman" w:cs="Times New Roman"/>
                <w:lang w:eastAsia="en-AU"/>
              </w:rPr>
            </w:pPr>
            <w:r w:rsidRPr="00D2134C">
              <w:rPr>
                <w:lang w:eastAsia="en-AU"/>
              </w:rPr>
              <w:t>less normal inflation and price reviews</w:t>
            </w:r>
          </w:p>
        </w:tc>
        <w:tc>
          <w:tcPr>
            <w:tcW w:w="1276" w:type="dxa"/>
            <w:tcBorders>
              <w:top w:val="nil"/>
              <w:left w:val="nil"/>
              <w:bottom w:val="nil"/>
              <w:right w:val="nil"/>
            </w:tcBorders>
            <w:shd w:val="clear" w:color="auto" w:fill="auto"/>
            <w:vAlign w:val="center"/>
            <w:hideMark/>
          </w:tcPr>
          <w:p w14:paraId="6C50CE6B"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6.4%</w:t>
            </w:r>
          </w:p>
        </w:tc>
        <w:tc>
          <w:tcPr>
            <w:tcW w:w="1089" w:type="dxa"/>
            <w:tcBorders>
              <w:top w:val="nil"/>
              <w:left w:val="nil"/>
              <w:bottom w:val="nil"/>
              <w:right w:val="nil"/>
            </w:tcBorders>
            <w:shd w:val="clear" w:color="auto" w:fill="auto"/>
            <w:vAlign w:val="center"/>
            <w:hideMark/>
          </w:tcPr>
          <w:p w14:paraId="730BC440"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12.0%</w:t>
            </w:r>
          </w:p>
        </w:tc>
        <w:tc>
          <w:tcPr>
            <w:tcW w:w="1179" w:type="dxa"/>
            <w:tcBorders>
              <w:top w:val="nil"/>
              <w:left w:val="nil"/>
              <w:bottom w:val="nil"/>
              <w:right w:val="nil"/>
            </w:tcBorders>
            <w:shd w:val="clear" w:color="auto" w:fill="auto"/>
            <w:vAlign w:val="center"/>
            <w:hideMark/>
          </w:tcPr>
          <w:p w14:paraId="2574B2E1"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2.1%</w:t>
            </w:r>
          </w:p>
        </w:tc>
        <w:tc>
          <w:tcPr>
            <w:tcW w:w="1134" w:type="dxa"/>
            <w:tcBorders>
              <w:top w:val="nil"/>
              <w:left w:val="nil"/>
              <w:bottom w:val="nil"/>
              <w:right w:val="nil"/>
            </w:tcBorders>
            <w:shd w:val="clear" w:color="auto" w:fill="auto"/>
            <w:vAlign w:val="center"/>
            <w:hideMark/>
          </w:tcPr>
          <w:p w14:paraId="08FF1D4F" w14:textId="77777777" w:rsidR="00747F39" w:rsidRPr="00D2134C" w:rsidRDefault="00747F39" w:rsidP="004B454B">
            <w:pPr>
              <w:pStyle w:val="FGCTABLENORMAL"/>
              <w:rPr>
                <w:rFonts w:ascii="Times New Roman" w:hAnsi="Times New Roman" w:cs="Times New Roman"/>
                <w:lang w:eastAsia="en-AU"/>
              </w:rPr>
            </w:pPr>
            <w:r w:rsidRPr="00D2134C">
              <w:rPr>
                <w:color w:val="000000"/>
                <w:lang w:eastAsia="en-AU"/>
              </w:rPr>
              <w:t>2.4%</w:t>
            </w:r>
          </w:p>
        </w:tc>
        <w:tc>
          <w:tcPr>
            <w:tcW w:w="1134" w:type="dxa"/>
            <w:tcBorders>
              <w:top w:val="nil"/>
              <w:left w:val="nil"/>
              <w:bottom w:val="nil"/>
              <w:right w:val="nil"/>
            </w:tcBorders>
            <w:shd w:val="clear" w:color="auto" w:fill="auto"/>
            <w:vAlign w:val="center"/>
            <w:hideMark/>
          </w:tcPr>
          <w:p w14:paraId="3E1422B0" w14:textId="0429892E" w:rsidR="00747F39" w:rsidRPr="00D2134C" w:rsidRDefault="00747F39" w:rsidP="004B454B">
            <w:pPr>
              <w:pStyle w:val="FGCTABLENORMAL"/>
              <w:rPr>
                <w:rFonts w:ascii="Times New Roman" w:hAnsi="Times New Roman" w:cs="Times New Roman"/>
                <w:lang w:eastAsia="en-AU"/>
              </w:rPr>
            </w:pPr>
            <w:r w:rsidRPr="00D2134C">
              <w:rPr>
                <w:color w:val="000000"/>
                <w:lang w:eastAsia="en-AU"/>
              </w:rPr>
              <w:t>5.</w:t>
            </w:r>
            <w:r w:rsidR="00576389">
              <w:rPr>
                <w:color w:val="000000"/>
                <w:lang w:eastAsia="en-AU"/>
              </w:rPr>
              <w:t>6</w:t>
            </w:r>
            <w:r w:rsidRPr="00D2134C">
              <w:rPr>
                <w:color w:val="000000"/>
                <w:lang w:eastAsia="en-AU"/>
              </w:rPr>
              <w:t>%</w:t>
            </w:r>
          </w:p>
        </w:tc>
        <w:tc>
          <w:tcPr>
            <w:tcW w:w="1134" w:type="dxa"/>
            <w:tcBorders>
              <w:top w:val="nil"/>
              <w:left w:val="nil"/>
              <w:bottom w:val="nil"/>
              <w:right w:val="nil"/>
            </w:tcBorders>
            <w:vAlign w:val="center"/>
          </w:tcPr>
          <w:p w14:paraId="25837C40" w14:textId="77777777" w:rsidR="00747F39" w:rsidRPr="00D2134C" w:rsidRDefault="00747F39" w:rsidP="004B454B">
            <w:pPr>
              <w:pStyle w:val="FGCTABLENORMAL"/>
              <w:rPr>
                <w:color w:val="000000"/>
                <w:lang w:eastAsia="en-AU"/>
              </w:rPr>
            </w:pPr>
            <w:r w:rsidRPr="00D2134C">
              <w:rPr>
                <w:color w:val="000000" w:themeColor="text1"/>
                <w:lang w:eastAsia="en-AU"/>
              </w:rPr>
              <w:t>5.4%</w:t>
            </w:r>
          </w:p>
        </w:tc>
      </w:tr>
      <w:tr w:rsidR="003F2A9F" w:rsidRPr="00D2134C" w14:paraId="330A0A9C" w14:textId="77777777" w:rsidTr="00EE2D88">
        <w:trPr>
          <w:trHeight w:val="300"/>
        </w:trPr>
        <w:tc>
          <w:tcPr>
            <w:tcW w:w="2410" w:type="dxa"/>
            <w:tcBorders>
              <w:top w:val="nil"/>
              <w:left w:val="nil"/>
              <w:bottom w:val="nil"/>
              <w:right w:val="nil"/>
            </w:tcBorders>
            <w:shd w:val="clear" w:color="auto" w:fill="D9D9D9" w:themeFill="background1" w:themeFillShade="D9"/>
            <w:vAlign w:val="center"/>
            <w:hideMark/>
          </w:tcPr>
          <w:p w14:paraId="50589D73" w14:textId="7D75EA74" w:rsidR="00747F39" w:rsidRPr="00D2134C" w:rsidRDefault="00747F39" w:rsidP="004B454B">
            <w:pPr>
              <w:pStyle w:val="FGCTABLENORMAL"/>
              <w:rPr>
                <w:rFonts w:ascii="Times New Roman" w:hAnsi="Times New Roman" w:cs="Times New Roman"/>
                <w:lang w:eastAsia="en-AU"/>
              </w:rPr>
            </w:pPr>
            <w:r w:rsidRPr="00D2134C">
              <w:rPr>
                <w:lang w:eastAsia="en-AU"/>
              </w:rPr>
              <w:t>less change in mix</w:t>
            </w:r>
            <w:r w:rsidRPr="00D2134C">
              <w:rPr>
                <w:rStyle w:val="FootnoteReference"/>
                <w:rFonts w:eastAsia="Times New Roman"/>
                <w:sz w:val="18"/>
                <w:szCs w:val="18"/>
                <w:lang w:eastAsia="en-AU"/>
              </w:rPr>
              <w:footnoteReference w:id="24"/>
            </w:r>
          </w:p>
        </w:tc>
        <w:tc>
          <w:tcPr>
            <w:tcW w:w="1276" w:type="dxa"/>
            <w:tcBorders>
              <w:top w:val="nil"/>
              <w:left w:val="nil"/>
              <w:bottom w:val="nil"/>
              <w:right w:val="nil"/>
            </w:tcBorders>
            <w:shd w:val="clear" w:color="auto" w:fill="D9D9D9" w:themeFill="background1" w:themeFillShade="D9"/>
            <w:vAlign w:val="center"/>
            <w:hideMark/>
          </w:tcPr>
          <w:p w14:paraId="729D36D1" w14:textId="77777777" w:rsidR="00747F39" w:rsidRPr="00D2134C" w:rsidRDefault="00747F39" w:rsidP="004B454B">
            <w:pPr>
              <w:pStyle w:val="FGCTABLENORMAL"/>
              <w:rPr>
                <w:lang w:eastAsia="en-AU"/>
              </w:rPr>
            </w:pPr>
            <w:r w:rsidRPr="00D2134C">
              <w:rPr>
                <w:color w:val="000000"/>
              </w:rPr>
              <w:t>2.4%</w:t>
            </w:r>
          </w:p>
        </w:tc>
        <w:tc>
          <w:tcPr>
            <w:tcW w:w="1089" w:type="dxa"/>
            <w:tcBorders>
              <w:top w:val="nil"/>
              <w:left w:val="nil"/>
              <w:bottom w:val="nil"/>
              <w:right w:val="nil"/>
            </w:tcBorders>
            <w:shd w:val="clear" w:color="auto" w:fill="D9D9D9" w:themeFill="background1" w:themeFillShade="D9"/>
            <w:vAlign w:val="center"/>
            <w:hideMark/>
          </w:tcPr>
          <w:p w14:paraId="144CDB4D" w14:textId="77777777" w:rsidR="00747F39" w:rsidRPr="00D2134C" w:rsidRDefault="00747F39" w:rsidP="004B454B">
            <w:pPr>
              <w:pStyle w:val="FGCTABLENORMAL"/>
              <w:rPr>
                <w:lang w:eastAsia="en-AU"/>
              </w:rPr>
            </w:pPr>
            <w:r w:rsidRPr="00D2134C">
              <w:rPr>
                <w:color w:val="000000"/>
              </w:rPr>
              <w:t>-4.7%</w:t>
            </w:r>
          </w:p>
        </w:tc>
        <w:tc>
          <w:tcPr>
            <w:tcW w:w="1179" w:type="dxa"/>
            <w:tcBorders>
              <w:top w:val="nil"/>
              <w:left w:val="nil"/>
              <w:bottom w:val="nil"/>
              <w:right w:val="nil"/>
            </w:tcBorders>
            <w:shd w:val="clear" w:color="auto" w:fill="D9D9D9" w:themeFill="background1" w:themeFillShade="D9"/>
            <w:vAlign w:val="center"/>
            <w:hideMark/>
          </w:tcPr>
          <w:p w14:paraId="6385D7B0" w14:textId="77777777" w:rsidR="00747F39" w:rsidRPr="00D2134C" w:rsidRDefault="00747F39" w:rsidP="004B454B">
            <w:pPr>
              <w:pStyle w:val="FGCTABLENORMAL"/>
              <w:rPr>
                <w:lang w:eastAsia="en-AU"/>
              </w:rPr>
            </w:pPr>
            <w:r w:rsidRPr="00D2134C">
              <w:rPr>
                <w:color w:val="000000"/>
              </w:rPr>
              <w:t>-6.6%</w:t>
            </w:r>
          </w:p>
        </w:tc>
        <w:tc>
          <w:tcPr>
            <w:tcW w:w="1134" w:type="dxa"/>
            <w:tcBorders>
              <w:top w:val="nil"/>
              <w:left w:val="nil"/>
              <w:bottom w:val="nil"/>
              <w:right w:val="nil"/>
            </w:tcBorders>
            <w:shd w:val="clear" w:color="auto" w:fill="D9D9D9" w:themeFill="background1" w:themeFillShade="D9"/>
            <w:vAlign w:val="center"/>
            <w:hideMark/>
          </w:tcPr>
          <w:p w14:paraId="20B0560D" w14:textId="77777777" w:rsidR="00747F39" w:rsidRPr="00D2134C" w:rsidRDefault="00747F39" w:rsidP="004B454B">
            <w:pPr>
              <w:pStyle w:val="FGCTABLENORMAL"/>
              <w:rPr>
                <w:lang w:eastAsia="en-AU"/>
              </w:rPr>
            </w:pPr>
            <w:r w:rsidRPr="00D2134C">
              <w:rPr>
                <w:color w:val="000000"/>
              </w:rPr>
              <w:t>-4.5%</w:t>
            </w:r>
          </w:p>
        </w:tc>
        <w:tc>
          <w:tcPr>
            <w:tcW w:w="1134" w:type="dxa"/>
            <w:tcBorders>
              <w:top w:val="nil"/>
              <w:left w:val="nil"/>
              <w:bottom w:val="nil"/>
              <w:right w:val="nil"/>
            </w:tcBorders>
            <w:shd w:val="clear" w:color="auto" w:fill="D9D9D9" w:themeFill="background1" w:themeFillShade="D9"/>
            <w:vAlign w:val="center"/>
            <w:hideMark/>
          </w:tcPr>
          <w:p w14:paraId="27E205C5" w14:textId="77777777" w:rsidR="00747F39" w:rsidRPr="00D2134C" w:rsidRDefault="00747F39" w:rsidP="004B454B">
            <w:pPr>
              <w:pStyle w:val="FGCTABLENORMAL"/>
              <w:rPr>
                <w:lang w:eastAsia="en-AU"/>
              </w:rPr>
            </w:pPr>
            <w:r w:rsidRPr="00D2134C">
              <w:rPr>
                <w:color w:val="000000"/>
              </w:rPr>
              <w:t>-3.5%</w:t>
            </w:r>
          </w:p>
        </w:tc>
        <w:tc>
          <w:tcPr>
            <w:tcW w:w="1134" w:type="dxa"/>
            <w:tcBorders>
              <w:top w:val="nil"/>
              <w:left w:val="nil"/>
              <w:bottom w:val="nil"/>
              <w:right w:val="nil"/>
            </w:tcBorders>
            <w:shd w:val="clear" w:color="auto" w:fill="D9D9D9" w:themeFill="background1" w:themeFillShade="D9"/>
            <w:vAlign w:val="center"/>
          </w:tcPr>
          <w:p w14:paraId="25041043" w14:textId="77777777" w:rsidR="00747F39" w:rsidRPr="00D2134C" w:rsidRDefault="00747F39" w:rsidP="004B454B">
            <w:pPr>
              <w:pStyle w:val="FGCTABLENORMAL"/>
              <w:rPr>
                <w:color w:val="000000"/>
                <w:lang w:eastAsia="en-AU"/>
              </w:rPr>
            </w:pPr>
            <w:r w:rsidRPr="00D2134C">
              <w:rPr>
                <w:color w:val="000000"/>
              </w:rPr>
              <w:t>-5.3%</w:t>
            </w:r>
          </w:p>
        </w:tc>
      </w:tr>
      <w:tr w:rsidR="00A75CB7" w:rsidRPr="00D2134C" w14:paraId="2C77122D" w14:textId="77777777" w:rsidTr="00EE2D88">
        <w:trPr>
          <w:trHeight w:val="300"/>
        </w:trPr>
        <w:tc>
          <w:tcPr>
            <w:tcW w:w="2410" w:type="dxa"/>
            <w:tcBorders>
              <w:top w:val="nil"/>
              <w:left w:val="nil"/>
              <w:bottom w:val="single" w:sz="4" w:space="0" w:color="auto"/>
              <w:right w:val="nil"/>
            </w:tcBorders>
            <w:shd w:val="clear" w:color="auto" w:fill="auto"/>
            <w:vAlign w:val="center"/>
            <w:hideMark/>
          </w:tcPr>
          <w:p w14:paraId="5773E36F" w14:textId="77777777" w:rsidR="00747F39" w:rsidRPr="00D2134C" w:rsidRDefault="00747F39" w:rsidP="00FD3878">
            <w:pPr>
              <w:pStyle w:val="FGCTABLENORMAL"/>
              <w:rPr>
                <w:rFonts w:ascii="Times New Roman" w:hAnsi="Times New Roman" w:cs="Times New Roman"/>
                <w:lang w:eastAsia="en-AU"/>
              </w:rPr>
            </w:pPr>
            <w:r w:rsidRPr="00D2134C">
              <w:rPr>
                <w:lang w:eastAsia="en-AU"/>
              </w:rPr>
              <w:t>Additional inflation</w:t>
            </w:r>
            <w:r w:rsidRPr="00D2134C">
              <w:rPr>
                <w:rStyle w:val="FootnoteReference"/>
                <w:rFonts w:eastAsia="Times New Roman"/>
                <w:bCs/>
                <w:sz w:val="18"/>
                <w:szCs w:val="18"/>
                <w:lang w:eastAsia="en-AU"/>
              </w:rPr>
              <w:footnoteReference w:id="25"/>
            </w:r>
          </w:p>
        </w:tc>
        <w:tc>
          <w:tcPr>
            <w:tcW w:w="1276" w:type="dxa"/>
            <w:tcBorders>
              <w:top w:val="nil"/>
              <w:left w:val="nil"/>
              <w:bottom w:val="single" w:sz="4" w:space="0" w:color="auto"/>
              <w:right w:val="nil"/>
            </w:tcBorders>
            <w:shd w:val="clear" w:color="auto" w:fill="auto"/>
            <w:vAlign w:val="center"/>
            <w:hideMark/>
          </w:tcPr>
          <w:p w14:paraId="13E906A6" w14:textId="77777777" w:rsidR="00747F39" w:rsidRPr="00D2134C" w:rsidRDefault="00747F39" w:rsidP="00FD3878">
            <w:pPr>
              <w:pStyle w:val="FGCTABLENORMAL"/>
              <w:rPr>
                <w:lang w:eastAsia="en-AU"/>
              </w:rPr>
            </w:pPr>
            <w:r w:rsidRPr="00D2134C">
              <w:rPr>
                <w:color w:val="000000"/>
              </w:rPr>
              <w:t>0.5%</w:t>
            </w:r>
          </w:p>
        </w:tc>
        <w:tc>
          <w:tcPr>
            <w:tcW w:w="1089" w:type="dxa"/>
            <w:tcBorders>
              <w:top w:val="nil"/>
              <w:left w:val="nil"/>
              <w:bottom w:val="single" w:sz="4" w:space="0" w:color="auto"/>
              <w:right w:val="nil"/>
            </w:tcBorders>
            <w:shd w:val="clear" w:color="auto" w:fill="auto"/>
            <w:vAlign w:val="center"/>
            <w:hideMark/>
          </w:tcPr>
          <w:p w14:paraId="6DB0C24D" w14:textId="77777777" w:rsidR="00747F39" w:rsidRPr="00D2134C" w:rsidRDefault="00747F39" w:rsidP="00FD3878">
            <w:pPr>
              <w:pStyle w:val="FGCTABLENORMAL"/>
              <w:rPr>
                <w:lang w:eastAsia="en-AU"/>
              </w:rPr>
            </w:pPr>
            <w:r w:rsidRPr="00D2134C">
              <w:rPr>
                <w:color w:val="000000"/>
              </w:rPr>
              <w:t>12.4%</w:t>
            </w:r>
          </w:p>
        </w:tc>
        <w:tc>
          <w:tcPr>
            <w:tcW w:w="1179" w:type="dxa"/>
            <w:tcBorders>
              <w:top w:val="nil"/>
              <w:left w:val="nil"/>
              <w:bottom w:val="single" w:sz="4" w:space="0" w:color="auto"/>
              <w:right w:val="nil"/>
            </w:tcBorders>
            <w:shd w:val="clear" w:color="auto" w:fill="auto"/>
            <w:vAlign w:val="center"/>
            <w:hideMark/>
          </w:tcPr>
          <w:p w14:paraId="311B066D" w14:textId="77777777" w:rsidR="00747F39" w:rsidRPr="00D2134C" w:rsidRDefault="00747F39" w:rsidP="00FD3878">
            <w:pPr>
              <w:pStyle w:val="FGCTABLENORMAL"/>
              <w:rPr>
                <w:lang w:eastAsia="en-AU"/>
              </w:rPr>
            </w:pPr>
            <w:r w:rsidRPr="00D2134C">
              <w:rPr>
                <w:color w:val="000000"/>
              </w:rPr>
              <w:t>11.4%</w:t>
            </w:r>
          </w:p>
        </w:tc>
        <w:tc>
          <w:tcPr>
            <w:tcW w:w="1134" w:type="dxa"/>
            <w:tcBorders>
              <w:top w:val="nil"/>
              <w:left w:val="nil"/>
              <w:bottom w:val="single" w:sz="4" w:space="0" w:color="auto"/>
              <w:right w:val="nil"/>
            </w:tcBorders>
            <w:shd w:val="clear" w:color="auto" w:fill="auto"/>
            <w:vAlign w:val="center"/>
            <w:hideMark/>
          </w:tcPr>
          <w:p w14:paraId="74D24036" w14:textId="77777777" w:rsidR="00747F39" w:rsidRPr="00D2134C" w:rsidRDefault="00747F39" w:rsidP="00FD3878">
            <w:pPr>
              <w:pStyle w:val="FGCTABLENORMAL"/>
              <w:rPr>
                <w:lang w:eastAsia="en-AU"/>
              </w:rPr>
            </w:pPr>
            <w:r w:rsidRPr="00D2134C">
              <w:rPr>
                <w:color w:val="000000"/>
              </w:rPr>
              <w:t>3.7%</w:t>
            </w:r>
          </w:p>
        </w:tc>
        <w:tc>
          <w:tcPr>
            <w:tcW w:w="1134" w:type="dxa"/>
            <w:tcBorders>
              <w:top w:val="nil"/>
              <w:left w:val="nil"/>
              <w:bottom w:val="single" w:sz="4" w:space="0" w:color="auto"/>
              <w:right w:val="nil"/>
            </w:tcBorders>
            <w:shd w:val="clear" w:color="auto" w:fill="auto"/>
            <w:vAlign w:val="center"/>
            <w:hideMark/>
          </w:tcPr>
          <w:p w14:paraId="40F655CC" w14:textId="77777777" w:rsidR="00747F39" w:rsidRPr="00D2134C" w:rsidRDefault="00747F39" w:rsidP="00FD3878">
            <w:pPr>
              <w:pStyle w:val="FGCTABLENORMAL"/>
              <w:rPr>
                <w:lang w:eastAsia="en-AU"/>
              </w:rPr>
            </w:pPr>
            <w:r w:rsidRPr="00D2134C">
              <w:rPr>
                <w:color w:val="000000"/>
              </w:rPr>
              <w:t>7.0%</w:t>
            </w:r>
          </w:p>
        </w:tc>
        <w:tc>
          <w:tcPr>
            <w:tcW w:w="1134" w:type="dxa"/>
            <w:tcBorders>
              <w:top w:val="nil"/>
              <w:left w:val="nil"/>
              <w:bottom w:val="single" w:sz="4" w:space="0" w:color="auto"/>
              <w:right w:val="nil"/>
            </w:tcBorders>
            <w:vAlign w:val="center"/>
          </w:tcPr>
          <w:p w14:paraId="45464874" w14:textId="77777777" w:rsidR="00747F39" w:rsidRPr="00D2134C" w:rsidRDefault="00747F39" w:rsidP="00FD3878">
            <w:pPr>
              <w:pStyle w:val="FGCTABLENORMAL"/>
              <w:rPr>
                <w:color w:val="000000"/>
                <w:lang w:eastAsia="en-AU"/>
              </w:rPr>
            </w:pPr>
            <w:r w:rsidRPr="00D2134C">
              <w:rPr>
                <w:color w:val="000000"/>
              </w:rPr>
              <w:t>9.0%</w:t>
            </w:r>
          </w:p>
        </w:tc>
      </w:tr>
    </w:tbl>
    <w:p w14:paraId="2710C82F" w14:textId="21CB0337" w:rsidR="00747F39" w:rsidRPr="00D2134C" w:rsidRDefault="002C0711" w:rsidP="00217FA1">
      <w:pPr>
        <w:pStyle w:val="FGCNORMAL"/>
        <w:rPr>
          <w:rFonts w:eastAsia="Times New Roman"/>
          <w:b/>
          <w:bCs/>
          <w:lang w:eastAsia="en-AU"/>
        </w:rPr>
      </w:pPr>
      <w:r>
        <w:lastRenderedPageBreak/>
        <w:t>Figure 3.2.1</w:t>
      </w:r>
      <w:r w:rsidR="00236842">
        <w:t>G</w:t>
      </w:r>
      <w:r>
        <w:t xml:space="preserve"> </w:t>
      </w:r>
      <w:r w:rsidR="00747F39" w:rsidRPr="00D2134C">
        <w:t xml:space="preserve">sets out the quarterly rate of annualised plan inflation over the </w:t>
      </w:r>
      <w:r w:rsidR="004E1EF2">
        <w:t xml:space="preserve">3 </w:t>
      </w:r>
      <w:r w:rsidR="00747F39" w:rsidRPr="00D2134C">
        <w:t>years to June 2022, as well as the rolling 12-month average plan inflation rate. Total plan inflation is divided into inflation which occurs at plan review</w:t>
      </w:r>
      <w:r w:rsidR="00747F39" w:rsidRPr="00D2134C">
        <w:rPr>
          <w:rStyle w:val="FootnoteReference"/>
        </w:rPr>
        <w:footnoteReference w:id="26"/>
      </w:r>
      <w:r w:rsidR="00747F39" w:rsidRPr="00D2134C">
        <w:t xml:space="preserve"> (</w:t>
      </w:r>
      <w:proofErr w:type="spellStart"/>
      <w:r w:rsidR="00747F39" w:rsidRPr="00D2134C">
        <w:t>interplan</w:t>
      </w:r>
      <w:proofErr w:type="spellEnd"/>
      <w:r w:rsidR="00747F39" w:rsidRPr="00D2134C">
        <w:t xml:space="preserve"> inflation) and inflation which occurs within a plan between reviews (</w:t>
      </w:r>
      <w:proofErr w:type="spellStart"/>
      <w:r w:rsidR="00747F39" w:rsidRPr="00D2134C">
        <w:t>intraplan</w:t>
      </w:r>
      <w:proofErr w:type="spellEnd"/>
      <w:r w:rsidR="00747F39" w:rsidRPr="00D2134C">
        <w:t xml:space="preserve"> inflation)</w:t>
      </w:r>
      <w:r w:rsidR="00747F39" w:rsidRPr="00D2134C">
        <w:rPr>
          <w:rStyle w:val="FootnoteReference"/>
        </w:rPr>
        <w:footnoteReference w:id="27"/>
      </w:r>
      <w:r w:rsidR="00747F39" w:rsidRPr="00D2134C">
        <w:t xml:space="preserve">. </w:t>
      </w:r>
      <w:proofErr w:type="gramStart"/>
      <w:r w:rsidR="00747F39" w:rsidRPr="00D2134C">
        <w:t>At</w:t>
      </w:r>
      <w:proofErr w:type="gramEnd"/>
      <w:r w:rsidR="00747F39" w:rsidRPr="00D2134C">
        <w:t xml:space="preserve"> June 2022, total plan inflation for the previous </w:t>
      </w:r>
      <w:r w:rsidR="004A4F8B">
        <w:br/>
      </w:r>
      <w:r w:rsidR="00747F39" w:rsidRPr="00D2134C">
        <w:t>12</w:t>
      </w:r>
      <w:r w:rsidR="004A4F8B">
        <w:t>-</w:t>
      </w:r>
      <w:r w:rsidR="00747F39" w:rsidRPr="00D2134C">
        <w:t xml:space="preserve">month period was 8.9% p.a., of which </w:t>
      </w:r>
      <w:proofErr w:type="spellStart"/>
      <w:r w:rsidR="00747F39" w:rsidRPr="00D2134C">
        <w:t>intraplan</w:t>
      </w:r>
      <w:proofErr w:type="spellEnd"/>
      <w:r w:rsidR="00747F39" w:rsidRPr="00D2134C">
        <w:t xml:space="preserve"> inflation made up 6.4% p.a. The rate has increased over the past </w:t>
      </w:r>
      <w:r w:rsidR="004A4F8B">
        <w:t>6</w:t>
      </w:r>
      <w:r w:rsidR="00747F39" w:rsidRPr="00D2134C">
        <w:t xml:space="preserve"> months, having been 5.6% for the</w:t>
      </w:r>
      <w:r w:rsidR="0079336B">
        <w:t xml:space="preserve"> 12</w:t>
      </w:r>
      <w:r w:rsidR="00747F39" w:rsidRPr="00D2134C">
        <w:t xml:space="preserve"> months to 31 December 2021. </w:t>
      </w:r>
      <w:r w:rsidR="00747F39" w:rsidRPr="00D2134C" w:rsidDel="00FA6E76">
        <w:rPr>
          <w:rFonts w:eastAsia="Times New Roman"/>
          <w:b/>
          <w:bCs/>
          <w:lang w:eastAsia="en-AU"/>
        </w:rPr>
        <w:t xml:space="preserve"> </w:t>
      </w:r>
    </w:p>
    <w:p w14:paraId="49DC6BF2" w14:textId="58614CD3" w:rsidR="00747F39" w:rsidRPr="00D2134C" w:rsidRDefault="00747F39" w:rsidP="0040525C">
      <w:pPr>
        <w:pStyle w:val="FGCNORMAL"/>
        <w:keepNext/>
        <w:rPr>
          <w:rFonts w:ascii="Segoe UI" w:hAnsi="Segoe UI" w:cs="Segoe UI"/>
          <w:sz w:val="18"/>
        </w:rPr>
      </w:pPr>
      <w:bookmarkStart w:id="322" w:name="_Ref112410737"/>
      <w:r w:rsidRPr="0040525C">
        <w:rPr>
          <w:rStyle w:val="FGCEMPHASIS"/>
        </w:rPr>
        <w:t>Figure</w:t>
      </w:r>
      <w:r w:rsidR="00557961">
        <w:rPr>
          <w:rStyle w:val="FGCEMPHASIS"/>
        </w:rPr>
        <w:t xml:space="preserve"> 3.2.1</w:t>
      </w:r>
      <w:r w:rsidR="00E170FE">
        <w:rPr>
          <w:rStyle w:val="FGCEMPHASIS"/>
        </w:rPr>
        <w:t>G</w:t>
      </w:r>
      <w:bookmarkEnd w:id="322"/>
      <w:r w:rsidRPr="00D2134C">
        <w:t>: Plan inflation for active participants </w:t>
      </w:r>
    </w:p>
    <w:p w14:paraId="5397F2B5" w14:textId="4BA2176A" w:rsidR="00747F39" w:rsidRPr="00D2134C" w:rsidRDefault="0041672C" w:rsidP="00C9564B">
      <w:pPr>
        <w:spacing w:after="0"/>
        <w:ind w:left="397"/>
        <w:jc w:val="both"/>
        <w:textAlignment w:val="baseline"/>
        <w:rPr>
          <w:rFonts w:eastAsia="Times New Roman"/>
          <w:lang w:eastAsia="en-AU"/>
        </w:rPr>
      </w:pPr>
      <w:r w:rsidRPr="00C61EB9">
        <w:rPr>
          <w:noProof/>
          <w:lang w:eastAsia="en-AU"/>
        </w:rPr>
        <w:drawing>
          <wp:inline distT="0" distB="0" distL="0" distR="0" wp14:anchorId="7EC1EDF6" wp14:editId="601EA989">
            <wp:extent cx="5731510" cy="3696335"/>
            <wp:effectExtent l="0" t="0" r="2540" b="0"/>
            <wp:docPr id="504" name="Picture 504" descr="&#10;Chart showing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10;&#10;Values for rolling 12 month average total inflation rate are &#10;22.5% for quarter ending Jun 2020; &#10;23.6% for quarter ending Sep 2020; &#10;20.9% for quarter ending Dec 2020; &#10;16.2% for quarter ending Mar 2021; &#10;9.3% for quarter ending Jun 2021; &#10;6.3% for quarter ending Sep 2021; &#10;5.6% for quarter ending Dec 2021; &#10;6.7% for quarter ending Mar 2022; &#10;8.9% for quarter ending Jun 2022;&#10;&#10;Values for rolling 12 month average rate of inflation within a plan are &#10;7.2% for quarter ending Jun 2020;&#10;7.9% for quarter ending Sep 2020;&#10;7.7% for quarter ending Dec 2020;&#10;6.6% for quarter ending Mar 2021;&#10;5.4% for quarter ending Jun 2021;&#10;4.8% for quarter ending Sep 2021;&#10;4.5% for quarter ending Dec 2021;&#10;5.6% for quarter ending Mar 2022;&#10;6.4% for quarter ending Jun 2022;&#10;&#10;Values for rolling 12 month average rate of inflation at plan review are &#10;14.4% for quarter ending Jun 2020;&#10;14.6% for quarter ending Sep 2020;&#10;12.4% for quarter ending Dec 2020;&#10;9.1% for quarter ending Mar 2021;&#10;3.7% for quarter ending Jun 2021;&#10;1.4% for quarter ending Sep 2021;&#10;1.1% for quarter ending Dec 2021;&#10;1.1% for quarter ending Mar 2022;&#10;2.4% for quarter ending Jun 20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10;Chart showing annualised plan inflation rate over June 2019 to June 2022. Annualised inflation rate for each quarter is visualised as shaded areas for inflation within a plan and inflation at plan review.  Rolling 12 month averages of total inflation, inflation within a plan and inflation at plan review starting from quarter ending June 2020 to quarter ending June 2022. &#10;&#10;Values for rolling 12 month average total inflation rate are &#10;22.5% for quarter ending Jun 2020; &#10;23.6% for quarter ending Sep 2020; &#10;20.9% for quarter ending Dec 2020; &#10;16.2% for quarter ending Mar 2021; &#10;9.3% for quarter ending Jun 2021; &#10;6.3% for quarter ending Sep 2021; &#10;5.6% for quarter ending Dec 2021; &#10;6.7% for quarter ending Mar 2022; &#10;8.9% for quarter ending Jun 2022;&#10;&#10;Values for rolling 12 month average rate of inflation within a plan are &#10;7.2% for quarter ending Jun 2020;&#10;7.9% for quarter ending Sep 2020;&#10;7.7% for quarter ending Dec 2020;&#10;6.6% for quarter ending Mar 2021;&#10;5.4% for quarter ending Jun 2021;&#10;4.8% for quarter ending Sep 2021;&#10;4.5% for quarter ending Dec 2021;&#10;5.6% for quarter ending Mar 2022;&#10;6.4% for quarter ending Jun 2022;&#10;&#10;Values for rolling 12 month average rate of inflation at plan review are &#10;14.4% for quarter ending Jun 2020;&#10;14.6% for quarter ending Sep 2020;&#10;12.4% for quarter ending Dec 2020;&#10;9.1% for quarter ending Mar 2021;&#10;3.7% for quarter ending Jun 2021;&#10;1.4% for quarter ending Sep 2021;&#10;1.1% for quarter ending Dec 2021;&#10;1.1% for quarter ending Mar 2022;&#10;2.4% for quarter ending Jun 2022.&#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31510" cy="3696335"/>
                    </a:xfrm>
                    <a:prstGeom prst="rect">
                      <a:avLst/>
                    </a:prstGeom>
                    <a:noFill/>
                    <a:ln>
                      <a:noFill/>
                    </a:ln>
                  </pic:spPr>
                </pic:pic>
              </a:graphicData>
            </a:graphic>
          </wp:inline>
        </w:drawing>
      </w:r>
    </w:p>
    <w:p w14:paraId="0746F2F5" w14:textId="5E9ACDE2" w:rsidR="00747F39" w:rsidRPr="00D2134C" w:rsidRDefault="00747F39" w:rsidP="00217FA1">
      <w:pPr>
        <w:pStyle w:val="FGCNORMAL"/>
      </w:pPr>
      <w:r w:rsidRPr="00D2134C">
        <w:t xml:space="preserve">Plan inflation was also high over the preceding </w:t>
      </w:r>
      <w:r w:rsidR="00ED24E9">
        <w:t>2</w:t>
      </w:r>
      <w:r w:rsidRPr="00D2134C">
        <w:t xml:space="preserve"> years, averaging 22.5% in 2019</w:t>
      </w:r>
      <w:r w:rsidR="00ED24E9">
        <w:t>–</w:t>
      </w:r>
      <w:r w:rsidRPr="00D2134C">
        <w:t>20</w:t>
      </w:r>
      <w:r w:rsidRPr="00D2134C">
        <w:rPr>
          <w:rStyle w:val="FootnoteReference"/>
        </w:rPr>
        <w:footnoteReference w:id="28"/>
      </w:r>
      <w:r w:rsidRPr="00D2134C">
        <w:t xml:space="preserve"> and 9.3% in 2020</w:t>
      </w:r>
      <w:r w:rsidR="00ED24E9">
        <w:t>–</w:t>
      </w:r>
      <w:r w:rsidRPr="00D2134C">
        <w:t>21. This has been observed in other social insurance schemes in Australia and New Zealand, in the absence of substantial legislative or policy change</w:t>
      </w:r>
      <w:r w:rsidRPr="00D2134C">
        <w:rPr>
          <w:rStyle w:val="FootnoteReference"/>
        </w:rPr>
        <w:footnoteReference w:id="29"/>
      </w:r>
      <w:r w:rsidRPr="00D2134C">
        <w:t>. </w:t>
      </w:r>
    </w:p>
    <w:p w14:paraId="47E35561" w14:textId="77777777" w:rsidR="00747F39" w:rsidRPr="00D2134C" w:rsidRDefault="00747F39" w:rsidP="00CE04C7">
      <w:pPr>
        <w:pStyle w:val="FGCHEADING4"/>
      </w:pPr>
      <w:r w:rsidRPr="00D2134C">
        <w:t>Inflation assumptions</w:t>
      </w:r>
    </w:p>
    <w:p w14:paraId="774F42CD" w14:textId="6E6AEBD2" w:rsidR="00747F39" w:rsidRPr="00D2134C" w:rsidRDefault="00747F39" w:rsidP="00217FA1">
      <w:pPr>
        <w:pStyle w:val="FGCNORMAL"/>
      </w:pPr>
      <w:r w:rsidRPr="00D2134C">
        <w:t>Normal inflation assumptions have been selected based on the increases in price limits from the 2022</w:t>
      </w:r>
      <w:r w:rsidR="00FA0B86">
        <w:t>–</w:t>
      </w:r>
      <w:r w:rsidRPr="00D2134C">
        <w:t>23 Annual Pric</w:t>
      </w:r>
      <w:r w:rsidR="00264EA4">
        <w:t>ing</w:t>
      </w:r>
      <w:r w:rsidRPr="00D2134C">
        <w:t xml:space="preserve"> Review (2022</w:t>
      </w:r>
      <w:r w:rsidR="00FA0B86">
        <w:t>–</w:t>
      </w:r>
      <w:r w:rsidRPr="00D2134C">
        <w:t>23 APR) and on recent economic forecasts and inflationary expectations</w:t>
      </w:r>
      <w:r w:rsidRPr="00D2134C">
        <w:rPr>
          <w:rStyle w:val="FootnoteReference"/>
        </w:rPr>
        <w:footnoteReference w:id="30"/>
      </w:r>
      <w:r w:rsidRPr="00D2134C">
        <w:t xml:space="preserve">. </w:t>
      </w:r>
    </w:p>
    <w:p w14:paraId="36C2A723" w14:textId="061681BD" w:rsidR="00747F39" w:rsidRPr="00D2134C" w:rsidRDefault="00747F39" w:rsidP="00217FA1">
      <w:pPr>
        <w:pStyle w:val="FGCNORMAL"/>
      </w:pPr>
      <w:r w:rsidRPr="00D2134C">
        <w:t>Additional inflation assumptions have been selected which are higher than those in the 2020</w:t>
      </w:r>
      <w:r w:rsidR="008B44C9">
        <w:t>–</w:t>
      </w:r>
      <w:r w:rsidRPr="00D2134C">
        <w:t xml:space="preserve">21 AFSR, </w:t>
      </w:r>
      <w:proofErr w:type="gramStart"/>
      <w:r w:rsidRPr="00D2134C">
        <w:t>with the exception of</w:t>
      </w:r>
      <w:proofErr w:type="gramEnd"/>
      <w:r w:rsidRPr="00D2134C">
        <w:t xml:space="preserve"> the first </w:t>
      </w:r>
      <w:r w:rsidR="00981F72">
        <w:t>2</w:t>
      </w:r>
      <w:r w:rsidRPr="00D2134C">
        <w:t xml:space="preserve"> years of the projection. However, they are still well below the average historical experience of the Scheme. </w:t>
      </w:r>
    </w:p>
    <w:p w14:paraId="6492BC82" w14:textId="71B3658F" w:rsidR="00747F39" w:rsidRPr="00D2134C" w:rsidRDefault="00747F39" w:rsidP="00217FA1">
      <w:pPr>
        <w:pStyle w:val="FGCNORMAL"/>
      </w:pPr>
      <w:r w:rsidRPr="00D2134C">
        <w:lastRenderedPageBreak/>
        <w:t>In 2022</w:t>
      </w:r>
      <w:r w:rsidR="008B44C9">
        <w:t>–</w:t>
      </w:r>
      <w:r w:rsidRPr="00D2134C">
        <w:t>23 and 2023</w:t>
      </w:r>
      <w:r w:rsidR="008B44C9">
        <w:t>–</w:t>
      </w:r>
      <w:r w:rsidRPr="00D2134C">
        <w:t>24, it is expected that additional inflation will continue to be constrained by supply</w:t>
      </w:r>
      <w:r w:rsidR="004B00AD">
        <w:t>-</w:t>
      </w:r>
      <w:r w:rsidRPr="00D2134C">
        <w:t xml:space="preserve">side impacts of workforce shortages </w:t>
      </w:r>
      <w:proofErr w:type="gramStart"/>
      <w:r w:rsidRPr="00D2134C">
        <w:t>and also</w:t>
      </w:r>
      <w:proofErr w:type="gramEnd"/>
      <w:r w:rsidRPr="00D2134C">
        <w:t xml:space="preserve"> potentially by COVID-19 related effects. These constraints are expected to subside by 2024</w:t>
      </w:r>
      <w:r w:rsidR="008B44C9">
        <w:t>–</w:t>
      </w:r>
      <w:r w:rsidRPr="00D2134C">
        <w:t>25 and a higher rate of additional inflation is assumed, albeit lower than the rates observed in 2019</w:t>
      </w:r>
      <w:r w:rsidR="008B44C9">
        <w:t>–</w:t>
      </w:r>
      <w:r w:rsidRPr="00D2134C">
        <w:t>20 and 2020</w:t>
      </w:r>
      <w:r w:rsidR="008B44C9">
        <w:t>–</w:t>
      </w:r>
      <w:r w:rsidRPr="00D2134C">
        <w:t>21. This level of inflation is then expected to decrease marginally in 2025</w:t>
      </w:r>
      <w:r w:rsidR="008B44C9">
        <w:t>–</w:t>
      </w:r>
      <w:r w:rsidRPr="00D2134C">
        <w:t xml:space="preserve">26 before reducing to a </w:t>
      </w:r>
      <w:r w:rsidR="00E44EBC" w:rsidRPr="00D2134C">
        <w:t>long-term</w:t>
      </w:r>
      <w:r w:rsidRPr="00D2134C">
        <w:t xml:space="preserve"> rate of 2% per annum. The long</w:t>
      </w:r>
      <w:r w:rsidR="00E44EBC">
        <w:t>-</w:t>
      </w:r>
      <w:r w:rsidRPr="00D2134C">
        <w:t xml:space="preserve">term rate of additional inflation reflects that under the current parameters of the Scheme, inflationary pressures </w:t>
      </w:r>
      <w:proofErr w:type="gramStart"/>
      <w:r w:rsidRPr="00D2134C">
        <w:t>in excess of</w:t>
      </w:r>
      <w:proofErr w:type="gramEnd"/>
      <w:r w:rsidRPr="00D2134C">
        <w:t xml:space="preserve"> the general economic environment are likely to reduce as the Scheme continues to mature but will remain present.</w:t>
      </w:r>
    </w:p>
    <w:p w14:paraId="6C56BC69" w14:textId="33A6A4D5" w:rsidR="00747F39" w:rsidRPr="00D2134C" w:rsidRDefault="00747F39" w:rsidP="00217FA1">
      <w:pPr>
        <w:pStyle w:val="FGCNORMAL"/>
        <w:rPr>
          <w:highlight w:val="yellow"/>
        </w:rPr>
      </w:pPr>
      <w:r w:rsidRPr="00D2134C">
        <w:t xml:space="preserve">Normal inflation has been combined with additional inflation rates to calculate total inflation. </w:t>
      </w:r>
      <w:r w:rsidR="007E2E45">
        <w:t>Table 3.2.1</w:t>
      </w:r>
      <w:r w:rsidR="005901DD">
        <w:t xml:space="preserve">H </w:t>
      </w:r>
      <w:r w:rsidRPr="00D2134C">
        <w:t>detail</w:t>
      </w:r>
      <w:r w:rsidR="005901DD">
        <w:t>s</w:t>
      </w:r>
      <w:r w:rsidRPr="00D2134C">
        <w:t xml:space="preserve"> the underlying normal and additional inflation assumptions adopted for each projection year, with a comparison made to historic inflation experience. The adopted inflation assumptions compared with those from the previous review are shown in</w:t>
      </w:r>
      <w:r w:rsidR="00C75CD3">
        <w:t xml:space="preserve"> Figure 3.2.1</w:t>
      </w:r>
      <w:r w:rsidR="008E173B">
        <w:t>H</w:t>
      </w:r>
      <w:r w:rsidRPr="00D2134C">
        <w:t>.</w:t>
      </w:r>
    </w:p>
    <w:p w14:paraId="56870BA5" w14:textId="1B0E5A1F" w:rsidR="00747F39" w:rsidRPr="00D2134C" w:rsidRDefault="00747F39" w:rsidP="00EE2D88">
      <w:pPr>
        <w:pStyle w:val="Tables"/>
        <w:ind w:left="652"/>
      </w:pPr>
      <w:bookmarkStart w:id="323" w:name="_Ref112314429"/>
      <w:r w:rsidRPr="00D2134C">
        <w:t>Table</w:t>
      </w:r>
      <w:r w:rsidR="007E2E45">
        <w:t xml:space="preserve"> 3.2.1</w:t>
      </w:r>
      <w:r w:rsidR="00F24907">
        <w:t>H</w:t>
      </w:r>
      <w:bookmarkEnd w:id="323"/>
      <w:r w:rsidRPr="00D2134C">
        <w:t xml:space="preserve">: </w:t>
      </w:r>
      <w:r w:rsidRPr="00760744">
        <w:rPr>
          <w:b w:val="0"/>
          <w:bCs w:val="0"/>
        </w:rPr>
        <w:t>Comparison of historic inflation experience and adopted total inflation</w:t>
      </w:r>
      <w:r w:rsidRPr="00760744">
        <w:rPr>
          <w:rStyle w:val="FootnoteReference"/>
          <w:b w:val="0"/>
          <w:bCs w:val="0"/>
        </w:rPr>
        <w:footnoteReference w:id="31"/>
      </w:r>
      <w:r w:rsidRPr="00760744">
        <w:rPr>
          <w:b w:val="0"/>
          <w:bCs w:val="0"/>
        </w:rPr>
        <w:t xml:space="preserve"> </w:t>
      </w:r>
    </w:p>
    <w:tbl>
      <w:tblPr>
        <w:tblW w:w="4740" w:type="pct"/>
        <w:tblInd w:w="567" w:type="dxa"/>
        <w:tblLook w:val="04A0" w:firstRow="1" w:lastRow="0" w:firstColumn="1" w:lastColumn="0" w:noHBand="0" w:noVBand="1"/>
      </w:tblPr>
      <w:tblGrid>
        <w:gridCol w:w="3884"/>
        <w:gridCol w:w="1085"/>
        <w:gridCol w:w="1024"/>
        <w:gridCol w:w="1024"/>
        <w:gridCol w:w="839"/>
        <w:gridCol w:w="185"/>
        <w:gridCol w:w="1024"/>
        <w:gridCol w:w="1024"/>
      </w:tblGrid>
      <w:tr w:rsidR="00A75CB7" w:rsidRPr="00D2134C" w14:paraId="22B8D367" w14:textId="77777777" w:rsidTr="00EE2D88">
        <w:trPr>
          <w:trHeight w:val="300"/>
        </w:trPr>
        <w:tc>
          <w:tcPr>
            <w:tcW w:w="1596" w:type="pct"/>
            <w:vMerge w:val="restart"/>
            <w:shd w:val="clear" w:color="auto" w:fill="6B2F76"/>
            <w:vAlign w:val="center"/>
            <w:hideMark/>
          </w:tcPr>
          <w:p w14:paraId="15D68A64" w14:textId="77777777" w:rsidR="00747F39" w:rsidRPr="00A2731D" w:rsidRDefault="00747F39" w:rsidP="00D2134C">
            <w:pPr>
              <w:pStyle w:val="FGCTABLENORMAL"/>
              <w:rPr>
                <w:b/>
                <w:bCs/>
                <w:color w:val="FFFFFF" w:themeColor="background1"/>
                <w:lang w:eastAsia="zh-CN" w:bidi="th-TH"/>
              </w:rPr>
            </w:pPr>
            <w:r w:rsidRPr="00A2731D">
              <w:rPr>
                <w:b/>
                <w:bCs/>
                <w:color w:val="FFFFFF" w:themeColor="background1"/>
                <w:lang w:eastAsia="zh-CN" w:bidi="th-TH"/>
              </w:rPr>
              <w:t>Inflation on payments</w:t>
            </w:r>
          </w:p>
        </w:tc>
        <w:tc>
          <w:tcPr>
            <w:tcW w:w="640" w:type="pct"/>
            <w:tcBorders>
              <w:right w:val="dotted" w:sz="4" w:space="0" w:color="auto"/>
            </w:tcBorders>
            <w:shd w:val="clear" w:color="auto" w:fill="6B2F76"/>
            <w:vAlign w:val="center"/>
            <w:hideMark/>
          </w:tcPr>
          <w:p w14:paraId="6287E2D0" w14:textId="77777777" w:rsidR="00747F39" w:rsidRPr="00A2731D" w:rsidRDefault="00747F39" w:rsidP="00D2134C">
            <w:pPr>
              <w:pStyle w:val="FGCTABLENORMAL"/>
              <w:rPr>
                <w:b/>
                <w:bCs/>
                <w:i/>
                <w:color w:val="FFFFFF" w:themeColor="background1"/>
                <w:lang w:eastAsia="zh-CN" w:bidi="th-TH"/>
              </w:rPr>
            </w:pPr>
            <w:r w:rsidRPr="00A2731D">
              <w:rPr>
                <w:b/>
                <w:bCs/>
                <w:i/>
                <w:color w:val="FFFFFF" w:themeColor="background1"/>
                <w:lang w:eastAsia="zh-CN" w:bidi="th-TH"/>
              </w:rPr>
              <w:t>Actual</w:t>
            </w:r>
          </w:p>
        </w:tc>
        <w:tc>
          <w:tcPr>
            <w:tcW w:w="2185" w:type="pct"/>
            <w:gridSpan w:val="5"/>
            <w:tcBorders>
              <w:left w:val="dotted" w:sz="4" w:space="0" w:color="auto"/>
              <w:bottom w:val="single" w:sz="4" w:space="0" w:color="D9D9D9" w:themeColor="background1" w:themeShade="D9"/>
            </w:tcBorders>
            <w:shd w:val="clear" w:color="auto" w:fill="6B2F76"/>
            <w:noWrap/>
            <w:vAlign w:val="center"/>
            <w:hideMark/>
          </w:tcPr>
          <w:p w14:paraId="12152027" w14:textId="10A40978" w:rsidR="00747F39" w:rsidRPr="00A2731D" w:rsidRDefault="00747F39" w:rsidP="00D2134C">
            <w:pPr>
              <w:pStyle w:val="FGCTABLENORMAL"/>
              <w:rPr>
                <w:b/>
                <w:bCs/>
                <w:color w:val="FFFFFF" w:themeColor="background1"/>
                <w:lang w:eastAsia="zh-CN" w:bidi="th-TH"/>
              </w:rPr>
            </w:pPr>
            <w:r w:rsidRPr="00A2731D">
              <w:rPr>
                <w:b/>
                <w:bCs/>
                <w:color w:val="FFFFFF" w:themeColor="background1"/>
                <w:lang w:eastAsia="zh-CN" w:bidi="th-TH"/>
              </w:rPr>
              <w:t xml:space="preserve">Projection </w:t>
            </w:r>
            <w:r w:rsidR="00BA3A4D">
              <w:rPr>
                <w:b/>
                <w:bCs/>
                <w:color w:val="FFFFFF" w:themeColor="background1"/>
                <w:lang w:eastAsia="zh-CN" w:bidi="th-TH"/>
              </w:rPr>
              <w:t>y</w:t>
            </w:r>
            <w:r w:rsidRPr="00A2731D">
              <w:rPr>
                <w:b/>
                <w:bCs/>
                <w:color w:val="FFFFFF" w:themeColor="background1"/>
                <w:lang w:eastAsia="zh-CN" w:bidi="th-TH"/>
              </w:rPr>
              <w:t>ear</w:t>
            </w:r>
          </w:p>
        </w:tc>
        <w:tc>
          <w:tcPr>
            <w:tcW w:w="579" w:type="pct"/>
            <w:tcBorders>
              <w:bottom w:val="single" w:sz="4" w:space="0" w:color="D9D9D9" w:themeColor="background1" w:themeShade="D9"/>
            </w:tcBorders>
            <w:shd w:val="clear" w:color="auto" w:fill="6B2F76"/>
            <w:noWrap/>
            <w:vAlign w:val="center"/>
            <w:hideMark/>
          </w:tcPr>
          <w:p w14:paraId="4F7F42CC" w14:textId="77777777" w:rsidR="00747F39" w:rsidRPr="00A2731D" w:rsidRDefault="00747F39" w:rsidP="00D2134C">
            <w:pPr>
              <w:pStyle w:val="FGCTABLENORMAL"/>
              <w:rPr>
                <w:b/>
                <w:bCs/>
                <w:color w:val="FFFFFF" w:themeColor="background1"/>
                <w:lang w:eastAsia="zh-CN" w:bidi="th-TH"/>
              </w:rPr>
            </w:pPr>
            <w:r w:rsidRPr="00A2731D">
              <w:rPr>
                <w:b/>
                <w:bCs/>
                <w:color w:val="FFFFFF" w:themeColor="background1"/>
                <w:lang w:eastAsia="zh-CN" w:bidi="th-TH"/>
              </w:rPr>
              <w:t> </w:t>
            </w:r>
          </w:p>
        </w:tc>
      </w:tr>
      <w:tr w:rsidR="00FB51F2" w:rsidRPr="00D2134C" w14:paraId="59F36283" w14:textId="77777777" w:rsidTr="00EE2D88">
        <w:trPr>
          <w:trHeight w:val="300"/>
        </w:trPr>
        <w:tc>
          <w:tcPr>
            <w:tcW w:w="1596" w:type="pct"/>
            <w:vMerge/>
            <w:vAlign w:val="center"/>
            <w:hideMark/>
          </w:tcPr>
          <w:p w14:paraId="07FF72A5" w14:textId="77777777" w:rsidR="00747F39" w:rsidRPr="00295C5E" w:rsidRDefault="00747F39" w:rsidP="00D2134C">
            <w:pPr>
              <w:pStyle w:val="FGCTABLENORMAL"/>
              <w:rPr>
                <w:b/>
                <w:bCs/>
                <w:color w:val="FFFFFF" w:themeColor="background1"/>
                <w:lang w:eastAsia="zh-CN" w:bidi="th-TH"/>
              </w:rPr>
            </w:pPr>
          </w:p>
        </w:tc>
        <w:tc>
          <w:tcPr>
            <w:tcW w:w="640" w:type="pct"/>
            <w:tcBorders>
              <w:right w:val="dotted" w:sz="4" w:space="0" w:color="auto"/>
            </w:tcBorders>
            <w:shd w:val="clear" w:color="auto" w:fill="6B2F76"/>
            <w:vAlign w:val="center"/>
            <w:hideMark/>
          </w:tcPr>
          <w:p w14:paraId="6DDDCC7A" w14:textId="77777777" w:rsidR="00747F39" w:rsidRPr="00295C5E" w:rsidRDefault="00747F39" w:rsidP="00D2134C">
            <w:pPr>
              <w:pStyle w:val="FGCTABLENORMAL"/>
              <w:rPr>
                <w:b/>
                <w:bCs/>
                <w:i/>
                <w:color w:val="FFFFFF" w:themeColor="background1"/>
                <w:lang w:eastAsia="zh-CN" w:bidi="th-TH"/>
              </w:rPr>
            </w:pPr>
            <w:r w:rsidRPr="00295C5E">
              <w:rPr>
                <w:b/>
                <w:bCs/>
                <w:i/>
                <w:color w:val="FFFFFF" w:themeColor="background1"/>
                <w:lang w:eastAsia="zh-CN" w:bidi="th-TH"/>
              </w:rPr>
              <w:t>Average</w:t>
            </w:r>
          </w:p>
          <w:p w14:paraId="70FA486C" w14:textId="77777777" w:rsidR="00747F39" w:rsidRPr="00295C5E" w:rsidRDefault="00747F39" w:rsidP="00D2134C">
            <w:pPr>
              <w:pStyle w:val="FGCTABLENORMAL"/>
              <w:rPr>
                <w:b/>
                <w:bCs/>
                <w:i/>
                <w:color w:val="FFFFFF" w:themeColor="background1"/>
                <w:lang w:eastAsia="zh-CN" w:bidi="th-TH"/>
              </w:rPr>
            </w:pPr>
            <w:r w:rsidRPr="00295C5E">
              <w:rPr>
                <w:b/>
                <w:bCs/>
                <w:i/>
                <w:color w:val="FFFFFF" w:themeColor="background1"/>
                <w:lang w:eastAsia="zh-CN" w:bidi="th-TH"/>
              </w:rPr>
              <w:t>2019-22</w:t>
            </w:r>
          </w:p>
        </w:tc>
        <w:tc>
          <w:tcPr>
            <w:tcW w:w="563" w:type="pct"/>
            <w:tcBorders>
              <w:top w:val="single" w:sz="4" w:space="0" w:color="D9D9D9" w:themeColor="background1" w:themeShade="D9"/>
              <w:left w:val="dotted" w:sz="4" w:space="0" w:color="auto"/>
            </w:tcBorders>
            <w:shd w:val="clear" w:color="auto" w:fill="6B2F76"/>
            <w:noWrap/>
            <w:vAlign w:val="center"/>
            <w:hideMark/>
          </w:tcPr>
          <w:p w14:paraId="4CB94AD9" w14:textId="77777777" w:rsidR="00747F39" w:rsidRPr="00295C5E" w:rsidRDefault="00747F39" w:rsidP="00D2134C">
            <w:pPr>
              <w:pStyle w:val="FGCTABLENORMAL"/>
              <w:rPr>
                <w:b/>
                <w:bCs/>
                <w:color w:val="FFFFFF" w:themeColor="background1"/>
                <w:lang w:eastAsia="zh-CN" w:bidi="th-TH"/>
              </w:rPr>
            </w:pPr>
            <w:r w:rsidRPr="00295C5E">
              <w:rPr>
                <w:b/>
                <w:bCs/>
                <w:color w:val="FFFFFF" w:themeColor="background1"/>
                <w:lang w:eastAsia="zh-CN" w:bidi="th-TH"/>
              </w:rPr>
              <w:t>2022-23</w:t>
            </w:r>
          </w:p>
        </w:tc>
        <w:tc>
          <w:tcPr>
            <w:tcW w:w="538" w:type="pct"/>
            <w:tcBorders>
              <w:top w:val="single" w:sz="4" w:space="0" w:color="D9D9D9" w:themeColor="background1" w:themeShade="D9"/>
            </w:tcBorders>
            <w:shd w:val="clear" w:color="auto" w:fill="6B2F76"/>
            <w:noWrap/>
            <w:vAlign w:val="center"/>
            <w:hideMark/>
          </w:tcPr>
          <w:p w14:paraId="7B794B28" w14:textId="77777777" w:rsidR="00747F39" w:rsidRPr="00295C5E" w:rsidRDefault="00747F39" w:rsidP="00D2134C">
            <w:pPr>
              <w:pStyle w:val="FGCTABLENORMAL"/>
              <w:rPr>
                <w:b/>
                <w:bCs/>
                <w:color w:val="FFFFFF" w:themeColor="background1"/>
                <w:lang w:eastAsia="zh-CN" w:bidi="th-TH"/>
              </w:rPr>
            </w:pPr>
            <w:r w:rsidRPr="00295C5E">
              <w:rPr>
                <w:b/>
                <w:bCs/>
                <w:color w:val="FFFFFF" w:themeColor="background1"/>
                <w:lang w:eastAsia="zh-CN" w:bidi="th-TH"/>
              </w:rPr>
              <w:t>2023-24</w:t>
            </w:r>
          </w:p>
        </w:tc>
        <w:tc>
          <w:tcPr>
            <w:tcW w:w="546" w:type="pct"/>
            <w:gridSpan w:val="2"/>
            <w:tcBorders>
              <w:top w:val="single" w:sz="4" w:space="0" w:color="D9D9D9" w:themeColor="background1" w:themeShade="D9"/>
            </w:tcBorders>
            <w:shd w:val="clear" w:color="auto" w:fill="6B2F76"/>
            <w:noWrap/>
            <w:vAlign w:val="center"/>
            <w:hideMark/>
          </w:tcPr>
          <w:p w14:paraId="7745460C" w14:textId="77777777" w:rsidR="00747F39" w:rsidRPr="00295C5E" w:rsidRDefault="00747F39" w:rsidP="00D2134C">
            <w:pPr>
              <w:pStyle w:val="FGCTABLENORMAL"/>
              <w:rPr>
                <w:b/>
                <w:bCs/>
                <w:color w:val="FFFFFF" w:themeColor="background1"/>
                <w:lang w:eastAsia="zh-CN" w:bidi="th-TH"/>
              </w:rPr>
            </w:pPr>
            <w:r w:rsidRPr="00295C5E">
              <w:rPr>
                <w:b/>
                <w:bCs/>
                <w:color w:val="FFFFFF" w:themeColor="background1"/>
                <w:lang w:eastAsia="zh-CN" w:bidi="th-TH"/>
              </w:rPr>
              <w:t>2024-25</w:t>
            </w:r>
          </w:p>
        </w:tc>
        <w:tc>
          <w:tcPr>
            <w:tcW w:w="538" w:type="pct"/>
            <w:tcBorders>
              <w:top w:val="single" w:sz="4" w:space="0" w:color="D9D9D9" w:themeColor="background1" w:themeShade="D9"/>
              <w:right w:val="dashSmallGap" w:sz="4" w:space="0" w:color="BFBFBF" w:themeColor="background1" w:themeShade="BF"/>
            </w:tcBorders>
            <w:shd w:val="clear" w:color="auto" w:fill="6B2F76"/>
            <w:noWrap/>
            <w:vAlign w:val="center"/>
            <w:hideMark/>
          </w:tcPr>
          <w:p w14:paraId="379D38C4" w14:textId="77777777" w:rsidR="00747F39" w:rsidRPr="00295C5E" w:rsidRDefault="00747F39" w:rsidP="00D2134C">
            <w:pPr>
              <w:pStyle w:val="FGCTABLENORMAL"/>
              <w:rPr>
                <w:b/>
                <w:bCs/>
                <w:color w:val="FFFFFF" w:themeColor="background1"/>
                <w:lang w:eastAsia="zh-CN" w:bidi="th-TH"/>
              </w:rPr>
            </w:pPr>
            <w:r w:rsidRPr="00295C5E">
              <w:rPr>
                <w:b/>
                <w:bCs/>
                <w:color w:val="FFFFFF" w:themeColor="background1"/>
                <w:lang w:eastAsia="zh-CN" w:bidi="th-TH"/>
              </w:rPr>
              <w:t>2025-26</w:t>
            </w:r>
          </w:p>
        </w:tc>
        <w:tc>
          <w:tcPr>
            <w:tcW w:w="579" w:type="pct"/>
            <w:tcBorders>
              <w:top w:val="single" w:sz="4" w:space="0" w:color="D9D9D9" w:themeColor="background1" w:themeShade="D9"/>
              <w:left w:val="dashSmallGap" w:sz="4" w:space="0" w:color="BFBFBF" w:themeColor="background1" w:themeShade="BF"/>
            </w:tcBorders>
            <w:shd w:val="clear" w:color="auto" w:fill="6B2F76"/>
            <w:noWrap/>
            <w:vAlign w:val="center"/>
            <w:hideMark/>
          </w:tcPr>
          <w:p w14:paraId="25977B2A" w14:textId="77777777" w:rsidR="00747F39" w:rsidRPr="00295C5E" w:rsidRDefault="00747F39" w:rsidP="00D2134C">
            <w:pPr>
              <w:pStyle w:val="FGCTABLENORMAL"/>
              <w:rPr>
                <w:b/>
                <w:bCs/>
                <w:color w:val="FFFFFF" w:themeColor="background1"/>
                <w:lang w:eastAsia="zh-CN" w:bidi="th-TH"/>
              </w:rPr>
            </w:pPr>
            <w:r w:rsidRPr="00295C5E">
              <w:rPr>
                <w:b/>
                <w:bCs/>
                <w:color w:val="FFFFFF" w:themeColor="background1"/>
                <w:lang w:eastAsia="zh-CN" w:bidi="th-TH"/>
              </w:rPr>
              <w:t>2031-32</w:t>
            </w:r>
          </w:p>
        </w:tc>
      </w:tr>
      <w:tr w:rsidR="00FB51F2" w:rsidRPr="00D2134C" w14:paraId="1C970489" w14:textId="77777777" w:rsidTr="00EE2D88">
        <w:trPr>
          <w:trHeight w:val="300"/>
        </w:trPr>
        <w:tc>
          <w:tcPr>
            <w:tcW w:w="1596" w:type="pct"/>
            <w:shd w:val="clear" w:color="auto" w:fill="D4C5D7"/>
            <w:noWrap/>
            <w:vAlign w:val="center"/>
            <w:hideMark/>
          </w:tcPr>
          <w:p w14:paraId="65CEC56F" w14:textId="1E2FC21D" w:rsidR="00747F39" w:rsidRPr="00D2134C" w:rsidRDefault="00747F39" w:rsidP="00D2134C">
            <w:pPr>
              <w:pStyle w:val="FGCTABLENORMAL"/>
              <w:rPr>
                <w:color w:val="000000"/>
                <w:lang w:eastAsia="zh-CN" w:bidi="th-TH"/>
              </w:rPr>
            </w:pPr>
            <w:r w:rsidRPr="00D2134C">
              <w:rPr>
                <w:color w:val="000000"/>
                <w:lang w:eastAsia="zh-CN" w:bidi="th-TH"/>
              </w:rPr>
              <w:t xml:space="preserve">June </w:t>
            </w:r>
            <w:r w:rsidR="00140C64">
              <w:rPr>
                <w:bCs/>
                <w:color w:val="000000"/>
                <w:lang w:eastAsia="zh-CN" w:bidi="th-TH"/>
              </w:rPr>
              <w:t>2021‒22</w:t>
            </w:r>
            <w:r w:rsidRPr="00D2134C">
              <w:rPr>
                <w:color w:val="000000"/>
                <w:lang w:eastAsia="zh-CN" w:bidi="th-TH"/>
              </w:rPr>
              <w:t xml:space="preserve"> AFSR</w:t>
            </w:r>
          </w:p>
        </w:tc>
        <w:tc>
          <w:tcPr>
            <w:tcW w:w="640" w:type="pct"/>
            <w:tcBorders>
              <w:right w:val="dotted" w:sz="4" w:space="0" w:color="auto"/>
            </w:tcBorders>
            <w:shd w:val="clear" w:color="auto" w:fill="D4C5D7"/>
            <w:noWrap/>
            <w:vAlign w:val="center"/>
            <w:hideMark/>
          </w:tcPr>
          <w:p w14:paraId="48792D9B" w14:textId="77777777" w:rsidR="00747F39" w:rsidRPr="00D2134C" w:rsidRDefault="00747F39" w:rsidP="00D2134C">
            <w:pPr>
              <w:pStyle w:val="FGCTABLENORMAL"/>
              <w:rPr>
                <w:i/>
                <w:color w:val="000000"/>
                <w:lang w:eastAsia="zh-CN" w:bidi="th-TH"/>
              </w:rPr>
            </w:pPr>
            <w:r w:rsidRPr="00D2134C">
              <w:rPr>
                <w:i/>
                <w:color w:val="000000"/>
                <w:lang w:eastAsia="zh-CN" w:bidi="th-TH"/>
              </w:rPr>
              <w:t> </w:t>
            </w:r>
          </w:p>
        </w:tc>
        <w:tc>
          <w:tcPr>
            <w:tcW w:w="563" w:type="pct"/>
            <w:tcBorders>
              <w:left w:val="dotted" w:sz="4" w:space="0" w:color="auto"/>
            </w:tcBorders>
            <w:shd w:val="clear" w:color="auto" w:fill="D4C5D7"/>
            <w:noWrap/>
            <w:vAlign w:val="center"/>
            <w:hideMark/>
          </w:tcPr>
          <w:p w14:paraId="6BD77DEE" w14:textId="77777777" w:rsidR="00747F39" w:rsidRPr="00D2134C" w:rsidRDefault="00747F39" w:rsidP="00D2134C">
            <w:pPr>
              <w:pStyle w:val="FGCTABLENORMAL"/>
              <w:rPr>
                <w:color w:val="000000"/>
                <w:lang w:eastAsia="zh-CN" w:bidi="th-TH"/>
              </w:rPr>
            </w:pPr>
            <w:r w:rsidRPr="00D2134C">
              <w:rPr>
                <w:color w:val="000000"/>
                <w:lang w:eastAsia="zh-CN" w:bidi="th-TH"/>
              </w:rPr>
              <w:t> </w:t>
            </w:r>
          </w:p>
        </w:tc>
        <w:tc>
          <w:tcPr>
            <w:tcW w:w="538" w:type="pct"/>
            <w:shd w:val="clear" w:color="auto" w:fill="D4C5D7"/>
            <w:noWrap/>
            <w:vAlign w:val="center"/>
            <w:hideMark/>
          </w:tcPr>
          <w:p w14:paraId="4506FF82" w14:textId="77777777" w:rsidR="00747F39" w:rsidRPr="00D2134C" w:rsidRDefault="00747F39" w:rsidP="00D2134C">
            <w:pPr>
              <w:pStyle w:val="FGCTABLENORMAL"/>
              <w:rPr>
                <w:color w:val="000000"/>
                <w:lang w:eastAsia="zh-CN" w:bidi="th-TH"/>
              </w:rPr>
            </w:pPr>
            <w:r w:rsidRPr="00D2134C">
              <w:rPr>
                <w:color w:val="000000"/>
                <w:lang w:eastAsia="zh-CN" w:bidi="th-TH"/>
              </w:rPr>
              <w:t> </w:t>
            </w:r>
          </w:p>
        </w:tc>
        <w:tc>
          <w:tcPr>
            <w:tcW w:w="447" w:type="pct"/>
            <w:shd w:val="clear" w:color="auto" w:fill="D4C5D7"/>
            <w:noWrap/>
            <w:vAlign w:val="center"/>
            <w:hideMark/>
          </w:tcPr>
          <w:p w14:paraId="3884F55E" w14:textId="77777777" w:rsidR="00747F39" w:rsidRPr="00D2134C" w:rsidRDefault="00747F39" w:rsidP="00D2134C">
            <w:pPr>
              <w:pStyle w:val="FGCTABLENORMAL"/>
              <w:rPr>
                <w:color w:val="000000"/>
                <w:lang w:eastAsia="zh-CN" w:bidi="th-TH"/>
              </w:rPr>
            </w:pPr>
            <w:r w:rsidRPr="00D2134C">
              <w:rPr>
                <w:color w:val="000000"/>
                <w:lang w:eastAsia="zh-CN" w:bidi="th-TH"/>
              </w:rPr>
              <w:t> </w:t>
            </w:r>
          </w:p>
        </w:tc>
        <w:tc>
          <w:tcPr>
            <w:tcW w:w="637" w:type="pct"/>
            <w:gridSpan w:val="2"/>
            <w:tcBorders>
              <w:right w:val="dashSmallGap" w:sz="4" w:space="0" w:color="BFBFBF" w:themeColor="background1" w:themeShade="BF"/>
            </w:tcBorders>
            <w:shd w:val="clear" w:color="auto" w:fill="D4C5D7"/>
            <w:noWrap/>
            <w:vAlign w:val="center"/>
            <w:hideMark/>
          </w:tcPr>
          <w:p w14:paraId="5FC5FA80" w14:textId="77777777" w:rsidR="00747F39" w:rsidRPr="00D2134C" w:rsidRDefault="00747F39" w:rsidP="00D2134C">
            <w:pPr>
              <w:pStyle w:val="FGCTABLENORMAL"/>
              <w:rPr>
                <w:color w:val="000000"/>
                <w:lang w:eastAsia="zh-CN" w:bidi="th-TH"/>
              </w:rPr>
            </w:pPr>
            <w:r w:rsidRPr="00D2134C">
              <w:rPr>
                <w:color w:val="000000"/>
                <w:lang w:eastAsia="zh-CN" w:bidi="th-TH"/>
              </w:rPr>
              <w:t> </w:t>
            </w:r>
          </w:p>
        </w:tc>
        <w:tc>
          <w:tcPr>
            <w:tcW w:w="579" w:type="pct"/>
            <w:tcBorders>
              <w:left w:val="dashSmallGap" w:sz="4" w:space="0" w:color="BFBFBF" w:themeColor="background1" w:themeShade="BF"/>
            </w:tcBorders>
            <w:shd w:val="clear" w:color="auto" w:fill="D4C5D7"/>
            <w:noWrap/>
            <w:vAlign w:val="center"/>
            <w:hideMark/>
          </w:tcPr>
          <w:p w14:paraId="4927FB28" w14:textId="77777777" w:rsidR="00747F39" w:rsidRPr="00D2134C" w:rsidRDefault="00747F39" w:rsidP="00D2134C">
            <w:pPr>
              <w:pStyle w:val="FGCTABLENORMAL"/>
              <w:rPr>
                <w:color w:val="000000"/>
                <w:lang w:eastAsia="zh-CN" w:bidi="th-TH"/>
              </w:rPr>
            </w:pPr>
            <w:r w:rsidRPr="00D2134C">
              <w:rPr>
                <w:color w:val="000000"/>
                <w:lang w:eastAsia="zh-CN" w:bidi="th-TH"/>
              </w:rPr>
              <w:t> </w:t>
            </w:r>
          </w:p>
        </w:tc>
      </w:tr>
      <w:tr w:rsidR="00FB51F2" w:rsidRPr="00D2134C" w14:paraId="3A510709" w14:textId="77777777" w:rsidTr="00EE2D88">
        <w:trPr>
          <w:trHeight w:val="300"/>
        </w:trPr>
        <w:tc>
          <w:tcPr>
            <w:tcW w:w="1596" w:type="pct"/>
            <w:shd w:val="clear" w:color="auto" w:fill="D1D3D4"/>
            <w:noWrap/>
            <w:vAlign w:val="center"/>
            <w:hideMark/>
          </w:tcPr>
          <w:p w14:paraId="78B3624A" w14:textId="77777777" w:rsidR="00747F39" w:rsidRPr="00D2134C" w:rsidRDefault="00747F39" w:rsidP="00D2134C">
            <w:pPr>
              <w:pStyle w:val="FGCTABLENORMAL"/>
              <w:rPr>
                <w:color w:val="000000"/>
                <w:lang w:eastAsia="zh-CN" w:bidi="th-TH"/>
              </w:rPr>
            </w:pPr>
            <w:r w:rsidRPr="00D2134C">
              <w:rPr>
                <w:color w:val="000000"/>
                <w:lang w:eastAsia="zh-CN" w:bidi="th-TH"/>
              </w:rPr>
              <w:t>Normal inflation (</w:t>
            </w:r>
            <w:proofErr w:type="spellStart"/>
            <w:r w:rsidRPr="00D2134C">
              <w:rPr>
                <w:color w:val="000000"/>
                <w:lang w:eastAsia="zh-CN" w:bidi="th-TH"/>
              </w:rPr>
              <w:t>inc</w:t>
            </w:r>
            <w:proofErr w:type="spellEnd"/>
            <w:r w:rsidRPr="00D2134C">
              <w:rPr>
                <w:color w:val="000000"/>
                <w:lang w:eastAsia="zh-CN" w:bidi="th-TH"/>
              </w:rPr>
              <w:t xml:space="preserve"> APR)</w:t>
            </w:r>
          </w:p>
        </w:tc>
        <w:tc>
          <w:tcPr>
            <w:tcW w:w="640" w:type="pct"/>
            <w:tcBorders>
              <w:right w:val="dotted" w:sz="4" w:space="0" w:color="auto"/>
            </w:tcBorders>
            <w:shd w:val="clear" w:color="auto" w:fill="D1D3D4"/>
            <w:noWrap/>
            <w:vAlign w:val="center"/>
            <w:hideMark/>
          </w:tcPr>
          <w:p w14:paraId="14CEB01D" w14:textId="77777777" w:rsidR="00747F39" w:rsidRPr="00D2134C" w:rsidRDefault="00747F39" w:rsidP="00D2134C">
            <w:pPr>
              <w:pStyle w:val="FGCTABLENORMAL"/>
              <w:rPr>
                <w:i/>
                <w:color w:val="000000"/>
                <w:lang w:eastAsia="zh-CN" w:bidi="th-TH"/>
              </w:rPr>
            </w:pPr>
            <w:r w:rsidRPr="00D2134C">
              <w:t>5.4%</w:t>
            </w:r>
          </w:p>
        </w:tc>
        <w:tc>
          <w:tcPr>
            <w:tcW w:w="563" w:type="pct"/>
            <w:tcBorders>
              <w:left w:val="dotted" w:sz="4" w:space="0" w:color="auto"/>
            </w:tcBorders>
            <w:shd w:val="clear" w:color="auto" w:fill="D1D3D4"/>
            <w:noWrap/>
            <w:vAlign w:val="center"/>
            <w:hideMark/>
          </w:tcPr>
          <w:p w14:paraId="58470C7E" w14:textId="77777777" w:rsidR="00747F39" w:rsidRPr="00D2134C" w:rsidRDefault="00747F39" w:rsidP="00D2134C">
            <w:pPr>
              <w:pStyle w:val="FGCTABLENORMAL"/>
              <w:rPr>
                <w:color w:val="000000"/>
                <w:lang w:eastAsia="zh-CN" w:bidi="th-TH"/>
              </w:rPr>
            </w:pPr>
            <w:r w:rsidRPr="00D2134C">
              <w:t>7.2%</w:t>
            </w:r>
          </w:p>
        </w:tc>
        <w:tc>
          <w:tcPr>
            <w:tcW w:w="538" w:type="pct"/>
            <w:shd w:val="clear" w:color="auto" w:fill="D1D3D4"/>
            <w:noWrap/>
            <w:vAlign w:val="center"/>
            <w:hideMark/>
          </w:tcPr>
          <w:p w14:paraId="38B73450" w14:textId="77777777" w:rsidR="00747F39" w:rsidRPr="00D2134C" w:rsidRDefault="00747F39" w:rsidP="00D2134C">
            <w:pPr>
              <w:pStyle w:val="FGCTABLENORMAL"/>
              <w:rPr>
                <w:color w:val="000000"/>
                <w:lang w:eastAsia="zh-CN" w:bidi="th-TH"/>
              </w:rPr>
            </w:pPr>
            <w:r w:rsidRPr="00D2134C">
              <w:t>2.6%</w:t>
            </w:r>
          </w:p>
        </w:tc>
        <w:tc>
          <w:tcPr>
            <w:tcW w:w="546" w:type="pct"/>
            <w:gridSpan w:val="2"/>
            <w:shd w:val="clear" w:color="auto" w:fill="D1D3D4"/>
            <w:noWrap/>
            <w:vAlign w:val="center"/>
            <w:hideMark/>
          </w:tcPr>
          <w:p w14:paraId="675EA22C" w14:textId="77777777" w:rsidR="00747F39" w:rsidRPr="00D2134C" w:rsidRDefault="00747F39" w:rsidP="00D2134C">
            <w:pPr>
              <w:pStyle w:val="FGCTABLENORMAL"/>
              <w:rPr>
                <w:color w:val="000000"/>
                <w:lang w:eastAsia="zh-CN" w:bidi="th-TH"/>
              </w:rPr>
            </w:pPr>
            <w:r w:rsidRPr="00D2134C">
              <w:t>3.6%</w:t>
            </w:r>
          </w:p>
        </w:tc>
        <w:tc>
          <w:tcPr>
            <w:tcW w:w="538" w:type="pct"/>
            <w:tcBorders>
              <w:right w:val="dashSmallGap" w:sz="4" w:space="0" w:color="BFBFBF" w:themeColor="background1" w:themeShade="BF"/>
            </w:tcBorders>
            <w:shd w:val="clear" w:color="auto" w:fill="D1D3D4"/>
            <w:noWrap/>
            <w:vAlign w:val="center"/>
            <w:hideMark/>
          </w:tcPr>
          <w:p w14:paraId="34806C45" w14:textId="77777777" w:rsidR="00747F39" w:rsidRPr="00D2134C" w:rsidRDefault="00747F39" w:rsidP="00D2134C">
            <w:pPr>
              <w:pStyle w:val="FGCTABLENORMAL"/>
              <w:rPr>
                <w:color w:val="000000"/>
                <w:lang w:eastAsia="zh-CN" w:bidi="th-TH"/>
              </w:rPr>
            </w:pPr>
            <w:r w:rsidRPr="00D2134C">
              <w:t>3.6%</w:t>
            </w:r>
          </w:p>
        </w:tc>
        <w:tc>
          <w:tcPr>
            <w:tcW w:w="579" w:type="pct"/>
            <w:tcBorders>
              <w:left w:val="dashSmallGap" w:sz="4" w:space="0" w:color="BFBFBF" w:themeColor="background1" w:themeShade="BF"/>
            </w:tcBorders>
            <w:shd w:val="clear" w:color="auto" w:fill="D1D3D4"/>
            <w:noWrap/>
            <w:vAlign w:val="center"/>
            <w:hideMark/>
          </w:tcPr>
          <w:p w14:paraId="3DC65754" w14:textId="77777777" w:rsidR="00747F39" w:rsidRPr="00D2134C" w:rsidRDefault="00747F39" w:rsidP="00D2134C">
            <w:pPr>
              <w:pStyle w:val="FGCTABLENORMAL"/>
              <w:rPr>
                <w:color w:val="000000"/>
                <w:lang w:eastAsia="zh-CN" w:bidi="th-TH"/>
              </w:rPr>
            </w:pPr>
            <w:r w:rsidRPr="00D2134C">
              <w:t>3.3%</w:t>
            </w:r>
          </w:p>
        </w:tc>
      </w:tr>
      <w:tr w:rsidR="00FB51F2" w:rsidRPr="00D2134C" w14:paraId="2BE72603" w14:textId="77777777" w:rsidTr="00EE2D88">
        <w:trPr>
          <w:trHeight w:val="300"/>
        </w:trPr>
        <w:tc>
          <w:tcPr>
            <w:tcW w:w="1596" w:type="pct"/>
            <w:shd w:val="clear" w:color="auto" w:fill="FFFFFF" w:themeFill="background1"/>
            <w:noWrap/>
            <w:vAlign w:val="center"/>
            <w:hideMark/>
          </w:tcPr>
          <w:p w14:paraId="0EE83686" w14:textId="77777777" w:rsidR="00747F39" w:rsidRPr="00D2134C" w:rsidRDefault="00747F39" w:rsidP="00D2134C">
            <w:pPr>
              <w:pStyle w:val="FGCTABLENORMAL"/>
              <w:rPr>
                <w:lang w:eastAsia="zh-CN" w:bidi="th-TH"/>
              </w:rPr>
            </w:pPr>
            <w:r w:rsidRPr="00D2134C">
              <w:rPr>
                <w:lang w:eastAsia="zh-CN" w:bidi="th-TH"/>
              </w:rPr>
              <w:t>Additional inflation</w:t>
            </w:r>
          </w:p>
        </w:tc>
        <w:tc>
          <w:tcPr>
            <w:tcW w:w="640" w:type="pct"/>
            <w:tcBorders>
              <w:right w:val="dotted" w:sz="4" w:space="0" w:color="auto"/>
            </w:tcBorders>
            <w:shd w:val="clear" w:color="auto" w:fill="FFFFFF" w:themeFill="background1"/>
            <w:noWrap/>
            <w:vAlign w:val="center"/>
            <w:hideMark/>
          </w:tcPr>
          <w:p w14:paraId="7D8061CE" w14:textId="77777777" w:rsidR="00747F39" w:rsidRPr="00D2134C" w:rsidRDefault="00747F39" w:rsidP="00D2134C">
            <w:pPr>
              <w:pStyle w:val="FGCTABLENORMAL"/>
              <w:rPr>
                <w:i/>
                <w:lang w:eastAsia="zh-CN" w:bidi="th-TH"/>
              </w:rPr>
            </w:pPr>
            <w:r w:rsidRPr="00D2134C">
              <w:t>9.0%</w:t>
            </w:r>
          </w:p>
        </w:tc>
        <w:tc>
          <w:tcPr>
            <w:tcW w:w="563" w:type="pct"/>
            <w:tcBorders>
              <w:left w:val="dotted" w:sz="4" w:space="0" w:color="auto"/>
            </w:tcBorders>
            <w:shd w:val="clear" w:color="auto" w:fill="FFFFFF" w:themeFill="background1"/>
            <w:noWrap/>
            <w:vAlign w:val="center"/>
            <w:hideMark/>
          </w:tcPr>
          <w:p w14:paraId="413525B4" w14:textId="77777777" w:rsidR="00747F39" w:rsidRPr="00D2134C" w:rsidRDefault="00747F39" w:rsidP="00D2134C">
            <w:pPr>
              <w:pStyle w:val="FGCTABLENORMAL"/>
              <w:rPr>
                <w:color w:val="000000"/>
                <w:lang w:eastAsia="zh-CN" w:bidi="th-TH"/>
              </w:rPr>
            </w:pPr>
            <w:r w:rsidRPr="00D2134C">
              <w:t>3.4%</w:t>
            </w:r>
          </w:p>
        </w:tc>
        <w:tc>
          <w:tcPr>
            <w:tcW w:w="538" w:type="pct"/>
            <w:shd w:val="clear" w:color="auto" w:fill="FFFFFF" w:themeFill="background1"/>
            <w:noWrap/>
            <w:vAlign w:val="center"/>
            <w:hideMark/>
          </w:tcPr>
          <w:p w14:paraId="2EF44C9F" w14:textId="77777777" w:rsidR="00747F39" w:rsidRPr="00D2134C" w:rsidRDefault="00747F39" w:rsidP="00D2134C">
            <w:pPr>
              <w:pStyle w:val="FGCTABLENORMAL"/>
              <w:rPr>
                <w:color w:val="000000"/>
                <w:lang w:eastAsia="zh-CN" w:bidi="th-TH"/>
              </w:rPr>
            </w:pPr>
            <w:r w:rsidRPr="00D2134C">
              <w:t>3.0%</w:t>
            </w:r>
          </w:p>
        </w:tc>
        <w:tc>
          <w:tcPr>
            <w:tcW w:w="546" w:type="pct"/>
            <w:gridSpan w:val="2"/>
            <w:shd w:val="clear" w:color="auto" w:fill="FFFFFF" w:themeFill="background1"/>
            <w:noWrap/>
            <w:vAlign w:val="center"/>
            <w:hideMark/>
          </w:tcPr>
          <w:p w14:paraId="6D2C4E9E" w14:textId="77777777" w:rsidR="00747F39" w:rsidRPr="00D2134C" w:rsidRDefault="00747F39" w:rsidP="00D2134C">
            <w:pPr>
              <w:pStyle w:val="FGCTABLENORMAL"/>
              <w:rPr>
                <w:color w:val="000000"/>
                <w:lang w:eastAsia="zh-CN" w:bidi="th-TH"/>
              </w:rPr>
            </w:pPr>
            <w:r w:rsidRPr="00D2134C">
              <w:t>6.0%</w:t>
            </w:r>
          </w:p>
        </w:tc>
        <w:tc>
          <w:tcPr>
            <w:tcW w:w="538" w:type="pct"/>
            <w:tcBorders>
              <w:right w:val="dashSmallGap" w:sz="4" w:space="0" w:color="BFBFBF" w:themeColor="background1" w:themeShade="BF"/>
            </w:tcBorders>
            <w:shd w:val="clear" w:color="auto" w:fill="FFFFFF" w:themeFill="background1"/>
            <w:noWrap/>
            <w:vAlign w:val="center"/>
            <w:hideMark/>
          </w:tcPr>
          <w:p w14:paraId="57D101F4" w14:textId="77777777" w:rsidR="00747F39" w:rsidRPr="00D2134C" w:rsidRDefault="00747F39" w:rsidP="00D2134C">
            <w:pPr>
              <w:pStyle w:val="FGCTABLENORMAL"/>
              <w:rPr>
                <w:color w:val="000000"/>
                <w:lang w:eastAsia="zh-CN" w:bidi="th-TH"/>
              </w:rPr>
            </w:pPr>
            <w:r w:rsidRPr="00D2134C">
              <w:t>5.0%</w:t>
            </w:r>
          </w:p>
        </w:tc>
        <w:tc>
          <w:tcPr>
            <w:tcW w:w="579" w:type="pct"/>
            <w:tcBorders>
              <w:left w:val="dashSmallGap" w:sz="4" w:space="0" w:color="BFBFBF" w:themeColor="background1" w:themeShade="BF"/>
            </w:tcBorders>
            <w:shd w:val="clear" w:color="auto" w:fill="FFFFFF" w:themeFill="background1"/>
            <w:noWrap/>
            <w:vAlign w:val="center"/>
            <w:hideMark/>
          </w:tcPr>
          <w:p w14:paraId="0844BF8A" w14:textId="77777777" w:rsidR="00747F39" w:rsidRPr="00D2134C" w:rsidRDefault="00747F39" w:rsidP="00D2134C">
            <w:pPr>
              <w:pStyle w:val="FGCTABLENORMAL"/>
              <w:rPr>
                <w:color w:val="000000"/>
                <w:lang w:eastAsia="zh-CN" w:bidi="th-TH"/>
              </w:rPr>
            </w:pPr>
            <w:r w:rsidRPr="00D2134C">
              <w:t>2.0%</w:t>
            </w:r>
          </w:p>
        </w:tc>
      </w:tr>
      <w:tr w:rsidR="00FB51F2" w:rsidRPr="00D2134C" w14:paraId="1FCC6C75" w14:textId="77777777" w:rsidTr="00EE2D88">
        <w:trPr>
          <w:trHeight w:val="300"/>
        </w:trPr>
        <w:tc>
          <w:tcPr>
            <w:tcW w:w="1596" w:type="pct"/>
            <w:shd w:val="clear" w:color="auto" w:fill="D1D3D4"/>
            <w:noWrap/>
            <w:vAlign w:val="center"/>
            <w:hideMark/>
          </w:tcPr>
          <w:p w14:paraId="2DB8230A" w14:textId="77777777" w:rsidR="00747F39" w:rsidRPr="00370033" w:rsidRDefault="00747F39" w:rsidP="00D2134C">
            <w:pPr>
              <w:pStyle w:val="FGCTABLENORMAL"/>
              <w:rPr>
                <w:b/>
                <w:bCs/>
                <w:color w:val="000000"/>
                <w:lang w:eastAsia="zh-CN" w:bidi="th-TH"/>
              </w:rPr>
            </w:pPr>
            <w:r w:rsidRPr="00370033">
              <w:rPr>
                <w:b/>
                <w:bCs/>
                <w:color w:val="000000"/>
                <w:lang w:eastAsia="zh-CN" w:bidi="th-TH"/>
              </w:rPr>
              <w:t>Total inflation (excl. change in mix)</w:t>
            </w:r>
          </w:p>
        </w:tc>
        <w:tc>
          <w:tcPr>
            <w:tcW w:w="640" w:type="pct"/>
            <w:tcBorders>
              <w:right w:val="dotted" w:sz="4" w:space="0" w:color="auto"/>
            </w:tcBorders>
            <w:shd w:val="clear" w:color="auto" w:fill="D1D3D4"/>
            <w:noWrap/>
            <w:vAlign w:val="center"/>
            <w:hideMark/>
          </w:tcPr>
          <w:p w14:paraId="0C250383" w14:textId="77777777" w:rsidR="00747F39" w:rsidRPr="00370033" w:rsidRDefault="00747F39" w:rsidP="00D2134C">
            <w:pPr>
              <w:pStyle w:val="FGCTABLENORMAL"/>
              <w:rPr>
                <w:b/>
                <w:bCs/>
                <w:i/>
                <w:color w:val="000000"/>
                <w:lang w:eastAsia="zh-CN" w:bidi="th-TH"/>
              </w:rPr>
            </w:pPr>
            <w:r w:rsidRPr="00370033">
              <w:rPr>
                <w:b/>
                <w:bCs/>
              </w:rPr>
              <w:t>14.5%</w:t>
            </w:r>
          </w:p>
        </w:tc>
        <w:tc>
          <w:tcPr>
            <w:tcW w:w="563" w:type="pct"/>
            <w:tcBorders>
              <w:left w:val="dotted" w:sz="4" w:space="0" w:color="auto"/>
            </w:tcBorders>
            <w:shd w:val="clear" w:color="auto" w:fill="D1D3D4"/>
            <w:noWrap/>
            <w:vAlign w:val="center"/>
            <w:hideMark/>
          </w:tcPr>
          <w:p w14:paraId="03047A02" w14:textId="77777777" w:rsidR="00747F39" w:rsidRPr="00370033" w:rsidRDefault="00747F39" w:rsidP="00D2134C">
            <w:pPr>
              <w:pStyle w:val="FGCTABLENORMAL"/>
              <w:rPr>
                <w:b/>
                <w:bCs/>
                <w:color w:val="000000"/>
                <w:lang w:eastAsia="zh-CN" w:bidi="th-TH"/>
              </w:rPr>
            </w:pPr>
            <w:r w:rsidRPr="00370033">
              <w:rPr>
                <w:b/>
                <w:bCs/>
              </w:rPr>
              <w:t>10.6%</w:t>
            </w:r>
          </w:p>
        </w:tc>
        <w:tc>
          <w:tcPr>
            <w:tcW w:w="538" w:type="pct"/>
            <w:shd w:val="clear" w:color="auto" w:fill="D1D3D4"/>
            <w:noWrap/>
            <w:vAlign w:val="center"/>
            <w:hideMark/>
          </w:tcPr>
          <w:p w14:paraId="5DC941CB" w14:textId="77777777" w:rsidR="00747F39" w:rsidRPr="00370033" w:rsidRDefault="00747F39" w:rsidP="00D2134C">
            <w:pPr>
              <w:pStyle w:val="FGCTABLENORMAL"/>
              <w:rPr>
                <w:b/>
                <w:bCs/>
                <w:color w:val="000000"/>
                <w:lang w:eastAsia="zh-CN" w:bidi="th-TH"/>
              </w:rPr>
            </w:pPr>
            <w:r w:rsidRPr="00370033">
              <w:rPr>
                <w:b/>
                <w:bCs/>
              </w:rPr>
              <w:t>5.6%</w:t>
            </w:r>
          </w:p>
        </w:tc>
        <w:tc>
          <w:tcPr>
            <w:tcW w:w="546" w:type="pct"/>
            <w:gridSpan w:val="2"/>
            <w:shd w:val="clear" w:color="auto" w:fill="D1D3D4"/>
            <w:noWrap/>
            <w:vAlign w:val="center"/>
            <w:hideMark/>
          </w:tcPr>
          <w:p w14:paraId="0CEDE2E4" w14:textId="77777777" w:rsidR="00747F39" w:rsidRPr="00370033" w:rsidRDefault="00747F39" w:rsidP="00D2134C">
            <w:pPr>
              <w:pStyle w:val="FGCTABLENORMAL"/>
              <w:rPr>
                <w:b/>
                <w:bCs/>
                <w:color w:val="000000"/>
                <w:lang w:eastAsia="zh-CN" w:bidi="th-TH"/>
              </w:rPr>
            </w:pPr>
            <w:r w:rsidRPr="00370033">
              <w:rPr>
                <w:b/>
                <w:bCs/>
              </w:rPr>
              <w:t>9.6%</w:t>
            </w:r>
          </w:p>
        </w:tc>
        <w:tc>
          <w:tcPr>
            <w:tcW w:w="538" w:type="pct"/>
            <w:tcBorders>
              <w:right w:val="dashSmallGap" w:sz="4" w:space="0" w:color="BFBFBF" w:themeColor="background1" w:themeShade="BF"/>
            </w:tcBorders>
            <w:shd w:val="clear" w:color="auto" w:fill="D1D3D4"/>
            <w:noWrap/>
            <w:vAlign w:val="center"/>
            <w:hideMark/>
          </w:tcPr>
          <w:p w14:paraId="1D25FCA7" w14:textId="77777777" w:rsidR="00747F39" w:rsidRPr="00370033" w:rsidRDefault="00747F39" w:rsidP="00D2134C">
            <w:pPr>
              <w:pStyle w:val="FGCTABLENORMAL"/>
              <w:rPr>
                <w:b/>
                <w:bCs/>
                <w:color w:val="000000"/>
                <w:lang w:eastAsia="zh-CN" w:bidi="th-TH"/>
              </w:rPr>
            </w:pPr>
            <w:r w:rsidRPr="00370033">
              <w:rPr>
                <w:b/>
                <w:bCs/>
              </w:rPr>
              <w:t>8.6%</w:t>
            </w:r>
          </w:p>
        </w:tc>
        <w:tc>
          <w:tcPr>
            <w:tcW w:w="579" w:type="pct"/>
            <w:tcBorders>
              <w:left w:val="dashSmallGap" w:sz="4" w:space="0" w:color="BFBFBF" w:themeColor="background1" w:themeShade="BF"/>
            </w:tcBorders>
            <w:shd w:val="clear" w:color="auto" w:fill="D1D3D4"/>
            <w:noWrap/>
            <w:vAlign w:val="center"/>
            <w:hideMark/>
          </w:tcPr>
          <w:p w14:paraId="555A5282" w14:textId="77777777" w:rsidR="00747F39" w:rsidRPr="00370033" w:rsidRDefault="00747F39" w:rsidP="00D2134C">
            <w:pPr>
              <w:pStyle w:val="FGCTABLENORMAL"/>
              <w:rPr>
                <w:b/>
                <w:bCs/>
                <w:color w:val="000000"/>
                <w:lang w:eastAsia="zh-CN" w:bidi="th-TH"/>
              </w:rPr>
            </w:pPr>
            <w:r w:rsidRPr="00370033">
              <w:rPr>
                <w:b/>
                <w:bCs/>
              </w:rPr>
              <w:t>5.3%</w:t>
            </w:r>
          </w:p>
        </w:tc>
      </w:tr>
      <w:tr w:rsidR="00FB51F2" w:rsidRPr="00D2134C" w14:paraId="3C12ABFF" w14:textId="77777777" w:rsidTr="00EE2D88">
        <w:trPr>
          <w:trHeight w:val="300"/>
        </w:trPr>
        <w:tc>
          <w:tcPr>
            <w:tcW w:w="1596" w:type="pct"/>
            <w:tcBorders>
              <w:bottom w:val="single" w:sz="4" w:space="0" w:color="auto"/>
            </w:tcBorders>
            <w:shd w:val="clear" w:color="auto" w:fill="FFFFFF" w:themeFill="background1"/>
            <w:noWrap/>
            <w:vAlign w:val="center"/>
            <w:hideMark/>
          </w:tcPr>
          <w:p w14:paraId="217C30E3" w14:textId="000BE889" w:rsidR="00747F39" w:rsidRPr="00D2134C" w:rsidRDefault="00747F39" w:rsidP="00D2134C">
            <w:pPr>
              <w:pStyle w:val="FGCTABLENORMAL"/>
              <w:rPr>
                <w:lang w:eastAsia="zh-CN" w:bidi="th-TH"/>
              </w:rPr>
            </w:pPr>
            <w:r w:rsidRPr="00D2134C">
              <w:rPr>
                <w:lang w:eastAsia="zh-CN" w:bidi="th-TH"/>
              </w:rPr>
              <w:t xml:space="preserve">Change in </w:t>
            </w:r>
            <w:r w:rsidR="007B3524">
              <w:rPr>
                <w:lang w:eastAsia="zh-CN" w:bidi="th-TH"/>
              </w:rPr>
              <w:t>m</w:t>
            </w:r>
            <w:r w:rsidRPr="00D2134C">
              <w:rPr>
                <w:lang w:eastAsia="zh-CN" w:bidi="th-TH"/>
              </w:rPr>
              <w:t>ix</w:t>
            </w:r>
          </w:p>
        </w:tc>
        <w:tc>
          <w:tcPr>
            <w:tcW w:w="640" w:type="pct"/>
            <w:tcBorders>
              <w:bottom w:val="single" w:sz="4" w:space="0" w:color="auto"/>
              <w:right w:val="dotted" w:sz="4" w:space="0" w:color="auto"/>
            </w:tcBorders>
            <w:shd w:val="clear" w:color="auto" w:fill="FFFFFF" w:themeFill="background1"/>
            <w:noWrap/>
            <w:vAlign w:val="center"/>
            <w:hideMark/>
          </w:tcPr>
          <w:p w14:paraId="346C33C8" w14:textId="77777777" w:rsidR="00747F39" w:rsidRPr="00D2134C" w:rsidRDefault="00747F39" w:rsidP="00D2134C">
            <w:pPr>
              <w:pStyle w:val="FGCTABLENORMAL"/>
              <w:rPr>
                <w:i/>
                <w:color w:val="000000"/>
                <w:lang w:eastAsia="zh-CN" w:bidi="th-TH"/>
              </w:rPr>
            </w:pPr>
            <w:r w:rsidRPr="00D2134C">
              <w:t>-5.3%</w:t>
            </w:r>
          </w:p>
        </w:tc>
        <w:tc>
          <w:tcPr>
            <w:tcW w:w="563" w:type="pct"/>
            <w:tcBorders>
              <w:left w:val="dotted" w:sz="4" w:space="0" w:color="auto"/>
              <w:bottom w:val="single" w:sz="4" w:space="0" w:color="auto"/>
            </w:tcBorders>
            <w:shd w:val="clear" w:color="auto" w:fill="FFFFFF" w:themeFill="background1"/>
            <w:noWrap/>
            <w:vAlign w:val="center"/>
            <w:hideMark/>
          </w:tcPr>
          <w:p w14:paraId="360B45CA" w14:textId="77777777" w:rsidR="00747F39" w:rsidRPr="00D2134C" w:rsidRDefault="00747F39" w:rsidP="00D2134C">
            <w:pPr>
              <w:pStyle w:val="FGCTABLENORMAL"/>
              <w:rPr>
                <w:color w:val="000000"/>
                <w:lang w:eastAsia="zh-CN" w:bidi="th-TH"/>
              </w:rPr>
            </w:pPr>
            <w:r w:rsidRPr="00D2134C">
              <w:t>-2.7%</w:t>
            </w:r>
          </w:p>
        </w:tc>
        <w:tc>
          <w:tcPr>
            <w:tcW w:w="538" w:type="pct"/>
            <w:tcBorders>
              <w:bottom w:val="single" w:sz="4" w:space="0" w:color="auto"/>
            </w:tcBorders>
            <w:shd w:val="clear" w:color="auto" w:fill="FFFFFF" w:themeFill="background1"/>
            <w:noWrap/>
            <w:vAlign w:val="center"/>
            <w:hideMark/>
          </w:tcPr>
          <w:p w14:paraId="698130D2" w14:textId="77777777" w:rsidR="00747F39" w:rsidRPr="00D2134C" w:rsidRDefault="00747F39" w:rsidP="00D2134C">
            <w:pPr>
              <w:pStyle w:val="FGCTABLENORMAL"/>
              <w:rPr>
                <w:color w:val="000000"/>
                <w:lang w:eastAsia="zh-CN" w:bidi="th-TH"/>
              </w:rPr>
            </w:pPr>
            <w:r w:rsidRPr="00D2134C">
              <w:t>-3.3%</w:t>
            </w:r>
          </w:p>
        </w:tc>
        <w:tc>
          <w:tcPr>
            <w:tcW w:w="546" w:type="pct"/>
            <w:gridSpan w:val="2"/>
            <w:tcBorders>
              <w:bottom w:val="single" w:sz="4" w:space="0" w:color="auto"/>
            </w:tcBorders>
            <w:shd w:val="clear" w:color="auto" w:fill="FFFFFF" w:themeFill="background1"/>
            <w:noWrap/>
            <w:vAlign w:val="center"/>
            <w:hideMark/>
          </w:tcPr>
          <w:p w14:paraId="1C3ACB59" w14:textId="77777777" w:rsidR="00747F39" w:rsidRPr="00D2134C" w:rsidRDefault="00747F39" w:rsidP="00D2134C">
            <w:pPr>
              <w:pStyle w:val="FGCTABLENORMAL"/>
              <w:rPr>
                <w:color w:val="000000"/>
                <w:lang w:eastAsia="zh-CN" w:bidi="th-TH"/>
              </w:rPr>
            </w:pPr>
            <w:r w:rsidRPr="00D2134C">
              <w:t>-2.5%</w:t>
            </w:r>
          </w:p>
        </w:tc>
        <w:tc>
          <w:tcPr>
            <w:tcW w:w="538" w:type="pct"/>
            <w:tcBorders>
              <w:bottom w:val="single" w:sz="4" w:space="0" w:color="auto"/>
              <w:right w:val="dashSmallGap" w:sz="4" w:space="0" w:color="BFBFBF" w:themeColor="background1" w:themeShade="BF"/>
            </w:tcBorders>
            <w:shd w:val="clear" w:color="auto" w:fill="FFFFFF" w:themeFill="background1"/>
            <w:noWrap/>
            <w:vAlign w:val="center"/>
            <w:hideMark/>
          </w:tcPr>
          <w:p w14:paraId="1697CDC2" w14:textId="77777777" w:rsidR="00747F39" w:rsidRPr="00D2134C" w:rsidRDefault="00747F39" w:rsidP="00D2134C">
            <w:pPr>
              <w:pStyle w:val="FGCTABLENORMAL"/>
              <w:rPr>
                <w:color w:val="000000"/>
                <w:lang w:eastAsia="zh-CN" w:bidi="th-TH"/>
              </w:rPr>
            </w:pPr>
            <w:r w:rsidRPr="00D2134C">
              <w:t>-1.9%</w:t>
            </w:r>
          </w:p>
        </w:tc>
        <w:tc>
          <w:tcPr>
            <w:tcW w:w="579" w:type="pct"/>
            <w:tcBorders>
              <w:left w:val="dashSmallGap" w:sz="4" w:space="0" w:color="BFBFBF" w:themeColor="background1" w:themeShade="BF"/>
              <w:bottom w:val="single" w:sz="4" w:space="0" w:color="auto"/>
            </w:tcBorders>
            <w:shd w:val="clear" w:color="auto" w:fill="FFFFFF" w:themeFill="background1"/>
            <w:noWrap/>
            <w:vAlign w:val="center"/>
            <w:hideMark/>
          </w:tcPr>
          <w:p w14:paraId="58BD3656" w14:textId="77777777" w:rsidR="00747F39" w:rsidRPr="00D2134C" w:rsidRDefault="00747F39" w:rsidP="00D2134C">
            <w:pPr>
              <w:pStyle w:val="FGCTABLENORMAL"/>
              <w:rPr>
                <w:color w:val="000000"/>
                <w:lang w:eastAsia="zh-CN" w:bidi="th-TH"/>
              </w:rPr>
            </w:pPr>
            <w:r w:rsidRPr="00D2134C">
              <w:t>-0.4%</w:t>
            </w:r>
          </w:p>
        </w:tc>
      </w:tr>
      <w:tr w:rsidR="00FB51F2" w:rsidRPr="00D2134C" w14:paraId="01EEFE0C" w14:textId="77777777" w:rsidTr="00EE2D88">
        <w:trPr>
          <w:trHeight w:val="300"/>
        </w:trPr>
        <w:tc>
          <w:tcPr>
            <w:tcW w:w="1596" w:type="pct"/>
            <w:tcBorders>
              <w:top w:val="single" w:sz="4" w:space="0" w:color="auto"/>
              <w:bottom w:val="single" w:sz="4" w:space="0" w:color="auto"/>
            </w:tcBorders>
            <w:shd w:val="clear" w:color="auto" w:fill="D4C5D7"/>
            <w:noWrap/>
            <w:vAlign w:val="center"/>
            <w:hideMark/>
          </w:tcPr>
          <w:p w14:paraId="6C4F8D06" w14:textId="63E47C20" w:rsidR="00747F39" w:rsidRPr="00370033" w:rsidRDefault="00747F39" w:rsidP="00D2134C">
            <w:pPr>
              <w:pStyle w:val="FGCTABLENORMAL"/>
              <w:rPr>
                <w:b/>
                <w:bCs/>
                <w:color w:val="000000"/>
                <w:lang w:eastAsia="zh-CN" w:bidi="th-TH"/>
              </w:rPr>
            </w:pPr>
            <w:r w:rsidRPr="00370033">
              <w:rPr>
                <w:b/>
                <w:bCs/>
                <w:color w:val="000000"/>
                <w:lang w:eastAsia="zh-CN" w:bidi="th-TH"/>
              </w:rPr>
              <w:t xml:space="preserve">Total </w:t>
            </w:r>
            <w:r w:rsidR="007B3524" w:rsidRPr="00370033">
              <w:rPr>
                <w:b/>
                <w:bCs/>
                <w:color w:val="000000"/>
                <w:lang w:eastAsia="zh-CN" w:bidi="th-TH"/>
              </w:rPr>
              <w:t>i</w:t>
            </w:r>
            <w:r w:rsidRPr="00370033">
              <w:rPr>
                <w:b/>
                <w:bCs/>
                <w:color w:val="000000"/>
                <w:lang w:eastAsia="zh-CN" w:bidi="th-TH"/>
              </w:rPr>
              <w:t>nflation (incl change in mix)</w:t>
            </w:r>
          </w:p>
        </w:tc>
        <w:tc>
          <w:tcPr>
            <w:tcW w:w="640" w:type="pct"/>
            <w:tcBorders>
              <w:top w:val="single" w:sz="4" w:space="0" w:color="auto"/>
              <w:bottom w:val="single" w:sz="4" w:space="0" w:color="auto"/>
              <w:right w:val="dotted" w:sz="4" w:space="0" w:color="auto"/>
            </w:tcBorders>
            <w:shd w:val="clear" w:color="auto" w:fill="D4C5D7"/>
            <w:noWrap/>
            <w:vAlign w:val="center"/>
            <w:hideMark/>
          </w:tcPr>
          <w:p w14:paraId="42E20F33" w14:textId="77777777" w:rsidR="00747F39" w:rsidRPr="00370033" w:rsidRDefault="00747F39" w:rsidP="00D2134C">
            <w:pPr>
              <w:pStyle w:val="FGCTABLENORMAL"/>
              <w:rPr>
                <w:b/>
                <w:bCs/>
                <w:i/>
                <w:color w:val="000000"/>
                <w:lang w:eastAsia="zh-CN" w:bidi="th-TH"/>
              </w:rPr>
            </w:pPr>
            <w:r w:rsidRPr="00370033">
              <w:rPr>
                <w:b/>
                <w:bCs/>
              </w:rPr>
              <w:t>9.2%</w:t>
            </w:r>
          </w:p>
        </w:tc>
        <w:tc>
          <w:tcPr>
            <w:tcW w:w="563" w:type="pct"/>
            <w:tcBorders>
              <w:top w:val="single" w:sz="4" w:space="0" w:color="auto"/>
              <w:left w:val="dotted" w:sz="4" w:space="0" w:color="auto"/>
              <w:bottom w:val="single" w:sz="4" w:space="0" w:color="auto"/>
            </w:tcBorders>
            <w:shd w:val="clear" w:color="auto" w:fill="D4C5D7"/>
            <w:noWrap/>
            <w:vAlign w:val="center"/>
            <w:hideMark/>
          </w:tcPr>
          <w:p w14:paraId="756DE048" w14:textId="77777777" w:rsidR="00747F39" w:rsidRPr="00370033" w:rsidRDefault="00747F39" w:rsidP="00D2134C">
            <w:pPr>
              <w:pStyle w:val="FGCTABLENORMAL"/>
              <w:rPr>
                <w:b/>
                <w:bCs/>
                <w:color w:val="000000"/>
                <w:lang w:eastAsia="zh-CN" w:bidi="th-TH"/>
              </w:rPr>
            </w:pPr>
            <w:r w:rsidRPr="00370033">
              <w:rPr>
                <w:b/>
                <w:bCs/>
              </w:rPr>
              <w:t>7.7%</w:t>
            </w:r>
          </w:p>
        </w:tc>
        <w:tc>
          <w:tcPr>
            <w:tcW w:w="538" w:type="pct"/>
            <w:tcBorders>
              <w:top w:val="single" w:sz="4" w:space="0" w:color="auto"/>
              <w:bottom w:val="single" w:sz="4" w:space="0" w:color="auto"/>
            </w:tcBorders>
            <w:shd w:val="clear" w:color="auto" w:fill="D4C5D7"/>
            <w:noWrap/>
            <w:vAlign w:val="center"/>
            <w:hideMark/>
          </w:tcPr>
          <w:p w14:paraId="1342124F" w14:textId="77777777" w:rsidR="00747F39" w:rsidRPr="00370033" w:rsidRDefault="00747F39" w:rsidP="00D2134C">
            <w:pPr>
              <w:pStyle w:val="FGCTABLENORMAL"/>
              <w:rPr>
                <w:b/>
                <w:bCs/>
                <w:color w:val="000000"/>
                <w:lang w:eastAsia="zh-CN" w:bidi="th-TH"/>
              </w:rPr>
            </w:pPr>
            <w:r w:rsidRPr="00370033">
              <w:rPr>
                <w:b/>
                <w:bCs/>
              </w:rPr>
              <w:t>2.1%</w:t>
            </w:r>
          </w:p>
        </w:tc>
        <w:tc>
          <w:tcPr>
            <w:tcW w:w="546" w:type="pct"/>
            <w:gridSpan w:val="2"/>
            <w:tcBorders>
              <w:top w:val="single" w:sz="4" w:space="0" w:color="auto"/>
              <w:bottom w:val="single" w:sz="4" w:space="0" w:color="auto"/>
            </w:tcBorders>
            <w:shd w:val="clear" w:color="auto" w:fill="D4C5D7"/>
            <w:noWrap/>
            <w:vAlign w:val="center"/>
            <w:hideMark/>
          </w:tcPr>
          <w:p w14:paraId="68C526C1" w14:textId="77777777" w:rsidR="00747F39" w:rsidRPr="00370033" w:rsidRDefault="00747F39" w:rsidP="00D2134C">
            <w:pPr>
              <w:pStyle w:val="FGCTABLENORMAL"/>
              <w:rPr>
                <w:b/>
                <w:bCs/>
                <w:color w:val="000000"/>
                <w:lang w:eastAsia="zh-CN" w:bidi="th-TH"/>
              </w:rPr>
            </w:pPr>
            <w:r w:rsidRPr="00370033">
              <w:rPr>
                <w:b/>
                <w:bCs/>
              </w:rPr>
              <w:t>6.9%</w:t>
            </w:r>
          </w:p>
        </w:tc>
        <w:tc>
          <w:tcPr>
            <w:tcW w:w="538" w:type="pct"/>
            <w:tcBorders>
              <w:top w:val="single" w:sz="4" w:space="0" w:color="auto"/>
              <w:bottom w:val="single" w:sz="4" w:space="0" w:color="auto"/>
              <w:right w:val="dashSmallGap" w:sz="4" w:space="0" w:color="BFBFBF" w:themeColor="background1" w:themeShade="BF"/>
            </w:tcBorders>
            <w:shd w:val="clear" w:color="auto" w:fill="D4C5D7"/>
            <w:noWrap/>
            <w:vAlign w:val="center"/>
            <w:hideMark/>
          </w:tcPr>
          <w:p w14:paraId="6E6CB3F2" w14:textId="77777777" w:rsidR="00747F39" w:rsidRPr="00370033" w:rsidRDefault="00747F39" w:rsidP="00D2134C">
            <w:pPr>
              <w:pStyle w:val="FGCTABLENORMAL"/>
              <w:rPr>
                <w:b/>
                <w:bCs/>
                <w:color w:val="000000"/>
                <w:lang w:eastAsia="zh-CN" w:bidi="th-TH"/>
              </w:rPr>
            </w:pPr>
            <w:r w:rsidRPr="00370033">
              <w:rPr>
                <w:b/>
                <w:bCs/>
              </w:rPr>
              <w:t>6.6%</w:t>
            </w:r>
          </w:p>
        </w:tc>
        <w:tc>
          <w:tcPr>
            <w:tcW w:w="579" w:type="pct"/>
            <w:tcBorders>
              <w:top w:val="single" w:sz="4" w:space="0" w:color="auto"/>
              <w:left w:val="dashSmallGap" w:sz="4" w:space="0" w:color="BFBFBF" w:themeColor="background1" w:themeShade="BF"/>
              <w:bottom w:val="single" w:sz="4" w:space="0" w:color="auto"/>
            </w:tcBorders>
            <w:shd w:val="clear" w:color="auto" w:fill="D4C5D7"/>
            <w:noWrap/>
            <w:vAlign w:val="center"/>
            <w:hideMark/>
          </w:tcPr>
          <w:p w14:paraId="5B403217" w14:textId="77777777" w:rsidR="00747F39" w:rsidRPr="00370033" w:rsidRDefault="00747F39" w:rsidP="00D2134C">
            <w:pPr>
              <w:pStyle w:val="FGCTABLENORMAL"/>
              <w:rPr>
                <w:b/>
                <w:bCs/>
                <w:color w:val="000000"/>
                <w:lang w:eastAsia="zh-CN" w:bidi="th-TH"/>
              </w:rPr>
            </w:pPr>
            <w:r w:rsidRPr="00370033">
              <w:rPr>
                <w:b/>
                <w:bCs/>
              </w:rPr>
              <w:t>4.8%</w:t>
            </w:r>
          </w:p>
        </w:tc>
      </w:tr>
    </w:tbl>
    <w:p w14:paraId="344B65D2" w14:textId="77777777" w:rsidR="00747F39" w:rsidRPr="00D2134C" w:rsidRDefault="00747F39" w:rsidP="00747F39">
      <w:pPr>
        <w:pStyle w:val="NoSpacing"/>
        <w:rPr>
          <w:rFonts w:eastAsiaTheme="minorHAnsi"/>
          <w:b/>
          <w:bCs/>
          <w:szCs w:val="18"/>
          <w:highlight w:val="yellow"/>
          <w:lang w:eastAsia="en-US"/>
        </w:rPr>
      </w:pPr>
    </w:p>
    <w:p w14:paraId="4B8DE95A" w14:textId="4F7AC5D8" w:rsidR="00747F39" w:rsidRPr="00D2134C" w:rsidRDefault="00747F39" w:rsidP="00EE2D88">
      <w:pPr>
        <w:pStyle w:val="Figures"/>
        <w:keepLines/>
        <w:ind w:left="652"/>
      </w:pPr>
      <w:bookmarkStart w:id="324" w:name="_Ref112410856"/>
      <w:r w:rsidRPr="00D2134C">
        <w:t>Figure</w:t>
      </w:r>
      <w:r w:rsidR="00C75CD3">
        <w:t xml:space="preserve"> 3.2.1</w:t>
      </w:r>
      <w:r w:rsidR="00E170FE">
        <w:t>H</w:t>
      </w:r>
      <w:bookmarkEnd w:id="324"/>
      <w:r w:rsidRPr="00D2134C">
        <w:t xml:space="preserve">: </w:t>
      </w:r>
      <w:r w:rsidRPr="00760744">
        <w:rPr>
          <w:b w:val="0"/>
          <w:bCs w:val="0"/>
        </w:rPr>
        <w:t>Comparison of adopted total inflation with previous review</w:t>
      </w:r>
    </w:p>
    <w:p w14:paraId="1E3E0727" w14:textId="77777777" w:rsidR="00747F39" w:rsidRPr="00D2134C" w:rsidRDefault="00747F39" w:rsidP="00217FA1">
      <w:pPr>
        <w:pStyle w:val="FGCNORMAL"/>
        <w:rPr>
          <w:highlight w:val="yellow"/>
        </w:rPr>
      </w:pPr>
      <w:r w:rsidRPr="00D2134C">
        <w:rPr>
          <w:noProof/>
          <w:highlight w:val="yellow"/>
          <w:lang w:eastAsia="en-AU"/>
        </w:rPr>
        <w:drawing>
          <wp:inline distT="0" distB="0" distL="0" distR="0" wp14:anchorId="4BCE05DE" wp14:editId="1C42E331">
            <wp:extent cx="5724000" cy="2991078"/>
            <wp:effectExtent l="0" t="0" r="0" b="0"/>
            <wp:docPr id="479" name="Picture 479" descr="&#10;2021-2022 AFSR projected that the overall inflation is 10.6% in 2022-2023, consists of 7.2% normal inflation and 3.4% additional inflation. This compares to 2020-2021 AFSR where the overall inflation is 8.1% in 2022-2023, consists of 3.2% normal inflation and 5.0% additional inflation.&#10;&#10;2021-2022 AFSR projected that the overall inflation is 5.6% in 2023-2024, consists of 2.6% normal inflation and 3.0% additional inflation. This compares to 2020-21 AFSR where the overall inflation is 6.2% in 2023-24, consists of 3.2% normal inflation and 3.0% additional inflation.&#10;&#10;2021-2022 AFSR projected that the overall inflation is 9.6% in 2024-2025, consists of 3.6% normal inflation and 6.0% additional inflation. This compares to 2020-21 AFSR where the overall inflation is 4.3% in 2024-2025, consists of 3.2% normal inflation and 1.1% additional inflation. &#10;&#10;2021-22 AFSR projected that the overall inflation is 8.6% in 2025-2026, consists of 3.6% normal inflation and 5.0% additional inflation. This compares to 2020-21 AFSR where the overall inflation is 3.4% in 2025-26, consists of 3.2% normal inflation and 0.2% additional inflation.&#10;&#10;2021-22 AFSR projected that the overall inflation is 5.3% in 2031-2032, consists of 3.3% normal inflation and 2.0% additional inflation. This compares to 2020-21 AFSR where the overall inflation is 3.3% in 2031-32, consists of 3.2% normal inflation and 0.0% additional inf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10;2021-2022 AFSR projected that the overall inflation is 10.6% in 2022-2023, consists of 7.2% normal inflation and 3.4% additional inflation. This compares to 2020-2021 AFSR where the overall inflation is 8.1% in 2022-2023, consists of 3.2% normal inflation and 5.0% additional inflation.&#10;&#10;2021-2022 AFSR projected that the overall inflation is 5.6% in 2023-2024, consists of 2.6% normal inflation and 3.0% additional inflation. This compares to 2020-21 AFSR where the overall inflation is 6.2% in 2023-24, consists of 3.2% normal inflation and 3.0% additional inflation.&#10;&#10;2021-2022 AFSR projected that the overall inflation is 9.6% in 2024-2025, consists of 3.6% normal inflation and 6.0% additional inflation. This compares to 2020-21 AFSR where the overall inflation is 4.3% in 2024-2025, consists of 3.2% normal inflation and 1.1% additional inflation. &#10;&#10;2021-22 AFSR projected that the overall inflation is 8.6% in 2025-2026, consists of 3.6% normal inflation and 5.0% additional inflation. This compares to 2020-21 AFSR where the overall inflation is 3.4% in 2025-26, consists of 3.2% normal inflation and 0.2% additional inflation.&#10;&#10;2021-22 AFSR projected that the overall inflation is 5.3% in 2031-2032, consists of 3.3% normal inflation and 2.0% additional inflation. This compares to 2020-21 AFSR where the overall inflation is 3.3% in 2031-32, consists of 3.2% normal inflation and 0.0% additional inflation.&#1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24000" cy="2991078"/>
                    </a:xfrm>
                    <a:prstGeom prst="rect">
                      <a:avLst/>
                    </a:prstGeom>
                    <a:noFill/>
                  </pic:spPr>
                </pic:pic>
              </a:graphicData>
            </a:graphic>
          </wp:inline>
        </w:drawing>
      </w:r>
    </w:p>
    <w:p w14:paraId="4CA51465" w14:textId="3404DE5D" w:rsidR="00747F39" w:rsidRPr="00D2134C" w:rsidRDefault="00747F39" w:rsidP="00217FA1">
      <w:pPr>
        <w:pStyle w:val="FGCNORMAL"/>
      </w:pPr>
      <w:r w:rsidRPr="00D2134C">
        <w:t>Overall higher normal inflation is adopted reflective of the 2022</w:t>
      </w:r>
      <w:r w:rsidR="005C506F">
        <w:t>–</w:t>
      </w:r>
      <w:r w:rsidRPr="00D2134C">
        <w:t xml:space="preserve">23 APR and higher forecasts in relation to future inflation. Higher additional inflation assumptions (in addition to normal inflation) have been set taking into consideration: </w:t>
      </w:r>
    </w:p>
    <w:p w14:paraId="740C4D7D" w14:textId="2931557C" w:rsidR="00747F39" w:rsidRPr="00D2134C" w:rsidRDefault="00A2731D" w:rsidP="0040525C">
      <w:pPr>
        <w:pStyle w:val="FGCBULLET1"/>
        <w:rPr>
          <w:lang w:eastAsia="en-AU"/>
        </w:rPr>
      </w:pPr>
      <w:r>
        <w:rPr>
          <w:lang w:eastAsia="en-AU"/>
        </w:rPr>
        <w:lastRenderedPageBreak/>
        <w:t>a</w:t>
      </w:r>
      <w:r w:rsidR="00747F39" w:rsidRPr="00D2134C">
        <w:rPr>
          <w:lang w:eastAsia="en-AU"/>
        </w:rPr>
        <w:t xml:space="preserve"> deeper analysis of additional inflation has been undertaken, identifying various sources. This indicates that additional inflation has been driven by changes in participant level of function, a broadening in the types of supports utilised by participants, and an increase in the volumes of supports utilised, particularly in relation to attendant care. This analysis shows more detail regarding the forces driving the additional inflation and provides a stronger justification for the higher additional inflation assumed.</w:t>
      </w:r>
    </w:p>
    <w:p w14:paraId="1705BCB5" w14:textId="119EDD67" w:rsidR="00747F39" w:rsidRPr="00D2134C" w:rsidRDefault="00A2731D" w:rsidP="0040525C">
      <w:pPr>
        <w:pStyle w:val="FGCBULLET1"/>
        <w:rPr>
          <w:lang w:eastAsia="en-AU"/>
        </w:rPr>
      </w:pPr>
      <w:r>
        <w:rPr>
          <w:lang w:eastAsia="en-AU"/>
        </w:rPr>
        <w:t>i</w:t>
      </w:r>
      <w:r w:rsidR="00747F39" w:rsidRPr="00D2134C">
        <w:rPr>
          <w:lang w:eastAsia="en-AU"/>
        </w:rPr>
        <w:t xml:space="preserve">n their </w:t>
      </w:r>
      <w:r w:rsidR="00747F39" w:rsidRPr="00D2134C">
        <w:rPr>
          <w:i/>
          <w:iCs/>
          <w:lang w:eastAsia="en-AU"/>
        </w:rPr>
        <w:t>Review of NDIA actuarial forecast model and drivers of Scheme costs</w:t>
      </w:r>
      <w:r w:rsidR="00747F39" w:rsidRPr="00D2134C">
        <w:rPr>
          <w:rStyle w:val="FootnoteReference"/>
          <w:i/>
          <w:iCs/>
          <w:lang w:eastAsia="en-AU"/>
        </w:rPr>
        <w:footnoteReference w:id="32"/>
      </w:r>
      <w:r w:rsidR="00747F39" w:rsidRPr="00D2134C">
        <w:rPr>
          <w:lang w:eastAsia="en-AU"/>
        </w:rPr>
        <w:t>, Taylor Fry concluded that a projection of costs which is higher than the 2020-21 AFSR model would not be unreasonable. Taylor Fry noted that the allowance for additional inflation in the 2020-21 AFSR was likely to be on the low side given the significant upside risk related to inflation facing the Scheme.</w:t>
      </w:r>
    </w:p>
    <w:p w14:paraId="52252ED0" w14:textId="7E712A2D" w:rsidR="00747F39" w:rsidRPr="00D2134C" w:rsidRDefault="00A2731D" w:rsidP="0040525C">
      <w:pPr>
        <w:pStyle w:val="FGCBULLET1"/>
        <w:rPr>
          <w:lang w:eastAsia="en-AU"/>
        </w:rPr>
      </w:pPr>
      <w:r>
        <w:rPr>
          <w:lang w:eastAsia="en-AU"/>
        </w:rPr>
        <w:t>o</w:t>
      </w:r>
      <w:r w:rsidR="00747F39" w:rsidRPr="00D2134C">
        <w:rPr>
          <w:lang w:eastAsia="en-AU"/>
        </w:rPr>
        <w:t>bserved additional inflation in payments over 2021</w:t>
      </w:r>
      <w:r w:rsidR="00140C64">
        <w:rPr>
          <w:lang w:eastAsia="en-AU"/>
        </w:rPr>
        <w:t>‒</w:t>
      </w:r>
      <w:r w:rsidR="00747F39" w:rsidRPr="00D2134C">
        <w:rPr>
          <w:lang w:eastAsia="en-AU"/>
        </w:rPr>
        <w:t>22 was 5.4%, and there is reasonable evidence that growth in payments would have been higher had it not been for both demand-side and supply-side effects arising from COVID-19. These effects have been estimated to have reduced payments by approximately, 2</w:t>
      </w:r>
      <w:r w:rsidR="005C44E6">
        <w:rPr>
          <w:lang w:eastAsia="en-AU"/>
        </w:rPr>
        <w:t>–</w:t>
      </w:r>
      <w:r w:rsidR="00747F39" w:rsidRPr="00D2134C">
        <w:rPr>
          <w:lang w:eastAsia="en-AU"/>
        </w:rPr>
        <w:t xml:space="preserve">3%, meaning the underlying additional inflation for </w:t>
      </w:r>
      <w:r w:rsidR="00140C64">
        <w:rPr>
          <w:lang w:eastAsia="en-AU"/>
        </w:rPr>
        <w:t>2021‒22</w:t>
      </w:r>
      <w:r w:rsidR="00747F39" w:rsidRPr="00D2134C">
        <w:rPr>
          <w:lang w:eastAsia="en-AU"/>
        </w:rPr>
        <w:t xml:space="preserve"> was approximately 7</w:t>
      </w:r>
      <w:r w:rsidR="005C44E6">
        <w:rPr>
          <w:lang w:eastAsia="en-AU"/>
        </w:rPr>
        <w:t>–</w:t>
      </w:r>
      <w:r w:rsidR="00747F39" w:rsidRPr="00D2134C">
        <w:rPr>
          <w:lang w:eastAsia="en-AU"/>
        </w:rPr>
        <w:t xml:space="preserve">8%, considerably higher than future assumptions at the previous review.   </w:t>
      </w:r>
    </w:p>
    <w:p w14:paraId="7781D134" w14:textId="0527D7F6" w:rsidR="00747F39" w:rsidRPr="00D2134C" w:rsidRDefault="00A2731D" w:rsidP="0040525C">
      <w:pPr>
        <w:pStyle w:val="FGCBULLET1"/>
        <w:rPr>
          <w:lang w:eastAsia="en-AU"/>
        </w:rPr>
      </w:pPr>
      <w:r>
        <w:rPr>
          <w:lang w:eastAsia="en-AU"/>
        </w:rPr>
        <w:t>c</w:t>
      </w:r>
      <w:r w:rsidR="00747F39" w:rsidRPr="00D2134C">
        <w:rPr>
          <w:lang w:eastAsia="en-AU"/>
        </w:rPr>
        <w:t>urrent plan decision</w:t>
      </w:r>
      <w:r w:rsidR="00FE5594">
        <w:rPr>
          <w:lang w:eastAsia="en-AU"/>
        </w:rPr>
        <w:t>-</w:t>
      </w:r>
      <w:r w:rsidR="00747F39" w:rsidRPr="00D2134C">
        <w:rPr>
          <w:lang w:eastAsia="en-AU"/>
        </w:rPr>
        <w:t xml:space="preserve">making resulted in increases in plans of approximately 9% over </w:t>
      </w:r>
      <w:r w:rsidR="00140C64">
        <w:rPr>
          <w:lang w:eastAsia="en-AU"/>
        </w:rPr>
        <w:t>2021‒22</w:t>
      </w:r>
      <w:r w:rsidR="00747F39" w:rsidRPr="00D2134C">
        <w:rPr>
          <w:lang w:eastAsia="en-AU"/>
        </w:rPr>
        <w:t>, with an annualised rate of 12% over the quarter to June 2022. These figures included price increases of approximately 2%, meaning that real growth in plan values w</w:t>
      </w:r>
      <w:r w:rsidR="00FE5594">
        <w:rPr>
          <w:lang w:eastAsia="en-AU"/>
        </w:rPr>
        <w:t>as</w:t>
      </w:r>
      <w:r w:rsidR="00747F39" w:rsidRPr="00D2134C">
        <w:rPr>
          <w:lang w:eastAsia="en-AU"/>
        </w:rPr>
        <w:t xml:space="preserve"> approximately 7% over the 2021</w:t>
      </w:r>
      <w:r w:rsidR="00140C64">
        <w:rPr>
          <w:lang w:eastAsia="en-AU"/>
        </w:rPr>
        <w:t>‒</w:t>
      </w:r>
      <w:r w:rsidR="00747F39" w:rsidRPr="00D2134C">
        <w:rPr>
          <w:lang w:eastAsia="en-AU"/>
        </w:rPr>
        <w:t xml:space="preserve">22 year and 10% in the quarter to June 2022, rates which are also considerably higher than future inflation assumptions at the previous review. </w:t>
      </w:r>
    </w:p>
    <w:p w14:paraId="4A43AA75" w14:textId="3550F647" w:rsidR="00747F39" w:rsidRPr="00D2134C" w:rsidRDefault="00A2731D" w:rsidP="0040525C">
      <w:pPr>
        <w:pStyle w:val="FGCBULLET1"/>
      </w:pPr>
      <w:r>
        <w:rPr>
          <w:lang w:eastAsia="en-AU"/>
        </w:rPr>
        <w:t>a</w:t>
      </w:r>
      <w:r w:rsidR="00747F39" w:rsidRPr="00D2134C">
        <w:rPr>
          <w:lang w:eastAsia="en-AU"/>
        </w:rPr>
        <w:t xml:space="preserve">ny reduction in inflation from current levels will necessarily require fewer plan increases and/or more plan reductions relative to current, and there remains considerable uncertainty about the likelihood of this in the short to medium term as there are few substantive legislative, policy or operational responses currently planned to mitigate these plan increases. </w:t>
      </w:r>
      <w:proofErr w:type="gramStart"/>
      <w:r w:rsidR="00747F39" w:rsidRPr="00D2134C">
        <w:rPr>
          <w:lang w:eastAsia="en-AU"/>
        </w:rPr>
        <w:t>Furthermore</w:t>
      </w:r>
      <w:proofErr w:type="gramEnd"/>
      <w:r w:rsidR="00747F39" w:rsidRPr="00D2134C">
        <w:rPr>
          <w:lang w:eastAsia="en-AU"/>
        </w:rPr>
        <w:t xml:space="preserve"> exploratory initiatives in identifying and assessing fraud and compliance matters impacting the Scheme have commenced. Due to these initiatives being in their preliminary stages of implementation, their impact on inflation levels was unclear at the time of assumption selections. These initiatives will continue to be closely monitored and will be appropriately factored in at future reviews as greater clarity on the estimated impact is better understood.</w:t>
      </w:r>
    </w:p>
    <w:p w14:paraId="6BE80FE2" w14:textId="77777777" w:rsidR="00FA6124" w:rsidRDefault="00FA6124" w:rsidP="00CE04C7">
      <w:pPr>
        <w:pStyle w:val="FGCHEADING4"/>
        <w:sectPr w:rsidR="00FA6124" w:rsidSect="00873C47">
          <w:pgSz w:w="11906" w:h="16838"/>
          <w:pgMar w:top="1021" w:right="907" w:bottom="1440" w:left="964" w:header="708" w:footer="737" w:gutter="0"/>
          <w:cols w:space="708"/>
          <w:titlePg/>
          <w:docGrid w:linePitch="360"/>
        </w:sectPr>
      </w:pPr>
    </w:p>
    <w:p w14:paraId="0FC5677E" w14:textId="6494A7B8" w:rsidR="00747F39" w:rsidRPr="00D2134C" w:rsidRDefault="00747F39" w:rsidP="00CE04C7">
      <w:pPr>
        <w:pStyle w:val="FGCHEADING4"/>
      </w:pPr>
      <w:r w:rsidRPr="00D2134C">
        <w:lastRenderedPageBreak/>
        <w:t xml:space="preserve">Operating </w:t>
      </w:r>
      <w:r w:rsidR="00F91DB3">
        <w:t>e</w:t>
      </w:r>
      <w:r w:rsidRPr="00D2134C">
        <w:t>xpenses</w:t>
      </w:r>
    </w:p>
    <w:p w14:paraId="231FF90F" w14:textId="35F33641" w:rsidR="00747F39" w:rsidRPr="00D2134C" w:rsidRDefault="00747F39" w:rsidP="00D95C5E">
      <w:pPr>
        <w:pStyle w:val="FGCNORMAL"/>
        <w:keepNext/>
      </w:pPr>
      <w:r w:rsidRPr="00D2134C">
        <w:t xml:space="preserve">The </w:t>
      </w:r>
      <w:r w:rsidR="007E020C">
        <w:t>NDIA</w:t>
      </w:r>
      <w:r w:rsidRPr="00D2134C">
        <w:t xml:space="preserve"> maintains a detailed activity-based costing of its operations. The operating expenses adopted in this AFSR are based on this internal model. In </w:t>
      </w:r>
      <w:r w:rsidR="00140C64">
        <w:t>2021‒22</w:t>
      </w:r>
      <w:r w:rsidRPr="00D2134C">
        <w:t xml:space="preserve"> actual operating expenses (at $1,590 million) were lower than budgeted in the Portfolio Budget Statements (PBS) by $83 million, or 4.9% </w:t>
      </w:r>
      <w:r w:rsidR="00C75CD3">
        <w:t xml:space="preserve">(Table </w:t>
      </w:r>
      <w:r w:rsidR="008A062D">
        <w:t>3.2.1</w:t>
      </w:r>
      <w:r w:rsidR="00632885">
        <w:t>I</w:t>
      </w:r>
      <w:r w:rsidR="008A062D">
        <w:t>)</w:t>
      </w:r>
      <w:r w:rsidRPr="00D2134C">
        <w:t xml:space="preserve">. In </w:t>
      </w:r>
      <w:r w:rsidR="00140C64">
        <w:t>2021‒22</w:t>
      </w:r>
      <w:r w:rsidRPr="00D2134C">
        <w:t xml:space="preserve"> operating expenses represented 5.6% of Scheme expenses for participant supports, which is lower than the 2020-21 result of 6.3% of Scheme expenses.</w:t>
      </w:r>
    </w:p>
    <w:p w14:paraId="1CA27557" w14:textId="4E75317B" w:rsidR="00747F39" w:rsidRPr="00D2134C" w:rsidRDefault="00747F39" w:rsidP="00A2731D">
      <w:pPr>
        <w:pStyle w:val="FGCNORMAL"/>
        <w:keepNext/>
      </w:pPr>
      <w:bookmarkStart w:id="325" w:name="_Ref113031354"/>
      <w:r w:rsidRPr="00FA1F8A">
        <w:rPr>
          <w:rStyle w:val="FGCEMPHASIS"/>
        </w:rPr>
        <w:t>Table</w:t>
      </w:r>
      <w:r w:rsidR="00C75CD3">
        <w:rPr>
          <w:rStyle w:val="FGCEMPHASIS"/>
        </w:rPr>
        <w:t xml:space="preserve"> 3.2.1</w:t>
      </w:r>
      <w:r w:rsidR="00F24907">
        <w:rPr>
          <w:rStyle w:val="FGCEMPHASIS"/>
        </w:rPr>
        <w:t>I</w:t>
      </w:r>
      <w:bookmarkEnd w:id="325"/>
      <w:r w:rsidRPr="00D2134C">
        <w:t xml:space="preserve">: Actual operating expenses compared to expectations for </w:t>
      </w:r>
      <w:r w:rsidR="00140C64">
        <w:t>2021‒22</w:t>
      </w:r>
    </w:p>
    <w:tbl>
      <w:tblPr>
        <w:tblStyle w:val="FSRtable"/>
        <w:tblW w:w="9214" w:type="dxa"/>
        <w:tblInd w:w="709" w:type="dxa"/>
        <w:tblLook w:val="04A0" w:firstRow="1" w:lastRow="0" w:firstColumn="1" w:lastColumn="0" w:noHBand="0" w:noVBand="1"/>
      </w:tblPr>
      <w:tblGrid>
        <w:gridCol w:w="5812"/>
        <w:gridCol w:w="3402"/>
      </w:tblGrid>
      <w:tr w:rsidR="00747F39" w:rsidRPr="00D2134C" w14:paraId="593D7F86" w14:textId="77777777" w:rsidTr="00EE2D88">
        <w:trPr>
          <w:cnfStyle w:val="100000000000" w:firstRow="1" w:lastRow="0" w:firstColumn="0" w:lastColumn="0" w:oddVBand="0" w:evenVBand="0" w:oddHBand="0" w:evenHBand="0" w:firstRowFirstColumn="0" w:firstRowLastColumn="0" w:lastRowFirstColumn="0" w:lastRowLastColumn="0"/>
          <w:trHeight w:val="414"/>
          <w:tblHeader/>
        </w:trPr>
        <w:tc>
          <w:tcPr>
            <w:cnfStyle w:val="001000000000" w:firstRow="0" w:lastRow="0" w:firstColumn="1" w:lastColumn="0" w:oddVBand="0" w:evenVBand="0" w:oddHBand="0" w:evenHBand="0" w:firstRowFirstColumn="0" w:firstRowLastColumn="0" w:lastRowFirstColumn="0" w:lastRowLastColumn="0"/>
            <w:tcW w:w="5812" w:type="dxa"/>
            <w:noWrap/>
            <w:hideMark/>
          </w:tcPr>
          <w:p w14:paraId="1F7C499F" w14:textId="00F81BAC" w:rsidR="00747F39" w:rsidRPr="00D2134C" w:rsidRDefault="00747F39" w:rsidP="001B14B9">
            <w:pPr>
              <w:pStyle w:val="FGCTABLENORMAL"/>
              <w:rPr>
                <w:b w:val="0"/>
                <w:lang w:eastAsia="en-AU"/>
              </w:rPr>
            </w:pPr>
            <w:r w:rsidRPr="00D2134C">
              <w:rPr>
                <w:lang w:eastAsia="en-AU"/>
              </w:rPr>
              <w:t xml:space="preserve">Operating expenses </w:t>
            </w:r>
            <w:r w:rsidR="000E42EE">
              <w:rPr>
                <w:lang w:eastAsia="en-AU"/>
              </w:rPr>
              <w:t>–</w:t>
            </w:r>
            <w:r w:rsidRPr="00D2134C">
              <w:rPr>
                <w:lang w:eastAsia="en-AU"/>
              </w:rPr>
              <w:t xml:space="preserve"> full year to 30 June 2022</w:t>
            </w:r>
          </w:p>
        </w:tc>
        <w:tc>
          <w:tcPr>
            <w:tcW w:w="3402" w:type="dxa"/>
            <w:noWrap/>
            <w:hideMark/>
          </w:tcPr>
          <w:p w14:paraId="7E212962" w14:textId="77777777" w:rsidR="00747F39" w:rsidRPr="00D2134C" w:rsidRDefault="00747F39" w:rsidP="001B14B9">
            <w:pPr>
              <w:pStyle w:val="FGCTABLENORMAL"/>
              <w:cnfStyle w:val="100000000000" w:firstRow="1" w:lastRow="0" w:firstColumn="0" w:lastColumn="0" w:oddVBand="0" w:evenVBand="0" w:oddHBand="0" w:evenHBand="0" w:firstRowFirstColumn="0" w:firstRowLastColumn="0" w:lastRowFirstColumn="0" w:lastRowLastColumn="0"/>
              <w:rPr>
                <w:b w:val="0"/>
                <w:lang w:eastAsia="en-AU"/>
              </w:rPr>
            </w:pPr>
            <w:r w:rsidRPr="00D2134C">
              <w:rPr>
                <w:lang w:eastAsia="en-AU"/>
              </w:rPr>
              <w:t>$m</w:t>
            </w:r>
          </w:p>
        </w:tc>
      </w:tr>
      <w:tr w:rsidR="00747F39" w:rsidRPr="00D2134C" w14:paraId="440983EE" w14:textId="77777777" w:rsidTr="00EE2D88">
        <w:trPr>
          <w:trHeight w:val="297"/>
        </w:trPr>
        <w:tc>
          <w:tcPr>
            <w:cnfStyle w:val="001000000000" w:firstRow="0" w:lastRow="0" w:firstColumn="1" w:lastColumn="0" w:oddVBand="0" w:evenVBand="0" w:oddHBand="0" w:evenHBand="0" w:firstRowFirstColumn="0" w:firstRowLastColumn="0" w:lastRowFirstColumn="0" w:lastRowLastColumn="0"/>
            <w:tcW w:w="5812" w:type="dxa"/>
            <w:noWrap/>
            <w:hideMark/>
          </w:tcPr>
          <w:p w14:paraId="27521950" w14:textId="77777777" w:rsidR="00747F39" w:rsidRPr="00D2134C" w:rsidRDefault="00747F39" w:rsidP="001B14B9">
            <w:pPr>
              <w:pStyle w:val="FGCTABLENORMAL"/>
              <w:rPr>
                <w:color w:val="000000"/>
                <w:lang w:eastAsia="en-AU"/>
              </w:rPr>
            </w:pPr>
            <w:r w:rsidRPr="00D2134C">
              <w:rPr>
                <w:color w:val="000000"/>
                <w:lang w:eastAsia="en-AU"/>
              </w:rPr>
              <w:t>Actual</w:t>
            </w:r>
          </w:p>
        </w:tc>
        <w:tc>
          <w:tcPr>
            <w:tcW w:w="3402" w:type="dxa"/>
            <w:noWrap/>
            <w:hideMark/>
          </w:tcPr>
          <w:p w14:paraId="13A1DF8B" w14:textId="77777777" w:rsidR="00747F39" w:rsidRPr="00D2134C" w:rsidRDefault="00747F39" w:rsidP="001B14B9">
            <w:pPr>
              <w:pStyle w:val="FGCTABLENORMAL"/>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rPr>
                <w:color w:val="000000"/>
                <w:lang w:eastAsia="en-AU"/>
              </w:rPr>
              <w:t>1,590</w:t>
            </w:r>
          </w:p>
        </w:tc>
      </w:tr>
      <w:tr w:rsidR="00747F39" w:rsidRPr="00D2134C" w14:paraId="20250768" w14:textId="77777777" w:rsidTr="00EE2D88">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812" w:type="dxa"/>
            <w:tcBorders>
              <w:bottom w:val="nil"/>
            </w:tcBorders>
            <w:noWrap/>
            <w:hideMark/>
          </w:tcPr>
          <w:p w14:paraId="3C171049" w14:textId="494A3CBF" w:rsidR="00747F39" w:rsidRPr="00D2134C" w:rsidRDefault="00747F39" w:rsidP="001B14B9">
            <w:pPr>
              <w:pStyle w:val="FGCTABLENORMAL"/>
              <w:rPr>
                <w:color w:val="000000"/>
                <w:lang w:eastAsia="en-AU"/>
              </w:rPr>
            </w:pPr>
            <w:r w:rsidRPr="00D2134C">
              <w:rPr>
                <w:color w:val="000000"/>
                <w:lang w:eastAsia="en-AU"/>
              </w:rPr>
              <w:t>Budget (from 2022</w:t>
            </w:r>
            <w:r w:rsidR="00F91DB3">
              <w:rPr>
                <w:color w:val="000000"/>
                <w:lang w:eastAsia="en-AU"/>
              </w:rPr>
              <w:t>–</w:t>
            </w:r>
            <w:r w:rsidRPr="00D2134C">
              <w:rPr>
                <w:color w:val="000000"/>
                <w:lang w:eastAsia="en-AU"/>
              </w:rPr>
              <w:t>23 PBS)</w:t>
            </w:r>
          </w:p>
        </w:tc>
        <w:tc>
          <w:tcPr>
            <w:tcW w:w="3402" w:type="dxa"/>
            <w:tcBorders>
              <w:bottom w:val="nil"/>
            </w:tcBorders>
            <w:noWrap/>
            <w:hideMark/>
          </w:tcPr>
          <w:p w14:paraId="5BD89DA7" w14:textId="77777777" w:rsidR="00747F39" w:rsidRPr="00D2134C" w:rsidRDefault="00747F39" w:rsidP="001B14B9">
            <w:pPr>
              <w:pStyle w:val="FGCTABLENORMAL"/>
              <w:cnfStyle w:val="000000010000" w:firstRow="0" w:lastRow="0" w:firstColumn="0" w:lastColumn="0" w:oddVBand="0" w:evenVBand="0" w:oddHBand="0" w:evenHBand="1" w:firstRowFirstColumn="0" w:firstRowLastColumn="0" w:lastRowFirstColumn="0" w:lastRowLastColumn="0"/>
              <w:rPr>
                <w:color w:val="000000"/>
                <w:lang w:eastAsia="en-AU"/>
              </w:rPr>
            </w:pPr>
            <w:r w:rsidRPr="00D2134C">
              <w:rPr>
                <w:color w:val="000000"/>
                <w:lang w:eastAsia="en-AU"/>
              </w:rPr>
              <w:t>1,672</w:t>
            </w:r>
          </w:p>
        </w:tc>
      </w:tr>
      <w:tr w:rsidR="00747F39" w:rsidRPr="00D2134C" w14:paraId="7F6A5C0A" w14:textId="77777777" w:rsidTr="00EE2D88">
        <w:trPr>
          <w:trHeight w:val="297"/>
        </w:trPr>
        <w:tc>
          <w:tcPr>
            <w:cnfStyle w:val="001000000000" w:firstRow="0" w:lastRow="0" w:firstColumn="1" w:lastColumn="0" w:oddVBand="0" w:evenVBand="0" w:oddHBand="0" w:evenHBand="0" w:firstRowFirstColumn="0" w:firstRowLastColumn="0" w:lastRowFirstColumn="0" w:lastRowLastColumn="0"/>
            <w:tcW w:w="5812" w:type="dxa"/>
            <w:tcBorders>
              <w:top w:val="nil"/>
              <w:bottom w:val="single" w:sz="4" w:space="0" w:color="auto"/>
            </w:tcBorders>
            <w:noWrap/>
            <w:hideMark/>
          </w:tcPr>
          <w:p w14:paraId="4799DE4C" w14:textId="40094C1F" w:rsidR="00747F39" w:rsidRPr="00D2134C" w:rsidRDefault="00747F39" w:rsidP="001B14B9">
            <w:pPr>
              <w:pStyle w:val="FGCTABLENORMAL"/>
              <w:rPr>
                <w:color w:val="000000"/>
                <w:lang w:eastAsia="en-AU"/>
              </w:rPr>
            </w:pPr>
            <w:r w:rsidRPr="00D2134C">
              <w:rPr>
                <w:color w:val="000000"/>
                <w:lang w:eastAsia="en-AU"/>
              </w:rPr>
              <w:t xml:space="preserve">Difference (Actual </w:t>
            </w:r>
            <w:r w:rsidR="00594393">
              <w:rPr>
                <w:color w:val="000000"/>
                <w:lang w:eastAsia="en-AU"/>
              </w:rPr>
              <w:t>–</w:t>
            </w:r>
            <w:r w:rsidRPr="00D2134C">
              <w:rPr>
                <w:color w:val="000000"/>
                <w:lang w:eastAsia="en-AU"/>
              </w:rPr>
              <w:t xml:space="preserve"> Budget)</w:t>
            </w:r>
          </w:p>
        </w:tc>
        <w:tc>
          <w:tcPr>
            <w:tcW w:w="3402" w:type="dxa"/>
            <w:tcBorders>
              <w:top w:val="nil"/>
              <w:bottom w:val="single" w:sz="4" w:space="0" w:color="auto"/>
            </w:tcBorders>
            <w:noWrap/>
            <w:hideMark/>
          </w:tcPr>
          <w:p w14:paraId="74F1E851" w14:textId="77777777" w:rsidR="00747F39" w:rsidRPr="00D2134C" w:rsidRDefault="00747F39" w:rsidP="001B14B9">
            <w:pPr>
              <w:pStyle w:val="FGCTABLENORMAL"/>
              <w:cnfStyle w:val="000000000000" w:firstRow="0" w:lastRow="0" w:firstColumn="0" w:lastColumn="0" w:oddVBand="0" w:evenVBand="0" w:oddHBand="0" w:evenHBand="0" w:firstRowFirstColumn="0" w:firstRowLastColumn="0" w:lastRowFirstColumn="0" w:lastRowLastColumn="0"/>
              <w:rPr>
                <w:color w:val="000000"/>
                <w:lang w:eastAsia="en-AU"/>
              </w:rPr>
            </w:pPr>
            <w:r w:rsidRPr="00D2134C">
              <w:rPr>
                <w:color w:val="000000"/>
                <w:lang w:eastAsia="en-AU"/>
              </w:rPr>
              <w:t>-83</w:t>
            </w:r>
          </w:p>
        </w:tc>
      </w:tr>
    </w:tbl>
    <w:p w14:paraId="2E59EC23" w14:textId="32C101A9" w:rsidR="00747F39" w:rsidRPr="00D2134C" w:rsidRDefault="00747F39" w:rsidP="00217FA1">
      <w:pPr>
        <w:pStyle w:val="FGCNORMAL"/>
        <w:rPr>
          <w:rFonts w:eastAsiaTheme="minorHAnsi"/>
          <w:szCs w:val="18"/>
          <w:lang w:eastAsia="en-US"/>
        </w:rPr>
      </w:pPr>
      <w:r w:rsidRPr="00D2134C">
        <w:t>Operating expenses, as a percentage of Scheme expenses, are projected to reduce over time, as the relative cost of bringing new participants into the Scheme is expected to reduce, and because the average payment per participant is expected to increase at a faster rate than the inflation rate assumed to underpin the Scheme’s operating expenses. Operating expenses are forecast to be 5.2% of Scheme expenses for participant supports in 2022</w:t>
      </w:r>
      <w:r w:rsidR="00594393">
        <w:t>–</w:t>
      </w:r>
      <w:r w:rsidRPr="00D2134C">
        <w:t>23, reducing to 4.2% in 2025</w:t>
      </w:r>
      <w:r w:rsidR="00594393">
        <w:t>–</w:t>
      </w:r>
      <w:r w:rsidRPr="00D2134C">
        <w:t>26, and 3.4% in 2029</w:t>
      </w:r>
      <w:r w:rsidR="00594393">
        <w:t>–</w:t>
      </w:r>
      <w:r w:rsidRPr="00D2134C">
        <w:t>30.</w:t>
      </w:r>
    </w:p>
    <w:p w14:paraId="4AC4C1F9" w14:textId="3714668D" w:rsidR="00747F39" w:rsidRPr="00D2134C" w:rsidRDefault="00747F39" w:rsidP="00217FA1">
      <w:pPr>
        <w:pStyle w:val="FGCNORMAL"/>
      </w:pPr>
      <w:r w:rsidRPr="00D2134C">
        <w:t>The forecast operating expenses of $1,780 million in 2022</w:t>
      </w:r>
      <w:r w:rsidR="00594393">
        <w:t>–</w:t>
      </w:r>
      <w:r w:rsidRPr="00D2134C">
        <w:t xml:space="preserve">23 </w:t>
      </w:r>
      <w:proofErr w:type="gramStart"/>
      <w:r w:rsidRPr="00D2134C">
        <w:t>are</w:t>
      </w:r>
      <w:proofErr w:type="gramEnd"/>
      <w:r w:rsidRPr="00D2134C">
        <w:t xml:space="preserve"> approximately $190 million (or 12%) higher than actual operating expenses in </w:t>
      </w:r>
      <w:r w:rsidR="00140C64">
        <w:t>2021‒22</w:t>
      </w:r>
      <w:r w:rsidRPr="00D2134C">
        <w:t xml:space="preserve"> (and $107 million higher than the amount allowed for in </w:t>
      </w:r>
      <w:r w:rsidR="00140C64">
        <w:t>2021‒22</w:t>
      </w:r>
      <w:r w:rsidRPr="00D2134C">
        <w:t xml:space="preserve"> in the 2022-23 PBS). However, this variance is regarded as relatively small in the context of the sustainability risks relating to Scheme expenses which are identified in this report, and the recommended operating expense range in the 2017 Productivity Commission study report, of 7 to 10% of Scheme expenses</w:t>
      </w:r>
      <w:r w:rsidRPr="00D2134C">
        <w:rPr>
          <w:rStyle w:val="FootnoteReference"/>
        </w:rPr>
        <w:footnoteReference w:id="33"/>
      </w:r>
      <w:r w:rsidRPr="00D2134C">
        <w:t xml:space="preserve">. In adopting an estimate which is considerably higher than both the actual and budgeted expenses in </w:t>
      </w:r>
      <w:r w:rsidR="00140C64">
        <w:t>2021‒22</w:t>
      </w:r>
      <w:r w:rsidRPr="00D2134C">
        <w:t>, it is noted that significant investments are required, to develop stronger noncompliance payment controls and fraud mitigation measures, as well as to achieve a continued focus on improvement in participant experience (as prescribed by the Participant Service Guarantee (PSG) which was legislated in 2022). This investment needs to take the form of frontline capability and capacity, as well as strategic investments in broader organisation capabilities</w:t>
      </w:r>
      <w:r w:rsidR="00674C0E">
        <w:t>.</w:t>
      </w:r>
    </w:p>
    <w:p w14:paraId="79523D54" w14:textId="77777777" w:rsidR="00747F39" w:rsidRPr="00D2134C" w:rsidRDefault="00747F39" w:rsidP="00CE04C7">
      <w:pPr>
        <w:pStyle w:val="FGCHEADING4"/>
      </w:pPr>
      <w:r w:rsidRPr="00D2134C">
        <w:t>Scenario analysis and uncertainty</w:t>
      </w:r>
    </w:p>
    <w:p w14:paraId="6307B17B" w14:textId="6718BDB8" w:rsidR="00747F39" w:rsidRPr="00D2134C" w:rsidRDefault="00747F39" w:rsidP="00217FA1">
      <w:pPr>
        <w:pStyle w:val="FGCNORMAL"/>
        <w:rPr>
          <w:rFonts w:eastAsia="Times New Roman"/>
          <w:b/>
          <w:bCs/>
          <w:color w:val="FFFFFF"/>
          <w:sz w:val="16"/>
          <w:szCs w:val="16"/>
          <w:lang w:eastAsia="zh-CN" w:bidi="th-TH"/>
        </w:rPr>
      </w:pPr>
      <w:r w:rsidRPr="00D2134C">
        <w:t xml:space="preserve">The projections presented in this report represent the </w:t>
      </w:r>
      <w:r w:rsidR="00CD58BB">
        <w:t>‘</w:t>
      </w:r>
      <w:r w:rsidRPr="00D2134C">
        <w:t>baseline</w:t>
      </w:r>
      <w:r w:rsidR="00CD58BB">
        <w:t>’</w:t>
      </w:r>
      <w:r w:rsidRPr="00D2134C">
        <w:t xml:space="preserve"> estimate of Scheme population and expenses. There is considerable uncertainty in relation to these projections, and the actual expense may vary from the baseline projections, possibly significantly.</w:t>
      </w:r>
      <w:r w:rsidRPr="00D2134C">
        <w:rPr>
          <w:rFonts w:eastAsia="Times New Roman"/>
          <w:b/>
          <w:bCs/>
          <w:color w:val="FFFFFF"/>
          <w:sz w:val="16"/>
          <w:szCs w:val="16"/>
          <w:lang w:eastAsia="zh-CN" w:bidi="th-TH"/>
        </w:rPr>
        <w:t xml:space="preserve"> </w:t>
      </w:r>
    </w:p>
    <w:p w14:paraId="3930A02A" w14:textId="0267EEEF" w:rsidR="00747F39" w:rsidRPr="00D2134C" w:rsidRDefault="00747F39" w:rsidP="00217FA1">
      <w:pPr>
        <w:pStyle w:val="FGCNORMAL"/>
        <w:rPr>
          <w:lang w:eastAsia="en-AU"/>
        </w:rPr>
      </w:pPr>
      <w:r w:rsidRPr="00D2134C">
        <w:t>In the 2020</w:t>
      </w:r>
      <w:r w:rsidR="005C631E">
        <w:t>‒</w:t>
      </w:r>
      <w:r w:rsidRPr="00D2134C">
        <w:t>21 AFSR, a set of combined scenarios were used to illustrate a plausible range of projected Scheme expenses. Since the previous review, a stochastic model of the AFSR projections has been developed which provides a more rigorous approach to measuring the level of uncertainty in the projected Scheme expenses.</w:t>
      </w:r>
      <w:r w:rsidRPr="00D2134C">
        <w:rPr>
          <w:lang w:eastAsia="en-AU"/>
        </w:rPr>
        <w:t xml:space="preserve"> The stochastic simulation results in the projected Scheme expenses are shown in </w:t>
      </w:r>
      <w:r w:rsidR="008A062D">
        <w:rPr>
          <w:lang w:eastAsia="en-AU"/>
        </w:rPr>
        <w:t>Figure 3.2.1</w:t>
      </w:r>
      <w:r w:rsidR="001B6EF6">
        <w:rPr>
          <w:lang w:eastAsia="en-AU"/>
        </w:rPr>
        <w:t>I.</w:t>
      </w:r>
    </w:p>
    <w:p w14:paraId="197D34FD" w14:textId="6845EDDC" w:rsidR="00747F39" w:rsidRDefault="00747F39" w:rsidP="00295C5E">
      <w:pPr>
        <w:pStyle w:val="FGCNORMAL"/>
        <w:keepNext/>
      </w:pPr>
      <w:bookmarkStart w:id="326" w:name="_Ref112411747"/>
      <w:r w:rsidRPr="00295C5E">
        <w:rPr>
          <w:rStyle w:val="FGCEMPHASIS"/>
        </w:rPr>
        <w:lastRenderedPageBreak/>
        <w:t>Figure</w:t>
      </w:r>
      <w:r w:rsidR="008A062D">
        <w:rPr>
          <w:rStyle w:val="FGCEMPHASIS"/>
        </w:rPr>
        <w:t xml:space="preserve"> 3.2.1</w:t>
      </w:r>
      <w:r w:rsidR="00DA2156">
        <w:rPr>
          <w:rStyle w:val="FGCEMPHASIS"/>
        </w:rPr>
        <w:t>I</w:t>
      </w:r>
      <w:bookmarkEnd w:id="326"/>
      <w:r w:rsidRPr="00D2134C">
        <w:t>: Projected total annualised Scheme expenses ($m) with uncertainty bands</w:t>
      </w:r>
    </w:p>
    <w:p w14:paraId="73669D8E" w14:textId="77777777" w:rsidR="00747F39" w:rsidRPr="00D2134C" w:rsidRDefault="00747F39" w:rsidP="00EE2D88">
      <w:pPr>
        <w:pStyle w:val="Figures"/>
        <w:ind w:left="652"/>
      </w:pPr>
      <w:r w:rsidRPr="00D2134C">
        <w:rPr>
          <w:noProof/>
          <w:lang w:eastAsia="en-AU"/>
        </w:rPr>
        <w:drawing>
          <wp:inline distT="0" distB="0" distL="0" distR="0" wp14:anchorId="2D069D3D" wp14:editId="5C22182F">
            <wp:extent cx="6368165" cy="3949065"/>
            <wp:effectExtent l="0" t="0" r="0" b="0"/>
            <wp:docPr id="55" name="Picture 55" descr="&#10;Projected total annualised payments in million dollars at 5% to 95% certainty at 5% increments over each year ending 30 June 2023 to 30 June 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10;Projected total annualised payments in million dollars at 5% to 95% certainty at 5% increments over each year ending 30 June 2023 to 30 June 2032."/>
                    <pic:cNvPicPr>
                      <a:picLocks noChangeAspect="1" noChangeArrowheads="1"/>
                    </pic:cNvPicPr>
                  </pic:nvPicPr>
                  <pic:blipFill rotWithShape="1">
                    <a:blip r:embed="rId84">
                      <a:extLst>
                        <a:ext uri="{28A0092B-C50C-407E-A947-70E740481C1C}">
                          <a14:useLocalDpi xmlns:a14="http://schemas.microsoft.com/office/drawing/2010/main" val="0"/>
                        </a:ext>
                      </a:extLst>
                    </a:blip>
                    <a:srcRect l="3842"/>
                    <a:stretch/>
                  </pic:blipFill>
                  <pic:spPr bwMode="auto">
                    <a:xfrm>
                      <a:off x="0" y="0"/>
                      <a:ext cx="6386758" cy="3960595"/>
                    </a:xfrm>
                    <a:prstGeom prst="rect">
                      <a:avLst/>
                    </a:prstGeom>
                    <a:noFill/>
                    <a:ln>
                      <a:noFill/>
                    </a:ln>
                    <a:extLst>
                      <a:ext uri="{53640926-AAD7-44D8-BBD7-CCE9431645EC}">
                        <a14:shadowObscured xmlns:a14="http://schemas.microsoft.com/office/drawing/2010/main"/>
                      </a:ext>
                    </a:extLst>
                  </pic:spPr>
                </pic:pic>
              </a:graphicData>
            </a:graphic>
          </wp:inline>
        </w:drawing>
      </w:r>
    </w:p>
    <w:p w14:paraId="42B75403" w14:textId="77777777" w:rsidR="00747F39" w:rsidRPr="00170005" w:rsidRDefault="00747F39" w:rsidP="00170005">
      <w:pPr>
        <w:pStyle w:val="FGCNORMAL"/>
        <w:rPr>
          <w:rStyle w:val="normaltextrun"/>
        </w:rPr>
      </w:pPr>
      <w:r w:rsidRPr="00170005">
        <w:rPr>
          <w:rStyle w:val="normaltextrun"/>
        </w:rPr>
        <w:t xml:space="preserve">The 90% confidence interval for the range of expected outcomes for projected Scheme expense is: </w:t>
      </w:r>
    </w:p>
    <w:p w14:paraId="0E1EC1A6" w14:textId="0AC0F304" w:rsidR="00747F39" w:rsidRPr="00295C5E" w:rsidRDefault="00747F39" w:rsidP="00A9630D">
      <w:pPr>
        <w:pStyle w:val="FGCBULLET1"/>
      </w:pPr>
      <w:r w:rsidRPr="00A9630D">
        <w:rPr>
          <w:rStyle w:val="normaltextrun"/>
        </w:rPr>
        <w:t>$31.8 billion to $37.4 billion for the year ending 30 June 2023, a range of $5.6 billion (1</w:t>
      </w:r>
      <w:r w:rsidR="005F2E46">
        <w:rPr>
          <w:rStyle w:val="normaltextrun"/>
        </w:rPr>
        <w:t>6</w:t>
      </w:r>
      <w:r w:rsidRPr="00A9630D">
        <w:rPr>
          <w:rStyle w:val="normaltextrun"/>
        </w:rPr>
        <w:t>% of the baseline estimate)</w:t>
      </w:r>
    </w:p>
    <w:p w14:paraId="4CF7A684" w14:textId="21E393EB" w:rsidR="00747F39" w:rsidRPr="00295C5E" w:rsidRDefault="00747F39" w:rsidP="00A9630D">
      <w:pPr>
        <w:pStyle w:val="FGCBULLET1"/>
      </w:pPr>
      <w:r w:rsidRPr="00A9630D">
        <w:rPr>
          <w:rStyle w:val="normaltextrun"/>
        </w:rPr>
        <w:t xml:space="preserve">$154.8 billion to $192.7 billion for the </w:t>
      </w:r>
      <w:r w:rsidR="00BA70F6">
        <w:rPr>
          <w:rStyle w:val="normaltextrun"/>
        </w:rPr>
        <w:t>4</w:t>
      </w:r>
      <w:r w:rsidRPr="00A9630D">
        <w:rPr>
          <w:rStyle w:val="normaltextrun"/>
        </w:rPr>
        <w:t xml:space="preserve"> years to 30 June 2026, a range of $37.9 billion (23% of the baseline estimate)</w:t>
      </w:r>
    </w:p>
    <w:p w14:paraId="53BBEC0B" w14:textId="77777777" w:rsidR="00747F39" w:rsidRPr="00295C5E" w:rsidRDefault="00747F39" w:rsidP="00A9630D">
      <w:pPr>
        <w:pStyle w:val="FGCBULLET1"/>
      </w:pPr>
      <w:r w:rsidRPr="00A9630D">
        <w:rPr>
          <w:rStyle w:val="normaltextrun"/>
        </w:rPr>
        <w:t>$73.0 billion to $116.78 billion for the year ending 30 June 2032, a range of $43.8 billion (49% of the baseline estimate).</w:t>
      </w:r>
      <w:r w:rsidRPr="00A9630D">
        <w:rPr>
          <w:rStyle w:val="eop"/>
        </w:rPr>
        <w:t> </w:t>
      </w:r>
    </w:p>
    <w:p w14:paraId="6B5B56E2" w14:textId="77777777" w:rsidR="00747F39" w:rsidRPr="00D2134C" w:rsidRDefault="00747F39" w:rsidP="00217FA1">
      <w:pPr>
        <w:pStyle w:val="FGCNORMAL"/>
      </w:pPr>
      <w:r w:rsidRPr="00D2134C">
        <w:t>For any given level of confidence, the range of expected outcomes widens with the duration of the projection, reflecting the increased uncertainty of assumptions and future experience in the longer term.</w:t>
      </w:r>
    </w:p>
    <w:p w14:paraId="2A2103BB" w14:textId="77777777" w:rsidR="00747F39" w:rsidRPr="00D2134C" w:rsidRDefault="00747F39" w:rsidP="00217FA1">
      <w:pPr>
        <w:pStyle w:val="FGCNORMAL"/>
      </w:pPr>
      <w:r w:rsidRPr="00D2134C">
        <w:t>The key risks determined as part of the risk analysis were additional inflation, model specification risk</w:t>
      </w:r>
      <w:r w:rsidRPr="00D2134C">
        <w:rPr>
          <w:rStyle w:val="FootnoteReference"/>
        </w:rPr>
        <w:footnoteReference w:id="34"/>
      </w:r>
      <w:r w:rsidRPr="00D2134C">
        <w:t>, normal inflation, the numbers of new entrants to the Scheme and projected plan utilisation.</w:t>
      </w:r>
    </w:p>
    <w:p w14:paraId="00048E70" w14:textId="77777777" w:rsidR="004206B9" w:rsidRDefault="004206B9" w:rsidP="00CE04C7">
      <w:pPr>
        <w:pStyle w:val="FGCHEADING4"/>
        <w:sectPr w:rsidR="004206B9" w:rsidSect="00873C47">
          <w:pgSz w:w="11906" w:h="16838"/>
          <w:pgMar w:top="1021" w:right="907" w:bottom="1440" w:left="964" w:header="708" w:footer="737" w:gutter="0"/>
          <w:cols w:space="708"/>
          <w:titlePg/>
          <w:docGrid w:linePitch="360"/>
        </w:sectPr>
      </w:pPr>
    </w:p>
    <w:p w14:paraId="4F98D880" w14:textId="77777777" w:rsidR="00747F39" w:rsidRPr="00D2134C" w:rsidRDefault="00747F39" w:rsidP="00CE04C7">
      <w:pPr>
        <w:pStyle w:val="FGCHEADING4"/>
      </w:pPr>
      <w:r w:rsidRPr="00D2134C">
        <w:lastRenderedPageBreak/>
        <w:t>Outcomes</w:t>
      </w:r>
    </w:p>
    <w:p w14:paraId="35B68FDA" w14:textId="32AE5392" w:rsidR="00747F39" w:rsidRPr="00D2134C" w:rsidRDefault="00747F39" w:rsidP="00217FA1">
      <w:pPr>
        <w:pStyle w:val="FGCNORMAL"/>
      </w:pPr>
      <w:r w:rsidRPr="00D2134C">
        <w:t xml:space="preserve">A holistic assessment of Scheme financial sustainability requires consideration of both the costs of participant funding and the associated benefit the funding provides for participants in enabling them to </w:t>
      </w:r>
      <w:r w:rsidR="006963B0">
        <w:t>pursue</w:t>
      </w:r>
      <w:r w:rsidR="006963B0" w:rsidRPr="00D2134C">
        <w:t xml:space="preserve"> </w:t>
      </w:r>
      <w:r w:rsidRPr="00D2134C">
        <w:t xml:space="preserve">the desired goals and outcomes. </w:t>
      </w:r>
    </w:p>
    <w:p w14:paraId="37B96082" w14:textId="713C9180" w:rsidR="00747F39" w:rsidRPr="00D2134C" w:rsidRDefault="00747F39" w:rsidP="00217FA1">
      <w:pPr>
        <w:pStyle w:val="FGCNORMAL"/>
      </w:pPr>
      <w:r w:rsidRPr="00D2134C">
        <w:t>In the NDI</w:t>
      </w:r>
      <w:r w:rsidR="00B37BE3">
        <w:t>A</w:t>
      </w:r>
      <w:r w:rsidRPr="00D2134C">
        <w:t xml:space="preserve"> Corporate Plan 2021</w:t>
      </w:r>
      <w:r w:rsidR="00F763F8">
        <w:t>‒</w:t>
      </w:r>
      <w:r w:rsidRPr="00D2134C">
        <w:t>25</w:t>
      </w:r>
      <w:r w:rsidRPr="00D2134C">
        <w:rPr>
          <w:vertAlign w:val="superscript"/>
        </w:rPr>
        <w:footnoteReference w:id="35"/>
      </w:r>
      <w:r w:rsidRPr="00D2134C">
        <w:t xml:space="preserve">, Aspiration 1 is </w:t>
      </w:r>
      <w:r w:rsidR="00944436">
        <w:t>‘</w:t>
      </w:r>
      <w:r w:rsidRPr="00D2134C">
        <w:t xml:space="preserve">a quality experience and improved outcomes for </w:t>
      </w:r>
      <w:proofErr w:type="gramStart"/>
      <w:r w:rsidRPr="00D2134C">
        <w:t>participants</w:t>
      </w:r>
      <w:r w:rsidR="00944436">
        <w:t>’</w:t>
      </w:r>
      <w:proofErr w:type="gramEnd"/>
      <w:r w:rsidRPr="00D2134C">
        <w:t>. Aligned to Aspiration 1 are specific performance metrics, such as the proportion of participants in work and the proportion of participants involved in community and social activities. The NDIA had a target of 24</w:t>
      </w:r>
      <w:r w:rsidR="003B0127">
        <w:t>%</w:t>
      </w:r>
      <w:r w:rsidRPr="00D2134C">
        <w:t xml:space="preserve"> of working-age participants in paid employment by June 2022, with the achieved result of 23</w:t>
      </w:r>
      <w:r w:rsidR="003B0127">
        <w:t xml:space="preserve">% </w:t>
      </w:r>
      <w:r w:rsidRPr="00D2134C">
        <w:t xml:space="preserve">slightly below this target. For participants aged 15 and over, the percentage of participants actively involved in the community was 43% compared to the </w:t>
      </w:r>
      <w:r w:rsidR="00140C64">
        <w:t>2021‒22</w:t>
      </w:r>
      <w:r w:rsidRPr="00D2134C">
        <w:t xml:space="preserve"> target of 48%. </w:t>
      </w:r>
    </w:p>
    <w:p w14:paraId="5DB82B8C" w14:textId="5D02841C" w:rsidR="00747F39" w:rsidRPr="00D2134C" w:rsidRDefault="00747F39" w:rsidP="00217FA1">
      <w:pPr>
        <w:pStyle w:val="FGCNORMAL"/>
      </w:pPr>
      <w:r w:rsidRPr="00D2134C">
        <w:t xml:space="preserve">The NDIS Outcomes Framework also measures outcomes for the families and carers of participants, recognising that the outcomes for people with a disability and the people who support them are likely to be closely linked. The percentage of parents/carers of participants in a paid job is 50% compared to the </w:t>
      </w:r>
      <w:r w:rsidR="00140C64">
        <w:t>2021‒22</w:t>
      </w:r>
      <w:r w:rsidRPr="00D2134C">
        <w:t xml:space="preserve"> target of 49%. </w:t>
      </w:r>
    </w:p>
    <w:p w14:paraId="50C2437D" w14:textId="77777777" w:rsidR="00B93F18" w:rsidRDefault="00747F39" w:rsidP="00217FA1">
      <w:pPr>
        <w:pStyle w:val="FGCNORMAL"/>
        <w:sectPr w:rsidR="00B93F18" w:rsidSect="00873C47">
          <w:pgSz w:w="11906" w:h="16838"/>
          <w:pgMar w:top="1021" w:right="907" w:bottom="1440" w:left="964" w:header="708" w:footer="737" w:gutter="0"/>
          <w:cols w:space="708"/>
          <w:titlePg/>
          <w:docGrid w:linePitch="360"/>
        </w:sectPr>
      </w:pPr>
      <w:r w:rsidRPr="00D2134C">
        <w:t xml:space="preserve">On the whole, perceptions of the Scheme have been positive, with participants and their families/carers more likely to report that the Scheme had helped them in various areas of their lives the longer the participant was in the Scheme. </w:t>
      </w:r>
      <w:bookmarkStart w:id="327" w:name="_Toc111904356"/>
      <w:bookmarkStart w:id="328" w:name="_Toc111904406"/>
      <w:bookmarkStart w:id="329" w:name="_Toc111904357"/>
      <w:bookmarkStart w:id="330" w:name="_Toc111904407"/>
      <w:bookmarkStart w:id="331" w:name="_Toc111904360"/>
      <w:bookmarkStart w:id="332" w:name="_Toc111904410"/>
      <w:bookmarkStart w:id="333" w:name="_Toc111904361"/>
      <w:bookmarkStart w:id="334" w:name="_Toc111904411"/>
      <w:bookmarkStart w:id="335" w:name="_Toc111904362"/>
      <w:bookmarkStart w:id="336" w:name="_Toc111904412"/>
      <w:bookmarkStart w:id="337" w:name="_Toc111904366"/>
      <w:bookmarkStart w:id="338" w:name="_Toc111904416"/>
      <w:bookmarkStart w:id="339" w:name="_Toc74845954"/>
      <w:bookmarkStart w:id="340" w:name="_Toc74849898"/>
      <w:bookmarkStart w:id="341" w:name="_Toc74852199"/>
      <w:bookmarkStart w:id="342" w:name="_Toc74853352"/>
      <w:bookmarkStart w:id="343" w:name="_Toc74924950"/>
      <w:bookmarkStart w:id="344" w:name="_Toc74932411"/>
      <w:bookmarkStart w:id="345" w:name="_Toc75034637"/>
      <w:bookmarkStart w:id="346" w:name="_Toc75035694"/>
      <w:bookmarkStart w:id="347" w:name="_Toc75036683"/>
      <w:bookmarkStart w:id="348" w:name="_Toc74845955"/>
      <w:bookmarkStart w:id="349" w:name="_Toc74849899"/>
      <w:bookmarkStart w:id="350" w:name="_Toc74852200"/>
      <w:bookmarkStart w:id="351" w:name="_Toc74853353"/>
      <w:bookmarkStart w:id="352" w:name="_Toc74924951"/>
      <w:bookmarkStart w:id="353" w:name="_Toc74932412"/>
      <w:bookmarkStart w:id="354" w:name="_Toc75034638"/>
      <w:bookmarkStart w:id="355" w:name="_Toc75035695"/>
      <w:bookmarkStart w:id="356" w:name="_Toc75036684"/>
      <w:bookmarkStart w:id="357" w:name="_Toc74845956"/>
      <w:bookmarkStart w:id="358" w:name="_Toc74849900"/>
      <w:bookmarkStart w:id="359" w:name="_Toc74852201"/>
      <w:bookmarkStart w:id="360" w:name="_Toc74853354"/>
      <w:bookmarkStart w:id="361" w:name="_Toc74924952"/>
      <w:bookmarkStart w:id="362" w:name="_Toc74932413"/>
      <w:bookmarkStart w:id="363" w:name="_Toc75034639"/>
      <w:bookmarkStart w:id="364" w:name="_Toc75035696"/>
      <w:bookmarkStart w:id="365" w:name="_Toc75036685"/>
      <w:bookmarkStart w:id="366" w:name="_Toc74845957"/>
      <w:bookmarkStart w:id="367" w:name="_Toc74849901"/>
      <w:bookmarkStart w:id="368" w:name="_Toc74852202"/>
      <w:bookmarkStart w:id="369" w:name="_Toc74853355"/>
      <w:bookmarkStart w:id="370" w:name="_Toc74924953"/>
      <w:bookmarkStart w:id="371" w:name="_Toc74932414"/>
      <w:bookmarkStart w:id="372" w:name="_Toc75034640"/>
      <w:bookmarkStart w:id="373" w:name="_Toc75035697"/>
      <w:bookmarkStart w:id="374" w:name="_Toc75036686"/>
      <w:bookmarkStart w:id="375" w:name="_Toc74849903"/>
      <w:bookmarkStart w:id="376" w:name="_Toc74852204"/>
      <w:bookmarkStart w:id="377" w:name="_Toc74853357"/>
      <w:bookmarkStart w:id="378" w:name="_Toc74924955"/>
      <w:bookmarkStart w:id="379" w:name="_Toc74932416"/>
      <w:bookmarkStart w:id="380" w:name="_Toc75034642"/>
      <w:bookmarkStart w:id="381" w:name="_Toc75035699"/>
      <w:bookmarkStart w:id="382" w:name="_Toc75036688"/>
      <w:bookmarkStart w:id="383" w:name="_Toc75034648"/>
      <w:bookmarkStart w:id="384" w:name="_Toc75035705"/>
      <w:bookmarkStart w:id="385" w:name="_Toc75036694"/>
      <w:bookmarkStart w:id="386" w:name="_Toc47775176"/>
      <w:bookmarkStart w:id="387" w:name="_Toc47777484"/>
      <w:bookmarkStart w:id="388" w:name="_Toc47792646"/>
      <w:bookmarkStart w:id="389" w:name="_Toc47813452"/>
      <w:bookmarkStart w:id="390" w:name="_Toc47813542"/>
      <w:bookmarkStart w:id="391" w:name="_Toc47853172"/>
      <w:bookmarkStart w:id="392" w:name="_Toc47864638"/>
      <w:bookmarkStart w:id="393" w:name="_Toc47864827"/>
      <w:bookmarkStart w:id="394" w:name="_Toc47866472"/>
      <w:bookmarkStart w:id="395" w:name="_Toc47879417"/>
      <w:bookmarkStart w:id="396" w:name="_Toc47962847"/>
      <w:bookmarkStart w:id="397" w:name="_Toc47965220"/>
      <w:bookmarkStart w:id="398" w:name="_Toc47965810"/>
      <w:bookmarkStart w:id="399" w:name="_Toc47967193"/>
      <w:bookmarkStart w:id="400" w:name="_Toc48055140"/>
      <w:bookmarkStart w:id="401" w:name="_Toc48137341"/>
      <w:bookmarkStart w:id="402" w:name="_Toc48201009"/>
      <w:bookmarkStart w:id="403" w:name="_Toc48201103"/>
      <w:bookmarkStart w:id="404" w:name="_Toc48201869"/>
      <w:bookmarkStart w:id="405" w:name="_Toc48216238"/>
      <w:bookmarkStart w:id="406" w:name="_Toc48219061"/>
      <w:bookmarkStart w:id="407" w:name="_Toc48220179"/>
      <w:bookmarkStart w:id="408" w:name="_Toc48220289"/>
      <w:bookmarkStart w:id="409" w:name="_Appendix_D:_Utilisation"/>
      <w:bookmarkStart w:id="410" w:name="_Appendix_E:_State/Territory"/>
      <w:bookmarkStart w:id="411" w:name="_Appendix_E:_Historical"/>
      <w:bookmarkEnd w:id="309"/>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7164C2B3" w14:textId="6CA05750" w:rsidR="00B93F18" w:rsidRDefault="00D15837" w:rsidP="00FE6CF8">
      <w:pPr>
        <w:pStyle w:val="FGCNORMAL"/>
        <w:ind w:left="283"/>
        <w:rPr>
          <w:noProof/>
        </w:rPr>
      </w:pPr>
      <w:r>
        <w:rPr>
          <w:noProof/>
        </w:rPr>
        <w:lastRenderedPageBreak/>
        <w:drawing>
          <wp:inline distT="0" distB="0" distL="0" distR="0" wp14:anchorId="2E6B7B8D" wp14:editId="3D5C5394">
            <wp:extent cx="6238875" cy="9025255"/>
            <wp:effectExtent l="0" t="0" r="9525" b="4445"/>
            <wp:docPr id="31" name="Picture 31" descr="15 September, 2022&#10;Mr Jim Minto&#10;Acting Chairman&#10;National Disability Insurance Agency&#10;GPO Box 700&#10;CANBERRA ACT 2601&#10;Dear Jim&#10;JUNE 2022 FINANCIAL SUSTAINABILITY REPORT&#10;I am writing as the Reviewing Actuary of the NDIS to summarise my review of the 30 June 2022 Financial Sustainability Report (FSR), prepared by the Scheme Actuary. Subsection 180E(2) of the National Disability Insurance Scheme (NDIS) Act 2013 (the Act) requires that I review each FSR and report to the Board on my findings. Subsection 180E(4) of the Act requires that I report any significant concerns about the sustainability of the NDIS to the Board as soon as is practical. This letter also provides some comments around scheme sustainability.&#10;The Financial Sustainability Report&#10;Subsection 180B(1) of the Act requires the Scheme Actuary to prepare a FSR, at least annually. The FSR provides a long-term projection of the total amount spent by participants and agency expenses for the Scheme, using assumptions that are informed by the Scheme’s actual experience. Part 3 of the NDIS Rules for the Scheme Actuary sets out requirements for the content of the FSR.&#10;I have been provided with [1] the draft FSR provided to the Sustainability Committee on 23 August; [2] the model used to derive the projection in that draft; and [3] supplementary information summarising the experience of the scheme to date. I have also raised questions about some aspects of draft results, to which the Scheme Actuary has responded and made some adjustments where that was considered appropriate. The Agency has taken the steps necessary for me to undertake this review of the “baseline” projection, in accordance with subsection 180E(3) of the NDIS Act.&#10;I have not been provided with the stochastic model presented in section 6.2 of the report. The scope of this review does not include this section.&#10;The last projection I reviewed was the 30 June 2021 projection. This review focusses on the reasonableness of the 30 June 2022 projection. Commentary on changes between projections refer to changes since the 30 June 2021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15 September, 2022&#10;Mr Jim Minto&#10;Acting Chairman&#10;National Disability Insurance Agency&#10;GPO Box 700&#10;CANBERRA ACT 2601&#10;Dear Jim&#10;JUNE 2022 FINANCIAL SUSTAINABILITY REPORT&#10;I am writing as the Reviewing Actuary of the NDIS to summarise my review of the 30 June 2022 Financial Sustainability Report (FSR), prepared by the Scheme Actuary. Subsection 180E(2) of the National Disability Insurance Scheme (NDIS) Act 2013 (the Act) requires that I review each FSR and report to the Board on my findings. Subsection 180E(4) of the Act requires that I report any significant concerns about the sustainability of the NDIS to the Board as soon as is practical. This letter also provides some comments around scheme sustainability.&#10;The Financial Sustainability Report&#10;Subsection 180B(1) of the Act requires the Scheme Actuary to prepare a FSR, at least annually. The FSR provides a long-term projection of the total amount spent by participants and agency expenses for the Scheme, using assumptions that are informed by the Scheme’s actual experience. Part 3 of the NDIS Rules for the Scheme Actuary sets out requirements for the content of the FSR.&#10;I have been provided with [1] the draft FSR provided to the Sustainability Committee on 23 August; [2] the model used to derive the projection in that draft; and [3] supplementary information summarising the experience of the scheme to date. I have also raised questions about some aspects of draft results, to which the Scheme Actuary has responded and made some adjustments where that was considered appropriate. The Agency has taken the steps necessary for me to undertake this review of the “baseline” projection, in accordance with subsection 180E(3) of the NDIS Act.&#10;I have not been provided with the stochastic model presented in section 6.2 of the report. The scope of this review does not include this section.&#10;The last projection I reviewed was the 30 June 2021 projection. This review focusses on the reasonableness of the 30 June 2022 projection. Commentary on changes between projections refer to changes since the 30 June 2021 projection."/>
                    <pic:cNvPicPr/>
                  </pic:nvPicPr>
                  <pic:blipFill rotWithShape="1">
                    <a:blip r:embed="rId85">
                      <a:extLst>
                        <a:ext uri="{28A0092B-C50C-407E-A947-70E740481C1C}">
                          <a14:useLocalDpi xmlns:a14="http://schemas.microsoft.com/office/drawing/2010/main" val="0"/>
                        </a:ext>
                      </a:extLst>
                    </a:blip>
                    <a:srcRect l="23275" t="17248" r="40476" b="4092"/>
                    <a:stretch/>
                  </pic:blipFill>
                  <pic:spPr bwMode="auto">
                    <a:xfrm>
                      <a:off x="0" y="0"/>
                      <a:ext cx="6238875" cy="9025255"/>
                    </a:xfrm>
                    <a:prstGeom prst="rect">
                      <a:avLst/>
                    </a:prstGeom>
                    <a:ln>
                      <a:noFill/>
                    </a:ln>
                    <a:extLst>
                      <a:ext uri="{53640926-AAD7-44D8-BBD7-CCE9431645EC}">
                        <a14:shadowObscured xmlns:a14="http://schemas.microsoft.com/office/drawing/2010/main"/>
                      </a:ext>
                    </a:extLst>
                  </pic:spPr>
                </pic:pic>
              </a:graphicData>
            </a:graphic>
          </wp:inline>
        </w:drawing>
      </w:r>
    </w:p>
    <w:p w14:paraId="0947386E" w14:textId="5A9F3135" w:rsidR="00B93F18" w:rsidRPr="00EE2D88" w:rsidRDefault="002E75CB" w:rsidP="00EE2D88">
      <w:pPr>
        <w:ind w:left="0"/>
      </w:pPr>
      <w:r>
        <w:rPr>
          <w:noProof/>
        </w:rPr>
        <w:lastRenderedPageBreak/>
        <w:drawing>
          <wp:inline distT="0" distB="0" distL="0" distR="0" wp14:anchorId="282FA44F" wp14:editId="778AF5AD">
            <wp:extent cx="6541038" cy="8889086"/>
            <wp:effectExtent l="0" t="0" r="0" b="7620"/>
            <wp:docPr id="41" name="Picture 41" descr="The Projection&#10;Methodology&#10;The FSR model projects the amount spent by participants by multiplying expected participant numbers by the expected average amount spent. Both the expected participant numbers and the expected average amounts are based on assumptions that are guided by scheme experience, and judgements of the actuaries involved.&#10;This is done for 2,052 cohorts of participants. The cohorts are defined by combinations of disability type, functional capacity, SIL status, age, and gender. The projected number of participants in each cohort allows for future new entrants, participants who leave, and participants who die. The projected composition of the scheme also allows for those with developmental delay to transition to the cohorts of participants with autism or to intellectual disability, should that diagnosis occur and for the proportion of participants in SIL to vary over time. The average amount spent is projected for each of 15 payment types. Average payments are based upon the experience of those who have been in the scheme for more than twelve months. For non-SIL participants, the average is reduced by 20% in the first year of participation. The reduction factor is 10% for those in SIL.&#10;In future years, the average amount spent is increased to allow for the effect of both normal economy wide wage and price inflation, and the effect of additional scheme specific inflation. As the model does not generally model transitions of individuals within the scheme over time, the effect of these changes is accounted for in the additional inflation assumption. This both increases the dependency of the results on this assumption and complicates the analysis associated with understanding the drivers of this assumption. Further analysis of this assumption has been completed this year.&#10;Comment on key population assumptions&#10;Starting population&#10;The projected population has been updated to allow for the fact that the starting population is 0.8% higher than expected in the prior FSR. In addition, new entrant assumptions and assumptions on participants leaving the Scheme have been updated with the objective of reflecting the experience of the scheme more closely.&#10;New entrants&#10;The number of new entrants in 2021-22 exceeded that which was expected in the 2021 FSR by 9%. Consequently, new entrant assumptions have been increased to reflect recent experience more closely. The change in the projected number of new entrants is illustrated in Figure 1.&#10;The projection allows for new entrants to reduce from 79,321 last year to 70,747 in 2022-23, before settling further to 64,787 in 2024-25 (around 7% above the prior FSR). New entrants then grow with broader population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 Projection&#10;Methodology&#10;The FSR model projects the amount spent by participants by multiplying expected participant numbers by the expected average amount spent. Both the expected participant numbers and the expected average amounts are based on assumptions that are guided by scheme experience, and judgements of the actuaries involved.&#10;This is done for 2,052 cohorts of participants. The cohorts are defined by combinations of disability type, functional capacity, SIL status, age, and gender. The projected number of participants in each cohort allows for future new entrants, participants who leave, and participants who die. The projected composition of the scheme also allows for those with developmental delay to transition to the cohorts of participants with autism or to intellectual disability, should that diagnosis occur and for the proportion of participants in SIL to vary over time. The average amount spent is projected for each of 15 payment types. Average payments are based upon the experience of those who have been in the scheme for more than twelve months. For non-SIL participants, the average is reduced by 20% in the first year of participation. The reduction factor is 10% for those in SIL.&#10;In future years, the average amount spent is increased to allow for the effect of both normal economy wide wage and price inflation, and the effect of additional scheme specific inflation. As the model does not generally model transitions of individuals within the scheme over time, the effect of these changes is accounted for in the additional inflation assumption. This both increases the dependency of the results on this assumption and complicates the analysis associated with understanding the drivers of this assumption. Further analysis of this assumption has been completed this year.&#10;Comment on key population assumptions&#10;Starting population&#10;The projected population has been updated to allow for the fact that the starting population is 0.8% higher than expected in the prior FSR. In addition, new entrant assumptions and assumptions on participants leaving the Scheme have been updated with the objective of reflecting the experience of the scheme more closely.&#10;New entrants&#10;The number of new entrants in 2021-22 exceeded that which was expected in the 2021 FSR by 9%. Consequently, new entrant assumptions have been increased to reflect recent experience more closely. The change in the projected number of new entrants is illustrated in Figure 1.&#10;The projection allows for new entrants to reduce from 79,321 last year to 70,747 in 2022-23, before settling further to 64,787 in 2024-25 (around 7% above the prior FSR). New entrants then grow with broader population growth."/>
                    <pic:cNvPicPr/>
                  </pic:nvPicPr>
                  <pic:blipFill rotWithShape="1">
                    <a:blip r:embed="rId86"/>
                    <a:srcRect l="22412" t="13909" r="39165" b="7768"/>
                    <a:stretch/>
                  </pic:blipFill>
                  <pic:spPr bwMode="auto">
                    <a:xfrm>
                      <a:off x="0" y="0"/>
                      <a:ext cx="6550497" cy="8901940"/>
                    </a:xfrm>
                    <a:prstGeom prst="rect">
                      <a:avLst/>
                    </a:prstGeom>
                    <a:ln>
                      <a:noFill/>
                    </a:ln>
                    <a:extLst>
                      <a:ext uri="{53640926-AAD7-44D8-BBD7-CCE9431645EC}">
                        <a14:shadowObscured xmlns:a14="http://schemas.microsoft.com/office/drawing/2010/main"/>
                      </a:ext>
                    </a:extLst>
                  </pic:spPr>
                </pic:pic>
              </a:graphicData>
            </a:graphic>
          </wp:inline>
        </w:drawing>
      </w:r>
    </w:p>
    <w:p w14:paraId="69D6AC16" w14:textId="1100153E" w:rsidR="00B93F18" w:rsidRDefault="00BB4EFB" w:rsidP="002E75CB">
      <w:pPr>
        <w:ind w:left="0"/>
      </w:pPr>
      <w:r>
        <w:rPr>
          <w:noProof/>
        </w:rPr>
        <w:lastRenderedPageBreak/>
        <w:drawing>
          <wp:inline distT="0" distB="0" distL="0" distR="0" wp14:anchorId="125837C4" wp14:editId="1E38FAB2">
            <wp:extent cx="6443003" cy="8935471"/>
            <wp:effectExtent l="0" t="0" r="0" b="0"/>
            <wp:docPr id="43" name="Picture 43" descr="The reduction in new entrants over the period to 2024-25 is attributable to the assumption that all those with previously unmet needs (12,077 new entrants across 2022-23 and 2023-24) have joined the scheme by June 2024. In addition to these remaining new entrants with previously unmet needs, this FSR assumes an ongoing rate of new entrants to the scheme with new disabilities of 308.4 per 100,000 population under age 65. There is uncertainty regarding the level at which the rate of new entrants will mature.&#10;Figure 1: Actual &amp; projected total number of new entrants.&#10;A line graph showing the actual number of new entrants from 2018 to 2022 and also the projected total number of new entrants from 2022 to 2031.&#10;&#10;Whilst the total number of new entrants is important, the distribution of new entrants (by age and disability type) is also important as different new entrants have different plans and will spend those plans differently. Attachment A provides further detail on the assumed distribution of new entrants. This highlights the uncertainty in future new entrant rates at the cohort level, particularly for those with developmental delay and some age groups with Autism. For these cohorts, recent experience has yet to show signs of new entrant numbers tapering towards a longer-term stable rate. This contributes to the uncertainty in the projection.&#10;Leaving the scheme&#10;The projection incorporates assumptions regarding the proportion of participants that will leave the scheme to live independently. Attachment B compares recent experience to that which has been projected.&#10;The Scheme Actuary has examined those that have left the scheme between October 2020 and September 20211 to inform updated assumptions in this FSR. Reflecting the limited credibility of this short period, the selected long-term assumptions are a blend of the long-term assumptions held previously, and recent experience. To further consider the reasonableness of these assumptions, the analysis also compared the proposed assumptions to aggregate 2022 experience. When comp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e reduction in new entrants over the period to 2024-25 is attributable to the assumption that all those with previously unmet needs (12,077 new entrants across 2022-23 and 2023-24) have joined the scheme by June 2024. In addition to these remaining new entrants with previously unmet needs, this FSR assumes an ongoing rate of new entrants to the scheme with new disabilities of 308.4 per 100,000 population under age 65. There is uncertainty regarding the level at which the rate of new entrants will mature.&#10;Figure 1: Actual &amp; projected total number of new entrants.&#10;A line graph showing the actual number of new entrants from 2018 to 2022 and also the projected total number of new entrants from 2022 to 2031.&#10;&#10;Whilst the total number of new entrants is important, the distribution of new entrants (by age and disability type) is also important as different new entrants have different plans and will spend those plans differently. Attachment A provides further detail on the assumed distribution of new entrants. This highlights the uncertainty in future new entrant rates at the cohort level, particularly for those with developmental delay and some age groups with Autism. For these cohorts, recent experience has yet to show signs of new entrant numbers tapering towards a longer-term stable rate. This contributes to the uncertainty in the projection.&#10;Leaving the scheme&#10;The projection incorporates assumptions regarding the proportion of participants that will leave the scheme to live independently. Attachment B compares recent experience to that which has been projected.&#10;The Scheme Actuary has examined those that have left the scheme between October 2020 and September 20211 to inform updated assumptions in this FSR. Reflecting the limited credibility of this short period, the selected long-term assumptions are a blend of the long-term assumptions held previously, and recent experience. To further consider the reasonableness of these assumptions, the analysis also compared the proposed assumptions to aggregate 2022 experience. When comparing"/>
                    <pic:cNvPicPr/>
                  </pic:nvPicPr>
                  <pic:blipFill rotWithShape="1">
                    <a:blip r:embed="rId87"/>
                    <a:srcRect l="22520" t="13578" r="39503" b="7420"/>
                    <a:stretch/>
                  </pic:blipFill>
                  <pic:spPr bwMode="auto">
                    <a:xfrm>
                      <a:off x="0" y="0"/>
                      <a:ext cx="6455640" cy="8952996"/>
                    </a:xfrm>
                    <a:prstGeom prst="rect">
                      <a:avLst/>
                    </a:prstGeom>
                    <a:ln>
                      <a:noFill/>
                    </a:ln>
                    <a:extLst>
                      <a:ext uri="{53640926-AAD7-44D8-BBD7-CCE9431645EC}">
                        <a14:shadowObscured xmlns:a14="http://schemas.microsoft.com/office/drawing/2010/main"/>
                      </a:ext>
                    </a:extLst>
                  </pic:spPr>
                </pic:pic>
              </a:graphicData>
            </a:graphic>
          </wp:inline>
        </w:drawing>
      </w:r>
    </w:p>
    <w:p w14:paraId="4B3BAFA2" w14:textId="3177C2CC" w:rsidR="00BB4EFB" w:rsidRDefault="00BB4EFB" w:rsidP="002E75CB">
      <w:pPr>
        <w:ind w:left="0"/>
      </w:pPr>
    </w:p>
    <w:p w14:paraId="0FF07663" w14:textId="048D1FFE" w:rsidR="00B93F18" w:rsidRPr="00EE2D88" w:rsidRDefault="00BF3C11" w:rsidP="00EE2D88">
      <w:r w:rsidRPr="00BF3C11">
        <w:rPr>
          <w:noProof/>
        </w:rPr>
        <w:drawing>
          <wp:inline distT="0" distB="0" distL="0" distR="0" wp14:anchorId="351108EC" wp14:editId="0AACBFC5">
            <wp:extent cx="6372225" cy="8765540"/>
            <wp:effectExtent l="0" t="0" r="9525" b="0"/>
            <wp:docPr id="460" name="Picture 460" descr="to the most recent experience, the report notes that the higher number of people leaving recently is unlikely to be sustained as it related to clearing backlogs.&#10;Figure 7 (Appendix B) shows that the assumed rate of leaving remains slightly higher than that which has occurred in prior years but is generally lower than recent projections. The revised assumptions more closely reflect recent experience. There remains a risk that the rate of participants leaving the scheme will continue to exhibit volatility in the future. The Board should note this risk, and the Scheme Actuary should continue to review and update these assumptions as experience matures.&#10;Figure 7 (Appendix B) also shows that the crude rate of participants projected to leave is expected to increase slightly from 2023 to 2025. This is attributable to a projected increase in the assumed rate at which participants with developmental delay will leave. The average rate for the scheme then declines over the medium term as this group is projected to reduce as a percentage of the total population.&#10;As the FSR does not explicitly model transitions between levels of function, there is a mismatch between the derivation of assumptions regarding the rate at which participants will leave and the population to which the rates are applied in the model. This may result in the model projecting higher numbers of participants leaving than will occur in practice. For example, the model assumes individuals remain in a cohort with the same level of function they held at the start of the projection and leave at the rate applicable to that cohort. Where a participant’s level of function reduces over time, they should experience the (typically) lower rate of leaving of that new function. However, as the model has not explicitly altered the participants level of function then projected rate of leaving will not have changed in the projection. The limited and immature scheme experience make the impact of this difficult to quantify. Nevertheless, I note this limitation alongside the discussion of the rates at which participants leave as it contributes to uncertainty in the projection.&#10;Deaths&#10;The projection incorporates assumptions regarding the proportion of participants that will die. Attachment B also compares recent experience to that which has been projected.&#10;Figure 9 (Appendix B) shows that this projection marginally increases the overall assumed rates of mortality. However, due to the combined effect of higher-than-expected deaths emerging after the assumptions were reviewed and the period of investigation selected for the analysis, the model projects 300 fewer deaths in 2022-23 (compared to 2021-22) from a population that is 10% larger. Short term variations in mortality will be a feature of a scheme of this size. Nevertheless, I recommend that these assumptions be reviewed again before the next FSR and that the Scheme Actuary consider basing the assumptions on a longer period of investigation.&#10;Having said that, I note that the number of deaths occurring is relatively small. Consequently, variation between the actual and expected number of deaths will not have as significant an impact on future costs as, for example, variation on the number of new entrants.&#10;Comment on SIL population projection&#10;The projection of participants in supported independent living (SIL) deserves particular attention as, this group accounts for around 30% of the total outlays of the scheme, despite accounting for only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to the most recent experience, the report notes that the higher number of people leaving recently is unlikely to be sustained as it related to clearing backlogs.&#10;Figure 7 (Appendix B) shows that the assumed rate of leaving remains slightly higher than that which has occurred in prior years but is generally lower than recent projections. The revised assumptions more closely reflect recent experience. There remains a risk that the rate of participants leaving the scheme will continue to exhibit volatility in the future. The Board should note this risk, and the Scheme Actuary should continue to review and update these assumptions as experience matures.&#10;Figure 7 (Appendix B) also shows that the crude rate of participants projected to leave is expected to increase slightly from 2023 to 2025. This is attributable to a projected increase in the assumed rate at which participants with developmental delay will leave. The average rate for the scheme then declines over the medium term as this group is projected to reduce as a percentage of the total population.&#10;As the FSR does not explicitly model transitions between levels of function, there is a mismatch between the derivation of assumptions regarding the rate at which participants will leave and the population to which the rates are applied in the model. This may result in the model projecting higher numbers of participants leaving than will occur in practice. For example, the model assumes individuals remain in a cohort with the same level of function they held at the start of the projection and leave at the rate applicable to that cohort. Where a participant’s level of function reduces over time, they should experience the (typically) lower rate of leaving of that new function. However, as the model has not explicitly altered the participants level of function then projected rate of leaving will not have changed in the projection. The limited and immature scheme experience make the impact of this difficult to quantify. Nevertheless, I note this limitation alongside the discussion of the rates at which participants leave as it contributes to uncertainty in the projection.&#10;Deaths&#10;The projection incorporates assumptions regarding the proportion of participants that will die. Attachment B also compares recent experience to that which has been projected.&#10;Figure 9 (Appendix B) shows that this projection marginally increases the overall assumed rates of mortality. However, due to the combined effect of higher-than-expected deaths emerging after the assumptions were reviewed and the period of investigation selected for the analysis, the model projects 300 fewer deaths in 2022-23 (compared to 2021-22) from a population that is 10% larger. Short term variations in mortality will be a feature of a scheme of this size. Nevertheless, I recommend that these assumptions be reviewed again before the next FSR and that the Scheme Actuary consider basing the assumptions on a longer period of investigation.&#10;Having said that, I note that the number of deaths occurring is relatively small. Consequently, variation between the actual and expected number of deaths will not have as significant an impact on future costs as, for example, variation on the number of new entrants.&#10;Comment on SIL population projection&#10;The projection of participants in supported independent living (SIL) deserves particular attention as, this group accounts for around 30% of the total outlays of the scheme, despite accounting for only 5%"/>
                    <pic:cNvPicPr/>
                  </pic:nvPicPr>
                  <pic:blipFill>
                    <a:blip r:embed="rId88"/>
                    <a:stretch>
                      <a:fillRect/>
                    </a:stretch>
                  </pic:blipFill>
                  <pic:spPr>
                    <a:xfrm>
                      <a:off x="0" y="0"/>
                      <a:ext cx="6372225" cy="8765540"/>
                    </a:xfrm>
                    <a:prstGeom prst="rect">
                      <a:avLst/>
                    </a:prstGeom>
                  </pic:spPr>
                </pic:pic>
              </a:graphicData>
            </a:graphic>
          </wp:inline>
        </w:drawing>
      </w:r>
    </w:p>
    <w:p w14:paraId="1E9BB485" w14:textId="01E466BD" w:rsidR="00B93F18" w:rsidRPr="00EE2D88" w:rsidRDefault="00B9382B" w:rsidP="00EE2D88">
      <w:r w:rsidRPr="00B9382B">
        <w:rPr>
          <w:noProof/>
        </w:rPr>
        <w:lastRenderedPageBreak/>
        <w:drawing>
          <wp:inline distT="0" distB="0" distL="0" distR="0" wp14:anchorId="324619AF" wp14:editId="421B99C4">
            <wp:extent cx="6372225" cy="8573770"/>
            <wp:effectExtent l="0" t="0" r="9525" b="0"/>
            <wp:docPr id="461" name="Picture 461" descr="of scheme participants. Small changes in the projected SIL population can therefore have a material impact on the overall projection.&#10;The FSR notes that there have been challenges identifying the SIL population for modelling purposes in recent years. The FSR states that this has been addressed this year by establishing a standard, automated process for classification of this group. This is expected to provide a more consistent base for analysing the experience of this group in the future.&#10;&#10;The net increase in SIL participants in 2021-22 was 2,408. The model projects a lower net increase of 1,361 in 2022-23, however this is an increase on the assumptions used in the 2021 FSR. The reduction on recent experience is attributed to clearing a backlog in 2021-22. For this to be achieved in 2022-23, the average net increase will need to be maintained at the lowest monthly increase that occurred in the last 13 months. After an increase of 211 in July 2022, the average monthly increase for the balance of the year will need to reduce further for this assumed net increase to occur. Whilst this FSR projects 2% more SIL participants in 2022-23 (and 10% more in 2031-32) than the prior FSR there remains some uncertainty regarding this assumption and experience will need to continue to be monitored closely.&#10;&#10;Comment on the overall population projection&#10;The progress of the projected number of participants in successive FSR projections is set out in Figure 2.&#10;&#10;&#10;Figure 2: Actual &amp; projected number of participants over time.&#10;A vertical green bar graph showing participation rate from annually 2017 to 2031. &#10;Line graphs show the 2019 AFSR, the 2020 ASFR, the 2021 AFSR, the 2022 AFSR and the Actual.&#10;&#10;The number of participants has consistently exceeded expectations in successive projections. This has demanded that the assumptions underlying the projection be carefully reviewed over time. Earlier projections were based upon new entrant and exit assumptions that were more closely tied to original expectations of scheme experience as there was limited actual experience. Over time, the assumptions have progressively given greater credibility to actual scheme experience. This has improved the performance of the population projection. For example, the 2019 FSR understated th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Picture 461" descr="of scheme participants. Small changes in the projected SIL population can therefore have a material impact on the overall projection.&#10;The FSR notes that there have been challenges identifying the SIL population for modelling purposes in recent years. The FSR states that this has been addressed this year by establishing a standard, automated process for classification of this group. This is expected to provide a more consistent base for analysing the experience of this group in the future.&#10;&#10;The net increase in SIL participants in 2021-22 was 2,408. The model projects a lower net increase of 1,361 in 2022-23, however this is an increase on the assumptions used in the 2021 FSR. The reduction on recent experience is attributed to clearing a backlog in 2021-22. For this to be achieved in 2022-23, the average net increase will need to be maintained at the lowest monthly increase that occurred in the last 13 months. After an increase of 211 in July 2022, the average monthly increase for the balance of the year will need to reduce further for this assumed net increase to occur. Whilst this FSR projects 2% more SIL participants in 2022-23 (and 10% more in 2031-32) than the prior FSR there remains some uncertainty regarding this assumption and experience will need to continue to be monitored closely.&#10;&#10;Comment on the overall population projection&#10;The progress of the projected number of participants in successive FSR projections is set out in Figure 2.&#10;&#10;&#10;Figure 2: Actual &amp; projected number of participants over time.&#10;A vertical green bar graph showing participation rate from annually 2017 to 2031. &#10;Line graphs show the 2019 AFSR, the 2020 ASFR, the 2021 AFSR, the 2022 AFSR and the Actual.&#10;&#10;The number of participants has consistently exceeded expectations in successive projections. This has demanded that the assumptions underlying the projection be carefully reviewed over time. Earlier projections were based upon new entrant and exit assumptions that were more closely tied to original expectations of scheme experience as there was limited actual experience. Over time, the assumptions have progressively given greater credibility to actual scheme experience. This has improved the performance of the population projection. For example, the 2019 FSR understated the&#10;&#10;&#10;"/>
                    <pic:cNvPicPr/>
                  </pic:nvPicPr>
                  <pic:blipFill>
                    <a:blip r:embed="rId89"/>
                    <a:stretch>
                      <a:fillRect/>
                    </a:stretch>
                  </pic:blipFill>
                  <pic:spPr>
                    <a:xfrm>
                      <a:off x="0" y="0"/>
                      <a:ext cx="6372225" cy="8573770"/>
                    </a:xfrm>
                    <a:prstGeom prst="rect">
                      <a:avLst/>
                    </a:prstGeom>
                  </pic:spPr>
                </pic:pic>
              </a:graphicData>
            </a:graphic>
          </wp:inline>
        </w:drawing>
      </w:r>
    </w:p>
    <w:p w14:paraId="17BF3B06" w14:textId="77777777" w:rsidR="00B93F18" w:rsidRPr="00EE2D88" w:rsidRDefault="00B93F18" w:rsidP="00EE2D88"/>
    <w:p w14:paraId="4BC8EEFB" w14:textId="77777777" w:rsidR="00B93F18" w:rsidRPr="00EE2D88" w:rsidRDefault="00B93F18" w:rsidP="00EE2D88"/>
    <w:p w14:paraId="63BC99E7" w14:textId="326C2511" w:rsidR="00B93F18" w:rsidRDefault="00680031" w:rsidP="00216562">
      <w:pPr>
        <w:ind w:left="0"/>
      </w:pPr>
      <w:r w:rsidRPr="00680031">
        <w:rPr>
          <w:noProof/>
        </w:rPr>
        <w:lastRenderedPageBreak/>
        <w:drawing>
          <wp:inline distT="0" distB="0" distL="0" distR="0" wp14:anchorId="4B7B47A4" wp14:editId="0074722F">
            <wp:extent cx="6678657" cy="8806375"/>
            <wp:effectExtent l="0" t="0" r="8255" b="0"/>
            <wp:docPr id="462" name="Picture 462" descr="expected population at the end of projection year one by 5.8% (≈23k participants). The 2020 FSR understated the expected population at the end of projection year one by 2.2% (≈10k participants) and the 2021 FSR understated the expected population at the end of projection year one by 0.8% (≈4k participants). Giving increased credibility to scheme experience has benefited the accuracy of the projection.&#10;Uncertainty remains in the selection of assumptions regarding the long-term rate of new entrants. Analysis of geographical areas that joined the scheme earlier informed the assumptions in the 2021 FSR. This year, that analysis has been updated and full credibility has been given to it. This has increased the total number of expected new entrants and altered the distribution of new entrants across age and disability type. As noted earlier, increasing the credibility given to the emerging experience of the scheme when setting assumptions has been shown to improve the performance of the projection. Nevertheless, the Board should note that some cohorts of new members have exhibited some volatility in experience, and this will contribute to uncertainty in the projection.&#10;Figure 2 also shows that the scheme’s participation rate (the scheme population as a percentage of the total population) is projected to steadily grow over time. Some commentators suggest that there is a natural ceiling to the participation rate, by pointing to alternate sources of data. For example:&#10;• The number of Australians with a severe or profound disability is measured in the ABS Survey of Disability, Ageing and Carers (SDAC). The most recent survey was in 2018. This found 357,500 children under age 15 with a disability, including 209,300 children with a severe or profound disability. Four years later there are 221,950 children in these age groups in the NDIS. This may suggest that there remains some scope for this age group to continue to grow within the NDIS.&#10;• This survey also identified 170,100 people with autism who required assistance. At 30 June 2022 there were 182,494 people with autism in the NDIS. This may suggest that the scheme’s population with autism could be close to maturity, however this experience has yet to emerge.&#10;• Another source of information may lie in the population receiving the Disability Support Pension. The Priority Investment Approach 2020 Valuation Report noted that there were approximately 775,000 individuals receiving disability support payments in 2020. This number has been relatively stable over the last 5 years. By contrast, at 30 June 2022 there were 291,000 participants in the NDIS between ages 15 and 64. The FSR projects that there will be 588,000 in this age group in 2031. Further investigation of the differences in the population of these schemes may help inform the potential population that the NDIS may ultimately support.&#10;Comparisons between NDIS participants and external data sources needs to be undertaken with care as the eligibility requirements of schemes differ, as do the timing of different reports. Nevertheless, there may be a benefit in considering if investigation of the disability support payment population could further inform the potential population of NDIS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expected population at the end of projection year one by 5.8% (≈23k participants). The 2020 FSR understated the expected population at the end of projection year one by 2.2% (≈10k participants) and the 2021 FSR understated the expected population at the end of projection year one by 0.8% (≈4k participants). Giving increased credibility to scheme experience has benefited the accuracy of the projection.&#10;Uncertainty remains in the selection of assumptions regarding the long-term rate of new entrants. Analysis of geographical areas that joined the scheme earlier informed the assumptions in the 2021 FSR. This year, that analysis has been updated and full credibility has been given to it. This has increased the total number of expected new entrants and altered the distribution of new entrants across age and disability type. As noted earlier, increasing the credibility given to the emerging experience of the scheme when setting assumptions has been shown to improve the performance of the projection. Nevertheless, the Board should note that some cohorts of new members have exhibited some volatility in experience, and this will contribute to uncertainty in the projection.&#10;Figure 2 also shows that the scheme’s participation rate (the scheme population as a percentage of the total population) is projected to steadily grow over time. Some commentators suggest that there is a natural ceiling to the participation rate, by pointing to alternate sources of data. For example:&#10;• The number of Australians with a severe or profound disability is measured in the ABS Survey of Disability, Ageing and Carers (SDAC). The most recent survey was in 2018. This found 357,500 children under age 15 with a disability, including 209,300 children with a severe or profound disability. Four years later there are 221,950 children in these age groups in the NDIS. This may suggest that there remains some scope for this age group to continue to grow within the NDIS.&#10;• This survey also identified 170,100 people with autism who required assistance. At 30 June 2022 there were 182,494 people with autism in the NDIS. This may suggest that the scheme’s population with autism could be close to maturity, however this experience has yet to emerge.&#10;• Another source of information may lie in the population receiving the Disability Support Pension. The Priority Investment Approach 2020 Valuation Report noted that there were approximately 775,000 individuals receiving disability support payments in 2020. This number has been relatively stable over the last 5 years. By contrast, at 30 June 2022 there were 291,000 participants in the NDIS between ages 15 and 64. The FSR projects that there will be 588,000 in this age group in 2031. Further investigation of the differences in the population of these schemes may help inform the potential population that the NDIS may ultimately support.&#10;Comparisons between NDIS participants and external data sources needs to be undertaken with care as the eligibility requirements of schemes differ, as do the timing of different reports. Nevertheless, there may be a benefit in considering if investigation of the disability support payment population could further inform the potential population of NDIS participants"/>
                    <pic:cNvPicPr/>
                  </pic:nvPicPr>
                  <pic:blipFill>
                    <a:blip r:embed="rId90"/>
                    <a:stretch>
                      <a:fillRect/>
                    </a:stretch>
                  </pic:blipFill>
                  <pic:spPr>
                    <a:xfrm>
                      <a:off x="0" y="0"/>
                      <a:ext cx="6689665" cy="8820889"/>
                    </a:xfrm>
                    <a:prstGeom prst="rect">
                      <a:avLst/>
                    </a:prstGeom>
                  </pic:spPr>
                </pic:pic>
              </a:graphicData>
            </a:graphic>
          </wp:inline>
        </w:drawing>
      </w:r>
    </w:p>
    <w:p w14:paraId="3D069E86" w14:textId="0AD90C8C" w:rsidR="00B93F18" w:rsidRPr="00EE2D88" w:rsidRDefault="00B93F18" w:rsidP="00EE2D88">
      <w:pPr>
        <w:ind w:left="0"/>
      </w:pPr>
    </w:p>
    <w:p w14:paraId="5A5A8A2A" w14:textId="77777777" w:rsidR="00513701" w:rsidRDefault="00513701" w:rsidP="00EE2D88">
      <w:pPr>
        <w:ind w:left="0"/>
      </w:pPr>
    </w:p>
    <w:p w14:paraId="7569B753" w14:textId="43C3187F" w:rsidR="00B93F18" w:rsidRDefault="00513701" w:rsidP="00C9369D">
      <w:pPr>
        <w:ind w:left="0"/>
      </w:pPr>
      <w:r w:rsidRPr="00513701">
        <w:rPr>
          <w:noProof/>
        </w:rPr>
        <w:drawing>
          <wp:inline distT="0" distB="0" distL="0" distR="0" wp14:anchorId="61885AB5" wp14:editId="13586F3D">
            <wp:extent cx="6671945" cy="8630285"/>
            <wp:effectExtent l="0" t="0" r="0" b="0"/>
            <wp:docPr id="464" name="Picture 464" descr="Comment on key participant spend assumptions&#10;Average spend&#10;Overall, in 2021-22 the average participant spent 3.8% lower (on a mix adjusted basis) than what was expected in the 2020-21 FSR. Reflecting this, the starting average participant spend in the projection has been reduced by 3.7% overall.&#10;Inflation&#10;In future, average payments will increase with inflation. The projection models inflation in two components. The first component is the effect of normal wage and price inflation on the scheme. The second component represents additional inflation that is scheme specific. Total inflation assumptions compound in each successive projection year. As a result, the projection results are increasingly sensitive to the inflation assumptions with each projection year.&#10;The projection models the impact of inflation on each payment type. Assumptions quoted in this letter are averages and are provided to assist the reader understand the broader assumptions or the change in assumptions.&#10;Wage and price inflation has increased in the economy. This was reflected in the 2022-23 pricing review. The projection assumes that this component of inflation reflects the price increase in 2022-23 and then follows broader economic forecasts thereafter. Assumed wage and price inflation in 2022-23 is higher than the 2021 FSR by almost 4%. There are then small variances (less than +/- 1%) in subsequent years before wage and price inflation is assumed to revert to the same level as the 2021 FSR from 2026-27.&#10;&#10;Selecting assumptions for additional scheme specific inflation has been challenging in successive FSRs. Figure 3 illustrates recent volatility in this component of inflation. It also shows that successive projections have assumed this component of inflation would reduce to negligible levels in the short term and settle at 0% per annum in the medium term. These assumptions have not borne out in the experience to date.&#10;&#10;Figure 3: Observed &amp; projected additional scheme specific inflation.&#10;The graph is a line graph with the horizontal axis indicating years from 2018 to 2031.&#10;The vertical axis ranges from -5% to 20% and has the following lines:&#10;Observed Add'l inflation.&#10;2018 AFSR, 2019 AFSR, 2020 AFSR, 2021 AFSR, 2022 AF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descr="Comment on key participant spend assumptions&#10;Average spend&#10;Overall, in 2021-22 the average participant spent 3.8% lower (on a mix adjusted basis) than what was expected in the 2020-21 FSR. Reflecting this, the starting average participant spend in the projection has been reduced by 3.7% overall.&#10;Inflation&#10;In future, average payments will increase with inflation. The projection models inflation in two components. The first component is the effect of normal wage and price inflation on the scheme. The second component represents additional inflation that is scheme specific. Total inflation assumptions compound in each successive projection year. As a result, the projection results are increasingly sensitive to the inflation assumptions with each projection year.&#10;The projection models the impact of inflation on each payment type. Assumptions quoted in this letter are averages and are provided to assist the reader understand the broader assumptions or the change in assumptions.&#10;Wage and price inflation has increased in the economy. This was reflected in the 2022-23 pricing review. The projection assumes that this component of inflation reflects the price increase in 2022-23 and then follows broader economic forecasts thereafter. Assumed wage and price inflation in 2022-23 is higher than the 2021 FSR by almost 4%. There are then small variances (less than +/- 1%) in subsequent years before wage and price inflation is assumed to revert to the same level as the 2021 FSR from 2026-27.&#10;&#10;Selecting assumptions for additional scheme specific inflation has been challenging in successive FSRs. Figure 3 illustrates recent volatility in this component of inflation. It also shows that successive projections have assumed this component of inflation would reduce to negligible levels in the short term and settle at 0% per annum in the medium term. These assumptions have not borne out in the experience to date.&#10;&#10;Figure 3: Observed &amp; projected additional scheme specific inflation.&#10;The graph is a line graph with the horizontal axis indicating years from 2018 to 2031.&#10;The vertical axis ranges from -5% to 20% and has the following lines:&#10;Observed Add'l inflation.&#10;2018 AFSR, 2019 AFSR, 2020 AFSR, 2021 AFSR, 2022 AFRS"/>
                    <pic:cNvPicPr/>
                  </pic:nvPicPr>
                  <pic:blipFill>
                    <a:blip r:embed="rId91">
                      <a:extLst>
                        <a:ext uri="{28A0092B-C50C-407E-A947-70E740481C1C}">
                          <a14:useLocalDpi xmlns:a14="http://schemas.microsoft.com/office/drawing/2010/main" val="0"/>
                        </a:ext>
                      </a:extLst>
                    </a:blip>
                    <a:stretch>
                      <a:fillRect/>
                    </a:stretch>
                  </pic:blipFill>
                  <pic:spPr>
                    <a:xfrm>
                      <a:off x="0" y="0"/>
                      <a:ext cx="6671945" cy="8630285"/>
                    </a:xfrm>
                    <a:prstGeom prst="rect">
                      <a:avLst/>
                    </a:prstGeom>
                  </pic:spPr>
                </pic:pic>
              </a:graphicData>
            </a:graphic>
          </wp:inline>
        </w:drawing>
      </w:r>
    </w:p>
    <w:p w14:paraId="7D0E6B15" w14:textId="3FD19F80" w:rsidR="00B93F18" w:rsidRPr="00EE2D88" w:rsidRDefault="00827D21" w:rsidP="001C3A39">
      <w:pPr>
        <w:ind w:left="397"/>
      </w:pPr>
      <w:r w:rsidRPr="00827D21">
        <w:rPr>
          <w:noProof/>
        </w:rPr>
        <w:lastRenderedPageBreak/>
        <w:drawing>
          <wp:inline distT="0" distB="0" distL="0" distR="0" wp14:anchorId="5C5FCD1B" wp14:editId="20D406FA">
            <wp:extent cx="5869992" cy="9375945"/>
            <wp:effectExtent l="0" t="0" r="0" b="0"/>
            <wp:docPr id="465" name="Picture 465" descr="This additional inflation has been further analysed this year. There are two key changes to this year’s assumptions. The first is an increase in this additional inflation to around 5% in 2024-25 and 2025-26. The second is that this additional inflation does not reduce to zero but remains at 2.0% per annum in the medium term. I comment on each change in turn.&#10;• The first increase is a result of the Scheme Actuary’s view that current workforce shortages will ease by the start of 2024-25 and result in increased use of attendant care, therapy, and other supports in this and the following year.&#10;• The assumption that additional inflation will reduce to 0% per annum in the medium term has been replaced by an assumption of 2%. The 0% assumption was highly uncertain and a key reason why I have held the view that future experience may be higher than prior projections. Additional inflation has been attributed to level of function changes, and increased volume and use of supports. These factors materialise in increasing plan utilisation and plan inflation (9% in 2021-22). Whilst the future inflationary environment remains a source of considerable uncertainty, I agree with the Scheme Actuary that an assumption of 0% is no longer appropriate.&#10;The extent to which this assumption bears out in practice remains to be seen. The Board should note that the assumption that additional inflation will no longer revert to zero is a clear change in basis for this projection.&#10;SIL&#10;Average SIL payments have increased by 8.5%, 23.5%, 7.6% and 5.8% in 2018-19 through to 2021-22 respectively. These significant increases have meant that the assumed average SIL payment has lagged experience a little. For example, average payments to SIL participants in 2021-22 were 4.2% higher than expected in the prior FSR. Reflecting this, average payments in 2022-23 are projected to be 5.3% higher than the prior FSR.&#10;The projection assumes average payments will continue to increase at a rate between 4.8% and 5.2%, apart from 2024-25 and 2025-26, when superimposed inflation is assumed to be temporarily higher in a similar manner to that shown in Figure 3. In the medium term, the rate of increase in annual payments is around 1.5% per annum higher than the previous FSR. This is the long term assumed rate of superimposed inflation for SIL participants.&#10;The average amount spent by SIL participants is projected to increase at a rate which is close to, but still below, the lowest rate of observed increase in the past four years. This projection is aligning the assumptions more closely with the experience of the scheme. The introduction of a persistent additional inflation also reflects recent experience.&#10;&#10;Overall results&#10;Figure 4 shows that the resulting projection is similar to the prior FSR for the first two years, but then steadily increases in each successive year. This increase is primarily attributable to the combined effect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Picture 465" descr="This additional inflation has been further analysed this year. There are two key changes to this year’s assumptions. The first is an increase in this additional inflation to around 5% in 2024-25 and 2025-26. The second is that this additional inflation does not reduce to zero but remains at 2.0% per annum in the medium term. I comment on each change in turn.&#10;• The first increase is a result of the Scheme Actuary’s view that current workforce shortages will ease by the start of 2024-25 and result in increased use of attendant care, therapy, and other supports in this and the following year.&#10;• The assumption that additional inflation will reduce to 0% per annum in the medium term has been replaced by an assumption of 2%. The 0% assumption was highly uncertain and a key reason why I have held the view that future experience may be higher than prior projections. Additional inflation has been attributed to level of function changes, and increased volume and use of supports. These factors materialise in increasing plan utilisation and plan inflation (9% in 2021-22). Whilst the future inflationary environment remains a source of considerable uncertainty, I agree with the Scheme Actuary that an assumption of 0% is no longer appropriate.&#10;The extent to which this assumption bears out in practice remains to be seen. The Board should note that the assumption that additional inflation will no longer revert to zero is a clear change in basis for this projection.&#10;SIL&#10;Average SIL payments have increased by 8.5%, 23.5%, 7.6% and 5.8% in 2018-19 through to 2021-22 respectively. These significant increases have meant that the assumed average SIL payment has lagged experience a little. For example, average payments to SIL participants in 2021-22 were 4.2% higher than expected in the prior FSR. Reflecting this, average payments in 2022-23 are projected to be 5.3% higher than the prior FSR.&#10;The projection assumes average payments will continue to increase at a rate between 4.8% and 5.2%, apart from 2024-25 and 2025-26, when superimposed inflation is assumed to be temporarily higher in a similar manner to that shown in Figure 3. In the medium term, the rate of increase in annual payments is around 1.5% per annum higher than the previous FSR. This is the long term assumed rate of superimposed inflation for SIL participants.&#10;The average amount spent by SIL participants is projected to increase at a rate which is close to, but still below, the lowest rate of observed increase in the past four years. This projection is aligning the assumptions more closely with the experience of the scheme. The introduction of a persistent additional inflation also reflects recent experience.&#10;&#10;Overall results&#10;Figure 4 shows that the resulting projection is similar to the prior FSR for the first two years, but then steadily increases in each successive year. This increase is primarily attributable to the combined effect of:"/>
                    <pic:cNvPicPr/>
                  </pic:nvPicPr>
                  <pic:blipFill>
                    <a:blip r:embed="rId92">
                      <a:extLst>
                        <a:ext uri="{28A0092B-C50C-407E-A947-70E740481C1C}">
                          <a14:useLocalDpi xmlns:a14="http://schemas.microsoft.com/office/drawing/2010/main" val="0"/>
                        </a:ext>
                      </a:extLst>
                    </a:blip>
                    <a:stretch>
                      <a:fillRect/>
                    </a:stretch>
                  </pic:blipFill>
                  <pic:spPr>
                    <a:xfrm>
                      <a:off x="0" y="0"/>
                      <a:ext cx="5875378" cy="9384547"/>
                    </a:xfrm>
                    <a:prstGeom prst="rect">
                      <a:avLst/>
                    </a:prstGeom>
                  </pic:spPr>
                </pic:pic>
              </a:graphicData>
            </a:graphic>
          </wp:inline>
        </w:drawing>
      </w:r>
    </w:p>
    <w:p w14:paraId="7D04D1B6" w14:textId="3962D11B" w:rsidR="00B93F18" w:rsidRDefault="00C55C2C">
      <w:r w:rsidRPr="00C55C2C">
        <w:rPr>
          <w:noProof/>
        </w:rPr>
        <w:lastRenderedPageBreak/>
        <w:drawing>
          <wp:inline distT="0" distB="0" distL="0" distR="0" wp14:anchorId="206836B5" wp14:editId="16E1D13B">
            <wp:extent cx="6303645" cy="9129395"/>
            <wp:effectExtent l="0" t="0" r="1905" b="0"/>
            <wp:docPr id="466" name="Picture 466" descr="• The higher initial population projection increasing at a faster rate than was envisaged in the June 2021 FSR, and&#10;• The total amount spent by that larger population growing at a compounding rate that is at least 2% per annum higher than previously envisaged, attributable to the assumption that additional inflation will persist.&#10;The projected growth in the scheme, as a percentage of GDP, does prompt questions relating to the sustainability of the scheme from a purely financial perspective, this is discussed later in this letter.&#10;&#10;Figure 4: Actual &amp; projected total participant spend and agency expenses.&#10;This is a vertical bar graph showing the % GDP 2022 from 2023 to 2031. (graph ranging from 0% to 3%)&#10;There is also a series of line graphs representing the actual and projected total participant spend and agency expenses from 2018 to 2031 and ranges from 0 to $100 Billion.&#10;The graphs are Actual, 2019 AFSR, 2020 AFSR, 2021 AFSR&#10;&#10;&#10;&#10;&#10;Uncertainty&#10;Uncertainty is a feature of any projection.&#10;Whilst assumptions for future inflation are significantly higher than that which were used in prior FSRs, the report notes that the selected assumptions are lower than recent actual experience. There is also uncertainty relating to the number of future new entrants that the scheme will experience. For these key reasons, there is significant uncertainty in the baseline projection, and it is possible that future experience will exceed that which has been projected.&#10;Sustainability&#10;Sustainability is defined by the Scheme. It is achieved when the Scheme is both meeting participants’ needs by achieving positive outcomes, and is doing so at a level that is, and is expected to remain, affordable. When considering sustainability, participant outcomes and affordability are complimentary.&#10;The NDIS Quarterly Report to disability ministers sets out a range of participant outcomes, including participation in community, employment, and participants’ satisfaction with elements of the scheme. There are mechanisms in place that measure the first component of sustainability.&#10;Determining whether the scheme remains affordable, however, is a more nuanced ques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 The higher initial population projection increasing at a faster rate than was envisaged in the June 2021 FSR, and&#10;• The total amount spent by that larger population growing at a compounding rate that is at least 2% per annum higher than previously envisaged, attributable to the assumption that additional inflation will persist.&#10;The projected growth in the scheme, as a percentage of GDP, does prompt questions relating to the sustainability of the scheme from a purely financial perspective, this is discussed later in this letter.&#10;&#10;Figure 4: Actual &amp; projected total participant spend and agency expenses.&#10;This is a vertical bar graph showing the % GDP 2022 from 2023 to 2031. (graph ranging from 0% to 3%)&#10;There is also a series of line graphs representing the actual and projected total participant spend and agency expenses from 2018 to 2031 and ranges from 0 to $100 Billion.&#10;The graphs are Actual, 2019 AFSR, 2020 AFSR, 2021 AFSR&#10;&#10;&#10;&#10;&#10;Uncertainty&#10;Uncertainty is a feature of any projection.&#10;Whilst assumptions for future inflation are significantly higher than that which were used in prior FSRs, the report notes that the selected assumptions are lower than recent actual experience. There is also uncertainty relating to the number of future new entrants that the scheme will experience. For these key reasons, there is significant uncertainty in the baseline projection, and it is possible that future experience will exceed that which has been projected.&#10;Sustainability&#10;Sustainability is defined by the Scheme. It is achieved when the Scheme is both meeting participants’ needs by achieving positive outcomes, and is doing so at a level that is, and is expected to remain, affordable. When considering sustainability, participant outcomes and affordability are complimentary.&#10;The NDIS Quarterly Report to disability ministers sets out a range of participant outcomes, including participation in community, employment, and participants’ satisfaction with elements of the scheme. There are mechanisms in place that measure the first component of sustainability.&#10;Determining whether the scheme remains affordable, however, is a more nuanced question.&#10;"/>
                    <pic:cNvPicPr/>
                  </pic:nvPicPr>
                  <pic:blipFill>
                    <a:blip r:embed="rId93"/>
                    <a:stretch>
                      <a:fillRect/>
                    </a:stretch>
                  </pic:blipFill>
                  <pic:spPr>
                    <a:xfrm>
                      <a:off x="0" y="0"/>
                      <a:ext cx="6303645" cy="9129395"/>
                    </a:xfrm>
                    <a:prstGeom prst="rect">
                      <a:avLst/>
                    </a:prstGeom>
                  </pic:spPr>
                </pic:pic>
              </a:graphicData>
            </a:graphic>
          </wp:inline>
        </w:drawing>
      </w:r>
    </w:p>
    <w:p w14:paraId="1EFCD8A5" w14:textId="547BB798" w:rsidR="00C55C2C" w:rsidRDefault="006D5709">
      <w:r w:rsidRPr="006D5709">
        <w:rPr>
          <w:noProof/>
        </w:rPr>
        <w:lastRenderedPageBreak/>
        <w:drawing>
          <wp:inline distT="0" distB="0" distL="0" distR="0" wp14:anchorId="700098C4" wp14:editId="2E31FC72">
            <wp:extent cx="6162040" cy="9129395"/>
            <wp:effectExtent l="0" t="0" r="0" b="0"/>
            <wp:docPr id="467" name="Picture 467" descr="In the short term, the question of affordability is resolved by the budget. If the budget forecasts over the next four years incorporate best estimate forecasts (adjusted for any planned changes to the scheme) then it could be said that the scheme has been judged to be affordable over the four-year budget period.&#10;&#10;However, as the scheme will support participants many years into the future, the long-term affordability of the scheme also requires consideration. One measure of this is the level at which total benefits and agency expenses are expected to stabilise as a percentage of GDP. The reason this measure is relevant is that the total taxes collected by governments has been a relatively stable percentage of GDP over the long-term. Schemes for which expenditure is a stable percentage of GDP, at a level that is affordable, are less likely to generate concerns about their sustainability. As the NDIS is still maturing, total participant and agency expenditure will increase, as a percentage of GDP, for some time. To assess long term sustainability, we need to know when we expect the expenditure to stabilise and at what level (if current experience continues). Such analysis would also illustrate the ultimate proportion of the population that the scheme is expected to support. I recommend that the Scheme Actuary incorporate longer term measures of affordability in the FSR.&#10;&#10;There is an important link between the scheme’s current settings and these long-term outcomes. The FSR projection generally assumes that the current experience of the scheme (which results from the current scheme settings) continue. The scheme’s current settings are therefore significant determinants of long-term affordability. Despite the inevitable uncertainty associated with longer term projections, answering the questions set out in the prior paragraph will help stakeholders consider if the scheme’s current settings are expected to remain “affordable” in the long-term. Regularly updating this analysis will also inform trends over time.&#10;&#10;The FSR reports that total expenditure (as a percentage of GDP) is expected to increase from 1.48% of GDP in 2022-23 to 2.55% of GDP in 2031-32 on an accrual basis. At this time the scheme will be supporting 3.3% of the population, up from 2.1% on 30 June 2022. As many new entrants are relatively young, these metrics are expected to increase beyond 2031.&#10;&#10;The definition of sustainability links participant outcomes and affordability. The FSR projects expected numbers of new participants and expected numbers transitioning off the scheme. It can also provide a perspective on how the level of supports change over time. Changes in the status of a participant within the scheme are also outcomes. The FSR can therefore provide additional metrics to consider how the participant outcomes being achieved by the scheme are consistent with the sustainability of the scheme. I recommend that the Scheme Actuary consider how certain measures of participant outcomes can be linked to the overall sustainability of the scheme in the FSR.&#10;&#10;Projections are completed for cohorts within the scheme. This allows consideration of sustainability to be undertaken for subgroups within the scheme. Different subgroups will mature at different points in time and should therefore be given individual consi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In the short term, the question of affordability is resolved by the budget. If the budget forecasts over the next four years incorporate best estimate forecasts (adjusted for any planned changes to the scheme) then it could be said that the scheme has been judged to be affordable over the four-year budget period.&#10;&#10;However, as the scheme will support participants many years into the future, the long-term affordability of the scheme also requires consideration. One measure of this is the level at which total benefits and agency expenses are expected to stabilise as a percentage of GDP. The reason this measure is relevant is that the total taxes collected by governments has been a relatively stable percentage of GDP over the long-term. Schemes for which expenditure is a stable percentage of GDP, at a level that is affordable, are less likely to generate concerns about their sustainability. As the NDIS is still maturing, total participant and agency expenditure will increase, as a percentage of GDP, for some time. To assess long term sustainability, we need to know when we expect the expenditure to stabilise and at what level (if current experience continues). Such analysis would also illustrate the ultimate proportion of the population that the scheme is expected to support. I recommend that the Scheme Actuary incorporate longer term measures of affordability in the FSR.&#10;&#10;There is an important link between the scheme’s current settings and these long-term outcomes. The FSR projection generally assumes that the current experience of the scheme (which results from the current scheme settings) continue. The scheme’s current settings are therefore significant determinants of long-term affordability. Despite the inevitable uncertainty associated with longer term projections, answering the questions set out in the prior paragraph will help stakeholders consider if the scheme’s current settings are expected to remain “affordable” in the long-term. Regularly updating this analysis will also inform trends over time.&#10;&#10;The FSR reports that total expenditure (as a percentage of GDP) is expected to increase from 1.48% of GDP in 2022-23 to 2.55% of GDP in 2031-32 on an accrual basis. At this time the scheme will be supporting 3.3% of the population, up from 2.1% on 30 June 2022. As many new entrants are relatively young, these metrics are expected to increase beyond 2031.&#10;&#10;The definition of sustainability links participant outcomes and affordability. The FSR projects expected numbers of new participants and expected numbers transitioning off the scheme. It can also provide a perspective on how the level of supports change over time. Changes in the status of a participant within the scheme are also outcomes. The FSR can therefore provide additional metrics to consider how the participant outcomes being achieved by the scheme are consistent with the sustainability of the scheme. I recommend that the Scheme Actuary consider how certain measures of participant outcomes can be linked to the overall sustainability of the scheme in the FSR.&#10;&#10;Projections are completed for cohorts within the scheme. This allows consideration of sustainability to be undertaken for subgroups within the scheme. Different subgroups will mature at different points in time and should therefore be given individual consideration."/>
                    <pic:cNvPicPr/>
                  </pic:nvPicPr>
                  <pic:blipFill>
                    <a:blip r:embed="rId94"/>
                    <a:stretch>
                      <a:fillRect/>
                    </a:stretch>
                  </pic:blipFill>
                  <pic:spPr>
                    <a:xfrm>
                      <a:off x="0" y="0"/>
                      <a:ext cx="6162040" cy="9129395"/>
                    </a:xfrm>
                    <a:prstGeom prst="rect">
                      <a:avLst/>
                    </a:prstGeom>
                  </pic:spPr>
                </pic:pic>
              </a:graphicData>
            </a:graphic>
          </wp:inline>
        </w:drawing>
      </w:r>
    </w:p>
    <w:p w14:paraId="293F2F64" w14:textId="7101A002" w:rsidR="006D5709" w:rsidRPr="00EE2D88" w:rsidRDefault="0039752C" w:rsidP="00EE2D88">
      <w:r w:rsidRPr="0039752C">
        <w:rPr>
          <w:noProof/>
        </w:rPr>
        <w:lastRenderedPageBreak/>
        <w:drawing>
          <wp:inline distT="0" distB="0" distL="0" distR="0" wp14:anchorId="66645327" wp14:editId="3FDE9A90">
            <wp:extent cx="6372225" cy="8384540"/>
            <wp:effectExtent l="0" t="0" r="9525" b="0"/>
            <wp:docPr id="468" name="Picture 468" descr="Conclusion&#10;The projection is based on emerging scheme experience.&#10;The participant population has continued to grow faster than expected. This has been reflected in the updated projection of scheme participants. Giving greater reliance to scheme experience has improved the reliability of the projection and further steps have been taken on this path in this projection. I believe that this participant projection is within the range of reasonably likely outcomes. Nevertheless, the potential for variation in the scheme’s experience remains. This should continue to be monitored and future projections should be updated accordingly.&#10;&#10;A key change in this projection is that additional scheme specific inflation is no longer set to zero in the medium term. This reflects recent experience of the scheme and the Scheme Actuary’s view that there are no immediate initiatives that will result in an outcome of 0% being achieved. This is further supported by analysis of additional inflation, which indicates certain drivers (such as plan inflation, reduction in function and factors which lead to increase plan utilisation over time) that are expected to be persistent features of the scheme. I would support the view that additional inflation is unlikely to be zero in the medium term. Whilst there is considerable subjectivity around the choice of actual long term inflation assumptions, the Board should note this change of basis from past projections.&#10;Whilst there is uncertainty around a number of the assumptions (which is exacerbated due to the immaturity of the scheme), I am satisfied that the results of the projection are within a range of reasonably likely outcomes.&#10;With a longer projected time horizon, discussions around the sustainability of the scheme could be more considered, to accommodate the long-term nature of scheme maturity. I have recommended extending the FSR to inform a framework for enhancing how sustainability is assessed and reviewed over time. I have also recommended strengthening the links between participant outcomes and affordability, when considering overall scheme sustainability.&#10;Yours sincerely,&#10;&#10;Guy Thorburn&#10;Australian Government Ac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descr="Conclusion&#10;The projection is based on emerging scheme experience.&#10;The participant population has continued to grow faster than expected. This has been reflected in the updated projection of scheme participants. Giving greater reliance to scheme experience has improved the reliability of the projection and further steps have been taken on this path in this projection. I believe that this participant projection is within the range of reasonably likely outcomes. Nevertheless, the potential for variation in the scheme’s experience remains. This should continue to be monitored and future projections should be updated accordingly.&#10;&#10;A key change in this projection is that additional scheme specific inflation is no longer set to zero in the medium term. This reflects recent experience of the scheme and the Scheme Actuary’s view that there are no immediate initiatives that will result in an outcome of 0% being achieved. This is further supported by analysis of additional inflation, which indicates certain drivers (such as plan inflation, reduction in function and factors which lead to increase plan utilisation over time) that are expected to be persistent features of the scheme. I would support the view that additional inflation is unlikely to be zero in the medium term. Whilst there is considerable subjectivity around the choice of actual long term inflation assumptions, the Board should note this change of basis from past projections.&#10;Whilst there is uncertainty around a number of the assumptions (which is exacerbated due to the immaturity of the scheme), I am satisfied that the results of the projection are within a range of reasonably likely outcomes.&#10;With a longer projected time horizon, discussions around the sustainability of the scheme could be more considered, to accommodate the long-term nature of scheme maturity. I have recommended extending the FSR to inform a framework for enhancing how sustainability is assessed and reviewed over time. I have also recommended strengthening the links between participant outcomes and affordability, when considering overall scheme sustainability.&#10;Yours sincerely,&#10;&#10;Guy Thorburn&#10;Australian Government Actuary"/>
                    <pic:cNvPicPr/>
                  </pic:nvPicPr>
                  <pic:blipFill>
                    <a:blip r:embed="rId95"/>
                    <a:stretch>
                      <a:fillRect/>
                    </a:stretch>
                  </pic:blipFill>
                  <pic:spPr>
                    <a:xfrm>
                      <a:off x="0" y="0"/>
                      <a:ext cx="6372225" cy="8384540"/>
                    </a:xfrm>
                    <a:prstGeom prst="rect">
                      <a:avLst/>
                    </a:prstGeom>
                  </pic:spPr>
                </pic:pic>
              </a:graphicData>
            </a:graphic>
          </wp:inline>
        </w:drawing>
      </w:r>
    </w:p>
    <w:p w14:paraId="1A9532B5" w14:textId="68C7028C" w:rsidR="00B93F18" w:rsidRDefault="00B93F18" w:rsidP="00B93F18">
      <w:pPr>
        <w:rPr>
          <w:noProof/>
        </w:rPr>
      </w:pPr>
    </w:p>
    <w:p w14:paraId="35B9A8ED" w14:textId="38BC8782" w:rsidR="00B93F18" w:rsidRDefault="00B93F18" w:rsidP="00B93F18">
      <w:pPr>
        <w:rPr>
          <w:noProof/>
        </w:rPr>
      </w:pPr>
    </w:p>
    <w:p w14:paraId="33A752F4" w14:textId="6026CAEE" w:rsidR="0039752C" w:rsidRDefault="0039752C" w:rsidP="00B93F18">
      <w:pPr>
        <w:rPr>
          <w:noProof/>
        </w:rPr>
      </w:pPr>
      <w:r w:rsidRPr="0039752C">
        <w:rPr>
          <w:noProof/>
        </w:rPr>
        <w:lastRenderedPageBreak/>
        <w:drawing>
          <wp:inline distT="0" distB="0" distL="0" distR="0" wp14:anchorId="55578852" wp14:editId="7439C822">
            <wp:extent cx="6185535" cy="9129395"/>
            <wp:effectExtent l="0" t="0" r="5715" b="0"/>
            <wp:docPr id="469" name="Picture 469" descr="Attachment A: Distribution of new entrants&#10;Distribution by age&#10;All age bands experienced higher new entrants than expected.&#10;Figure 5 compares the actual and projected numbers of new entrants for this projection with the previous FSR. This illustrates that the actual number of new entrants was above that which was expected for ages seven and higher. For ages 0-6, new entrants in 2021-22 was very close to that which was expected (1.4% above).&#10;This FSR has based future new entrants on recent scheme experience. This is a change from last year, which averaged the results produced by the direct and indirect methods. Giving increased credibility to recent scheme experience has been shown to improve the accuracy of the projection.&#10;&#10;Figure 5: Actual and projected new entrants by age&#10;A series of line graphs with the horizontal axis representing each year from 2018 to 2040. &#10;The vertical axis is new entrants, actual and projected, ranging from 0 to 70,000.&#10;The graphs present are 0-6 years - actual.&#10;0 to 6 years (2021).&#10;0 to 6 years (2022).&#10;7 to 14 years Actual.&#10;7 to 14 years (2021).&#10;7 to 14 years (2022).&#10;15 to 18 years Actual.&#10;15 to 18  years (2021).&#10;15 to 18  years (2022).&#10;19 and older years Actual.&#10;19 and older years (2021).&#10;19 and older years (2022).&#10;&#10;&#10;Distribution by disability&#10;The disability types that have the highest numbers of new entrants are autism, developmental delay, intellectual disability, and psychosocial disability.&#10; Figure 6 compares the recent numbers of new entrants with the projected numbers from this and the prior FS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Attachment A: Distribution of new entrants&#10;Distribution by age&#10;All age bands experienced higher new entrants than expected.&#10;Figure 5 compares the actual and projected numbers of new entrants for this projection with the previous FSR. This illustrates that the actual number of new entrants was above that which was expected for ages seven and higher. For ages 0-6, new entrants in 2021-22 was very close to that which was expected (1.4% above).&#10;This FSR has based future new entrants on recent scheme experience. This is a change from last year, which averaged the results produced by the direct and indirect methods. Giving increased credibility to recent scheme experience has been shown to improve the accuracy of the projection.&#10;&#10;Figure 5: Actual and projected new entrants by age&#10;A series of line graphs with the horizontal axis representing each year from 2018 to 2040. &#10;The vertical axis is new entrants, actual and projected, ranging from 0 to 70,000.&#10;The graphs present are 0-6 years - actual.&#10;0 to 6 years (2021).&#10;0 to 6 years (2022).&#10;7 to 14 years Actual.&#10;7 to 14 years (2021).&#10;7 to 14 years (2022).&#10;15 to 18 years Actual.&#10;15 to 18  years (2021).&#10;15 to 18  years (2022).&#10;19 and older years Actual.&#10;19 and older years (2021).&#10;19 and older years (2022).&#10;&#10;&#10;Distribution by disability&#10;The disability types that have the highest numbers of new entrants are autism, developmental delay, intellectual disability, and psychosocial disability.&#10; Figure 6 compares the recent numbers of new entrants with the projected numbers from this and the prior FSR.&#10;"/>
                    <pic:cNvPicPr/>
                  </pic:nvPicPr>
                  <pic:blipFill>
                    <a:blip r:embed="rId96"/>
                    <a:stretch>
                      <a:fillRect/>
                    </a:stretch>
                  </pic:blipFill>
                  <pic:spPr>
                    <a:xfrm>
                      <a:off x="0" y="0"/>
                      <a:ext cx="6185535" cy="9129395"/>
                    </a:xfrm>
                    <a:prstGeom prst="rect">
                      <a:avLst/>
                    </a:prstGeom>
                  </pic:spPr>
                </pic:pic>
              </a:graphicData>
            </a:graphic>
          </wp:inline>
        </w:drawing>
      </w:r>
    </w:p>
    <w:p w14:paraId="4B43F4E9" w14:textId="6142D8EA" w:rsidR="009B22F9" w:rsidRDefault="009B22F9" w:rsidP="00B93F18">
      <w:pPr>
        <w:rPr>
          <w:noProof/>
        </w:rPr>
      </w:pPr>
      <w:r w:rsidRPr="009B22F9">
        <w:rPr>
          <w:noProof/>
        </w:rPr>
        <w:lastRenderedPageBreak/>
        <w:drawing>
          <wp:inline distT="0" distB="0" distL="0" distR="0" wp14:anchorId="4A07F422" wp14:editId="35A4E209">
            <wp:extent cx="6372225" cy="9060815"/>
            <wp:effectExtent l="0" t="0" r="9525" b="6985"/>
            <wp:docPr id="470" name="Picture 470" descr="Figure 6: Actual and projected number of new entrants for major disability types.&#10;This chart is a series of line graphs with annual data and projections from 2018 to 2030 on the horizontal axis.&#10;The vertical axis is participants ranging from 0 to 40,000.&#10;&#10;The graphs are as follows:&#10;Autism&#10;Autism 21&#10;Autism 22&#10;Delay&#10;Delay 21&#10;Delay 22&#10;Intellectual Disability&#10;Intellectual Disability 21&#10;Intellectual Disability 22&#10;Psychosocial disability&#10;Psychosocial disability 21&#10;Psychosocial disability 22&#10;All Other&#10;All Other 21&#10;All Other 22&#10;&#10;Higher numbers of new participants with autism, intellectual disabilities and psychosocial disabilities presented to the scheme than were expected in the prior FSR. Consequently, the projected number of new entrants have been increased, particularly participants with Autism.&#10;&#10;Figure 6 illustrates that the number of new entrants appears to be tapering towards a long-term new entrant rate for most disability types. This is due to the assumption that those remaining in the population with a previously unmet need will join the scheme over the next two years.&#10;One cohort, for which it is harder to conclude that the number of new entrants is tapering to a longer-term rate of new incidence is new participants with developmental delay. New entrants to this group have continued to increase. The projected number of new entrants for this cohort is expected to reduce from last year’s levels. This places full reliance on the new entrant analysis at the youngest ages and will be a test of the methodology used to derive these assumptions.&#10;Figure 6 groups all other categories of disability. This comprises many smaller cohorts. The total number of new entrants for these cohorts in 2021-22 was similar to that which was expected in the 30 June 2021 FSR. Projected new entrants have been largely maintained for the first three projection years, before being reduced thereafter.&#10;As noted earlier, new entrant assumptions have given increased credibility to recent experience. This practice has been shown to improve the accuracy of the projection. New entrant numbers fo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Picture 470" descr="Figure 6: Actual and projected number of new entrants for major disability types.&#10;This chart is a series of line graphs with annual data and projections from 2018 to 2030 on the horizontal axis.&#10;The vertical axis is participants ranging from 0 to 40,000.&#10;&#10;The graphs are as follows:&#10;Autism&#10;Autism 21&#10;Autism 22&#10;Delay&#10;Delay 21&#10;Delay 22&#10;Intellectual Disability&#10;Intellectual Disability 21&#10;Intellectual Disability 22&#10;Psychosocial disability&#10;Psychosocial disability 21&#10;Psychosocial disability 22&#10;All Other&#10;All Other 21&#10;All Other 22&#10;&#10;Higher numbers of new participants with autism, intellectual disabilities and psychosocial disabilities presented to the scheme than were expected in the prior FSR. Consequently, the projected number of new entrants have been increased, particularly participants with Autism.&#10;&#10;Figure 6 illustrates that the number of new entrants appears to be tapering towards a long-term new entrant rate for most disability types. This is due to the assumption that those remaining in the population with a previously unmet need will join the scheme over the next two years.&#10;One cohort, for which it is harder to conclude that the number of new entrants is tapering to a longer-term rate of new incidence is new participants with developmental delay. New entrants to this group have continued to increase. The projected number of new entrants for this cohort is expected to reduce from last year’s levels. This places full reliance on the new entrant analysis at the youngest ages and will be a test of the methodology used to derive these assumptions.&#10;Figure 6 groups all other categories of disability. This comprises many smaller cohorts. The total number of new entrants for these cohorts in 2021-22 was similar to that which was expected in the 30 June 2021 FSR. Projected new entrants have been largely maintained for the first three projection years, before being reduced thereafter.&#10;As noted earlier, new entrant assumptions have given increased credibility to recent experience. This practice has been shown to improve the accuracy of the projection. New entrant numbers for&#10;&#10;"/>
                    <pic:cNvPicPr/>
                  </pic:nvPicPr>
                  <pic:blipFill>
                    <a:blip r:embed="rId97"/>
                    <a:stretch>
                      <a:fillRect/>
                    </a:stretch>
                  </pic:blipFill>
                  <pic:spPr>
                    <a:xfrm>
                      <a:off x="0" y="0"/>
                      <a:ext cx="6372225" cy="9060815"/>
                    </a:xfrm>
                    <a:prstGeom prst="rect">
                      <a:avLst/>
                    </a:prstGeom>
                  </pic:spPr>
                </pic:pic>
              </a:graphicData>
            </a:graphic>
          </wp:inline>
        </w:drawing>
      </w:r>
    </w:p>
    <w:p w14:paraId="5C8860E6" w14:textId="44BC351E" w:rsidR="009B22F9" w:rsidRDefault="00715C57" w:rsidP="00B93F18">
      <w:pPr>
        <w:rPr>
          <w:noProof/>
        </w:rPr>
      </w:pPr>
      <w:r w:rsidRPr="00715C57">
        <w:rPr>
          <w:noProof/>
        </w:rPr>
        <w:lastRenderedPageBreak/>
        <w:drawing>
          <wp:inline distT="0" distB="0" distL="0" distR="0" wp14:anchorId="034E8908" wp14:editId="358CE146">
            <wp:extent cx="6251575" cy="9129395"/>
            <wp:effectExtent l="0" t="0" r="0" b="0"/>
            <wp:docPr id="471" name="Picture 471" descr="participants with autism and developmental delay have exhibited some volatility. This illustrates the importance of reviewing these assumptions annually and contributes to uncertainty in the pro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Picture 471" descr="participants with autism and developmental delay have exhibited some volatility. This illustrates the importance of reviewing these assumptions annually and contributes to uncertainty in the projection."/>
                    <pic:cNvPicPr/>
                  </pic:nvPicPr>
                  <pic:blipFill>
                    <a:blip r:embed="rId98"/>
                    <a:stretch>
                      <a:fillRect/>
                    </a:stretch>
                  </pic:blipFill>
                  <pic:spPr>
                    <a:xfrm>
                      <a:off x="0" y="0"/>
                      <a:ext cx="6251575" cy="9129395"/>
                    </a:xfrm>
                    <a:prstGeom prst="rect">
                      <a:avLst/>
                    </a:prstGeom>
                  </pic:spPr>
                </pic:pic>
              </a:graphicData>
            </a:graphic>
          </wp:inline>
        </w:drawing>
      </w:r>
    </w:p>
    <w:p w14:paraId="3DB18426" w14:textId="462CF4DA" w:rsidR="00B93F18" w:rsidRDefault="003A4428" w:rsidP="00715C57">
      <w:pPr>
        <w:tabs>
          <w:tab w:val="left" w:pos="6929"/>
        </w:tabs>
        <w:ind w:left="0"/>
      </w:pPr>
      <w:r w:rsidRPr="003A4428">
        <w:rPr>
          <w:noProof/>
        </w:rPr>
        <w:lastRenderedPageBreak/>
        <w:drawing>
          <wp:inline distT="0" distB="0" distL="0" distR="0" wp14:anchorId="159C3FBE" wp14:editId="43807516">
            <wp:extent cx="6360160" cy="9129395"/>
            <wp:effectExtent l="0" t="0" r="2540" b="0"/>
            <wp:docPr id="472" name="Picture 472" descr="Attachment B: Mode of departure&#10;Leaving the scheme&#10;Figure 7 compares recent rates of leaving the scheme with recent projections. This shows that the rates at which people are expected to leave the scheme have been reduced in this projection to a level that is more consistent with the experience in 2021-22.&#10;&#10;Figure 7: Actual and projected crude rate of leaving&#10;&#10;A series of line charts from 2019 to 2031 with the following lines:&#10;Actual Non-Mort. Exit Rates.&#10;2019 AFSR.&#10;2020 AFSR.&#10;2021 AFSR.&#10;The vertical axis is from 0 to 3%.&#10;&#10;The movement in the rates participants are expected to leave the scheme rates by disability is illustrated in Figure 8. The lines labelled “Total” show the progress of the scheme average across all disabilities. The lower lines illustrate how the components in respect of participants with Autism and ABI have been reduced this year. The red lines plot the rates of leaving for developmental delay. This cohort has the highest expected rate of leaving and is plotted against the right-hand axis.&#10;&#10;Figure 8: Selected Actual and projected rates of leaving by disability.&#10;&#10;A series of line graphs with data from 2018 to 2031 on the horizontal axis.&#10;The line graphs present are:&#10;Total. &#10;Total 21.&#10;Total 22.&#10;ABI.&#10;ABI 21.&#10;ABI 22.&#10;Autism.&#10;Autism 21.&#10;Autism 22.&#10;Delay (RHS),&#10;Delay 21 (RHS). &#10;Delay 22 (R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Attachment B: Mode of departure&#10;Leaving the scheme&#10;Figure 7 compares recent rates of leaving the scheme with recent projections. This shows that the rates at which people are expected to leave the scheme have been reduced in this projection to a level that is more consistent with the experience in 2021-22.&#10;&#10;Figure 7: Actual and projected crude rate of leaving&#10;&#10;A series of line charts from 2019 to 2031 with the following lines:&#10;Actual Non-Mort. Exit Rates.&#10;2019 AFSR.&#10;2020 AFSR.&#10;2021 AFSR.&#10;The vertical axis is from 0 to 3%.&#10;&#10;The movement in the rates participants are expected to leave the scheme rates by disability is illustrated in Figure 8. The lines labelled “Total” show the progress of the scheme average across all disabilities. The lower lines illustrate how the components in respect of participants with Autism and ABI have been reduced this year. The red lines plot the rates of leaving for developmental delay. This cohort has the highest expected rate of leaving and is plotted against the right-hand axis.&#10;&#10;Figure 8: Selected Actual and projected rates of leaving by disability.&#10;&#10;A series of line graphs with data from 2018 to 2031 on the horizontal axis.&#10;The line graphs present are:&#10;Total. &#10;Total 21.&#10;Total 22.&#10;ABI.&#10;ABI 21.&#10;ABI 22.&#10;Autism.&#10;Autism 21.&#10;Autism 22.&#10;Delay (RHS),&#10;Delay 21 (RHS). &#10;Delay 22 (RHS). "/>
                    <pic:cNvPicPr/>
                  </pic:nvPicPr>
                  <pic:blipFill>
                    <a:blip r:embed="rId99"/>
                    <a:stretch>
                      <a:fillRect/>
                    </a:stretch>
                  </pic:blipFill>
                  <pic:spPr>
                    <a:xfrm>
                      <a:off x="0" y="0"/>
                      <a:ext cx="6360160" cy="9129395"/>
                    </a:xfrm>
                    <a:prstGeom prst="rect">
                      <a:avLst/>
                    </a:prstGeom>
                  </pic:spPr>
                </pic:pic>
              </a:graphicData>
            </a:graphic>
          </wp:inline>
        </w:drawing>
      </w:r>
    </w:p>
    <w:p w14:paraId="5B81E52E" w14:textId="3DA734DB" w:rsidR="003E76AB" w:rsidRDefault="003A4428" w:rsidP="00EE2D88">
      <w:r w:rsidRPr="003A4428">
        <w:rPr>
          <w:noProof/>
        </w:rPr>
        <w:lastRenderedPageBreak/>
        <w:drawing>
          <wp:inline distT="0" distB="0" distL="0" distR="0" wp14:anchorId="7B384C61" wp14:editId="2E847F2B">
            <wp:extent cx="6353175" cy="9129395"/>
            <wp:effectExtent l="0" t="0" r="9525" b="0"/>
            <wp:docPr id="473" name="Picture 473" descr="Mortality&#10;Participants may also cease to participate in the scheme due to their death. Figure 9 compares the recent actual crude mortality rate for the scheme with that which has been incorporated in recent projections. Historical experience is expected to exhibit significant volatility in a population of this size.&#10;Overall, this projection has marginally increased the expected aggregate level of mortality in the scheme, albeit not to the extent of the most recent years’ experience. Within the model, assumptions are set by age, disability type and level of function. The aggregate result illustrated in Figure 9 masks variations within individual cohorts.&#10;&#10;Figure 9: Actual and projected crude mortality exit rate&#10;&#10;This is a series of line graphs representing Crude Mortality Rate from 2019 to 2031 annually.&#10;The graphs represented are:&#10;Actual Mortality Exit Rate.&#10;2019 AFSR.&#10;2020 AFSR.&#10;2021 AFSR.&#10;2022 AFSR.&#10;&#10;The variation in mortality rates from year to year illustrates the challenges in setting this assumption.&#10;Mortality assumptions were reviewed based on 13 months of scheme experience to February 2022. The higher-than-expected number of deaths in 2021-22 (Figure 9) primarily occurred from January to June 2022 and were largely excluded from the analysis. Consequently, the model projects 300 fewer deaths in 2022-23 (compared to 2021-22) from a population that is around 10% larger. Should the experience of the last six months of 2021-22 be the beginning of a more persistent trend, the assumed rates will underestimate the number of deaths.&#10;I note that the Australian Life Tables are based on three years of deaths for a population that is over 40 times larger than this scheme. Part of the reason for this is to reduce the impact of short-term volatility in the number of deaths on the results. I would recommend these assumptions be further reviewed before the next FSR. When next reviewing these assumptions, I would suggest the Scheme Actuary consider using a longer period of investigation.&#10;Whilst noting the above, the total number of deaths in the scheme is relatively small. Differences between the assumed number of deaths and the actual number of deaths will not have as significant an impact on the participant projection as, for example, variations in the number of projected new ent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Picture 473" descr="Mortality&#10;Participants may also cease to participate in the scheme due to their death. Figure 9 compares the recent actual crude mortality rate for the scheme with that which has been incorporated in recent projections. Historical experience is expected to exhibit significant volatility in a population of this size.&#10;Overall, this projection has marginally increased the expected aggregate level of mortality in the scheme, albeit not to the extent of the most recent years’ experience. Within the model, assumptions are set by age, disability type and level of function. The aggregate result illustrated in Figure 9 masks variations within individual cohorts.&#10;&#10;Figure 9: Actual and projected crude mortality exit rate&#10;&#10;This is a series of line graphs representing Crude Mortality Rate from 2019 to 2031 annually.&#10;The graphs represented are:&#10;Actual Mortality Exit Rate.&#10;2019 AFSR.&#10;2020 AFSR.&#10;2021 AFSR.&#10;2022 AFSR.&#10;&#10;The variation in mortality rates from year to year illustrates the challenges in setting this assumption.&#10;Mortality assumptions were reviewed based on 13 months of scheme experience to February 2022. The higher-than-expected number of deaths in 2021-22 (Figure 9) primarily occurred from January to June 2022 and were largely excluded from the analysis. Consequently, the model projects 300 fewer deaths in 2022-23 (compared to 2021-22) from a population that is around 10% larger. Should the experience of the last six months of 2021-22 be the beginning of a more persistent trend, the assumed rates will underestimate the number of deaths.&#10;I note that the Australian Life Tables are based on three years of deaths for a population that is over 40 times larger than this scheme. Part of the reason for this is to reduce the impact of short-term volatility in the number of deaths on the results. I would recommend these assumptions be further reviewed before the next FSR. When next reviewing these assumptions, I would suggest the Scheme Actuary consider using a longer period of investigation.&#10;Whilst noting the above, the total number of deaths in the scheme is relatively small. Differences between the assumed number of deaths and the actual number of deaths will not have as significant an impact on the participant projection as, for example, variations in the number of projected new entrants."/>
                    <pic:cNvPicPr/>
                  </pic:nvPicPr>
                  <pic:blipFill>
                    <a:blip r:embed="rId100"/>
                    <a:stretch>
                      <a:fillRect/>
                    </a:stretch>
                  </pic:blipFill>
                  <pic:spPr>
                    <a:xfrm>
                      <a:off x="0" y="0"/>
                      <a:ext cx="6353175" cy="9129395"/>
                    </a:xfrm>
                    <a:prstGeom prst="rect">
                      <a:avLst/>
                    </a:prstGeom>
                  </pic:spPr>
                </pic:pic>
              </a:graphicData>
            </a:graphic>
          </wp:inline>
        </w:drawing>
      </w:r>
    </w:p>
    <w:p w14:paraId="79C5D348" w14:textId="05E3DD64" w:rsidR="003E76AB" w:rsidRPr="00262F3A" w:rsidRDefault="003B4493" w:rsidP="00EE2D88">
      <w:pPr>
        <w:pStyle w:val="FGCHEADING2"/>
      </w:pPr>
      <w:bookmarkStart w:id="412" w:name="_Toc18319613"/>
      <w:bookmarkStart w:id="413" w:name="_Toc51067973"/>
      <w:bookmarkStart w:id="414" w:name="_Toc57124441"/>
      <w:bookmarkStart w:id="415" w:name="_Toc114477526"/>
      <w:bookmarkStart w:id="416" w:name="_Toc116472676"/>
      <w:bookmarkStart w:id="417" w:name="_Toc116473891"/>
      <w:bookmarkStart w:id="418" w:name="_Hlk16357723"/>
      <w:r>
        <w:lastRenderedPageBreak/>
        <w:t>A</w:t>
      </w:r>
      <w:r w:rsidR="003E76AB" w:rsidRPr="00262F3A">
        <w:t>nnual performance statements</w:t>
      </w:r>
      <w:bookmarkEnd w:id="412"/>
      <w:bookmarkEnd w:id="413"/>
      <w:bookmarkEnd w:id="414"/>
      <w:bookmarkEnd w:id="415"/>
      <w:bookmarkEnd w:id="416"/>
      <w:bookmarkEnd w:id="417"/>
    </w:p>
    <w:p w14:paraId="1BA90828" w14:textId="25E2B00A" w:rsidR="009054AB" w:rsidRPr="00E262D5" w:rsidRDefault="00E262D5" w:rsidP="005B733E">
      <w:pPr>
        <w:pStyle w:val="BodyText"/>
        <w:ind w:left="57"/>
        <w:sectPr w:rsidR="009054AB" w:rsidRPr="00E262D5" w:rsidSect="00873C47">
          <w:pgSz w:w="11906" w:h="16838"/>
          <w:pgMar w:top="1021" w:right="907" w:bottom="1440" w:left="964" w:header="708" w:footer="737" w:gutter="0"/>
          <w:cols w:space="708"/>
          <w:titlePg/>
          <w:docGrid w:linePitch="360"/>
        </w:sectPr>
      </w:pPr>
      <w:r w:rsidRPr="009054AB">
        <w:rPr>
          <w:noProof/>
        </w:rPr>
        <w:drawing>
          <wp:inline distT="0" distB="0" distL="0" distR="0" wp14:anchorId="0488285C" wp14:editId="7680F1CA">
            <wp:extent cx="6320615" cy="8175921"/>
            <wp:effectExtent l="0" t="0" r="4445" b="0"/>
            <wp:docPr id="497" name="Picture 497" descr="National Disability Insurance Agency –&#10;performance statement authority&#10;I, Jim Minto, as the Acting Chair of the accountable authority of the National&#10;Disability Insurance Agency (NDIA), present the NDIA’s 2021–22 annual&#10;performance statements, as required under paragraph 39(1)(a) of the Public&#10;Governance, Performance and Accountability Act 2013 (PGPA Act).&#10;The performance statements acquit the performance criteria as published&#10;in both the NDIA Corporate Plan 2021–25 and Portfolio Budget Statements&#10;2021–22, Budget Related Paper No 1.15A.&#10;In the opinion of the Board, the annual performance statements have been&#10;appropriately prepared and presented in compliance with subsection 39(2) of&#10;the PGPA Act and are based on properly maintained records and accurately&#10;reflect the performance of the NDIA for 2021–22.&#10;The data included in the annual performance statement should be read in&#10;conjunction with the commentary provided in section 2 of this annual report.&#10;Jim Minto&#10;Chair,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descr="National Disability Insurance Agency –&#10;performance statement authority&#10;I, Jim Minto, as the Acting Chair of the accountable authority of the National&#10;Disability Insurance Agency (NDIA), present the NDIA’s 2021–22 annual&#10;performance statements, as required under paragraph 39(1)(a) of the Public&#10;Governance, Performance and Accountability Act 2013 (PGPA Act).&#10;The performance statements acquit the performance criteria as published&#10;in both the NDIA Corporate Plan 2021–25 and Portfolio Budget Statements&#10;2021–22, Budget Related Paper No 1.15A.&#10;In the opinion of the Board, the annual performance statements have been&#10;appropriately prepared and presented in compliance with subsection 39(2) of&#10;the PGPA Act and are based on properly maintained records and accurately&#10;reflect the performance of the NDIA for 2021–22.&#10;The data included in the annual performance statement should be read in&#10;conjunction with the commentary provided in section 2 of this annual report.&#10;Jim Minto&#10;Chair, National Disability Insurance Agency"/>
                    <pic:cNvPicPr/>
                  </pic:nvPicPr>
                  <pic:blipFill>
                    <a:blip r:embed="rId101">
                      <a:extLst>
                        <a:ext uri="{28A0092B-C50C-407E-A947-70E740481C1C}">
                          <a14:useLocalDpi xmlns:a14="http://schemas.microsoft.com/office/drawing/2010/main" val="0"/>
                        </a:ext>
                      </a:extLst>
                    </a:blip>
                    <a:stretch>
                      <a:fillRect/>
                    </a:stretch>
                  </pic:blipFill>
                  <pic:spPr>
                    <a:xfrm>
                      <a:off x="0" y="0"/>
                      <a:ext cx="6320615" cy="8175921"/>
                    </a:xfrm>
                    <a:prstGeom prst="rect">
                      <a:avLst/>
                    </a:prstGeom>
                  </pic:spPr>
                </pic:pic>
              </a:graphicData>
            </a:graphic>
          </wp:inline>
        </w:drawing>
      </w:r>
    </w:p>
    <w:p w14:paraId="12B2F645" w14:textId="77777777" w:rsidR="003E76AB" w:rsidRPr="00262F3A" w:rsidRDefault="003E76AB" w:rsidP="00EE2D88">
      <w:pPr>
        <w:pStyle w:val="FGCHEADING3"/>
        <w:numPr>
          <w:ilvl w:val="0"/>
          <w:numId w:val="0"/>
        </w:numPr>
        <w:ind w:left="652"/>
      </w:pPr>
      <w:bookmarkStart w:id="419" w:name="_Toc51067974"/>
      <w:bookmarkStart w:id="420" w:name="_Toc57124442"/>
      <w:bookmarkStart w:id="421" w:name="_Toc114477527"/>
      <w:bookmarkStart w:id="422" w:name="_Toc116472677"/>
      <w:bookmarkStart w:id="423" w:name="_Toc116473892"/>
      <w:bookmarkStart w:id="424" w:name="_Toc116414698"/>
      <w:r w:rsidRPr="00262F3A">
        <w:lastRenderedPageBreak/>
        <w:t>Introduction</w:t>
      </w:r>
      <w:bookmarkEnd w:id="419"/>
      <w:bookmarkEnd w:id="420"/>
      <w:bookmarkEnd w:id="421"/>
      <w:bookmarkEnd w:id="422"/>
      <w:bookmarkEnd w:id="423"/>
      <w:r w:rsidRPr="00262F3A">
        <w:t xml:space="preserve"> </w:t>
      </w:r>
      <w:bookmarkEnd w:id="424"/>
    </w:p>
    <w:p w14:paraId="769E664B" w14:textId="0246595C" w:rsidR="003E76AB" w:rsidRPr="00AE5890" w:rsidRDefault="003E76AB" w:rsidP="003E76AB">
      <w:pPr>
        <w:rPr>
          <w:rFonts w:eastAsia="DengXian"/>
        </w:rPr>
      </w:pPr>
      <w:r w:rsidRPr="00AE5890">
        <w:rPr>
          <w:rFonts w:eastAsia="DengXian"/>
        </w:rPr>
        <w:t>As a Commonwealth entity, the NDIA is subject to the Commonwealth Performance Framework. The framework has 3 key elements as outlined in Figure 3.3A.</w:t>
      </w:r>
    </w:p>
    <w:p w14:paraId="35C7320C" w14:textId="5FDED9FD" w:rsidR="003E76AB" w:rsidRPr="00AE5890" w:rsidRDefault="003E76AB" w:rsidP="003E76AB">
      <w:pPr>
        <w:rPr>
          <w:rFonts w:eastAsia="DengXian"/>
        </w:rPr>
      </w:pPr>
      <w:r w:rsidRPr="00AE5890">
        <w:rPr>
          <w:rFonts w:eastAsia="DengXian"/>
          <w:b/>
        </w:rPr>
        <w:t xml:space="preserve"> Figure 3.3A</w:t>
      </w:r>
      <w:r w:rsidR="003D3ABB">
        <w:rPr>
          <w:rFonts w:eastAsia="DengXian"/>
          <w:b/>
        </w:rPr>
        <w:t>:</w:t>
      </w:r>
      <w:r w:rsidRPr="00AE5890">
        <w:rPr>
          <w:rFonts w:eastAsia="DengXian"/>
        </w:rPr>
        <w:t xml:space="preserve"> Commonwealth P</w:t>
      </w:r>
      <w:r>
        <w:rPr>
          <w:rFonts w:eastAsia="DengXian"/>
        </w:rPr>
        <w:t>erformance</w:t>
      </w:r>
      <w:r w:rsidRPr="00AE5890">
        <w:rPr>
          <w:rFonts w:eastAsia="DengXian"/>
        </w:rPr>
        <w:t xml:space="preserve"> Framework</w:t>
      </w:r>
    </w:p>
    <w:p w14:paraId="35D7D84B" w14:textId="035DA844" w:rsidR="003E76AB" w:rsidRPr="009A21F0" w:rsidRDefault="006B0D6A" w:rsidP="003E76AB">
      <w:pPr>
        <w:rPr>
          <w:rFonts w:eastAsia="DengXian"/>
          <w:sz w:val="21"/>
          <w:szCs w:val="21"/>
        </w:rPr>
      </w:pPr>
      <w:r w:rsidRPr="006B0D6A">
        <w:rPr>
          <w:rFonts w:eastAsia="DengXian"/>
          <w:noProof/>
          <w:sz w:val="21"/>
          <w:szCs w:val="21"/>
        </w:rPr>
        <w:drawing>
          <wp:inline distT="0" distB="0" distL="0" distR="0" wp14:anchorId="0B48F5D3" wp14:editId="6BC12C6B">
            <wp:extent cx="5839640" cy="2495898"/>
            <wp:effectExtent l="0" t="0" r="8890" b="0"/>
            <wp:docPr id="498" name="Picture 498" descr="This chart represents the commonwealth performance framework.&#10;It is made up of the Portfolio Budget Statement – Funding document sets out the funding for the agency.&#10;Corporate plan – Planning document sets out strategies on how to achieve the Scheme’s purpose.&#10;Annual Report- Annual Performance Statement. Report document: assess the extent to which an entity has succeeded in achieving its purpos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descr="This chart represents the commonwealth performance framework.&#10;It is made up of the Portfolio Budget Statement – Funding document sets out the funding for the agency.&#10;Corporate plan – Planning document sets out strategies on how to achieve the Scheme’s purpose.&#10;Annual Report- Annual Performance Statement. Report document: assess the extent to which an entity has succeeded in achieving its purpose.&#10;"/>
                    <pic:cNvPicPr/>
                  </pic:nvPicPr>
                  <pic:blipFill>
                    <a:blip r:embed="rId102"/>
                    <a:stretch>
                      <a:fillRect/>
                    </a:stretch>
                  </pic:blipFill>
                  <pic:spPr>
                    <a:xfrm>
                      <a:off x="0" y="0"/>
                      <a:ext cx="5839640" cy="2495898"/>
                    </a:xfrm>
                    <a:prstGeom prst="rect">
                      <a:avLst/>
                    </a:prstGeom>
                  </pic:spPr>
                </pic:pic>
              </a:graphicData>
            </a:graphic>
          </wp:inline>
        </w:drawing>
      </w:r>
    </w:p>
    <w:p w14:paraId="3491783C" w14:textId="4F3D740C" w:rsidR="003E76AB" w:rsidRPr="00AE5890" w:rsidRDefault="003E76AB" w:rsidP="003E76AB">
      <w:pPr>
        <w:rPr>
          <w:rFonts w:eastAsia="DengXian"/>
          <w:szCs w:val="24"/>
        </w:rPr>
      </w:pPr>
      <w:r w:rsidRPr="00AE5890">
        <w:rPr>
          <w:rFonts w:eastAsia="DengXian"/>
          <w:szCs w:val="24"/>
        </w:rPr>
        <w:t xml:space="preserve">The annual performance statements are one of the 3 core elements of this performance framework. The NDIA </w:t>
      </w:r>
      <w:r>
        <w:rPr>
          <w:rFonts w:eastAsia="DengXian"/>
          <w:szCs w:val="24"/>
        </w:rPr>
        <w:t>Portfolio Budget Statements 2021–22</w:t>
      </w:r>
      <w:r w:rsidRPr="00AE5890">
        <w:rPr>
          <w:rFonts w:eastAsia="DengXian"/>
          <w:szCs w:val="24"/>
        </w:rPr>
        <w:t xml:space="preserve"> (PBS), published in Budget Related Paper No 1.12</w:t>
      </w:r>
      <w:r w:rsidR="006E7777">
        <w:rPr>
          <w:rFonts w:eastAsia="DengXian"/>
          <w:szCs w:val="24"/>
        </w:rPr>
        <w:t>,</w:t>
      </w:r>
      <w:r w:rsidRPr="00AE5890">
        <w:rPr>
          <w:rFonts w:eastAsia="DengXian"/>
          <w:szCs w:val="24"/>
        </w:rPr>
        <w:t xml:space="preserve"> and the </w:t>
      </w:r>
      <w:hyperlink r:id="rId103" w:history="1">
        <w:r w:rsidRPr="005F4694">
          <w:rPr>
            <w:rStyle w:val="Hyperlink"/>
            <w:rFonts w:eastAsia="DengXian"/>
            <w:szCs w:val="24"/>
          </w:rPr>
          <w:t>NDIA C</w:t>
        </w:r>
        <w:r w:rsidRPr="005F4694">
          <w:rPr>
            <w:rStyle w:val="Hyperlink"/>
            <w:rFonts w:eastAsia="Malgun Gothic" w:hAnsi="Malgun Gothic"/>
            <w:szCs w:val="24"/>
          </w:rPr>
          <w:t xml:space="preserve">orporate Plan </w:t>
        </w:r>
        <w:r w:rsidRPr="005F4694">
          <w:rPr>
            <w:rStyle w:val="Hyperlink"/>
            <w:rFonts w:eastAsia="DengXian"/>
            <w:szCs w:val="24"/>
          </w:rPr>
          <w:t>2021–25</w:t>
        </w:r>
      </w:hyperlink>
      <w:r w:rsidRPr="00AE5890">
        <w:rPr>
          <w:rFonts w:eastAsia="Malgun Gothic" w:hAnsi="Malgun Gothic"/>
          <w:szCs w:val="24"/>
        </w:rPr>
        <w:t xml:space="preserve"> constitute</w:t>
      </w:r>
      <w:r w:rsidRPr="00AE5890">
        <w:rPr>
          <w:rFonts w:eastAsia="DengXian"/>
          <w:szCs w:val="24"/>
        </w:rPr>
        <w:t xml:space="preserve"> the remaining 2 components.</w:t>
      </w:r>
    </w:p>
    <w:p w14:paraId="4BBE581C" w14:textId="7F747BC7" w:rsidR="003E76AB" w:rsidRPr="00BF6044" w:rsidRDefault="003E76AB" w:rsidP="00EE2D88">
      <w:pPr>
        <w:pStyle w:val="FGCHEADING3"/>
        <w:numPr>
          <w:ilvl w:val="0"/>
          <w:numId w:val="0"/>
        </w:numPr>
        <w:ind w:left="652"/>
      </w:pPr>
      <w:bookmarkStart w:id="425" w:name="_Toc51067975"/>
      <w:bookmarkStart w:id="426" w:name="_Toc57124443"/>
      <w:bookmarkStart w:id="427" w:name="_Toc114477528"/>
      <w:bookmarkStart w:id="428" w:name="_Toc116414699"/>
      <w:bookmarkStart w:id="429" w:name="_Toc116472678"/>
      <w:bookmarkStart w:id="430" w:name="_Toc116473893"/>
      <w:r w:rsidRPr="00BF6044">
        <w:t>Structure and content</w:t>
      </w:r>
      <w:bookmarkEnd w:id="425"/>
      <w:bookmarkEnd w:id="426"/>
      <w:bookmarkEnd w:id="427"/>
      <w:bookmarkEnd w:id="428"/>
      <w:bookmarkEnd w:id="429"/>
      <w:bookmarkEnd w:id="430"/>
    </w:p>
    <w:p w14:paraId="6046FA7E" w14:textId="3B0CEBA8" w:rsidR="003E76AB" w:rsidRPr="00A7551A" w:rsidRDefault="003E76AB" w:rsidP="003E76AB">
      <w:pPr>
        <w:rPr>
          <w:rFonts w:eastAsia="DengXian"/>
          <w:szCs w:val="24"/>
        </w:rPr>
      </w:pPr>
      <w:r w:rsidRPr="00573ADA">
        <w:rPr>
          <w:rFonts w:eastAsia="DengXian"/>
          <w:szCs w:val="24"/>
        </w:rPr>
        <w:t xml:space="preserve">The annual performance statement is structured around the </w:t>
      </w:r>
      <w:r w:rsidRPr="00C2067A">
        <w:rPr>
          <w:sz w:val="21"/>
          <w:szCs w:val="21"/>
        </w:rPr>
        <w:t>metrics</w:t>
      </w:r>
      <w:r w:rsidRPr="00573ADA">
        <w:rPr>
          <w:rFonts w:eastAsia="DengXian"/>
          <w:szCs w:val="24"/>
        </w:rPr>
        <w:t xml:space="preserve"> outlined in </w:t>
      </w:r>
      <w:r w:rsidR="006E7777">
        <w:rPr>
          <w:rFonts w:eastAsia="DengXian"/>
          <w:szCs w:val="24"/>
        </w:rPr>
        <w:t>s</w:t>
      </w:r>
      <w:r w:rsidRPr="00F747A8">
        <w:rPr>
          <w:rFonts w:eastAsia="DengXian"/>
          <w:szCs w:val="24"/>
        </w:rPr>
        <w:t>ection</w:t>
      </w:r>
      <w:r>
        <w:rPr>
          <w:rFonts w:eastAsia="DengXian"/>
          <w:szCs w:val="24"/>
        </w:rPr>
        <w:t> </w:t>
      </w:r>
      <w:r w:rsidRPr="00F747A8">
        <w:rPr>
          <w:rFonts w:eastAsia="DengXian"/>
          <w:szCs w:val="24"/>
        </w:rPr>
        <w:t xml:space="preserve">5 of the </w:t>
      </w:r>
      <w:r w:rsidRPr="00573ADA">
        <w:rPr>
          <w:rFonts w:eastAsia="DengXian"/>
          <w:szCs w:val="24"/>
        </w:rPr>
        <w:t>NDIA Corporate Plan 202</w:t>
      </w:r>
      <w:r>
        <w:rPr>
          <w:rFonts w:eastAsia="DengXian"/>
          <w:szCs w:val="24"/>
        </w:rPr>
        <w:t>1</w:t>
      </w:r>
      <w:r w:rsidRPr="00573ADA">
        <w:rPr>
          <w:rFonts w:eastAsia="DengXian"/>
          <w:szCs w:val="24"/>
        </w:rPr>
        <w:t>–2</w:t>
      </w:r>
      <w:r>
        <w:rPr>
          <w:rFonts w:eastAsia="DengXian"/>
          <w:szCs w:val="24"/>
        </w:rPr>
        <w:t>5</w:t>
      </w:r>
      <w:r w:rsidRPr="00A122CB">
        <w:rPr>
          <w:rFonts w:eastAsia="DengXian"/>
          <w:szCs w:val="24"/>
        </w:rPr>
        <w:t>.</w:t>
      </w:r>
      <w:r w:rsidRPr="00A122CB">
        <w:rPr>
          <w:rFonts w:eastAsia="DengXian"/>
          <w:szCs w:val="24"/>
          <w:vertAlign w:val="superscript"/>
        </w:rPr>
        <w:t xml:space="preserve"> </w:t>
      </w:r>
      <w:r w:rsidRPr="00A122CB">
        <w:rPr>
          <w:rFonts w:eastAsia="DengXian"/>
          <w:szCs w:val="24"/>
          <w:vertAlign w:val="superscript"/>
        </w:rPr>
        <w:footnoteReference w:id="36"/>
      </w:r>
      <w:r w:rsidRPr="00A122CB">
        <w:rPr>
          <w:rFonts w:eastAsia="DengXian"/>
          <w:szCs w:val="24"/>
          <w:vertAlign w:val="superscript"/>
        </w:rPr>
        <w:t xml:space="preserve"> </w:t>
      </w:r>
      <w:r w:rsidRPr="00A122CB">
        <w:rPr>
          <w:rFonts w:eastAsia="DengXian"/>
          <w:szCs w:val="24"/>
        </w:rPr>
        <w:t xml:space="preserve">The </w:t>
      </w:r>
      <w:r>
        <w:rPr>
          <w:rFonts w:eastAsia="DengXian"/>
          <w:szCs w:val="24"/>
        </w:rPr>
        <w:t xml:space="preserve">metrics outlined in the Corporate Plan allow the NDIA to track progress against the strategy outlined in the Corporate Plan.  </w:t>
      </w:r>
    </w:p>
    <w:p w14:paraId="1E04A930" w14:textId="77777777" w:rsidR="003E76AB" w:rsidRPr="005146FD" w:rsidRDefault="003E76AB" w:rsidP="003E76AB">
      <w:pPr>
        <w:rPr>
          <w:rFonts w:eastAsia="DengXian"/>
          <w:szCs w:val="24"/>
        </w:rPr>
      </w:pPr>
      <w:r w:rsidRPr="00573ADA">
        <w:rPr>
          <w:rFonts w:eastAsia="DengXian"/>
          <w:szCs w:val="24"/>
        </w:rPr>
        <w:t>The structure of the performance metrics and targets</w:t>
      </w:r>
      <w:r>
        <w:rPr>
          <w:rFonts w:eastAsia="DengXian"/>
          <w:szCs w:val="24"/>
        </w:rPr>
        <w:t xml:space="preserve"> </w:t>
      </w:r>
      <w:r w:rsidRPr="00573ADA">
        <w:rPr>
          <w:rFonts w:eastAsia="DengXian"/>
          <w:szCs w:val="24"/>
        </w:rPr>
        <w:t xml:space="preserve">provides a high-level scorecard of our progress towards delivering enhanced participant outcomes, while maintaining </w:t>
      </w:r>
      <w:r w:rsidRPr="005146FD">
        <w:rPr>
          <w:rFonts w:eastAsia="DengXian"/>
          <w:szCs w:val="24"/>
        </w:rPr>
        <w:t>long-term financial affordability. To assist in understanding the results, the individual metrics have been categorised as follows:</w:t>
      </w:r>
    </w:p>
    <w:p w14:paraId="33DB621E" w14:textId="77777777" w:rsidR="003E76AB" w:rsidRPr="00B31ADF" w:rsidRDefault="003E76AB" w:rsidP="003E76AB">
      <w:pPr>
        <w:pStyle w:val="ListParagraph"/>
        <w:numPr>
          <w:ilvl w:val="0"/>
          <w:numId w:val="43"/>
        </w:numPr>
        <w:rPr>
          <w:szCs w:val="24"/>
          <w:lang w:eastAsia="en-AU"/>
        </w:rPr>
      </w:pPr>
      <w:r w:rsidRPr="00B31ADF">
        <w:rPr>
          <w:szCs w:val="24"/>
          <w:lang w:eastAsia="en-AU"/>
        </w:rPr>
        <w:t>Participant and Scheme outcomes</w:t>
      </w:r>
    </w:p>
    <w:p w14:paraId="024FDDE9" w14:textId="77777777" w:rsidR="003E76AB" w:rsidRPr="00B31ADF" w:rsidRDefault="003E76AB" w:rsidP="003E76AB">
      <w:pPr>
        <w:pStyle w:val="ListParagraph"/>
        <w:numPr>
          <w:ilvl w:val="0"/>
          <w:numId w:val="43"/>
        </w:numPr>
        <w:rPr>
          <w:szCs w:val="24"/>
          <w:lang w:eastAsia="en-AU"/>
        </w:rPr>
      </w:pPr>
      <w:r w:rsidRPr="00B31ADF">
        <w:rPr>
          <w:szCs w:val="24"/>
          <w:lang w:eastAsia="en-AU"/>
        </w:rPr>
        <w:t>Participant and stakeholder sentiment</w:t>
      </w:r>
    </w:p>
    <w:p w14:paraId="4D00F249" w14:textId="77777777" w:rsidR="003E76AB" w:rsidRPr="00B31ADF" w:rsidRDefault="003E76AB" w:rsidP="003E76AB">
      <w:pPr>
        <w:pStyle w:val="ListParagraph"/>
        <w:numPr>
          <w:ilvl w:val="0"/>
          <w:numId w:val="43"/>
        </w:numPr>
        <w:rPr>
          <w:szCs w:val="24"/>
          <w:lang w:eastAsia="en-AU"/>
        </w:rPr>
      </w:pPr>
      <w:r w:rsidRPr="00B31ADF">
        <w:rPr>
          <w:szCs w:val="24"/>
          <w:lang w:eastAsia="en-AU"/>
        </w:rPr>
        <w:t>Scheme financial sustainability and integrity</w:t>
      </w:r>
    </w:p>
    <w:p w14:paraId="385BAEAB" w14:textId="77777777" w:rsidR="003E76AB" w:rsidRPr="00B31ADF" w:rsidRDefault="003E76AB" w:rsidP="003E76AB">
      <w:pPr>
        <w:pStyle w:val="ListParagraph"/>
        <w:numPr>
          <w:ilvl w:val="0"/>
          <w:numId w:val="43"/>
        </w:numPr>
        <w:rPr>
          <w:szCs w:val="24"/>
          <w:lang w:eastAsia="en-AU"/>
        </w:rPr>
      </w:pPr>
      <w:r w:rsidRPr="00B31ADF">
        <w:rPr>
          <w:szCs w:val="24"/>
          <w:lang w:eastAsia="en-AU"/>
        </w:rPr>
        <w:t>Scheme operating performance</w:t>
      </w:r>
    </w:p>
    <w:p w14:paraId="30489FED" w14:textId="77777777" w:rsidR="003E76AB" w:rsidRPr="00B31ADF" w:rsidRDefault="003E76AB" w:rsidP="003E76AB">
      <w:pPr>
        <w:pStyle w:val="ListParagraph"/>
        <w:numPr>
          <w:ilvl w:val="0"/>
          <w:numId w:val="43"/>
        </w:numPr>
        <w:rPr>
          <w:szCs w:val="24"/>
          <w:lang w:eastAsia="en-AU"/>
        </w:rPr>
      </w:pPr>
      <w:r w:rsidRPr="00B31ADF">
        <w:rPr>
          <w:szCs w:val="24"/>
          <w:lang w:eastAsia="en-AU"/>
        </w:rPr>
        <w:t>Market performance</w:t>
      </w:r>
    </w:p>
    <w:p w14:paraId="6D2C1DB6" w14:textId="77777777" w:rsidR="003E76AB" w:rsidRPr="00B31ADF" w:rsidRDefault="003E76AB" w:rsidP="003E76AB">
      <w:pPr>
        <w:pStyle w:val="ListParagraph"/>
        <w:numPr>
          <w:ilvl w:val="0"/>
          <w:numId w:val="43"/>
        </w:numPr>
        <w:rPr>
          <w:szCs w:val="24"/>
          <w:lang w:eastAsia="en-AU"/>
        </w:rPr>
      </w:pPr>
      <w:r w:rsidRPr="00B31ADF">
        <w:rPr>
          <w:szCs w:val="24"/>
          <w:lang w:eastAsia="en-AU"/>
        </w:rPr>
        <w:t>Agency operating performance</w:t>
      </w:r>
    </w:p>
    <w:p w14:paraId="507CCE6B" w14:textId="77777777" w:rsidR="003E76AB" w:rsidRPr="005146FD" w:rsidRDefault="003E76AB" w:rsidP="003E76AB">
      <w:pPr>
        <w:rPr>
          <w:rFonts w:eastAsia="DengXian"/>
          <w:szCs w:val="24"/>
        </w:rPr>
      </w:pPr>
      <w:r w:rsidRPr="005146FD">
        <w:rPr>
          <w:rFonts w:eastAsia="DengXian"/>
          <w:szCs w:val="24"/>
        </w:rPr>
        <w:t>The metrics are also designed to provide a longitudinal understanding of the performance and impact of the Scheme.</w:t>
      </w:r>
    </w:p>
    <w:p w14:paraId="5F07D016" w14:textId="77777777" w:rsidR="003E76AB" w:rsidRPr="005146FD" w:rsidRDefault="003E76AB" w:rsidP="003E76AB">
      <w:pPr>
        <w:rPr>
          <w:rFonts w:eastAsia="DengXian"/>
          <w:szCs w:val="24"/>
        </w:rPr>
      </w:pPr>
      <w:r w:rsidRPr="005146FD">
        <w:rPr>
          <w:rFonts w:eastAsia="DengXian"/>
          <w:szCs w:val="24"/>
        </w:rPr>
        <w:t xml:space="preserve">The selection of these metrics addresses how the Agency will </w:t>
      </w:r>
      <w:r>
        <w:rPr>
          <w:rFonts w:eastAsia="DengXian"/>
          <w:szCs w:val="24"/>
        </w:rPr>
        <w:t>achieve</w:t>
      </w:r>
      <w:r w:rsidRPr="005146FD">
        <w:rPr>
          <w:rFonts w:eastAsia="DengXian"/>
          <w:szCs w:val="24"/>
        </w:rPr>
        <w:t xml:space="preserve"> its purpose and has been cross-referenced to the outcomes published in the 2020–21 PBS. </w:t>
      </w:r>
    </w:p>
    <w:p w14:paraId="49C6C770" w14:textId="77777777" w:rsidR="003E76AB" w:rsidRPr="00FB576B" w:rsidRDefault="003E76AB" w:rsidP="003E76AB">
      <w:pPr>
        <w:rPr>
          <w:rFonts w:eastAsia="DengXian"/>
          <w:szCs w:val="24"/>
        </w:rPr>
      </w:pPr>
      <w:r w:rsidRPr="005146FD">
        <w:rPr>
          <w:rFonts w:eastAsia="DengXian"/>
          <w:szCs w:val="24"/>
        </w:rPr>
        <w:t xml:space="preserve">The </w:t>
      </w:r>
      <w:r w:rsidRPr="00FB576B">
        <w:rPr>
          <w:rFonts w:eastAsia="DengXian"/>
          <w:szCs w:val="24"/>
        </w:rPr>
        <w:t xml:space="preserve">statement outlines our </w:t>
      </w:r>
      <w:r w:rsidRPr="00FB576B">
        <w:rPr>
          <w:sz w:val="21"/>
          <w:szCs w:val="21"/>
        </w:rPr>
        <w:t xml:space="preserve">results and analysis against each performance metric or target. </w:t>
      </w:r>
      <w:r w:rsidRPr="00FB576B">
        <w:rPr>
          <w:rFonts w:eastAsia="DengXian"/>
          <w:szCs w:val="24"/>
        </w:rPr>
        <w:t xml:space="preserve"> </w:t>
      </w:r>
    </w:p>
    <w:p w14:paraId="69DDFFA8" w14:textId="77777777" w:rsidR="003E76AB" w:rsidRDefault="003E76AB" w:rsidP="003E76AB">
      <w:pPr>
        <w:spacing w:before="0" w:after="160" w:line="259" w:lineRule="auto"/>
        <w:ind w:left="0"/>
        <w:rPr>
          <w:rFonts w:eastAsia="DengXian"/>
          <w:szCs w:val="24"/>
        </w:rPr>
      </w:pPr>
      <w:r>
        <w:rPr>
          <w:rFonts w:eastAsia="DengXian"/>
          <w:szCs w:val="24"/>
        </w:rPr>
        <w:br w:type="page"/>
      </w:r>
    </w:p>
    <w:p w14:paraId="66B9D069" w14:textId="77777777" w:rsidR="003E76AB" w:rsidRPr="00BF6044" w:rsidRDefault="003E76AB" w:rsidP="00EE2D88">
      <w:pPr>
        <w:pStyle w:val="FGCHEADING3"/>
        <w:numPr>
          <w:ilvl w:val="0"/>
          <w:numId w:val="0"/>
        </w:numPr>
        <w:ind w:left="720"/>
      </w:pPr>
      <w:bookmarkStart w:id="431" w:name="_Toc114477529"/>
      <w:bookmarkStart w:id="432" w:name="_Toc116414700"/>
      <w:bookmarkStart w:id="433" w:name="_Toc116472679"/>
      <w:bookmarkStart w:id="434" w:name="_Toc116473894"/>
      <w:r w:rsidRPr="00BF6044">
        <w:lastRenderedPageBreak/>
        <w:t>Performance measurement</w:t>
      </w:r>
      <w:bookmarkEnd w:id="431"/>
      <w:bookmarkEnd w:id="432"/>
      <w:bookmarkEnd w:id="433"/>
      <w:bookmarkEnd w:id="434"/>
    </w:p>
    <w:p w14:paraId="017D284F" w14:textId="50C5973A" w:rsidR="003E76AB" w:rsidRDefault="003E76AB" w:rsidP="007119AA">
      <w:pPr>
        <w:ind w:left="720"/>
        <w:rPr>
          <w:rFonts w:eastAsia="Cambria"/>
          <w:szCs w:val="24"/>
        </w:rPr>
      </w:pPr>
      <w:r w:rsidRPr="005146FD">
        <w:rPr>
          <w:rFonts w:eastAsia="Cambria"/>
          <w:szCs w:val="24"/>
        </w:rPr>
        <w:t>The NDIA uses multiple metrics to assess its performance</w:t>
      </w:r>
      <w:r>
        <w:rPr>
          <w:rFonts w:eastAsia="Cambria"/>
          <w:szCs w:val="24"/>
        </w:rPr>
        <w:t xml:space="preserve"> </w:t>
      </w:r>
      <w:r w:rsidRPr="00FB576B">
        <w:rPr>
          <w:rFonts w:eastAsia="Cambria"/>
          <w:szCs w:val="24"/>
        </w:rPr>
        <w:t xml:space="preserve">towards achieving its purpose statement contained in the NDIA Strategy Framework. The metrics in the </w:t>
      </w:r>
      <w:r>
        <w:rPr>
          <w:rFonts w:eastAsia="Cambria"/>
          <w:szCs w:val="24"/>
        </w:rPr>
        <w:t xml:space="preserve">NDIA </w:t>
      </w:r>
      <w:r w:rsidRPr="00FB576B">
        <w:rPr>
          <w:rFonts w:eastAsia="Cambria"/>
          <w:szCs w:val="24"/>
        </w:rPr>
        <w:t>Corporate Plan 2021</w:t>
      </w:r>
      <w:r w:rsidR="00465AFC">
        <w:rPr>
          <w:rFonts w:eastAsia="Cambria"/>
          <w:szCs w:val="24"/>
        </w:rPr>
        <w:t>–</w:t>
      </w:r>
      <w:r w:rsidRPr="00FB576B">
        <w:rPr>
          <w:rFonts w:eastAsia="Cambria"/>
          <w:szCs w:val="24"/>
        </w:rPr>
        <w:t>25 describe the NDIA’s long-term focus.</w:t>
      </w:r>
    </w:p>
    <w:p w14:paraId="39802236" w14:textId="23B5B375" w:rsidR="003E76AB" w:rsidRPr="005146FD" w:rsidRDefault="003E76AB" w:rsidP="00FF3436">
      <w:pPr>
        <w:ind w:left="720"/>
        <w:rPr>
          <w:rFonts w:eastAsia="Cambria"/>
          <w:szCs w:val="24"/>
        </w:rPr>
      </w:pPr>
      <w:r w:rsidRPr="005146FD">
        <w:rPr>
          <w:rFonts w:eastAsia="Cambria"/>
          <w:szCs w:val="24"/>
        </w:rPr>
        <w:t xml:space="preserve">Performance </w:t>
      </w:r>
      <w:r>
        <w:rPr>
          <w:rFonts w:eastAsia="Cambria"/>
          <w:szCs w:val="24"/>
        </w:rPr>
        <w:t xml:space="preserve">is monitored regularly with monthly reports being presented to both the </w:t>
      </w:r>
      <w:r w:rsidRPr="005146FD">
        <w:rPr>
          <w:rFonts w:eastAsia="Cambria"/>
          <w:szCs w:val="24"/>
        </w:rPr>
        <w:t xml:space="preserve">Board and the </w:t>
      </w:r>
      <w:r w:rsidR="00465AFC">
        <w:rPr>
          <w:rFonts w:eastAsia="Cambria"/>
          <w:szCs w:val="24"/>
        </w:rPr>
        <w:t>E</w:t>
      </w:r>
      <w:r w:rsidRPr="005146FD">
        <w:rPr>
          <w:rFonts w:eastAsia="Cambria"/>
          <w:szCs w:val="24"/>
        </w:rPr>
        <w:t xml:space="preserve">xecutive </w:t>
      </w:r>
      <w:r w:rsidR="00465AFC">
        <w:rPr>
          <w:rFonts w:eastAsia="Cambria"/>
          <w:szCs w:val="24"/>
        </w:rPr>
        <w:t>L</w:t>
      </w:r>
      <w:r w:rsidRPr="005146FD">
        <w:rPr>
          <w:rFonts w:eastAsia="Cambria"/>
          <w:szCs w:val="24"/>
        </w:rPr>
        <w:t xml:space="preserve">eadership </w:t>
      </w:r>
      <w:r w:rsidR="00465AFC">
        <w:rPr>
          <w:rFonts w:eastAsia="Cambria"/>
          <w:szCs w:val="24"/>
        </w:rPr>
        <w:t>T</w:t>
      </w:r>
      <w:r w:rsidRPr="005146FD">
        <w:rPr>
          <w:rFonts w:eastAsia="Cambria"/>
          <w:szCs w:val="24"/>
        </w:rPr>
        <w:t>eam.</w:t>
      </w:r>
    </w:p>
    <w:p w14:paraId="03AD3E59" w14:textId="77777777" w:rsidR="003E76AB" w:rsidRPr="005146FD" w:rsidRDefault="003E76AB" w:rsidP="007119AA">
      <w:pPr>
        <w:ind w:left="720"/>
        <w:rPr>
          <w:rFonts w:eastAsia="Cambria"/>
          <w:szCs w:val="24"/>
        </w:rPr>
      </w:pPr>
      <w:r w:rsidRPr="005146FD">
        <w:rPr>
          <w:rFonts w:eastAsia="Cambria"/>
          <w:szCs w:val="24"/>
        </w:rPr>
        <w:t xml:space="preserve">The result against each of the specified metrics comes from 1 of </w:t>
      </w:r>
      <w:r>
        <w:rPr>
          <w:rFonts w:eastAsia="Cambria"/>
          <w:szCs w:val="24"/>
        </w:rPr>
        <w:t>5</w:t>
      </w:r>
      <w:r w:rsidRPr="005146FD">
        <w:rPr>
          <w:rFonts w:eastAsia="Cambria"/>
          <w:szCs w:val="24"/>
        </w:rPr>
        <w:t xml:space="preserve"> primary sources within the Agency: </w:t>
      </w:r>
    </w:p>
    <w:p w14:paraId="283D9B46" w14:textId="77777777" w:rsidR="003E76AB" w:rsidRPr="00B31ADF" w:rsidRDefault="003E76AB" w:rsidP="007119AA">
      <w:pPr>
        <w:pStyle w:val="ListParagraph"/>
        <w:numPr>
          <w:ilvl w:val="0"/>
          <w:numId w:val="43"/>
        </w:numPr>
        <w:rPr>
          <w:szCs w:val="24"/>
          <w:lang w:eastAsia="en-AU"/>
        </w:rPr>
      </w:pPr>
      <w:r w:rsidRPr="00B31ADF">
        <w:rPr>
          <w:szCs w:val="24"/>
          <w:lang w:eastAsia="en-AU"/>
        </w:rPr>
        <w:t>Actuarial analysis of Scheme administrative data</w:t>
      </w:r>
    </w:p>
    <w:p w14:paraId="5E7A9615" w14:textId="77777777" w:rsidR="003E76AB" w:rsidRPr="00B31ADF" w:rsidRDefault="003E76AB" w:rsidP="007119AA">
      <w:pPr>
        <w:pStyle w:val="ListParagraph"/>
        <w:numPr>
          <w:ilvl w:val="0"/>
          <w:numId w:val="43"/>
        </w:numPr>
        <w:rPr>
          <w:szCs w:val="24"/>
          <w:lang w:eastAsia="en-AU"/>
        </w:rPr>
      </w:pPr>
      <w:r w:rsidRPr="00B31ADF">
        <w:rPr>
          <w:szCs w:val="24"/>
          <w:lang w:eastAsia="en-AU"/>
        </w:rPr>
        <w:t>Audited NDIA financial statements</w:t>
      </w:r>
    </w:p>
    <w:p w14:paraId="1FDC92AD" w14:textId="77777777" w:rsidR="003E76AB" w:rsidRPr="00B31ADF" w:rsidRDefault="003E76AB" w:rsidP="007119AA">
      <w:pPr>
        <w:pStyle w:val="ListParagraph"/>
        <w:numPr>
          <w:ilvl w:val="0"/>
          <w:numId w:val="43"/>
        </w:numPr>
        <w:rPr>
          <w:szCs w:val="24"/>
          <w:lang w:eastAsia="en-AU"/>
        </w:rPr>
      </w:pPr>
      <w:r w:rsidRPr="00B31ADF">
        <w:rPr>
          <w:szCs w:val="24"/>
          <w:lang w:eastAsia="en-AU"/>
        </w:rPr>
        <w:t xml:space="preserve">The APS annual census survey </w:t>
      </w:r>
    </w:p>
    <w:p w14:paraId="6BF3B1AA" w14:textId="77777777" w:rsidR="003E76AB" w:rsidRPr="00B31ADF" w:rsidRDefault="003E76AB" w:rsidP="007119AA">
      <w:pPr>
        <w:pStyle w:val="ListParagraph"/>
        <w:numPr>
          <w:ilvl w:val="0"/>
          <w:numId w:val="43"/>
        </w:numPr>
        <w:rPr>
          <w:szCs w:val="24"/>
          <w:lang w:eastAsia="en-AU"/>
        </w:rPr>
      </w:pPr>
      <w:r w:rsidRPr="00B31ADF">
        <w:rPr>
          <w:szCs w:val="24"/>
          <w:lang w:eastAsia="en-AU"/>
        </w:rPr>
        <w:t>Participant satisfaction and outcomes surveys</w:t>
      </w:r>
    </w:p>
    <w:p w14:paraId="7EF3B726" w14:textId="77777777" w:rsidR="003E76AB" w:rsidRPr="00B31ADF" w:rsidRDefault="003E76AB" w:rsidP="007119AA">
      <w:pPr>
        <w:pStyle w:val="ListParagraph"/>
        <w:numPr>
          <w:ilvl w:val="0"/>
          <w:numId w:val="43"/>
        </w:numPr>
        <w:rPr>
          <w:szCs w:val="24"/>
          <w:lang w:eastAsia="en-AU"/>
        </w:rPr>
      </w:pPr>
      <w:r w:rsidRPr="00B31ADF">
        <w:rPr>
          <w:szCs w:val="24"/>
          <w:lang w:eastAsia="en-AU"/>
        </w:rPr>
        <w:t xml:space="preserve">NDIA employee systems.  </w:t>
      </w:r>
    </w:p>
    <w:p w14:paraId="58A01B2B" w14:textId="77777777" w:rsidR="003E76AB" w:rsidRPr="00BF6044" w:rsidRDefault="003E76AB" w:rsidP="00EE2D88">
      <w:pPr>
        <w:pStyle w:val="FGCHEADING3"/>
        <w:numPr>
          <w:ilvl w:val="0"/>
          <w:numId w:val="0"/>
        </w:numPr>
        <w:ind w:left="720"/>
      </w:pPr>
      <w:bookmarkStart w:id="435" w:name="_Toc114477530"/>
      <w:bookmarkStart w:id="436" w:name="_Toc116414701"/>
      <w:bookmarkStart w:id="437" w:name="_Toc116472680"/>
      <w:bookmarkStart w:id="438" w:name="_Toc116473895"/>
      <w:r w:rsidRPr="00BF6044">
        <w:t>Performance results</w:t>
      </w:r>
      <w:bookmarkEnd w:id="418"/>
      <w:bookmarkEnd w:id="435"/>
      <w:bookmarkEnd w:id="436"/>
      <w:bookmarkEnd w:id="437"/>
      <w:bookmarkEnd w:id="438"/>
    </w:p>
    <w:p w14:paraId="113F137F" w14:textId="08724E11" w:rsidR="003E76AB" w:rsidRPr="00EE2D88" w:rsidRDefault="003E76AB" w:rsidP="00EE2D88">
      <w:pPr>
        <w:pStyle w:val="FGCHEADING4"/>
        <w:ind w:left="720"/>
        <w:rPr>
          <w:b w:val="0"/>
        </w:rPr>
      </w:pPr>
      <w:r w:rsidRPr="00EE2D88">
        <w:rPr>
          <w:rStyle w:val="FGCHEADING4Char"/>
        </w:rPr>
        <w:t>Participant and Scheme outcomes</w:t>
      </w:r>
    </w:p>
    <w:p w14:paraId="3BDB9E91" w14:textId="77777777" w:rsidR="003E76AB" w:rsidRPr="009340B4" w:rsidRDefault="003E76AB" w:rsidP="00FF3436">
      <w:pPr>
        <w:ind w:left="720"/>
        <w:rPr>
          <w:rFonts w:eastAsia="DengXian"/>
          <w:szCs w:val="24"/>
        </w:rPr>
      </w:pPr>
      <w:r w:rsidRPr="009340B4">
        <w:rPr>
          <w:rFonts w:eastAsia="DengXian"/>
          <w:szCs w:val="24"/>
        </w:rPr>
        <w:t>Participant and Scheme outcomes are measured by:</w:t>
      </w:r>
    </w:p>
    <w:p w14:paraId="735EF9B0" w14:textId="77777777" w:rsidR="003E76AB" w:rsidRPr="004B2E51" w:rsidRDefault="003E76AB" w:rsidP="003E76AB">
      <w:pPr>
        <w:pStyle w:val="ListParagraph"/>
        <w:numPr>
          <w:ilvl w:val="0"/>
          <w:numId w:val="43"/>
        </w:numPr>
        <w:rPr>
          <w:szCs w:val="24"/>
          <w:lang w:eastAsia="en-AU"/>
        </w:rPr>
      </w:pPr>
      <w:r w:rsidRPr="004B2E51">
        <w:rPr>
          <w:szCs w:val="24"/>
          <w:lang w:eastAsia="en-AU"/>
        </w:rPr>
        <w:t>participant employment rate (%)</w:t>
      </w:r>
    </w:p>
    <w:p w14:paraId="1D9DCD0D" w14:textId="77777777" w:rsidR="003E76AB" w:rsidRPr="004B2E51" w:rsidRDefault="003E76AB" w:rsidP="003E76AB">
      <w:pPr>
        <w:pStyle w:val="ListParagraph"/>
        <w:numPr>
          <w:ilvl w:val="0"/>
          <w:numId w:val="43"/>
        </w:numPr>
        <w:rPr>
          <w:szCs w:val="24"/>
          <w:lang w:eastAsia="en-AU"/>
        </w:rPr>
      </w:pPr>
      <w:r w:rsidRPr="004B2E51">
        <w:rPr>
          <w:szCs w:val="24"/>
          <w:lang w:eastAsia="en-AU"/>
        </w:rPr>
        <w:t>participant social and community engagement rate (%)</w:t>
      </w:r>
    </w:p>
    <w:p w14:paraId="49D025CB" w14:textId="77777777" w:rsidR="003E76AB" w:rsidRPr="009340B4" w:rsidRDefault="003E76AB" w:rsidP="003E76AB">
      <w:pPr>
        <w:pStyle w:val="ListParagraph"/>
        <w:numPr>
          <w:ilvl w:val="0"/>
          <w:numId w:val="43"/>
        </w:numPr>
        <w:rPr>
          <w:lang w:eastAsia="en-AU"/>
        </w:rPr>
      </w:pPr>
      <w:r w:rsidRPr="653ACD52">
        <w:rPr>
          <w:lang w:eastAsia="en-AU"/>
        </w:rPr>
        <w:t>families and carers employment rate (%)</w:t>
      </w:r>
    </w:p>
    <w:p w14:paraId="5146ADD1" w14:textId="77777777" w:rsidR="003E76AB" w:rsidRPr="004B2E51" w:rsidRDefault="003E76AB" w:rsidP="003E76AB">
      <w:pPr>
        <w:pStyle w:val="ListParagraph"/>
        <w:numPr>
          <w:ilvl w:val="0"/>
          <w:numId w:val="43"/>
        </w:numPr>
        <w:rPr>
          <w:szCs w:val="24"/>
          <w:lang w:eastAsia="en-AU"/>
        </w:rPr>
      </w:pPr>
      <w:r w:rsidRPr="004B2E51">
        <w:rPr>
          <w:szCs w:val="24"/>
          <w:lang w:eastAsia="en-AU"/>
        </w:rPr>
        <w:t>children benefiting from the Scheme and no longer needing supports (%)</w:t>
      </w:r>
    </w:p>
    <w:p w14:paraId="1CE24171" w14:textId="5164D550" w:rsidR="003E76AB" w:rsidRPr="002406F5" w:rsidRDefault="009310FB" w:rsidP="002406F5">
      <w:pPr>
        <w:pStyle w:val="ListParagraph"/>
        <w:numPr>
          <w:ilvl w:val="0"/>
          <w:numId w:val="43"/>
        </w:numPr>
        <w:rPr>
          <w:szCs w:val="24"/>
          <w:lang w:eastAsia="en-AU"/>
        </w:rPr>
      </w:pPr>
      <w:r>
        <w:rPr>
          <w:szCs w:val="24"/>
          <w:lang w:eastAsia="en-AU"/>
        </w:rPr>
        <w:t>s</w:t>
      </w:r>
      <w:r w:rsidR="003E76AB" w:rsidRPr="004B2E51">
        <w:rPr>
          <w:szCs w:val="24"/>
          <w:lang w:eastAsia="en-AU"/>
        </w:rPr>
        <w:t>ocio</w:t>
      </w:r>
      <w:r w:rsidR="00122956">
        <w:rPr>
          <w:szCs w:val="24"/>
          <w:lang w:eastAsia="en-AU"/>
        </w:rPr>
        <w:t>-</w:t>
      </w:r>
      <w:r w:rsidR="003E76AB" w:rsidRPr="004B2E51">
        <w:rPr>
          <w:szCs w:val="24"/>
          <w:lang w:eastAsia="en-AU"/>
        </w:rPr>
        <w:t>economic equity</w:t>
      </w:r>
      <w:r w:rsidR="00F43D98">
        <w:rPr>
          <w:szCs w:val="24"/>
          <w:lang w:eastAsia="en-AU"/>
        </w:rPr>
        <w:t>.</w:t>
      </w:r>
    </w:p>
    <w:p w14:paraId="2EF554CF" w14:textId="6A4DBA1D" w:rsidR="003E76AB" w:rsidRPr="009A21F0" w:rsidRDefault="003E76AB" w:rsidP="003E76AB">
      <w:pPr>
        <w:keepNext/>
        <w:rPr>
          <w:rFonts w:eastAsia="DengXian"/>
          <w:bCs/>
          <w:sz w:val="21"/>
          <w:szCs w:val="21"/>
        </w:rPr>
      </w:pPr>
      <w:r w:rsidRPr="009340B4">
        <w:rPr>
          <w:rFonts w:eastAsia="DengXian"/>
          <w:b/>
          <w:sz w:val="21"/>
          <w:szCs w:val="21"/>
        </w:rPr>
        <w:t>Table 3.3A:</w:t>
      </w:r>
      <w:r w:rsidRPr="009340B4">
        <w:rPr>
          <w:rFonts w:eastAsia="DengXian"/>
          <w:sz w:val="21"/>
          <w:szCs w:val="21"/>
        </w:rPr>
        <w:t xml:space="preserve"> Participant and Scheme outcomes</w:t>
      </w:r>
      <w:r w:rsidRPr="009A21F0" w:rsidDel="00E649CD">
        <w:rPr>
          <w:rFonts w:eastAsia="DengXian"/>
          <w:sz w:val="21"/>
          <w:szCs w:val="21"/>
        </w:rPr>
        <w:t xml:space="preserve"> </w:t>
      </w:r>
    </w:p>
    <w:tbl>
      <w:tblPr>
        <w:tblW w:w="9214" w:type="dxa"/>
        <w:tblInd w:w="704" w:type="dxa"/>
        <w:tblBorders>
          <w:top w:val="single" w:sz="8" w:space="0" w:color="FFC000"/>
          <w:bottom w:val="single" w:sz="8" w:space="0" w:color="FFC000"/>
        </w:tblBorders>
        <w:tblLayout w:type="fixed"/>
        <w:tblLook w:val="04A0" w:firstRow="1" w:lastRow="0" w:firstColumn="1" w:lastColumn="0" w:noHBand="0" w:noVBand="1"/>
      </w:tblPr>
      <w:tblGrid>
        <w:gridCol w:w="1843"/>
        <w:gridCol w:w="992"/>
        <w:gridCol w:w="1134"/>
        <w:gridCol w:w="1134"/>
        <w:gridCol w:w="4111"/>
      </w:tblGrid>
      <w:tr w:rsidR="003E76AB" w:rsidRPr="00D06CB0" w14:paraId="258C184C" w14:textId="77777777" w:rsidTr="00122956">
        <w:trPr>
          <w:trHeight w:val="369"/>
          <w:tblHeader/>
        </w:trPr>
        <w:tc>
          <w:tcPr>
            <w:tcW w:w="1843" w:type="dxa"/>
            <w:tcBorders>
              <w:top w:val="single" w:sz="4" w:space="0" w:color="auto"/>
              <w:left w:val="single" w:sz="4" w:space="0" w:color="auto"/>
              <w:bottom w:val="single" w:sz="4" w:space="0" w:color="auto"/>
              <w:right w:val="single" w:sz="4" w:space="0" w:color="auto"/>
            </w:tcBorders>
            <w:shd w:val="clear" w:color="auto" w:fill="6B2976"/>
            <w:hideMark/>
          </w:tcPr>
          <w:p w14:paraId="14C34AFD" w14:textId="77777777" w:rsidR="003E76AB" w:rsidRPr="00D06CB0" w:rsidRDefault="003E76AB" w:rsidP="00EE2D88">
            <w:pPr>
              <w:keepLines/>
              <w:spacing w:before="100" w:beforeAutospacing="1" w:after="100" w:afterAutospacing="1"/>
              <w:ind w:left="0"/>
              <w:rPr>
                <w:rFonts w:eastAsia="DengXian"/>
                <w:b/>
                <w:bCs/>
                <w:color w:val="FFFFFF"/>
                <w:sz w:val="20"/>
                <w:lang w:val="en-US"/>
              </w:rPr>
            </w:pPr>
            <w:r w:rsidRPr="00D06CB0">
              <w:rPr>
                <w:rFonts w:eastAsia="DengXian"/>
                <w:b/>
                <w:bCs/>
                <w:color w:val="FFFFFF"/>
                <w:sz w:val="20"/>
                <w:lang w:val="en-US"/>
              </w:rPr>
              <w:t xml:space="preserve">Performance metric </w:t>
            </w:r>
          </w:p>
        </w:tc>
        <w:tc>
          <w:tcPr>
            <w:tcW w:w="992" w:type="dxa"/>
            <w:tcBorders>
              <w:top w:val="single" w:sz="4" w:space="0" w:color="auto"/>
              <w:left w:val="single" w:sz="4" w:space="0" w:color="auto"/>
              <w:bottom w:val="single" w:sz="4" w:space="0" w:color="auto"/>
              <w:right w:val="single" w:sz="4" w:space="0" w:color="auto"/>
            </w:tcBorders>
            <w:shd w:val="clear" w:color="auto" w:fill="6B2976"/>
          </w:tcPr>
          <w:p w14:paraId="232091D2" w14:textId="77777777" w:rsidR="003E76AB" w:rsidRPr="00D06CB0" w:rsidRDefault="003E76AB" w:rsidP="005C33EF">
            <w:pPr>
              <w:keepLines/>
              <w:spacing w:beforeAutospacing="1" w:afterAutospacing="1"/>
              <w:ind w:left="5"/>
              <w:rPr>
                <w:rFonts w:eastAsia="DengXian"/>
                <w:b/>
                <w:bCs/>
                <w:color w:val="FFFFFF"/>
                <w:sz w:val="20"/>
                <w:lang w:val="en-US"/>
              </w:rPr>
            </w:pPr>
            <w:r>
              <w:rPr>
                <w:rFonts w:eastAsia="DengXian"/>
                <w:b/>
                <w:bCs/>
                <w:color w:val="FFFFFF"/>
                <w:sz w:val="20"/>
                <w:lang w:val="en-US"/>
              </w:rPr>
              <w:t>2020-21</w:t>
            </w:r>
            <w:r w:rsidRPr="00D06CB0">
              <w:rPr>
                <w:rFonts w:eastAsia="DengXian"/>
                <w:b/>
                <w:bCs/>
                <w:color w:val="FFFFFF"/>
                <w:sz w:val="20"/>
                <w:lang w:val="en-US"/>
              </w:rPr>
              <w:t xml:space="preserve"> Result</w:t>
            </w:r>
          </w:p>
        </w:tc>
        <w:tc>
          <w:tcPr>
            <w:tcW w:w="1134" w:type="dxa"/>
            <w:tcBorders>
              <w:top w:val="single" w:sz="4" w:space="0" w:color="auto"/>
              <w:left w:val="single" w:sz="4" w:space="0" w:color="auto"/>
              <w:bottom w:val="single" w:sz="4" w:space="0" w:color="auto"/>
              <w:right w:val="single" w:sz="4" w:space="0" w:color="auto"/>
            </w:tcBorders>
            <w:shd w:val="clear" w:color="auto" w:fill="6B2976"/>
            <w:hideMark/>
          </w:tcPr>
          <w:p w14:paraId="3386EAD3" w14:textId="20C2BEA6" w:rsidR="003E76AB" w:rsidRPr="00D06CB0" w:rsidRDefault="00577731" w:rsidP="005C33EF">
            <w:pPr>
              <w:keepLines/>
              <w:spacing w:beforeAutospacing="1" w:afterAutospacing="1"/>
              <w:ind w:left="5"/>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6B2976"/>
            <w:hideMark/>
          </w:tcPr>
          <w:p w14:paraId="59EB69B5" w14:textId="6EC0D4A0" w:rsidR="003E76AB" w:rsidRPr="00D06CB0" w:rsidRDefault="00577731" w:rsidP="005C33EF">
            <w:pPr>
              <w:keepLines/>
              <w:spacing w:beforeAutospacing="1" w:afterAutospacing="1"/>
              <w:ind w:left="6"/>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9310FB">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4111" w:type="dxa"/>
            <w:tcBorders>
              <w:top w:val="single" w:sz="4" w:space="0" w:color="auto"/>
              <w:left w:val="single" w:sz="4" w:space="0" w:color="auto"/>
              <w:bottom w:val="single" w:sz="4" w:space="0" w:color="auto"/>
              <w:right w:val="single" w:sz="4" w:space="0" w:color="auto"/>
            </w:tcBorders>
            <w:shd w:val="clear" w:color="auto" w:fill="6B2976"/>
            <w:hideMark/>
          </w:tcPr>
          <w:p w14:paraId="3743226A" w14:textId="77777777" w:rsidR="003E76AB" w:rsidRPr="00D06CB0" w:rsidRDefault="003E76AB" w:rsidP="005C33EF">
            <w:pPr>
              <w:keepLines/>
              <w:spacing w:beforeAutospacing="1" w:afterAutospacing="1"/>
              <w:ind w:left="2"/>
              <w:rPr>
                <w:rFonts w:eastAsia="DengXian"/>
                <w:b/>
                <w:bCs/>
                <w:color w:val="FFFFFF"/>
                <w:sz w:val="20"/>
                <w:lang w:val="en-US"/>
              </w:rPr>
            </w:pPr>
            <w:r>
              <w:rPr>
                <w:rFonts w:eastAsia="DengXian"/>
                <w:b/>
                <w:bCs/>
                <w:color w:val="FFFFFF"/>
                <w:sz w:val="20"/>
                <w:lang w:val="en-US"/>
              </w:rPr>
              <w:t>Analysis</w:t>
            </w:r>
            <w:r w:rsidRPr="00D06CB0">
              <w:rPr>
                <w:rFonts w:eastAsia="DengXian"/>
                <w:b/>
                <w:bCs/>
                <w:color w:val="FFFFFF"/>
                <w:sz w:val="20"/>
                <w:lang w:val="en-US"/>
              </w:rPr>
              <w:t xml:space="preserve"> </w:t>
            </w:r>
          </w:p>
        </w:tc>
      </w:tr>
      <w:tr w:rsidR="004C2C3E" w:rsidRPr="00D06CB0" w14:paraId="46AC9158" w14:textId="77777777" w:rsidTr="00122956">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CE2A5" w14:textId="77777777" w:rsidR="003E76AB" w:rsidRPr="00D06CB0" w:rsidRDefault="003E76AB" w:rsidP="005C33EF">
            <w:pPr>
              <w:keepLines/>
              <w:ind w:left="113" w:right="113"/>
              <w:rPr>
                <w:rFonts w:eastAsia="DengXian"/>
                <w:b/>
                <w:bCs/>
                <w:sz w:val="20"/>
                <w:lang w:val="en-US"/>
              </w:rPr>
            </w:pPr>
            <w:r w:rsidRPr="00D06CB0">
              <w:rPr>
                <w:rFonts w:eastAsia="DengXian"/>
                <w:b/>
                <w:bCs/>
                <w:sz w:val="20"/>
                <w:lang w:val="en-US"/>
              </w:rPr>
              <w:t>Participant employment rate (%)</w:t>
            </w:r>
          </w:p>
          <w:p w14:paraId="59DF8EE9" w14:textId="77777777" w:rsidR="003E76AB" w:rsidRPr="00D06CB0" w:rsidRDefault="003E76AB" w:rsidP="005C33EF">
            <w:pPr>
              <w:keepLines/>
              <w:ind w:left="113" w:right="113"/>
              <w:rPr>
                <w:rFonts w:eastAsia="DengXian"/>
                <w:b/>
                <w:bCs/>
                <w:i/>
                <w:sz w:val="20"/>
                <w:lang w:val="en-US"/>
              </w:rPr>
            </w:pPr>
            <w:r w:rsidRPr="00D06CB0">
              <w:rPr>
                <w:rFonts w:eastAsia="DengXian"/>
                <w:b/>
                <w:bCs/>
                <w:i/>
                <w:sz w:val="20"/>
                <w:lang w:val="en-US"/>
              </w:rPr>
              <w:t xml:space="preserve">Baseline: </w:t>
            </w:r>
            <w:r w:rsidRPr="005C7625">
              <w:rPr>
                <w:rFonts w:eastAsia="DengXian"/>
                <w:b/>
                <w:bCs/>
                <w:i/>
                <w:sz w:val="20"/>
                <w:lang w:val="en-US"/>
              </w:rPr>
              <w:t>22%</w:t>
            </w:r>
          </w:p>
        </w:tc>
        <w:tc>
          <w:tcPr>
            <w:tcW w:w="992" w:type="dxa"/>
            <w:tcBorders>
              <w:top w:val="single" w:sz="4" w:space="0" w:color="auto"/>
              <w:left w:val="nil"/>
              <w:bottom w:val="single" w:sz="4" w:space="0" w:color="auto"/>
              <w:right w:val="single" w:sz="4" w:space="0" w:color="auto"/>
            </w:tcBorders>
            <w:shd w:val="clear" w:color="auto" w:fill="auto"/>
            <w:vAlign w:val="center"/>
          </w:tcPr>
          <w:p w14:paraId="707A589C" w14:textId="77777777" w:rsidR="003E76AB" w:rsidRPr="00D06CB0" w:rsidRDefault="003E76AB" w:rsidP="005C33EF">
            <w:pPr>
              <w:keepLines/>
              <w:ind w:left="5" w:right="113"/>
              <w:rPr>
                <w:rFonts w:eastAsia="DengXian"/>
                <w:sz w:val="20"/>
                <w:lang w:val="en-US"/>
              </w:rPr>
            </w:pPr>
            <w:r>
              <w:rPr>
                <w:rFonts w:eastAsia="DengXian"/>
                <w:sz w:val="20"/>
                <w:lang w:val="en-US"/>
              </w:rPr>
              <w:t>22</w:t>
            </w:r>
            <w:r w:rsidRPr="00D06CB0">
              <w:rPr>
                <w:rFonts w:eastAsia="DengXian"/>
                <w:sz w:val="20"/>
                <w:lang w:val="en-US"/>
              </w:rPr>
              <w:t>%</w:t>
            </w:r>
          </w:p>
        </w:tc>
        <w:tc>
          <w:tcPr>
            <w:tcW w:w="1134" w:type="dxa"/>
            <w:tcBorders>
              <w:top w:val="single" w:sz="4" w:space="0" w:color="auto"/>
              <w:left w:val="single" w:sz="4" w:space="0" w:color="auto"/>
              <w:bottom w:val="single" w:sz="4" w:space="0" w:color="auto"/>
              <w:right w:val="nil"/>
            </w:tcBorders>
            <w:shd w:val="clear" w:color="auto" w:fill="auto"/>
            <w:vAlign w:val="center"/>
          </w:tcPr>
          <w:p w14:paraId="20A63BF4" w14:textId="77777777" w:rsidR="003E76AB" w:rsidRPr="00D06CB0" w:rsidRDefault="003E76AB" w:rsidP="005C33EF">
            <w:pPr>
              <w:keepLines/>
              <w:ind w:left="5" w:right="113"/>
              <w:rPr>
                <w:rFonts w:eastAsia="DengXian"/>
                <w:sz w:val="20"/>
                <w:szCs w:val="20"/>
                <w:lang w:val="en-US"/>
              </w:rPr>
            </w:pPr>
            <w:r>
              <w:rPr>
                <w:rFonts w:eastAsia="DengXian"/>
                <w:sz w:val="20"/>
                <w:szCs w:val="20"/>
                <w:lang w:val="en-US"/>
              </w:rPr>
              <w:t>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456CD0B" w14:textId="77777777" w:rsidR="003E76AB" w:rsidRPr="00D06CB0" w:rsidRDefault="003E76AB" w:rsidP="005C33EF">
            <w:pPr>
              <w:keepLines/>
              <w:ind w:left="6" w:right="113"/>
              <w:rPr>
                <w:rFonts w:eastAsia="DengXian"/>
                <w:sz w:val="20"/>
                <w:lang w:val="en-US"/>
              </w:rPr>
            </w:pPr>
            <w:r w:rsidRPr="00D06CB0">
              <w:rPr>
                <w:rFonts w:eastAsia="DengXian"/>
                <w:sz w:val="20"/>
                <w:lang w:val="en-US"/>
              </w:rPr>
              <w:t>2</w:t>
            </w:r>
            <w:r>
              <w:rPr>
                <w:rFonts w:eastAsia="DengXian"/>
                <w:sz w:val="20"/>
                <w:lang w:val="en-US"/>
              </w:rPr>
              <w:t>4</w:t>
            </w:r>
            <w:r w:rsidRPr="00D06CB0">
              <w:rPr>
                <w:rFonts w:eastAsia="DengXian"/>
                <w:sz w:val="20"/>
                <w:lang w:val="en-US"/>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04EAD3" w14:textId="77777777" w:rsidR="003E76AB" w:rsidRPr="005C7625" w:rsidRDefault="003E76AB" w:rsidP="005C33EF">
            <w:pPr>
              <w:ind w:left="2"/>
              <w:rPr>
                <w:sz w:val="20"/>
                <w:szCs w:val="20"/>
              </w:rPr>
            </w:pPr>
            <w:r w:rsidRPr="00C2067A">
              <w:rPr>
                <w:sz w:val="20"/>
                <w:szCs w:val="20"/>
              </w:rPr>
              <w:t>Results are sourced from the Short Form Outcomes Framework questionnaires</w:t>
            </w:r>
            <w:r>
              <w:rPr>
                <w:sz w:val="20"/>
                <w:szCs w:val="20"/>
              </w:rPr>
              <w:t>.</w:t>
            </w:r>
            <w:r>
              <w:rPr>
                <w:rStyle w:val="FootnoteReference"/>
                <w:sz w:val="20"/>
                <w:szCs w:val="20"/>
              </w:rPr>
              <w:footnoteReference w:id="37"/>
            </w:r>
            <w:r>
              <w:rPr>
                <w:sz w:val="20"/>
                <w:szCs w:val="20"/>
              </w:rPr>
              <w:t xml:space="preserve"> The metric is calculated </w:t>
            </w:r>
            <w:proofErr w:type="gramStart"/>
            <w:r>
              <w:rPr>
                <w:sz w:val="20"/>
                <w:szCs w:val="20"/>
              </w:rPr>
              <w:t>at</w:t>
            </w:r>
            <w:proofErr w:type="gramEnd"/>
            <w:r>
              <w:rPr>
                <w:sz w:val="20"/>
                <w:szCs w:val="20"/>
              </w:rPr>
              <w:t xml:space="preserve"> 30 June 2022 for </w:t>
            </w:r>
            <w:r w:rsidRPr="00C2067A">
              <w:rPr>
                <w:sz w:val="20"/>
                <w:szCs w:val="20"/>
              </w:rPr>
              <w:t xml:space="preserve">participants who have been in the Scheme for at least 2 </w:t>
            </w:r>
            <w:r w:rsidRPr="005C7625">
              <w:rPr>
                <w:sz w:val="20"/>
                <w:szCs w:val="20"/>
              </w:rPr>
              <w:t>years</w:t>
            </w:r>
            <w:r>
              <w:rPr>
                <w:sz w:val="20"/>
                <w:szCs w:val="20"/>
              </w:rPr>
              <w:t>, and are aged between 15 and 64 years</w:t>
            </w:r>
            <w:r w:rsidRPr="005C7625">
              <w:rPr>
                <w:sz w:val="20"/>
                <w:szCs w:val="20"/>
              </w:rPr>
              <w:t xml:space="preserve">. </w:t>
            </w:r>
          </w:p>
          <w:p w14:paraId="24B1739A" w14:textId="76A9EF90" w:rsidR="003E76AB" w:rsidRPr="00CA0035" w:rsidRDefault="003E76AB" w:rsidP="005C33EF">
            <w:pPr>
              <w:ind w:left="2"/>
              <w:rPr>
                <w:rFonts w:eastAsia="Times New Roman" w:cs="Times New Roman"/>
                <w:szCs w:val="24"/>
                <w:lang w:val="en-US"/>
              </w:rPr>
            </w:pPr>
            <w:r w:rsidRPr="005C7625">
              <w:rPr>
                <w:sz w:val="20"/>
                <w:szCs w:val="20"/>
              </w:rPr>
              <w:t xml:space="preserve">The underlying rate of participants employed has remained relatively </w:t>
            </w:r>
            <w:proofErr w:type="gramStart"/>
            <w:r>
              <w:rPr>
                <w:sz w:val="20"/>
                <w:szCs w:val="20"/>
              </w:rPr>
              <w:t>similar to</w:t>
            </w:r>
            <w:proofErr w:type="gramEnd"/>
            <w:r>
              <w:rPr>
                <w:sz w:val="20"/>
                <w:szCs w:val="20"/>
              </w:rPr>
              <w:t xml:space="preserve"> the </w:t>
            </w:r>
            <w:r w:rsidRPr="005C7625">
              <w:rPr>
                <w:sz w:val="20"/>
                <w:szCs w:val="20"/>
              </w:rPr>
              <w:t>baseline result.</w:t>
            </w:r>
            <w:r>
              <w:rPr>
                <w:rStyle w:val="FootnoteReference"/>
                <w:sz w:val="20"/>
                <w:szCs w:val="20"/>
              </w:rPr>
              <w:footnoteReference w:id="38"/>
            </w:r>
            <w:r w:rsidRPr="005C7625">
              <w:rPr>
                <w:sz w:val="20"/>
                <w:szCs w:val="20"/>
              </w:rPr>
              <w:t xml:space="preserve"> The ongoing </w:t>
            </w:r>
            <w:r>
              <w:rPr>
                <w:sz w:val="20"/>
                <w:szCs w:val="20"/>
              </w:rPr>
              <w:t xml:space="preserve">impact </w:t>
            </w:r>
            <w:r w:rsidRPr="005C7625">
              <w:rPr>
                <w:sz w:val="20"/>
                <w:szCs w:val="20"/>
              </w:rPr>
              <w:t>of COVID-19 and associated social restrictions could be partly attribut</w:t>
            </w:r>
            <w:r w:rsidR="009310FB">
              <w:rPr>
                <w:sz w:val="20"/>
                <w:szCs w:val="20"/>
              </w:rPr>
              <w:t>able</w:t>
            </w:r>
            <w:r w:rsidRPr="005C7625">
              <w:rPr>
                <w:sz w:val="20"/>
                <w:szCs w:val="20"/>
              </w:rPr>
              <w:t xml:space="preserve"> to the target not being met.</w:t>
            </w:r>
          </w:p>
        </w:tc>
      </w:tr>
      <w:tr w:rsidR="004C2C3E" w:rsidRPr="00D06CB0" w14:paraId="4D0718DE" w14:textId="77777777" w:rsidTr="00122956">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0B1DC" w14:textId="77777777" w:rsidR="003E76AB" w:rsidRPr="00D06CB0" w:rsidRDefault="003E76AB" w:rsidP="005C33EF">
            <w:pPr>
              <w:keepLines/>
              <w:ind w:left="113" w:right="113"/>
              <w:rPr>
                <w:rFonts w:eastAsia="DengXian"/>
                <w:b/>
                <w:bCs/>
                <w:sz w:val="20"/>
                <w:lang w:val="en-US"/>
              </w:rPr>
            </w:pPr>
            <w:r w:rsidRPr="00D06CB0">
              <w:rPr>
                <w:rFonts w:eastAsia="DengXian"/>
                <w:b/>
                <w:bCs/>
                <w:sz w:val="20"/>
                <w:lang w:val="en-US"/>
              </w:rPr>
              <w:t>Participant social and community engagement rate (%)</w:t>
            </w:r>
          </w:p>
          <w:p w14:paraId="63C43D68" w14:textId="77777777" w:rsidR="003E76AB" w:rsidRPr="00D06CB0" w:rsidRDefault="003E76AB" w:rsidP="005C33EF">
            <w:pPr>
              <w:keepLines/>
              <w:ind w:left="113" w:right="113"/>
              <w:rPr>
                <w:rFonts w:eastAsia="DengXian"/>
                <w:b/>
                <w:bCs/>
                <w:sz w:val="20"/>
                <w:lang w:val="en-US"/>
              </w:rPr>
            </w:pPr>
            <w:r w:rsidRPr="00D06CB0">
              <w:rPr>
                <w:rFonts w:eastAsia="DengXian"/>
                <w:b/>
                <w:bCs/>
                <w:i/>
                <w:sz w:val="20"/>
                <w:lang w:val="en-US"/>
              </w:rPr>
              <w:t xml:space="preserve">Baseline: </w:t>
            </w:r>
            <w:r w:rsidRPr="005C7625">
              <w:rPr>
                <w:rFonts w:eastAsia="DengXian"/>
                <w:b/>
                <w:bCs/>
                <w:i/>
                <w:sz w:val="20"/>
                <w:lang w:val="en-US"/>
              </w:rPr>
              <w:t>36%</w:t>
            </w:r>
          </w:p>
        </w:tc>
        <w:tc>
          <w:tcPr>
            <w:tcW w:w="992" w:type="dxa"/>
            <w:tcBorders>
              <w:top w:val="single" w:sz="4" w:space="0" w:color="auto"/>
              <w:left w:val="nil"/>
              <w:bottom w:val="single" w:sz="4" w:space="0" w:color="auto"/>
              <w:right w:val="single" w:sz="4" w:space="0" w:color="auto"/>
            </w:tcBorders>
            <w:shd w:val="clear" w:color="auto" w:fill="auto"/>
            <w:vAlign w:val="center"/>
          </w:tcPr>
          <w:p w14:paraId="7A749B9D" w14:textId="77777777" w:rsidR="003E76AB" w:rsidRPr="00D06CB0" w:rsidRDefault="003E76AB" w:rsidP="005C33EF">
            <w:pPr>
              <w:keepLines/>
              <w:ind w:left="5" w:right="113"/>
              <w:rPr>
                <w:rFonts w:eastAsia="Arial Unicode MS"/>
                <w:sz w:val="20"/>
                <w:lang w:val="en-US"/>
              </w:rPr>
            </w:pPr>
            <w:r>
              <w:rPr>
                <w:rFonts w:eastAsia="DengXian"/>
                <w:sz w:val="20"/>
                <w:lang w:val="en-US"/>
              </w:rPr>
              <w:t>45</w:t>
            </w:r>
            <w:r w:rsidRPr="00C11F5D">
              <w:rPr>
                <w:rFonts w:eastAsia="DengXian"/>
                <w:sz w:val="20"/>
                <w:lang w:val="en-US"/>
              </w:rPr>
              <w:t>%</w:t>
            </w:r>
          </w:p>
        </w:tc>
        <w:tc>
          <w:tcPr>
            <w:tcW w:w="1134" w:type="dxa"/>
            <w:tcBorders>
              <w:top w:val="single" w:sz="4" w:space="0" w:color="auto"/>
              <w:left w:val="single" w:sz="4" w:space="0" w:color="auto"/>
              <w:bottom w:val="single" w:sz="4" w:space="0" w:color="auto"/>
              <w:right w:val="nil"/>
            </w:tcBorders>
            <w:shd w:val="clear" w:color="auto" w:fill="auto"/>
            <w:vAlign w:val="center"/>
          </w:tcPr>
          <w:p w14:paraId="6682D842" w14:textId="77777777" w:rsidR="003E76AB" w:rsidRPr="00092571" w:rsidRDefault="003E76AB" w:rsidP="005C33EF">
            <w:pPr>
              <w:keepLines/>
              <w:ind w:left="5" w:right="113"/>
              <w:rPr>
                <w:rFonts w:eastAsia="DengXian"/>
                <w:sz w:val="20"/>
                <w:szCs w:val="20"/>
                <w:highlight w:val="green"/>
                <w:lang w:val="en-US"/>
              </w:rPr>
            </w:pPr>
            <w:r w:rsidRPr="00430FAB">
              <w:rPr>
                <w:rFonts w:eastAsia="DengXian"/>
                <w:sz w:val="20"/>
                <w:szCs w:val="20"/>
                <w:lang w:val="en-US"/>
              </w:rPr>
              <w:t>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AF507D" w14:textId="77777777" w:rsidR="003E76AB" w:rsidRPr="00D06CB0" w:rsidRDefault="003E76AB" w:rsidP="005C33EF">
            <w:pPr>
              <w:keepLines/>
              <w:ind w:left="6" w:right="113"/>
              <w:rPr>
                <w:rFonts w:eastAsia="DengXian"/>
                <w:sz w:val="20"/>
                <w:lang w:val="en-US"/>
              </w:rPr>
            </w:pPr>
            <w:r>
              <w:rPr>
                <w:rFonts w:eastAsia="Arial Unicode MS"/>
                <w:sz w:val="20"/>
                <w:lang w:val="en-US"/>
              </w:rPr>
              <w:t>48</w:t>
            </w:r>
            <w:r w:rsidRPr="00D06CB0">
              <w:rPr>
                <w:rFonts w:eastAsia="Arial Unicode MS"/>
                <w:sz w:val="20"/>
                <w:lang w:val="en-US"/>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14AFB690" w14:textId="77777777" w:rsidR="003E76AB" w:rsidRPr="006765FB" w:rsidRDefault="003E76AB" w:rsidP="005C33EF">
            <w:pPr>
              <w:ind w:left="2"/>
              <w:rPr>
                <w:sz w:val="20"/>
                <w:szCs w:val="20"/>
              </w:rPr>
            </w:pPr>
            <w:r w:rsidRPr="006765FB">
              <w:rPr>
                <w:sz w:val="20"/>
                <w:szCs w:val="20"/>
              </w:rPr>
              <w:t xml:space="preserve">Results are sourced from the Short Form Outcomes Framework questionnaires.  The metric is calculated </w:t>
            </w:r>
            <w:proofErr w:type="gramStart"/>
            <w:r w:rsidRPr="006765FB">
              <w:rPr>
                <w:sz w:val="20"/>
                <w:szCs w:val="20"/>
              </w:rPr>
              <w:t>at</w:t>
            </w:r>
            <w:proofErr w:type="gramEnd"/>
            <w:r w:rsidRPr="006765FB">
              <w:rPr>
                <w:sz w:val="20"/>
                <w:szCs w:val="20"/>
              </w:rPr>
              <w:t xml:space="preserve"> 30 June 2022 for participants who have been in the Scheme for at least 2 years.</w:t>
            </w:r>
          </w:p>
          <w:p w14:paraId="33FB5C0C" w14:textId="705867D0" w:rsidR="003E76AB" w:rsidRPr="00D06CB0" w:rsidRDefault="003E76AB" w:rsidP="005C33EF">
            <w:pPr>
              <w:ind w:left="0"/>
              <w:rPr>
                <w:rFonts w:eastAsia="DengXian"/>
                <w:color w:val="FF0000"/>
                <w:sz w:val="20"/>
                <w:lang w:val="en-US"/>
              </w:rPr>
            </w:pPr>
            <w:r w:rsidRPr="006765FB">
              <w:rPr>
                <w:sz w:val="20"/>
                <w:szCs w:val="20"/>
              </w:rPr>
              <w:t xml:space="preserve">The overall result is lower than the previous year. However, there has still been </w:t>
            </w:r>
            <w:r w:rsidRPr="006765FB">
              <w:rPr>
                <w:sz w:val="20"/>
                <w:szCs w:val="20"/>
              </w:rPr>
              <w:lastRenderedPageBreak/>
              <w:t>improvement from the baseline. The ongoing impact of COVID-19 and associated social restrictions can be partly attribut</w:t>
            </w:r>
            <w:r w:rsidR="009310FB">
              <w:rPr>
                <w:sz w:val="20"/>
                <w:szCs w:val="20"/>
              </w:rPr>
              <w:t>able</w:t>
            </w:r>
            <w:r w:rsidRPr="006765FB">
              <w:rPr>
                <w:sz w:val="20"/>
                <w:szCs w:val="20"/>
              </w:rPr>
              <w:t xml:space="preserve"> to the target not being met this year.</w:t>
            </w:r>
          </w:p>
        </w:tc>
      </w:tr>
      <w:tr w:rsidR="003E76AB" w:rsidRPr="00D06CB0" w14:paraId="3A61D6F3" w14:textId="77777777" w:rsidTr="00122956">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51D4B1" w14:textId="77777777" w:rsidR="003E76AB" w:rsidRPr="00D06CB0" w:rsidRDefault="003E76AB" w:rsidP="005C33EF">
            <w:pPr>
              <w:keepLines/>
              <w:ind w:left="113" w:right="113"/>
              <w:rPr>
                <w:rFonts w:eastAsia="DengXian"/>
                <w:b/>
                <w:bCs/>
                <w:sz w:val="20"/>
                <w:szCs w:val="20"/>
                <w:lang w:val="en-US"/>
              </w:rPr>
            </w:pPr>
            <w:r w:rsidRPr="653ACD52">
              <w:rPr>
                <w:rFonts w:eastAsia="DengXian"/>
                <w:b/>
                <w:bCs/>
                <w:sz w:val="20"/>
                <w:szCs w:val="20"/>
                <w:lang w:val="en-US"/>
              </w:rPr>
              <w:lastRenderedPageBreak/>
              <w:t xml:space="preserve">Families and </w:t>
            </w:r>
            <w:proofErr w:type="spellStart"/>
            <w:r w:rsidRPr="653ACD52">
              <w:rPr>
                <w:rFonts w:eastAsia="DengXian"/>
                <w:b/>
                <w:bCs/>
                <w:sz w:val="20"/>
                <w:szCs w:val="20"/>
                <w:lang w:val="en-US"/>
              </w:rPr>
              <w:t>carers</w:t>
            </w:r>
            <w:proofErr w:type="spellEnd"/>
            <w:r w:rsidRPr="653ACD52">
              <w:rPr>
                <w:rFonts w:eastAsia="DengXian"/>
                <w:b/>
                <w:bCs/>
                <w:sz w:val="20"/>
                <w:szCs w:val="20"/>
                <w:lang w:val="en-US"/>
              </w:rPr>
              <w:t xml:space="preserve"> employment rate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594E2F" w14:textId="77777777" w:rsidR="003E76AB" w:rsidRPr="00D06CB0" w:rsidRDefault="003E76AB" w:rsidP="005C33EF">
            <w:pPr>
              <w:keepLines/>
              <w:ind w:left="5" w:right="113"/>
              <w:rPr>
                <w:rFonts w:eastAsia="DengXian"/>
                <w:sz w:val="20"/>
                <w:lang w:val="en-US"/>
              </w:rPr>
            </w:pPr>
            <w:r>
              <w:rPr>
                <w:rFonts w:eastAsia="DengXian"/>
                <w:sz w:val="20"/>
                <w:lang w:val="en-US"/>
              </w:rPr>
              <w:t>48</w:t>
            </w:r>
            <w:r w:rsidRPr="00C11F5D">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1950A4" w14:textId="77777777" w:rsidR="003E76AB" w:rsidRPr="00D06CB0" w:rsidRDefault="003E76AB" w:rsidP="005C33EF">
            <w:pPr>
              <w:keepLines/>
              <w:ind w:left="5" w:right="113"/>
              <w:rPr>
                <w:rFonts w:eastAsia="DengXian"/>
                <w:sz w:val="20"/>
                <w:szCs w:val="20"/>
                <w:lang w:val="en-US"/>
              </w:rPr>
            </w:pPr>
            <w:r w:rsidRPr="00430FAB">
              <w:rPr>
                <w:rFonts w:eastAsia="DengXian"/>
                <w:sz w:val="20"/>
                <w:szCs w:val="20"/>
                <w:lang w:val="en-US"/>
              </w:rPr>
              <w:t>50%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378F40" w14:textId="77777777" w:rsidR="003E76AB" w:rsidRPr="00D06CB0" w:rsidRDefault="003E76AB" w:rsidP="005C33EF">
            <w:pPr>
              <w:keepLines/>
              <w:ind w:left="6" w:right="113"/>
              <w:rPr>
                <w:rFonts w:eastAsia="DengXian"/>
                <w:sz w:val="20"/>
                <w:lang w:val="en-US"/>
              </w:rPr>
            </w:pPr>
            <w:r>
              <w:rPr>
                <w:rFonts w:eastAsia="DengXian"/>
                <w:sz w:val="20"/>
                <w:lang w:val="en-US"/>
              </w:rPr>
              <w:t>49</w:t>
            </w:r>
            <w:r w:rsidRPr="00D06CB0">
              <w:rPr>
                <w:rFonts w:eastAsia="DengXian"/>
                <w:sz w:val="20"/>
                <w:lang w:val="en-US"/>
              </w:rPr>
              <w:t>%</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5B7F64C3" w14:textId="77777777" w:rsidR="003E76AB" w:rsidRPr="00C2067A" w:rsidRDefault="003E76AB" w:rsidP="005C33EF">
            <w:pPr>
              <w:ind w:left="2"/>
              <w:rPr>
                <w:sz w:val="20"/>
                <w:szCs w:val="20"/>
              </w:rPr>
            </w:pPr>
            <w:r w:rsidRPr="00C2067A">
              <w:rPr>
                <w:sz w:val="20"/>
                <w:szCs w:val="20"/>
              </w:rPr>
              <w:t xml:space="preserve">Results are sourced from the Short Form Outcomes Framework questionnaires.  </w:t>
            </w:r>
            <w:r>
              <w:rPr>
                <w:sz w:val="20"/>
                <w:szCs w:val="20"/>
              </w:rPr>
              <w:t xml:space="preserve">The metric is calculated </w:t>
            </w:r>
            <w:proofErr w:type="gramStart"/>
            <w:r>
              <w:rPr>
                <w:sz w:val="20"/>
                <w:szCs w:val="20"/>
              </w:rPr>
              <w:t>at</w:t>
            </w:r>
            <w:proofErr w:type="gramEnd"/>
            <w:r>
              <w:rPr>
                <w:sz w:val="20"/>
                <w:szCs w:val="20"/>
              </w:rPr>
              <w:t xml:space="preserve"> 30 June 2022 for </w:t>
            </w:r>
            <w:r w:rsidRPr="00C2067A">
              <w:rPr>
                <w:sz w:val="20"/>
                <w:szCs w:val="20"/>
              </w:rPr>
              <w:t xml:space="preserve">participants who have been in the Scheme for at least 2 </w:t>
            </w:r>
            <w:r w:rsidRPr="005C7625">
              <w:rPr>
                <w:sz w:val="20"/>
                <w:szCs w:val="20"/>
              </w:rPr>
              <w:t>years.</w:t>
            </w:r>
          </w:p>
          <w:p w14:paraId="414976DD" w14:textId="77777777" w:rsidR="003E76AB" w:rsidRPr="00D06CB0" w:rsidRDefault="003E76AB" w:rsidP="005C33EF">
            <w:pPr>
              <w:ind w:left="0"/>
              <w:rPr>
                <w:rFonts w:eastAsia="DengXian"/>
                <w:sz w:val="20"/>
                <w:lang w:val="en-US"/>
              </w:rPr>
            </w:pPr>
            <w:r w:rsidRPr="005C7625">
              <w:rPr>
                <w:sz w:val="20"/>
                <w:szCs w:val="20"/>
              </w:rPr>
              <w:t xml:space="preserve">The overall result is higher than the target. </w:t>
            </w:r>
            <w:r>
              <w:rPr>
                <w:sz w:val="20"/>
                <w:szCs w:val="20"/>
              </w:rPr>
              <w:t>S</w:t>
            </w:r>
            <w:r w:rsidRPr="005C7625">
              <w:rPr>
                <w:sz w:val="20"/>
                <w:szCs w:val="20"/>
              </w:rPr>
              <w:t xml:space="preserve">upports provided to </w:t>
            </w:r>
            <w:r>
              <w:rPr>
                <w:sz w:val="20"/>
                <w:szCs w:val="20"/>
              </w:rPr>
              <w:t>p</w:t>
            </w:r>
            <w:r w:rsidRPr="005C7625">
              <w:rPr>
                <w:sz w:val="20"/>
                <w:szCs w:val="20"/>
              </w:rPr>
              <w:t xml:space="preserve">articipants who have been part of the Scheme for more than 2 years have enabled their families and carers to increase participation in employment. </w:t>
            </w:r>
          </w:p>
        </w:tc>
      </w:tr>
      <w:tr w:rsidR="003E76AB" w:rsidRPr="00D06CB0" w14:paraId="3EB70C2F" w14:textId="77777777" w:rsidTr="00122956">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7FF9E0" w14:textId="77777777" w:rsidR="003E76AB" w:rsidRPr="653ACD52" w:rsidRDefault="003E76AB" w:rsidP="005C33EF">
            <w:pPr>
              <w:keepLines/>
              <w:ind w:left="113" w:right="113"/>
              <w:rPr>
                <w:rFonts w:eastAsia="DengXian"/>
                <w:b/>
                <w:bCs/>
                <w:sz w:val="20"/>
                <w:szCs w:val="20"/>
                <w:lang w:val="en-US"/>
              </w:rPr>
            </w:pPr>
            <w:r w:rsidRPr="00D06CB0">
              <w:rPr>
                <w:rFonts w:eastAsia="DengXian"/>
                <w:b/>
                <w:bCs/>
                <w:sz w:val="20"/>
                <w:lang w:val="en-US"/>
              </w:rPr>
              <w:t>Children benefiting from the Scheme and no longer needing supports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6A1D8CD" w14:textId="77777777" w:rsidR="003E76AB" w:rsidRDefault="003E76AB" w:rsidP="005C33EF">
            <w:pPr>
              <w:keepLines/>
              <w:ind w:left="5" w:right="113"/>
              <w:rPr>
                <w:rFonts w:eastAsia="DengXian"/>
                <w:sz w:val="20"/>
                <w:lang w:val="en-US"/>
              </w:rPr>
            </w:pPr>
            <w:r>
              <w:rPr>
                <w:rFonts w:eastAsia="DengXian"/>
                <w:sz w:val="20"/>
                <w:lang w:val="en-US"/>
              </w:rPr>
              <w:t>4.5</w:t>
            </w:r>
            <w:r w:rsidRPr="00D06CB0">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06DC76" w14:textId="77777777" w:rsidR="003E76AB" w:rsidRPr="00430FAB" w:rsidRDefault="003E76AB" w:rsidP="005C33EF">
            <w:pPr>
              <w:keepLines/>
              <w:ind w:left="5" w:right="113"/>
              <w:rPr>
                <w:rFonts w:eastAsia="DengXian"/>
                <w:sz w:val="20"/>
                <w:szCs w:val="20"/>
                <w:lang w:val="en-US"/>
              </w:rPr>
            </w:pPr>
            <w:r w:rsidRPr="00F378C7">
              <w:rPr>
                <w:rFonts w:eastAsia="DengXian"/>
                <w:sz w:val="20"/>
                <w:lang w:val="en-US"/>
              </w:rPr>
              <w:t>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443FE2" w14:textId="77777777" w:rsidR="003E76AB" w:rsidRDefault="003E76AB" w:rsidP="005C33EF">
            <w:pPr>
              <w:keepLines/>
              <w:ind w:left="6" w:right="113"/>
              <w:rPr>
                <w:rFonts w:eastAsia="DengXian"/>
                <w:sz w:val="20"/>
                <w:lang w:val="en-US"/>
              </w:rPr>
            </w:pPr>
            <w:r>
              <w:rPr>
                <w:rFonts w:eastAsia="DengXian"/>
                <w:sz w:val="20"/>
                <w:lang w:val="en-US"/>
              </w:rPr>
              <w:t>5</w:t>
            </w:r>
            <w:r w:rsidRPr="00D06CB0">
              <w:rPr>
                <w:rFonts w:eastAsia="DengXian"/>
                <w:sz w:val="20"/>
                <w:lang w:val="en-US"/>
              </w:rPr>
              <w:t>.5%</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953909B" w14:textId="08BD0509" w:rsidR="003E76AB" w:rsidRPr="005C7625" w:rsidRDefault="003E76AB" w:rsidP="005C33EF">
            <w:pPr>
              <w:ind w:left="2"/>
              <w:rPr>
                <w:sz w:val="20"/>
                <w:szCs w:val="20"/>
              </w:rPr>
            </w:pPr>
            <w:r w:rsidRPr="005C7625">
              <w:rPr>
                <w:sz w:val="20"/>
                <w:szCs w:val="20"/>
              </w:rPr>
              <w:t xml:space="preserve">This performance measure was introduced to the Corporate Plan in </w:t>
            </w:r>
            <w:r w:rsidR="009310FB">
              <w:rPr>
                <w:sz w:val="20"/>
                <w:szCs w:val="20"/>
              </w:rPr>
              <w:br/>
            </w:r>
            <w:r w:rsidR="00577731">
              <w:rPr>
                <w:sz w:val="20"/>
                <w:szCs w:val="20"/>
              </w:rPr>
              <w:t>2021–22</w:t>
            </w:r>
            <w:r w:rsidRPr="005C7625">
              <w:rPr>
                <w:sz w:val="20"/>
                <w:szCs w:val="20"/>
              </w:rPr>
              <w:t xml:space="preserve"> and includes all children aged 0 to 14 who have been helped by the Scheme under the </w:t>
            </w:r>
            <w:r w:rsidR="009310FB">
              <w:rPr>
                <w:sz w:val="20"/>
                <w:szCs w:val="20"/>
              </w:rPr>
              <w:t>e</w:t>
            </w:r>
            <w:r w:rsidRPr="005C7625">
              <w:rPr>
                <w:sz w:val="20"/>
                <w:szCs w:val="20"/>
              </w:rPr>
              <w:t xml:space="preserve">arly </w:t>
            </w:r>
            <w:r w:rsidR="009310FB">
              <w:rPr>
                <w:sz w:val="20"/>
                <w:szCs w:val="20"/>
              </w:rPr>
              <w:t>c</w:t>
            </w:r>
            <w:r w:rsidRPr="005C7625">
              <w:rPr>
                <w:sz w:val="20"/>
                <w:szCs w:val="20"/>
              </w:rPr>
              <w:t xml:space="preserve">hildhood </w:t>
            </w:r>
            <w:r w:rsidR="009310FB">
              <w:rPr>
                <w:sz w:val="20"/>
                <w:szCs w:val="20"/>
              </w:rPr>
              <w:t>a</w:t>
            </w:r>
            <w:r w:rsidRPr="005C7625">
              <w:rPr>
                <w:sz w:val="20"/>
                <w:szCs w:val="20"/>
              </w:rPr>
              <w:t>pproach and are now no longer receiving support.</w:t>
            </w:r>
            <w:r w:rsidRPr="005C7625">
              <w:rPr>
                <w:rStyle w:val="FootnoteReference"/>
                <w:sz w:val="20"/>
                <w:szCs w:val="20"/>
              </w:rPr>
              <w:footnoteReference w:id="39"/>
            </w:r>
          </w:p>
          <w:p w14:paraId="65DF3311" w14:textId="5676ED67" w:rsidR="003E76AB" w:rsidRPr="00C2067A" w:rsidRDefault="003E76AB" w:rsidP="005C33EF">
            <w:pPr>
              <w:ind w:left="2"/>
              <w:rPr>
                <w:sz w:val="20"/>
                <w:szCs w:val="20"/>
              </w:rPr>
            </w:pPr>
            <w:r w:rsidRPr="005C7625">
              <w:rPr>
                <w:sz w:val="20"/>
                <w:szCs w:val="20"/>
              </w:rPr>
              <w:t xml:space="preserve">Effectiveness of early childhood intervention supports covered by the Scheme increased above target. </w:t>
            </w:r>
            <w:proofErr w:type="gramStart"/>
            <w:r>
              <w:rPr>
                <w:sz w:val="20"/>
                <w:szCs w:val="20"/>
              </w:rPr>
              <w:t>In particular</w:t>
            </w:r>
            <w:r w:rsidR="009310FB">
              <w:rPr>
                <w:sz w:val="20"/>
                <w:szCs w:val="20"/>
              </w:rPr>
              <w:t xml:space="preserve"> there</w:t>
            </w:r>
            <w:proofErr w:type="gramEnd"/>
            <w:r w:rsidR="009310FB">
              <w:rPr>
                <w:sz w:val="20"/>
                <w:szCs w:val="20"/>
              </w:rPr>
              <w:t xml:space="preserve"> was</w:t>
            </w:r>
            <w:r>
              <w:rPr>
                <w:sz w:val="20"/>
                <w:szCs w:val="20"/>
              </w:rPr>
              <w:t xml:space="preserve"> increased focus on children who have received early intervention support and can now be supported by mainstream and community services outside of the NDIS. </w:t>
            </w:r>
          </w:p>
        </w:tc>
      </w:tr>
      <w:tr w:rsidR="003E76AB" w:rsidRPr="00D06CB0" w14:paraId="118EDAC0" w14:textId="77777777" w:rsidTr="00122956">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5B4E54" w14:textId="6B51D416" w:rsidR="003E76AB" w:rsidRPr="653ACD52" w:rsidRDefault="003E76AB" w:rsidP="005C33EF">
            <w:pPr>
              <w:keepLines/>
              <w:ind w:left="113" w:right="113"/>
              <w:rPr>
                <w:rFonts w:eastAsia="DengXian"/>
                <w:b/>
                <w:bCs/>
                <w:sz w:val="20"/>
                <w:szCs w:val="20"/>
                <w:lang w:val="en-US"/>
              </w:rPr>
            </w:pPr>
            <w:r>
              <w:rPr>
                <w:rFonts w:eastAsia="DengXian"/>
                <w:b/>
                <w:bCs/>
                <w:sz w:val="20"/>
                <w:lang w:val="en-US"/>
              </w:rPr>
              <w:t>Socio</w:t>
            </w:r>
            <w:r w:rsidR="00122956">
              <w:rPr>
                <w:rFonts w:eastAsia="DengXian"/>
                <w:b/>
                <w:bCs/>
                <w:sz w:val="20"/>
                <w:lang w:val="en-US"/>
              </w:rPr>
              <w:t>-</w:t>
            </w:r>
            <w:r>
              <w:rPr>
                <w:rFonts w:eastAsia="DengXian"/>
                <w:b/>
                <w:bCs/>
                <w:sz w:val="20"/>
                <w:lang w:val="en-US"/>
              </w:rPr>
              <w:t>economic Equity</w:t>
            </w:r>
            <w:r>
              <w:rPr>
                <w:rStyle w:val="FootnoteReference"/>
                <w:rFonts w:eastAsia="DengXian"/>
                <w:b/>
                <w:bCs/>
                <w:sz w:val="20"/>
                <w:lang w:val="en-US"/>
              </w:rPr>
              <w:footnoteReference w:id="40"/>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CD8AB88" w14:textId="77777777" w:rsidR="003E76AB" w:rsidRDefault="003E76AB" w:rsidP="005C33EF">
            <w:pPr>
              <w:keepLines/>
              <w:ind w:left="5" w:right="113"/>
              <w:rPr>
                <w:rFonts w:eastAsia="DengXian"/>
                <w:sz w:val="20"/>
                <w:lang w:val="en-US"/>
              </w:rPr>
            </w:pPr>
            <w:r>
              <w:rPr>
                <w:rFonts w:eastAsia="DengXian"/>
                <w:sz w:val="20"/>
                <w:lang w:val="en-US"/>
              </w:rPr>
              <w:t>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395107" w14:textId="77777777" w:rsidR="003E76AB" w:rsidRPr="00430FAB" w:rsidRDefault="003E76AB" w:rsidP="005C33EF">
            <w:pPr>
              <w:keepLines/>
              <w:ind w:left="5" w:right="113"/>
              <w:rPr>
                <w:rFonts w:eastAsia="DengXian"/>
                <w:sz w:val="20"/>
                <w:szCs w:val="20"/>
                <w:lang w:val="en-US"/>
              </w:rPr>
            </w:pPr>
            <w:r w:rsidRPr="00430FAB">
              <w:rPr>
                <w:rFonts w:eastAsia="DengXian"/>
                <w:sz w:val="20"/>
                <w:lang w:val="en-US"/>
              </w:rPr>
              <w:t>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E66477" w14:textId="77777777" w:rsidR="003E76AB" w:rsidRDefault="003E76AB" w:rsidP="005C33EF">
            <w:pPr>
              <w:keepLines/>
              <w:ind w:left="6" w:right="113"/>
              <w:rPr>
                <w:rFonts w:eastAsia="DengXian"/>
                <w:sz w:val="20"/>
                <w:lang w:val="en-US"/>
              </w:rPr>
            </w:pPr>
            <w:r>
              <w:rPr>
                <w:rFonts w:eastAsia="DengXian"/>
                <w:sz w:val="20"/>
                <w:lang w:val="en-US"/>
              </w:rPr>
              <w:t>100%</w:t>
            </w: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05A90ACA" w14:textId="77777777" w:rsidR="003E76AB" w:rsidRDefault="003E76AB" w:rsidP="005C33EF">
            <w:pPr>
              <w:ind w:left="2"/>
              <w:rPr>
                <w:sz w:val="20"/>
                <w:szCs w:val="20"/>
              </w:rPr>
            </w:pPr>
            <w:r w:rsidRPr="003D073A">
              <w:rPr>
                <w:sz w:val="20"/>
                <w:szCs w:val="20"/>
              </w:rPr>
              <w:t xml:space="preserve">The purpose of this </w:t>
            </w:r>
            <w:r>
              <w:rPr>
                <w:sz w:val="20"/>
                <w:szCs w:val="20"/>
              </w:rPr>
              <w:t>metric</w:t>
            </w:r>
            <w:r w:rsidRPr="003D073A">
              <w:rPr>
                <w:sz w:val="20"/>
                <w:szCs w:val="20"/>
              </w:rPr>
              <w:t xml:space="preserve"> is to measure whether participants are being treated fairly and equitably</w:t>
            </w:r>
            <w:r>
              <w:rPr>
                <w:sz w:val="20"/>
                <w:szCs w:val="20"/>
              </w:rPr>
              <w:t>,</w:t>
            </w:r>
            <w:r w:rsidRPr="003D073A">
              <w:rPr>
                <w:sz w:val="20"/>
                <w:szCs w:val="20"/>
              </w:rPr>
              <w:t xml:space="preserve"> in terms of the supports they are receiving, across different socio-economic groupings. In particular, the metric measure</w:t>
            </w:r>
            <w:r>
              <w:rPr>
                <w:sz w:val="20"/>
                <w:szCs w:val="20"/>
              </w:rPr>
              <w:t>s</w:t>
            </w:r>
            <w:r w:rsidRPr="003D073A">
              <w:rPr>
                <w:sz w:val="20"/>
                <w:szCs w:val="20"/>
              </w:rPr>
              <w:t xml:space="preserve"> whether plan budgets are consistent across different socio-economic areas within Australia.</w:t>
            </w:r>
          </w:p>
          <w:p w14:paraId="410FADE4" w14:textId="77777777" w:rsidR="003E76AB" w:rsidRPr="00C2067A" w:rsidRDefault="003E76AB" w:rsidP="005C33EF">
            <w:pPr>
              <w:ind w:left="2"/>
              <w:rPr>
                <w:sz w:val="20"/>
                <w:szCs w:val="20"/>
              </w:rPr>
            </w:pPr>
            <w:r w:rsidRPr="005C7625">
              <w:rPr>
                <w:sz w:val="20"/>
                <w:szCs w:val="20"/>
              </w:rPr>
              <w:t xml:space="preserve">The result indicates that participants in higher socio-economic areas </w:t>
            </w:r>
            <w:r>
              <w:rPr>
                <w:sz w:val="20"/>
                <w:szCs w:val="20"/>
              </w:rPr>
              <w:t xml:space="preserve">continue to </w:t>
            </w:r>
            <w:r w:rsidRPr="005C7625">
              <w:rPr>
                <w:sz w:val="20"/>
                <w:szCs w:val="20"/>
              </w:rPr>
              <w:t>receiv</w:t>
            </w:r>
            <w:r>
              <w:rPr>
                <w:sz w:val="20"/>
                <w:szCs w:val="20"/>
              </w:rPr>
              <w:t>e</w:t>
            </w:r>
            <w:r w:rsidRPr="005C7625">
              <w:rPr>
                <w:sz w:val="20"/>
                <w:szCs w:val="20"/>
              </w:rPr>
              <w:t xml:space="preserve"> higher plan budgets than those in lower socio-economic areas. </w:t>
            </w:r>
          </w:p>
        </w:tc>
      </w:tr>
    </w:tbl>
    <w:p w14:paraId="0582B567" w14:textId="19B6D805" w:rsidR="003E76AB" w:rsidRDefault="003E76AB" w:rsidP="007119AA">
      <w:pPr>
        <w:spacing w:before="0" w:after="160" w:line="259" w:lineRule="auto"/>
        <w:ind w:left="0"/>
        <w:rPr>
          <w:rFonts w:eastAsia="DengXian"/>
          <w:b/>
          <w:bCs/>
          <w:color w:val="000000"/>
          <w:sz w:val="24"/>
          <w:szCs w:val="24"/>
        </w:rPr>
      </w:pPr>
      <w:r>
        <w:rPr>
          <w:rFonts w:eastAsia="DengXian"/>
          <w:b/>
          <w:bCs/>
          <w:color w:val="000000"/>
          <w:sz w:val="24"/>
          <w:szCs w:val="24"/>
        </w:rPr>
        <w:br w:type="page"/>
      </w:r>
    </w:p>
    <w:p w14:paraId="0275F009" w14:textId="2B7E7F08" w:rsidR="003E76AB" w:rsidRPr="00F41242" w:rsidRDefault="003E76AB" w:rsidP="00EE2D88">
      <w:pPr>
        <w:pStyle w:val="FGCHEADING4"/>
      </w:pPr>
      <w:r w:rsidRPr="00F334FC">
        <w:lastRenderedPageBreak/>
        <w:t>Participant and stakeholder sentiment</w:t>
      </w:r>
    </w:p>
    <w:p w14:paraId="018644EB" w14:textId="77777777" w:rsidR="003E76AB" w:rsidRPr="00F41242" w:rsidRDefault="003E76AB" w:rsidP="00FF3436">
      <w:pPr>
        <w:ind w:left="720"/>
        <w:rPr>
          <w:rFonts w:eastAsia="DengXian"/>
          <w:szCs w:val="24"/>
        </w:rPr>
      </w:pPr>
      <w:r w:rsidRPr="00F41242">
        <w:rPr>
          <w:rFonts w:eastAsia="DengXian"/>
          <w:szCs w:val="24"/>
        </w:rPr>
        <w:t>Participant and stakeholder sentiment</w:t>
      </w:r>
      <w:r w:rsidRPr="00F41242" w:rsidDel="005F0364">
        <w:rPr>
          <w:rFonts w:eastAsia="DengXian"/>
          <w:szCs w:val="24"/>
        </w:rPr>
        <w:t xml:space="preserve"> </w:t>
      </w:r>
      <w:r w:rsidRPr="00F41242">
        <w:rPr>
          <w:rFonts w:eastAsia="DengXian"/>
          <w:szCs w:val="24"/>
        </w:rPr>
        <w:t xml:space="preserve">is measured by: </w:t>
      </w:r>
    </w:p>
    <w:p w14:paraId="170E8EF8" w14:textId="77777777" w:rsidR="003E76AB" w:rsidRPr="009340B4" w:rsidRDefault="003E76AB" w:rsidP="003E76AB">
      <w:pPr>
        <w:pStyle w:val="ListParagraph"/>
        <w:numPr>
          <w:ilvl w:val="0"/>
          <w:numId w:val="43"/>
        </w:numPr>
        <w:rPr>
          <w:szCs w:val="24"/>
          <w:lang w:eastAsia="en-AU"/>
        </w:rPr>
      </w:pPr>
      <w:r w:rsidRPr="009340B4">
        <w:rPr>
          <w:szCs w:val="24"/>
          <w:lang w:eastAsia="en-AU"/>
        </w:rPr>
        <w:t>participant satisfaction (%)</w:t>
      </w:r>
    </w:p>
    <w:p w14:paraId="248F6EEC" w14:textId="77777777" w:rsidR="003E76AB" w:rsidRPr="009340B4" w:rsidRDefault="003E76AB" w:rsidP="003E76AB">
      <w:pPr>
        <w:pStyle w:val="ListParagraph"/>
        <w:numPr>
          <w:ilvl w:val="0"/>
          <w:numId w:val="43"/>
        </w:numPr>
        <w:rPr>
          <w:szCs w:val="24"/>
          <w:lang w:eastAsia="en-AU"/>
        </w:rPr>
      </w:pPr>
      <w:r w:rsidRPr="009340B4">
        <w:rPr>
          <w:szCs w:val="24"/>
          <w:lang w:eastAsia="en-AU"/>
        </w:rPr>
        <w:t>participant perception of choice and control (%)</w:t>
      </w:r>
    </w:p>
    <w:p w14:paraId="2D9F083E" w14:textId="77777777" w:rsidR="003E76AB" w:rsidRPr="009340B4" w:rsidRDefault="003E76AB" w:rsidP="003E76AB">
      <w:pPr>
        <w:pStyle w:val="ListParagraph"/>
        <w:numPr>
          <w:ilvl w:val="0"/>
          <w:numId w:val="43"/>
        </w:numPr>
        <w:rPr>
          <w:szCs w:val="24"/>
          <w:lang w:eastAsia="en-AU"/>
        </w:rPr>
      </w:pPr>
      <w:r w:rsidRPr="009340B4">
        <w:rPr>
          <w:szCs w:val="24"/>
          <w:lang w:eastAsia="en-AU"/>
        </w:rPr>
        <w:t>general community sentiment and confidence (%)</w:t>
      </w:r>
    </w:p>
    <w:p w14:paraId="490BFA88" w14:textId="77777777" w:rsidR="003E76AB" w:rsidRPr="00B31ADF" w:rsidRDefault="003E76AB" w:rsidP="003E76AB">
      <w:pPr>
        <w:pStyle w:val="ListParagraph"/>
        <w:numPr>
          <w:ilvl w:val="0"/>
          <w:numId w:val="43"/>
        </w:numPr>
        <w:rPr>
          <w:szCs w:val="24"/>
          <w:lang w:eastAsia="en-AU"/>
        </w:rPr>
      </w:pPr>
      <w:r w:rsidRPr="009340B4">
        <w:rPr>
          <w:szCs w:val="24"/>
          <w:lang w:eastAsia="en-AU"/>
        </w:rPr>
        <w:t>provider sentiment and confidence (%).</w:t>
      </w:r>
    </w:p>
    <w:p w14:paraId="6B96FC3C" w14:textId="2EDC1DFD" w:rsidR="003E76AB" w:rsidRPr="00C97E01" w:rsidRDefault="003E76AB" w:rsidP="003E76AB">
      <w:pPr>
        <w:keepNext/>
        <w:spacing w:before="240"/>
        <w:rPr>
          <w:rFonts w:eastAsia="DengXian"/>
          <w:b/>
          <w:sz w:val="21"/>
          <w:szCs w:val="21"/>
        </w:rPr>
      </w:pPr>
      <w:r w:rsidRPr="00C97E01">
        <w:rPr>
          <w:rFonts w:eastAsia="DengXian"/>
          <w:b/>
          <w:sz w:val="21"/>
          <w:szCs w:val="21"/>
        </w:rPr>
        <w:t xml:space="preserve">Table 3.3B: </w:t>
      </w:r>
      <w:r w:rsidRPr="00760744">
        <w:rPr>
          <w:rFonts w:eastAsia="DengXian"/>
          <w:bCs/>
          <w:sz w:val="21"/>
          <w:szCs w:val="21"/>
        </w:rPr>
        <w:t>Participant and stakeholder sentiment</w:t>
      </w:r>
      <w:r w:rsidRPr="00C97E01" w:rsidDel="00E649CD">
        <w:rPr>
          <w:rFonts w:eastAsia="DengXian"/>
          <w:b/>
          <w:sz w:val="21"/>
          <w:szCs w:val="21"/>
        </w:rPr>
        <w:t xml:space="preserve"> </w:t>
      </w:r>
    </w:p>
    <w:tbl>
      <w:tblPr>
        <w:tblW w:w="9356" w:type="dxa"/>
        <w:tblInd w:w="704" w:type="dxa"/>
        <w:tblBorders>
          <w:top w:val="single" w:sz="8" w:space="0" w:color="FFC000"/>
          <w:bottom w:val="single" w:sz="8" w:space="0" w:color="FFC000"/>
        </w:tblBorders>
        <w:tblLayout w:type="fixed"/>
        <w:tblLook w:val="04A0" w:firstRow="1" w:lastRow="0" w:firstColumn="1" w:lastColumn="0" w:noHBand="0" w:noVBand="1"/>
      </w:tblPr>
      <w:tblGrid>
        <w:gridCol w:w="1843"/>
        <w:gridCol w:w="992"/>
        <w:gridCol w:w="1134"/>
        <w:gridCol w:w="992"/>
        <w:gridCol w:w="4395"/>
      </w:tblGrid>
      <w:tr w:rsidR="003E76AB" w:rsidRPr="00D06CB0" w14:paraId="614BF7B4" w14:textId="77777777" w:rsidTr="00EE2D88">
        <w:trPr>
          <w:trHeight w:val="369"/>
          <w:tblHeader/>
        </w:trPr>
        <w:tc>
          <w:tcPr>
            <w:tcW w:w="1843" w:type="dxa"/>
            <w:tcBorders>
              <w:top w:val="single" w:sz="4" w:space="0" w:color="auto"/>
              <w:left w:val="single" w:sz="4" w:space="0" w:color="auto"/>
              <w:bottom w:val="single" w:sz="4" w:space="0" w:color="auto"/>
              <w:right w:val="single" w:sz="4" w:space="0" w:color="auto"/>
            </w:tcBorders>
            <w:shd w:val="clear" w:color="auto" w:fill="6B2976"/>
            <w:hideMark/>
          </w:tcPr>
          <w:p w14:paraId="1A5778EB" w14:textId="77777777" w:rsidR="003E76AB" w:rsidRPr="00D06CB0" w:rsidRDefault="003E76AB" w:rsidP="00EE2D88">
            <w:pPr>
              <w:keepLines/>
              <w:spacing w:before="100" w:beforeAutospacing="1" w:after="100" w:afterAutospacing="1"/>
              <w:ind w:left="0"/>
              <w:rPr>
                <w:rFonts w:eastAsia="DengXian"/>
                <w:b/>
                <w:bCs/>
                <w:color w:val="FFFFFF"/>
                <w:sz w:val="20"/>
                <w:lang w:val="en-US"/>
              </w:rPr>
            </w:pPr>
            <w:r w:rsidRPr="00D06CB0">
              <w:rPr>
                <w:rFonts w:eastAsia="DengXian"/>
                <w:b/>
                <w:bCs/>
                <w:color w:val="FFFFFF"/>
                <w:sz w:val="20"/>
                <w:lang w:val="en-US"/>
              </w:rPr>
              <w:t xml:space="preserve">Performance metric </w:t>
            </w:r>
          </w:p>
        </w:tc>
        <w:tc>
          <w:tcPr>
            <w:tcW w:w="992" w:type="dxa"/>
            <w:tcBorders>
              <w:top w:val="single" w:sz="4" w:space="0" w:color="auto"/>
              <w:left w:val="single" w:sz="4" w:space="0" w:color="auto"/>
              <w:bottom w:val="single" w:sz="4" w:space="0" w:color="auto"/>
              <w:right w:val="single" w:sz="4" w:space="0" w:color="auto"/>
            </w:tcBorders>
            <w:shd w:val="clear" w:color="auto" w:fill="6B2976"/>
          </w:tcPr>
          <w:p w14:paraId="28C6913C" w14:textId="77777777" w:rsidR="003E76AB" w:rsidRPr="00D06CB0" w:rsidRDefault="003E76AB" w:rsidP="005C33EF">
            <w:pPr>
              <w:keepLines/>
              <w:spacing w:beforeAutospacing="1" w:afterAutospacing="1"/>
              <w:ind w:left="5"/>
              <w:rPr>
                <w:rFonts w:eastAsia="DengXian"/>
                <w:b/>
                <w:bCs/>
                <w:color w:val="FFFFFF"/>
                <w:sz w:val="20"/>
                <w:lang w:val="en-US"/>
              </w:rPr>
            </w:pPr>
            <w:r>
              <w:rPr>
                <w:rFonts w:eastAsia="DengXian"/>
                <w:b/>
                <w:bCs/>
                <w:color w:val="FFFFFF"/>
                <w:sz w:val="20"/>
                <w:lang w:val="en-US"/>
              </w:rPr>
              <w:t>2020-21</w:t>
            </w:r>
            <w:r w:rsidRPr="00D06CB0">
              <w:rPr>
                <w:rFonts w:eastAsia="DengXian"/>
                <w:b/>
                <w:bCs/>
                <w:color w:val="FFFFFF"/>
                <w:sz w:val="20"/>
                <w:lang w:val="en-US"/>
              </w:rPr>
              <w:t xml:space="preserve"> Result</w:t>
            </w:r>
          </w:p>
        </w:tc>
        <w:tc>
          <w:tcPr>
            <w:tcW w:w="1134" w:type="dxa"/>
            <w:tcBorders>
              <w:top w:val="single" w:sz="4" w:space="0" w:color="auto"/>
              <w:left w:val="single" w:sz="4" w:space="0" w:color="auto"/>
              <w:bottom w:val="single" w:sz="4" w:space="0" w:color="auto"/>
              <w:right w:val="single" w:sz="4" w:space="0" w:color="auto"/>
            </w:tcBorders>
            <w:shd w:val="clear" w:color="auto" w:fill="6B2976"/>
            <w:hideMark/>
          </w:tcPr>
          <w:p w14:paraId="64BE77AC" w14:textId="734704C0" w:rsidR="003E76AB" w:rsidRPr="00D06CB0" w:rsidRDefault="00577731" w:rsidP="005C33EF">
            <w:pPr>
              <w:keepLines/>
              <w:spacing w:beforeAutospacing="1" w:afterAutospacing="1"/>
              <w:ind w:left="5"/>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6B2976"/>
            <w:hideMark/>
          </w:tcPr>
          <w:p w14:paraId="7A01E942" w14:textId="5E6D5BDF" w:rsidR="003E76AB" w:rsidRPr="00D06CB0" w:rsidRDefault="00577731" w:rsidP="005C33EF">
            <w:pPr>
              <w:keepLines/>
              <w:spacing w:beforeAutospacing="1" w:afterAutospacing="1"/>
              <w:ind w:left="1"/>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4A4067">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4395" w:type="dxa"/>
            <w:tcBorders>
              <w:top w:val="single" w:sz="4" w:space="0" w:color="auto"/>
              <w:left w:val="single" w:sz="4" w:space="0" w:color="auto"/>
              <w:bottom w:val="single" w:sz="4" w:space="0" w:color="auto"/>
              <w:right w:val="single" w:sz="4" w:space="0" w:color="auto"/>
            </w:tcBorders>
            <w:shd w:val="clear" w:color="auto" w:fill="6B2976"/>
            <w:hideMark/>
          </w:tcPr>
          <w:p w14:paraId="365E78C5" w14:textId="77777777" w:rsidR="003E76AB" w:rsidRPr="00D06CB0" w:rsidRDefault="003E76AB" w:rsidP="005C33EF">
            <w:pPr>
              <w:keepLines/>
              <w:spacing w:beforeAutospacing="1" w:afterAutospacing="1"/>
              <w:ind w:left="2"/>
              <w:rPr>
                <w:rFonts w:eastAsia="DengXian"/>
                <w:b/>
                <w:bCs/>
                <w:color w:val="FFFFFF"/>
                <w:sz w:val="20"/>
                <w:lang w:val="en-US"/>
              </w:rPr>
            </w:pPr>
            <w:r>
              <w:rPr>
                <w:rFonts w:eastAsia="DengXian"/>
                <w:b/>
                <w:bCs/>
                <w:color w:val="FFFFFF"/>
                <w:sz w:val="20"/>
                <w:lang w:val="en-US"/>
              </w:rPr>
              <w:t>Analysis</w:t>
            </w:r>
            <w:r w:rsidRPr="00D06CB0">
              <w:rPr>
                <w:rFonts w:eastAsia="DengXian"/>
                <w:b/>
                <w:bCs/>
                <w:color w:val="FFFFFF"/>
                <w:sz w:val="20"/>
                <w:lang w:val="en-US"/>
              </w:rPr>
              <w:t xml:space="preserve"> </w:t>
            </w:r>
          </w:p>
        </w:tc>
      </w:tr>
      <w:tr w:rsidR="003E76AB" w:rsidRPr="00D06CB0" w14:paraId="6578818B" w14:textId="77777777" w:rsidTr="00EE2D88">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AA1F0" w14:textId="77777777" w:rsidR="003E76AB" w:rsidRPr="00D06CB0" w:rsidRDefault="003E76AB" w:rsidP="005C33EF">
            <w:pPr>
              <w:keepLines/>
              <w:ind w:left="113" w:right="113"/>
              <w:rPr>
                <w:rFonts w:eastAsia="DengXian"/>
                <w:b/>
                <w:bCs/>
                <w:sz w:val="20"/>
                <w:lang w:val="en-US"/>
              </w:rPr>
            </w:pPr>
            <w:r w:rsidRPr="00D06CB0">
              <w:rPr>
                <w:rFonts w:eastAsia="DengXian"/>
                <w:b/>
                <w:bCs/>
                <w:sz w:val="20"/>
                <w:lang w:val="en-US"/>
              </w:rPr>
              <w:t>Participant satisfaction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7D33D18" w14:textId="77777777" w:rsidR="003E76AB" w:rsidRPr="00D06CB0" w:rsidRDefault="003E76AB" w:rsidP="005C33EF">
            <w:pPr>
              <w:keepLines/>
              <w:ind w:left="5" w:right="113"/>
              <w:rPr>
                <w:rFonts w:eastAsia="DengXian"/>
                <w:sz w:val="20"/>
                <w:lang w:val="en-US"/>
              </w:rPr>
            </w:pPr>
            <w:r>
              <w:rPr>
                <w:rFonts w:eastAsia="DengXian"/>
                <w:sz w:val="20"/>
                <w:lang w:val="en-US"/>
              </w:rPr>
              <w:t>75</w:t>
            </w:r>
            <w:r w:rsidRPr="00D06CB0">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DB9171" w14:textId="77777777" w:rsidR="003E76AB" w:rsidRPr="004F275B" w:rsidRDefault="003E76AB" w:rsidP="005C33EF">
            <w:pPr>
              <w:keepLines/>
              <w:ind w:left="5" w:right="113"/>
              <w:rPr>
                <w:rFonts w:eastAsia="DengXian"/>
                <w:sz w:val="20"/>
                <w:lang w:val="en-US"/>
              </w:rPr>
            </w:pPr>
            <w:r w:rsidRPr="00430FAB">
              <w:rPr>
                <w:rFonts w:eastAsia="DengXian"/>
                <w:sz w:val="20"/>
                <w:lang w:val="en-US"/>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678015" w14:textId="77777777" w:rsidR="003E76AB" w:rsidRPr="00D06CB0" w:rsidRDefault="003E76AB" w:rsidP="005C33EF">
            <w:pPr>
              <w:keepLines/>
              <w:ind w:left="1" w:right="113"/>
              <w:rPr>
                <w:rFonts w:eastAsia="DengXian"/>
                <w:sz w:val="20"/>
                <w:lang w:val="en-US"/>
              </w:rPr>
            </w:pPr>
            <w:r w:rsidRPr="00D06CB0">
              <w:rPr>
                <w:rFonts w:eastAsia="DengXian"/>
                <w:sz w:val="20"/>
                <w:lang w:val="en-US"/>
              </w:rPr>
              <w:t>7</w:t>
            </w:r>
            <w:r>
              <w:rPr>
                <w:rFonts w:eastAsia="DengXian"/>
                <w:sz w:val="20"/>
                <w:lang w:val="en-US"/>
              </w:rPr>
              <w:t>8</w:t>
            </w:r>
            <w:r w:rsidRPr="00D06CB0">
              <w:rPr>
                <w:rFonts w:eastAsia="DengXian"/>
                <w:sz w:val="20"/>
                <w:lang w:val="en-US"/>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CA96BFC" w14:textId="77777777" w:rsidR="003E76AB" w:rsidRDefault="003E76AB" w:rsidP="005C33EF">
            <w:pPr>
              <w:ind w:left="0"/>
              <w:rPr>
                <w:sz w:val="20"/>
                <w:szCs w:val="20"/>
              </w:rPr>
            </w:pPr>
            <w:r w:rsidRPr="000541FB">
              <w:rPr>
                <w:sz w:val="20"/>
                <w:szCs w:val="20"/>
              </w:rPr>
              <w:t xml:space="preserve">The metric </w:t>
            </w:r>
            <w:r>
              <w:rPr>
                <w:sz w:val="20"/>
                <w:szCs w:val="20"/>
              </w:rPr>
              <w:t>is</w:t>
            </w:r>
            <w:r w:rsidRPr="000541FB">
              <w:rPr>
                <w:sz w:val="20"/>
                <w:szCs w:val="20"/>
              </w:rPr>
              <w:t xml:space="preserve"> calculated using the average of the </w:t>
            </w:r>
            <w:r>
              <w:rPr>
                <w:sz w:val="20"/>
                <w:szCs w:val="20"/>
              </w:rPr>
              <w:t xml:space="preserve">4 </w:t>
            </w:r>
            <w:r w:rsidRPr="000541FB">
              <w:rPr>
                <w:sz w:val="20"/>
                <w:szCs w:val="20"/>
              </w:rPr>
              <w:t>quarterly results published in the Quarterly Report to disability ministers</w:t>
            </w:r>
            <w:r>
              <w:rPr>
                <w:sz w:val="20"/>
                <w:szCs w:val="20"/>
              </w:rPr>
              <w:t>.</w:t>
            </w:r>
          </w:p>
          <w:p w14:paraId="3AA091E4" w14:textId="246A672F" w:rsidR="003E76AB" w:rsidRDefault="003E76AB" w:rsidP="005C33EF">
            <w:pPr>
              <w:ind w:left="0"/>
              <w:rPr>
                <w:sz w:val="20"/>
                <w:szCs w:val="20"/>
              </w:rPr>
            </w:pPr>
            <w:r w:rsidRPr="00F12F33">
              <w:rPr>
                <w:sz w:val="20"/>
                <w:szCs w:val="20"/>
              </w:rPr>
              <w:t>The</w:t>
            </w:r>
            <w:r>
              <w:rPr>
                <w:sz w:val="20"/>
                <w:szCs w:val="20"/>
              </w:rPr>
              <w:t xml:space="preserve"> metric is sourced from the monthly</w:t>
            </w:r>
            <w:r w:rsidRPr="00F12F33">
              <w:rPr>
                <w:sz w:val="20"/>
                <w:szCs w:val="20"/>
              </w:rPr>
              <w:t xml:space="preserve"> participant satisfaction survey</w:t>
            </w:r>
            <w:r>
              <w:rPr>
                <w:sz w:val="20"/>
                <w:szCs w:val="20"/>
              </w:rPr>
              <w:t xml:space="preserve"> conducted by</w:t>
            </w:r>
            <w:r w:rsidRPr="00F12F33">
              <w:rPr>
                <w:sz w:val="20"/>
                <w:szCs w:val="20"/>
              </w:rPr>
              <w:t xml:space="preserve"> an independent provider, Australian Healthcare Associates. </w:t>
            </w:r>
          </w:p>
          <w:p w14:paraId="3D09AEAC" w14:textId="501515EE" w:rsidR="003E76AB" w:rsidRDefault="003E76AB" w:rsidP="005C33EF">
            <w:pPr>
              <w:ind w:left="0"/>
              <w:rPr>
                <w:sz w:val="20"/>
                <w:szCs w:val="20"/>
              </w:rPr>
            </w:pPr>
            <w:r w:rsidRPr="00F12F33">
              <w:rPr>
                <w:sz w:val="20"/>
                <w:szCs w:val="20"/>
              </w:rPr>
              <w:t xml:space="preserve">Satisfaction is measured by the percentage of </w:t>
            </w:r>
            <w:r w:rsidR="004A4067">
              <w:rPr>
                <w:sz w:val="20"/>
                <w:szCs w:val="20"/>
              </w:rPr>
              <w:t>‘</w:t>
            </w:r>
            <w:r w:rsidRPr="00F12F33">
              <w:rPr>
                <w:sz w:val="20"/>
                <w:szCs w:val="20"/>
              </w:rPr>
              <w:t>good</w:t>
            </w:r>
            <w:r w:rsidR="004A4067">
              <w:rPr>
                <w:sz w:val="20"/>
                <w:szCs w:val="20"/>
              </w:rPr>
              <w:t>’</w:t>
            </w:r>
            <w:r w:rsidRPr="00F12F33">
              <w:rPr>
                <w:sz w:val="20"/>
                <w:szCs w:val="20"/>
              </w:rPr>
              <w:t xml:space="preserve"> and </w:t>
            </w:r>
            <w:r w:rsidR="004A4067">
              <w:rPr>
                <w:sz w:val="20"/>
                <w:szCs w:val="20"/>
              </w:rPr>
              <w:t>‘</w:t>
            </w:r>
            <w:r w:rsidRPr="00F12F33">
              <w:rPr>
                <w:sz w:val="20"/>
                <w:szCs w:val="20"/>
              </w:rPr>
              <w:t>very good</w:t>
            </w:r>
            <w:r w:rsidR="004A4067">
              <w:rPr>
                <w:sz w:val="20"/>
                <w:szCs w:val="20"/>
              </w:rPr>
              <w:t>’</w:t>
            </w:r>
            <w:r w:rsidRPr="00F12F33">
              <w:rPr>
                <w:sz w:val="20"/>
                <w:szCs w:val="20"/>
              </w:rPr>
              <w:t xml:space="preserve"> responses to the question regarding a participant’s experience with the NDIS. </w:t>
            </w:r>
          </w:p>
          <w:p w14:paraId="377EC3F8" w14:textId="77777777" w:rsidR="003E76AB" w:rsidRPr="00F12F33" w:rsidRDefault="003E76AB" w:rsidP="005C33EF">
            <w:pPr>
              <w:ind w:left="0"/>
              <w:rPr>
                <w:sz w:val="20"/>
                <w:szCs w:val="20"/>
              </w:rPr>
            </w:pPr>
            <w:r w:rsidRPr="00F12F33">
              <w:rPr>
                <w:sz w:val="20"/>
                <w:szCs w:val="20"/>
              </w:rPr>
              <w:t xml:space="preserve">The result is the weighted average result across the </w:t>
            </w:r>
            <w:r>
              <w:rPr>
                <w:sz w:val="20"/>
                <w:szCs w:val="20"/>
              </w:rPr>
              <w:t>4</w:t>
            </w:r>
            <w:r w:rsidRPr="00F12F33">
              <w:rPr>
                <w:sz w:val="20"/>
                <w:szCs w:val="20"/>
              </w:rPr>
              <w:t xml:space="preserve"> stages of the participant pathway (access, pre-planning, planning, plan review).</w:t>
            </w:r>
          </w:p>
          <w:p w14:paraId="1530BF83" w14:textId="77777777" w:rsidR="003E76AB" w:rsidRPr="005C7625" w:rsidRDefault="003E76AB" w:rsidP="005C33EF">
            <w:pPr>
              <w:ind w:left="0"/>
              <w:rPr>
                <w:sz w:val="20"/>
                <w:szCs w:val="20"/>
              </w:rPr>
            </w:pPr>
            <w:r w:rsidRPr="005C7625">
              <w:rPr>
                <w:sz w:val="20"/>
                <w:szCs w:val="20"/>
              </w:rPr>
              <w:t xml:space="preserve">Satisfaction with the Scheme has remained </w:t>
            </w:r>
            <w:r>
              <w:rPr>
                <w:sz w:val="20"/>
                <w:szCs w:val="20"/>
              </w:rPr>
              <w:t xml:space="preserve">the same between this financial year and </w:t>
            </w:r>
            <w:r w:rsidRPr="005C7625">
              <w:rPr>
                <w:sz w:val="20"/>
                <w:szCs w:val="20"/>
              </w:rPr>
              <w:t xml:space="preserve">last financial year. </w:t>
            </w:r>
          </w:p>
          <w:p w14:paraId="0A2FC3D5" w14:textId="77777777" w:rsidR="003E76AB" w:rsidRPr="00F12F33" w:rsidRDefault="003E76AB" w:rsidP="005C33EF">
            <w:pPr>
              <w:ind w:left="0"/>
              <w:rPr>
                <w:color w:val="FF0000"/>
                <w:sz w:val="20"/>
                <w:szCs w:val="20"/>
              </w:rPr>
            </w:pPr>
          </w:p>
        </w:tc>
      </w:tr>
      <w:tr w:rsidR="003E76AB" w:rsidRPr="00D06CB0" w14:paraId="38FCB39E" w14:textId="77777777" w:rsidTr="00EE2D88">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E900E" w14:textId="77777777" w:rsidR="003E76AB" w:rsidRDefault="003E76AB" w:rsidP="005C33EF">
            <w:pPr>
              <w:keepLines/>
              <w:ind w:left="0" w:right="113"/>
              <w:rPr>
                <w:rFonts w:eastAsia="DengXian"/>
                <w:b/>
                <w:bCs/>
                <w:i/>
                <w:sz w:val="20"/>
                <w:lang w:val="en-US"/>
              </w:rPr>
            </w:pPr>
            <w:r w:rsidRPr="00D06CB0">
              <w:rPr>
                <w:rFonts w:eastAsia="DengXian"/>
                <w:b/>
                <w:bCs/>
                <w:sz w:val="20"/>
                <w:lang w:val="en-US"/>
              </w:rPr>
              <w:t>Participant perception of choice and control (%)</w:t>
            </w:r>
          </w:p>
          <w:p w14:paraId="58B94BC4" w14:textId="77777777" w:rsidR="003E76AB" w:rsidRPr="007608B0" w:rsidRDefault="003E76AB" w:rsidP="005C33EF">
            <w:pPr>
              <w:keepLines/>
              <w:ind w:left="0" w:right="113"/>
              <w:rPr>
                <w:rFonts w:eastAsia="DengXian"/>
                <w:b/>
                <w:bCs/>
                <w:i/>
                <w:sz w:val="20"/>
                <w:lang w:val="en-US"/>
              </w:rPr>
            </w:pPr>
            <w:r w:rsidRPr="007608B0">
              <w:rPr>
                <w:rFonts w:eastAsia="DengXian"/>
                <w:b/>
                <w:bCs/>
                <w:i/>
                <w:sz w:val="20"/>
                <w:lang w:val="en-US"/>
              </w:rPr>
              <w:t>Baseline: 66%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79C8082" w14:textId="77777777" w:rsidR="003E76AB" w:rsidRPr="00D06CB0" w:rsidRDefault="003E76AB" w:rsidP="005C33EF">
            <w:pPr>
              <w:keepLines/>
              <w:ind w:left="5" w:right="113"/>
              <w:rPr>
                <w:rFonts w:eastAsia="DengXian"/>
                <w:sz w:val="20"/>
                <w:lang w:val="en-US"/>
              </w:rPr>
            </w:pPr>
            <w:r>
              <w:rPr>
                <w:rFonts w:eastAsia="DengXian"/>
                <w:sz w:val="20"/>
                <w:lang w:val="en-US"/>
              </w:rPr>
              <w:t>75</w:t>
            </w:r>
            <w:r w:rsidRPr="00D4001F">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FAE10E" w14:textId="77777777" w:rsidR="003E76AB" w:rsidRPr="004F275B" w:rsidRDefault="003E76AB" w:rsidP="005C33EF">
            <w:pPr>
              <w:keepLines/>
              <w:ind w:left="5" w:right="113"/>
              <w:rPr>
                <w:rFonts w:eastAsia="DengXian"/>
                <w:sz w:val="20"/>
                <w:lang w:val="en-US"/>
              </w:rPr>
            </w:pPr>
            <w:r w:rsidRPr="00430FAB">
              <w:rPr>
                <w:rFonts w:eastAsia="DengXian"/>
                <w:sz w:val="20"/>
                <w:lang w:val="en-US"/>
              </w:rPr>
              <w:t>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98AA29" w14:textId="77777777" w:rsidR="003E76AB" w:rsidRPr="00D06CB0" w:rsidRDefault="003E76AB" w:rsidP="005C33EF">
            <w:pPr>
              <w:keepLines/>
              <w:ind w:left="1" w:right="113"/>
              <w:rPr>
                <w:rFonts w:eastAsia="DengXian"/>
                <w:sz w:val="20"/>
                <w:lang w:val="en-US"/>
              </w:rPr>
            </w:pPr>
            <w:r w:rsidRPr="00D06CB0">
              <w:rPr>
                <w:rFonts w:eastAsia="DengXian"/>
                <w:sz w:val="20"/>
                <w:lang w:val="en-US"/>
              </w:rPr>
              <w:t>75%</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3C492BB" w14:textId="77777777" w:rsidR="003E76AB" w:rsidRPr="00C2067A" w:rsidRDefault="003E76AB" w:rsidP="005C33EF">
            <w:pPr>
              <w:ind w:left="6"/>
              <w:rPr>
                <w:sz w:val="20"/>
                <w:szCs w:val="20"/>
              </w:rPr>
            </w:pPr>
            <w:r w:rsidRPr="00C2067A">
              <w:rPr>
                <w:sz w:val="20"/>
                <w:szCs w:val="20"/>
              </w:rPr>
              <w:t xml:space="preserve">Results are sourced from the Short Form Outcomes Framework questionnaires.  </w:t>
            </w:r>
            <w:r>
              <w:rPr>
                <w:sz w:val="20"/>
                <w:szCs w:val="20"/>
              </w:rPr>
              <w:t xml:space="preserve">The metric is calculated </w:t>
            </w:r>
            <w:proofErr w:type="gramStart"/>
            <w:r>
              <w:rPr>
                <w:sz w:val="20"/>
                <w:szCs w:val="20"/>
              </w:rPr>
              <w:t>at</w:t>
            </w:r>
            <w:proofErr w:type="gramEnd"/>
            <w:r>
              <w:rPr>
                <w:sz w:val="20"/>
                <w:szCs w:val="20"/>
              </w:rPr>
              <w:t xml:space="preserve"> 30 June 2022 for </w:t>
            </w:r>
            <w:r w:rsidRPr="00C2067A">
              <w:rPr>
                <w:sz w:val="20"/>
                <w:szCs w:val="20"/>
              </w:rPr>
              <w:t xml:space="preserve">participants who have been in the Scheme for at least 2 </w:t>
            </w:r>
            <w:r w:rsidRPr="005C7625">
              <w:rPr>
                <w:sz w:val="20"/>
                <w:szCs w:val="20"/>
              </w:rPr>
              <w:t xml:space="preserve">years. </w:t>
            </w:r>
            <w:r>
              <w:rPr>
                <w:sz w:val="20"/>
                <w:szCs w:val="20"/>
              </w:rPr>
              <w:t xml:space="preserve"> </w:t>
            </w:r>
          </w:p>
          <w:p w14:paraId="173DCD61" w14:textId="77777777" w:rsidR="003E76AB" w:rsidRPr="00D06CB0" w:rsidRDefault="003E76AB" w:rsidP="005C33EF">
            <w:pPr>
              <w:ind w:left="0"/>
              <w:rPr>
                <w:rFonts w:eastAsia="DengXian"/>
                <w:color w:val="FF0000"/>
                <w:sz w:val="20"/>
                <w:lang w:val="en-US"/>
              </w:rPr>
            </w:pPr>
            <w:r w:rsidRPr="005C7625">
              <w:rPr>
                <w:sz w:val="20"/>
                <w:szCs w:val="20"/>
              </w:rPr>
              <w:t xml:space="preserve">This positive result </w:t>
            </w:r>
            <w:r>
              <w:rPr>
                <w:sz w:val="20"/>
                <w:szCs w:val="20"/>
              </w:rPr>
              <w:t xml:space="preserve">is a </w:t>
            </w:r>
            <w:r w:rsidRPr="005C7625">
              <w:rPr>
                <w:sz w:val="20"/>
                <w:szCs w:val="20"/>
              </w:rPr>
              <w:t xml:space="preserve">significant improvement </w:t>
            </w:r>
            <w:r>
              <w:rPr>
                <w:sz w:val="20"/>
                <w:szCs w:val="20"/>
              </w:rPr>
              <w:t xml:space="preserve">from baseline and </w:t>
            </w:r>
            <w:r w:rsidRPr="005C7625">
              <w:rPr>
                <w:sz w:val="20"/>
                <w:szCs w:val="20"/>
              </w:rPr>
              <w:t xml:space="preserve">is </w:t>
            </w:r>
            <w:r>
              <w:rPr>
                <w:sz w:val="20"/>
                <w:szCs w:val="20"/>
              </w:rPr>
              <w:t xml:space="preserve">slightly </w:t>
            </w:r>
            <w:r w:rsidRPr="005C7625">
              <w:rPr>
                <w:sz w:val="20"/>
                <w:szCs w:val="20"/>
              </w:rPr>
              <w:t>above target.</w:t>
            </w:r>
          </w:p>
        </w:tc>
      </w:tr>
      <w:tr w:rsidR="003E76AB" w:rsidRPr="00D06CB0" w14:paraId="29C1522D" w14:textId="77777777" w:rsidTr="00EE2D88">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382C6" w14:textId="77777777" w:rsidR="003E76AB" w:rsidRPr="00D06CB0" w:rsidRDefault="003E76AB" w:rsidP="005C33EF">
            <w:pPr>
              <w:keepLines/>
              <w:ind w:left="113" w:right="113"/>
              <w:rPr>
                <w:rFonts w:eastAsia="DengXian"/>
                <w:b/>
                <w:bCs/>
                <w:sz w:val="20"/>
                <w:lang w:val="en-US"/>
              </w:rPr>
            </w:pPr>
            <w:r w:rsidRPr="00D06CB0">
              <w:rPr>
                <w:rFonts w:eastAsia="DengXian"/>
                <w:b/>
                <w:bCs/>
                <w:sz w:val="20"/>
                <w:lang w:val="en-US"/>
              </w:rPr>
              <w:t>General community sentiment and confidence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D3CBF9F" w14:textId="77777777" w:rsidR="003E76AB" w:rsidRPr="00D06CB0" w:rsidRDefault="003E76AB" w:rsidP="005C33EF">
            <w:pPr>
              <w:keepLines/>
              <w:ind w:left="5" w:right="113"/>
              <w:rPr>
                <w:rFonts w:eastAsia="DengXian"/>
                <w:sz w:val="20"/>
                <w:lang w:val="en-US"/>
              </w:rPr>
            </w:pPr>
            <w:r>
              <w:rPr>
                <w:rFonts w:eastAsia="DengXian"/>
                <w:sz w:val="20"/>
                <w:lang w:val="en-US"/>
              </w:rPr>
              <w:t>68</w:t>
            </w:r>
            <w:r w:rsidRPr="00D4001F">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8FFA7F" w14:textId="77777777" w:rsidR="003E76AB" w:rsidRPr="004F275B" w:rsidRDefault="003E76AB" w:rsidP="005C33EF">
            <w:pPr>
              <w:keepLines/>
              <w:ind w:left="5" w:right="113"/>
              <w:rPr>
                <w:rFonts w:eastAsia="DengXian"/>
                <w:sz w:val="20"/>
                <w:lang w:val="en-US"/>
              </w:rPr>
            </w:pPr>
            <w:r w:rsidRPr="00430FAB">
              <w:rPr>
                <w:rFonts w:eastAsia="DengXian"/>
                <w:sz w:val="20"/>
                <w:lang w:val="en-US"/>
              </w:rPr>
              <w:t>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89BBC4" w14:textId="77777777" w:rsidR="003E76AB" w:rsidRPr="00D06CB0" w:rsidRDefault="003E76AB" w:rsidP="005C33EF">
            <w:pPr>
              <w:keepLines/>
              <w:ind w:left="5" w:right="113"/>
              <w:rPr>
                <w:rFonts w:eastAsia="DengXian"/>
                <w:sz w:val="20"/>
                <w:lang w:val="en-US"/>
              </w:rPr>
            </w:pPr>
            <w:r>
              <w:rPr>
                <w:rFonts w:eastAsia="DengXian"/>
                <w:sz w:val="20"/>
                <w:lang w:val="en-US"/>
              </w:rPr>
              <w:t>70%</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42F5420B" w14:textId="77777777" w:rsidR="003E76AB" w:rsidRDefault="003E76AB" w:rsidP="005C33EF">
            <w:pPr>
              <w:ind w:left="6"/>
              <w:rPr>
                <w:color w:val="0D0D0D"/>
                <w:sz w:val="20"/>
                <w:szCs w:val="20"/>
              </w:rPr>
            </w:pPr>
            <w:r w:rsidRPr="00C2067A">
              <w:rPr>
                <w:color w:val="0D0D0D"/>
                <w:sz w:val="20"/>
                <w:szCs w:val="20"/>
              </w:rPr>
              <w:t>Th</w:t>
            </w:r>
            <w:r>
              <w:rPr>
                <w:color w:val="0D0D0D"/>
                <w:sz w:val="20"/>
                <w:szCs w:val="20"/>
              </w:rPr>
              <w:t>is metric is sourced using the results of the</w:t>
            </w:r>
            <w:r w:rsidRPr="00C2067A">
              <w:rPr>
                <w:color w:val="0D0D0D"/>
                <w:sz w:val="20"/>
                <w:szCs w:val="20"/>
              </w:rPr>
              <w:t xml:space="preserve"> monthly community sentiment survey </w:t>
            </w:r>
            <w:r>
              <w:rPr>
                <w:color w:val="0D0D0D"/>
                <w:sz w:val="20"/>
                <w:szCs w:val="20"/>
              </w:rPr>
              <w:t xml:space="preserve">conducted independently by Hall &amp; Partners. </w:t>
            </w:r>
          </w:p>
          <w:p w14:paraId="55F372CA" w14:textId="61D50CD4" w:rsidR="003E76AB" w:rsidRPr="005C7625" w:rsidRDefault="003E76AB" w:rsidP="005C33EF">
            <w:pPr>
              <w:ind w:left="6"/>
              <w:rPr>
                <w:sz w:val="20"/>
                <w:szCs w:val="20"/>
              </w:rPr>
            </w:pPr>
            <w:r>
              <w:rPr>
                <w:color w:val="0D0D0D"/>
                <w:sz w:val="20"/>
                <w:szCs w:val="20"/>
              </w:rPr>
              <w:t xml:space="preserve">The survey </w:t>
            </w:r>
            <w:r w:rsidRPr="00C2067A">
              <w:rPr>
                <w:color w:val="0D0D0D"/>
                <w:sz w:val="20"/>
                <w:szCs w:val="20"/>
              </w:rPr>
              <w:t xml:space="preserve">was initiated in August 2020 and is calculated using </w:t>
            </w:r>
            <w:r w:rsidR="00231B6B">
              <w:rPr>
                <w:color w:val="0D0D0D"/>
                <w:sz w:val="20"/>
                <w:szCs w:val="20"/>
              </w:rPr>
              <w:t>4 measures of</w:t>
            </w:r>
            <w:r w:rsidRPr="00C2067A">
              <w:rPr>
                <w:color w:val="0D0D0D"/>
                <w:sz w:val="20"/>
                <w:szCs w:val="20"/>
              </w:rPr>
              <w:t xml:space="preserve"> brand </w:t>
            </w:r>
            <w:r w:rsidRPr="005C7625">
              <w:rPr>
                <w:sz w:val="20"/>
                <w:szCs w:val="20"/>
              </w:rPr>
              <w:t>sentiment towards the Agency</w:t>
            </w:r>
            <w:r>
              <w:rPr>
                <w:sz w:val="20"/>
                <w:szCs w:val="20"/>
              </w:rPr>
              <w:t xml:space="preserve"> (</w:t>
            </w:r>
            <w:r w:rsidRPr="005C7625">
              <w:rPr>
                <w:sz w:val="20"/>
                <w:szCs w:val="20"/>
              </w:rPr>
              <w:t xml:space="preserve">reputation, trust, </w:t>
            </w:r>
            <w:proofErr w:type="gramStart"/>
            <w:r w:rsidRPr="005C7625">
              <w:rPr>
                <w:sz w:val="20"/>
                <w:szCs w:val="20"/>
              </w:rPr>
              <w:t>support</w:t>
            </w:r>
            <w:proofErr w:type="gramEnd"/>
            <w:r w:rsidRPr="005C7625">
              <w:rPr>
                <w:sz w:val="20"/>
                <w:szCs w:val="20"/>
              </w:rPr>
              <w:t xml:space="preserve"> and positivity</w:t>
            </w:r>
            <w:r>
              <w:rPr>
                <w:sz w:val="20"/>
                <w:szCs w:val="20"/>
              </w:rPr>
              <w:t>)</w:t>
            </w:r>
            <w:r w:rsidRPr="005C7625">
              <w:rPr>
                <w:sz w:val="20"/>
                <w:szCs w:val="20"/>
              </w:rPr>
              <w:t>. The metric is calculated using the average of the 12 monthly results.</w:t>
            </w:r>
          </w:p>
          <w:p w14:paraId="7787A491" w14:textId="77777777" w:rsidR="003E76AB" w:rsidRPr="005D13D3" w:rsidRDefault="003E76AB" w:rsidP="005C33EF">
            <w:pPr>
              <w:ind w:left="6"/>
              <w:rPr>
                <w:color w:val="0D0D0D"/>
                <w:sz w:val="20"/>
                <w:szCs w:val="20"/>
              </w:rPr>
            </w:pPr>
            <w:r w:rsidRPr="005C7625">
              <w:rPr>
                <w:sz w:val="20"/>
                <w:szCs w:val="20"/>
              </w:rPr>
              <w:t xml:space="preserve">While this year’s results are slightly lower, the monthly results since August 2020 </w:t>
            </w:r>
            <w:r>
              <w:rPr>
                <w:sz w:val="20"/>
                <w:szCs w:val="20"/>
              </w:rPr>
              <w:t xml:space="preserve">(when the survey commenced), </w:t>
            </w:r>
            <w:r w:rsidRPr="005C7625">
              <w:rPr>
                <w:sz w:val="20"/>
                <w:szCs w:val="20"/>
              </w:rPr>
              <w:t xml:space="preserve">have been reasonably steady between 65% and 70%. </w:t>
            </w:r>
            <w:r>
              <w:rPr>
                <w:sz w:val="20"/>
                <w:szCs w:val="20"/>
              </w:rPr>
              <w:t xml:space="preserve">Throughout the </w:t>
            </w:r>
            <w:r w:rsidRPr="005C7625">
              <w:rPr>
                <w:sz w:val="20"/>
                <w:szCs w:val="20"/>
              </w:rPr>
              <w:t xml:space="preserve">year the Agency increased engagement </w:t>
            </w:r>
            <w:r>
              <w:rPr>
                <w:sz w:val="20"/>
                <w:szCs w:val="20"/>
              </w:rPr>
              <w:t xml:space="preserve">with </w:t>
            </w:r>
            <w:r>
              <w:rPr>
                <w:sz w:val="20"/>
                <w:szCs w:val="20"/>
              </w:rPr>
              <w:lastRenderedPageBreak/>
              <w:t xml:space="preserve">participants and their families and carers, to </w:t>
            </w:r>
            <w:r w:rsidRPr="005C7625">
              <w:rPr>
                <w:sz w:val="20"/>
                <w:szCs w:val="20"/>
              </w:rPr>
              <w:t>co-design</w:t>
            </w:r>
            <w:r>
              <w:rPr>
                <w:sz w:val="20"/>
                <w:szCs w:val="20"/>
              </w:rPr>
              <w:t xml:space="preserve"> improvements to the NDIS. </w:t>
            </w:r>
            <w:r w:rsidRPr="005C7625">
              <w:rPr>
                <w:sz w:val="20"/>
                <w:szCs w:val="20"/>
              </w:rPr>
              <w:t xml:space="preserve"> </w:t>
            </w:r>
          </w:p>
        </w:tc>
      </w:tr>
      <w:tr w:rsidR="003E76AB" w:rsidRPr="00D06CB0" w14:paraId="1E32AAB8" w14:textId="77777777" w:rsidTr="00EE2D88">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87A59CB" w14:textId="77777777" w:rsidR="003E76AB" w:rsidRPr="00D06CB0" w:rsidRDefault="003E76AB" w:rsidP="005C33EF">
            <w:pPr>
              <w:keepLines/>
              <w:ind w:left="113" w:right="113"/>
              <w:rPr>
                <w:rFonts w:eastAsia="DengXian"/>
                <w:b/>
                <w:bCs/>
                <w:sz w:val="20"/>
                <w:lang w:val="en-US"/>
              </w:rPr>
            </w:pPr>
            <w:r w:rsidRPr="00D06CB0">
              <w:rPr>
                <w:rFonts w:eastAsia="DengXian"/>
                <w:b/>
                <w:bCs/>
                <w:sz w:val="20"/>
                <w:lang w:val="en-US"/>
              </w:rPr>
              <w:lastRenderedPageBreak/>
              <w:t>Provider sentiment and confidence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D3AB99" w14:textId="77777777" w:rsidR="003E76AB" w:rsidRPr="00D06CB0" w:rsidRDefault="003E76AB" w:rsidP="005C33EF">
            <w:pPr>
              <w:keepLines/>
              <w:ind w:left="5" w:right="113"/>
              <w:rPr>
                <w:rFonts w:eastAsia="DengXian"/>
                <w:sz w:val="20"/>
                <w:lang w:val="en-US"/>
              </w:rPr>
            </w:pPr>
            <w:r>
              <w:rPr>
                <w:rFonts w:eastAsia="DengXian"/>
                <w:sz w:val="20"/>
                <w:lang w:val="en-US"/>
              </w:rPr>
              <w:t>62</w:t>
            </w:r>
            <w:r w:rsidRPr="00D4001F">
              <w:rPr>
                <w:rFonts w:eastAsia="DengXian"/>
                <w:sz w:val="20"/>
                <w:lang w:val="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6AC0F5" w14:textId="77777777" w:rsidR="003E76AB" w:rsidRPr="004F275B" w:rsidRDefault="003E76AB" w:rsidP="005C33EF">
            <w:pPr>
              <w:keepLines/>
              <w:ind w:left="5" w:right="113"/>
              <w:rPr>
                <w:rFonts w:eastAsia="DengXian"/>
                <w:sz w:val="20"/>
                <w:lang w:val="en-US"/>
              </w:rPr>
            </w:pPr>
            <w:r w:rsidRPr="00430FAB">
              <w:rPr>
                <w:rFonts w:eastAsia="DengXian"/>
                <w:sz w:val="20"/>
                <w:lang w:val="en-US"/>
              </w:rPr>
              <w:t>54%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794F93" w14:textId="77777777" w:rsidR="003E76AB" w:rsidRPr="004F275B" w:rsidRDefault="003E76AB" w:rsidP="005C33EF">
            <w:pPr>
              <w:keepLines/>
              <w:ind w:left="1" w:right="113"/>
              <w:rPr>
                <w:rFonts w:eastAsia="DengXian"/>
                <w:sz w:val="20"/>
                <w:lang w:val="en-US"/>
              </w:rPr>
            </w:pPr>
            <w:r w:rsidRPr="004F275B">
              <w:rPr>
                <w:rFonts w:eastAsia="DengXian"/>
                <w:sz w:val="20"/>
                <w:lang w:val="en-US"/>
              </w:rPr>
              <w:t>62%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EE6258" w14:textId="77777777" w:rsidR="003E76AB" w:rsidRPr="00B4078E" w:rsidRDefault="003E76AB" w:rsidP="005C33EF">
            <w:pPr>
              <w:ind w:left="6"/>
              <w:rPr>
                <w:sz w:val="20"/>
                <w:szCs w:val="20"/>
              </w:rPr>
            </w:pPr>
            <w:r w:rsidRPr="00C2067A">
              <w:rPr>
                <w:sz w:val="20"/>
                <w:szCs w:val="20"/>
              </w:rPr>
              <w:t xml:space="preserve">The provider sentiment and confidence survey </w:t>
            </w:r>
            <w:proofErr w:type="gramStart"/>
            <w:r>
              <w:rPr>
                <w:sz w:val="20"/>
                <w:szCs w:val="20"/>
              </w:rPr>
              <w:t>is</w:t>
            </w:r>
            <w:proofErr w:type="gramEnd"/>
            <w:r>
              <w:rPr>
                <w:sz w:val="20"/>
                <w:szCs w:val="20"/>
              </w:rPr>
              <w:t xml:space="preserve"> </w:t>
            </w:r>
            <w:r w:rsidRPr="00C2067A">
              <w:rPr>
                <w:sz w:val="20"/>
                <w:szCs w:val="20"/>
              </w:rPr>
              <w:t xml:space="preserve">undertaken once a year </w:t>
            </w:r>
            <w:r>
              <w:rPr>
                <w:sz w:val="20"/>
                <w:szCs w:val="20"/>
              </w:rPr>
              <w:t xml:space="preserve">(December </w:t>
            </w:r>
            <w:r w:rsidRPr="00C2067A">
              <w:rPr>
                <w:sz w:val="20"/>
                <w:szCs w:val="20"/>
              </w:rPr>
              <w:t>202</w:t>
            </w:r>
            <w:r>
              <w:rPr>
                <w:sz w:val="20"/>
                <w:szCs w:val="20"/>
              </w:rPr>
              <w:t>1</w:t>
            </w:r>
            <w:r w:rsidRPr="00C2067A">
              <w:rPr>
                <w:sz w:val="20"/>
                <w:szCs w:val="20"/>
              </w:rPr>
              <w:t xml:space="preserve">). </w:t>
            </w:r>
            <w:r w:rsidRPr="00B4078E">
              <w:rPr>
                <w:sz w:val="20"/>
                <w:szCs w:val="20"/>
              </w:rPr>
              <w:t>The metric is calculated as the rating out of 10, converted to a percentage, for a provider’s overall experience with the Agency.</w:t>
            </w:r>
          </w:p>
          <w:p w14:paraId="0D3F7654" w14:textId="293886E1" w:rsidR="003E76AB" w:rsidRDefault="003E76AB" w:rsidP="005C33EF">
            <w:pPr>
              <w:ind w:left="6"/>
              <w:rPr>
                <w:sz w:val="20"/>
                <w:szCs w:val="20"/>
              </w:rPr>
            </w:pPr>
            <w:r w:rsidRPr="005C7625">
              <w:rPr>
                <w:sz w:val="20"/>
                <w:szCs w:val="20"/>
              </w:rPr>
              <w:t xml:space="preserve">The result reflects the experience of 10% of all </w:t>
            </w:r>
            <w:r w:rsidR="008F6960">
              <w:rPr>
                <w:sz w:val="20"/>
                <w:szCs w:val="20"/>
              </w:rPr>
              <w:t>p</w:t>
            </w:r>
            <w:r w:rsidRPr="005C7625">
              <w:rPr>
                <w:sz w:val="20"/>
                <w:szCs w:val="20"/>
              </w:rPr>
              <w:t>roviders at the time the survey was conducted</w:t>
            </w:r>
            <w:r>
              <w:rPr>
                <w:sz w:val="20"/>
                <w:szCs w:val="20"/>
              </w:rPr>
              <w:t xml:space="preserve">, with the result returning to </w:t>
            </w:r>
            <w:r w:rsidR="008F6960">
              <w:rPr>
                <w:sz w:val="20"/>
                <w:szCs w:val="20"/>
              </w:rPr>
              <w:br/>
            </w:r>
            <w:r>
              <w:rPr>
                <w:sz w:val="20"/>
                <w:szCs w:val="20"/>
              </w:rPr>
              <w:t>pre</w:t>
            </w:r>
            <w:r w:rsidR="008F6960">
              <w:rPr>
                <w:sz w:val="20"/>
                <w:szCs w:val="20"/>
              </w:rPr>
              <w:t>-</w:t>
            </w:r>
            <w:r>
              <w:rPr>
                <w:sz w:val="20"/>
                <w:szCs w:val="20"/>
              </w:rPr>
              <w:t xml:space="preserve">pandemic levels.  </w:t>
            </w:r>
          </w:p>
          <w:p w14:paraId="56AB3C5F" w14:textId="77777777" w:rsidR="003E76AB" w:rsidRDefault="003E76AB" w:rsidP="005C33EF">
            <w:pPr>
              <w:ind w:left="6"/>
              <w:rPr>
                <w:sz w:val="20"/>
                <w:szCs w:val="20"/>
              </w:rPr>
            </w:pPr>
            <w:r>
              <w:rPr>
                <w:sz w:val="20"/>
                <w:szCs w:val="20"/>
              </w:rPr>
              <w:t>Other factors that may have impacted the result include ongoing labour shortages, and increased compliance practice targeting payments.</w:t>
            </w:r>
          </w:p>
          <w:p w14:paraId="0237E9C6" w14:textId="77777777" w:rsidR="003E76AB" w:rsidRPr="005C7625" w:rsidRDefault="003E76AB" w:rsidP="005C33EF">
            <w:pPr>
              <w:ind w:left="6"/>
              <w:rPr>
                <w:sz w:val="20"/>
                <w:szCs w:val="20"/>
              </w:rPr>
            </w:pPr>
            <w:r>
              <w:rPr>
                <w:sz w:val="20"/>
                <w:szCs w:val="20"/>
              </w:rPr>
              <w:t xml:space="preserve">The Agency is working on improving provider experience through the new CRM system (PACE), including through a new provider portal. </w:t>
            </w:r>
          </w:p>
          <w:p w14:paraId="360FFB91" w14:textId="77777777" w:rsidR="003E76AB" w:rsidRPr="005D3840" w:rsidRDefault="003E76AB" w:rsidP="005C33EF">
            <w:pPr>
              <w:ind w:left="6"/>
              <w:rPr>
                <w:sz w:val="20"/>
                <w:szCs w:val="20"/>
              </w:rPr>
            </w:pPr>
          </w:p>
        </w:tc>
      </w:tr>
    </w:tbl>
    <w:p w14:paraId="18CC1270" w14:textId="77777777" w:rsidR="003E76AB" w:rsidRDefault="003E76AB" w:rsidP="003E76AB">
      <w:pPr>
        <w:rPr>
          <w:rFonts w:eastAsia="DengXian"/>
          <w:b/>
          <w:bCs/>
          <w:color w:val="000000"/>
          <w:sz w:val="24"/>
          <w:szCs w:val="24"/>
        </w:rPr>
      </w:pPr>
    </w:p>
    <w:p w14:paraId="67EC1200" w14:textId="77777777" w:rsidR="003E76AB" w:rsidRDefault="003E76AB" w:rsidP="003E76AB">
      <w:pPr>
        <w:spacing w:before="0" w:after="160" w:line="259" w:lineRule="auto"/>
        <w:ind w:left="0"/>
        <w:rPr>
          <w:rFonts w:eastAsia="DengXian"/>
          <w:b/>
          <w:bCs/>
          <w:color w:val="000000"/>
          <w:sz w:val="24"/>
          <w:szCs w:val="24"/>
        </w:rPr>
      </w:pPr>
      <w:r>
        <w:rPr>
          <w:rFonts w:eastAsia="DengXian"/>
          <w:b/>
          <w:bCs/>
          <w:color w:val="000000"/>
          <w:sz w:val="24"/>
          <w:szCs w:val="24"/>
        </w:rPr>
        <w:br w:type="page"/>
      </w:r>
    </w:p>
    <w:p w14:paraId="667B767F" w14:textId="789B1BAF" w:rsidR="003E76AB" w:rsidRDefault="003E76AB" w:rsidP="00EE2D88">
      <w:pPr>
        <w:pStyle w:val="FGCHEADING4"/>
      </w:pPr>
      <w:r>
        <w:lastRenderedPageBreak/>
        <w:t>NDIS</w:t>
      </w:r>
      <w:r w:rsidRPr="00F334FC">
        <w:t xml:space="preserve"> financial sustainability and integrity</w:t>
      </w:r>
    </w:p>
    <w:p w14:paraId="297DC094" w14:textId="77777777" w:rsidR="003E76AB" w:rsidRPr="00F41242" w:rsidRDefault="003E76AB" w:rsidP="00FF3436">
      <w:pPr>
        <w:ind w:left="720"/>
        <w:rPr>
          <w:rFonts w:eastAsia="DengXian"/>
          <w:szCs w:val="24"/>
        </w:rPr>
      </w:pPr>
      <w:r w:rsidRPr="00F41242">
        <w:rPr>
          <w:rFonts w:eastAsia="DengXian"/>
          <w:szCs w:val="24"/>
        </w:rPr>
        <w:t>Scheme financial sustainability and integrity</w:t>
      </w:r>
      <w:r w:rsidRPr="00F41242" w:rsidDel="005F0364">
        <w:rPr>
          <w:rFonts w:eastAsia="DengXian"/>
          <w:szCs w:val="24"/>
        </w:rPr>
        <w:t xml:space="preserve"> </w:t>
      </w:r>
      <w:r w:rsidRPr="00F41242">
        <w:rPr>
          <w:rFonts w:eastAsia="DengXian"/>
          <w:szCs w:val="24"/>
        </w:rPr>
        <w:t>is measured by:</w:t>
      </w:r>
    </w:p>
    <w:p w14:paraId="5851AA75" w14:textId="71820062" w:rsidR="003E76AB" w:rsidRPr="00BF3561" w:rsidRDefault="00526D9B" w:rsidP="003E76AB">
      <w:pPr>
        <w:pStyle w:val="ListParagraph"/>
        <w:numPr>
          <w:ilvl w:val="0"/>
          <w:numId w:val="43"/>
        </w:numPr>
        <w:rPr>
          <w:szCs w:val="24"/>
          <w:lang w:eastAsia="en-AU"/>
        </w:rPr>
      </w:pPr>
      <w:r>
        <w:rPr>
          <w:szCs w:val="24"/>
          <w:lang w:eastAsia="en-AU"/>
        </w:rPr>
        <w:t>p</w:t>
      </w:r>
      <w:r w:rsidR="003E76AB" w:rsidRPr="00BF3561">
        <w:rPr>
          <w:szCs w:val="24"/>
          <w:lang w:eastAsia="en-AU"/>
        </w:rPr>
        <w:t>ayment growth compared to healthcare and social assistance wages growth</w:t>
      </w:r>
      <w:r w:rsidR="003E76AB" w:rsidRPr="00B31ADF">
        <w:rPr>
          <w:rStyle w:val="FootnoteReference"/>
          <w:sz w:val="20"/>
          <w:szCs w:val="20"/>
        </w:rPr>
        <w:footnoteReference w:id="41"/>
      </w:r>
      <w:r w:rsidR="003E76AB" w:rsidRPr="00BF3561">
        <w:rPr>
          <w:szCs w:val="24"/>
          <w:lang w:eastAsia="en-AU"/>
        </w:rPr>
        <w:t xml:space="preserve"> </w:t>
      </w:r>
    </w:p>
    <w:p w14:paraId="5005294A" w14:textId="77777777" w:rsidR="003E76AB" w:rsidRPr="00BF3561" w:rsidRDefault="003E76AB" w:rsidP="003E76AB">
      <w:pPr>
        <w:pStyle w:val="ListParagraph"/>
        <w:numPr>
          <w:ilvl w:val="0"/>
          <w:numId w:val="43"/>
        </w:numPr>
        <w:rPr>
          <w:szCs w:val="24"/>
          <w:lang w:eastAsia="en-AU"/>
        </w:rPr>
      </w:pPr>
      <w:r w:rsidRPr="00BF3561">
        <w:rPr>
          <w:szCs w:val="24"/>
          <w:lang w:eastAsia="en-AU"/>
        </w:rPr>
        <w:t>NDIS annual spend (Program 1.1) compared to PBS (%).</w:t>
      </w:r>
    </w:p>
    <w:p w14:paraId="710DCD1A" w14:textId="77777777" w:rsidR="003E76AB" w:rsidRPr="00C41D2B" w:rsidRDefault="003E76AB" w:rsidP="003E76AB">
      <w:pPr>
        <w:contextualSpacing/>
        <w:rPr>
          <w:sz w:val="24"/>
          <w:szCs w:val="24"/>
          <w:lang w:eastAsia="en-AU"/>
        </w:rPr>
      </w:pPr>
    </w:p>
    <w:p w14:paraId="39825AC1" w14:textId="23559A87" w:rsidR="003E76AB" w:rsidRPr="00C97E01" w:rsidRDefault="003E76AB" w:rsidP="003E76AB">
      <w:pPr>
        <w:keepNext/>
        <w:rPr>
          <w:rFonts w:eastAsia="DengXian"/>
          <w:b/>
          <w:sz w:val="21"/>
          <w:szCs w:val="21"/>
        </w:rPr>
      </w:pPr>
      <w:r w:rsidRPr="00C97E01">
        <w:rPr>
          <w:rFonts w:eastAsia="DengXian"/>
          <w:b/>
          <w:sz w:val="21"/>
          <w:szCs w:val="21"/>
        </w:rPr>
        <w:t xml:space="preserve">Table 3.3C: </w:t>
      </w:r>
      <w:r w:rsidRPr="00760744">
        <w:rPr>
          <w:rFonts w:eastAsia="DengXian"/>
          <w:bCs/>
          <w:sz w:val="21"/>
          <w:szCs w:val="21"/>
        </w:rPr>
        <w:t>Scheme financial sustainability and integrity</w:t>
      </w:r>
      <w:r w:rsidRPr="00C97E01" w:rsidDel="00E649CD">
        <w:rPr>
          <w:rFonts w:eastAsia="DengXian"/>
          <w:b/>
          <w:sz w:val="21"/>
          <w:szCs w:val="21"/>
        </w:rPr>
        <w:t xml:space="preserve">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025"/>
        <w:gridCol w:w="1025"/>
        <w:gridCol w:w="1022"/>
        <w:gridCol w:w="4725"/>
      </w:tblGrid>
      <w:tr w:rsidR="003E76AB" w:rsidRPr="00D06CB0" w14:paraId="72E26154" w14:textId="77777777" w:rsidTr="00EE2D88">
        <w:trPr>
          <w:trHeight w:val="381"/>
          <w:tblHeader/>
        </w:trPr>
        <w:tc>
          <w:tcPr>
            <w:tcW w:w="1559" w:type="dxa"/>
            <w:tcBorders>
              <w:top w:val="single" w:sz="4" w:space="0" w:color="auto"/>
              <w:left w:val="single" w:sz="4" w:space="0" w:color="auto"/>
              <w:bottom w:val="single" w:sz="4" w:space="0" w:color="auto"/>
              <w:right w:val="single" w:sz="4" w:space="0" w:color="auto"/>
            </w:tcBorders>
            <w:shd w:val="clear" w:color="auto" w:fill="6B2976"/>
            <w:hideMark/>
          </w:tcPr>
          <w:p w14:paraId="58E05EC6" w14:textId="77777777" w:rsidR="003E76AB" w:rsidRPr="00D06CB0" w:rsidRDefault="003E76AB" w:rsidP="00EE2D88">
            <w:pPr>
              <w:keepLines/>
              <w:spacing w:before="100" w:beforeAutospacing="1" w:after="100" w:afterAutospacing="1"/>
              <w:ind w:left="30"/>
              <w:rPr>
                <w:rFonts w:eastAsia="DengXian"/>
                <w:b/>
                <w:bCs/>
                <w:color w:val="FFFFFF"/>
                <w:sz w:val="20"/>
                <w:lang w:val="en-US"/>
              </w:rPr>
            </w:pPr>
            <w:r w:rsidRPr="00D06CB0">
              <w:rPr>
                <w:rFonts w:eastAsia="DengXian"/>
                <w:b/>
                <w:bCs/>
                <w:color w:val="FFFFFF"/>
                <w:sz w:val="20"/>
                <w:lang w:val="en-US"/>
              </w:rPr>
              <w:t xml:space="preserve">Performance metric </w:t>
            </w:r>
          </w:p>
        </w:tc>
        <w:tc>
          <w:tcPr>
            <w:tcW w:w="1025" w:type="dxa"/>
            <w:tcBorders>
              <w:top w:val="single" w:sz="4" w:space="0" w:color="auto"/>
              <w:left w:val="single" w:sz="4" w:space="0" w:color="auto"/>
              <w:bottom w:val="single" w:sz="4" w:space="0" w:color="auto"/>
              <w:right w:val="single" w:sz="4" w:space="0" w:color="auto"/>
            </w:tcBorders>
            <w:shd w:val="clear" w:color="auto" w:fill="6B2976"/>
          </w:tcPr>
          <w:p w14:paraId="32A0C8C4" w14:textId="77777777" w:rsidR="003E76AB" w:rsidRPr="00D06CB0" w:rsidRDefault="003E76AB" w:rsidP="005C33EF">
            <w:pPr>
              <w:keepLines/>
              <w:spacing w:beforeAutospacing="1" w:afterAutospacing="1"/>
              <w:ind w:left="35"/>
              <w:rPr>
                <w:rFonts w:eastAsia="DengXian"/>
                <w:b/>
                <w:bCs/>
                <w:color w:val="FFFFFF"/>
                <w:sz w:val="20"/>
                <w:lang w:val="en-US"/>
              </w:rPr>
            </w:pPr>
            <w:r>
              <w:rPr>
                <w:rFonts w:eastAsia="DengXian"/>
                <w:b/>
                <w:bCs/>
                <w:color w:val="FFFFFF"/>
                <w:sz w:val="20"/>
                <w:lang w:val="en-US"/>
              </w:rPr>
              <w:t>2020-21</w:t>
            </w:r>
            <w:r w:rsidRPr="00D06CB0">
              <w:rPr>
                <w:rFonts w:eastAsia="DengXian"/>
                <w:b/>
                <w:bCs/>
                <w:color w:val="FFFFFF"/>
                <w:sz w:val="20"/>
                <w:lang w:val="en-US"/>
              </w:rPr>
              <w:t xml:space="preserve"> Result</w:t>
            </w:r>
          </w:p>
        </w:tc>
        <w:tc>
          <w:tcPr>
            <w:tcW w:w="1025" w:type="dxa"/>
            <w:tcBorders>
              <w:top w:val="single" w:sz="4" w:space="0" w:color="auto"/>
              <w:left w:val="single" w:sz="4" w:space="0" w:color="auto"/>
              <w:bottom w:val="single" w:sz="4" w:space="0" w:color="auto"/>
              <w:right w:val="single" w:sz="4" w:space="0" w:color="auto"/>
            </w:tcBorders>
            <w:shd w:val="clear" w:color="auto" w:fill="6B2976"/>
            <w:hideMark/>
          </w:tcPr>
          <w:p w14:paraId="5D42E430" w14:textId="317E128A" w:rsidR="003E76AB" w:rsidRPr="00D06CB0" w:rsidRDefault="00577731" w:rsidP="005C33EF">
            <w:pPr>
              <w:keepLines/>
              <w:spacing w:beforeAutospacing="1" w:afterAutospacing="1"/>
              <w:ind w:left="35"/>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1022" w:type="dxa"/>
            <w:tcBorders>
              <w:top w:val="single" w:sz="4" w:space="0" w:color="auto"/>
              <w:left w:val="single" w:sz="4" w:space="0" w:color="auto"/>
              <w:bottom w:val="single" w:sz="4" w:space="0" w:color="auto"/>
              <w:right w:val="single" w:sz="4" w:space="0" w:color="auto"/>
            </w:tcBorders>
            <w:shd w:val="clear" w:color="auto" w:fill="6B2976"/>
            <w:hideMark/>
          </w:tcPr>
          <w:p w14:paraId="6A38EF3C" w14:textId="01FD9CA9" w:rsidR="003E76AB" w:rsidRPr="00D06CB0" w:rsidRDefault="00577731" w:rsidP="005C33EF">
            <w:pPr>
              <w:keepLines/>
              <w:spacing w:beforeAutospacing="1" w:afterAutospacing="1"/>
              <w:ind w:left="11"/>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A52B94">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4725" w:type="dxa"/>
            <w:tcBorders>
              <w:top w:val="single" w:sz="4" w:space="0" w:color="auto"/>
              <w:left w:val="single" w:sz="4" w:space="0" w:color="auto"/>
              <w:bottom w:val="single" w:sz="4" w:space="0" w:color="auto"/>
              <w:right w:val="single" w:sz="4" w:space="0" w:color="auto"/>
            </w:tcBorders>
            <w:shd w:val="clear" w:color="auto" w:fill="6B2976"/>
            <w:hideMark/>
          </w:tcPr>
          <w:p w14:paraId="253EBCEC" w14:textId="77777777" w:rsidR="003E76AB" w:rsidRPr="00D06CB0" w:rsidRDefault="003E76AB" w:rsidP="005C33EF">
            <w:pPr>
              <w:keepLines/>
              <w:spacing w:beforeAutospacing="1" w:afterAutospacing="1"/>
              <w:ind w:left="2"/>
              <w:rPr>
                <w:rFonts w:eastAsia="DengXian"/>
                <w:b/>
                <w:bCs/>
                <w:color w:val="FFFFFF"/>
                <w:sz w:val="20"/>
                <w:lang w:val="en-US"/>
              </w:rPr>
            </w:pPr>
            <w:r>
              <w:rPr>
                <w:rFonts w:eastAsia="DengXian"/>
                <w:b/>
                <w:bCs/>
                <w:color w:val="FFFFFF"/>
                <w:sz w:val="20"/>
                <w:lang w:val="en-US"/>
              </w:rPr>
              <w:t>Analysis</w:t>
            </w:r>
            <w:r w:rsidRPr="00D06CB0">
              <w:rPr>
                <w:rFonts w:eastAsia="DengXian"/>
                <w:b/>
                <w:bCs/>
                <w:color w:val="FFFFFF"/>
                <w:sz w:val="20"/>
                <w:lang w:val="en-US"/>
              </w:rPr>
              <w:t xml:space="preserve"> </w:t>
            </w:r>
          </w:p>
        </w:tc>
      </w:tr>
      <w:tr w:rsidR="003E76AB" w:rsidRPr="00D06CB0" w14:paraId="28307CE6" w14:textId="77777777" w:rsidTr="00EE2D88">
        <w:trPr>
          <w:trHeight w:val="554"/>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CCB2C" w14:textId="77777777" w:rsidR="003E76AB" w:rsidRPr="00D06CB0" w:rsidRDefault="003E76AB" w:rsidP="005C33EF">
            <w:pPr>
              <w:keepLines/>
              <w:ind w:left="30" w:right="113"/>
              <w:rPr>
                <w:rFonts w:eastAsia="DengXian"/>
                <w:b/>
                <w:bCs/>
                <w:i/>
                <w:sz w:val="20"/>
                <w:lang w:val="en-US"/>
              </w:rPr>
            </w:pPr>
            <w:r w:rsidRPr="00A97DC9">
              <w:rPr>
                <w:rFonts w:eastAsia="DengXian"/>
                <w:b/>
                <w:bCs/>
                <w:sz w:val="20"/>
                <w:lang w:val="en-US"/>
              </w:rPr>
              <w:t>Payment growth compared to healthcare and social assistance wages growth</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2CB5A55" w14:textId="796FAA66" w:rsidR="003E76AB" w:rsidRPr="00D06CB0" w:rsidRDefault="003E76AB" w:rsidP="005C33EF">
            <w:pPr>
              <w:keepLines/>
              <w:ind w:left="5" w:right="113"/>
              <w:rPr>
                <w:rFonts w:eastAsia="DengXian"/>
                <w:sz w:val="20"/>
                <w:lang w:val="en-US"/>
              </w:rPr>
            </w:pPr>
            <w:r>
              <w:rPr>
                <w:rFonts w:eastAsia="DengXian"/>
                <w:sz w:val="20"/>
                <w:lang w:val="en-US"/>
              </w:rPr>
              <w:t xml:space="preserve">4.7 </w:t>
            </w:r>
            <w:r w:rsidR="00A52B94">
              <w:rPr>
                <w:rFonts w:eastAsia="DengXian"/>
                <w:sz w:val="20"/>
                <w:lang w:val="en-US"/>
              </w:rPr>
              <w:t>t</w:t>
            </w:r>
            <w:r>
              <w:rPr>
                <w:rFonts w:eastAsia="DengXian"/>
                <w:sz w:val="20"/>
                <w:lang w:val="en-US"/>
              </w:rPr>
              <w:t>imes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7E5558C0" w14:textId="4BE9154D" w:rsidR="003E76AB" w:rsidRPr="00CA7F4F" w:rsidRDefault="003E76AB" w:rsidP="005C33EF">
            <w:pPr>
              <w:keepLines/>
              <w:ind w:left="5" w:right="113"/>
              <w:rPr>
                <w:rFonts w:eastAsia="DengXian"/>
                <w:sz w:val="20"/>
                <w:lang w:val="en-US"/>
              </w:rPr>
            </w:pPr>
            <w:r w:rsidRPr="00CA7F4F">
              <w:rPr>
                <w:rFonts w:eastAsia="DengXian"/>
                <w:sz w:val="20"/>
                <w:lang w:val="en-US"/>
              </w:rPr>
              <w:t>1.8</w:t>
            </w:r>
            <w:r>
              <w:rPr>
                <w:rFonts w:eastAsia="DengXian"/>
                <w:sz w:val="20"/>
                <w:lang w:val="en-US"/>
              </w:rPr>
              <w:t xml:space="preserve"> </w:t>
            </w:r>
            <w:r w:rsidR="00A52B94">
              <w:rPr>
                <w:rFonts w:eastAsia="DengXian"/>
                <w:sz w:val="20"/>
                <w:lang w:val="en-US"/>
              </w:rPr>
              <w:t>t</w:t>
            </w:r>
            <w:r>
              <w:rPr>
                <w:rFonts w:eastAsia="DengXian"/>
                <w:sz w:val="20"/>
                <w:lang w:val="en-US"/>
              </w:rPr>
              <w:t>imes</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B3AB0EB" w14:textId="47E2FA52" w:rsidR="003E76AB" w:rsidRPr="004F275B" w:rsidRDefault="003E76AB" w:rsidP="005C33EF">
            <w:pPr>
              <w:keepLines/>
              <w:ind w:left="5" w:right="-112"/>
              <w:rPr>
                <w:rFonts w:eastAsia="DengXian"/>
                <w:sz w:val="20"/>
                <w:lang w:val="en-US"/>
              </w:rPr>
            </w:pPr>
            <w:r w:rsidRPr="00A97DC9">
              <w:rPr>
                <w:rFonts w:eastAsia="DengXian"/>
                <w:sz w:val="20"/>
                <w:lang w:val="en-US"/>
              </w:rPr>
              <w:t>&lt;3</w:t>
            </w:r>
            <w:r>
              <w:rPr>
                <w:rFonts w:eastAsia="DengXian"/>
                <w:sz w:val="20"/>
                <w:lang w:val="en-US"/>
              </w:rPr>
              <w:t xml:space="preserve"> </w:t>
            </w:r>
            <w:r>
              <w:rPr>
                <w:rFonts w:eastAsia="DengXian"/>
                <w:sz w:val="20"/>
                <w:lang w:val="en-US"/>
              </w:rPr>
              <w:br/>
            </w:r>
            <w:r w:rsidR="00A52B94">
              <w:rPr>
                <w:rFonts w:eastAsia="DengXian"/>
                <w:sz w:val="20"/>
                <w:lang w:val="en-US"/>
              </w:rPr>
              <w:t>t</w:t>
            </w:r>
            <w:r>
              <w:rPr>
                <w:rFonts w:eastAsia="DengXian"/>
                <w:sz w:val="20"/>
                <w:lang w:val="en-US"/>
              </w:rPr>
              <w:t>imes</w:t>
            </w:r>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05A1E1E5" w14:textId="69AA0356" w:rsidR="003E76AB" w:rsidRPr="00C2067A" w:rsidRDefault="003E76AB" w:rsidP="005C33EF">
            <w:pPr>
              <w:ind w:left="0"/>
              <w:rPr>
                <w:sz w:val="20"/>
                <w:szCs w:val="20"/>
              </w:rPr>
            </w:pPr>
            <w:r w:rsidRPr="007478CD">
              <w:rPr>
                <w:sz w:val="20"/>
                <w:szCs w:val="20"/>
              </w:rPr>
              <w:t xml:space="preserve">The payments inflation rate is calculated as the average payment for all participants in </w:t>
            </w:r>
            <w:r w:rsidR="00323C2D">
              <w:rPr>
                <w:sz w:val="20"/>
                <w:szCs w:val="20"/>
              </w:rPr>
              <w:t xml:space="preserve">the </w:t>
            </w:r>
            <w:r w:rsidRPr="007478CD">
              <w:rPr>
                <w:sz w:val="20"/>
                <w:szCs w:val="20"/>
              </w:rPr>
              <w:t xml:space="preserve">12 months </w:t>
            </w:r>
            <w:r>
              <w:rPr>
                <w:sz w:val="20"/>
                <w:szCs w:val="20"/>
              </w:rPr>
              <w:t xml:space="preserve">to 30 June 2022 </w:t>
            </w:r>
            <w:r w:rsidRPr="007478CD">
              <w:rPr>
                <w:sz w:val="20"/>
                <w:szCs w:val="20"/>
              </w:rPr>
              <w:t xml:space="preserve">(with a </w:t>
            </w:r>
            <w:r w:rsidR="0055625E" w:rsidRPr="007478CD">
              <w:rPr>
                <w:sz w:val="20"/>
                <w:szCs w:val="20"/>
              </w:rPr>
              <w:t>3-month</w:t>
            </w:r>
            <w:r w:rsidRPr="007478CD">
              <w:rPr>
                <w:sz w:val="20"/>
                <w:szCs w:val="20"/>
              </w:rPr>
              <w:t xml:space="preserve"> delay)</w:t>
            </w:r>
            <w:r>
              <w:rPr>
                <w:sz w:val="20"/>
                <w:szCs w:val="20"/>
              </w:rPr>
              <w:t>,</w:t>
            </w:r>
            <w:r w:rsidRPr="007478CD">
              <w:rPr>
                <w:sz w:val="20"/>
                <w:szCs w:val="20"/>
              </w:rPr>
              <w:t xml:space="preserve"> divided by the average payment for all participants in the 12 months prior.</w:t>
            </w:r>
          </w:p>
          <w:p w14:paraId="2E63BC59" w14:textId="77777777" w:rsidR="003E76AB" w:rsidRDefault="003E76AB" w:rsidP="005C33EF">
            <w:pPr>
              <w:ind w:left="0"/>
              <w:rPr>
                <w:sz w:val="20"/>
                <w:szCs w:val="20"/>
              </w:rPr>
            </w:pPr>
            <w:r w:rsidRPr="005C7625">
              <w:rPr>
                <w:sz w:val="20"/>
                <w:szCs w:val="20"/>
              </w:rPr>
              <w:t>The intention of this metric is to compare the actual inflation rate being experienced on participant payments to the relevant published industry wages inflation index. The results show that participant payment</w:t>
            </w:r>
            <w:r>
              <w:rPr>
                <w:sz w:val="20"/>
                <w:szCs w:val="20"/>
              </w:rPr>
              <w:t xml:space="preserve"> growth</w:t>
            </w:r>
            <w:r w:rsidRPr="005C7625">
              <w:rPr>
                <w:sz w:val="20"/>
                <w:szCs w:val="20"/>
              </w:rPr>
              <w:t xml:space="preserve"> </w:t>
            </w:r>
            <w:r>
              <w:rPr>
                <w:sz w:val="20"/>
                <w:szCs w:val="20"/>
              </w:rPr>
              <w:t xml:space="preserve">was </w:t>
            </w:r>
            <w:r w:rsidRPr="005C7625">
              <w:rPr>
                <w:sz w:val="20"/>
                <w:szCs w:val="20"/>
              </w:rPr>
              <w:t xml:space="preserve">within </w:t>
            </w:r>
            <w:r>
              <w:rPr>
                <w:sz w:val="20"/>
                <w:szCs w:val="20"/>
              </w:rPr>
              <w:t xml:space="preserve">the </w:t>
            </w:r>
            <w:r w:rsidRPr="005C7625">
              <w:rPr>
                <w:sz w:val="20"/>
                <w:szCs w:val="20"/>
              </w:rPr>
              <w:t xml:space="preserve">target. </w:t>
            </w:r>
          </w:p>
          <w:p w14:paraId="433D77FA" w14:textId="0312F748" w:rsidR="003E76AB" w:rsidRPr="00D06CB0" w:rsidRDefault="003E76AB" w:rsidP="005C33EF">
            <w:pPr>
              <w:ind w:left="0"/>
              <w:rPr>
                <w:rFonts w:eastAsia="DengXian"/>
                <w:sz w:val="20"/>
                <w:lang w:val="en-US"/>
              </w:rPr>
            </w:pPr>
            <w:r>
              <w:rPr>
                <w:sz w:val="20"/>
                <w:szCs w:val="20"/>
              </w:rPr>
              <w:t xml:space="preserve">This metric does not allow for the changing mix of participants over time – that is, it does not </w:t>
            </w:r>
            <w:proofErr w:type="gramStart"/>
            <w:r>
              <w:rPr>
                <w:sz w:val="20"/>
                <w:szCs w:val="20"/>
              </w:rPr>
              <w:t>take into account</w:t>
            </w:r>
            <w:proofErr w:type="gramEnd"/>
            <w:r>
              <w:rPr>
                <w:sz w:val="20"/>
                <w:szCs w:val="20"/>
              </w:rPr>
              <w:t xml:space="preserve"> the high number of children entering the Scheme in recent years (noting children</w:t>
            </w:r>
            <w:r w:rsidR="0055625E">
              <w:rPr>
                <w:sz w:val="20"/>
                <w:szCs w:val="20"/>
              </w:rPr>
              <w:t>,</w:t>
            </w:r>
            <w:r>
              <w:rPr>
                <w:sz w:val="20"/>
                <w:szCs w:val="20"/>
              </w:rPr>
              <w:t xml:space="preserve"> on average, have lower payment amounts than adults). If the </w:t>
            </w:r>
            <w:r w:rsidRPr="00B31ADF">
              <w:rPr>
                <w:sz w:val="20"/>
                <w:szCs w:val="20"/>
                <w:u w:val="single"/>
              </w:rPr>
              <w:t>same</w:t>
            </w:r>
            <w:r>
              <w:rPr>
                <w:sz w:val="20"/>
                <w:szCs w:val="20"/>
              </w:rPr>
              <w:t xml:space="preserve"> group of participants is considered at the</w:t>
            </w:r>
            <w:r w:rsidR="00265C68">
              <w:rPr>
                <w:sz w:val="20"/>
                <w:szCs w:val="20"/>
              </w:rPr>
              <w:t xml:space="preserve"> 2</w:t>
            </w:r>
            <w:r>
              <w:rPr>
                <w:sz w:val="20"/>
                <w:szCs w:val="20"/>
              </w:rPr>
              <w:t xml:space="preserve"> time points (that is, participants who entered the Scheme in the most recent 12 months are excluded), payment growth would be 9.4 times the growth of wages in the healthcare and social assistance industry.</w:t>
            </w:r>
          </w:p>
        </w:tc>
      </w:tr>
      <w:tr w:rsidR="003E76AB" w:rsidRPr="00D06CB0" w14:paraId="4374C548" w14:textId="77777777" w:rsidTr="00EE2D88">
        <w:trPr>
          <w:trHeight w:val="554"/>
        </w:trPr>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7345D8B" w14:textId="77777777" w:rsidR="003E76AB" w:rsidRPr="00D06CB0" w:rsidRDefault="003E76AB" w:rsidP="005C33EF">
            <w:pPr>
              <w:keepLines/>
              <w:ind w:left="30" w:right="113"/>
              <w:rPr>
                <w:rFonts w:eastAsia="DengXian"/>
                <w:b/>
                <w:bCs/>
                <w:sz w:val="20"/>
                <w:lang w:val="en-US"/>
              </w:rPr>
            </w:pPr>
            <w:r w:rsidRPr="00513B96">
              <w:rPr>
                <w:rFonts w:eastAsia="DengXian"/>
                <w:b/>
                <w:bCs/>
                <w:sz w:val="20"/>
                <w:lang w:val="en-US"/>
              </w:rPr>
              <w:t>NDIS annual spend (Program 1.1) compared to PBS (%</w:t>
            </w:r>
            <w:r>
              <w:rPr>
                <w:rFonts w:eastAsia="DengXian"/>
                <w:b/>
                <w:bCs/>
                <w:sz w:val="20"/>
                <w:lang w:val="en-US"/>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5EF57D1A" w14:textId="77777777" w:rsidR="003E76AB" w:rsidRPr="00D06CB0" w:rsidRDefault="003E76AB" w:rsidP="005C33EF">
            <w:pPr>
              <w:keepLines/>
              <w:ind w:left="5" w:right="113"/>
              <w:rPr>
                <w:rFonts w:eastAsia="DengXian"/>
                <w:sz w:val="20"/>
                <w:lang w:val="en-US"/>
              </w:rPr>
            </w:pPr>
            <w:r>
              <w:rPr>
                <w:rFonts w:eastAsia="DengXian"/>
                <w:sz w:val="20"/>
                <w:lang w:val="en-US"/>
              </w:rPr>
              <w:t>107</w:t>
            </w:r>
            <w:r w:rsidRPr="00D06CB0">
              <w:rPr>
                <w:rFonts w:eastAsia="DengXian"/>
                <w:sz w:val="20"/>
                <w:lang w:val="en-US"/>
              </w:rPr>
              <w:t>%</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14:paraId="0ACD45F6" w14:textId="77777777" w:rsidR="003E76AB" w:rsidRPr="00D06CB0" w:rsidRDefault="003E76AB" w:rsidP="005C33EF">
            <w:pPr>
              <w:keepLines/>
              <w:ind w:left="5" w:right="113"/>
              <w:rPr>
                <w:rFonts w:eastAsia="DengXian"/>
                <w:sz w:val="20"/>
                <w:lang w:val="en-US"/>
              </w:rPr>
            </w:pPr>
            <w:r>
              <w:rPr>
                <w:rFonts w:eastAsia="DengXian"/>
                <w:sz w:val="20"/>
                <w:lang w:val="en-US"/>
              </w:rPr>
              <w:t>98</w:t>
            </w:r>
            <w:r w:rsidRPr="00430FAB">
              <w:rPr>
                <w:rFonts w:eastAsia="DengXian"/>
                <w:sz w:val="20"/>
                <w:lang w:val="en-US"/>
              </w:rPr>
              <w:t>%</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00196FC" w14:textId="77777777" w:rsidR="003E76AB" w:rsidRPr="00D06CB0" w:rsidRDefault="003E76AB" w:rsidP="005C33EF">
            <w:pPr>
              <w:keepLines/>
              <w:ind w:left="5" w:right="113"/>
              <w:rPr>
                <w:rFonts w:eastAsia="DengXian"/>
                <w:sz w:val="20"/>
                <w:lang w:val="en-US"/>
              </w:rPr>
            </w:pPr>
            <w:r>
              <w:rPr>
                <w:rFonts w:eastAsia="DengXian"/>
                <w:sz w:val="20"/>
                <w:lang w:val="en-US"/>
              </w:rPr>
              <w:t>100%</w:t>
            </w:r>
          </w:p>
        </w:tc>
        <w:tc>
          <w:tcPr>
            <w:tcW w:w="4725" w:type="dxa"/>
            <w:tcBorders>
              <w:top w:val="single" w:sz="4" w:space="0" w:color="auto"/>
              <w:left w:val="single" w:sz="4" w:space="0" w:color="auto"/>
              <w:bottom w:val="single" w:sz="4" w:space="0" w:color="auto"/>
              <w:right w:val="single" w:sz="4" w:space="0" w:color="auto"/>
            </w:tcBorders>
            <w:shd w:val="clear" w:color="auto" w:fill="auto"/>
          </w:tcPr>
          <w:p w14:paraId="5809DFE4" w14:textId="1F8392AC" w:rsidR="003E76AB" w:rsidRPr="0067743A" w:rsidRDefault="003E76AB" w:rsidP="005C33EF">
            <w:pPr>
              <w:ind w:left="0"/>
              <w:rPr>
                <w:sz w:val="20"/>
                <w:szCs w:val="20"/>
              </w:rPr>
            </w:pPr>
            <w:r w:rsidRPr="0067743A">
              <w:rPr>
                <w:sz w:val="20"/>
                <w:szCs w:val="20"/>
              </w:rPr>
              <w:t xml:space="preserve">This metric is calculated </w:t>
            </w:r>
            <w:r>
              <w:rPr>
                <w:sz w:val="20"/>
                <w:szCs w:val="20"/>
              </w:rPr>
              <w:t xml:space="preserve">as Scheme expenses in </w:t>
            </w:r>
            <w:r w:rsidR="00577731">
              <w:rPr>
                <w:sz w:val="20"/>
                <w:szCs w:val="20"/>
              </w:rPr>
              <w:t>2021–22</w:t>
            </w:r>
            <w:r>
              <w:rPr>
                <w:sz w:val="20"/>
                <w:szCs w:val="20"/>
              </w:rPr>
              <w:t xml:space="preserve"> (</w:t>
            </w:r>
            <w:r w:rsidR="00ED7582">
              <w:rPr>
                <w:sz w:val="20"/>
                <w:szCs w:val="20"/>
              </w:rPr>
              <w:t>P</w:t>
            </w:r>
            <w:r>
              <w:rPr>
                <w:sz w:val="20"/>
                <w:szCs w:val="20"/>
              </w:rPr>
              <w:t>rogram 1.1)</w:t>
            </w:r>
            <w:r>
              <w:rPr>
                <w:rStyle w:val="FootnoteReference"/>
                <w:sz w:val="20"/>
                <w:szCs w:val="20"/>
              </w:rPr>
              <w:footnoteReference w:id="42"/>
            </w:r>
            <w:r>
              <w:rPr>
                <w:sz w:val="20"/>
                <w:szCs w:val="20"/>
              </w:rPr>
              <w:t xml:space="preserve"> </w:t>
            </w:r>
            <w:r w:rsidRPr="0067743A">
              <w:rPr>
                <w:sz w:val="20"/>
                <w:szCs w:val="20"/>
              </w:rPr>
              <w:t xml:space="preserve">divided by </w:t>
            </w:r>
            <w:r>
              <w:rPr>
                <w:sz w:val="20"/>
                <w:szCs w:val="20"/>
              </w:rPr>
              <w:t>expenses in the March PBS.</w:t>
            </w:r>
          </w:p>
          <w:p w14:paraId="0DDF1D54" w14:textId="77777777" w:rsidR="003E76AB" w:rsidRPr="00D06CB0" w:rsidRDefault="003E76AB" w:rsidP="005C33EF">
            <w:pPr>
              <w:keepLines/>
              <w:ind w:left="0" w:right="113"/>
              <w:rPr>
                <w:rFonts w:eastAsia="DengXian"/>
                <w:sz w:val="20"/>
                <w:lang w:val="en-US"/>
              </w:rPr>
            </w:pPr>
            <w:r w:rsidRPr="005C7625">
              <w:rPr>
                <w:sz w:val="20"/>
                <w:szCs w:val="20"/>
              </w:rPr>
              <w:t>The result</w:t>
            </w:r>
            <w:r>
              <w:rPr>
                <w:sz w:val="20"/>
                <w:szCs w:val="20"/>
              </w:rPr>
              <w:t xml:space="preserve"> was </w:t>
            </w:r>
            <w:r w:rsidRPr="005C7625">
              <w:rPr>
                <w:sz w:val="20"/>
                <w:szCs w:val="20"/>
              </w:rPr>
              <w:t xml:space="preserve">within </w:t>
            </w:r>
            <w:r>
              <w:rPr>
                <w:sz w:val="20"/>
                <w:szCs w:val="20"/>
              </w:rPr>
              <w:t xml:space="preserve">the </w:t>
            </w:r>
            <w:r w:rsidRPr="005C7625">
              <w:rPr>
                <w:sz w:val="20"/>
                <w:szCs w:val="20"/>
              </w:rPr>
              <w:t>target range.</w:t>
            </w:r>
          </w:p>
        </w:tc>
      </w:tr>
    </w:tbl>
    <w:p w14:paraId="71C1239C" w14:textId="77777777" w:rsidR="003E76AB" w:rsidRDefault="003E76AB" w:rsidP="003E76AB">
      <w:pPr>
        <w:rPr>
          <w:rFonts w:eastAsia="DengXian"/>
          <w:b/>
          <w:bCs/>
          <w:color w:val="000000"/>
          <w:sz w:val="24"/>
          <w:szCs w:val="24"/>
        </w:rPr>
      </w:pPr>
    </w:p>
    <w:p w14:paraId="19800A51" w14:textId="77777777" w:rsidR="003E76AB" w:rsidRDefault="003E76AB" w:rsidP="003E76AB">
      <w:pPr>
        <w:spacing w:before="0" w:after="160" w:line="259" w:lineRule="auto"/>
        <w:ind w:left="0"/>
        <w:rPr>
          <w:rFonts w:eastAsia="DengXian"/>
          <w:b/>
          <w:bCs/>
          <w:color w:val="000000"/>
          <w:sz w:val="24"/>
          <w:szCs w:val="24"/>
        </w:rPr>
      </w:pPr>
      <w:r>
        <w:rPr>
          <w:rFonts w:eastAsia="DengXian"/>
          <w:b/>
          <w:bCs/>
          <w:color w:val="000000"/>
          <w:sz w:val="24"/>
          <w:szCs w:val="24"/>
        </w:rPr>
        <w:br w:type="page"/>
      </w:r>
    </w:p>
    <w:p w14:paraId="6018759A" w14:textId="159E81EE" w:rsidR="003E76AB" w:rsidRPr="00F334FC" w:rsidRDefault="003E76AB" w:rsidP="00EE2D88">
      <w:pPr>
        <w:pStyle w:val="FGCHEADING4"/>
      </w:pPr>
      <w:r>
        <w:lastRenderedPageBreak/>
        <w:t>NDIS</w:t>
      </w:r>
      <w:r w:rsidRPr="00F334FC">
        <w:t xml:space="preserve"> operating performance</w:t>
      </w:r>
    </w:p>
    <w:p w14:paraId="25648D48" w14:textId="77777777" w:rsidR="003E76AB" w:rsidRPr="00F41242" w:rsidRDefault="003E76AB" w:rsidP="00FF3436">
      <w:pPr>
        <w:ind w:left="720"/>
        <w:rPr>
          <w:rFonts w:eastAsia="DengXian"/>
          <w:szCs w:val="24"/>
        </w:rPr>
      </w:pPr>
      <w:r w:rsidRPr="00F41242">
        <w:rPr>
          <w:rFonts w:eastAsia="DengXian"/>
          <w:szCs w:val="24"/>
        </w:rPr>
        <w:t>Scheme operating performance</w:t>
      </w:r>
      <w:r w:rsidRPr="00F41242" w:rsidDel="005F0364">
        <w:rPr>
          <w:rFonts w:eastAsia="DengXian"/>
          <w:szCs w:val="24"/>
        </w:rPr>
        <w:t xml:space="preserve"> </w:t>
      </w:r>
      <w:r w:rsidRPr="00F41242">
        <w:rPr>
          <w:rFonts w:eastAsia="DengXian"/>
          <w:szCs w:val="24"/>
        </w:rPr>
        <w:t>is measured by:</w:t>
      </w:r>
    </w:p>
    <w:p w14:paraId="1D8CD20F" w14:textId="77777777" w:rsidR="003E76AB" w:rsidRPr="008014A6" w:rsidRDefault="003E76AB" w:rsidP="007119AA">
      <w:pPr>
        <w:pStyle w:val="ListParagraph"/>
        <w:numPr>
          <w:ilvl w:val="0"/>
          <w:numId w:val="43"/>
        </w:numPr>
        <w:rPr>
          <w:szCs w:val="24"/>
          <w:lang w:eastAsia="en-AU"/>
        </w:rPr>
      </w:pPr>
      <w:r w:rsidRPr="008014A6">
        <w:rPr>
          <w:szCs w:val="24"/>
          <w:lang w:eastAsia="en-AU"/>
        </w:rPr>
        <w:t>Participant Service Guarantee timeframes met (%)</w:t>
      </w:r>
    </w:p>
    <w:p w14:paraId="3E634731" w14:textId="77777777" w:rsidR="003E76AB" w:rsidRPr="00B31ADF" w:rsidRDefault="003E76AB" w:rsidP="007119AA">
      <w:pPr>
        <w:pStyle w:val="ListParagraph"/>
        <w:numPr>
          <w:ilvl w:val="0"/>
          <w:numId w:val="43"/>
        </w:numPr>
        <w:rPr>
          <w:szCs w:val="24"/>
          <w:lang w:eastAsia="en-AU"/>
        </w:rPr>
      </w:pPr>
      <w:r w:rsidRPr="008014A6">
        <w:rPr>
          <w:szCs w:val="24"/>
          <w:lang w:eastAsia="en-AU"/>
        </w:rPr>
        <w:t>plan utilisation by region (%).</w:t>
      </w:r>
      <w:r w:rsidRPr="00B31ADF">
        <w:rPr>
          <w:szCs w:val="24"/>
          <w:lang w:eastAsia="en-AU"/>
        </w:rPr>
        <w:br/>
      </w:r>
    </w:p>
    <w:p w14:paraId="01AEF00E" w14:textId="7CEB4D8E" w:rsidR="003E76AB" w:rsidRPr="00C97E01" w:rsidRDefault="003E76AB" w:rsidP="003E76AB">
      <w:pPr>
        <w:keepNext/>
        <w:rPr>
          <w:rFonts w:eastAsia="DengXian"/>
          <w:b/>
          <w:sz w:val="21"/>
          <w:szCs w:val="21"/>
        </w:rPr>
      </w:pPr>
      <w:r w:rsidRPr="00C97E01">
        <w:rPr>
          <w:rFonts w:eastAsia="DengXian"/>
          <w:b/>
          <w:sz w:val="21"/>
          <w:szCs w:val="21"/>
        </w:rPr>
        <w:t xml:space="preserve">Table 3.3D: </w:t>
      </w:r>
      <w:r w:rsidRPr="00760744">
        <w:rPr>
          <w:rFonts w:eastAsia="DengXian"/>
          <w:bCs/>
          <w:sz w:val="21"/>
          <w:szCs w:val="21"/>
        </w:rPr>
        <w:t>NDIS operating performance</w:t>
      </w:r>
      <w:r w:rsidRPr="00C97E01" w:rsidDel="000B6F24">
        <w:rPr>
          <w:rFonts w:eastAsia="DengXian"/>
          <w:b/>
          <w:sz w:val="21"/>
          <w:szCs w:val="21"/>
        </w:rPr>
        <w:t xml:space="preserve">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1134"/>
        <w:gridCol w:w="1276"/>
        <w:gridCol w:w="4111"/>
      </w:tblGrid>
      <w:tr w:rsidR="003E76AB" w:rsidRPr="00D06CB0" w14:paraId="23490890" w14:textId="77777777" w:rsidTr="00EE2D88">
        <w:trPr>
          <w:tblHeader/>
        </w:trPr>
        <w:tc>
          <w:tcPr>
            <w:tcW w:w="1701" w:type="dxa"/>
            <w:shd w:val="clear" w:color="auto" w:fill="6B2976"/>
          </w:tcPr>
          <w:p w14:paraId="2F3C06FA" w14:textId="77777777" w:rsidR="003E76AB" w:rsidRPr="00D06CB0" w:rsidRDefault="003E76AB" w:rsidP="00EE2D88">
            <w:pPr>
              <w:keepLines/>
              <w:spacing w:before="100" w:beforeAutospacing="1" w:after="100" w:afterAutospacing="1"/>
              <w:ind w:left="0"/>
              <w:rPr>
                <w:rFonts w:eastAsia="DengXian"/>
                <w:b/>
                <w:color w:val="FFFFFF"/>
                <w:sz w:val="20"/>
              </w:rPr>
            </w:pPr>
            <w:r w:rsidRPr="005853DA">
              <w:rPr>
                <w:rFonts w:eastAsia="DengXian"/>
                <w:b/>
                <w:bCs/>
                <w:color w:val="FFFFFF"/>
                <w:sz w:val="20"/>
                <w:lang w:val="en-US"/>
              </w:rPr>
              <w:t>Performance metric</w:t>
            </w:r>
            <w:r w:rsidRPr="00D06CB0">
              <w:rPr>
                <w:rFonts w:eastAsia="DengXian"/>
                <w:b/>
                <w:color w:val="FFFFFF"/>
                <w:sz w:val="20"/>
              </w:rPr>
              <w:t xml:space="preserve"> </w:t>
            </w:r>
          </w:p>
        </w:tc>
        <w:tc>
          <w:tcPr>
            <w:tcW w:w="1134" w:type="dxa"/>
            <w:shd w:val="clear" w:color="auto" w:fill="6B2976"/>
          </w:tcPr>
          <w:p w14:paraId="2CE48003" w14:textId="77777777" w:rsidR="003E76AB" w:rsidRPr="00D06CB0" w:rsidRDefault="003E76AB" w:rsidP="005C33EF">
            <w:pPr>
              <w:ind w:left="47"/>
              <w:rPr>
                <w:rFonts w:eastAsia="DengXian"/>
                <w:b/>
                <w:color w:val="FFFFFF"/>
                <w:sz w:val="20"/>
              </w:rPr>
            </w:pPr>
            <w:r>
              <w:rPr>
                <w:rFonts w:eastAsia="DengXian"/>
                <w:b/>
                <w:bCs/>
                <w:color w:val="FFFFFF"/>
                <w:sz w:val="20"/>
                <w:lang w:val="en-US"/>
              </w:rPr>
              <w:t>2020-21</w:t>
            </w:r>
            <w:r w:rsidRPr="00D06CB0">
              <w:rPr>
                <w:rFonts w:eastAsia="DengXian"/>
                <w:b/>
                <w:bCs/>
                <w:color w:val="FFFFFF"/>
                <w:sz w:val="20"/>
                <w:lang w:val="en-US"/>
              </w:rPr>
              <w:t xml:space="preserve"> Result</w:t>
            </w:r>
          </w:p>
        </w:tc>
        <w:tc>
          <w:tcPr>
            <w:tcW w:w="1134" w:type="dxa"/>
            <w:shd w:val="clear" w:color="auto" w:fill="6B2976"/>
          </w:tcPr>
          <w:p w14:paraId="550FBFBE" w14:textId="4972CD41" w:rsidR="003E76AB" w:rsidRPr="00D06CB0" w:rsidRDefault="00577731" w:rsidP="005C33EF">
            <w:pPr>
              <w:ind w:left="47"/>
              <w:rPr>
                <w:rFonts w:eastAsia="DengXian"/>
                <w:b/>
                <w:color w:val="FFFFFF"/>
                <w:sz w:val="20"/>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1276" w:type="dxa"/>
            <w:shd w:val="clear" w:color="auto" w:fill="6B2976"/>
          </w:tcPr>
          <w:p w14:paraId="583BAEE5" w14:textId="4DC02FBF" w:rsidR="003E76AB" w:rsidRPr="00D06CB0" w:rsidRDefault="00577731" w:rsidP="005C33EF">
            <w:pPr>
              <w:ind w:left="11"/>
              <w:rPr>
                <w:rFonts w:eastAsia="DengXian"/>
                <w:b/>
                <w:color w:val="FFFFFF"/>
                <w:sz w:val="20"/>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292215">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4111" w:type="dxa"/>
            <w:shd w:val="clear" w:color="auto" w:fill="6B2976"/>
          </w:tcPr>
          <w:p w14:paraId="04B15CFD" w14:textId="77777777" w:rsidR="003E76AB" w:rsidRPr="00D06CB0" w:rsidRDefault="003E76AB" w:rsidP="005C33EF">
            <w:pPr>
              <w:keepLines/>
              <w:spacing w:beforeAutospacing="1" w:afterAutospacing="1"/>
              <w:ind w:left="2"/>
              <w:rPr>
                <w:rFonts w:eastAsia="DengXian"/>
                <w:b/>
                <w:color w:val="FFFFFF"/>
                <w:sz w:val="20"/>
              </w:rPr>
            </w:pPr>
            <w:r>
              <w:rPr>
                <w:rFonts w:eastAsia="DengXian"/>
                <w:b/>
                <w:bCs/>
                <w:color w:val="FFFFFF"/>
                <w:sz w:val="20"/>
                <w:lang w:val="en-US"/>
              </w:rPr>
              <w:t>Analysis</w:t>
            </w:r>
            <w:r w:rsidRPr="005853DA">
              <w:rPr>
                <w:rFonts w:eastAsia="DengXian"/>
                <w:b/>
                <w:bCs/>
                <w:color w:val="FFFFFF"/>
                <w:sz w:val="20"/>
                <w:lang w:val="en-US"/>
              </w:rPr>
              <w:t xml:space="preserve"> </w:t>
            </w:r>
          </w:p>
        </w:tc>
      </w:tr>
      <w:tr w:rsidR="003E76AB" w:rsidRPr="00D06CB0" w14:paraId="735253FB" w14:textId="77777777" w:rsidTr="00EE2D88">
        <w:tc>
          <w:tcPr>
            <w:tcW w:w="1701" w:type="dxa"/>
            <w:shd w:val="clear" w:color="auto" w:fill="auto"/>
            <w:vAlign w:val="center"/>
          </w:tcPr>
          <w:p w14:paraId="43DA4E0F" w14:textId="77777777" w:rsidR="003E76AB" w:rsidRPr="00D06CB0" w:rsidRDefault="003E76AB" w:rsidP="005C33EF">
            <w:pPr>
              <w:ind w:left="33"/>
              <w:rPr>
                <w:rFonts w:eastAsia="DengXian"/>
                <w:b/>
                <w:sz w:val="20"/>
              </w:rPr>
            </w:pPr>
            <w:r w:rsidRPr="00D06CB0">
              <w:rPr>
                <w:rFonts w:eastAsia="DengXian"/>
                <w:b/>
                <w:sz w:val="20"/>
              </w:rPr>
              <w:t>Participant Service Guarantee (PSG) timeframes met (%)</w:t>
            </w:r>
          </w:p>
        </w:tc>
        <w:tc>
          <w:tcPr>
            <w:tcW w:w="1134" w:type="dxa"/>
            <w:shd w:val="clear" w:color="auto" w:fill="auto"/>
            <w:vAlign w:val="center"/>
          </w:tcPr>
          <w:p w14:paraId="28F175CF" w14:textId="77777777" w:rsidR="003E76AB" w:rsidRPr="004F275B" w:rsidRDefault="003E76AB" w:rsidP="005C33EF">
            <w:pPr>
              <w:keepLines/>
              <w:ind w:left="5" w:right="113"/>
              <w:rPr>
                <w:rFonts w:eastAsia="DengXian"/>
                <w:sz w:val="20"/>
                <w:lang w:val="en-US"/>
              </w:rPr>
            </w:pPr>
            <w:r w:rsidRPr="004F275B">
              <w:rPr>
                <w:rFonts w:eastAsia="DengXian"/>
                <w:sz w:val="20"/>
                <w:lang w:val="en-US"/>
              </w:rPr>
              <w:t>47%</w:t>
            </w:r>
          </w:p>
        </w:tc>
        <w:tc>
          <w:tcPr>
            <w:tcW w:w="1134" w:type="dxa"/>
            <w:shd w:val="clear" w:color="auto" w:fill="auto"/>
            <w:vAlign w:val="center"/>
          </w:tcPr>
          <w:p w14:paraId="5241504D" w14:textId="77777777" w:rsidR="003E76AB" w:rsidRPr="004F275B" w:rsidRDefault="003E76AB" w:rsidP="005C33EF">
            <w:pPr>
              <w:keepLines/>
              <w:ind w:left="5" w:right="113"/>
              <w:rPr>
                <w:rFonts w:eastAsia="DengXian"/>
                <w:sz w:val="20"/>
                <w:lang w:val="en-US"/>
              </w:rPr>
            </w:pPr>
            <w:r>
              <w:rPr>
                <w:rFonts w:eastAsia="DengXian"/>
                <w:sz w:val="20"/>
                <w:lang w:val="en-US"/>
              </w:rPr>
              <w:t>51</w:t>
            </w:r>
            <w:r w:rsidRPr="00101F03">
              <w:rPr>
                <w:rFonts w:eastAsia="DengXian"/>
                <w:sz w:val="20"/>
                <w:lang w:val="en-US"/>
              </w:rPr>
              <w:t>%</w:t>
            </w:r>
          </w:p>
        </w:tc>
        <w:tc>
          <w:tcPr>
            <w:tcW w:w="1276" w:type="dxa"/>
            <w:shd w:val="clear" w:color="auto" w:fill="auto"/>
            <w:vAlign w:val="center"/>
          </w:tcPr>
          <w:p w14:paraId="2EB28C77" w14:textId="77777777" w:rsidR="003E76AB" w:rsidRPr="004F275B" w:rsidRDefault="003E76AB" w:rsidP="005C33EF">
            <w:pPr>
              <w:keepLines/>
              <w:ind w:left="5" w:right="113"/>
              <w:rPr>
                <w:rFonts w:eastAsia="DengXian"/>
                <w:sz w:val="20"/>
                <w:lang w:val="en-US"/>
              </w:rPr>
            </w:pPr>
            <w:r>
              <w:rPr>
                <w:rFonts w:eastAsia="DengXian"/>
                <w:sz w:val="20"/>
                <w:lang w:val="en-US"/>
              </w:rPr>
              <w:t>100%</w:t>
            </w:r>
          </w:p>
        </w:tc>
        <w:tc>
          <w:tcPr>
            <w:tcW w:w="4111" w:type="dxa"/>
            <w:shd w:val="clear" w:color="auto" w:fill="auto"/>
          </w:tcPr>
          <w:p w14:paraId="12C379B0" w14:textId="60F4931E" w:rsidR="003E76AB" w:rsidRDefault="003E76AB" w:rsidP="005C33EF">
            <w:pPr>
              <w:spacing w:after="0"/>
              <w:ind w:left="0"/>
              <w:rPr>
                <w:color w:val="000000"/>
                <w:sz w:val="20"/>
                <w:szCs w:val="20"/>
              </w:rPr>
            </w:pPr>
            <w:r w:rsidRPr="006C447E">
              <w:rPr>
                <w:color w:val="000000"/>
                <w:sz w:val="20"/>
                <w:szCs w:val="20"/>
              </w:rPr>
              <w:t xml:space="preserve">The calculation is based on </w:t>
            </w:r>
            <w:r w:rsidR="00417A14">
              <w:rPr>
                <w:color w:val="000000"/>
                <w:sz w:val="20"/>
                <w:szCs w:val="20"/>
              </w:rPr>
              <w:t>PSG</w:t>
            </w:r>
            <w:r w:rsidRPr="006C447E">
              <w:rPr>
                <w:color w:val="000000"/>
                <w:sz w:val="20"/>
                <w:szCs w:val="20"/>
              </w:rPr>
              <w:t xml:space="preserve"> metrics </w:t>
            </w:r>
            <w:r>
              <w:rPr>
                <w:color w:val="000000"/>
                <w:sz w:val="20"/>
                <w:szCs w:val="20"/>
              </w:rPr>
              <w:t xml:space="preserve">always </w:t>
            </w:r>
            <w:r w:rsidRPr="006C447E">
              <w:rPr>
                <w:color w:val="000000"/>
                <w:sz w:val="20"/>
                <w:szCs w:val="20"/>
              </w:rPr>
              <w:t>achieving the</w:t>
            </w:r>
            <w:r>
              <w:rPr>
                <w:color w:val="000000"/>
                <w:sz w:val="20"/>
                <w:szCs w:val="20"/>
              </w:rPr>
              <w:t xml:space="preserve"> target</w:t>
            </w:r>
            <w:r w:rsidRPr="006C447E">
              <w:rPr>
                <w:color w:val="000000"/>
                <w:sz w:val="20"/>
                <w:szCs w:val="20"/>
              </w:rPr>
              <w:t>.</w:t>
            </w:r>
            <w:r>
              <w:rPr>
                <w:color w:val="000000"/>
                <w:sz w:val="20"/>
                <w:szCs w:val="20"/>
              </w:rPr>
              <w:t xml:space="preserve"> </w:t>
            </w:r>
          </w:p>
          <w:p w14:paraId="70202136" w14:textId="21BCD2D9" w:rsidR="003E76AB" w:rsidRDefault="003E76AB" w:rsidP="005C33EF">
            <w:pPr>
              <w:ind w:left="0"/>
              <w:rPr>
                <w:color w:val="000000"/>
                <w:sz w:val="20"/>
                <w:szCs w:val="20"/>
              </w:rPr>
            </w:pPr>
            <w:r w:rsidRPr="00C2067A">
              <w:rPr>
                <w:color w:val="000000"/>
                <w:sz w:val="20"/>
                <w:szCs w:val="20"/>
              </w:rPr>
              <w:t xml:space="preserve">The NDIA </w:t>
            </w:r>
            <w:r>
              <w:rPr>
                <w:color w:val="000000"/>
                <w:sz w:val="20"/>
                <w:szCs w:val="20"/>
              </w:rPr>
              <w:t xml:space="preserve">has been voluntarily measuring against the PSG timeframes as part of our quarterly and annual reporting. In </w:t>
            </w:r>
            <w:r w:rsidR="00577731">
              <w:rPr>
                <w:color w:val="000000"/>
                <w:sz w:val="20"/>
                <w:szCs w:val="20"/>
              </w:rPr>
              <w:t>2021–</w:t>
            </w:r>
            <w:proofErr w:type="gramStart"/>
            <w:r w:rsidR="00577731">
              <w:rPr>
                <w:color w:val="000000"/>
                <w:sz w:val="20"/>
                <w:szCs w:val="20"/>
              </w:rPr>
              <w:t xml:space="preserve">22 </w:t>
            </w:r>
            <w:r>
              <w:rPr>
                <w:color w:val="000000"/>
                <w:sz w:val="20"/>
                <w:szCs w:val="20"/>
              </w:rPr>
              <w:t xml:space="preserve"> the</w:t>
            </w:r>
            <w:proofErr w:type="gramEnd"/>
            <w:r>
              <w:rPr>
                <w:color w:val="000000"/>
                <w:sz w:val="20"/>
                <w:szCs w:val="20"/>
              </w:rPr>
              <w:t xml:space="preserve"> Agency reported against 17 of the 20 metrics.</w:t>
            </w:r>
            <w:r>
              <w:rPr>
                <w:rStyle w:val="FootnoteReference"/>
                <w:color w:val="000000"/>
                <w:sz w:val="20"/>
                <w:szCs w:val="20"/>
              </w:rPr>
              <w:footnoteReference w:id="43"/>
            </w:r>
            <w:r>
              <w:rPr>
                <w:color w:val="000000"/>
                <w:sz w:val="20"/>
                <w:szCs w:val="20"/>
              </w:rPr>
              <w:t xml:space="preserve"> The quarterly reports to disability ministers track each metric, with metrics marked as ‘on track’ if more than 95% of decisions are made within the timeframe. The proportion of PSG metrics considered ‘on track’ increased throughout the year from 35% in July 2021 to 75% in June 2022. The average for the year was 51%.</w:t>
            </w:r>
            <w:r>
              <w:rPr>
                <w:rStyle w:val="FootnoteReference"/>
                <w:color w:val="000000"/>
                <w:sz w:val="20"/>
                <w:szCs w:val="20"/>
              </w:rPr>
              <w:footnoteReference w:id="44"/>
            </w:r>
          </w:p>
          <w:p w14:paraId="1BA71160" w14:textId="63F1865A" w:rsidR="003E76AB" w:rsidRPr="006C447E" w:rsidRDefault="003E76AB" w:rsidP="005C33EF">
            <w:pPr>
              <w:ind w:left="0"/>
              <w:rPr>
                <w:color w:val="000000"/>
                <w:sz w:val="20"/>
                <w:szCs w:val="20"/>
              </w:rPr>
            </w:pPr>
            <w:r w:rsidRPr="005C7625">
              <w:rPr>
                <w:sz w:val="20"/>
                <w:szCs w:val="20"/>
              </w:rPr>
              <w:t>The Agency continues to review and monitor progress towards achievement of the PSG timeframes. Specific action plans are in place to address PSG metrics that are currently not achieving targets. All PSG metrics will be used to measure performance in the 2022</w:t>
            </w:r>
            <w:r w:rsidR="00465AFC">
              <w:rPr>
                <w:sz w:val="20"/>
                <w:szCs w:val="20"/>
              </w:rPr>
              <w:t>–</w:t>
            </w:r>
            <w:r w:rsidRPr="005C7625">
              <w:rPr>
                <w:sz w:val="20"/>
                <w:szCs w:val="20"/>
              </w:rPr>
              <w:t>23 period.</w:t>
            </w:r>
          </w:p>
        </w:tc>
      </w:tr>
      <w:tr w:rsidR="003E76AB" w:rsidRPr="00D06CB0" w14:paraId="51C0A759" w14:textId="77777777" w:rsidTr="00EE2D88">
        <w:tc>
          <w:tcPr>
            <w:tcW w:w="1701" w:type="dxa"/>
            <w:shd w:val="clear" w:color="auto" w:fill="auto"/>
            <w:vAlign w:val="center"/>
          </w:tcPr>
          <w:p w14:paraId="386CC8A8" w14:textId="77777777" w:rsidR="003E76AB" w:rsidRPr="00D06CB0" w:rsidRDefault="003E76AB" w:rsidP="005C33EF">
            <w:pPr>
              <w:ind w:left="33"/>
              <w:rPr>
                <w:rFonts w:eastAsia="DengXian"/>
                <w:b/>
                <w:sz w:val="20"/>
              </w:rPr>
            </w:pPr>
            <w:r w:rsidRPr="00D06CB0">
              <w:rPr>
                <w:rFonts w:eastAsia="DengXian"/>
                <w:b/>
                <w:sz w:val="20"/>
              </w:rPr>
              <w:t>Plan utilisation by region (%)</w:t>
            </w:r>
            <w:r>
              <w:rPr>
                <w:rStyle w:val="FootnoteReference"/>
                <w:rFonts w:eastAsia="DengXian"/>
                <w:b/>
                <w:sz w:val="20"/>
              </w:rPr>
              <w:footnoteReference w:id="45"/>
            </w:r>
          </w:p>
        </w:tc>
        <w:tc>
          <w:tcPr>
            <w:tcW w:w="1134" w:type="dxa"/>
            <w:shd w:val="clear" w:color="auto" w:fill="auto"/>
            <w:vAlign w:val="center"/>
          </w:tcPr>
          <w:p w14:paraId="405AB444" w14:textId="77777777" w:rsidR="003E76AB" w:rsidRPr="004F275B" w:rsidRDefault="003E76AB" w:rsidP="005C33EF">
            <w:pPr>
              <w:keepLines/>
              <w:ind w:left="5" w:right="113"/>
              <w:rPr>
                <w:rFonts w:eastAsia="DengXian"/>
                <w:sz w:val="20"/>
                <w:lang w:val="en-US"/>
              </w:rPr>
            </w:pPr>
            <w:r w:rsidRPr="004F275B">
              <w:rPr>
                <w:rFonts w:eastAsia="DengXian"/>
                <w:sz w:val="20"/>
                <w:lang w:val="en-US"/>
              </w:rPr>
              <w:t>7.5%</w:t>
            </w:r>
          </w:p>
        </w:tc>
        <w:tc>
          <w:tcPr>
            <w:tcW w:w="1134" w:type="dxa"/>
            <w:shd w:val="clear" w:color="auto" w:fill="auto"/>
            <w:vAlign w:val="center"/>
          </w:tcPr>
          <w:p w14:paraId="72C2695F" w14:textId="77777777" w:rsidR="003E76AB" w:rsidRPr="004F275B" w:rsidRDefault="003E76AB" w:rsidP="005C33EF">
            <w:pPr>
              <w:keepLines/>
              <w:ind w:left="5" w:right="113"/>
              <w:rPr>
                <w:rFonts w:eastAsia="DengXian"/>
                <w:sz w:val="20"/>
                <w:lang w:val="en-US"/>
              </w:rPr>
            </w:pPr>
            <w:r w:rsidRPr="005A30DD">
              <w:rPr>
                <w:rFonts w:eastAsia="DengXian"/>
                <w:sz w:val="20"/>
                <w:lang w:val="en-US"/>
              </w:rPr>
              <w:t>7.5%</w:t>
            </w:r>
          </w:p>
        </w:tc>
        <w:tc>
          <w:tcPr>
            <w:tcW w:w="1276" w:type="dxa"/>
            <w:shd w:val="clear" w:color="auto" w:fill="auto"/>
            <w:vAlign w:val="center"/>
          </w:tcPr>
          <w:p w14:paraId="27514518" w14:textId="77777777" w:rsidR="003E76AB" w:rsidRPr="004F275B" w:rsidRDefault="003E76AB" w:rsidP="005C33EF">
            <w:pPr>
              <w:keepLines/>
              <w:ind w:left="5" w:right="113"/>
              <w:rPr>
                <w:rFonts w:eastAsia="DengXian"/>
                <w:sz w:val="20"/>
                <w:lang w:val="en-US"/>
              </w:rPr>
            </w:pPr>
            <w:r>
              <w:rPr>
                <w:rFonts w:eastAsia="DengXian"/>
                <w:sz w:val="20"/>
                <w:lang w:val="en-US"/>
              </w:rPr>
              <w:t>&lt;</w:t>
            </w:r>
            <w:r w:rsidRPr="004F275B">
              <w:rPr>
                <w:rFonts w:eastAsia="DengXian"/>
                <w:sz w:val="20"/>
                <w:lang w:val="en-US"/>
              </w:rPr>
              <w:t>8%</w:t>
            </w:r>
          </w:p>
        </w:tc>
        <w:tc>
          <w:tcPr>
            <w:tcW w:w="4111" w:type="dxa"/>
            <w:shd w:val="clear" w:color="auto" w:fill="auto"/>
          </w:tcPr>
          <w:p w14:paraId="73D46CA0" w14:textId="77777777" w:rsidR="003E76AB" w:rsidRDefault="003E76AB" w:rsidP="005C33EF">
            <w:pPr>
              <w:ind w:left="0"/>
              <w:rPr>
                <w:color w:val="000000"/>
                <w:sz w:val="20"/>
                <w:szCs w:val="20"/>
              </w:rPr>
            </w:pPr>
            <w:r>
              <w:rPr>
                <w:color w:val="000000"/>
                <w:sz w:val="20"/>
                <w:szCs w:val="20"/>
              </w:rPr>
              <w:t xml:space="preserve">This performance measure is </w:t>
            </w:r>
            <w:r w:rsidRPr="001174B7">
              <w:rPr>
                <w:color w:val="000000"/>
                <w:sz w:val="20"/>
                <w:szCs w:val="20"/>
              </w:rPr>
              <w:t>the number of service districts, out of 80 in total, where the average utilisation rate of plan budgets is more than 10 percentage points lower than the national benchmark.</w:t>
            </w:r>
            <w:r>
              <w:rPr>
                <w:color w:val="000000"/>
                <w:sz w:val="20"/>
                <w:szCs w:val="20"/>
              </w:rPr>
              <w:t xml:space="preserve"> </w:t>
            </w:r>
          </w:p>
          <w:p w14:paraId="37583E32" w14:textId="77777777" w:rsidR="003E76AB" w:rsidRDefault="003E76AB" w:rsidP="005C33EF">
            <w:pPr>
              <w:ind w:left="0"/>
              <w:rPr>
                <w:color w:val="000000"/>
                <w:sz w:val="20"/>
                <w:szCs w:val="20"/>
              </w:rPr>
            </w:pPr>
            <w:r w:rsidRPr="00C2067A">
              <w:rPr>
                <w:color w:val="000000"/>
                <w:sz w:val="20"/>
                <w:szCs w:val="20"/>
              </w:rPr>
              <w:t>The purpose of this metric is to measure the extent of low utilisation (of plan budgets) across geographic regions. Low utilisation may be an indication of low levels of available supports and/or underdeveloped markets.</w:t>
            </w:r>
          </w:p>
          <w:p w14:paraId="4F56D89C" w14:textId="77777777" w:rsidR="003E76AB" w:rsidRPr="005D13D3" w:rsidRDefault="003E76AB" w:rsidP="005C33EF">
            <w:pPr>
              <w:ind w:left="0"/>
              <w:rPr>
                <w:color w:val="FF0000"/>
                <w:sz w:val="20"/>
                <w:szCs w:val="20"/>
              </w:rPr>
            </w:pPr>
            <w:r w:rsidRPr="005C7625">
              <w:rPr>
                <w:sz w:val="20"/>
                <w:szCs w:val="20"/>
              </w:rPr>
              <w:t xml:space="preserve">Overall, </w:t>
            </w:r>
            <w:r>
              <w:rPr>
                <w:sz w:val="20"/>
                <w:szCs w:val="20"/>
              </w:rPr>
              <w:t>the result met the target</w:t>
            </w:r>
            <w:r w:rsidRPr="005C7625">
              <w:rPr>
                <w:sz w:val="20"/>
                <w:szCs w:val="20"/>
              </w:rPr>
              <w:t xml:space="preserve">. </w:t>
            </w:r>
            <w:r>
              <w:rPr>
                <w:sz w:val="20"/>
                <w:szCs w:val="20"/>
              </w:rPr>
              <w:t xml:space="preserve">The Agency has undertaken </w:t>
            </w:r>
            <w:proofErr w:type="gramStart"/>
            <w:r>
              <w:rPr>
                <w:sz w:val="20"/>
                <w:szCs w:val="20"/>
              </w:rPr>
              <w:t>a number of</w:t>
            </w:r>
            <w:proofErr w:type="gramEnd"/>
            <w:r>
              <w:rPr>
                <w:sz w:val="20"/>
                <w:szCs w:val="20"/>
              </w:rPr>
              <w:t xml:space="preserve"> thin market interventions to improve utilisation. </w:t>
            </w:r>
          </w:p>
        </w:tc>
      </w:tr>
    </w:tbl>
    <w:p w14:paraId="66E0D087" w14:textId="77777777" w:rsidR="003E76AB" w:rsidRDefault="003E76AB" w:rsidP="003E76AB">
      <w:pPr>
        <w:spacing w:before="0" w:after="160" w:line="259" w:lineRule="auto"/>
        <w:ind w:left="0"/>
        <w:rPr>
          <w:rFonts w:eastAsia="DengXian"/>
          <w:b/>
          <w:bCs/>
          <w:color w:val="000000"/>
          <w:sz w:val="24"/>
          <w:szCs w:val="24"/>
        </w:rPr>
      </w:pPr>
    </w:p>
    <w:p w14:paraId="54F561F2" w14:textId="25E7B917" w:rsidR="003E76AB" w:rsidRPr="00B31ADF" w:rsidRDefault="003E76AB" w:rsidP="00EE2D88">
      <w:pPr>
        <w:pStyle w:val="FGCHEADING4"/>
      </w:pPr>
      <w:r>
        <w:br w:type="page"/>
      </w:r>
      <w:r w:rsidRPr="00F334FC">
        <w:lastRenderedPageBreak/>
        <w:t>Market performance</w:t>
      </w:r>
    </w:p>
    <w:p w14:paraId="64BB66AA" w14:textId="77777777" w:rsidR="003E76AB" w:rsidRPr="00F41242" w:rsidRDefault="003E76AB" w:rsidP="00FF3436">
      <w:pPr>
        <w:ind w:left="720"/>
        <w:rPr>
          <w:rFonts w:eastAsia="DengXian"/>
          <w:szCs w:val="24"/>
        </w:rPr>
      </w:pPr>
      <w:r w:rsidRPr="00F41242">
        <w:rPr>
          <w:rFonts w:eastAsia="DengXian"/>
          <w:szCs w:val="24"/>
        </w:rPr>
        <w:t>Market performance</w:t>
      </w:r>
      <w:r w:rsidRPr="00F41242" w:rsidDel="00876448">
        <w:rPr>
          <w:rFonts w:eastAsia="DengXian"/>
          <w:szCs w:val="24"/>
        </w:rPr>
        <w:t xml:space="preserve"> </w:t>
      </w:r>
      <w:r w:rsidRPr="00F41242">
        <w:rPr>
          <w:rFonts w:eastAsia="DengXian"/>
          <w:szCs w:val="24"/>
        </w:rPr>
        <w:t>is measured by:</w:t>
      </w:r>
    </w:p>
    <w:p w14:paraId="045E7B3A" w14:textId="77777777" w:rsidR="003E76AB" w:rsidRPr="00C97E01" w:rsidRDefault="003E76AB" w:rsidP="00FF3436">
      <w:pPr>
        <w:pStyle w:val="ListParagraph"/>
        <w:numPr>
          <w:ilvl w:val="1"/>
          <w:numId w:val="43"/>
        </w:numPr>
        <w:rPr>
          <w:szCs w:val="24"/>
          <w:lang w:eastAsia="en-AU"/>
        </w:rPr>
      </w:pPr>
      <w:r w:rsidRPr="00C97E01">
        <w:rPr>
          <w:szCs w:val="24"/>
          <w:lang w:eastAsia="en-AU"/>
        </w:rPr>
        <w:t>market concentration (%)</w:t>
      </w:r>
    </w:p>
    <w:p w14:paraId="37AA1006" w14:textId="77777777" w:rsidR="003E76AB" w:rsidRPr="00B31ADF" w:rsidRDefault="003E76AB" w:rsidP="00FF3436">
      <w:pPr>
        <w:pStyle w:val="ListParagraph"/>
        <w:numPr>
          <w:ilvl w:val="1"/>
          <w:numId w:val="43"/>
        </w:numPr>
        <w:rPr>
          <w:szCs w:val="24"/>
          <w:lang w:eastAsia="en-AU"/>
        </w:rPr>
      </w:pPr>
      <w:r w:rsidRPr="00C97E01">
        <w:rPr>
          <w:szCs w:val="24"/>
          <w:lang w:eastAsia="en-AU"/>
        </w:rPr>
        <w:t>providers charging below the price limit (%).</w:t>
      </w:r>
      <w:r w:rsidRPr="00B31ADF">
        <w:rPr>
          <w:szCs w:val="24"/>
          <w:lang w:eastAsia="en-AU"/>
        </w:rPr>
        <w:br/>
      </w:r>
    </w:p>
    <w:p w14:paraId="1235999D" w14:textId="45B47A4D" w:rsidR="003E76AB" w:rsidRPr="00C97E01" w:rsidRDefault="003E76AB" w:rsidP="00FF3436">
      <w:pPr>
        <w:keepNext/>
        <w:ind w:left="720"/>
        <w:rPr>
          <w:rFonts w:eastAsia="DengXian"/>
          <w:b/>
          <w:sz w:val="21"/>
          <w:szCs w:val="21"/>
        </w:rPr>
      </w:pPr>
      <w:r w:rsidRPr="00C97E01">
        <w:rPr>
          <w:rFonts w:eastAsia="DengXian"/>
          <w:b/>
          <w:sz w:val="21"/>
          <w:szCs w:val="21"/>
        </w:rPr>
        <w:t xml:space="preserve">Table 3.3E: </w:t>
      </w:r>
      <w:r w:rsidRPr="00760744">
        <w:rPr>
          <w:rFonts w:eastAsia="DengXian"/>
          <w:bCs/>
          <w:sz w:val="21"/>
          <w:szCs w:val="21"/>
        </w:rPr>
        <w:t>Market performance</w:t>
      </w:r>
      <w:r w:rsidRPr="00C97E01" w:rsidDel="000B6F24">
        <w:rPr>
          <w:rFonts w:eastAsia="DengXian"/>
          <w:b/>
          <w:sz w:val="21"/>
          <w:szCs w:val="21"/>
        </w:rPr>
        <w:t xml:space="preserve"> </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134"/>
        <w:gridCol w:w="1276"/>
        <w:gridCol w:w="3969"/>
      </w:tblGrid>
      <w:tr w:rsidR="003E76AB" w:rsidRPr="00D06CB0" w14:paraId="510B3C81" w14:textId="77777777" w:rsidTr="00EE2D88">
        <w:trPr>
          <w:trHeight w:val="448"/>
          <w:tblHeader/>
        </w:trPr>
        <w:tc>
          <w:tcPr>
            <w:tcW w:w="1843" w:type="dxa"/>
            <w:tcBorders>
              <w:bottom w:val="single" w:sz="4" w:space="0" w:color="auto"/>
            </w:tcBorders>
            <w:shd w:val="clear" w:color="auto" w:fill="6B2976"/>
            <w:hideMark/>
          </w:tcPr>
          <w:p w14:paraId="2D52D0F0" w14:textId="77777777" w:rsidR="003E76AB" w:rsidRPr="00D06CB0" w:rsidRDefault="003E76AB" w:rsidP="00EE2D88">
            <w:pPr>
              <w:keepLines/>
              <w:spacing w:before="100" w:beforeAutospacing="1" w:after="100" w:afterAutospacing="1"/>
              <w:ind w:left="0"/>
              <w:rPr>
                <w:rFonts w:eastAsia="DengXian"/>
                <w:b/>
                <w:bCs/>
                <w:color w:val="FFFFFF"/>
                <w:sz w:val="20"/>
                <w:lang w:val="en-US"/>
              </w:rPr>
            </w:pPr>
            <w:r w:rsidRPr="00D06CB0">
              <w:rPr>
                <w:rFonts w:eastAsia="DengXian"/>
                <w:b/>
                <w:bCs/>
                <w:color w:val="FFFFFF"/>
                <w:sz w:val="20"/>
                <w:lang w:val="en-US"/>
              </w:rPr>
              <w:t xml:space="preserve">Performance metric </w:t>
            </w:r>
          </w:p>
        </w:tc>
        <w:tc>
          <w:tcPr>
            <w:tcW w:w="1134" w:type="dxa"/>
            <w:tcBorders>
              <w:bottom w:val="single" w:sz="4" w:space="0" w:color="auto"/>
            </w:tcBorders>
            <w:shd w:val="clear" w:color="auto" w:fill="6B2976"/>
          </w:tcPr>
          <w:p w14:paraId="5D2643CE" w14:textId="37C4B8BC" w:rsidR="003E76AB" w:rsidRPr="00D06CB0" w:rsidRDefault="003E76AB" w:rsidP="005C33EF">
            <w:pPr>
              <w:keepLines/>
              <w:spacing w:beforeAutospacing="1" w:afterAutospacing="1"/>
              <w:ind w:left="27"/>
              <w:rPr>
                <w:rFonts w:eastAsia="DengXian"/>
                <w:b/>
                <w:bCs/>
                <w:color w:val="FFFFFF"/>
                <w:sz w:val="20"/>
                <w:lang w:val="en-US"/>
              </w:rPr>
            </w:pPr>
            <w:r>
              <w:rPr>
                <w:rFonts w:eastAsia="DengXian"/>
                <w:b/>
                <w:bCs/>
                <w:color w:val="FFFFFF"/>
                <w:sz w:val="20"/>
                <w:lang w:val="en-US"/>
              </w:rPr>
              <w:t>2020</w:t>
            </w:r>
            <w:r w:rsidR="00465AFC">
              <w:rPr>
                <w:rFonts w:eastAsia="DengXian"/>
                <w:b/>
                <w:bCs/>
                <w:color w:val="FFFFFF"/>
                <w:sz w:val="20"/>
                <w:lang w:val="en-US"/>
              </w:rPr>
              <w:t>–</w:t>
            </w:r>
            <w:r>
              <w:rPr>
                <w:rFonts w:eastAsia="DengXian"/>
                <w:b/>
                <w:bCs/>
                <w:color w:val="FFFFFF"/>
                <w:sz w:val="20"/>
                <w:lang w:val="en-US"/>
              </w:rPr>
              <w:t>21</w:t>
            </w:r>
            <w:r w:rsidRPr="00D06CB0">
              <w:rPr>
                <w:rFonts w:eastAsia="DengXian"/>
                <w:b/>
                <w:bCs/>
                <w:color w:val="FFFFFF"/>
                <w:sz w:val="20"/>
                <w:lang w:val="en-US"/>
              </w:rPr>
              <w:t xml:space="preserve"> Result</w:t>
            </w:r>
          </w:p>
        </w:tc>
        <w:tc>
          <w:tcPr>
            <w:tcW w:w="1134" w:type="dxa"/>
            <w:tcBorders>
              <w:bottom w:val="single" w:sz="4" w:space="0" w:color="auto"/>
            </w:tcBorders>
            <w:shd w:val="clear" w:color="auto" w:fill="6B2976"/>
            <w:hideMark/>
          </w:tcPr>
          <w:p w14:paraId="20040DA7" w14:textId="5C6BFEEC" w:rsidR="003E76AB" w:rsidRPr="00D06CB0" w:rsidRDefault="00577731" w:rsidP="005C33EF">
            <w:pPr>
              <w:keepLines/>
              <w:spacing w:beforeAutospacing="1" w:afterAutospacing="1"/>
              <w:ind w:left="27"/>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1276" w:type="dxa"/>
            <w:tcBorders>
              <w:bottom w:val="single" w:sz="4" w:space="0" w:color="auto"/>
            </w:tcBorders>
            <w:shd w:val="clear" w:color="auto" w:fill="6B2976"/>
            <w:hideMark/>
          </w:tcPr>
          <w:p w14:paraId="568C9503" w14:textId="5EF137EB" w:rsidR="003E76AB" w:rsidRPr="00D06CB0" w:rsidRDefault="00577731" w:rsidP="005C33EF">
            <w:pPr>
              <w:keepLines/>
              <w:spacing w:beforeAutospacing="1" w:afterAutospacing="1"/>
              <w:ind w:left="27"/>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B40AA4">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3969" w:type="dxa"/>
            <w:tcBorders>
              <w:bottom w:val="single" w:sz="4" w:space="0" w:color="auto"/>
            </w:tcBorders>
            <w:shd w:val="clear" w:color="auto" w:fill="6B2976"/>
          </w:tcPr>
          <w:p w14:paraId="6A3D69A8" w14:textId="77777777" w:rsidR="003E76AB" w:rsidRPr="00D06CB0" w:rsidRDefault="003E76AB" w:rsidP="005C33EF">
            <w:pPr>
              <w:keepLines/>
              <w:spacing w:beforeAutospacing="1" w:afterAutospacing="1"/>
              <w:ind w:left="2"/>
              <w:rPr>
                <w:rFonts w:eastAsia="DengXian"/>
                <w:b/>
                <w:bCs/>
                <w:color w:val="FFFFFF"/>
                <w:sz w:val="20"/>
                <w:lang w:val="en-US"/>
              </w:rPr>
            </w:pPr>
            <w:r>
              <w:rPr>
                <w:rFonts w:eastAsia="DengXian"/>
                <w:b/>
                <w:bCs/>
                <w:color w:val="FFFFFF"/>
                <w:sz w:val="20"/>
                <w:lang w:val="en-US"/>
              </w:rPr>
              <w:t>Analysis</w:t>
            </w:r>
            <w:r w:rsidRPr="00D06CB0">
              <w:rPr>
                <w:rFonts w:eastAsia="DengXian"/>
                <w:b/>
                <w:bCs/>
                <w:color w:val="FFFFFF"/>
                <w:sz w:val="20"/>
                <w:lang w:val="en-US"/>
              </w:rPr>
              <w:t xml:space="preserve"> </w:t>
            </w:r>
          </w:p>
        </w:tc>
      </w:tr>
      <w:tr w:rsidR="003E76AB" w:rsidRPr="00D06CB0" w14:paraId="426D7987" w14:textId="77777777" w:rsidTr="00EE2D88">
        <w:trPr>
          <w:trHeight w:val="618"/>
        </w:trPr>
        <w:tc>
          <w:tcPr>
            <w:tcW w:w="1843" w:type="dxa"/>
            <w:shd w:val="clear" w:color="auto" w:fill="auto"/>
            <w:vAlign w:val="center"/>
            <w:hideMark/>
          </w:tcPr>
          <w:p w14:paraId="371CFEF9" w14:textId="77777777" w:rsidR="003E76AB" w:rsidRPr="00D06CB0" w:rsidRDefault="003E76AB" w:rsidP="005C33EF">
            <w:pPr>
              <w:keepLines/>
              <w:ind w:left="113" w:right="113"/>
              <w:rPr>
                <w:b/>
                <w:bCs/>
                <w:sz w:val="20"/>
                <w:lang w:val="en-US"/>
              </w:rPr>
            </w:pPr>
            <w:r w:rsidRPr="00D06CB0">
              <w:rPr>
                <w:b/>
                <w:bCs/>
                <w:sz w:val="20"/>
                <w:lang w:val="en-US"/>
              </w:rPr>
              <w:t>Market concentration (%)</w:t>
            </w:r>
            <w:r>
              <w:rPr>
                <w:rStyle w:val="FootnoteReference"/>
                <w:b/>
                <w:bCs/>
                <w:sz w:val="20"/>
                <w:lang w:val="en-US"/>
              </w:rPr>
              <w:footnoteReference w:id="46"/>
            </w:r>
          </w:p>
        </w:tc>
        <w:tc>
          <w:tcPr>
            <w:tcW w:w="1134" w:type="dxa"/>
            <w:shd w:val="clear" w:color="auto" w:fill="auto"/>
            <w:vAlign w:val="center"/>
          </w:tcPr>
          <w:p w14:paraId="6E6E75B0" w14:textId="77777777" w:rsidR="003E76AB" w:rsidRPr="00FB51B7" w:rsidRDefault="003E76AB" w:rsidP="005C33EF">
            <w:pPr>
              <w:keepLines/>
              <w:ind w:left="5" w:right="113"/>
              <w:rPr>
                <w:rFonts w:eastAsia="DengXian"/>
                <w:sz w:val="20"/>
                <w:lang w:val="en-US"/>
              </w:rPr>
            </w:pPr>
            <w:r w:rsidRPr="00FB51B7">
              <w:rPr>
                <w:rFonts w:eastAsia="DengXian"/>
                <w:sz w:val="20"/>
                <w:lang w:val="en-US"/>
              </w:rPr>
              <w:t>7.5%</w:t>
            </w:r>
          </w:p>
        </w:tc>
        <w:tc>
          <w:tcPr>
            <w:tcW w:w="1134" w:type="dxa"/>
            <w:shd w:val="clear" w:color="auto" w:fill="auto"/>
            <w:vAlign w:val="center"/>
          </w:tcPr>
          <w:p w14:paraId="1EA5DBF9" w14:textId="77777777" w:rsidR="003E76AB" w:rsidRPr="00FB51B7" w:rsidRDefault="003E76AB" w:rsidP="005C33EF">
            <w:pPr>
              <w:keepLines/>
              <w:ind w:left="5" w:right="113"/>
              <w:rPr>
                <w:rFonts w:eastAsia="DengXian"/>
                <w:sz w:val="20"/>
                <w:lang w:val="en-US"/>
              </w:rPr>
            </w:pPr>
            <w:r w:rsidRPr="005A30DD">
              <w:rPr>
                <w:rFonts w:eastAsia="DengXian"/>
                <w:sz w:val="20"/>
                <w:lang w:val="en-US"/>
              </w:rPr>
              <w:t>8.4%</w:t>
            </w:r>
          </w:p>
        </w:tc>
        <w:tc>
          <w:tcPr>
            <w:tcW w:w="1276" w:type="dxa"/>
            <w:shd w:val="clear" w:color="auto" w:fill="auto"/>
            <w:vAlign w:val="center"/>
          </w:tcPr>
          <w:p w14:paraId="5BF49CD2" w14:textId="77777777" w:rsidR="003E76AB" w:rsidRPr="00D06CB0" w:rsidRDefault="003E76AB" w:rsidP="005C33EF">
            <w:pPr>
              <w:keepLines/>
              <w:ind w:left="5" w:right="113"/>
              <w:rPr>
                <w:rFonts w:eastAsia="DengXian"/>
                <w:sz w:val="20"/>
                <w:lang w:val="en-US"/>
              </w:rPr>
            </w:pPr>
            <w:r>
              <w:rPr>
                <w:rFonts w:eastAsia="DengXian"/>
                <w:sz w:val="20"/>
                <w:lang w:val="en-US"/>
              </w:rPr>
              <w:t>&lt;10%</w:t>
            </w:r>
          </w:p>
        </w:tc>
        <w:tc>
          <w:tcPr>
            <w:tcW w:w="3969" w:type="dxa"/>
            <w:shd w:val="clear" w:color="auto" w:fill="auto"/>
          </w:tcPr>
          <w:p w14:paraId="52311B6D" w14:textId="77777777" w:rsidR="003E76AB" w:rsidRDefault="003E76AB" w:rsidP="005C33EF">
            <w:pPr>
              <w:ind w:left="6"/>
              <w:rPr>
                <w:sz w:val="20"/>
                <w:szCs w:val="20"/>
              </w:rPr>
            </w:pPr>
            <w:r w:rsidRPr="00DC1712">
              <w:rPr>
                <w:sz w:val="20"/>
                <w:szCs w:val="20"/>
              </w:rPr>
              <w:t>This performance measure is the number of service districts, out of 80 in total, where 85% or more payments are paid to the top 10 providers</w:t>
            </w:r>
            <w:r w:rsidRPr="00373BDB">
              <w:rPr>
                <w:sz w:val="20"/>
                <w:szCs w:val="20"/>
              </w:rPr>
              <w:t>.</w:t>
            </w:r>
          </w:p>
          <w:p w14:paraId="40F5F718" w14:textId="77777777" w:rsidR="003E76AB" w:rsidRDefault="003E76AB" w:rsidP="005C33EF">
            <w:pPr>
              <w:ind w:left="0"/>
              <w:rPr>
                <w:sz w:val="20"/>
                <w:szCs w:val="20"/>
              </w:rPr>
            </w:pPr>
            <w:r w:rsidRPr="00C2067A">
              <w:rPr>
                <w:sz w:val="20"/>
                <w:szCs w:val="20"/>
              </w:rPr>
              <w:t xml:space="preserve">The purpose of this metric is to measure the market concentration across geographic regions. Higher market concentration may be an indication of low levels of pricing competition (and higher prices), a lack of available supports and/or underdeveloped markets.  </w:t>
            </w:r>
          </w:p>
          <w:p w14:paraId="37152D09" w14:textId="77777777" w:rsidR="003E76AB" w:rsidRPr="00D06CB0" w:rsidRDefault="003E76AB" w:rsidP="005C33EF">
            <w:pPr>
              <w:ind w:left="0"/>
              <w:rPr>
                <w:rFonts w:eastAsia="DengXian"/>
                <w:sz w:val="20"/>
                <w:lang w:val="en-US"/>
              </w:rPr>
            </w:pPr>
            <w:r w:rsidRPr="005C7625">
              <w:rPr>
                <w:sz w:val="20"/>
                <w:szCs w:val="20"/>
              </w:rPr>
              <w:t xml:space="preserve">Overall, this result </w:t>
            </w:r>
            <w:r>
              <w:rPr>
                <w:sz w:val="20"/>
                <w:szCs w:val="20"/>
              </w:rPr>
              <w:t xml:space="preserve">met the </w:t>
            </w:r>
            <w:r w:rsidRPr="005C7625">
              <w:rPr>
                <w:sz w:val="20"/>
                <w:szCs w:val="20"/>
              </w:rPr>
              <w:t xml:space="preserve">Agency’s target. </w:t>
            </w:r>
            <w:r>
              <w:rPr>
                <w:sz w:val="20"/>
                <w:szCs w:val="20"/>
              </w:rPr>
              <w:t xml:space="preserve">The Agency has undertaken </w:t>
            </w:r>
            <w:proofErr w:type="gramStart"/>
            <w:r>
              <w:rPr>
                <w:sz w:val="20"/>
                <w:szCs w:val="20"/>
              </w:rPr>
              <w:t>a number of</w:t>
            </w:r>
            <w:proofErr w:type="gramEnd"/>
            <w:r>
              <w:rPr>
                <w:sz w:val="20"/>
                <w:szCs w:val="20"/>
              </w:rPr>
              <w:t xml:space="preserve"> thin market interventions to improve market concentration, which has kept the Agency within the target. </w:t>
            </w:r>
          </w:p>
        </w:tc>
      </w:tr>
      <w:tr w:rsidR="003E76AB" w:rsidRPr="00D06CB0" w14:paraId="749AA24A" w14:textId="77777777" w:rsidTr="00EE2D88">
        <w:trPr>
          <w:trHeight w:val="618"/>
        </w:trPr>
        <w:tc>
          <w:tcPr>
            <w:tcW w:w="1843" w:type="dxa"/>
            <w:shd w:val="clear" w:color="auto" w:fill="auto"/>
            <w:vAlign w:val="center"/>
          </w:tcPr>
          <w:p w14:paraId="7CDBFFEA" w14:textId="77777777" w:rsidR="003E76AB" w:rsidRPr="00D06CB0" w:rsidRDefault="003E76AB" w:rsidP="005C33EF">
            <w:pPr>
              <w:keepLines/>
              <w:ind w:left="113" w:right="113"/>
              <w:rPr>
                <w:b/>
                <w:bCs/>
                <w:sz w:val="20"/>
                <w:lang w:val="en-US"/>
              </w:rPr>
            </w:pPr>
            <w:r w:rsidRPr="00D06CB0">
              <w:rPr>
                <w:b/>
                <w:bCs/>
                <w:sz w:val="20"/>
                <w:lang w:val="en-US"/>
              </w:rPr>
              <w:t>Providers charging below the price limit (%)</w:t>
            </w:r>
            <w:r>
              <w:rPr>
                <w:rStyle w:val="FootnoteReference"/>
                <w:b/>
                <w:bCs/>
                <w:sz w:val="20"/>
                <w:lang w:val="en-US"/>
              </w:rPr>
              <w:footnoteReference w:id="47"/>
            </w:r>
          </w:p>
        </w:tc>
        <w:tc>
          <w:tcPr>
            <w:tcW w:w="1134" w:type="dxa"/>
            <w:shd w:val="clear" w:color="auto" w:fill="auto"/>
            <w:vAlign w:val="center"/>
          </w:tcPr>
          <w:p w14:paraId="1EF5A5FA" w14:textId="77777777" w:rsidR="003E76AB" w:rsidRPr="00FB51B7" w:rsidRDefault="003E76AB" w:rsidP="005C33EF">
            <w:pPr>
              <w:keepLines/>
              <w:ind w:left="5" w:right="113"/>
              <w:rPr>
                <w:rFonts w:eastAsia="DengXian"/>
                <w:sz w:val="20"/>
                <w:lang w:val="en-US"/>
              </w:rPr>
            </w:pPr>
            <w:r w:rsidRPr="00FB51B7">
              <w:rPr>
                <w:rFonts w:eastAsia="DengXian"/>
                <w:sz w:val="20"/>
                <w:lang w:val="en-US"/>
              </w:rPr>
              <w:t>24%</w:t>
            </w:r>
          </w:p>
        </w:tc>
        <w:tc>
          <w:tcPr>
            <w:tcW w:w="1134" w:type="dxa"/>
            <w:shd w:val="clear" w:color="auto" w:fill="auto"/>
            <w:vAlign w:val="center"/>
          </w:tcPr>
          <w:p w14:paraId="50ED25EF" w14:textId="77777777" w:rsidR="003E76AB" w:rsidRPr="00FB51B7" w:rsidRDefault="003E76AB" w:rsidP="005C33EF">
            <w:pPr>
              <w:keepLines/>
              <w:ind w:left="5" w:right="113"/>
              <w:rPr>
                <w:rFonts w:eastAsia="DengXian"/>
                <w:sz w:val="20"/>
                <w:lang w:val="en-US"/>
              </w:rPr>
            </w:pPr>
            <w:r w:rsidRPr="005A30DD">
              <w:rPr>
                <w:rFonts w:eastAsia="DengXian"/>
                <w:sz w:val="20"/>
                <w:lang w:val="en-US"/>
              </w:rPr>
              <w:t>22%</w:t>
            </w:r>
          </w:p>
        </w:tc>
        <w:tc>
          <w:tcPr>
            <w:tcW w:w="1276" w:type="dxa"/>
            <w:shd w:val="clear" w:color="auto" w:fill="auto"/>
            <w:vAlign w:val="center"/>
          </w:tcPr>
          <w:p w14:paraId="34D531EB" w14:textId="77777777" w:rsidR="003E76AB" w:rsidRPr="00FB51B7" w:rsidRDefault="003E76AB" w:rsidP="005C33EF">
            <w:pPr>
              <w:keepLines/>
              <w:ind w:left="5" w:right="113"/>
              <w:rPr>
                <w:rFonts w:eastAsia="DengXian"/>
                <w:sz w:val="20"/>
                <w:lang w:val="en-US"/>
              </w:rPr>
            </w:pPr>
            <w:r w:rsidRPr="00FB51B7">
              <w:rPr>
                <w:rFonts w:eastAsia="DengXian"/>
                <w:sz w:val="20"/>
                <w:lang w:val="en-US"/>
              </w:rPr>
              <w:t>24%</w:t>
            </w:r>
          </w:p>
        </w:tc>
        <w:tc>
          <w:tcPr>
            <w:tcW w:w="3969" w:type="dxa"/>
            <w:shd w:val="clear" w:color="auto" w:fill="auto"/>
          </w:tcPr>
          <w:p w14:paraId="71E8D404" w14:textId="48947F57" w:rsidR="003E76AB" w:rsidRDefault="003E76AB" w:rsidP="005C33EF">
            <w:pPr>
              <w:ind w:left="0"/>
              <w:rPr>
                <w:sz w:val="20"/>
                <w:szCs w:val="20"/>
              </w:rPr>
            </w:pPr>
            <w:r>
              <w:rPr>
                <w:sz w:val="20"/>
                <w:szCs w:val="20"/>
              </w:rPr>
              <w:t>The purpose of this</w:t>
            </w:r>
            <w:r w:rsidRPr="00C2067A">
              <w:rPr>
                <w:sz w:val="20"/>
                <w:szCs w:val="20"/>
              </w:rPr>
              <w:t xml:space="preserve"> metric is to measure the efficiency of pricing and the level of competition between providers.  </w:t>
            </w:r>
            <w:r>
              <w:rPr>
                <w:sz w:val="20"/>
                <w:szCs w:val="20"/>
              </w:rPr>
              <w:t xml:space="preserve">The metric </w:t>
            </w:r>
            <w:r w:rsidRPr="00DB2D03">
              <w:rPr>
                <w:sz w:val="20"/>
                <w:szCs w:val="20"/>
              </w:rPr>
              <w:t xml:space="preserve">shows the percentage of providers who are charging 90% or less of the pricing limits in the latest </w:t>
            </w:r>
            <w:r w:rsidR="00171FBE">
              <w:rPr>
                <w:sz w:val="20"/>
                <w:szCs w:val="20"/>
              </w:rPr>
              <w:t>NDIS Pricing Arrangements and Price Limits</w:t>
            </w:r>
            <w:r w:rsidRPr="00DB2D03">
              <w:rPr>
                <w:sz w:val="20"/>
                <w:szCs w:val="20"/>
              </w:rPr>
              <w:t>. A higher result implies higher levels of competition in the market.</w:t>
            </w:r>
          </w:p>
          <w:p w14:paraId="0C1AA0E1" w14:textId="5ED3DDD1" w:rsidR="003E76AB" w:rsidRPr="00CB0896" w:rsidRDefault="003E76AB" w:rsidP="005C33EF">
            <w:pPr>
              <w:ind w:left="0"/>
              <w:rPr>
                <w:sz w:val="20"/>
                <w:szCs w:val="20"/>
              </w:rPr>
            </w:pPr>
            <w:r w:rsidRPr="005C7625">
              <w:rPr>
                <w:sz w:val="20"/>
                <w:szCs w:val="20"/>
              </w:rPr>
              <w:t xml:space="preserve">The result is </w:t>
            </w:r>
            <w:r>
              <w:rPr>
                <w:sz w:val="20"/>
                <w:szCs w:val="20"/>
              </w:rPr>
              <w:t xml:space="preserve">slightly </w:t>
            </w:r>
            <w:r w:rsidRPr="005C7625">
              <w:rPr>
                <w:sz w:val="20"/>
                <w:szCs w:val="20"/>
              </w:rPr>
              <w:t xml:space="preserve">lower than the target. Across the year the Agency has observed a larger proportion of payments at the price cap across </w:t>
            </w:r>
            <w:proofErr w:type="gramStart"/>
            <w:r w:rsidRPr="005C7625">
              <w:rPr>
                <w:sz w:val="20"/>
                <w:szCs w:val="20"/>
              </w:rPr>
              <w:t>a number of</w:t>
            </w:r>
            <w:proofErr w:type="gramEnd"/>
            <w:r w:rsidRPr="005C7625">
              <w:rPr>
                <w:sz w:val="20"/>
                <w:szCs w:val="20"/>
              </w:rPr>
              <w:t xml:space="preserve"> support categories including</w:t>
            </w:r>
            <w:r w:rsidR="00171FBE">
              <w:rPr>
                <w:sz w:val="20"/>
                <w:szCs w:val="20"/>
              </w:rPr>
              <w:t xml:space="preserve"> c</w:t>
            </w:r>
            <w:r w:rsidR="00632EA6">
              <w:rPr>
                <w:sz w:val="20"/>
                <w:szCs w:val="20"/>
              </w:rPr>
              <w:t>apacity</w:t>
            </w:r>
            <w:r w:rsidR="00122956">
              <w:rPr>
                <w:sz w:val="20"/>
                <w:szCs w:val="20"/>
              </w:rPr>
              <w:t>-</w:t>
            </w:r>
            <w:r w:rsidR="00632EA6">
              <w:rPr>
                <w:sz w:val="20"/>
                <w:szCs w:val="20"/>
              </w:rPr>
              <w:t>building</w:t>
            </w:r>
            <w:r w:rsidR="00981391">
              <w:rPr>
                <w:sz w:val="20"/>
                <w:szCs w:val="20"/>
              </w:rPr>
              <w:t>,</w:t>
            </w:r>
            <w:r w:rsidRPr="005C7625">
              <w:rPr>
                <w:sz w:val="20"/>
                <w:szCs w:val="20"/>
              </w:rPr>
              <w:t xml:space="preserve"> </w:t>
            </w:r>
            <w:r w:rsidR="00981391">
              <w:rPr>
                <w:sz w:val="20"/>
                <w:szCs w:val="20"/>
              </w:rPr>
              <w:t>c</w:t>
            </w:r>
            <w:r w:rsidRPr="005C7625">
              <w:rPr>
                <w:sz w:val="20"/>
                <w:szCs w:val="20"/>
              </w:rPr>
              <w:t xml:space="preserve">hoice and </w:t>
            </w:r>
            <w:r w:rsidR="00981391">
              <w:rPr>
                <w:sz w:val="20"/>
                <w:szCs w:val="20"/>
              </w:rPr>
              <w:t>c</w:t>
            </w:r>
            <w:r w:rsidRPr="005C7625">
              <w:rPr>
                <w:sz w:val="20"/>
                <w:szCs w:val="20"/>
              </w:rPr>
              <w:t xml:space="preserve">ontrol, </w:t>
            </w:r>
            <w:r w:rsidR="00981391">
              <w:rPr>
                <w:sz w:val="20"/>
                <w:szCs w:val="20"/>
              </w:rPr>
              <w:t>c</w:t>
            </w:r>
            <w:r w:rsidRPr="005C7625">
              <w:rPr>
                <w:sz w:val="20"/>
                <w:szCs w:val="20"/>
              </w:rPr>
              <w:t>onsumables</w:t>
            </w:r>
            <w:r>
              <w:rPr>
                <w:sz w:val="20"/>
                <w:szCs w:val="20"/>
              </w:rPr>
              <w:t>,</w:t>
            </w:r>
            <w:r w:rsidRPr="005C7625">
              <w:rPr>
                <w:sz w:val="20"/>
                <w:szCs w:val="20"/>
              </w:rPr>
              <w:t xml:space="preserve"> and </w:t>
            </w:r>
            <w:r w:rsidR="00981391">
              <w:rPr>
                <w:sz w:val="20"/>
                <w:szCs w:val="20"/>
              </w:rPr>
              <w:t>s</w:t>
            </w:r>
            <w:r w:rsidRPr="005C7625">
              <w:rPr>
                <w:sz w:val="20"/>
                <w:szCs w:val="20"/>
              </w:rPr>
              <w:t xml:space="preserve">upport </w:t>
            </w:r>
            <w:r w:rsidR="00981391">
              <w:rPr>
                <w:sz w:val="20"/>
                <w:szCs w:val="20"/>
              </w:rPr>
              <w:t>c</w:t>
            </w:r>
            <w:r w:rsidRPr="005C7625">
              <w:rPr>
                <w:sz w:val="20"/>
                <w:szCs w:val="20"/>
              </w:rPr>
              <w:t>oordination</w:t>
            </w:r>
            <w:r>
              <w:rPr>
                <w:sz w:val="20"/>
                <w:szCs w:val="20"/>
              </w:rPr>
              <w:t>, which has driven this result.</w:t>
            </w:r>
            <w:r w:rsidRPr="00FA79A7">
              <w:rPr>
                <w:sz w:val="20"/>
                <w:szCs w:val="20"/>
              </w:rPr>
              <w:t xml:space="preserve"> Further impacts of COVID may have resulted in more providers charging at the price limit rather than below</w:t>
            </w:r>
            <w:r>
              <w:rPr>
                <w:sz w:val="20"/>
                <w:szCs w:val="20"/>
              </w:rPr>
              <w:t>.</w:t>
            </w:r>
          </w:p>
        </w:tc>
      </w:tr>
    </w:tbl>
    <w:p w14:paraId="6B50E6D1" w14:textId="77777777" w:rsidR="003E76AB" w:rsidRDefault="003E76AB" w:rsidP="003E76AB">
      <w:pPr>
        <w:ind w:left="1080"/>
        <w:rPr>
          <w:rFonts w:eastAsia="DengXian"/>
          <w:b/>
          <w:bCs/>
          <w:color w:val="000000"/>
          <w:sz w:val="24"/>
          <w:szCs w:val="24"/>
        </w:rPr>
      </w:pPr>
    </w:p>
    <w:p w14:paraId="19B3DC89" w14:textId="77777777" w:rsidR="003E76AB" w:rsidRDefault="003E76AB" w:rsidP="003E76AB">
      <w:pPr>
        <w:spacing w:before="0" w:after="160" w:line="259" w:lineRule="auto"/>
        <w:ind w:left="0"/>
        <w:rPr>
          <w:rFonts w:eastAsia="DengXian"/>
          <w:b/>
          <w:bCs/>
          <w:color w:val="000000"/>
          <w:sz w:val="24"/>
          <w:szCs w:val="24"/>
        </w:rPr>
      </w:pPr>
      <w:r>
        <w:rPr>
          <w:rFonts w:eastAsia="DengXian"/>
          <w:b/>
          <w:bCs/>
          <w:color w:val="000000"/>
          <w:sz w:val="24"/>
          <w:szCs w:val="24"/>
        </w:rPr>
        <w:br w:type="page"/>
      </w:r>
    </w:p>
    <w:p w14:paraId="242029F2" w14:textId="4B7CA445" w:rsidR="003E76AB" w:rsidRPr="00F334FC" w:rsidRDefault="003E76AB" w:rsidP="00EE2D88">
      <w:pPr>
        <w:pStyle w:val="FGCHEADING4"/>
      </w:pPr>
      <w:r>
        <w:lastRenderedPageBreak/>
        <w:t>NDIA</w:t>
      </w:r>
      <w:r w:rsidRPr="00F334FC">
        <w:t xml:space="preserve"> operating performance</w:t>
      </w:r>
    </w:p>
    <w:p w14:paraId="00F5E8E8" w14:textId="248BACCF" w:rsidR="003E76AB" w:rsidRDefault="003E76AB" w:rsidP="00FF3436">
      <w:pPr>
        <w:ind w:left="720"/>
        <w:rPr>
          <w:rFonts w:eastAsia="DengXian"/>
          <w:szCs w:val="24"/>
        </w:rPr>
      </w:pPr>
      <w:r w:rsidRPr="00F41242">
        <w:rPr>
          <w:rFonts w:eastAsia="DengXian"/>
          <w:szCs w:val="24"/>
        </w:rPr>
        <w:t>NDIA operating performance</w:t>
      </w:r>
      <w:r w:rsidRPr="00F41242" w:rsidDel="00876448">
        <w:rPr>
          <w:rFonts w:eastAsia="DengXian"/>
          <w:szCs w:val="24"/>
        </w:rPr>
        <w:t xml:space="preserve"> </w:t>
      </w:r>
      <w:r w:rsidRPr="00F41242">
        <w:rPr>
          <w:rFonts w:eastAsia="DengXian"/>
          <w:szCs w:val="24"/>
        </w:rPr>
        <w:t>is measured by:</w:t>
      </w:r>
    </w:p>
    <w:p w14:paraId="1840441B" w14:textId="77777777" w:rsidR="003E76AB" w:rsidRPr="00C97E01" w:rsidRDefault="003E76AB" w:rsidP="003E76AB">
      <w:pPr>
        <w:pStyle w:val="ListParagraph"/>
        <w:numPr>
          <w:ilvl w:val="0"/>
          <w:numId w:val="43"/>
        </w:numPr>
        <w:rPr>
          <w:szCs w:val="24"/>
          <w:lang w:eastAsia="en-AU"/>
        </w:rPr>
      </w:pPr>
      <w:r w:rsidRPr="00C97E01">
        <w:rPr>
          <w:szCs w:val="24"/>
          <w:lang w:eastAsia="en-AU"/>
        </w:rPr>
        <w:t>NDIA spend (Program 1.2) compared to PBS (%)</w:t>
      </w:r>
    </w:p>
    <w:p w14:paraId="748183B1" w14:textId="77777777" w:rsidR="003E76AB" w:rsidRPr="00C97E01" w:rsidRDefault="003E76AB" w:rsidP="003E76AB">
      <w:pPr>
        <w:pStyle w:val="ListParagraph"/>
        <w:numPr>
          <w:ilvl w:val="0"/>
          <w:numId w:val="43"/>
        </w:numPr>
        <w:rPr>
          <w:szCs w:val="24"/>
          <w:lang w:eastAsia="en-AU"/>
        </w:rPr>
      </w:pPr>
      <w:r w:rsidRPr="00C97E01">
        <w:rPr>
          <w:szCs w:val="24"/>
          <w:lang w:eastAsia="en-AU"/>
        </w:rPr>
        <w:t>NDIA spend (Program 1.2) as proportion of Scheme spend (%)</w:t>
      </w:r>
    </w:p>
    <w:p w14:paraId="27A60CDF" w14:textId="77777777" w:rsidR="003E76AB" w:rsidRPr="00C97E01" w:rsidRDefault="003E76AB" w:rsidP="003E76AB">
      <w:pPr>
        <w:pStyle w:val="ListParagraph"/>
        <w:numPr>
          <w:ilvl w:val="0"/>
          <w:numId w:val="43"/>
        </w:numPr>
        <w:rPr>
          <w:szCs w:val="24"/>
          <w:lang w:eastAsia="en-AU"/>
        </w:rPr>
      </w:pPr>
      <w:r w:rsidRPr="00C97E01">
        <w:rPr>
          <w:szCs w:val="24"/>
          <w:lang w:eastAsia="en-AU"/>
        </w:rPr>
        <w:t>payment errors/anomalies (% of program outlay)</w:t>
      </w:r>
    </w:p>
    <w:p w14:paraId="28488C52" w14:textId="77777777" w:rsidR="003E76AB" w:rsidRPr="00C97E01" w:rsidRDefault="003E76AB" w:rsidP="003E76AB">
      <w:pPr>
        <w:pStyle w:val="ListParagraph"/>
        <w:numPr>
          <w:ilvl w:val="0"/>
          <w:numId w:val="43"/>
        </w:numPr>
        <w:rPr>
          <w:szCs w:val="24"/>
          <w:lang w:eastAsia="en-AU"/>
        </w:rPr>
      </w:pPr>
      <w:r w:rsidRPr="00C97E01">
        <w:rPr>
          <w:szCs w:val="24"/>
          <w:lang w:eastAsia="en-AU"/>
        </w:rPr>
        <w:t>staff engagement (%)</w:t>
      </w:r>
    </w:p>
    <w:p w14:paraId="023C004E" w14:textId="77777777" w:rsidR="003E76AB" w:rsidRPr="00C97E01" w:rsidRDefault="003E76AB" w:rsidP="003E76AB">
      <w:pPr>
        <w:pStyle w:val="ListParagraph"/>
        <w:numPr>
          <w:ilvl w:val="0"/>
          <w:numId w:val="43"/>
        </w:numPr>
        <w:rPr>
          <w:szCs w:val="24"/>
          <w:lang w:eastAsia="en-AU"/>
        </w:rPr>
      </w:pPr>
      <w:r w:rsidRPr="00C97E01">
        <w:rPr>
          <w:szCs w:val="24"/>
          <w:lang w:eastAsia="en-AU"/>
        </w:rPr>
        <w:t>staff wellbeing %</w:t>
      </w:r>
    </w:p>
    <w:p w14:paraId="52E473FF" w14:textId="77777777" w:rsidR="003E76AB" w:rsidRPr="00C97E01" w:rsidRDefault="003E76AB" w:rsidP="003E76AB">
      <w:pPr>
        <w:pStyle w:val="ListParagraph"/>
        <w:numPr>
          <w:ilvl w:val="0"/>
          <w:numId w:val="43"/>
        </w:numPr>
        <w:rPr>
          <w:szCs w:val="24"/>
          <w:lang w:eastAsia="en-AU"/>
        </w:rPr>
      </w:pPr>
      <w:r w:rsidRPr="00C97E01">
        <w:rPr>
          <w:szCs w:val="24"/>
          <w:lang w:eastAsia="en-AU"/>
        </w:rPr>
        <w:t>staff with disability (%)</w:t>
      </w:r>
    </w:p>
    <w:p w14:paraId="1DF21B66" w14:textId="77777777" w:rsidR="003E76AB" w:rsidRDefault="003E76AB" w:rsidP="003E76AB">
      <w:pPr>
        <w:pStyle w:val="ListParagraph"/>
        <w:numPr>
          <w:ilvl w:val="0"/>
          <w:numId w:val="43"/>
        </w:numPr>
        <w:rPr>
          <w:szCs w:val="24"/>
          <w:lang w:eastAsia="en-AU"/>
        </w:rPr>
      </w:pPr>
      <w:r>
        <w:rPr>
          <w:szCs w:val="24"/>
          <w:lang w:eastAsia="en-AU"/>
        </w:rPr>
        <w:t>S</w:t>
      </w:r>
      <w:r w:rsidRPr="00C97E01">
        <w:rPr>
          <w:szCs w:val="24"/>
          <w:lang w:eastAsia="en-AU"/>
        </w:rPr>
        <w:t>enior Executive Service staff with disability (%)</w:t>
      </w:r>
    </w:p>
    <w:p w14:paraId="316E0ECB" w14:textId="607FF249" w:rsidR="003E76AB" w:rsidRPr="003E76AB" w:rsidRDefault="003E76AB" w:rsidP="003E76AB">
      <w:pPr>
        <w:pStyle w:val="ListParagraph"/>
        <w:numPr>
          <w:ilvl w:val="0"/>
          <w:numId w:val="43"/>
        </w:numPr>
        <w:rPr>
          <w:szCs w:val="24"/>
          <w:lang w:eastAsia="en-AU"/>
        </w:rPr>
      </w:pPr>
      <w:r w:rsidRPr="003E76AB">
        <w:rPr>
          <w:szCs w:val="24"/>
          <w:lang w:eastAsia="en-AU"/>
        </w:rPr>
        <w:t>female representation in the Senior Executive Service (%).</w:t>
      </w:r>
      <w:r w:rsidRPr="003E76AB">
        <w:rPr>
          <w:szCs w:val="24"/>
          <w:lang w:eastAsia="en-AU"/>
        </w:rPr>
        <w:br/>
      </w:r>
    </w:p>
    <w:p w14:paraId="663A46D4" w14:textId="07B6CE0D" w:rsidR="003E76AB" w:rsidRPr="00F334FC" w:rsidRDefault="003E76AB" w:rsidP="00FF3436">
      <w:pPr>
        <w:keepNext/>
        <w:ind w:left="720"/>
        <w:rPr>
          <w:sz w:val="24"/>
          <w:szCs w:val="24"/>
          <w:lang w:eastAsia="en-AU"/>
        </w:rPr>
      </w:pPr>
      <w:r w:rsidRPr="00C97E01">
        <w:rPr>
          <w:rFonts w:eastAsia="DengXian"/>
          <w:b/>
          <w:sz w:val="21"/>
          <w:szCs w:val="21"/>
        </w:rPr>
        <w:t xml:space="preserve">Table 3.3F: </w:t>
      </w:r>
      <w:r w:rsidRPr="00760744">
        <w:rPr>
          <w:rFonts w:eastAsia="DengXian"/>
          <w:bCs/>
          <w:sz w:val="21"/>
          <w:szCs w:val="21"/>
        </w:rPr>
        <w:t>NDIA operating performance</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992"/>
        <w:gridCol w:w="1276"/>
        <w:gridCol w:w="4111"/>
      </w:tblGrid>
      <w:tr w:rsidR="003E76AB" w:rsidRPr="00D06CB0" w14:paraId="0169EF1D" w14:textId="77777777" w:rsidTr="00EE2D88">
        <w:trPr>
          <w:trHeight w:val="448"/>
          <w:tblHeader/>
        </w:trPr>
        <w:tc>
          <w:tcPr>
            <w:tcW w:w="1985" w:type="dxa"/>
            <w:tcBorders>
              <w:bottom w:val="single" w:sz="4" w:space="0" w:color="auto"/>
            </w:tcBorders>
            <w:shd w:val="clear" w:color="auto" w:fill="6B2976"/>
            <w:hideMark/>
          </w:tcPr>
          <w:p w14:paraId="64BC1EFC" w14:textId="77777777" w:rsidR="003E76AB" w:rsidRPr="00D06CB0" w:rsidRDefault="003E76AB" w:rsidP="00EE2D88">
            <w:pPr>
              <w:keepLines/>
              <w:spacing w:before="100" w:beforeAutospacing="1" w:after="100" w:afterAutospacing="1"/>
              <w:ind w:left="30"/>
              <w:rPr>
                <w:rFonts w:eastAsia="DengXian"/>
                <w:b/>
                <w:bCs/>
                <w:color w:val="FFFFFF"/>
                <w:sz w:val="20"/>
                <w:lang w:val="en-US"/>
              </w:rPr>
            </w:pPr>
            <w:r w:rsidRPr="00D06CB0">
              <w:rPr>
                <w:rFonts w:eastAsia="DengXian"/>
                <w:b/>
                <w:bCs/>
                <w:color w:val="FFFFFF"/>
                <w:sz w:val="20"/>
                <w:lang w:val="en-US"/>
              </w:rPr>
              <w:t xml:space="preserve">Performance metric </w:t>
            </w:r>
          </w:p>
        </w:tc>
        <w:tc>
          <w:tcPr>
            <w:tcW w:w="992" w:type="dxa"/>
            <w:tcBorders>
              <w:bottom w:val="single" w:sz="4" w:space="0" w:color="auto"/>
            </w:tcBorders>
            <w:shd w:val="clear" w:color="auto" w:fill="6B2976"/>
          </w:tcPr>
          <w:p w14:paraId="1FFD9FF0" w14:textId="77777777" w:rsidR="003E76AB" w:rsidRPr="00D06CB0" w:rsidRDefault="003E76AB" w:rsidP="005C33EF">
            <w:pPr>
              <w:keepLines/>
              <w:spacing w:beforeAutospacing="1" w:afterAutospacing="1"/>
              <w:ind w:left="35"/>
              <w:rPr>
                <w:rFonts w:eastAsia="DengXian"/>
                <w:b/>
                <w:bCs/>
                <w:color w:val="FFFFFF"/>
                <w:sz w:val="20"/>
                <w:lang w:val="en-US"/>
              </w:rPr>
            </w:pPr>
            <w:r>
              <w:rPr>
                <w:rFonts w:eastAsia="DengXian"/>
                <w:b/>
                <w:bCs/>
                <w:color w:val="FFFFFF"/>
                <w:sz w:val="20"/>
                <w:lang w:val="en-US"/>
              </w:rPr>
              <w:t>2020-21</w:t>
            </w:r>
            <w:r w:rsidRPr="00D06CB0">
              <w:rPr>
                <w:rFonts w:eastAsia="DengXian"/>
                <w:b/>
                <w:bCs/>
                <w:color w:val="FFFFFF"/>
                <w:sz w:val="20"/>
                <w:lang w:val="en-US"/>
              </w:rPr>
              <w:t xml:space="preserve"> Result</w:t>
            </w:r>
          </w:p>
        </w:tc>
        <w:tc>
          <w:tcPr>
            <w:tcW w:w="992" w:type="dxa"/>
            <w:tcBorders>
              <w:bottom w:val="single" w:sz="4" w:space="0" w:color="auto"/>
            </w:tcBorders>
            <w:shd w:val="clear" w:color="auto" w:fill="6B2976"/>
            <w:hideMark/>
          </w:tcPr>
          <w:p w14:paraId="5FED6D5D" w14:textId="525AE5B1" w:rsidR="003E76AB" w:rsidRPr="00D06CB0" w:rsidRDefault="00577731" w:rsidP="005C33EF">
            <w:pPr>
              <w:keepLines/>
              <w:spacing w:beforeAutospacing="1" w:afterAutospacing="1"/>
              <w:ind w:left="35"/>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Result</w:t>
            </w:r>
            <w:proofErr w:type="gramEnd"/>
          </w:p>
        </w:tc>
        <w:tc>
          <w:tcPr>
            <w:tcW w:w="1276" w:type="dxa"/>
            <w:tcBorders>
              <w:bottom w:val="single" w:sz="4" w:space="0" w:color="auto"/>
            </w:tcBorders>
            <w:shd w:val="clear" w:color="auto" w:fill="6B2976"/>
            <w:hideMark/>
          </w:tcPr>
          <w:p w14:paraId="328964F3" w14:textId="7896825E" w:rsidR="003E76AB" w:rsidRPr="00D06CB0" w:rsidRDefault="00577731" w:rsidP="005C33EF">
            <w:pPr>
              <w:keepLines/>
              <w:spacing w:beforeAutospacing="1" w:afterAutospacing="1"/>
              <w:ind w:left="35"/>
              <w:rPr>
                <w:rFonts w:eastAsia="DengXian"/>
                <w:b/>
                <w:bCs/>
                <w:color w:val="FFFFFF"/>
                <w:sz w:val="20"/>
                <w:lang w:val="en-US"/>
              </w:rPr>
            </w:pPr>
            <w:r>
              <w:rPr>
                <w:rFonts w:eastAsia="DengXian"/>
                <w:b/>
                <w:bCs/>
                <w:color w:val="FFFFFF"/>
                <w:sz w:val="20"/>
                <w:lang w:val="en-US"/>
              </w:rPr>
              <w:t>2021–</w:t>
            </w:r>
            <w:proofErr w:type="gramStart"/>
            <w:r>
              <w:rPr>
                <w:rFonts w:eastAsia="DengXian"/>
                <w:b/>
                <w:bCs/>
                <w:color w:val="FFFFFF"/>
                <w:sz w:val="20"/>
                <w:lang w:val="en-US"/>
              </w:rPr>
              <w:t xml:space="preserve">22 </w:t>
            </w:r>
            <w:r w:rsidR="003E76AB" w:rsidRPr="00D06CB0">
              <w:rPr>
                <w:rFonts w:eastAsia="DengXian"/>
                <w:b/>
                <w:bCs/>
                <w:color w:val="FFFFFF"/>
                <w:sz w:val="20"/>
                <w:lang w:val="en-US"/>
              </w:rPr>
              <w:t xml:space="preserve"> </w:t>
            </w:r>
            <w:r w:rsidR="00F37293">
              <w:rPr>
                <w:rFonts w:eastAsia="DengXian"/>
                <w:b/>
                <w:bCs/>
                <w:color w:val="FFFFFF"/>
                <w:sz w:val="20"/>
                <w:lang w:val="en-US"/>
              </w:rPr>
              <w:t>T</w:t>
            </w:r>
            <w:r w:rsidR="003E76AB" w:rsidRPr="00D06CB0">
              <w:rPr>
                <w:rFonts w:eastAsia="DengXian"/>
                <w:b/>
                <w:bCs/>
                <w:color w:val="FFFFFF"/>
                <w:sz w:val="20"/>
                <w:lang w:val="en-US"/>
              </w:rPr>
              <w:t>arget</w:t>
            </w:r>
            <w:proofErr w:type="gramEnd"/>
          </w:p>
        </w:tc>
        <w:tc>
          <w:tcPr>
            <w:tcW w:w="4111" w:type="dxa"/>
            <w:tcBorders>
              <w:bottom w:val="single" w:sz="4" w:space="0" w:color="auto"/>
            </w:tcBorders>
            <w:shd w:val="clear" w:color="auto" w:fill="6B2976"/>
          </w:tcPr>
          <w:p w14:paraId="5BF281C9" w14:textId="77777777" w:rsidR="003E76AB" w:rsidRPr="00D06CB0" w:rsidRDefault="003E76AB" w:rsidP="005C33EF">
            <w:pPr>
              <w:keepLines/>
              <w:spacing w:beforeAutospacing="1" w:afterAutospacing="1"/>
              <w:ind w:left="2"/>
              <w:rPr>
                <w:rFonts w:eastAsia="DengXian"/>
                <w:b/>
                <w:bCs/>
                <w:color w:val="FFFFFF"/>
                <w:sz w:val="20"/>
                <w:lang w:val="en-US"/>
              </w:rPr>
            </w:pPr>
            <w:r>
              <w:rPr>
                <w:rFonts w:eastAsia="DengXian"/>
                <w:b/>
                <w:bCs/>
                <w:color w:val="FFFFFF"/>
                <w:sz w:val="20"/>
                <w:lang w:val="en-US"/>
              </w:rPr>
              <w:t>Analysis</w:t>
            </w:r>
          </w:p>
        </w:tc>
      </w:tr>
      <w:tr w:rsidR="003E76AB" w:rsidRPr="00D06CB0" w14:paraId="7EA760E2" w14:textId="77777777" w:rsidTr="00EE2D88">
        <w:trPr>
          <w:trHeight w:val="618"/>
        </w:trPr>
        <w:tc>
          <w:tcPr>
            <w:tcW w:w="1985" w:type="dxa"/>
            <w:shd w:val="clear" w:color="auto" w:fill="auto"/>
            <w:vAlign w:val="center"/>
            <w:hideMark/>
          </w:tcPr>
          <w:p w14:paraId="5806DF02" w14:textId="77777777" w:rsidR="003E76AB" w:rsidRPr="00D06CB0" w:rsidRDefault="003E76AB" w:rsidP="005C33EF">
            <w:pPr>
              <w:keepLines/>
              <w:ind w:left="30" w:right="113"/>
              <w:rPr>
                <w:b/>
                <w:bCs/>
                <w:sz w:val="20"/>
                <w:lang w:val="en-US"/>
              </w:rPr>
            </w:pPr>
            <w:r>
              <w:rPr>
                <w:b/>
                <w:bCs/>
                <w:sz w:val="20"/>
                <w:lang w:val="en-US"/>
              </w:rPr>
              <w:t>NDIA</w:t>
            </w:r>
            <w:r w:rsidRPr="00D06CB0">
              <w:rPr>
                <w:b/>
                <w:bCs/>
                <w:sz w:val="20"/>
                <w:lang w:val="en-US"/>
              </w:rPr>
              <w:t xml:space="preserve"> spend (Program 1.</w:t>
            </w:r>
            <w:r>
              <w:rPr>
                <w:b/>
                <w:bCs/>
                <w:sz w:val="20"/>
                <w:lang w:val="en-US"/>
              </w:rPr>
              <w:t>2</w:t>
            </w:r>
            <w:r w:rsidRPr="00D06CB0">
              <w:rPr>
                <w:b/>
                <w:bCs/>
                <w:sz w:val="20"/>
                <w:lang w:val="en-US"/>
              </w:rPr>
              <w:t>) compared to PBS (%)</w:t>
            </w:r>
          </w:p>
        </w:tc>
        <w:tc>
          <w:tcPr>
            <w:tcW w:w="992" w:type="dxa"/>
            <w:shd w:val="clear" w:color="auto" w:fill="auto"/>
            <w:vAlign w:val="center"/>
          </w:tcPr>
          <w:p w14:paraId="1AA647C4" w14:textId="77777777" w:rsidR="003E76AB" w:rsidRPr="00D06CB0" w:rsidRDefault="003E76AB" w:rsidP="005C33EF">
            <w:pPr>
              <w:keepLines/>
              <w:ind w:left="5" w:right="113"/>
              <w:rPr>
                <w:rFonts w:eastAsia="DengXian"/>
                <w:sz w:val="20"/>
                <w:lang w:val="en-US"/>
              </w:rPr>
            </w:pPr>
            <w:r>
              <w:rPr>
                <w:rFonts w:eastAsia="DengXian"/>
                <w:sz w:val="20"/>
                <w:lang w:val="en-US"/>
              </w:rPr>
              <w:t>99</w:t>
            </w:r>
            <w:r w:rsidRPr="00D06CB0">
              <w:rPr>
                <w:rFonts w:eastAsia="DengXian"/>
                <w:sz w:val="20"/>
                <w:lang w:val="en-US"/>
              </w:rPr>
              <w:t>%</w:t>
            </w:r>
          </w:p>
        </w:tc>
        <w:tc>
          <w:tcPr>
            <w:tcW w:w="992" w:type="dxa"/>
            <w:shd w:val="clear" w:color="auto" w:fill="auto"/>
            <w:vAlign w:val="center"/>
          </w:tcPr>
          <w:p w14:paraId="781BE8B1" w14:textId="77777777" w:rsidR="003E76AB" w:rsidRPr="00FB51B7" w:rsidRDefault="003E76AB" w:rsidP="005C33EF">
            <w:pPr>
              <w:keepLines/>
              <w:ind w:left="5" w:right="113"/>
              <w:rPr>
                <w:rFonts w:eastAsia="DengXian"/>
                <w:sz w:val="20"/>
                <w:lang w:val="en-US"/>
              </w:rPr>
            </w:pPr>
            <w:r w:rsidRPr="005A30DD">
              <w:rPr>
                <w:rFonts w:eastAsia="DengXian"/>
                <w:sz w:val="20"/>
                <w:lang w:val="en-US"/>
              </w:rPr>
              <w:t>95</w:t>
            </w:r>
            <w:r>
              <w:rPr>
                <w:rFonts w:eastAsia="DengXian"/>
                <w:sz w:val="20"/>
                <w:lang w:val="en-US"/>
              </w:rPr>
              <w:t>.3</w:t>
            </w:r>
            <w:r w:rsidRPr="005A30DD">
              <w:rPr>
                <w:rFonts w:eastAsia="DengXian"/>
                <w:sz w:val="20"/>
                <w:lang w:val="en-US"/>
              </w:rPr>
              <w:t>%</w:t>
            </w:r>
          </w:p>
        </w:tc>
        <w:tc>
          <w:tcPr>
            <w:tcW w:w="1276" w:type="dxa"/>
            <w:shd w:val="clear" w:color="auto" w:fill="auto"/>
            <w:vAlign w:val="center"/>
          </w:tcPr>
          <w:p w14:paraId="61BABADF" w14:textId="77777777" w:rsidR="003E76AB" w:rsidRPr="00FB51B7" w:rsidRDefault="003E76AB" w:rsidP="005C33EF">
            <w:pPr>
              <w:keepLines/>
              <w:ind w:left="5" w:right="113"/>
              <w:rPr>
                <w:rFonts w:eastAsia="DengXian"/>
                <w:sz w:val="20"/>
                <w:lang w:val="en-US"/>
              </w:rPr>
            </w:pPr>
            <w:r w:rsidRPr="00FB51B7">
              <w:rPr>
                <w:rFonts w:eastAsia="DengXian"/>
                <w:sz w:val="20"/>
                <w:lang w:val="en-US"/>
              </w:rPr>
              <w:t>100%</w:t>
            </w:r>
          </w:p>
        </w:tc>
        <w:tc>
          <w:tcPr>
            <w:tcW w:w="4111" w:type="dxa"/>
            <w:shd w:val="clear" w:color="auto" w:fill="auto"/>
          </w:tcPr>
          <w:p w14:paraId="539FDE7E" w14:textId="3E3E8810" w:rsidR="003E76AB" w:rsidRDefault="003E76AB" w:rsidP="005C33EF">
            <w:pPr>
              <w:ind w:left="0"/>
              <w:rPr>
                <w:color w:val="000000" w:themeColor="text1"/>
                <w:sz w:val="20"/>
                <w:szCs w:val="20"/>
              </w:rPr>
            </w:pPr>
            <w:r w:rsidRPr="004550CA">
              <w:rPr>
                <w:color w:val="000000" w:themeColor="text1"/>
                <w:sz w:val="20"/>
                <w:szCs w:val="20"/>
              </w:rPr>
              <w:t xml:space="preserve">This performance measure </w:t>
            </w:r>
            <w:r>
              <w:rPr>
                <w:color w:val="000000" w:themeColor="text1"/>
                <w:sz w:val="20"/>
                <w:szCs w:val="20"/>
              </w:rPr>
              <w:t xml:space="preserve">is the </w:t>
            </w:r>
            <w:r w:rsidRPr="004550CA">
              <w:rPr>
                <w:color w:val="000000" w:themeColor="text1"/>
                <w:sz w:val="20"/>
                <w:szCs w:val="20"/>
              </w:rPr>
              <w:t xml:space="preserve">Agency </w:t>
            </w:r>
            <w:r>
              <w:rPr>
                <w:color w:val="000000" w:themeColor="text1"/>
                <w:sz w:val="20"/>
                <w:szCs w:val="20"/>
              </w:rPr>
              <w:t>expense (Program 1.2)</w:t>
            </w:r>
            <w:r>
              <w:rPr>
                <w:rStyle w:val="FootnoteReference"/>
                <w:color w:val="000000" w:themeColor="text1"/>
                <w:sz w:val="20"/>
                <w:szCs w:val="20"/>
              </w:rPr>
              <w:footnoteReference w:id="48"/>
            </w:r>
            <w:r>
              <w:rPr>
                <w:color w:val="000000" w:themeColor="text1"/>
                <w:sz w:val="20"/>
                <w:szCs w:val="20"/>
              </w:rPr>
              <w:t xml:space="preserve"> </w:t>
            </w:r>
            <w:r w:rsidRPr="004550CA">
              <w:rPr>
                <w:color w:val="000000" w:themeColor="text1"/>
                <w:sz w:val="20"/>
                <w:szCs w:val="20"/>
              </w:rPr>
              <w:t xml:space="preserve">divided by </w:t>
            </w:r>
            <w:r>
              <w:rPr>
                <w:color w:val="000000" w:themeColor="text1"/>
                <w:sz w:val="20"/>
                <w:szCs w:val="20"/>
              </w:rPr>
              <w:t xml:space="preserve">estimated </w:t>
            </w:r>
            <w:r w:rsidRPr="004550CA">
              <w:rPr>
                <w:color w:val="000000" w:themeColor="text1"/>
                <w:sz w:val="20"/>
                <w:szCs w:val="20"/>
              </w:rPr>
              <w:t xml:space="preserve">Agency </w:t>
            </w:r>
            <w:r>
              <w:rPr>
                <w:color w:val="000000" w:themeColor="text1"/>
                <w:sz w:val="20"/>
                <w:szCs w:val="20"/>
              </w:rPr>
              <w:t xml:space="preserve">expenses </w:t>
            </w:r>
            <w:r w:rsidRPr="004550CA">
              <w:rPr>
                <w:color w:val="000000" w:themeColor="text1"/>
                <w:sz w:val="20"/>
                <w:szCs w:val="20"/>
              </w:rPr>
              <w:t>in the Portfolio Budget Statements</w:t>
            </w:r>
            <w:r>
              <w:rPr>
                <w:color w:val="000000" w:themeColor="text1"/>
                <w:sz w:val="20"/>
                <w:szCs w:val="20"/>
              </w:rPr>
              <w:t xml:space="preserve">. </w:t>
            </w:r>
          </w:p>
          <w:p w14:paraId="37276DAD" w14:textId="77777777" w:rsidR="003E76AB" w:rsidRPr="004550CA" w:rsidRDefault="003E76AB" w:rsidP="005C33EF">
            <w:pPr>
              <w:ind w:left="0"/>
              <w:rPr>
                <w:color w:val="000000" w:themeColor="text1"/>
                <w:sz w:val="20"/>
                <w:szCs w:val="20"/>
              </w:rPr>
            </w:pPr>
            <w:r w:rsidRPr="009F0154">
              <w:rPr>
                <w:sz w:val="20"/>
                <w:szCs w:val="20"/>
              </w:rPr>
              <w:t>This result is within the acceptable range for the Agency’s activities conducted through the reporting period.</w:t>
            </w:r>
          </w:p>
        </w:tc>
      </w:tr>
      <w:tr w:rsidR="003E76AB" w:rsidRPr="00D06CB0" w14:paraId="14DEFBFC" w14:textId="77777777" w:rsidTr="00EE2D88">
        <w:trPr>
          <w:trHeight w:val="618"/>
        </w:trPr>
        <w:tc>
          <w:tcPr>
            <w:tcW w:w="1985" w:type="dxa"/>
            <w:shd w:val="clear" w:color="auto" w:fill="auto"/>
            <w:vAlign w:val="center"/>
          </w:tcPr>
          <w:p w14:paraId="763CB28A" w14:textId="77777777" w:rsidR="003E76AB" w:rsidRPr="00D06CB0" w:rsidRDefault="003E76AB" w:rsidP="005C33EF">
            <w:pPr>
              <w:keepLines/>
              <w:ind w:left="30" w:right="113"/>
              <w:rPr>
                <w:b/>
                <w:bCs/>
                <w:sz w:val="20"/>
                <w:lang w:val="en-US"/>
              </w:rPr>
            </w:pPr>
            <w:r>
              <w:rPr>
                <w:b/>
                <w:bCs/>
                <w:sz w:val="20"/>
                <w:lang w:val="en-US"/>
              </w:rPr>
              <w:t>NDIA</w:t>
            </w:r>
            <w:r w:rsidRPr="00D06CB0">
              <w:rPr>
                <w:b/>
                <w:bCs/>
                <w:sz w:val="20"/>
                <w:lang w:val="en-US"/>
              </w:rPr>
              <w:t xml:space="preserve"> spend (Program 1.</w:t>
            </w:r>
            <w:r>
              <w:rPr>
                <w:b/>
                <w:bCs/>
                <w:sz w:val="20"/>
                <w:lang w:val="en-US"/>
              </w:rPr>
              <w:t>2</w:t>
            </w:r>
            <w:r w:rsidRPr="00D06CB0">
              <w:rPr>
                <w:b/>
                <w:bCs/>
                <w:sz w:val="20"/>
                <w:lang w:val="en-US"/>
              </w:rPr>
              <w:t>) as proportion of Scheme spend (%)</w:t>
            </w:r>
          </w:p>
        </w:tc>
        <w:tc>
          <w:tcPr>
            <w:tcW w:w="992" w:type="dxa"/>
            <w:shd w:val="clear" w:color="auto" w:fill="auto"/>
            <w:vAlign w:val="center"/>
          </w:tcPr>
          <w:p w14:paraId="119A3C77" w14:textId="77777777" w:rsidR="003E76AB" w:rsidRPr="00D06CB0" w:rsidRDefault="003E76AB" w:rsidP="005C33EF">
            <w:pPr>
              <w:keepLines/>
              <w:ind w:left="5" w:right="113"/>
              <w:rPr>
                <w:rFonts w:eastAsia="DengXian"/>
                <w:sz w:val="20"/>
                <w:lang w:val="en-US"/>
              </w:rPr>
            </w:pPr>
            <w:r>
              <w:rPr>
                <w:rFonts w:eastAsia="DengXian"/>
                <w:sz w:val="20"/>
                <w:lang w:val="en-US"/>
              </w:rPr>
              <w:t>6.5%</w:t>
            </w:r>
          </w:p>
        </w:tc>
        <w:tc>
          <w:tcPr>
            <w:tcW w:w="992" w:type="dxa"/>
            <w:shd w:val="clear" w:color="auto" w:fill="auto"/>
            <w:vAlign w:val="center"/>
          </w:tcPr>
          <w:p w14:paraId="650E5D19" w14:textId="77777777" w:rsidR="003E76AB" w:rsidRPr="00FB51B7" w:rsidRDefault="003E76AB" w:rsidP="005C33EF">
            <w:pPr>
              <w:keepLines/>
              <w:ind w:left="5" w:right="113"/>
              <w:rPr>
                <w:rFonts w:eastAsia="DengXian"/>
                <w:sz w:val="20"/>
                <w:lang w:val="en-US"/>
              </w:rPr>
            </w:pPr>
            <w:r w:rsidRPr="005A30DD">
              <w:rPr>
                <w:rFonts w:eastAsia="DengXian"/>
                <w:sz w:val="20"/>
                <w:lang w:val="en-US"/>
              </w:rPr>
              <w:t>5.</w:t>
            </w:r>
            <w:r>
              <w:rPr>
                <w:rFonts w:eastAsia="DengXian"/>
                <w:sz w:val="20"/>
                <w:lang w:val="en-US"/>
              </w:rPr>
              <w:t>6</w:t>
            </w:r>
            <w:r w:rsidRPr="005A30DD">
              <w:rPr>
                <w:rFonts w:eastAsia="DengXian"/>
                <w:sz w:val="20"/>
                <w:lang w:val="en-US"/>
              </w:rPr>
              <w:t>%</w:t>
            </w:r>
          </w:p>
        </w:tc>
        <w:tc>
          <w:tcPr>
            <w:tcW w:w="1276" w:type="dxa"/>
            <w:shd w:val="clear" w:color="auto" w:fill="auto"/>
            <w:vAlign w:val="center"/>
          </w:tcPr>
          <w:p w14:paraId="731666F0" w14:textId="77777777" w:rsidR="003E76AB" w:rsidRPr="00FB51B7" w:rsidRDefault="003E76AB" w:rsidP="005C33EF">
            <w:pPr>
              <w:keepLines/>
              <w:ind w:left="5" w:right="113"/>
              <w:rPr>
                <w:rFonts w:eastAsia="DengXian"/>
                <w:sz w:val="20"/>
                <w:lang w:val="en-US"/>
              </w:rPr>
            </w:pPr>
            <w:r w:rsidRPr="00FB51B7">
              <w:rPr>
                <w:rFonts w:eastAsia="DengXian"/>
                <w:sz w:val="20"/>
                <w:lang w:val="en-US"/>
              </w:rPr>
              <w:t>7%</w:t>
            </w:r>
          </w:p>
        </w:tc>
        <w:tc>
          <w:tcPr>
            <w:tcW w:w="4111" w:type="dxa"/>
            <w:shd w:val="clear" w:color="auto" w:fill="auto"/>
          </w:tcPr>
          <w:p w14:paraId="3D7803BE" w14:textId="77777777" w:rsidR="003E76AB" w:rsidRPr="009F0154" w:rsidRDefault="003E76AB" w:rsidP="005C33EF">
            <w:pPr>
              <w:ind w:left="0"/>
              <w:rPr>
                <w:sz w:val="20"/>
                <w:szCs w:val="20"/>
              </w:rPr>
            </w:pPr>
            <w:r>
              <w:rPr>
                <w:color w:val="000000" w:themeColor="text1"/>
                <w:sz w:val="20"/>
                <w:szCs w:val="20"/>
              </w:rPr>
              <w:t>This metric is calculated using t</w:t>
            </w:r>
            <w:r w:rsidRPr="00A07C60">
              <w:rPr>
                <w:color w:val="000000" w:themeColor="text1"/>
                <w:sz w:val="20"/>
                <w:szCs w:val="20"/>
              </w:rPr>
              <w:t>he operating expense (Program 1.</w:t>
            </w:r>
            <w:r>
              <w:rPr>
                <w:color w:val="000000" w:themeColor="text1"/>
                <w:sz w:val="20"/>
                <w:szCs w:val="20"/>
              </w:rPr>
              <w:t>2</w:t>
            </w:r>
            <w:r w:rsidRPr="00A07C60">
              <w:rPr>
                <w:color w:val="000000" w:themeColor="text1"/>
                <w:sz w:val="20"/>
                <w:szCs w:val="20"/>
              </w:rPr>
              <w:t xml:space="preserve">) divided by </w:t>
            </w:r>
            <w:r>
              <w:rPr>
                <w:color w:val="000000" w:themeColor="text1"/>
                <w:sz w:val="20"/>
                <w:szCs w:val="20"/>
              </w:rPr>
              <w:t xml:space="preserve">the </w:t>
            </w:r>
            <w:r w:rsidRPr="00A07C60">
              <w:rPr>
                <w:color w:val="000000" w:themeColor="text1"/>
                <w:sz w:val="20"/>
                <w:szCs w:val="20"/>
              </w:rPr>
              <w:t>Scheme expense (Program 1.1)</w:t>
            </w:r>
            <w:r>
              <w:rPr>
                <w:color w:val="000000" w:themeColor="text1"/>
                <w:sz w:val="20"/>
                <w:szCs w:val="20"/>
              </w:rPr>
              <w:t xml:space="preserve">. The purpose of </w:t>
            </w:r>
            <w:r w:rsidRPr="009F0154">
              <w:rPr>
                <w:sz w:val="20"/>
                <w:szCs w:val="20"/>
              </w:rPr>
              <w:t>this metric is to measure the efficiency of the NDIA in its administration of the Scheme.</w:t>
            </w:r>
          </w:p>
          <w:p w14:paraId="403461EC" w14:textId="77777777" w:rsidR="003E76AB" w:rsidRDefault="003E76AB" w:rsidP="005C33EF">
            <w:pPr>
              <w:ind w:left="0"/>
              <w:rPr>
                <w:sz w:val="20"/>
                <w:szCs w:val="20"/>
              </w:rPr>
            </w:pPr>
            <w:r w:rsidRPr="009F0154">
              <w:rPr>
                <w:sz w:val="20"/>
                <w:szCs w:val="20"/>
              </w:rPr>
              <w:t xml:space="preserve">The Agency has continued to focus on strategic improvements as per the Corporate Plan. </w:t>
            </w:r>
            <w:r>
              <w:rPr>
                <w:sz w:val="20"/>
                <w:szCs w:val="20"/>
              </w:rPr>
              <w:t xml:space="preserve">The result is lower than target. </w:t>
            </w:r>
          </w:p>
          <w:p w14:paraId="349D62AB" w14:textId="738DEF73" w:rsidR="003E76AB" w:rsidRPr="00DE6119" w:rsidRDefault="003E76AB" w:rsidP="005C33EF">
            <w:pPr>
              <w:ind w:left="0"/>
              <w:rPr>
                <w:color w:val="FF0000"/>
                <w:sz w:val="20"/>
                <w:szCs w:val="20"/>
              </w:rPr>
            </w:pPr>
            <w:r>
              <w:rPr>
                <w:sz w:val="20"/>
                <w:szCs w:val="20"/>
              </w:rPr>
              <w:t>It should be noted that this percentage is a function of Scheme and Agency appropriation in the PBS, hence 7% may</w:t>
            </w:r>
            <w:r w:rsidR="00B1128D">
              <w:rPr>
                <w:sz w:val="20"/>
                <w:szCs w:val="20"/>
              </w:rPr>
              <w:t xml:space="preserve"> </w:t>
            </w:r>
            <w:r>
              <w:rPr>
                <w:sz w:val="20"/>
                <w:szCs w:val="20"/>
              </w:rPr>
              <w:t>be above the Agency budget.</w:t>
            </w:r>
          </w:p>
        </w:tc>
      </w:tr>
      <w:tr w:rsidR="003E76AB" w:rsidRPr="00D06CB0" w14:paraId="1A37A2AB" w14:textId="77777777" w:rsidTr="00EE2D88">
        <w:trPr>
          <w:trHeight w:val="618"/>
        </w:trPr>
        <w:tc>
          <w:tcPr>
            <w:tcW w:w="1985" w:type="dxa"/>
            <w:shd w:val="clear" w:color="auto" w:fill="auto"/>
            <w:vAlign w:val="center"/>
          </w:tcPr>
          <w:p w14:paraId="4975BF6C" w14:textId="77777777" w:rsidR="003E76AB" w:rsidRPr="00D06CB0" w:rsidRDefault="003E76AB" w:rsidP="005C33EF">
            <w:pPr>
              <w:keepLines/>
              <w:ind w:left="30" w:right="113"/>
              <w:rPr>
                <w:b/>
                <w:bCs/>
                <w:sz w:val="20"/>
                <w:lang w:val="en-US"/>
              </w:rPr>
            </w:pPr>
            <w:r w:rsidRPr="00D06CB0">
              <w:rPr>
                <w:b/>
                <w:bCs/>
                <w:sz w:val="20"/>
                <w:lang w:val="en-US"/>
              </w:rPr>
              <w:t>Payment errors/anomalies (% of program outlay)</w:t>
            </w:r>
            <w:r>
              <w:rPr>
                <w:rStyle w:val="FootnoteReference"/>
                <w:b/>
                <w:bCs/>
                <w:sz w:val="20"/>
                <w:lang w:val="en-US"/>
              </w:rPr>
              <w:footnoteReference w:id="49"/>
            </w:r>
          </w:p>
        </w:tc>
        <w:tc>
          <w:tcPr>
            <w:tcW w:w="992" w:type="dxa"/>
            <w:shd w:val="clear" w:color="auto" w:fill="auto"/>
            <w:vAlign w:val="center"/>
          </w:tcPr>
          <w:p w14:paraId="453D7A03" w14:textId="77777777" w:rsidR="003E76AB" w:rsidRPr="00FB51B7" w:rsidRDefault="003E76AB" w:rsidP="005C33EF">
            <w:pPr>
              <w:keepLines/>
              <w:ind w:left="5" w:right="113"/>
              <w:rPr>
                <w:rFonts w:eastAsia="DengXian"/>
                <w:sz w:val="20"/>
                <w:lang w:val="en-US"/>
              </w:rPr>
            </w:pPr>
            <w:r>
              <w:rPr>
                <w:rFonts w:eastAsia="DengXian"/>
                <w:sz w:val="20"/>
                <w:lang w:val="en-US"/>
              </w:rPr>
              <w:t xml:space="preserve">1.2% </w:t>
            </w:r>
          </w:p>
        </w:tc>
        <w:tc>
          <w:tcPr>
            <w:tcW w:w="992" w:type="dxa"/>
            <w:shd w:val="clear" w:color="auto" w:fill="auto"/>
            <w:vAlign w:val="center"/>
          </w:tcPr>
          <w:p w14:paraId="627E8E85" w14:textId="77777777" w:rsidR="003E76AB" w:rsidRPr="00FB51B7" w:rsidRDefault="003E76AB" w:rsidP="005C33EF">
            <w:pPr>
              <w:keepLines/>
              <w:ind w:left="5" w:right="113"/>
              <w:rPr>
                <w:rFonts w:eastAsia="DengXian"/>
                <w:sz w:val="20"/>
                <w:lang w:val="en-US"/>
              </w:rPr>
            </w:pPr>
            <w:r w:rsidRPr="005A30DD">
              <w:rPr>
                <w:rFonts w:eastAsia="DengXian"/>
                <w:sz w:val="20"/>
                <w:lang w:val="en-US"/>
              </w:rPr>
              <w:t>3.2%</w:t>
            </w:r>
          </w:p>
        </w:tc>
        <w:tc>
          <w:tcPr>
            <w:tcW w:w="1276" w:type="dxa"/>
            <w:shd w:val="clear" w:color="auto" w:fill="auto"/>
            <w:vAlign w:val="center"/>
          </w:tcPr>
          <w:p w14:paraId="2C2E5E75" w14:textId="77777777" w:rsidR="003E76AB" w:rsidRPr="00D06CB0" w:rsidRDefault="003E76AB" w:rsidP="005C33EF">
            <w:pPr>
              <w:keepLines/>
              <w:ind w:left="5" w:right="113"/>
              <w:rPr>
                <w:rFonts w:eastAsia="DengXian"/>
                <w:sz w:val="20"/>
                <w:lang w:val="en-US"/>
              </w:rPr>
            </w:pPr>
            <w:r>
              <w:rPr>
                <w:rFonts w:eastAsia="DengXian"/>
                <w:sz w:val="20"/>
                <w:lang w:val="en-US"/>
              </w:rPr>
              <w:t>&lt;1%</w:t>
            </w:r>
          </w:p>
        </w:tc>
        <w:tc>
          <w:tcPr>
            <w:tcW w:w="4111" w:type="dxa"/>
            <w:shd w:val="clear" w:color="auto" w:fill="auto"/>
          </w:tcPr>
          <w:p w14:paraId="09EA75B0" w14:textId="77777777" w:rsidR="003E76AB" w:rsidRDefault="003E76AB" w:rsidP="005C33EF">
            <w:pPr>
              <w:ind w:left="0"/>
              <w:rPr>
                <w:sz w:val="20"/>
                <w:szCs w:val="20"/>
              </w:rPr>
            </w:pPr>
            <w:r w:rsidRPr="005D13D3">
              <w:rPr>
                <w:color w:val="000000" w:themeColor="text1"/>
                <w:sz w:val="20"/>
                <w:szCs w:val="20"/>
              </w:rPr>
              <w:t xml:space="preserve">This metric is calculated annually as the estimated financial impact of payment errors ($) as a percentage of total </w:t>
            </w:r>
            <w:r w:rsidRPr="009F0154">
              <w:rPr>
                <w:sz w:val="20"/>
                <w:szCs w:val="20"/>
              </w:rPr>
              <w:t xml:space="preserve">participant payments. </w:t>
            </w:r>
            <w:r>
              <w:rPr>
                <w:sz w:val="20"/>
                <w:szCs w:val="20"/>
              </w:rPr>
              <w:t xml:space="preserve">The metric is calculated separately for registered providers and self-managed participants. </w:t>
            </w:r>
          </w:p>
          <w:p w14:paraId="02B1A9D9" w14:textId="442A5521" w:rsidR="003E76AB" w:rsidRDefault="003E76AB" w:rsidP="005C33EF">
            <w:pPr>
              <w:ind w:left="0"/>
              <w:rPr>
                <w:sz w:val="20"/>
                <w:szCs w:val="20"/>
              </w:rPr>
            </w:pPr>
            <w:r>
              <w:rPr>
                <w:sz w:val="20"/>
                <w:szCs w:val="20"/>
              </w:rPr>
              <w:t>In 2020</w:t>
            </w:r>
            <w:r w:rsidR="00F267FD">
              <w:rPr>
                <w:sz w:val="20"/>
                <w:szCs w:val="20"/>
              </w:rPr>
              <w:t>–</w:t>
            </w:r>
            <w:r>
              <w:rPr>
                <w:sz w:val="20"/>
                <w:szCs w:val="20"/>
              </w:rPr>
              <w:t>21, the error rate was 1.3% for registered providers and 0.9% for self-managed participants.</w:t>
            </w:r>
          </w:p>
          <w:p w14:paraId="74CD9331" w14:textId="2710BD8A" w:rsidR="003E76AB" w:rsidRPr="009F0154" w:rsidRDefault="003E76AB" w:rsidP="005C33EF">
            <w:pPr>
              <w:ind w:left="0"/>
              <w:rPr>
                <w:sz w:val="20"/>
                <w:szCs w:val="20"/>
              </w:rPr>
            </w:pPr>
            <w:r>
              <w:rPr>
                <w:sz w:val="20"/>
                <w:szCs w:val="20"/>
              </w:rPr>
              <w:lastRenderedPageBreak/>
              <w:t xml:space="preserve">In </w:t>
            </w:r>
            <w:r w:rsidR="00577731">
              <w:rPr>
                <w:sz w:val="20"/>
                <w:szCs w:val="20"/>
              </w:rPr>
              <w:t>2021–</w:t>
            </w:r>
            <w:proofErr w:type="gramStart"/>
            <w:r w:rsidR="00577731">
              <w:rPr>
                <w:sz w:val="20"/>
                <w:szCs w:val="20"/>
              </w:rPr>
              <w:t xml:space="preserve">22 </w:t>
            </w:r>
            <w:r>
              <w:rPr>
                <w:sz w:val="20"/>
                <w:szCs w:val="20"/>
              </w:rPr>
              <w:t>,</w:t>
            </w:r>
            <w:proofErr w:type="gramEnd"/>
            <w:r>
              <w:rPr>
                <w:sz w:val="20"/>
                <w:szCs w:val="20"/>
              </w:rPr>
              <w:t xml:space="preserve"> the error rate was 2.6% for registered providers and 7.0% for self-managed participants.</w:t>
            </w:r>
          </w:p>
          <w:p w14:paraId="0D94A2D6" w14:textId="484415D9" w:rsidR="003E76AB" w:rsidRPr="00F43272" w:rsidRDefault="003E76AB" w:rsidP="005C33EF">
            <w:pPr>
              <w:ind w:left="0"/>
              <w:rPr>
                <w:color w:val="FF0000"/>
                <w:sz w:val="20"/>
                <w:szCs w:val="20"/>
              </w:rPr>
            </w:pPr>
            <w:r w:rsidRPr="009F0154">
              <w:rPr>
                <w:sz w:val="20"/>
                <w:szCs w:val="20"/>
              </w:rPr>
              <w:t xml:space="preserve">The result </w:t>
            </w:r>
            <w:r>
              <w:rPr>
                <w:sz w:val="20"/>
                <w:szCs w:val="20"/>
              </w:rPr>
              <w:t xml:space="preserve">is </w:t>
            </w:r>
            <w:r w:rsidRPr="009F0154">
              <w:rPr>
                <w:sz w:val="20"/>
                <w:szCs w:val="20"/>
              </w:rPr>
              <w:t>above target. The Agency has progressed strategies that aim to reduce the financial impact of payment errors and anomalies. Implementation of this work continues into 2022</w:t>
            </w:r>
            <w:r w:rsidR="00465AFC">
              <w:rPr>
                <w:sz w:val="20"/>
                <w:szCs w:val="20"/>
              </w:rPr>
              <w:t>–</w:t>
            </w:r>
            <w:r w:rsidRPr="009F0154">
              <w:rPr>
                <w:sz w:val="20"/>
                <w:szCs w:val="20"/>
              </w:rPr>
              <w:t>23.</w:t>
            </w:r>
          </w:p>
        </w:tc>
      </w:tr>
      <w:tr w:rsidR="003E76AB" w:rsidRPr="00D06CB0" w14:paraId="3B73978A" w14:textId="77777777" w:rsidTr="00EE2D88">
        <w:trPr>
          <w:trHeight w:val="618"/>
        </w:trPr>
        <w:tc>
          <w:tcPr>
            <w:tcW w:w="1985" w:type="dxa"/>
            <w:shd w:val="clear" w:color="auto" w:fill="auto"/>
            <w:vAlign w:val="center"/>
          </w:tcPr>
          <w:p w14:paraId="63683311" w14:textId="77777777" w:rsidR="003E76AB" w:rsidRPr="00D06CB0" w:rsidRDefault="003E76AB" w:rsidP="005C33EF">
            <w:pPr>
              <w:keepLines/>
              <w:ind w:left="30" w:right="113"/>
              <w:rPr>
                <w:b/>
                <w:bCs/>
                <w:sz w:val="20"/>
                <w:lang w:val="en-US"/>
              </w:rPr>
            </w:pPr>
            <w:r w:rsidRPr="00D06CB0">
              <w:rPr>
                <w:b/>
                <w:bCs/>
                <w:sz w:val="20"/>
                <w:lang w:val="en-US"/>
              </w:rPr>
              <w:lastRenderedPageBreak/>
              <w:t>Staff engagement (%)</w:t>
            </w:r>
          </w:p>
        </w:tc>
        <w:tc>
          <w:tcPr>
            <w:tcW w:w="992" w:type="dxa"/>
            <w:shd w:val="clear" w:color="auto" w:fill="auto"/>
            <w:vAlign w:val="center"/>
          </w:tcPr>
          <w:p w14:paraId="2F7BEED0" w14:textId="77777777" w:rsidR="003E76AB" w:rsidRPr="00D06CB0" w:rsidRDefault="003E76AB" w:rsidP="005C33EF">
            <w:pPr>
              <w:keepLines/>
              <w:ind w:left="5" w:right="113"/>
              <w:rPr>
                <w:rFonts w:eastAsia="DengXian"/>
                <w:sz w:val="20"/>
                <w:lang w:val="en-US"/>
              </w:rPr>
            </w:pPr>
            <w:r>
              <w:rPr>
                <w:rFonts w:eastAsia="DengXian"/>
                <w:sz w:val="20"/>
                <w:lang w:val="en-US"/>
              </w:rPr>
              <w:t>74</w:t>
            </w:r>
            <w:r w:rsidRPr="00D06CB0">
              <w:rPr>
                <w:rFonts w:eastAsia="DengXian"/>
                <w:sz w:val="20"/>
                <w:lang w:val="en-US"/>
              </w:rPr>
              <w:t>%</w:t>
            </w:r>
            <w:r>
              <w:rPr>
                <w:rStyle w:val="FootnoteReference"/>
                <w:rFonts w:eastAsia="DengXian"/>
                <w:sz w:val="20"/>
                <w:lang w:val="en-US"/>
              </w:rPr>
              <w:footnoteReference w:id="50"/>
            </w:r>
          </w:p>
        </w:tc>
        <w:tc>
          <w:tcPr>
            <w:tcW w:w="992" w:type="dxa"/>
            <w:shd w:val="clear" w:color="auto" w:fill="auto"/>
            <w:vAlign w:val="center"/>
          </w:tcPr>
          <w:p w14:paraId="40858105" w14:textId="77777777" w:rsidR="003E76AB" w:rsidRPr="00FB51B7" w:rsidRDefault="003E76AB" w:rsidP="005C33EF">
            <w:pPr>
              <w:keepLines/>
              <w:ind w:left="5" w:right="113"/>
              <w:rPr>
                <w:rFonts w:eastAsia="DengXian"/>
                <w:sz w:val="20"/>
                <w:lang w:val="en-US"/>
              </w:rPr>
            </w:pPr>
            <w:r w:rsidRPr="005A30DD">
              <w:rPr>
                <w:rFonts w:eastAsia="DengXian"/>
                <w:sz w:val="20"/>
                <w:lang w:val="en-US"/>
              </w:rPr>
              <w:t>76%</w:t>
            </w:r>
          </w:p>
        </w:tc>
        <w:tc>
          <w:tcPr>
            <w:tcW w:w="1276" w:type="dxa"/>
            <w:shd w:val="clear" w:color="auto" w:fill="auto"/>
            <w:vAlign w:val="center"/>
          </w:tcPr>
          <w:p w14:paraId="5CB38664" w14:textId="77777777" w:rsidR="003E76AB" w:rsidRPr="00FB51B7" w:rsidRDefault="003E76AB" w:rsidP="005C33EF">
            <w:pPr>
              <w:keepLines/>
              <w:ind w:left="5" w:right="113"/>
              <w:rPr>
                <w:rFonts w:eastAsia="DengXian"/>
                <w:sz w:val="20"/>
                <w:lang w:val="en-US"/>
              </w:rPr>
            </w:pPr>
            <w:r>
              <w:rPr>
                <w:rFonts w:eastAsia="DengXian"/>
                <w:sz w:val="20"/>
                <w:lang w:val="en-US"/>
              </w:rPr>
              <w:t>&gt;</w:t>
            </w:r>
            <w:r w:rsidRPr="00FB51B7">
              <w:rPr>
                <w:rFonts w:eastAsia="DengXian"/>
                <w:sz w:val="20"/>
                <w:lang w:val="en-US"/>
              </w:rPr>
              <w:t>78%</w:t>
            </w:r>
          </w:p>
        </w:tc>
        <w:tc>
          <w:tcPr>
            <w:tcW w:w="4111" w:type="dxa"/>
            <w:shd w:val="clear" w:color="auto" w:fill="auto"/>
          </w:tcPr>
          <w:p w14:paraId="6E37818B" w14:textId="77777777" w:rsidR="003E76AB" w:rsidRPr="009F0154" w:rsidRDefault="003E76AB" w:rsidP="005C33EF">
            <w:pPr>
              <w:pStyle w:val="CommentText"/>
              <w:keepLines/>
              <w:ind w:left="0" w:right="113"/>
            </w:pPr>
            <w:r>
              <w:t xml:space="preserve">This metric is sourced from the annual APS Census survey. This survey is </w:t>
            </w:r>
            <w:r w:rsidRPr="009F0154">
              <w:t>deployed in May/June each year.</w:t>
            </w:r>
          </w:p>
          <w:p w14:paraId="62719BD1" w14:textId="77777777" w:rsidR="003E76AB" w:rsidRPr="00312160" w:rsidRDefault="003E76AB" w:rsidP="005C33EF">
            <w:pPr>
              <w:pStyle w:val="CommentText"/>
              <w:keepLines/>
              <w:ind w:left="0" w:right="113"/>
              <w:rPr>
                <w:color w:val="FF0000"/>
              </w:rPr>
            </w:pPr>
            <w:r w:rsidRPr="009F0154">
              <w:t xml:space="preserve">The results of the June 2022 census indicate an increase in overall staff engagement from the previous year </w:t>
            </w:r>
            <w:r>
              <w:t xml:space="preserve">of </w:t>
            </w:r>
            <w:proofErr w:type="gramStart"/>
            <w:r>
              <w:t xml:space="preserve">2%, </w:t>
            </w:r>
            <w:r w:rsidRPr="009F0154">
              <w:t>and</w:t>
            </w:r>
            <w:proofErr w:type="gramEnd"/>
            <w:r w:rsidRPr="009F0154">
              <w:t xml:space="preserve"> </w:t>
            </w:r>
            <w:r>
              <w:t xml:space="preserve">is </w:t>
            </w:r>
            <w:r w:rsidRPr="009F0154">
              <w:t>3% higher than the APS average</w:t>
            </w:r>
            <w:r>
              <w:t xml:space="preserve">. This </w:t>
            </w:r>
            <w:r w:rsidRPr="009F0154">
              <w:t xml:space="preserve">result is </w:t>
            </w:r>
            <w:r>
              <w:t xml:space="preserve">slightly </w:t>
            </w:r>
            <w:r w:rsidRPr="009F0154">
              <w:t>below target.</w:t>
            </w:r>
          </w:p>
        </w:tc>
      </w:tr>
      <w:tr w:rsidR="003E76AB" w:rsidRPr="00D06CB0" w14:paraId="36BD0C0F" w14:textId="77777777" w:rsidTr="00EE2D88">
        <w:trPr>
          <w:trHeight w:val="618"/>
        </w:trPr>
        <w:tc>
          <w:tcPr>
            <w:tcW w:w="1985" w:type="dxa"/>
            <w:shd w:val="clear" w:color="auto" w:fill="auto"/>
            <w:vAlign w:val="center"/>
          </w:tcPr>
          <w:p w14:paraId="5C895136" w14:textId="77777777" w:rsidR="003E76AB" w:rsidRPr="00D06CB0" w:rsidRDefault="003E76AB" w:rsidP="005C33EF">
            <w:pPr>
              <w:keepLines/>
              <w:ind w:left="30" w:right="113"/>
              <w:rPr>
                <w:b/>
                <w:bCs/>
                <w:sz w:val="20"/>
                <w:lang w:val="en-US"/>
              </w:rPr>
            </w:pPr>
            <w:r>
              <w:rPr>
                <w:b/>
                <w:bCs/>
                <w:sz w:val="20"/>
                <w:lang w:val="en-US"/>
              </w:rPr>
              <w:t>Staff wellbeing (%)</w:t>
            </w:r>
          </w:p>
        </w:tc>
        <w:tc>
          <w:tcPr>
            <w:tcW w:w="992" w:type="dxa"/>
            <w:shd w:val="clear" w:color="auto" w:fill="auto"/>
            <w:vAlign w:val="center"/>
          </w:tcPr>
          <w:p w14:paraId="1AFD7AC8" w14:textId="77777777" w:rsidR="003E76AB" w:rsidRDefault="003E76AB" w:rsidP="005C33EF">
            <w:pPr>
              <w:keepLines/>
              <w:ind w:left="5" w:right="113"/>
              <w:rPr>
                <w:rFonts w:eastAsia="DengXian"/>
                <w:sz w:val="20"/>
                <w:lang w:val="en-US"/>
              </w:rPr>
            </w:pPr>
            <w:r>
              <w:rPr>
                <w:rFonts w:eastAsia="DengXian"/>
                <w:sz w:val="20"/>
                <w:lang w:val="en-US"/>
              </w:rPr>
              <w:t>66</w:t>
            </w:r>
            <w:r w:rsidRPr="00FB51B7">
              <w:rPr>
                <w:rFonts w:eastAsia="DengXian"/>
                <w:sz w:val="20"/>
                <w:lang w:val="en-US"/>
              </w:rPr>
              <w:t>%</w:t>
            </w:r>
            <w:r>
              <w:rPr>
                <w:rStyle w:val="FootnoteReference"/>
                <w:rFonts w:eastAsia="DengXian"/>
                <w:sz w:val="20"/>
                <w:lang w:val="en-US"/>
              </w:rPr>
              <w:footnoteReference w:id="51"/>
            </w:r>
          </w:p>
        </w:tc>
        <w:tc>
          <w:tcPr>
            <w:tcW w:w="992" w:type="dxa"/>
            <w:shd w:val="clear" w:color="auto" w:fill="auto"/>
            <w:vAlign w:val="center"/>
          </w:tcPr>
          <w:p w14:paraId="095C0F4B" w14:textId="77777777" w:rsidR="003E76AB" w:rsidRPr="00FB51B7" w:rsidRDefault="003E76AB" w:rsidP="005C33EF">
            <w:pPr>
              <w:keepLines/>
              <w:ind w:left="5" w:right="113"/>
              <w:rPr>
                <w:rFonts w:eastAsia="DengXian"/>
                <w:sz w:val="20"/>
                <w:lang w:val="en-US"/>
              </w:rPr>
            </w:pPr>
            <w:r w:rsidRPr="005A30DD">
              <w:rPr>
                <w:rFonts w:eastAsia="DengXian"/>
                <w:sz w:val="20"/>
                <w:lang w:val="en-US"/>
              </w:rPr>
              <w:t>71%</w:t>
            </w:r>
          </w:p>
        </w:tc>
        <w:tc>
          <w:tcPr>
            <w:tcW w:w="1276" w:type="dxa"/>
            <w:shd w:val="clear" w:color="auto" w:fill="auto"/>
            <w:vAlign w:val="center"/>
          </w:tcPr>
          <w:p w14:paraId="2BC37269" w14:textId="77777777" w:rsidR="003E76AB" w:rsidRPr="00FB51B7" w:rsidRDefault="003E76AB" w:rsidP="005C33EF">
            <w:pPr>
              <w:keepLines/>
              <w:ind w:left="5" w:right="113"/>
              <w:rPr>
                <w:rFonts w:eastAsia="DengXian"/>
                <w:sz w:val="20"/>
                <w:lang w:val="en-US"/>
              </w:rPr>
            </w:pPr>
            <w:r w:rsidRPr="00FB51B7">
              <w:rPr>
                <w:rFonts w:eastAsia="DengXian"/>
                <w:sz w:val="20"/>
                <w:lang w:val="en-US"/>
              </w:rPr>
              <w:t>70%</w:t>
            </w:r>
          </w:p>
        </w:tc>
        <w:tc>
          <w:tcPr>
            <w:tcW w:w="4111" w:type="dxa"/>
            <w:shd w:val="clear" w:color="auto" w:fill="auto"/>
          </w:tcPr>
          <w:p w14:paraId="0408E889" w14:textId="77777777" w:rsidR="003E76AB" w:rsidRPr="00B74FFD" w:rsidRDefault="003E76AB" w:rsidP="005C33EF">
            <w:pPr>
              <w:ind w:left="0"/>
              <w:rPr>
                <w:sz w:val="20"/>
                <w:szCs w:val="20"/>
              </w:rPr>
            </w:pPr>
            <w:r w:rsidRPr="001174B7">
              <w:rPr>
                <w:color w:val="000000" w:themeColor="text1"/>
                <w:sz w:val="20"/>
                <w:szCs w:val="20"/>
              </w:rPr>
              <w:t>The measure’s result is sourced from the annual APS Census survey.</w:t>
            </w:r>
            <w:r>
              <w:rPr>
                <w:color w:val="000000" w:themeColor="text1"/>
                <w:sz w:val="20"/>
                <w:szCs w:val="20"/>
              </w:rPr>
              <w:t xml:space="preserve"> </w:t>
            </w:r>
          </w:p>
          <w:p w14:paraId="64CD80B2" w14:textId="770700F1" w:rsidR="003E76AB" w:rsidRPr="00B74FFD" w:rsidRDefault="003E76AB" w:rsidP="005C33EF">
            <w:pPr>
              <w:pStyle w:val="CommentText"/>
              <w:keepLines/>
              <w:ind w:left="0" w:right="113"/>
            </w:pPr>
            <w:r w:rsidRPr="00B74FFD">
              <w:t>The result of the June 2022 census indicate</w:t>
            </w:r>
            <w:r w:rsidR="00FA7E3B">
              <w:t>s</w:t>
            </w:r>
            <w:r w:rsidRPr="00B74FFD">
              <w:t xml:space="preserve"> an increase in overall staff wellbeing from the previous year and </w:t>
            </w:r>
            <w:r w:rsidR="00920031">
              <w:t xml:space="preserve">is </w:t>
            </w:r>
            <w:r w:rsidRPr="00B74FFD">
              <w:t>3% higher than the APS average. This result is above target.</w:t>
            </w:r>
          </w:p>
          <w:p w14:paraId="3ACF1DF5" w14:textId="77777777" w:rsidR="003E76AB" w:rsidRPr="00D22F0D" w:rsidRDefault="003E76AB" w:rsidP="005C33EF">
            <w:pPr>
              <w:ind w:left="0"/>
              <w:rPr>
                <w:color w:val="FF0000"/>
                <w:sz w:val="20"/>
                <w:szCs w:val="20"/>
              </w:rPr>
            </w:pPr>
            <w:r w:rsidRPr="00B74FFD">
              <w:rPr>
                <w:sz w:val="20"/>
                <w:szCs w:val="20"/>
              </w:rPr>
              <w:t>Agency staff have had to adapt to working flexibly during the COVID-19 pandemic.</w:t>
            </w:r>
          </w:p>
        </w:tc>
      </w:tr>
      <w:tr w:rsidR="003E76AB" w:rsidRPr="00D06CB0" w14:paraId="0A191A79" w14:textId="77777777" w:rsidTr="00EE2D88">
        <w:trPr>
          <w:trHeight w:val="618"/>
        </w:trPr>
        <w:tc>
          <w:tcPr>
            <w:tcW w:w="1985" w:type="dxa"/>
            <w:shd w:val="clear" w:color="auto" w:fill="auto"/>
            <w:vAlign w:val="center"/>
          </w:tcPr>
          <w:p w14:paraId="0D845CF1" w14:textId="77777777" w:rsidR="003E76AB" w:rsidRPr="00D06CB0" w:rsidRDefault="003E76AB" w:rsidP="005C33EF">
            <w:pPr>
              <w:keepLines/>
              <w:ind w:left="30" w:right="113"/>
              <w:rPr>
                <w:b/>
                <w:bCs/>
                <w:sz w:val="20"/>
                <w:lang w:val="en-US"/>
              </w:rPr>
            </w:pPr>
            <w:r w:rsidRPr="00D06CB0">
              <w:rPr>
                <w:b/>
                <w:bCs/>
                <w:sz w:val="20"/>
                <w:lang w:val="en-US"/>
              </w:rPr>
              <w:t>Staff with disability (%)</w:t>
            </w:r>
          </w:p>
        </w:tc>
        <w:tc>
          <w:tcPr>
            <w:tcW w:w="992" w:type="dxa"/>
            <w:shd w:val="clear" w:color="auto" w:fill="auto"/>
            <w:vAlign w:val="center"/>
          </w:tcPr>
          <w:p w14:paraId="29EE3396" w14:textId="77777777" w:rsidR="003E76AB" w:rsidRPr="009F5207" w:rsidRDefault="003E76AB" w:rsidP="005C33EF">
            <w:pPr>
              <w:keepLines/>
              <w:ind w:left="5" w:right="113"/>
              <w:rPr>
                <w:rFonts w:eastAsia="DengXian"/>
                <w:sz w:val="20"/>
                <w:lang w:val="en-US"/>
              </w:rPr>
            </w:pPr>
            <w:r>
              <w:rPr>
                <w:rFonts w:eastAsia="DengXian"/>
                <w:sz w:val="20"/>
                <w:lang w:val="en-US"/>
              </w:rPr>
              <w:t>17</w:t>
            </w:r>
            <w:r w:rsidRPr="009F5207">
              <w:rPr>
                <w:rFonts w:eastAsia="DengXian"/>
                <w:sz w:val="20"/>
                <w:lang w:val="en-US"/>
              </w:rPr>
              <w:t>%</w:t>
            </w:r>
          </w:p>
        </w:tc>
        <w:tc>
          <w:tcPr>
            <w:tcW w:w="992" w:type="dxa"/>
            <w:shd w:val="clear" w:color="auto" w:fill="auto"/>
            <w:vAlign w:val="center"/>
          </w:tcPr>
          <w:p w14:paraId="323DD783" w14:textId="77777777" w:rsidR="003E76AB" w:rsidRPr="009F5207" w:rsidRDefault="003E76AB" w:rsidP="005C33EF">
            <w:pPr>
              <w:keepLines/>
              <w:ind w:left="5" w:right="113"/>
              <w:rPr>
                <w:rFonts w:eastAsia="DengXian"/>
                <w:sz w:val="20"/>
                <w:lang w:val="en-US"/>
              </w:rPr>
            </w:pPr>
            <w:r w:rsidRPr="00892F3B">
              <w:rPr>
                <w:rFonts w:eastAsia="DengXian"/>
                <w:sz w:val="20"/>
                <w:lang w:val="en-US"/>
              </w:rPr>
              <w:t>18%</w:t>
            </w:r>
          </w:p>
        </w:tc>
        <w:tc>
          <w:tcPr>
            <w:tcW w:w="1276" w:type="dxa"/>
            <w:shd w:val="clear" w:color="auto" w:fill="auto"/>
            <w:vAlign w:val="center"/>
          </w:tcPr>
          <w:p w14:paraId="09818426" w14:textId="77777777" w:rsidR="003E76AB" w:rsidRPr="009F5207" w:rsidRDefault="003E76AB" w:rsidP="005C33EF">
            <w:pPr>
              <w:keepLines/>
              <w:ind w:left="5" w:right="113"/>
              <w:rPr>
                <w:rFonts w:eastAsia="DengXian"/>
                <w:sz w:val="20"/>
                <w:lang w:val="en-US"/>
              </w:rPr>
            </w:pPr>
            <w:r w:rsidRPr="009F5207">
              <w:rPr>
                <w:rFonts w:eastAsia="DengXian"/>
                <w:sz w:val="20"/>
                <w:lang w:val="en-US"/>
              </w:rPr>
              <w:t>17%</w:t>
            </w:r>
          </w:p>
        </w:tc>
        <w:tc>
          <w:tcPr>
            <w:tcW w:w="4111" w:type="dxa"/>
            <w:shd w:val="clear" w:color="auto" w:fill="auto"/>
          </w:tcPr>
          <w:p w14:paraId="48B76B30" w14:textId="7797B8D9" w:rsidR="003E76AB" w:rsidRDefault="003E76AB" w:rsidP="005C33EF">
            <w:pPr>
              <w:ind w:left="0"/>
              <w:rPr>
                <w:color w:val="000000" w:themeColor="text1"/>
                <w:sz w:val="20"/>
                <w:szCs w:val="20"/>
              </w:rPr>
            </w:pPr>
            <w:r w:rsidRPr="001174B7">
              <w:rPr>
                <w:color w:val="000000" w:themeColor="text1"/>
                <w:sz w:val="20"/>
                <w:szCs w:val="20"/>
              </w:rPr>
              <w:t>The measure’s result is sourced from the annual APS Census survey</w:t>
            </w:r>
            <w:r>
              <w:rPr>
                <w:color w:val="000000" w:themeColor="text1"/>
                <w:sz w:val="20"/>
                <w:szCs w:val="20"/>
              </w:rPr>
              <w:t xml:space="preserve"> and is for Australian </w:t>
            </w:r>
            <w:r w:rsidR="007121A6">
              <w:rPr>
                <w:color w:val="000000" w:themeColor="text1"/>
                <w:sz w:val="20"/>
                <w:szCs w:val="20"/>
              </w:rPr>
              <w:t>p</w:t>
            </w:r>
            <w:r>
              <w:rPr>
                <w:color w:val="000000" w:themeColor="text1"/>
                <w:sz w:val="20"/>
                <w:szCs w:val="20"/>
              </w:rPr>
              <w:t xml:space="preserve">ublic </w:t>
            </w:r>
            <w:r w:rsidR="007121A6">
              <w:rPr>
                <w:color w:val="000000" w:themeColor="text1"/>
                <w:sz w:val="20"/>
                <w:szCs w:val="20"/>
              </w:rPr>
              <w:t>s</w:t>
            </w:r>
            <w:r>
              <w:rPr>
                <w:color w:val="000000" w:themeColor="text1"/>
                <w:sz w:val="20"/>
                <w:szCs w:val="20"/>
              </w:rPr>
              <w:t xml:space="preserve">ervants and </w:t>
            </w:r>
            <w:r w:rsidR="007121A6">
              <w:rPr>
                <w:color w:val="000000" w:themeColor="text1"/>
                <w:sz w:val="20"/>
                <w:szCs w:val="20"/>
              </w:rPr>
              <w:t>l</w:t>
            </w:r>
            <w:r>
              <w:rPr>
                <w:color w:val="000000" w:themeColor="text1"/>
                <w:sz w:val="20"/>
                <w:szCs w:val="20"/>
              </w:rPr>
              <w:t xml:space="preserve">abour </w:t>
            </w:r>
            <w:r w:rsidR="007121A6">
              <w:rPr>
                <w:color w:val="000000" w:themeColor="text1"/>
                <w:sz w:val="20"/>
                <w:szCs w:val="20"/>
              </w:rPr>
              <w:t>h</w:t>
            </w:r>
            <w:r>
              <w:rPr>
                <w:color w:val="000000" w:themeColor="text1"/>
                <w:sz w:val="20"/>
                <w:szCs w:val="20"/>
              </w:rPr>
              <w:t xml:space="preserve">ire </w:t>
            </w:r>
            <w:r w:rsidR="007121A6">
              <w:rPr>
                <w:color w:val="000000" w:themeColor="text1"/>
                <w:sz w:val="20"/>
                <w:szCs w:val="20"/>
              </w:rPr>
              <w:t>c</w:t>
            </w:r>
            <w:r>
              <w:rPr>
                <w:color w:val="000000" w:themeColor="text1"/>
                <w:sz w:val="20"/>
                <w:szCs w:val="20"/>
              </w:rPr>
              <w:t>ontractors</w:t>
            </w:r>
            <w:r w:rsidRPr="001174B7">
              <w:rPr>
                <w:color w:val="000000" w:themeColor="text1"/>
                <w:sz w:val="20"/>
                <w:szCs w:val="20"/>
              </w:rPr>
              <w:t>.</w:t>
            </w:r>
            <w:r>
              <w:rPr>
                <w:color w:val="000000" w:themeColor="text1"/>
                <w:sz w:val="20"/>
                <w:szCs w:val="20"/>
              </w:rPr>
              <w:t xml:space="preserve"> </w:t>
            </w:r>
            <w:r w:rsidRPr="00C2067A">
              <w:rPr>
                <w:color w:val="000000" w:themeColor="text1"/>
                <w:sz w:val="20"/>
                <w:szCs w:val="20"/>
              </w:rPr>
              <w:t xml:space="preserve">Being a leader in the employment of people with disability is important to the NDIA. </w:t>
            </w:r>
          </w:p>
          <w:p w14:paraId="3F97F1EB" w14:textId="77777777" w:rsidR="003E76AB" w:rsidRPr="009F5207" w:rsidRDefault="003E76AB" w:rsidP="005C33EF">
            <w:pPr>
              <w:pStyle w:val="CommentText"/>
              <w:keepLines/>
              <w:ind w:left="0" w:right="113"/>
            </w:pPr>
            <w:r w:rsidRPr="0056323A">
              <w:rPr>
                <w:color w:val="000000" w:themeColor="text1"/>
              </w:rPr>
              <w:t>This</w:t>
            </w:r>
            <w:r w:rsidRPr="009F5207">
              <w:t xml:space="preserve"> result is above target</w:t>
            </w:r>
            <w:r>
              <w:t xml:space="preserve"> </w:t>
            </w:r>
            <w:r w:rsidRPr="0056323A">
              <w:rPr>
                <w:color w:val="000000" w:themeColor="text1"/>
              </w:rPr>
              <w:t>and an increase of 1% from last year</w:t>
            </w:r>
            <w:r>
              <w:rPr>
                <w:color w:val="000000" w:themeColor="text1"/>
              </w:rPr>
              <w:t xml:space="preserve">. Further, it is </w:t>
            </w:r>
            <w:r w:rsidRPr="0056323A">
              <w:rPr>
                <w:color w:val="000000" w:themeColor="text1"/>
              </w:rPr>
              <w:t>8% higher than the APS average</w:t>
            </w:r>
            <w:r>
              <w:rPr>
                <w:color w:val="000000" w:themeColor="text1"/>
              </w:rPr>
              <w:t>.</w:t>
            </w:r>
          </w:p>
          <w:p w14:paraId="4328AA46" w14:textId="77777777" w:rsidR="003E76AB" w:rsidRPr="00D06CB0" w:rsidRDefault="003E76AB" w:rsidP="005C33EF">
            <w:pPr>
              <w:keepLines/>
              <w:ind w:left="0" w:right="113"/>
              <w:rPr>
                <w:rFonts w:eastAsia="DengXian"/>
                <w:sz w:val="20"/>
                <w:lang w:val="en-US"/>
              </w:rPr>
            </w:pPr>
            <w:r w:rsidRPr="009F5207">
              <w:rPr>
                <w:sz w:val="20"/>
                <w:szCs w:val="20"/>
              </w:rPr>
              <w:t>The Agency continues to deliver activities that place it as an exemplar within the APS.</w:t>
            </w:r>
          </w:p>
        </w:tc>
      </w:tr>
      <w:tr w:rsidR="003E76AB" w:rsidRPr="00D06CB0" w14:paraId="1BD95359" w14:textId="77777777" w:rsidTr="00EE2D88">
        <w:trPr>
          <w:trHeight w:val="618"/>
        </w:trPr>
        <w:tc>
          <w:tcPr>
            <w:tcW w:w="1985" w:type="dxa"/>
            <w:shd w:val="clear" w:color="auto" w:fill="auto"/>
            <w:vAlign w:val="center"/>
          </w:tcPr>
          <w:p w14:paraId="00193BAC" w14:textId="129B5A0A" w:rsidR="003E76AB" w:rsidRPr="00D06CB0" w:rsidRDefault="003E76AB" w:rsidP="005C33EF">
            <w:pPr>
              <w:keepLines/>
              <w:ind w:left="30" w:right="113"/>
              <w:rPr>
                <w:b/>
                <w:bCs/>
                <w:sz w:val="20"/>
                <w:lang w:val="en-US"/>
              </w:rPr>
            </w:pPr>
            <w:r w:rsidRPr="00D06CB0">
              <w:rPr>
                <w:b/>
                <w:bCs/>
                <w:sz w:val="20"/>
                <w:lang w:val="en-US"/>
              </w:rPr>
              <w:t xml:space="preserve">Senior Executive Service </w:t>
            </w:r>
            <w:proofErr w:type="gramStart"/>
            <w:r w:rsidRPr="00D06CB0">
              <w:rPr>
                <w:b/>
                <w:bCs/>
                <w:sz w:val="20"/>
                <w:lang w:val="en-US"/>
              </w:rPr>
              <w:t>Staff  with</w:t>
            </w:r>
            <w:proofErr w:type="gramEnd"/>
            <w:r w:rsidRPr="00D06CB0">
              <w:rPr>
                <w:b/>
                <w:bCs/>
                <w:sz w:val="20"/>
                <w:lang w:val="en-US"/>
              </w:rPr>
              <w:t xml:space="preserve"> disability (%)</w:t>
            </w:r>
          </w:p>
        </w:tc>
        <w:tc>
          <w:tcPr>
            <w:tcW w:w="992" w:type="dxa"/>
            <w:shd w:val="clear" w:color="auto" w:fill="auto"/>
            <w:vAlign w:val="center"/>
          </w:tcPr>
          <w:p w14:paraId="6312F34C" w14:textId="77777777" w:rsidR="003E76AB" w:rsidRPr="009F5207" w:rsidRDefault="003E76AB" w:rsidP="005C33EF">
            <w:pPr>
              <w:keepLines/>
              <w:ind w:left="5" w:right="113"/>
              <w:rPr>
                <w:rFonts w:eastAsia="DengXian"/>
                <w:sz w:val="20"/>
                <w:lang w:val="en-US"/>
              </w:rPr>
            </w:pPr>
            <w:r w:rsidRPr="009F5207">
              <w:rPr>
                <w:rFonts w:eastAsia="DengXian"/>
                <w:sz w:val="20"/>
                <w:lang w:val="en-US"/>
              </w:rPr>
              <w:t>12%</w:t>
            </w:r>
          </w:p>
        </w:tc>
        <w:tc>
          <w:tcPr>
            <w:tcW w:w="992" w:type="dxa"/>
            <w:shd w:val="clear" w:color="auto" w:fill="auto"/>
            <w:vAlign w:val="center"/>
          </w:tcPr>
          <w:p w14:paraId="690CA531" w14:textId="77777777" w:rsidR="003E76AB" w:rsidRPr="009F5207" w:rsidRDefault="003E76AB" w:rsidP="005C33EF">
            <w:pPr>
              <w:keepLines/>
              <w:ind w:left="0" w:right="113"/>
              <w:rPr>
                <w:rFonts w:eastAsia="DengXian"/>
                <w:sz w:val="20"/>
                <w:lang w:val="en-US"/>
              </w:rPr>
            </w:pPr>
            <w:r w:rsidRPr="00892F3B">
              <w:rPr>
                <w:rFonts w:eastAsia="DengXian"/>
                <w:sz w:val="20"/>
                <w:lang w:val="en-US"/>
              </w:rPr>
              <w:t>9%</w:t>
            </w:r>
          </w:p>
        </w:tc>
        <w:tc>
          <w:tcPr>
            <w:tcW w:w="1276" w:type="dxa"/>
            <w:shd w:val="clear" w:color="auto" w:fill="auto"/>
            <w:vAlign w:val="center"/>
          </w:tcPr>
          <w:p w14:paraId="252A3693" w14:textId="77777777" w:rsidR="003E76AB" w:rsidRPr="00312160" w:rsidRDefault="003E76AB" w:rsidP="005C33EF">
            <w:pPr>
              <w:keepLines/>
              <w:ind w:left="5" w:right="113"/>
              <w:rPr>
                <w:rFonts w:eastAsia="DengXian"/>
                <w:sz w:val="20"/>
                <w:lang w:val="en-US"/>
              </w:rPr>
            </w:pPr>
            <w:r w:rsidRPr="00312160">
              <w:rPr>
                <w:rFonts w:eastAsia="DengXian"/>
                <w:sz w:val="20"/>
                <w:lang w:val="en-US"/>
              </w:rPr>
              <w:t>11%</w:t>
            </w:r>
          </w:p>
        </w:tc>
        <w:tc>
          <w:tcPr>
            <w:tcW w:w="4111" w:type="dxa"/>
            <w:shd w:val="clear" w:color="auto" w:fill="auto"/>
          </w:tcPr>
          <w:p w14:paraId="5F7C5CD9" w14:textId="77777777" w:rsidR="003E76AB" w:rsidRPr="009F5207" w:rsidRDefault="003E76AB" w:rsidP="005C33EF">
            <w:pPr>
              <w:ind w:left="0"/>
              <w:rPr>
                <w:sz w:val="20"/>
                <w:szCs w:val="20"/>
              </w:rPr>
            </w:pPr>
            <w:r w:rsidRPr="001174B7">
              <w:rPr>
                <w:color w:val="000000" w:themeColor="text1"/>
                <w:sz w:val="20"/>
                <w:szCs w:val="20"/>
              </w:rPr>
              <w:t xml:space="preserve">This metric is calculated annually and is sourced from the annual APS Census survey. </w:t>
            </w:r>
          </w:p>
          <w:p w14:paraId="4102DA8E" w14:textId="6CD9F930" w:rsidR="003E76AB" w:rsidRPr="005A324B" w:rsidRDefault="003E76AB" w:rsidP="005C33EF">
            <w:pPr>
              <w:pStyle w:val="CommentText"/>
              <w:keepLines/>
              <w:ind w:left="0" w:right="113"/>
            </w:pPr>
            <w:r w:rsidRPr="005A324B">
              <w:t>The result is below target</w:t>
            </w:r>
            <w:r w:rsidR="006964E0">
              <w:t>;</w:t>
            </w:r>
            <w:r w:rsidRPr="005A324B">
              <w:t xml:space="preserve"> however</w:t>
            </w:r>
            <w:r w:rsidR="006964E0">
              <w:t>,</w:t>
            </w:r>
            <w:r w:rsidRPr="005A324B">
              <w:t xml:space="preserve"> this is 3 percentage points higher than the APS average. </w:t>
            </w:r>
          </w:p>
          <w:p w14:paraId="25875EBE" w14:textId="77777777" w:rsidR="003E76AB" w:rsidRPr="009F5207" w:rsidRDefault="003E76AB" w:rsidP="005C33EF">
            <w:pPr>
              <w:ind w:left="0"/>
              <w:rPr>
                <w:lang w:val="en-US"/>
              </w:rPr>
            </w:pPr>
            <w:r>
              <w:rPr>
                <w:sz w:val="20"/>
                <w:szCs w:val="20"/>
              </w:rPr>
              <w:lastRenderedPageBreak/>
              <w:t xml:space="preserve">Given this is a small population, small movements can have a significant impact on this result.  </w:t>
            </w:r>
            <w:r w:rsidRPr="009F5207">
              <w:rPr>
                <w:sz w:val="20"/>
                <w:szCs w:val="20"/>
              </w:rPr>
              <w:t xml:space="preserve">   </w:t>
            </w:r>
          </w:p>
          <w:p w14:paraId="554A5ABE" w14:textId="77777777" w:rsidR="003E76AB" w:rsidRPr="009F5207" w:rsidRDefault="003E76AB" w:rsidP="005C33EF">
            <w:pPr>
              <w:ind w:left="0"/>
              <w:rPr>
                <w:sz w:val="20"/>
                <w:szCs w:val="20"/>
              </w:rPr>
            </w:pPr>
            <w:r w:rsidRPr="009F5207">
              <w:rPr>
                <w:sz w:val="20"/>
                <w:szCs w:val="20"/>
              </w:rPr>
              <w:t>The Agency is committed to being an exemplar within the APS.</w:t>
            </w:r>
          </w:p>
          <w:p w14:paraId="2087FBF3" w14:textId="18A9F6B5" w:rsidR="003E76AB" w:rsidRPr="00D06CB0" w:rsidRDefault="003E76AB" w:rsidP="005C33EF">
            <w:pPr>
              <w:keepLines/>
              <w:ind w:left="0" w:right="113"/>
              <w:rPr>
                <w:rFonts w:eastAsia="DengXian"/>
                <w:sz w:val="20"/>
                <w:lang w:val="en-US"/>
              </w:rPr>
            </w:pPr>
            <w:r w:rsidRPr="001E7CD6">
              <w:rPr>
                <w:sz w:val="20"/>
                <w:szCs w:val="20"/>
              </w:rPr>
              <w:t>The Agency has maintained its affirmative measures, review of retention rates, and manager support. The Agency acknowledges that it can still do better.</w:t>
            </w:r>
          </w:p>
        </w:tc>
      </w:tr>
      <w:tr w:rsidR="003E76AB" w:rsidRPr="00D06CB0" w14:paraId="00E522FF" w14:textId="77777777" w:rsidTr="00EE2D88">
        <w:trPr>
          <w:trHeight w:val="618"/>
        </w:trPr>
        <w:tc>
          <w:tcPr>
            <w:tcW w:w="1985" w:type="dxa"/>
            <w:shd w:val="clear" w:color="auto" w:fill="auto"/>
            <w:vAlign w:val="center"/>
          </w:tcPr>
          <w:p w14:paraId="7B5F4E67" w14:textId="4B6A4B3B" w:rsidR="003E76AB" w:rsidRPr="00D06CB0" w:rsidRDefault="003E76AB" w:rsidP="005C33EF">
            <w:pPr>
              <w:keepLines/>
              <w:ind w:left="30" w:right="113"/>
              <w:rPr>
                <w:b/>
                <w:bCs/>
                <w:sz w:val="20"/>
                <w:lang w:val="en-US"/>
              </w:rPr>
            </w:pPr>
            <w:r w:rsidRPr="00D06CB0">
              <w:rPr>
                <w:b/>
                <w:bCs/>
                <w:sz w:val="20"/>
                <w:lang w:val="en-US"/>
              </w:rPr>
              <w:lastRenderedPageBreak/>
              <w:t>Female representation in the Senior Executive Service (%)</w:t>
            </w:r>
          </w:p>
        </w:tc>
        <w:tc>
          <w:tcPr>
            <w:tcW w:w="992" w:type="dxa"/>
            <w:shd w:val="clear" w:color="auto" w:fill="auto"/>
            <w:vAlign w:val="center"/>
          </w:tcPr>
          <w:p w14:paraId="124FB3CA" w14:textId="77777777" w:rsidR="003E76AB" w:rsidRPr="00D06CB0" w:rsidRDefault="003E76AB" w:rsidP="005C33EF">
            <w:pPr>
              <w:keepLines/>
              <w:ind w:left="5" w:right="113"/>
              <w:rPr>
                <w:rFonts w:eastAsia="DengXian"/>
                <w:sz w:val="20"/>
                <w:lang w:val="en-US"/>
              </w:rPr>
            </w:pPr>
            <w:r w:rsidRPr="007E66B2">
              <w:rPr>
                <w:rFonts w:eastAsia="DengXian"/>
                <w:sz w:val="20"/>
                <w:lang w:val="en-US"/>
              </w:rPr>
              <w:t>5</w:t>
            </w:r>
            <w:r>
              <w:rPr>
                <w:rFonts w:eastAsia="DengXian"/>
                <w:sz w:val="20"/>
                <w:lang w:val="en-US"/>
              </w:rPr>
              <w:t>6</w:t>
            </w:r>
            <w:r w:rsidRPr="00312160">
              <w:rPr>
                <w:rFonts w:eastAsia="DengXian"/>
                <w:sz w:val="20"/>
                <w:lang w:val="en-US"/>
              </w:rPr>
              <w:t>%</w:t>
            </w:r>
          </w:p>
        </w:tc>
        <w:tc>
          <w:tcPr>
            <w:tcW w:w="992" w:type="dxa"/>
            <w:shd w:val="clear" w:color="auto" w:fill="auto"/>
            <w:vAlign w:val="center"/>
          </w:tcPr>
          <w:p w14:paraId="16B1154A" w14:textId="77777777" w:rsidR="003E76AB" w:rsidRPr="00312160" w:rsidRDefault="003E76AB" w:rsidP="005C33EF">
            <w:pPr>
              <w:keepLines/>
              <w:ind w:left="5" w:right="113"/>
              <w:rPr>
                <w:rFonts w:eastAsia="DengXian"/>
                <w:sz w:val="20"/>
                <w:lang w:val="en-US"/>
              </w:rPr>
            </w:pPr>
            <w:r w:rsidRPr="00892F3B">
              <w:rPr>
                <w:rFonts w:eastAsia="DengXian"/>
                <w:sz w:val="20"/>
                <w:lang w:val="en-US"/>
              </w:rPr>
              <w:t>58%</w:t>
            </w:r>
          </w:p>
        </w:tc>
        <w:tc>
          <w:tcPr>
            <w:tcW w:w="1276" w:type="dxa"/>
            <w:shd w:val="clear" w:color="auto" w:fill="auto"/>
            <w:vAlign w:val="center"/>
          </w:tcPr>
          <w:p w14:paraId="228A879C" w14:textId="77777777" w:rsidR="003E76AB" w:rsidRPr="00312160" w:rsidRDefault="003E76AB" w:rsidP="005C33EF">
            <w:pPr>
              <w:keepLines/>
              <w:ind w:left="5" w:right="113"/>
              <w:rPr>
                <w:rFonts w:eastAsia="DengXian"/>
                <w:sz w:val="20"/>
                <w:lang w:val="en-US"/>
              </w:rPr>
            </w:pPr>
            <w:r w:rsidRPr="00312160">
              <w:rPr>
                <w:rFonts w:eastAsia="DengXian"/>
                <w:sz w:val="20"/>
                <w:lang w:val="en-US"/>
              </w:rPr>
              <w:t>50%</w:t>
            </w:r>
          </w:p>
        </w:tc>
        <w:tc>
          <w:tcPr>
            <w:tcW w:w="4111" w:type="dxa"/>
            <w:shd w:val="clear" w:color="auto" w:fill="auto"/>
          </w:tcPr>
          <w:p w14:paraId="37812957" w14:textId="47D4F4BB" w:rsidR="003E76AB" w:rsidRPr="001E7CD6" w:rsidRDefault="003E76AB" w:rsidP="005C33EF">
            <w:pPr>
              <w:ind w:left="0"/>
            </w:pPr>
            <w:r w:rsidRPr="001174B7">
              <w:rPr>
                <w:rFonts w:eastAsiaTheme="minorHAnsi"/>
                <w:color w:val="000000" w:themeColor="text1"/>
                <w:sz w:val="20"/>
                <w:szCs w:val="20"/>
              </w:rPr>
              <w:t>This performance measure is calculated as the number of female</w:t>
            </w:r>
            <w:r w:rsidR="00BF00DE">
              <w:rPr>
                <w:rFonts w:eastAsiaTheme="minorHAnsi"/>
                <w:color w:val="000000" w:themeColor="text1"/>
                <w:sz w:val="20"/>
                <w:szCs w:val="20"/>
              </w:rPr>
              <w:t xml:space="preserve"> staff</w:t>
            </w:r>
            <w:r w:rsidRPr="001174B7">
              <w:rPr>
                <w:rFonts w:eastAsiaTheme="minorHAnsi"/>
                <w:color w:val="000000" w:themeColor="text1"/>
                <w:sz w:val="20"/>
                <w:szCs w:val="20"/>
              </w:rPr>
              <w:t xml:space="preserve"> in active SES positions (acting and permanent) divided by the total number of </w:t>
            </w:r>
            <w:r w:rsidRPr="001E7CD6">
              <w:rPr>
                <w:rFonts w:eastAsiaTheme="minorHAnsi"/>
                <w:sz w:val="20"/>
                <w:szCs w:val="20"/>
              </w:rPr>
              <w:t>active SES positions.</w:t>
            </w:r>
            <w:r w:rsidRPr="001E7CD6">
              <w:t xml:space="preserve"> </w:t>
            </w:r>
          </w:p>
          <w:p w14:paraId="711BB4E3" w14:textId="4FBD8772" w:rsidR="003E76AB" w:rsidRPr="001E7CD6" w:rsidRDefault="003E76AB" w:rsidP="005C33EF">
            <w:pPr>
              <w:ind w:left="0"/>
              <w:rPr>
                <w:sz w:val="20"/>
                <w:szCs w:val="20"/>
              </w:rPr>
            </w:pPr>
            <w:r w:rsidRPr="001E7CD6">
              <w:rPr>
                <w:sz w:val="20"/>
                <w:szCs w:val="20"/>
              </w:rPr>
              <w:t xml:space="preserve">The </w:t>
            </w:r>
            <w:r>
              <w:rPr>
                <w:sz w:val="20"/>
                <w:szCs w:val="20"/>
              </w:rPr>
              <w:t>result is above target</w:t>
            </w:r>
            <w:r w:rsidR="00FD63FA">
              <w:rPr>
                <w:sz w:val="20"/>
                <w:szCs w:val="20"/>
              </w:rPr>
              <w:t>,</w:t>
            </w:r>
            <w:r>
              <w:rPr>
                <w:sz w:val="20"/>
                <w:szCs w:val="20"/>
              </w:rPr>
              <w:t xml:space="preserve"> with </w:t>
            </w:r>
            <w:r w:rsidR="00FD63FA">
              <w:rPr>
                <w:sz w:val="20"/>
                <w:szCs w:val="20"/>
              </w:rPr>
              <w:t>f</w:t>
            </w:r>
            <w:r w:rsidRPr="001E7CD6">
              <w:rPr>
                <w:rFonts w:eastAsiaTheme="minorHAnsi"/>
                <w:sz w:val="20"/>
                <w:szCs w:val="20"/>
              </w:rPr>
              <w:t xml:space="preserve">emale representation </w:t>
            </w:r>
            <w:r w:rsidRPr="001E7CD6">
              <w:rPr>
                <w:sz w:val="20"/>
                <w:szCs w:val="20"/>
              </w:rPr>
              <w:t>in the SES increas</w:t>
            </w:r>
            <w:r>
              <w:rPr>
                <w:sz w:val="20"/>
                <w:szCs w:val="20"/>
              </w:rPr>
              <w:t>ing</w:t>
            </w:r>
            <w:r w:rsidRPr="001E7CD6">
              <w:rPr>
                <w:sz w:val="20"/>
                <w:szCs w:val="20"/>
              </w:rPr>
              <w:t xml:space="preserve"> across the year</w:t>
            </w:r>
            <w:r>
              <w:rPr>
                <w:sz w:val="20"/>
                <w:szCs w:val="20"/>
              </w:rPr>
              <w:t>.</w:t>
            </w:r>
            <w:r w:rsidRPr="001E7CD6">
              <w:rPr>
                <w:sz w:val="20"/>
                <w:szCs w:val="20"/>
              </w:rPr>
              <w:t xml:space="preserve">  Agency activities </w:t>
            </w:r>
            <w:r>
              <w:rPr>
                <w:sz w:val="20"/>
                <w:szCs w:val="20"/>
              </w:rPr>
              <w:t>have</w:t>
            </w:r>
            <w:r w:rsidRPr="001E7CD6">
              <w:rPr>
                <w:sz w:val="20"/>
                <w:szCs w:val="20"/>
              </w:rPr>
              <w:t xml:space="preserve"> </w:t>
            </w:r>
            <w:r>
              <w:rPr>
                <w:sz w:val="20"/>
                <w:szCs w:val="20"/>
              </w:rPr>
              <w:t>supported</w:t>
            </w:r>
            <w:r w:rsidRPr="001E7CD6">
              <w:rPr>
                <w:sz w:val="20"/>
                <w:szCs w:val="20"/>
              </w:rPr>
              <w:t xml:space="preserve"> female representation in the SES.</w:t>
            </w:r>
          </w:p>
          <w:p w14:paraId="4EF750D7" w14:textId="77777777" w:rsidR="003E76AB" w:rsidRPr="00312160" w:rsidRDefault="003E76AB" w:rsidP="005C33EF">
            <w:pPr>
              <w:ind w:left="0"/>
              <w:rPr>
                <w:color w:val="FF0000"/>
                <w:sz w:val="20"/>
                <w:szCs w:val="20"/>
              </w:rPr>
            </w:pPr>
            <w:r w:rsidRPr="001E7CD6">
              <w:rPr>
                <w:sz w:val="20"/>
                <w:szCs w:val="20"/>
              </w:rPr>
              <w:t>The Agency will continue with</w:t>
            </w:r>
            <w:r>
              <w:rPr>
                <w:sz w:val="20"/>
                <w:szCs w:val="20"/>
              </w:rPr>
              <w:t xml:space="preserve"> its</w:t>
            </w:r>
            <w:r w:rsidRPr="001E7CD6">
              <w:rPr>
                <w:sz w:val="20"/>
                <w:szCs w:val="20"/>
              </w:rPr>
              <w:t xml:space="preserve"> activities that support the whole-of-government actions for gender equality. </w:t>
            </w:r>
          </w:p>
        </w:tc>
      </w:tr>
    </w:tbl>
    <w:p w14:paraId="717C50C6" w14:textId="77777777" w:rsidR="003E76AB" w:rsidRPr="00AE5890" w:rsidRDefault="003E76AB" w:rsidP="003E76AB">
      <w:pPr>
        <w:ind w:left="0"/>
        <w:rPr>
          <w:lang w:eastAsia="en-US"/>
        </w:rPr>
      </w:pPr>
    </w:p>
    <w:p w14:paraId="46F6E78B" w14:textId="77777777" w:rsidR="003E76AB" w:rsidRPr="00D2134C" w:rsidRDefault="003E76AB" w:rsidP="00217FA1">
      <w:pPr>
        <w:pStyle w:val="FGCNORMAL"/>
      </w:pPr>
    </w:p>
    <w:p w14:paraId="4461A921" w14:textId="77777777" w:rsidR="00E121BA" w:rsidRPr="00D2134C" w:rsidRDefault="00E121BA" w:rsidP="00E121BA">
      <w:pPr>
        <w:pStyle w:val="FGCHEADING1"/>
      </w:pPr>
      <w:bookmarkStart w:id="439" w:name="_Toc110532531"/>
      <w:bookmarkStart w:id="440" w:name="_Toc114477531"/>
      <w:bookmarkStart w:id="441" w:name="_Toc116473896"/>
      <w:r w:rsidRPr="00D2134C">
        <w:lastRenderedPageBreak/>
        <w:t>Management and accountability</w:t>
      </w:r>
      <w:bookmarkEnd w:id="439"/>
      <w:bookmarkEnd w:id="440"/>
      <w:bookmarkEnd w:id="441"/>
    </w:p>
    <w:p w14:paraId="71A22FDA" w14:textId="77777777" w:rsidR="00E121BA" w:rsidRPr="00D2134C" w:rsidRDefault="00E121BA" w:rsidP="00873C47">
      <w:pPr>
        <w:pStyle w:val="FGCHEADING2"/>
        <w:numPr>
          <w:ilvl w:val="1"/>
          <w:numId w:val="17"/>
        </w:numPr>
      </w:pPr>
      <w:bookmarkStart w:id="442" w:name="_Toc51067978"/>
      <w:bookmarkStart w:id="443" w:name="_Toc110532532"/>
      <w:bookmarkStart w:id="444" w:name="_Toc114477532"/>
      <w:bookmarkStart w:id="445" w:name="_Toc116473897"/>
      <w:r w:rsidRPr="00D2134C">
        <w:t>Governance</w:t>
      </w:r>
      <w:bookmarkEnd w:id="442"/>
      <w:bookmarkEnd w:id="443"/>
      <w:bookmarkEnd w:id="444"/>
      <w:bookmarkEnd w:id="445"/>
    </w:p>
    <w:p w14:paraId="7612A85E" w14:textId="3748B7E1" w:rsidR="00E121BA" w:rsidRPr="00D2134C" w:rsidRDefault="00E121BA" w:rsidP="00E121BA">
      <w:pPr>
        <w:pStyle w:val="FGCNORMAL"/>
      </w:pPr>
      <w:r w:rsidRPr="00D2134C">
        <w:t xml:space="preserve">The governance model for the </w:t>
      </w:r>
      <w:r w:rsidR="0068119A" w:rsidRPr="00D2134C">
        <w:t xml:space="preserve">NDIA </w:t>
      </w:r>
      <w:r w:rsidRPr="00D2134C">
        <w:t xml:space="preserve">is set out in the NDIS Act. </w:t>
      </w:r>
    </w:p>
    <w:p w14:paraId="44D206D3" w14:textId="2A9AC66E" w:rsidR="00E121BA" w:rsidRPr="00D2134C" w:rsidRDefault="00E121BA" w:rsidP="00E121BA">
      <w:pPr>
        <w:pStyle w:val="FGCNORMAL"/>
      </w:pPr>
      <w:r w:rsidRPr="00D2134C">
        <w:t xml:space="preserve">The Agency is a </w:t>
      </w:r>
      <w:r w:rsidR="007E396D">
        <w:t>c</w:t>
      </w:r>
      <w:r w:rsidRPr="00D2134C">
        <w:t xml:space="preserve">orporate </w:t>
      </w:r>
      <w:r w:rsidR="007E396D">
        <w:t>c</w:t>
      </w:r>
      <w:r w:rsidRPr="00D2134C">
        <w:t xml:space="preserve">ommonwealth </w:t>
      </w:r>
      <w:r w:rsidR="007E396D">
        <w:t>e</w:t>
      </w:r>
      <w:r w:rsidRPr="00D2134C">
        <w:t>ntity under the</w:t>
      </w:r>
      <w:r w:rsidR="007D1B69" w:rsidRPr="00D2134C">
        <w:t xml:space="preserve"> </w:t>
      </w:r>
      <w:r w:rsidR="0044468A" w:rsidRPr="00D2134C">
        <w:rPr>
          <w:i/>
          <w:iCs/>
        </w:rPr>
        <w:t>Public Governance, Performance and Accountability Act 2013</w:t>
      </w:r>
      <w:r w:rsidR="007D1B69" w:rsidRPr="00D2134C">
        <w:t xml:space="preserve"> </w:t>
      </w:r>
      <w:r w:rsidR="0068119A" w:rsidRPr="00D2134C">
        <w:t>(</w:t>
      </w:r>
      <w:r w:rsidRPr="00D2134C">
        <w:t>PGPA Act</w:t>
      </w:r>
      <w:r w:rsidR="0068119A" w:rsidRPr="00D2134C">
        <w:t>)</w:t>
      </w:r>
      <w:r w:rsidRPr="00D2134C">
        <w:t xml:space="preserve"> with statutory authority under the</w:t>
      </w:r>
      <w:r w:rsidR="0044468A" w:rsidRPr="00D2134C">
        <w:t xml:space="preserve"> </w:t>
      </w:r>
      <w:r w:rsidR="0044468A" w:rsidRPr="00D2134C">
        <w:rPr>
          <w:i/>
          <w:iCs/>
        </w:rPr>
        <w:t>National Disability Insurance Scheme Act 2013</w:t>
      </w:r>
      <w:r w:rsidRPr="00D2134C">
        <w:t xml:space="preserve"> </w:t>
      </w:r>
      <w:r w:rsidR="0044468A" w:rsidRPr="00D2134C">
        <w:t>(</w:t>
      </w:r>
      <w:r w:rsidRPr="00D2134C">
        <w:t>NDIS Act</w:t>
      </w:r>
      <w:r w:rsidR="0044468A" w:rsidRPr="00D2134C">
        <w:t>)</w:t>
      </w:r>
      <w:r w:rsidRPr="00D2134C">
        <w:t>. The NDIS Act sets out the governance model for the Scheme.</w:t>
      </w:r>
    </w:p>
    <w:p w14:paraId="485C9D0D" w14:textId="77777777" w:rsidR="00E121BA" w:rsidRPr="00D2134C" w:rsidRDefault="00E121BA" w:rsidP="001912BB">
      <w:pPr>
        <w:pStyle w:val="FGCNORMAL"/>
        <w:keepNext/>
      </w:pPr>
      <w:r w:rsidRPr="00D2134C">
        <w:rPr>
          <w:rStyle w:val="FGCEMPHASIS"/>
        </w:rPr>
        <w:t>Figure 4.1A:</w:t>
      </w:r>
      <w:r w:rsidRPr="00D2134C">
        <w:rPr>
          <w:b/>
        </w:rPr>
        <w:t xml:space="preserve"> </w:t>
      </w:r>
      <w:r w:rsidRPr="00D2134C">
        <w:t xml:space="preserve">Agency governance diagram </w:t>
      </w:r>
    </w:p>
    <w:p w14:paraId="2401D1BE" w14:textId="77777777" w:rsidR="00E121BA" w:rsidRPr="00D2134C" w:rsidRDefault="00E121BA" w:rsidP="00E121BA">
      <w:pPr>
        <w:keepNext/>
        <w:rPr>
          <w:rFonts w:eastAsia="Cambria"/>
          <w:szCs w:val="24"/>
        </w:rPr>
      </w:pPr>
      <w:r w:rsidRPr="00D2134C">
        <w:rPr>
          <w:rFonts w:eastAsia="DengXian"/>
          <w:noProof/>
          <w:lang w:eastAsia="en-AU"/>
        </w:rPr>
        <w:drawing>
          <wp:inline distT="0" distB="0" distL="0" distR="0" wp14:anchorId="6AAF0EB0" wp14:editId="58D3729E">
            <wp:extent cx="5723890" cy="1727835"/>
            <wp:effectExtent l="0" t="0" r="0" b="0"/>
            <wp:docPr id="4" name="Picture 4" descr="Federal Parliament, Commonwealth Minister and Ministerial Council are at the top&#10;&#10;Below them is the NDIA Board.&#10;&#10;Next to the NDIA Board is in the Independent Advisory Council.&#10;&#10;Below them is the NDIA C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Federal Parliament, Commonwealth Minister and Ministerial Council are at the top&#10;&#10;Below them is the NDIA Board.&#10;&#10;Next to the NDIA Board is in the Independent Advisory Council.&#10;&#10;Below them is the NDIA CEO.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23890" cy="1727835"/>
                    </a:xfrm>
                    <a:prstGeom prst="rect">
                      <a:avLst/>
                    </a:prstGeom>
                    <a:noFill/>
                    <a:ln>
                      <a:noFill/>
                    </a:ln>
                  </pic:spPr>
                </pic:pic>
              </a:graphicData>
            </a:graphic>
          </wp:inline>
        </w:drawing>
      </w:r>
    </w:p>
    <w:p w14:paraId="74D82D94" w14:textId="77777777" w:rsidR="00E121BA" w:rsidRPr="00D2134C" w:rsidRDefault="00E121BA" w:rsidP="00873C47">
      <w:pPr>
        <w:pStyle w:val="FGCHEADING3"/>
        <w:numPr>
          <w:ilvl w:val="2"/>
          <w:numId w:val="18"/>
        </w:numPr>
      </w:pPr>
      <w:bookmarkStart w:id="446" w:name="_Toc51067979"/>
      <w:bookmarkStart w:id="447" w:name="_Toc110532533"/>
      <w:bookmarkStart w:id="448" w:name="_Toc114477533"/>
      <w:bookmarkStart w:id="449" w:name="_Toc116414704"/>
      <w:bookmarkStart w:id="450" w:name="_Toc116473898"/>
      <w:r w:rsidRPr="00D2134C">
        <w:t>Responsible Minister</w:t>
      </w:r>
      <w:bookmarkEnd w:id="446"/>
      <w:bookmarkEnd w:id="447"/>
      <w:bookmarkEnd w:id="448"/>
      <w:bookmarkEnd w:id="449"/>
      <w:bookmarkEnd w:id="450"/>
      <w:r w:rsidRPr="00D2134C">
        <w:t xml:space="preserve"> </w:t>
      </w:r>
    </w:p>
    <w:p w14:paraId="24597284" w14:textId="7BC30707" w:rsidR="00E121BA" w:rsidRPr="00D2134C" w:rsidRDefault="00E121BA" w:rsidP="00E121BA">
      <w:pPr>
        <w:pStyle w:val="FGCNORMAL"/>
      </w:pPr>
      <w:bookmarkStart w:id="451" w:name="_Toc51067980"/>
      <w:r w:rsidRPr="00D2134C">
        <w:t xml:space="preserve">As </w:t>
      </w:r>
      <w:proofErr w:type="gramStart"/>
      <w:r w:rsidRPr="00D2134C">
        <w:t>at</w:t>
      </w:r>
      <w:proofErr w:type="gramEnd"/>
      <w:r w:rsidRPr="00D2134C">
        <w:t xml:space="preserve"> 30 June 2022, the Hon Bill Shorten was the Minister for the NDIS. The Minister for the NDIS is responsible for administering the NDIS Act and, with the agreement of states and territories, exercises statutory powers, including the power to make delegated legislation in the form of NDIS Rules and the power to direct the </w:t>
      </w:r>
      <w:r w:rsidR="0044468A" w:rsidRPr="00D2134C">
        <w:t>NDIA</w:t>
      </w:r>
      <w:r w:rsidRPr="00D2134C">
        <w:t>. Senator the Hon Linda Reynolds CSC was Minister for the NDIS from 30 March 2021 to 23 May 2022. The Hon Bill Shorten was appointed Minister for the NDIS following the 2022 federal election.</w:t>
      </w:r>
    </w:p>
    <w:p w14:paraId="168AED39" w14:textId="77777777" w:rsidR="00E121BA" w:rsidRPr="00D2134C" w:rsidRDefault="00E121BA" w:rsidP="00E121BA">
      <w:pPr>
        <w:pStyle w:val="FGCHEADING3"/>
      </w:pPr>
      <w:bookmarkStart w:id="452" w:name="_Toc110532534"/>
      <w:bookmarkStart w:id="453" w:name="_Toc114477534"/>
      <w:bookmarkStart w:id="454" w:name="_Toc116414705"/>
      <w:bookmarkStart w:id="455" w:name="_Toc116473899"/>
      <w:r w:rsidRPr="00D2134C">
        <w:t>Ministerial Council</w:t>
      </w:r>
      <w:bookmarkEnd w:id="451"/>
      <w:bookmarkEnd w:id="452"/>
      <w:bookmarkEnd w:id="453"/>
      <w:bookmarkEnd w:id="454"/>
      <w:bookmarkEnd w:id="455"/>
      <w:r w:rsidRPr="00D2134C">
        <w:t xml:space="preserve"> </w:t>
      </w:r>
    </w:p>
    <w:p w14:paraId="6ABB712E" w14:textId="77777777" w:rsidR="00E121BA" w:rsidRPr="00D2134C" w:rsidRDefault="00E121BA" w:rsidP="00E121BA">
      <w:pPr>
        <w:pStyle w:val="FGCNORMAL"/>
      </w:pPr>
      <w:r w:rsidRPr="00D2134C">
        <w:t xml:space="preserve">The Ministerial Council comprises the Commonwealth, state and territory ministers responsible for disability, who meet as the Disability Reform Ministers. It considers policy matters that relate to the NDIS and advises the </w:t>
      </w:r>
      <w:proofErr w:type="gramStart"/>
      <w:r w:rsidRPr="00D2134C">
        <w:t>Commonwealth Minister</w:t>
      </w:r>
      <w:proofErr w:type="gramEnd"/>
      <w:r w:rsidRPr="00D2134C">
        <w:t xml:space="preserve"> about such matters in accordance with its functions as set out in section 12 of the NDIS Act.</w:t>
      </w:r>
    </w:p>
    <w:p w14:paraId="33F1EADF" w14:textId="77777777" w:rsidR="00E121BA" w:rsidRPr="00D2134C" w:rsidRDefault="00E121BA" w:rsidP="00E121BA">
      <w:pPr>
        <w:pStyle w:val="FGCHEADING2"/>
      </w:pPr>
      <w:bookmarkStart w:id="456" w:name="_Toc51067981"/>
      <w:bookmarkStart w:id="457" w:name="_Ref107222334"/>
      <w:bookmarkStart w:id="458" w:name="_Toc110532535"/>
      <w:bookmarkStart w:id="459" w:name="_Ref112920981"/>
      <w:bookmarkStart w:id="460" w:name="_Toc114477535"/>
      <w:bookmarkStart w:id="461" w:name="_Toc116473900"/>
      <w:r w:rsidRPr="00D2134C">
        <w:t>The Board</w:t>
      </w:r>
      <w:bookmarkEnd w:id="456"/>
      <w:bookmarkEnd w:id="457"/>
      <w:bookmarkEnd w:id="458"/>
      <w:bookmarkEnd w:id="459"/>
      <w:bookmarkEnd w:id="460"/>
      <w:bookmarkEnd w:id="461"/>
    </w:p>
    <w:p w14:paraId="62CC3BD6" w14:textId="0EBB29BA" w:rsidR="00E121BA" w:rsidRPr="00D2134C" w:rsidRDefault="00E121BA" w:rsidP="00E121BA">
      <w:pPr>
        <w:pStyle w:val="FGCNORMAL"/>
      </w:pPr>
      <w:bookmarkStart w:id="462" w:name="_Toc51067982"/>
      <w:r w:rsidRPr="00D2134C">
        <w:t xml:space="preserve">The Board, in accordance with </w:t>
      </w:r>
      <w:r w:rsidRPr="008A55F2">
        <w:t>section 124</w:t>
      </w:r>
      <w:r w:rsidRPr="00D2134C">
        <w:t xml:space="preserve"> of the NDIS Act</w:t>
      </w:r>
      <w:r w:rsidR="00CC0CE2">
        <w:t>:</w:t>
      </w:r>
    </w:p>
    <w:p w14:paraId="50205DE1" w14:textId="76A2DE38" w:rsidR="00E121BA" w:rsidRPr="00D2134C" w:rsidRDefault="00E121BA" w:rsidP="007615EB">
      <w:pPr>
        <w:pStyle w:val="FGCBULLET1"/>
      </w:pPr>
      <w:r w:rsidRPr="00D2134C">
        <w:t xml:space="preserve">ensures the proper, </w:t>
      </w:r>
      <w:proofErr w:type="gramStart"/>
      <w:r w:rsidRPr="00D2134C">
        <w:t>efficient</w:t>
      </w:r>
      <w:proofErr w:type="gramEnd"/>
      <w:r w:rsidRPr="00D2134C">
        <w:t xml:space="preserve"> and effective performance of the </w:t>
      </w:r>
      <w:r w:rsidR="0044468A" w:rsidRPr="00D2134C">
        <w:t xml:space="preserve">NDIA’s </w:t>
      </w:r>
      <w:r w:rsidRPr="00D2134C">
        <w:t>functions</w:t>
      </w:r>
    </w:p>
    <w:p w14:paraId="04BE521D" w14:textId="6133F304" w:rsidR="00E121BA" w:rsidRPr="00D2134C" w:rsidRDefault="00E121BA" w:rsidP="007615EB">
      <w:pPr>
        <w:pStyle w:val="FGCBULLET1"/>
      </w:pPr>
      <w:r w:rsidRPr="00D2134C">
        <w:t xml:space="preserve">determines objectives, </w:t>
      </w:r>
      <w:proofErr w:type="gramStart"/>
      <w:r w:rsidRPr="00D2134C">
        <w:t>strategies</w:t>
      </w:r>
      <w:proofErr w:type="gramEnd"/>
      <w:r w:rsidRPr="00D2134C">
        <w:t xml:space="preserve"> and policies to be followed by the </w:t>
      </w:r>
      <w:r w:rsidR="0044468A" w:rsidRPr="00D2134C">
        <w:t>NDIA</w:t>
      </w:r>
      <w:r w:rsidRPr="00D2134C">
        <w:t>.</w:t>
      </w:r>
    </w:p>
    <w:p w14:paraId="1460E00E" w14:textId="77777777" w:rsidR="00E121BA" w:rsidRPr="00D2134C" w:rsidRDefault="00E121BA" w:rsidP="00E121BA">
      <w:pPr>
        <w:pStyle w:val="FGCNORMAL"/>
      </w:pPr>
      <w:r w:rsidRPr="00D2134C">
        <w:t xml:space="preserve">Board membership is determined by the responsible Commonwealth Minister in consultation with the states and territories. </w:t>
      </w:r>
    </w:p>
    <w:p w14:paraId="6380316E" w14:textId="57262FE1" w:rsidR="00E121BA" w:rsidRPr="00D2134C" w:rsidRDefault="00E121BA" w:rsidP="00E121BA">
      <w:pPr>
        <w:pStyle w:val="FGCNORMAL"/>
      </w:pPr>
      <w:r w:rsidRPr="00D2134C">
        <w:t xml:space="preserve">As part of good corporate governance, the Board undertakes a review of itself and its committees each year. This includes an annual review of the Board committee charters to ensure correct alignment of committee functions in supporting the Board’s responsibility as </w:t>
      </w:r>
      <w:r w:rsidR="00560691">
        <w:t>a</w:t>
      </w:r>
      <w:r w:rsidRPr="00D2134C">
        <w:t xml:space="preserve">ccountable </w:t>
      </w:r>
      <w:r w:rsidR="00560691">
        <w:t>a</w:t>
      </w:r>
      <w:r w:rsidRPr="00D2134C">
        <w:t xml:space="preserve">uthority of the </w:t>
      </w:r>
      <w:r w:rsidR="0044468A" w:rsidRPr="00D2134C">
        <w:t>NDIA</w:t>
      </w:r>
      <w:r w:rsidRPr="00D2134C">
        <w:t xml:space="preserve">, and a review of committee memberships, which resulted in changes to committee membership to optimise operations. Board performance is also reviewed annually in accordance with the Board Charter. </w:t>
      </w:r>
    </w:p>
    <w:p w14:paraId="47F53994" w14:textId="100BBA56" w:rsidR="00E121BA" w:rsidRPr="00D2134C" w:rsidRDefault="00621FD2" w:rsidP="00873C47">
      <w:pPr>
        <w:pStyle w:val="FGCHEADING3"/>
        <w:numPr>
          <w:ilvl w:val="2"/>
          <w:numId w:val="19"/>
        </w:numPr>
      </w:pPr>
      <w:bookmarkStart w:id="463" w:name="_Ref107243189"/>
      <w:bookmarkStart w:id="464" w:name="_Toc110532536"/>
      <w:bookmarkStart w:id="465" w:name="_Toc111460408"/>
      <w:bookmarkStart w:id="466" w:name="_Toc114477536"/>
      <w:bookmarkStart w:id="467" w:name="_Toc116414707"/>
      <w:bookmarkStart w:id="468" w:name="_Toc116473901"/>
      <w:bookmarkEnd w:id="462"/>
      <w:r w:rsidRPr="00D2134C">
        <w:lastRenderedPageBreak/>
        <w:t>Directors</w:t>
      </w:r>
      <w:bookmarkEnd w:id="463"/>
      <w:bookmarkEnd w:id="464"/>
      <w:bookmarkEnd w:id="465"/>
      <w:bookmarkEnd w:id="466"/>
      <w:r w:rsidR="00E43ADA">
        <w:t xml:space="preserve"> as </w:t>
      </w:r>
      <w:proofErr w:type="gramStart"/>
      <w:r w:rsidR="00E43ADA">
        <w:t>at</w:t>
      </w:r>
      <w:proofErr w:type="gramEnd"/>
      <w:r w:rsidR="00E43ADA">
        <w:t xml:space="preserve"> 30 June 2022</w:t>
      </w:r>
      <w:bookmarkEnd w:id="467"/>
      <w:bookmarkEnd w:id="468"/>
    </w:p>
    <w:p w14:paraId="293A6BF8" w14:textId="77777777" w:rsidR="008B6E85" w:rsidRPr="00D2134C" w:rsidRDefault="008B6E85" w:rsidP="008B6E85">
      <w:pPr>
        <w:autoSpaceDE w:val="0"/>
        <w:autoSpaceDN w:val="0"/>
        <w:adjustRightInd w:val="0"/>
        <w:spacing w:before="60" w:after="60" w:line="191" w:lineRule="atLeast"/>
        <w:rPr>
          <w:rFonts w:eastAsia="Calibri"/>
        </w:rPr>
      </w:pPr>
    </w:p>
    <w:p w14:paraId="414CBFDE" w14:textId="2BEC6CEB" w:rsidR="008B6E85" w:rsidRPr="00D2134C" w:rsidRDefault="008B6E85" w:rsidP="008B6E85">
      <w:pPr>
        <w:keepNext/>
        <w:spacing w:before="60" w:after="60"/>
        <w:rPr>
          <w:rStyle w:val="FGCEMPHASIS"/>
        </w:rPr>
      </w:pPr>
      <w:r w:rsidRPr="00D2134C">
        <w:rPr>
          <w:rFonts w:eastAsia="Calibri"/>
          <w:noProof/>
          <w:sz w:val="24"/>
          <w:szCs w:val="24"/>
          <w:lang w:eastAsia="en-AU"/>
        </w:rPr>
        <w:drawing>
          <wp:inline distT="0" distB="0" distL="0" distR="0" wp14:anchorId="07AEDF22" wp14:editId="06AA6560">
            <wp:extent cx="1299210" cy="1705708"/>
            <wp:effectExtent l="0" t="0" r="0" b="8890"/>
            <wp:docPr id="18" name="Picture 18" descr="Mr Jim M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Mr Jim Minto"/>
                    <pic:cNvPicPr>
                      <a:picLocks noChangeAspect="1" noChangeArrowheads="1"/>
                    </pic:cNvPicPr>
                  </pic:nvPicPr>
                  <pic:blipFill rotWithShape="1">
                    <a:blip r:embed="rId105">
                      <a:extLst>
                        <a:ext uri="{28A0092B-C50C-407E-A947-70E740481C1C}">
                          <a14:useLocalDpi xmlns:a14="http://schemas.microsoft.com/office/drawing/2010/main" val="0"/>
                        </a:ext>
                      </a:extLst>
                    </a:blip>
                    <a:srcRect b="9129"/>
                    <a:stretch/>
                  </pic:blipFill>
                  <pic:spPr bwMode="auto">
                    <a:xfrm>
                      <a:off x="0" y="0"/>
                      <a:ext cx="1299210" cy="1705708"/>
                    </a:xfrm>
                    <a:prstGeom prst="rect">
                      <a:avLst/>
                    </a:prstGeom>
                    <a:noFill/>
                    <a:ln>
                      <a:noFill/>
                    </a:ln>
                    <a:extLst>
                      <a:ext uri="{53640926-AAD7-44D8-BBD7-CCE9431645EC}">
                        <a14:shadowObscured xmlns:a14="http://schemas.microsoft.com/office/drawing/2010/main"/>
                      </a:ext>
                    </a:extLst>
                  </pic:spPr>
                </pic:pic>
              </a:graphicData>
            </a:graphic>
          </wp:inline>
        </w:drawing>
      </w:r>
      <w:r w:rsidRPr="00D2134C">
        <w:rPr>
          <w:rFonts w:eastAsia="Calibri"/>
          <w:b/>
          <w:sz w:val="24"/>
          <w:szCs w:val="24"/>
        </w:rPr>
        <w:br/>
      </w:r>
      <w:r w:rsidRPr="00D2134C">
        <w:rPr>
          <w:rStyle w:val="FGCEMPHASIS"/>
        </w:rPr>
        <w:t>Mr Jim Minto</w:t>
      </w:r>
      <w:r w:rsidR="00F24BBF" w:rsidRPr="00D2134C">
        <w:rPr>
          <w:rStyle w:val="FGCEMPHASIS"/>
          <w:b w:val="0"/>
          <w:bCs w:val="0"/>
        </w:rPr>
        <w:t>,</w:t>
      </w:r>
      <w:r w:rsidRPr="00D2134C">
        <w:rPr>
          <w:rStyle w:val="FGCEMPHASIS"/>
        </w:rPr>
        <w:t xml:space="preserve"> </w:t>
      </w:r>
      <w:r w:rsidR="0033471C">
        <w:rPr>
          <w:rStyle w:val="FGCEMPHASIS"/>
        </w:rPr>
        <w:t xml:space="preserve">Acting </w:t>
      </w:r>
      <w:r w:rsidRPr="00467702">
        <w:rPr>
          <w:rStyle w:val="FGCEMPHASIS"/>
        </w:rPr>
        <w:t>Chair</w:t>
      </w:r>
    </w:p>
    <w:p w14:paraId="38697905" w14:textId="14F95FA7" w:rsidR="008B6E85" w:rsidRPr="00D2134C" w:rsidRDefault="008B6E85" w:rsidP="008B6E85">
      <w:pPr>
        <w:pStyle w:val="FGCNORMAL"/>
      </w:pPr>
      <w:r w:rsidRPr="00D2134C">
        <w:t>Jim is Chair of Swiss Re Life &amp; Health Australia Ltd, Chair of the Advisory Board of Swiss Reinsurance Company Limited Australia Branch and Chair of New Zealand based life insurer Partners Life Limited. </w:t>
      </w:r>
      <w:r w:rsidR="007B1965">
        <w:t>He</w:t>
      </w:r>
      <w:r w:rsidRPr="00D2134C">
        <w:t xml:space="preserve"> is also a </w:t>
      </w:r>
      <w:r w:rsidR="00560691">
        <w:t>D</w:t>
      </w:r>
      <w:r w:rsidRPr="00D2134C">
        <w:t>irector of Mercer Superannuation Australia Ltd.</w:t>
      </w:r>
    </w:p>
    <w:p w14:paraId="415498B2" w14:textId="3DD7526C" w:rsidR="008B6E85" w:rsidRPr="00D2134C" w:rsidRDefault="008B6E85" w:rsidP="008B6E85">
      <w:pPr>
        <w:pStyle w:val="FGCNORMAL"/>
      </w:pPr>
      <w:r w:rsidRPr="00D2134C">
        <w:t xml:space="preserve">Jim retired as Group CEO and Managing Director of life insurer TAL (formerly TOWER Australia) in March 2015. Previously Jim was Group CEO of the Trans-Tasman TOWER Limited Group </w:t>
      </w:r>
      <w:proofErr w:type="gramStart"/>
      <w:r w:rsidRPr="00D2134C">
        <w:t>and also</w:t>
      </w:r>
      <w:proofErr w:type="gramEnd"/>
      <w:r w:rsidRPr="00D2134C">
        <w:t xml:space="preserve"> a </w:t>
      </w:r>
      <w:r w:rsidR="00560691">
        <w:t>D</w:t>
      </w:r>
      <w:r w:rsidRPr="00D2134C">
        <w:t>irector of Dai-Ichi Life Asia Pacific. Jim has extensive experience in the financial services sector.</w:t>
      </w:r>
    </w:p>
    <w:p w14:paraId="6572C35F" w14:textId="20F8E7DE" w:rsidR="008B6E85" w:rsidRPr="00D2134C" w:rsidRDefault="008B6E85" w:rsidP="008B6E85">
      <w:pPr>
        <w:pStyle w:val="FGCNORMAL"/>
      </w:pPr>
      <w:r w:rsidRPr="00D2134C">
        <w:t xml:space="preserve">A Chartered Accountant, Jim retired in 2015 as Chair of the Association of Superannuation Funds of Australia and was a panel member of the Australian Government’s Review of Natural Disasters Insurance in 2011. </w:t>
      </w:r>
    </w:p>
    <w:p w14:paraId="7EBE0420" w14:textId="741EF5C3" w:rsidR="008B6E85" w:rsidRPr="00D2134C" w:rsidRDefault="008B6E85" w:rsidP="008B6E85">
      <w:pPr>
        <w:pStyle w:val="FGCNORMAL"/>
      </w:pPr>
      <w:r w:rsidRPr="00D2134C">
        <w:t xml:space="preserve">Qualifications: </w:t>
      </w:r>
      <w:r w:rsidR="009C349D">
        <w:t>C</w:t>
      </w:r>
      <w:r w:rsidR="009C349D" w:rsidRPr="00D2134C">
        <w:t xml:space="preserve">hartered </w:t>
      </w:r>
      <w:r w:rsidR="009C349D">
        <w:t>A</w:t>
      </w:r>
      <w:r w:rsidR="009C349D" w:rsidRPr="00D2134C">
        <w:t>ccountant</w:t>
      </w:r>
      <w:r w:rsidRPr="00D2134C">
        <w:t>, Massey University.</w:t>
      </w:r>
    </w:p>
    <w:p w14:paraId="5AB1400D" w14:textId="77777777" w:rsidR="008B6E85" w:rsidRPr="00D2134C" w:rsidRDefault="008B6E85" w:rsidP="008B6E85">
      <w:pPr>
        <w:pStyle w:val="FGCNORMAL"/>
      </w:pPr>
      <w:r w:rsidRPr="00D2134C">
        <w:t>Chair: Risk Committee and People and Remuneration Committee.</w:t>
      </w:r>
    </w:p>
    <w:p w14:paraId="5CF31973" w14:textId="77777777" w:rsidR="008B6E85" w:rsidRPr="00B514B3" w:rsidRDefault="008B6E85" w:rsidP="008B6E85">
      <w:pPr>
        <w:pStyle w:val="FGCNORMAL"/>
      </w:pPr>
      <w:r w:rsidRPr="00B514B3">
        <w:t>Member: Audit Committee, Sustainability Committee and ICT and Digital Committee.</w:t>
      </w:r>
    </w:p>
    <w:p w14:paraId="75242BBD" w14:textId="7C6B6EC1" w:rsidR="008B6E85" w:rsidRPr="007930DF" w:rsidRDefault="007B1965" w:rsidP="008B6E85">
      <w:pPr>
        <w:pStyle w:val="FGCNORMAL"/>
        <w:rPr>
          <w:shd w:val="clear" w:color="auto" w:fill="FFFFFF"/>
        </w:rPr>
      </w:pPr>
      <w:r w:rsidRPr="007930DF">
        <w:rPr>
          <w:shd w:val="clear" w:color="auto" w:fill="FFFFFF"/>
        </w:rPr>
        <w:t>Jim</w:t>
      </w:r>
      <w:r w:rsidR="008B6E85" w:rsidRPr="007930DF">
        <w:rPr>
          <w:shd w:val="clear" w:color="auto" w:fill="FFFFFF"/>
        </w:rPr>
        <w:t xml:space="preserve"> was appointed Acting Chair for the period 1 January 2022 to 31 March 2022. While in this role, </w:t>
      </w:r>
      <w:r w:rsidRPr="007930DF">
        <w:rPr>
          <w:shd w:val="clear" w:color="auto" w:fill="FFFFFF"/>
        </w:rPr>
        <w:t>he</w:t>
      </w:r>
      <w:r w:rsidR="008B6E85" w:rsidRPr="007930DF">
        <w:rPr>
          <w:shd w:val="clear" w:color="auto" w:fill="FFFFFF"/>
        </w:rPr>
        <w:t xml:space="preserve"> was not a member of the Audit Committee. </w:t>
      </w:r>
      <w:r w:rsidR="002A7845" w:rsidRPr="007930DF">
        <w:rPr>
          <w:shd w:val="clear" w:color="auto" w:fill="FFFFFF"/>
        </w:rPr>
        <w:t xml:space="preserve">Jim was reappointed as Acting Chair on 18 July 2022. </w:t>
      </w:r>
    </w:p>
    <w:p w14:paraId="0B6C1FE6" w14:textId="62C71C98" w:rsidR="00990D67" w:rsidRPr="00D2134C" w:rsidRDefault="00990D67" w:rsidP="00295C5E">
      <w:pPr>
        <w:autoSpaceDE w:val="0"/>
        <w:autoSpaceDN w:val="0"/>
        <w:adjustRightInd w:val="0"/>
        <w:spacing w:before="60" w:after="60"/>
      </w:pPr>
    </w:p>
    <w:p w14:paraId="4C011EFF" w14:textId="1050BCB6" w:rsidR="00E121BA" w:rsidRPr="00D2134C" w:rsidRDefault="00E121BA" w:rsidP="00E121BA">
      <w:pPr>
        <w:spacing w:before="60" w:after="60"/>
        <w:rPr>
          <w:rStyle w:val="FGCEMPHASIS"/>
        </w:rPr>
      </w:pPr>
      <w:r w:rsidRPr="00D2134C">
        <w:rPr>
          <w:noProof/>
        </w:rPr>
        <w:drawing>
          <wp:inline distT="0" distB="0" distL="0" distR="0" wp14:anchorId="3B43F0C6" wp14:editId="38D6F604">
            <wp:extent cx="1490447" cy="1635369"/>
            <wp:effectExtent l="0" t="0" r="0" b="3175"/>
            <wp:docPr id="32" name="Picture 32" descr="Ms Meredith A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s Meredith Allan"/>
                    <pic:cNvPicPr>
                      <a:picLocks noChangeAspect="1" noChangeArrowheads="1"/>
                    </pic:cNvPicPr>
                  </pic:nvPicPr>
                  <pic:blipFill rotWithShape="1">
                    <a:blip r:embed="rId106">
                      <a:extLst>
                        <a:ext uri="{28A0092B-C50C-407E-A947-70E740481C1C}">
                          <a14:useLocalDpi xmlns:a14="http://schemas.microsoft.com/office/drawing/2010/main" val="0"/>
                        </a:ext>
                      </a:extLst>
                    </a:blip>
                    <a:srcRect t="12418"/>
                    <a:stretch/>
                  </pic:blipFill>
                  <pic:spPr bwMode="auto">
                    <a:xfrm>
                      <a:off x="0" y="0"/>
                      <a:ext cx="1494275" cy="1639570"/>
                    </a:xfrm>
                    <a:prstGeom prst="rect">
                      <a:avLst/>
                    </a:prstGeom>
                    <a:noFill/>
                    <a:ln>
                      <a:noFill/>
                    </a:ln>
                    <a:extLst>
                      <a:ext uri="{53640926-AAD7-44D8-BBD7-CCE9431645EC}">
                        <a14:shadowObscured xmlns:a14="http://schemas.microsoft.com/office/drawing/2010/main"/>
                      </a:ext>
                    </a:extLst>
                  </pic:spPr>
                </pic:pic>
              </a:graphicData>
            </a:graphic>
          </wp:inline>
        </w:drawing>
      </w:r>
      <w:r w:rsidR="001912BB" w:rsidRPr="00D2134C">
        <w:rPr>
          <w:rFonts w:eastAsia="DengXian"/>
          <w:b/>
          <w:sz w:val="24"/>
          <w:szCs w:val="24"/>
          <w:highlight w:val="lightGray"/>
        </w:rPr>
        <w:br/>
      </w:r>
      <w:r w:rsidRPr="00D2134C">
        <w:rPr>
          <w:rStyle w:val="FGCEMPHASIS"/>
        </w:rPr>
        <w:t>Ms Meredith Allan</w:t>
      </w:r>
    </w:p>
    <w:p w14:paraId="620EFEB7" w14:textId="0BA0DCA5" w:rsidR="00E121BA" w:rsidRPr="00D2134C" w:rsidRDefault="00E121BA" w:rsidP="00E121BA">
      <w:pPr>
        <w:pStyle w:val="FGCNORMAL"/>
        <w:rPr>
          <w:lang w:eastAsia="zh-CN" w:bidi="th-TH"/>
        </w:rPr>
      </w:pPr>
      <w:r w:rsidRPr="00D2134C">
        <w:rPr>
          <w:lang w:eastAsia="zh-CN" w:bidi="th-TH"/>
        </w:rPr>
        <w:t xml:space="preserve">Meredith is a former </w:t>
      </w:r>
      <w:r w:rsidR="009C349D">
        <w:rPr>
          <w:lang w:eastAsia="zh-CN" w:bidi="th-TH"/>
        </w:rPr>
        <w:t>P</w:t>
      </w:r>
      <w:r w:rsidRPr="00D2134C">
        <w:rPr>
          <w:lang w:eastAsia="zh-CN" w:bidi="th-TH"/>
        </w:rPr>
        <w:t xml:space="preserve">resident of the International Society of Alternative and Augmentative Communication (ISAAC) </w:t>
      </w:r>
      <w:r w:rsidR="00955F56" w:rsidRPr="00D2134C">
        <w:rPr>
          <w:lang w:eastAsia="zh-CN" w:bidi="th-TH"/>
        </w:rPr>
        <w:sym w:font="Symbol" w:char="F02D"/>
      </w:r>
      <w:r w:rsidR="00955F56" w:rsidRPr="00D2134C">
        <w:rPr>
          <w:lang w:eastAsia="zh-CN" w:bidi="th-TH"/>
        </w:rPr>
        <w:t xml:space="preserve"> </w:t>
      </w:r>
      <w:r w:rsidRPr="00D2134C">
        <w:rPr>
          <w:lang w:eastAsia="zh-CN" w:bidi="th-TH"/>
        </w:rPr>
        <w:t xml:space="preserve">an organisation working to improve the lives of children and adults with complex communication needs. </w:t>
      </w:r>
      <w:r w:rsidR="004A3CF4" w:rsidRPr="00D2134C">
        <w:rPr>
          <w:lang w:eastAsia="zh-CN" w:bidi="th-TH"/>
        </w:rPr>
        <w:t xml:space="preserve">Meredith </w:t>
      </w:r>
      <w:r w:rsidRPr="00D2134C">
        <w:rPr>
          <w:lang w:eastAsia="zh-CN" w:bidi="th-TH"/>
        </w:rPr>
        <w:t>was the first president to speak via alternative and augmentative communication (AAC).</w:t>
      </w:r>
    </w:p>
    <w:p w14:paraId="744EA9C3" w14:textId="7629EE85" w:rsidR="00E121BA" w:rsidRPr="00D2134C" w:rsidRDefault="00890286" w:rsidP="00E121BA">
      <w:pPr>
        <w:pStyle w:val="FGCNORMAL"/>
        <w:rPr>
          <w:lang w:eastAsia="zh-CN" w:bidi="th-TH"/>
        </w:rPr>
      </w:pPr>
      <w:r>
        <w:rPr>
          <w:lang w:eastAsia="zh-CN" w:bidi="th-TH"/>
        </w:rPr>
        <w:t>Meredith</w:t>
      </w:r>
      <w:r w:rsidR="00E121BA" w:rsidRPr="00D2134C">
        <w:rPr>
          <w:lang w:eastAsia="zh-CN" w:bidi="th-TH"/>
        </w:rPr>
        <w:t xml:space="preserve"> recently retired from her 30-year career in the </w:t>
      </w:r>
      <w:r w:rsidR="00955F56" w:rsidRPr="00D2134C">
        <w:rPr>
          <w:lang w:eastAsia="zh-CN" w:bidi="th-TH"/>
        </w:rPr>
        <w:t>P</w:t>
      </w:r>
      <w:r w:rsidR="00E121BA" w:rsidRPr="00D2134C">
        <w:rPr>
          <w:lang w:eastAsia="zh-CN" w:bidi="th-TH"/>
        </w:rPr>
        <w:t xml:space="preserve">ublic </w:t>
      </w:r>
      <w:r w:rsidR="00955F56" w:rsidRPr="00D2134C">
        <w:rPr>
          <w:lang w:eastAsia="zh-CN" w:bidi="th-TH"/>
        </w:rPr>
        <w:t>S</w:t>
      </w:r>
      <w:r w:rsidR="00E121BA" w:rsidRPr="00D2134C">
        <w:rPr>
          <w:lang w:eastAsia="zh-CN" w:bidi="th-TH"/>
        </w:rPr>
        <w:t xml:space="preserve">ervice but continues working as a communication assessor for Scope and as a lecturer for Deakin University, La Trobe University, University of </w:t>
      </w:r>
      <w:proofErr w:type="gramStart"/>
      <w:r w:rsidR="00E121BA" w:rsidRPr="00D2134C">
        <w:rPr>
          <w:lang w:eastAsia="zh-CN" w:bidi="th-TH"/>
        </w:rPr>
        <w:t>Newcastle</w:t>
      </w:r>
      <w:proofErr w:type="gramEnd"/>
      <w:r w:rsidR="00E121BA" w:rsidRPr="00D2134C">
        <w:rPr>
          <w:lang w:eastAsia="zh-CN" w:bidi="th-TH"/>
        </w:rPr>
        <w:t xml:space="preserve"> and University of Technology Sydney.</w:t>
      </w:r>
    </w:p>
    <w:p w14:paraId="08D3A4A4" w14:textId="341199FA" w:rsidR="00E121BA" w:rsidRPr="00D2134C" w:rsidRDefault="00E121BA" w:rsidP="00E121BA">
      <w:pPr>
        <w:pStyle w:val="FGCNORMAL"/>
        <w:rPr>
          <w:lang w:eastAsia="zh-CN" w:bidi="th-TH"/>
        </w:rPr>
      </w:pPr>
      <w:r w:rsidRPr="00D2134C">
        <w:rPr>
          <w:lang w:eastAsia="zh-CN" w:bidi="th-TH"/>
        </w:rPr>
        <w:t>Qualifications: Bachelor of Economics and Bachelor of Arts, Monash University.</w:t>
      </w:r>
    </w:p>
    <w:p w14:paraId="3A5FD25D" w14:textId="589E3C9B" w:rsidR="00E121BA" w:rsidRPr="00D2134C" w:rsidRDefault="00E121BA" w:rsidP="00E121BA">
      <w:pPr>
        <w:pStyle w:val="FGCNORMAL"/>
        <w:rPr>
          <w:lang w:eastAsia="zh-CN" w:bidi="th-TH"/>
        </w:rPr>
      </w:pPr>
      <w:r w:rsidRPr="00D2134C">
        <w:rPr>
          <w:lang w:eastAsia="zh-CN" w:bidi="th-TH"/>
        </w:rPr>
        <w:lastRenderedPageBreak/>
        <w:t>Member: Risk Committee</w:t>
      </w:r>
      <w:r w:rsidR="00A26A16" w:rsidRPr="00D2134C">
        <w:rPr>
          <w:lang w:eastAsia="zh-CN" w:bidi="th-TH"/>
        </w:rPr>
        <w:t xml:space="preserve"> and Audit Committee</w:t>
      </w:r>
      <w:r w:rsidRPr="00D2134C">
        <w:rPr>
          <w:lang w:eastAsia="zh-CN" w:bidi="th-TH"/>
        </w:rPr>
        <w:t>.</w:t>
      </w:r>
    </w:p>
    <w:p w14:paraId="2D5AE58D" w14:textId="70B709DA" w:rsidR="00E121BA" w:rsidRPr="00D2134C" w:rsidRDefault="00E121BA" w:rsidP="00E121BA">
      <w:pPr>
        <w:spacing w:before="60" w:after="60"/>
        <w:rPr>
          <w:rStyle w:val="FGCEMPHASIS"/>
        </w:rPr>
      </w:pPr>
      <w:r w:rsidRPr="00D2134C">
        <w:rPr>
          <w:rFonts w:eastAsia="DengXian"/>
          <w:noProof/>
          <w:sz w:val="24"/>
          <w:szCs w:val="24"/>
          <w:lang w:eastAsia="en-AU"/>
        </w:rPr>
        <w:drawing>
          <wp:inline distT="0" distB="0" distL="0" distR="0" wp14:anchorId="09947BBC" wp14:editId="5EBA9E2F">
            <wp:extent cx="1351817" cy="1802423"/>
            <wp:effectExtent l="0" t="0" r="1270" b="7620"/>
            <wp:docPr id="13" name="Picture 13" descr="Ms Sandra Birkensle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s Sandra Birkensleigh"/>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54174" cy="1805566"/>
                    </a:xfrm>
                    <a:prstGeom prst="rect">
                      <a:avLst/>
                    </a:prstGeom>
                    <a:noFill/>
                    <a:ln>
                      <a:noFill/>
                    </a:ln>
                  </pic:spPr>
                </pic:pic>
              </a:graphicData>
            </a:graphic>
          </wp:inline>
        </w:drawing>
      </w:r>
      <w:r w:rsidR="001912BB" w:rsidRPr="00D2134C">
        <w:rPr>
          <w:rFonts w:eastAsia="DengXian"/>
          <w:b/>
          <w:sz w:val="24"/>
          <w:szCs w:val="24"/>
        </w:rPr>
        <w:br/>
      </w:r>
      <w:r w:rsidRPr="00D2134C">
        <w:rPr>
          <w:rStyle w:val="FGCEMPHASIS"/>
        </w:rPr>
        <w:t xml:space="preserve">Ms Sandra </w:t>
      </w:r>
      <w:proofErr w:type="spellStart"/>
      <w:r w:rsidRPr="00D2134C">
        <w:rPr>
          <w:rStyle w:val="FGCEMPHASIS"/>
        </w:rPr>
        <w:t>Birkensleigh</w:t>
      </w:r>
      <w:proofErr w:type="spellEnd"/>
    </w:p>
    <w:p w14:paraId="13251B5B" w14:textId="72CA5ED6" w:rsidR="00E121BA" w:rsidRPr="00D2134C" w:rsidRDefault="00E121BA" w:rsidP="00E121BA">
      <w:pPr>
        <w:pStyle w:val="FGCNORMAL"/>
      </w:pPr>
      <w:r w:rsidRPr="00D2134C">
        <w:t xml:space="preserve">Sandra is an experienced </w:t>
      </w:r>
      <w:r w:rsidR="00940386">
        <w:t>n</w:t>
      </w:r>
      <w:r w:rsidR="005B5FAA" w:rsidRPr="00D2134C">
        <w:t>on</w:t>
      </w:r>
      <w:r w:rsidRPr="00D2134C">
        <w:t>-</w:t>
      </w:r>
      <w:r w:rsidR="00940386">
        <w:t>e</w:t>
      </w:r>
      <w:r w:rsidRPr="00D2134C">
        <w:t xml:space="preserve">xecutive </w:t>
      </w:r>
      <w:r w:rsidR="00940386">
        <w:t>d</w:t>
      </w:r>
      <w:r w:rsidRPr="00D2134C">
        <w:t xml:space="preserve">irector, bringing extensive experience in the financial services and insurance industries to the </w:t>
      </w:r>
      <w:r w:rsidR="00B15A33" w:rsidRPr="00D2134C">
        <w:t>NDIA</w:t>
      </w:r>
      <w:r w:rsidRPr="00D2134C">
        <w:t xml:space="preserve">. </w:t>
      </w:r>
      <w:r w:rsidR="004A3CF4" w:rsidRPr="00D2134C">
        <w:t xml:space="preserve">Sandra </w:t>
      </w:r>
      <w:r w:rsidRPr="00D2134C">
        <w:t xml:space="preserve">is the Chair of </w:t>
      </w:r>
      <w:proofErr w:type="spellStart"/>
      <w:r w:rsidRPr="00D2134C">
        <w:t>Auswide</w:t>
      </w:r>
      <w:proofErr w:type="spellEnd"/>
      <w:r w:rsidRPr="00D2134C">
        <w:t xml:space="preserve"> Bank Limited and currently holds board positions with MLC Limited, Horizon Oil Limited, 7-11 Holdings Limited (and its subsidiaries), Tasmanian Public Finance Corporation, Sunshine Coast Children’s Therapy Centre, Collection House Limited and Adore Beauty Group Limited. </w:t>
      </w:r>
    </w:p>
    <w:p w14:paraId="11973054" w14:textId="17C18793" w:rsidR="00E121BA" w:rsidRPr="00D2134C" w:rsidRDefault="004A3CF4" w:rsidP="00E121BA">
      <w:pPr>
        <w:pStyle w:val="FGCNORMAL"/>
      </w:pPr>
      <w:r w:rsidRPr="00D2134C">
        <w:t xml:space="preserve">Sandra </w:t>
      </w:r>
      <w:r w:rsidR="00E121BA" w:rsidRPr="00D2134C">
        <w:t xml:space="preserve">is a member of the Council for the University of the Sunshine Coast, an independent member of the Audit Committee of the Reserve Bank of Australia, and Chair of the Audit and Risk Committee for the Public Trustee of Queensland. </w:t>
      </w:r>
      <w:r w:rsidRPr="00D2134C">
        <w:t xml:space="preserve">Sandra </w:t>
      </w:r>
      <w:r w:rsidR="00E121BA" w:rsidRPr="00D2134C">
        <w:t xml:space="preserve">was formerly a partner with PricewaterhouseCoopers including its governance, </w:t>
      </w:r>
      <w:proofErr w:type="gramStart"/>
      <w:r w:rsidR="00E121BA" w:rsidRPr="00D2134C">
        <w:t>risk</w:t>
      </w:r>
      <w:proofErr w:type="gramEnd"/>
      <w:r w:rsidR="00E121BA" w:rsidRPr="00D2134C">
        <w:t xml:space="preserve"> and compliance practice.</w:t>
      </w:r>
    </w:p>
    <w:p w14:paraId="7025B7D1" w14:textId="51E218CE" w:rsidR="00E121BA" w:rsidRPr="00D2134C" w:rsidRDefault="00E121BA" w:rsidP="00E121BA">
      <w:pPr>
        <w:pStyle w:val="FGCNORMAL"/>
      </w:pPr>
      <w:r w:rsidRPr="00D2134C">
        <w:t xml:space="preserve">Qualifications: Bachelor of Commerce from the University of New South Wales and a </w:t>
      </w:r>
      <w:r w:rsidR="005B5FAA">
        <w:t>C</w:t>
      </w:r>
      <w:r w:rsidRPr="00D2134C">
        <w:t xml:space="preserve">hartered </w:t>
      </w:r>
      <w:r w:rsidR="005B5FAA">
        <w:t>A</w:t>
      </w:r>
      <w:r w:rsidRPr="00D2134C">
        <w:t>ccountant.</w:t>
      </w:r>
    </w:p>
    <w:p w14:paraId="7209BAB1" w14:textId="77777777" w:rsidR="00E121BA" w:rsidRPr="00D2134C" w:rsidRDefault="00E121BA" w:rsidP="00E121BA">
      <w:pPr>
        <w:pStyle w:val="FGCNORMAL"/>
      </w:pPr>
      <w:r w:rsidRPr="00D2134C">
        <w:t>Chair: Audit Committee.</w:t>
      </w:r>
    </w:p>
    <w:p w14:paraId="7A4C1C8C" w14:textId="77777777" w:rsidR="00E121BA" w:rsidRPr="00D2134C" w:rsidRDefault="00E121BA" w:rsidP="00E121BA">
      <w:pPr>
        <w:pStyle w:val="FGCNORMAL"/>
        <w:rPr>
          <w:highlight w:val="lightGray"/>
        </w:rPr>
      </w:pPr>
      <w:r w:rsidRPr="00D2134C">
        <w:t>Member: Risk Committee and People and Remuneration Committee.</w:t>
      </w:r>
    </w:p>
    <w:p w14:paraId="54F017A0" w14:textId="77777777" w:rsidR="00E121BA" w:rsidRPr="00D2134C" w:rsidRDefault="00E121BA" w:rsidP="00E121BA">
      <w:pPr>
        <w:spacing w:before="60" w:after="60"/>
        <w:rPr>
          <w:rFonts w:eastAsia="DengXian"/>
          <w:b/>
        </w:rPr>
      </w:pPr>
      <w:r w:rsidRPr="00D2134C">
        <w:rPr>
          <w:rFonts w:eastAsia="DengXian"/>
          <w:noProof/>
          <w:sz w:val="24"/>
          <w:szCs w:val="24"/>
          <w:lang w:eastAsia="en-AU"/>
        </w:rPr>
        <w:drawing>
          <wp:inline distT="0" distB="0" distL="0" distR="0" wp14:anchorId="72DD3AF8" wp14:editId="2C2C4092">
            <wp:extent cx="1251585" cy="1684655"/>
            <wp:effectExtent l="0" t="0" r="5715" b="0"/>
            <wp:docPr id="12" name="Picture 12" descr="Professor Jane Bu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rofessor Jane Burns"/>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51585" cy="1684655"/>
                    </a:xfrm>
                    <a:prstGeom prst="rect">
                      <a:avLst/>
                    </a:prstGeom>
                    <a:noFill/>
                    <a:ln>
                      <a:noFill/>
                    </a:ln>
                  </pic:spPr>
                </pic:pic>
              </a:graphicData>
            </a:graphic>
          </wp:inline>
        </w:drawing>
      </w:r>
      <w:r w:rsidRPr="00D2134C">
        <w:rPr>
          <w:rFonts w:eastAsia="DengXian"/>
          <w:b/>
          <w:sz w:val="24"/>
          <w:szCs w:val="24"/>
        </w:rPr>
        <w:br/>
      </w:r>
      <w:bookmarkStart w:id="469" w:name="_Hlk114141612"/>
      <w:r w:rsidRPr="00D2134C">
        <w:rPr>
          <w:rStyle w:val="FGCEMPHASIS"/>
        </w:rPr>
        <w:t>Professor Jane Burns</w:t>
      </w:r>
    </w:p>
    <w:p w14:paraId="19C73D34" w14:textId="00C707DB" w:rsidR="00E121BA" w:rsidRPr="00D2134C" w:rsidRDefault="00E121BA" w:rsidP="00E121BA">
      <w:pPr>
        <w:pStyle w:val="FGCNORMAL"/>
      </w:pPr>
      <w:r w:rsidRPr="00D2134C">
        <w:t xml:space="preserve">Jane is a health strategist with extensive experience in suicide prevention, mental health, </w:t>
      </w:r>
      <w:proofErr w:type="gramStart"/>
      <w:r w:rsidRPr="00D2134C">
        <w:t>wellbeing</w:t>
      </w:r>
      <w:proofErr w:type="gramEnd"/>
      <w:r w:rsidRPr="00D2134C">
        <w:t xml:space="preserve"> and innovation.</w:t>
      </w:r>
    </w:p>
    <w:p w14:paraId="0B83B2D5" w14:textId="58E7CDEE" w:rsidR="00E121BA" w:rsidRPr="00D2134C" w:rsidRDefault="004A3CF4" w:rsidP="00E121BA">
      <w:pPr>
        <w:pStyle w:val="FGCNORMAL"/>
      </w:pPr>
      <w:r w:rsidRPr="00D2134C">
        <w:t xml:space="preserve">Jane </w:t>
      </w:r>
      <w:r w:rsidR="00E121BA" w:rsidRPr="00D2134C">
        <w:t xml:space="preserve">is Chair of the National Advisory Committee for Open Arms – Veterans &amp; Families Counselling; and Chair of Swiss 8. </w:t>
      </w:r>
      <w:r w:rsidRPr="00D2134C">
        <w:t>Jane</w:t>
      </w:r>
      <w:r w:rsidR="00E121BA" w:rsidRPr="00D2134C">
        <w:t xml:space="preserve"> is a Non-Executive Director with the Applied Positive Psychology Learning Institute and Mind Medicine Australia.</w:t>
      </w:r>
    </w:p>
    <w:p w14:paraId="56705F08" w14:textId="47A73024" w:rsidR="00E121BA" w:rsidRPr="00D2134C" w:rsidRDefault="004A3CF4" w:rsidP="00E121BA">
      <w:pPr>
        <w:pStyle w:val="FGCNORMAL"/>
      </w:pPr>
      <w:r w:rsidRPr="00D2134C">
        <w:t xml:space="preserve">Jane </w:t>
      </w:r>
      <w:r w:rsidR="00E121BA" w:rsidRPr="00D2134C">
        <w:t>is an experienced C-</w:t>
      </w:r>
      <w:r w:rsidR="00FC6109">
        <w:t>s</w:t>
      </w:r>
      <w:r w:rsidR="00E121BA" w:rsidRPr="00D2134C">
        <w:t xml:space="preserve">uite </w:t>
      </w:r>
      <w:r w:rsidR="00FC6109">
        <w:t>e</w:t>
      </w:r>
      <w:r w:rsidR="00E121BA" w:rsidRPr="00D2134C">
        <w:t>xecutive and was the founder and CEO of the Young and Well Cooperative Research Centre. </w:t>
      </w:r>
    </w:p>
    <w:p w14:paraId="2FFAA4F4" w14:textId="52E10360" w:rsidR="00E121BA" w:rsidRPr="00D2134C" w:rsidRDefault="00E121BA" w:rsidP="00E121BA">
      <w:pPr>
        <w:pStyle w:val="FGCNORMAL"/>
      </w:pPr>
      <w:r w:rsidRPr="00D2134C">
        <w:t xml:space="preserve">While working with industry and the </w:t>
      </w:r>
      <w:r w:rsidR="00B15A33" w:rsidRPr="00D2134C">
        <w:t>non-government organisation (</w:t>
      </w:r>
      <w:r w:rsidRPr="00D2134C">
        <w:t>NGO</w:t>
      </w:r>
      <w:r w:rsidR="00B15A33" w:rsidRPr="00D2134C">
        <w:t>)</w:t>
      </w:r>
      <w:r w:rsidRPr="00D2134C">
        <w:t xml:space="preserve"> sector </w:t>
      </w:r>
      <w:r w:rsidR="004A3CF4" w:rsidRPr="00D2134C">
        <w:t xml:space="preserve">Jane </w:t>
      </w:r>
      <w:r w:rsidRPr="00D2134C">
        <w:t xml:space="preserve">has held joint appointments at the University of California, San Francisco and the University of Sydney. </w:t>
      </w:r>
      <w:r w:rsidR="004A3CF4" w:rsidRPr="00D2134C">
        <w:t xml:space="preserve">Jane </w:t>
      </w:r>
      <w:r w:rsidRPr="00D2134C">
        <w:t>is an enterprise professorial fellow at the University of Melbourne.</w:t>
      </w:r>
    </w:p>
    <w:p w14:paraId="3D96DF76" w14:textId="29C34163" w:rsidR="00E121BA" w:rsidRPr="00D2134C" w:rsidRDefault="00E121BA" w:rsidP="00E121BA">
      <w:pPr>
        <w:pStyle w:val="FGCNORMAL"/>
      </w:pPr>
      <w:r w:rsidRPr="00D2134C">
        <w:t xml:space="preserve">In recognition of her achievements in entrepreneurship </w:t>
      </w:r>
      <w:r w:rsidR="004A3CF4" w:rsidRPr="00D2134C">
        <w:t xml:space="preserve">Jane </w:t>
      </w:r>
      <w:r w:rsidRPr="00D2134C">
        <w:t xml:space="preserve">won the category of Social Enterprise for the 2015 </w:t>
      </w:r>
      <w:r w:rsidRPr="00EE2D88">
        <w:rPr>
          <w:i/>
          <w:iCs/>
        </w:rPr>
        <w:t>Australian Financial Review</w:t>
      </w:r>
      <w:r w:rsidRPr="00D2134C">
        <w:t xml:space="preserve"> and Westpac Group 100 Women of Influence, and was a Victorian Finalist in the 2017 Telstra Business Women’s Awards.</w:t>
      </w:r>
    </w:p>
    <w:p w14:paraId="60077BE5" w14:textId="193EAF7D" w:rsidR="00E121BA" w:rsidRPr="00D2134C" w:rsidRDefault="00901126" w:rsidP="00E121BA">
      <w:pPr>
        <w:pStyle w:val="FGCNORMAL"/>
      </w:pPr>
      <w:r w:rsidRPr="00D2134C">
        <w:lastRenderedPageBreak/>
        <w:t>Jane</w:t>
      </w:r>
      <w:r w:rsidR="00E121BA" w:rsidRPr="00D2134C">
        <w:t xml:space="preserve"> is currently a strategic consultant to </w:t>
      </w:r>
      <w:proofErr w:type="spellStart"/>
      <w:r w:rsidR="00E121BA" w:rsidRPr="00D2134C">
        <w:t>TogetherAI</w:t>
      </w:r>
      <w:proofErr w:type="spellEnd"/>
      <w:r w:rsidR="00E121BA" w:rsidRPr="00D2134C">
        <w:t xml:space="preserve"> and Clarity+. </w:t>
      </w:r>
    </w:p>
    <w:p w14:paraId="1A28EBB7" w14:textId="73EEAED7" w:rsidR="00E121BA" w:rsidRPr="00D2134C" w:rsidRDefault="00E121BA" w:rsidP="00E121BA">
      <w:pPr>
        <w:pStyle w:val="FGCNORMAL"/>
      </w:pPr>
      <w:r w:rsidRPr="00D2134C">
        <w:t xml:space="preserve">Qualifications: </w:t>
      </w:r>
      <w:r w:rsidR="00774016" w:rsidRPr="00467702">
        <w:t xml:space="preserve">Doctor of Philosophy </w:t>
      </w:r>
      <w:r w:rsidR="00B009C5" w:rsidRPr="00467702">
        <w:t>(</w:t>
      </w:r>
      <w:r w:rsidRPr="00467702">
        <w:t>PhD</w:t>
      </w:r>
      <w:r w:rsidR="00B009C5">
        <w:t>)</w:t>
      </w:r>
      <w:r w:rsidRPr="00D2134C">
        <w:t xml:space="preserve">, </w:t>
      </w:r>
      <w:r w:rsidR="006E48EC">
        <w:t xml:space="preserve">Bachelor of Arts </w:t>
      </w:r>
      <w:r w:rsidR="00E42501">
        <w:t>(</w:t>
      </w:r>
      <w:r w:rsidR="007D14B3">
        <w:t>Ho</w:t>
      </w:r>
      <w:r w:rsidR="00812ED6">
        <w:t>n</w:t>
      </w:r>
      <w:r w:rsidR="007D14B3">
        <w:t>s</w:t>
      </w:r>
      <w:r w:rsidR="00812ED6">
        <w:t>)</w:t>
      </w:r>
      <w:r w:rsidRPr="00D2134C">
        <w:t xml:space="preserve"> (Psych</w:t>
      </w:r>
      <w:r w:rsidR="007D14B3">
        <w:t>ology</w:t>
      </w:r>
      <w:r w:rsidRPr="00D2134C">
        <w:t xml:space="preserve">) from the University of Adelaide and </w:t>
      </w:r>
      <w:r w:rsidR="007D14B3">
        <w:t xml:space="preserve">Graduate of the Australian </w:t>
      </w:r>
      <w:r w:rsidR="000671B8">
        <w:t>I</w:t>
      </w:r>
      <w:r w:rsidR="007D14B3">
        <w:t>nstitute of Company Directors</w:t>
      </w:r>
      <w:r w:rsidR="00B652EC">
        <w:t xml:space="preserve"> </w:t>
      </w:r>
      <w:r w:rsidR="007D14B3">
        <w:t>(</w:t>
      </w:r>
      <w:r w:rsidRPr="00D2134C">
        <w:t>GAICD</w:t>
      </w:r>
      <w:r w:rsidR="007D14B3">
        <w:t>)</w:t>
      </w:r>
      <w:r w:rsidRPr="00D2134C">
        <w:t>.</w:t>
      </w:r>
    </w:p>
    <w:p w14:paraId="2EE7980F" w14:textId="7FE110D9" w:rsidR="00E121BA" w:rsidRPr="00D2134C" w:rsidRDefault="00E121BA" w:rsidP="00E121BA">
      <w:pPr>
        <w:pStyle w:val="FGCNORMAL"/>
        <w:rPr>
          <w:highlight w:val="lightGray"/>
          <w:lang w:eastAsia="zh-CN" w:bidi="th-TH"/>
        </w:rPr>
      </w:pPr>
      <w:r w:rsidRPr="00D2134C">
        <w:t>Member: ICT and Digital Committee</w:t>
      </w:r>
      <w:r w:rsidR="00FC00CD" w:rsidRPr="00D2134C">
        <w:t xml:space="preserve"> and</w:t>
      </w:r>
      <w:r w:rsidRPr="00D2134C">
        <w:t xml:space="preserve"> People and Remuneration Committee.</w:t>
      </w:r>
    </w:p>
    <w:bookmarkEnd w:id="469"/>
    <w:p w14:paraId="6241AD9C" w14:textId="7119B9B1" w:rsidR="00E121BA" w:rsidRPr="00D2134C" w:rsidRDefault="00E121BA" w:rsidP="00E121BA">
      <w:pPr>
        <w:spacing w:before="60" w:after="60"/>
        <w:rPr>
          <w:rStyle w:val="FGCEMPHASIS"/>
        </w:rPr>
      </w:pPr>
      <w:r w:rsidRPr="00D2134C">
        <w:rPr>
          <w:rFonts w:eastAsia="DengXian"/>
          <w:noProof/>
          <w:sz w:val="24"/>
          <w:szCs w:val="24"/>
          <w:lang w:eastAsia="en-AU"/>
        </w:rPr>
        <w:drawing>
          <wp:inline distT="0" distB="0" distL="0" distR="0" wp14:anchorId="38B5D9E9" wp14:editId="763EAE3E">
            <wp:extent cx="1262333" cy="1758462"/>
            <wp:effectExtent l="0" t="0" r="0" b="0"/>
            <wp:docPr id="11" name="Picture 11" descr="Mr Glenn Keys A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Mr Glenn Keys AO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265011" cy="1762193"/>
                    </a:xfrm>
                    <a:prstGeom prst="rect">
                      <a:avLst/>
                    </a:prstGeom>
                    <a:noFill/>
                    <a:ln>
                      <a:noFill/>
                    </a:ln>
                  </pic:spPr>
                </pic:pic>
              </a:graphicData>
            </a:graphic>
          </wp:inline>
        </w:drawing>
      </w:r>
      <w:r w:rsidR="001912BB" w:rsidRPr="00D2134C">
        <w:rPr>
          <w:rFonts w:eastAsia="Calibri"/>
          <w:b/>
          <w:sz w:val="24"/>
          <w:szCs w:val="24"/>
        </w:rPr>
        <w:br/>
      </w:r>
      <w:r w:rsidRPr="00D2134C">
        <w:rPr>
          <w:rStyle w:val="FGCEMPHASIS"/>
        </w:rPr>
        <w:t xml:space="preserve">Mr Glenn Keys AO </w:t>
      </w:r>
    </w:p>
    <w:p w14:paraId="0CAE1251" w14:textId="02ED0DA0" w:rsidR="00E121BA" w:rsidRPr="00D2134C" w:rsidRDefault="00E121BA" w:rsidP="00E121BA">
      <w:pPr>
        <w:pStyle w:val="FGCNORMAL"/>
      </w:pPr>
      <w:r w:rsidRPr="00D2134C">
        <w:t xml:space="preserve">Glenn has been a member of the NDIS Board since inception. </w:t>
      </w:r>
      <w:r w:rsidR="004A3CF4" w:rsidRPr="00D2134C">
        <w:t xml:space="preserve">Glenn </w:t>
      </w:r>
      <w:r w:rsidRPr="00D2134C">
        <w:t>has long been involved in efforts to improve the lives of people with disability through his involvement in the Special Olympics, the Down Syndrome Association and the disability housing sector.</w:t>
      </w:r>
    </w:p>
    <w:p w14:paraId="0D015C56" w14:textId="3EC2D6F5" w:rsidR="00E121BA" w:rsidRPr="00D2134C" w:rsidRDefault="004A3CF4" w:rsidP="00E121BA">
      <w:pPr>
        <w:pStyle w:val="FGCNORMAL"/>
      </w:pPr>
      <w:r w:rsidRPr="00D2134C">
        <w:t xml:space="preserve">Glenn </w:t>
      </w:r>
      <w:r w:rsidR="00E121BA" w:rsidRPr="00D2134C">
        <w:t>has a health sector background as co-founder and Executive Chairman of Aspen Medical, and founder and Chairman of Project Independence, an initiative offering home ownership to people with disability. </w:t>
      </w:r>
    </w:p>
    <w:p w14:paraId="083FF77B" w14:textId="5B306F4B" w:rsidR="00E121BA" w:rsidRPr="00D2134C" w:rsidRDefault="004A3CF4" w:rsidP="00E121BA">
      <w:pPr>
        <w:pStyle w:val="FGCNORMAL"/>
      </w:pPr>
      <w:r w:rsidRPr="00D2134C">
        <w:t xml:space="preserve">Glenn </w:t>
      </w:r>
      <w:r w:rsidR="00E121BA" w:rsidRPr="00D2134C">
        <w:t xml:space="preserve">was awarded an Officer in the General Division (AO) in the 2017 Queen’s Birthday Honours List for his distinguished service to disability, business and commerce, and as an advocate for corporate social responsibility. </w:t>
      </w:r>
      <w:r w:rsidR="007B1965">
        <w:t>He</w:t>
      </w:r>
      <w:r w:rsidR="00E121BA" w:rsidRPr="00D2134C">
        <w:t xml:space="preserve"> was named 2015 ACT Australian of the Year and was a board member of the organising committee for the Australian Invictus Games 2018. </w:t>
      </w:r>
      <w:r w:rsidRPr="00D2134C">
        <w:t xml:space="preserve">Glenn </w:t>
      </w:r>
      <w:r w:rsidR="00E121BA" w:rsidRPr="00D2134C">
        <w:t>has a child with an intellectual disability.</w:t>
      </w:r>
    </w:p>
    <w:p w14:paraId="1905F1EB" w14:textId="3EFA4E3C" w:rsidR="00E121BA" w:rsidRPr="00D2134C" w:rsidRDefault="00E121BA" w:rsidP="00E121BA">
      <w:pPr>
        <w:pStyle w:val="FGCNORMAL"/>
        <w:rPr>
          <w:rFonts w:eastAsia="Calibri"/>
        </w:rPr>
      </w:pPr>
      <w:r w:rsidRPr="00D2134C">
        <w:rPr>
          <w:rFonts w:eastAsia="Calibri"/>
        </w:rPr>
        <w:t>Qualifications: Bachelor of Mechanical Engineering from the University of New South Wales.</w:t>
      </w:r>
    </w:p>
    <w:p w14:paraId="141E7BBF" w14:textId="77777777" w:rsidR="00E121BA" w:rsidRPr="00D2134C" w:rsidRDefault="00E121BA" w:rsidP="00E121BA">
      <w:pPr>
        <w:pStyle w:val="FGCNORMAL"/>
        <w:rPr>
          <w:rFonts w:eastAsia="Calibri"/>
        </w:rPr>
      </w:pPr>
      <w:r w:rsidRPr="00D2134C">
        <w:rPr>
          <w:rFonts w:eastAsia="Calibri"/>
        </w:rPr>
        <w:t>Chair: ICT and Digital Committee.</w:t>
      </w:r>
    </w:p>
    <w:p w14:paraId="707E0AC7" w14:textId="77777777" w:rsidR="00E121BA" w:rsidRPr="00D2134C" w:rsidRDefault="00E121BA" w:rsidP="00E121BA">
      <w:pPr>
        <w:pStyle w:val="FGCNORMAL"/>
        <w:rPr>
          <w:rFonts w:eastAsia="Calibri"/>
        </w:rPr>
      </w:pPr>
      <w:r w:rsidRPr="00D2134C">
        <w:rPr>
          <w:rFonts w:eastAsia="Calibri"/>
        </w:rPr>
        <w:t>Member: People and Remuneration Committee.</w:t>
      </w:r>
    </w:p>
    <w:p w14:paraId="5281726A" w14:textId="7CBAC9CE" w:rsidR="00E121BA" w:rsidRPr="00D2134C" w:rsidRDefault="00E121BA" w:rsidP="00E121BA">
      <w:pPr>
        <w:spacing w:before="60" w:after="60"/>
        <w:rPr>
          <w:rStyle w:val="FGCEMPHASIS"/>
        </w:rPr>
      </w:pPr>
      <w:r w:rsidRPr="00D2134C">
        <w:rPr>
          <w:rFonts w:eastAsia="DengXian"/>
          <w:noProof/>
          <w:sz w:val="24"/>
          <w:szCs w:val="24"/>
          <w:lang w:eastAsia="en-AU"/>
        </w:rPr>
        <w:drawing>
          <wp:inline distT="0" distB="0" distL="0" distR="0" wp14:anchorId="25047D08" wp14:editId="383D7479">
            <wp:extent cx="1058545" cy="1491615"/>
            <wp:effectExtent l="0" t="0" r="8255" b="0"/>
            <wp:docPr id="5" name="Picture 5" descr="Ms Estelle Pea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s Estelle Pearso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58545" cy="1491615"/>
                    </a:xfrm>
                    <a:prstGeom prst="rect">
                      <a:avLst/>
                    </a:prstGeom>
                    <a:noFill/>
                    <a:ln>
                      <a:noFill/>
                    </a:ln>
                  </pic:spPr>
                </pic:pic>
              </a:graphicData>
            </a:graphic>
          </wp:inline>
        </w:drawing>
      </w:r>
      <w:r w:rsidR="001912BB" w:rsidRPr="00D2134C">
        <w:rPr>
          <w:rFonts w:eastAsia="Calibri"/>
          <w:b/>
          <w:sz w:val="24"/>
          <w:szCs w:val="24"/>
        </w:rPr>
        <w:br/>
      </w:r>
      <w:r w:rsidRPr="00D2134C">
        <w:rPr>
          <w:rStyle w:val="FGCEMPHASIS"/>
        </w:rPr>
        <w:t>Ms Estelle Pearson</w:t>
      </w:r>
    </w:p>
    <w:p w14:paraId="4B0F1CD5" w14:textId="3162E01C" w:rsidR="00E121BA" w:rsidRPr="00D2134C" w:rsidRDefault="00E121BA" w:rsidP="00E121BA">
      <w:pPr>
        <w:pStyle w:val="FGCNORMAL"/>
      </w:pPr>
      <w:r w:rsidRPr="00D2134C">
        <w:t xml:space="preserve">Estelle has extensive experience in the insurance and injury compensation sector, having worked as an actuary and consultant in this sector since 1989. </w:t>
      </w:r>
      <w:r w:rsidR="004A3CF4" w:rsidRPr="00D2134C">
        <w:t xml:space="preserve">Estelle </w:t>
      </w:r>
      <w:r w:rsidRPr="00D2134C">
        <w:t xml:space="preserve">is currently a Director of </w:t>
      </w:r>
      <w:proofErr w:type="spellStart"/>
      <w:r w:rsidRPr="00D2134C">
        <w:t>Finity</w:t>
      </w:r>
      <w:proofErr w:type="spellEnd"/>
      <w:r w:rsidRPr="00D2134C">
        <w:t xml:space="preserve"> Consulting Pty Limited and was previously on the Council of the Actuaries Institute, including a term as President in 2015.</w:t>
      </w:r>
    </w:p>
    <w:p w14:paraId="1DD1E66E" w14:textId="393C5C6D" w:rsidR="00E121BA" w:rsidRPr="00D2134C" w:rsidRDefault="00E121BA" w:rsidP="00E121BA">
      <w:pPr>
        <w:pStyle w:val="FGCNORMAL"/>
      </w:pPr>
      <w:r w:rsidRPr="00D2134C">
        <w:t xml:space="preserve">Qualifications: </w:t>
      </w:r>
      <w:r w:rsidR="007D14B3">
        <w:t xml:space="preserve">Bachelor of Arts </w:t>
      </w:r>
      <w:r w:rsidR="00E42501">
        <w:t>(</w:t>
      </w:r>
      <w:r w:rsidRPr="00D2134C">
        <w:t>Hons</w:t>
      </w:r>
      <w:r w:rsidR="00E42501">
        <w:t>)</w:t>
      </w:r>
      <w:r w:rsidRPr="00D2134C">
        <w:t xml:space="preserve"> (Mathematics) from the University of Oxford; </w:t>
      </w:r>
      <w:r w:rsidR="007D14B3">
        <w:t>Fellow of the Institute of Actuaries Australia (</w:t>
      </w:r>
      <w:r w:rsidRPr="00D2134C">
        <w:t>FIAA</w:t>
      </w:r>
      <w:r w:rsidR="007D14B3">
        <w:t>)</w:t>
      </w:r>
      <w:r w:rsidRPr="00D2134C">
        <w:t>.</w:t>
      </w:r>
    </w:p>
    <w:p w14:paraId="1881D5A4" w14:textId="77777777" w:rsidR="00E121BA" w:rsidRPr="00D2134C" w:rsidRDefault="00E121BA" w:rsidP="00E121BA">
      <w:pPr>
        <w:pStyle w:val="FGCNORMAL"/>
      </w:pPr>
      <w:r w:rsidRPr="00D2134C">
        <w:t>Chair: Sustainability Committee.</w:t>
      </w:r>
    </w:p>
    <w:p w14:paraId="47EDB996" w14:textId="77777777" w:rsidR="00E121BA" w:rsidRPr="00D2134C" w:rsidRDefault="00E121BA" w:rsidP="00E121BA">
      <w:pPr>
        <w:pStyle w:val="FGCNORMAL"/>
      </w:pPr>
      <w:r w:rsidRPr="00D2134C">
        <w:t>Member: Audit Committee.</w:t>
      </w:r>
    </w:p>
    <w:p w14:paraId="394EA048" w14:textId="5280F01A" w:rsidR="00E121BA" w:rsidRPr="00D2134C" w:rsidRDefault="00E121BA" w:rsidP="00E121BA">
      <w:pPr>
        <w:spacing w:before="60" w:after="60"/>
        <w:rPr>
          <w:rStyle w:val="FGCEMPHASIS"/>
        </w:rPr>
      </w:pPr>
      <w:r w:rsidRPr="00D2134C">
        <w:rPr>
          <w:noProof/>
        </w:rPr>
        <w:lastRenderedPageBreak/>
        <w:drawing>
          <wp:inline distT="0" distB="0" distL="0" distR="0" wp14:anchorId="28AA1442" wp14:editId="0A8E0F75">
            <wp:extent cx="1228090" cy="1591408"/>
            <wp:effectExtent l="0" t="0" r="0" b="8890"/>
            <wp:docPr id="40" name="Picture 40" descr="Ms Leah van P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Ms Leah van Poppel"/>
                    <pic:cNvPicPr>
                      <a:picLocks noChangeAspect="1" noChangeArrowheads="1"/>
                    </pic:cNvPicPr>
                  </pic:nvPicPr>
                  <pic:blipFill rotWithShape="1">
                    <a:blip r:embed="rId111">
                      <a:extLst>
                        <a:ext uri="{28A0092B-C50C-407E-A947-70E740481C1C}">
                          <a14:useLocalDpi xmlns:a14="http://schemas.microsoft.com/office/drawing/2010/main" val="0"/>
                        </a:ext>
                      </a:extLst>
                    </a:blip>
                    <a:srcRect b="13766"/>
                    <a:stretch/>
                  </pic:blipFill>
                  <pic:spPr bwMode="auto">
                    <a:xfrm>
                      <a:off x="0" y="0"/>
                      <a:ext cx="1234744" cy="1600031"/>
                    </a:xfrm>
                    <a:prstGeom prst="rect">
                      <a:avLst/>
                    </a:prstGeom>
                    <a:noFill/>
                    <a:ln>
                      <a:noFill/>
                    </a:ln>
                    <a:extLst>
                      <a:ext uri="{53640926-AAD7-44D8-BBD7-CCE9431645EC}">
                        <a14:shadowObscured xmlns:a14="http://schemas.microsoft.com/office/drawing/2010/main"/>
                      </a:ext>
                    </a:extLst>
                  </pic:spPr>
                </pic:pic>
              </a:graphicData>
            </a:graphic>
          </wp:inline>
        </w:drawing>
      </w:r>
      <w:r w:rsidR="001912BB" w:rsidRPr="00D2134C">
        <w:rPr>
          <w:rFonts w:eastAsia="Calibri"/>
          <w:b/>
          <w:sz w:val="24"/>
          <w:szCs w:val="24"/>
          <w:highlight w:val="yellow"/>
        </w:rPr>
        <w:br/>
      </w:r>
      <w:r w:rsidRPr="00D2134C">
        <w:rPr>
          <w:rStyle w:val="FGCEMPHASIS"/>
        </w:rPr>
        <w:t xml:space="preserve">Ms Leah van </w:t>
      </w:r>
      <w:proofErr w:type="spellStart"/>
      <w:r w:rsidRPr="00D2134C">
        <w:rPr>
          <w:rStyle w:val="FGCEMPHASIS"/>
        </w:rPr>
        <w:t>Poppel</w:t>
      </w:r>
      <w:proofErr w:type="spellEnd"/>
      <w:r w:rsidRPr="00D2134C">
        <w:rPr>
          <w:rStyle w:val="FGCEMPHASIS"/>
        </w:rPr>
        <w:t xml:space="preserve"> </w:t>
      </w:r>
    </w:p>
    <w:p w14:paraId="1867C353" w14:textId="5BB29BA9" w:rsidR="00E121BA" w:rsidRPr="00D2134C" w:rsidRDefault="00E121BA" w:rsidP="00E121BA">
      <w:pPr>
        <w:pStyle w:val="FGCNORMAL"/>
      </w:pPr>
      <w:r w:rsidRPr="00D2134C">
        <w:t>Leah is Chair of the Victorian NDIS Community Advisory Council and the Principal Member of the NDIS Independent Advisory Council (IAC).</w:t>
      </w:r>
    </w:p>
    <w:p w14:paraId="5FBD0079" w14:textId="2535857C" w:rsidR="00E121BA" w:rsidRPr="00D2134C" w:rsidRDefault="00E121BA" w:rsidP="00E121BA">
      <w:pPr>
        <w:pStyle w:val="FGCNORMAL"/>
      </w:pPr>
      <w:r w:rsidRPr="00D2134C">
        <w:t xml:space="preserve">A highly respected leader and disability rights advocate, </w:t>
      </w:r>
      <w:r w:rsidR="006F5416">
        <w:t xml:space="preserve">Leah </w:t>
      </w:r>
      <w:r w:rsidRPr="00D2134C">
        <w:t xml:space="preserve">was CEO of Women with Disabilities Victoria from 2018 to 2021. In this position, </w:t>
      </w:r>
      <w:r w:rsidR="006F5416">
        <w:t>she</w:t>
      </w:r>
      <w:r w:rsidR="004A3CF4" w:rsidRPr="00D2134C">
        <w:t xml:space="preserve"> </w:t>
      </w:r>
      <w:r w:rsidRPr="00D2134C">
        <w:t>worked to empower marginalised women in the community through education and mentoring, as well as research, policy advice and government advocacy.</w:t>
      </w:r>
    </w:p>
    <w:p w14:paraId="70C7FA12" w14:textId="114EB566" w:rsidR="00E121BA" w:rsidRPr="00D2134C" w:rsidRDefault="00E121BA" w:rsidP="00E121BA">
      <w:pPr>
        <w:pStyle w:val="FGCNORMAL"/>
      </w:pPr>
      <w:r w:rsidRPr="00D2134C">
        <w:t xml:space="preserve">Previously </w:t>
      </w:r>
      <w:r w:rsidR="006F5416">
        <w:t>Leah</w:t>
      </w:r>
      <w:r w:rsidRPr="00D2134C">
        <w:t xml:space="preserve"> was CEO of Blind Citizens Australia, Manager at Youth Disability Advocacy Service, and NDIS Readiness Project Officer at Australian Federation of Disability Organisations (AFDO).</w:t>
      </w:r>
    </w:p>
    <w:p w14:paraId="42D175C2" w14:textId="6AD7911B" w:rsidR="00E121BA" w:rsidRPr="00D2134C" w:rsidRDefault="00E121BA" w:rsidP="00E121BA">
      <w:pPr>
        <w:pStyle w:val="FGCNORMAL"/>
      </w:pPr>
      <w:r w:rsidRPr="00D2134C">
        <w:t>Qualifications: Bachelor of Arts, Macquarie University.</w:t>
      </w:r>
    </w:p>
    <w:p w14:paraId="789F58A2" w14:textId="77777777" w:rsidR="00E121BA" w:rsidRPr="00D2134C" w:rsidRDefault="00E121BA" w:rsidP="00E121BA">
      <w:pPr>
        <w:pStyle w:val="FGCNORMAL"/>
        <w:rPr>
          <w:lang w:eastAsia="zh-CN" w:bidi="th-TH"/>
        </w:rPr>
      </w:pPr>
      <w:r w:rsidRPr="00D2134C">
        <w:t>Member: Sustainability Committee.</w:t>
      </w:r>
    </w:p>
    <w:p w14:paraId="7F3B04CB" w14:textId="5F1EE25E" w:rsidR="00E121BA" w:rsidRPr="00D2134C" w:rsidRDefault="00E121BA" w:rsidP="00E121BA">
      <w:pPr>
        <w:spacing w:before="60" w:after="60"/>
        <w:rPr>
          <w:rStyle w:val="FGCEMPHASIS"/>
        </w:rPr>
      </w:pPr>
      <w:r w:rsidRPr="00D2134C">
        <w:rPr>
          <w:noProof/>
        </w:rPr>
        <w:drawing>
          <wp:inline distT="0" distB="0" distL="0" distR="0" wp14:anchorId="3BB96CE2" wp14:editId="473524F3">
            <wp:extent cx="1248508" cy="1869388"/>
            <wp:effectExtent l="0" t="0" r="8890" b="0"/>
            <wp:docPr id="33" name="Picture 33" descr="Dr Peta Seaton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r Peta Seaton AM"/>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57387" cy="1882683"/>
                    </a:xfrm>
                    <a:prstGeom prst="rect">
                      <a:avLst/>
                    </a:prstGeom>
                    <a:noFill/>
                    <a:ln>
                      <a:noFill/>
                    </a:ln>
                  </pic:spPr>
                </pic:pic>
              </a:graphicData>
            </a:graphic>
          </wp:inline>
        </w:drawing>
      </w:r>
      <w:r w:rsidR="001912BB" w:rsidRPr="00D2134C">
        <w:rPr>
          <w:rFonts w:eastAsia="Calibri"/>
          <w:b/>
          <w:sz w:val="24"/>
          <w:szCs w:val="24"/>
          <w:highlight w:val="yellow"/>
        </w:rPr>
        <w:br/>
      </w:r>
      <w:r w:rsidRPr="00D2134C">
        <w:rPr>
          <w:rStyle w:val="FGCEMPHASIS"/>
        </w:rPr>
        <w:t xml:space="preserve">Dr Peta Seaton AM </w:t>
      </w:r>
    </w:p>
    <w:p w14:paraId="1633EDF6" w14:textId="26B65F2D" w:rsidR="00E121BA" w:rsidRPr="00D2134C" w:rsidRDefault="00E121BA" w:rsidP="00E121BA">
      <w:pPr>
        <w:pStyle w:val="FGCNORMAL"/>
      </w:pPr>
      <w:r w:rsidRPr="00D2134C">
        <w:t>Peta is a member of the Nepean Blue Mountains Local Health District and is the Principal of Strategic Consulting</w:t>
      </w:r>
      <w:r w:rsidR="00407456" w:rsidRPr="00D2134C">
        <w:t xml:space="preserve"> Board</w:t>
      </w:r>
      <w:r w:rsidRPr="00D2134C">
        <w:t>.</w:t>
      </w:r>
    </w:p>
    <w:p w14:paraId="613CC6EA" w14:textId="2C2A7C1C" w:rsidR="00E121BA" w:rsidRPr="00D2134C" w:rsidRDefault="00F6479A" w:rsidP="00E121BA">
      <w:pPr>
        <w:pStyle w:val="FGCNORMAL"/>
      </w:pPr>
      <w:r w:rsidRPr="00D2134C">
        <w:t xml:space="preserve">Peta </w:t>
      </w:r>
      <w:r w:rsidR="00E121BA" w:rsidRPr="00D2134C">
        <w:t xml:space="preserve">is a former Chair of Hearing Australia, Deputy Chair of the Bradman </w:t>
      </w:r>
      <w:proofErr w:type="gramStart"/>
      <w:r w:rsidR="00E121BA" w:rsidRPr="00D2134C">
        <w:t>Foundation</w:t>
      </w:r>
      <w:proofErr w:type="gramEnd"/>
      <w:r w:rsidR="00E121BA" w:rsidRPr="00D2134C">
        <w:t xml:space="preserve"> and a Non-Executive Director of the Menzies Research Centre, BDCU Alliance Bank, </w:t>
      </w:r>
      <w:proofErr w:type="spellStart"/>
      <w:r w:rsidR="00E121BA" w:rsidRPr="00D2134C">
        <w:t>Bundanon</w:t>
      </w:r>
      <w:proofErr w:type="spellEnd"/>
      <w:r w:rsidR="00E121BA" w:rsidRPr="00D2134C">
        <w:t xml:space="preserve"> Trust and CARE Australia. </w:t>
      </w:r>
      <w:r w:rsidR="004A3CF4" w:rsidRPr="00D2134C">
        <w:t xml:space="preserve">Peta </w:t>
      </w:r>
      <w:r w:rsidR="00E121BA" w:rsidRPr="00D2134C">
        <w:t>is the President of the Near Eastern Archaeology Foundation (University of Sydney).</w:t>
      </w:r>
    </w:p>
    <w:p w14:paraId="73A7E2F6" w14:textId="1391CB3F" w:rsidR="00E121BA" w:rsidRPr="00D2134C" w:rsidRDefault="00E121BA" w:rsidP="00E121BA">
      <w:pPr>
        <w:pStyle w:val="FGCNORMAL"/>
      </w:pPr>
      <w:r w:rsidRPr="00D2134C">
        <w:t xml:space="preserve">A former New South Wales parliamentarian and frontbencher, </w:t>
      </w:r>
      <w:r w:rsidR="00BD2A66" w:rsidRPr="00D2134C">
        <w:t>Peta</w:t>
      </w:r>
      <w:r w:rsidRPr="00D2134C">
        <w:t xml:space="preserve"> is a public sector policy and reform professional with </w:t>
      </w:r>
      <w:proofErr w:type="gramStart"/>
      <w:r w:rsidRPr="00D2134C">
        <w:t>particular experience</w:t>
      </w:r>
      <w:proofErr w:type="gramEnd"/>
      <w:r w:rsidRPr="00D2134C">
        <w:t xml:space="preserve"> in health and human </w:t>
      </w:r>
      <w:r w:rsidR="00E64466" w:rsidRPr="00D2134C">
        <w:t>services and</w:t>
      </w:r>
      <w:r w:rsidRPr="00D2134C">
        <w:t xml:space="preserve"> served as Director of Transition and Director of Strategic Priorities in the New South Wales Premier’s Office from 2011 to 2014.</w:t>
      </w:r>
    </w:p>
    <w:p w14:paraId="0ABADD0C" w14:textId="30FD76A6" w:rsidR="00E121BA" w:rsidRPr="00D2134C" w:rsidRDefault="00E121BA" w:rsidP="00E121BA">
      <w:pPr>
        <w:pStyle w:val="FGCNORMAL"/>
      </w:pPr>
      <w:r w:rsidRPr="00D2134C">
        <w:t xml:space="preserve">In 2017, </w:t>
      </w:r>
      <w:r w:rsidR="00977BDC" w:rsidRPr="00D2134C">
        <w:t>Peta</w:t>
      </w:r>
      <w:r w:rsidRPr="00D2134C">
        <w:t xml:space="preserve"> was made a member of the Order of Australia (AM). </w:t>
      </w:r>
      <w:r w:rsidR="00F6479A" w:rsidRPr="00D2134C">
        <w:t xml:space="preserve">Peta </w:t>
      </w:r>
      <w:r w:rsidRPr="00D2134C">
        <w:t>lives in regional New South Wales and runs a small farm enterprise.</w:t>
      </w:r>
    </w:p>
    <w:p w14:paraId="3DBEDB91" w14:textId="3D6DF892" w:rsidR="00E121BA" w:rsidRPr="00D2134C" w:rsidRDefault="00E121BA" w:rsidP="00E121BA">
      <w:pPr>
        <w:pStyle w:val="FGCNORMAL"/>
      </w:pPr>
      <w:r w:rsidRPr="00D2134C">
        <w:t xml:space="preserve">Qualifications: </w:t>
      </w:r>
      <w:r w:rsidR="00126EF6">
        <w:t>Doctor of Philosophy</w:t>
      </w:r>
      <w:r w:rsidR="00B009C5">
        <w:t xml:space="preserve"> (PhD)</w:t>
      </w:r>
      <w:r w:rsidRPr="00D2134C">
        <w:t xml:space="preserve"> and </w:t>
      </w:r>
      <w:r w:rsidR="005B0B49">
        <w:t xml:space="preserve">Bachelor of Arts </w:t>
      </w:r>
      <w:r w:rsidRPr="00D2134C">
        <w:t xml:space="preserve">(Hons) from University of Sydney and </w:t>
      </w:r>
      <w:r w:rsidR="00E42501">
        <w:t>Graduate of the Australian Institute of Company Directors (</w:t>
      </w:r>
      <w:r w:rsidRPr="00D2134C">
        <w:t>GAICD</w:t>
      </w:r>
      <w:r w:rsidR="00E42501">
        <w:t>)</w:t>
      </w:r>
      <w:r w:rsidRPr="00D2134C">
        <w:t>.</w:t>
      </w:r>
    </w:p>
    <w:p w14:paraId="31A87652" w14:textId="436885DC" w:rsidR="00B515D6" w:rsidRDefault="00E121BA" w:rsidP="00EE2D88">
      <w:pPr>
        <w:pStyle w:val="FGCNORMAL"/>
        <w:rPr>
          <w:rStyle w:val="FGCEMPHASIS"/>
        </w:rPr>
      </w:pPr>
      <w:r w:rsidRPr="00D2134C">
        <w:t>Member: Sustainability Committee</w:t>
      </w:r>
      <w:r w:rsidR="00E64466" w:rsidRPr="00D2134C">
        <w:t xml:space="preserve"> and</w:t>
      </w:r>
      <w:r w:rsidRPr="00D2134C">
        <w:t xml:space="preserve"> ICT and Digital Committee.</w:t>
      </w:r>
    </w:p>
    <w:p w14:paraId="6E371EAC" w14:textId="2C35EED6" w:rsidR="00B515D6" w:rsidRPr="00D2134C" w:rsidRDefault="00B515D6" w:rsidP="00B515D6">
      <w:pPr>
        <w:autoSpaceDE w:val="0"/>
        <w:autoSpaceDN w:val="0"/>
        <w:adjustRightInd w:val="0"/>
        <w:spacing w:before="60" w:after="60"/>
        <w:rPr>
          <w:rStyle w:val="FGCEMPHASIS"/>
        </w:rPr>
      </w:pPr>
      <w:r w:rsidRPr="00D2134C">
        <w:rPr>
          <w:rStyle w:val="FGCEMPHASIS"/>
        </w:rPr>
        <w:lastRenderedPageBreak/>
        <w:t>Dr Denis Napthine AO</w:t>
      </w:r>
      <w:r w:rsidRPr="00D2134C">
        <w:rPr>
          <w:rStyle w:val="FGCEMPHASIS"/>
          <w:b w:val="0"/>
          <w:bCs w:val="0"/>
        </w:rPr>
        <w:t>,</w:t>
      </w:r>
      <w:r w:rsidRPr="00D2134C">
        <w:rPr>
          <w:rStyle w:val="FGCEMPHASIS"/>
        </w:rPr>
        <w:t xml:space="preserve"> </w:t>
      </w:r>
      <w:r w:rsidRPr="00D2134C">
        <w:rPr>
          <w:rStyle w:val="FGCEMPHASIS"/>
          <w:b w:val="0"/>
          <w:bCs w:val="0"/>
        </w:rPr>
        <w:t>former Chair</w:t>
      </w:r>
      <w:r w:rsidR="004C4803">
        <w:rPr>
          <w:rStyle w:val="FGCEMPHASIS"/>
          <w:b w:val="0"/>
          <w:bCs w:val="0"/>
        </w:rPr>
        <w:t xml:space="preserve"> and Board member</w:t>
      </w:r>
    </w:p>
    <w:p w14:paraId="53A0A126" w14:textId="77777777" w:rsidR="00B515D6" w:rsidRPr="00D2134C" w:rsidRDefault="00B515D6" w:rsidP="00B515D6">
      <w:pPr>
        <w:pStyle w:val="FGCNORMAL"/>
      </w:pPr>
      <w:r w:rsidRPr="00D2134C">
        <w:t>Member: Risk Committee.</w:t>
      </w:r>
    </w:p>
    <w:p w14:paraId="54530199" w14:textId="50C6A1F5" w:rsidR="00B515D6" w:rsidRPr="00121CEE" w:rsidRDefault="00B515D6" w:rsidP="00B515D6">
      <w:pPr>
        <w:pStyle w:val="FGCNORMAL"/>
      </w:pPr>
      <w:r w:rsidRPr="007930DF">
        <w:rPr>
          <w:shd w:val="clear" w:color="auto" w:fill="FFFFFF"/>
        </w:rPr>
        <w:t xml:space="preserve">Denis </w:t>
      </w:r>
      <w:r w:rsidR="004C4803" w:rsidRPr="007930DF">
        <w:rPr>
          <w:shd w:val="clear" w:color="auto" w:fill="FFFFFF"/>
        </w:rPr>
        <w:t xml:space="preserve">was appointed as </w:t>
      </w:r>
      <w:r w:rsidRPr="007930DF">
        <w:rPr>
          <w:shd w:val="clear" w:color="auto" w:fill="FFFFFF"/>
        </w:rPr>
        <w:t xml:space="preserve">Chair of the NDIA Board on </w:t>
      </w:r>
      <w:r w:rsidR="004C4803" w:rsidRPr="007930DF">
        <w:rPr>
          <w:shd w:val="clear" w:color="auto" w:fill="FFFFFF"/>
        </w:rPr>
        <w:t xml:space="preserve">1 April 2022. He resigned on </w:t>
      </w:r>
      <w:r w:rsidRPr="007930DF">
        <w:rPr>
          <w:shd w:val="clear" w:color="auto" w:fill="FFFFFF"/>
        </w:rPr>
        <w:t>18 July 2022.</w:t>
      </w:r>
    </w:p>
    <w:p w14:paraId="28F4E9CC" w14:textId="77777777" w:rsidR="00B515D6" w:rsidRDefault="00B515D6" w:rsidP="00FB3721">
      <w:pPr>
        <w:autoSpaceDE w:val="0"/>
        <w:autoSpaceDN w:val="0"/>
        <w:adjustRightInd w:val="0"/>
        <w:spacing w:before="60" w:after="60" w:line="191" w:lineRule="atLeast"/>
        <w:rPr>
          <w:rFonts w:eastAsia="Calibri"/>
          <w:b/>
          <w:sz w:val="24"/>
          <w:szCs w:val="24"/>
        </w:rPr>
      </w:pPr>
    </w:p>
    <w:p w14:paraId="5F1358F1" w14:textId="1A55A1AB" w:rsidR="00FB3721" w:rsidRPr="002A203D" w:rsidRDefault="00FB3721" w:rsidP="00FB3721">
      <w:pPr>
        <w:autoSpaceDE w:val="0"/>
        <w:autoSpaceDN w:val="0"/>
        <w:adjustRightInd w:val="0"/>
        <w:spacing w:before="60" w:after="60" w:line="191" w:lineRule="atLeast"/>
        <w:rPr>
          <w:rFonts w:eastAsia="Calibri"/>
          <w:b/>
        </w:rPr>
      </w:pPr>
      <w:r w:rsidRPr="002A203D">
        <w:rPr>
          <w:rFonts w:eastAsia="Calibri"/>
          <w:b/>
        </w:rPr>
        <w:t xml:space="preserve">Dr Helen Nugent AO </w:t>
      </w:r>
      <w:r w:rsidRPr="002A203D">
        <w:rPr>
          <w:rFonts w:eastAsia="Calibri"/>
          <w:bCs/>
        </w:rPr>
        <w:t>former Chair</w:t>
      </w:r>
      <w:r w:rsidRPr="002A203D">
        <w:rPr>
          <w:rFonts w:eastAsia="Calibri"/>
          <w:b/>
        </w:rPr>
        <w:t xml:space="preserve"> </w:t>
      </w:r>
    </w:p>
    <w:p w14:paraId="7008B85F" w14:textId="4FF5A5B5" w:rsidR="000A2A88" w:rsidRPr="0059794E" w:rsidRDefault="000A2A88" w:rsidP="00FB3721">
      <w:pPr>
        <w:pStyle w:val="FGCNORMAL"/>
        <w:rPr>
          <w:lang w:eastAsia="zh-CN" w:bidi="th-TH"/>
        </w:rPr>
      </w:pPr>
      <w:r w:rsidRPr="0059794E">
        <w:t>Helen stepped down as NDIA Board Chair on 31 December 2021.</w:t>
      </w:r>
    </w:p>
    <w:p w14:paraId="6153A390" w14:textId="77777777" w:rsidR="00E121BA" w:rsidRPr="00D2134C" w:rsidRDefault="00E121BA" w:rsidP="00E121BA">
      <w:pPr>
        <w:pStyle w:val="FGCHEADING3"/>
      </w:pPr>
      <w:bookmarkStart w:id="470" w:name="_Toc51067983"/>
      <w:bookmarkStart w:id="471" w:name="_Toc110532537"/>
      <w:bookmarkStart w:id="472" w:name="_Toc114477537"/>
      <w:bookmarkStart w:id="473" w:name="_Toc116414708"/>
      <w:bookmarkStart w:id="474" w:name="_Toc116473902"/>
      <w:r w:rsidRPr="00D2134C">
        <w:t>Board committees</w:t>
      </w:r>
      <w:bookmarkEnd w:id="470"/>
      <w:bookmarkEnd w:id="471"/>
      <w:bookmarkEnd w:id="472"/>
      <w:bookmarkEnd w:id="473"/>
      <w:bookmarkEnd w:id="474"/>
    </w:p>
    <w:p w14:paraId="60B6AA78" w14:textId="4342D076" w:rsidR="00E121BA" w:rsidRPr="00D2134C" w:rsidRDefault="00E121BA" w:rsidP="00E121BA">
      <w:pPr>
        <w:pStyle w:val="FGCNORMAL"/>
      </w:pPr>
      <w:proofErr w:type="gramStart"/>
      <w:r w:rsidRPr="00D2134C">
        <w:t>A number of</w:t>
      </w:r>
      <w:proofErr w:type="gramEnd"/>
      <w:r w:rsidRPr="00D2134C">
        <w:t xml:space="preserve"> committees, councils and groups are in place to support the Board in ensuring the </w:t>
      </w:r>
      <w:r w:rsidR="00751C73">
        <w:t xml:space="preserve">NDIA </w:t>
      </w:r>
      <w:r w:rsidRPr="00D2134C">
        <w:t xml:space="preserve">meets its statutory requirements and manages risk. </w:t>
      </w:r>
      <w:r w:rsidR="008025F0" w:rsidRPr="00D2134C">
        <w:t>T</w:t>
      </w:r>
      <w:r w:rsidRPr="00D2134C">
        <w:t>able</w:t>
      </w:r>
      <w:r w:rsidR="008025F0" w:rsidRPr="00D2134C">
        <w:t xml:space="preserve"> 4.2.2A</w:t>
      </w:r>
      <w:r w:rsidRPr="00D2134C">
        <w:t xml:space="preserve"> provides the title and role of each committee and its members as </w:t>
      </w:r>
      <w:proofErr w:type="gramStart"/>
      <w:r w:rsidRPr="00D2134C">
        <w:t>at</w:t>
      </w:r>
      <w:proofErr w:type="gramEnd"/>
      <w:r w:rsidRPr="00D2134C">
        <w:t xml:space="preserve"> 30 June 2022. </w:t>
      </w:r>
    </w:p>
    <w:p w14:paraId="5AB6B1A8" w14:textId="7544090B" w:rsidR="00E121BA" w:rsidRPr="00D2134C" w:rsidRDefault="00E121BA" w:rsidP="001912BB">
      <w:pPr>
        <w:pStyle w:val="FGCNORMAL"/>
        <w:keepNext/>
      </w:pPr>
      <w:r w:rsidRPr="00D2134C">
        <w:rPr>
          <w:rStyle w:val="FGCEMPHASIS"/>
        </w:rPr>
        <w:t>Table 4.2.</w:t>
      </w:r>
      <w:r w:rsidR="00175EDB" w:rsidRPr="00D2134C">
        <w:rPr>
          <w:rStyle w:val="FGCEMPHASIS"/>
        </w:rPr>
        <w:t>2</w:t>
      </w:r>
      <w:r w:rsidRPr="00D2134C">
        <w:rPr>
          <w:rStyle w:val="FGCEMPHASIS"/>
        </w:rPr>
        <w:t>A</w:t>
      </w:r>
      <w:r w:rsidRPr="00D2134C">
        <w:t xml:space="preserve">: Board committees and members as </w:t>
      </w:r>
      <w:proofErr w:type="gramStart"/>
      <w:r w:rsidRPr="00D2134C">
        <w:t>at</w:t>
      </w:r>
      <w:proofErr w:type="gramEnd"/>
      <w:r w:rsidRPr="00D2134C">
        <w:t xml:space="preserve"> 30 June 2022 </w:t>
      </w:r>
    </w:p>
    <w:tbl>
      <w:tblPr>
        <w:tblStyle w:val="GridTable2-Accent31"/>
        <w:tblW w:w="9356" w:type="dxa"/>
        <w:tblInd w:w="709" w:type="dxa"/>
        <w:tblLook w:val="04A0" w:firstRow="1" w:lastRow="0" w:firstColumn="1" w:lastColumn="0" w:noHBand="0" w:noVBand="1"/>
      </w:tblPr>
      <w:tblGrid>
        <w:gridCol w:w="1701"/>
        <w:gridCol w:w="5103"/>
        <w:gridCol w:w="2552"/>
      </w:tblGrid>
      <w:tr w:rsidR="00E121BA" w:rsidRPr="00D2134C" w14:paraId="439A0C78" w14:textId="77777777" w:rsidTr="00EE2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hideMark/>
          </w:tcPr>
          <w:p w14:paraId="2DCA61BC" w14:textId="77777777" w:rsidR="00E121BA" w:rsidRPr="00D2134C" w:rsidRDefault="00E121BA" w:rsidP="00E665B7">
            <w:pPr>
              <w:pStyle w:val="FGCNORMAL"/>
              <w:ind w:left="0"/>
            </w:pPr>
            <w:bookmarkStart w:id="475" w:name="_Hlk107484960"/>
            <w:r w:rsidRPr="00D2134C">
              <w:t>Committee</w:t>
            </w:r>
          </w:p>
        </w:tc>
        <w:tc>
          <w:tcPr>
            <w:tcW w:w="5103" w:type="dxa"/>
            <w:hideMark/>
          </w:tcPr>
          <w:p w14:paraId="48142BC2" w14:textId="77777777" w:rsidR="00E121BA" w:rsidRPr="00D2134C" w:rsidRDefault="00E121BA" w:rsidP="00E665B7">
            <w:pPr>
              <w:pStyle w:val="FGCNORMAL"/>
              <w:ind w:left="0"/>
              <w:cnfStyle w:val="100000000000" w:firstRow="1" w:lastRow="0" w:firstColumn="0" w:lastColumn="0" w:oddVBand="0" w:evenVBand="0" w:oddHBand="0" w:evenHBand="0" w:firstRowFirstColumn="0" w:firstRowLastColumn="0" w:lastRowFirstColumn="0" w:lastRowLastColumn="0"/>
            </w:pPr>
            <w:r w:rsidRPr="00D2134C">
              <w:t>Role</w:t>
            </w:r>
          </w:p>
        </w:tc>
        <w:tc>
          <w:tcPr>
            <w:tcW w:w="2552" w:type="dxa"/>
            <w:hideMark/>
          </w:tcPr>
          <w:p w14:paraId="48DF8FBC" w14:textId="77777777" w:rsidR="00E121BA" w:rsidRPr="00D2134C" w:rsidRDefault="00E121BA" w:rsidP="00E665B7">
            <w:pPr>
              <w:pStyle w:val="FGCNORMAL"/>
              <w:ind w:left="0"/>
              <w:cnfStyle w:val="100000000000" w:firstRow="1" w:lastRow="0" w:firstColumn="0" w:lastColumn="0" w:oddVBand="0" w:evenVBand="0" w:oddHBand="0" w:evenHBand="0" w:firstRowFirstColumn="0" w:firstRowLastColumn="0" w:lastRowFirstColumn="0" w:lastRowLastColumn="0"/>
            </w:pPr>
            <w:r w:rsidRPr="00D2134C">
              <w:t>Members</w:t>
            </w:r>
          </w:p>
        </w:tc>
      </w:tr>
      <w:tr w:rsidR="00E121BA" w:rsidRPr="00D2134C" w14:paraId="3BBFB070"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7DD2406" w14:textId="77777777" w:rsidR="00E121BA" w:rsidRPr="00D2134C" w:rsidRDefault="00E121BA" w:rsidP="00E665B7">
            <w:pPr>
              <w:pStyle w:val="FGCTABLEBOLD"/>
              <w:rPr>
                <w:b/>
                <w:bCs/>
              </w:rPr>
            </w:pPr>
            <w:r w:rsidRPr="00D2134C">
              <w:t>Audit Committee</w:t>
            </w:r>
          </w:p>
        </w:tc>
        <w:tc>
          <w:tcPr>
            <w:tcW w:w="5103" w:type="dxa"/>
            <w:hideMark/>
          </w:tcPr>
          <w:p w14:paraId="49BBB825" w14:textId="4E1BE474"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The Audit Committee assists the Board in the management and oversight of the quality and integrity of the accounting, </w:t>
            </w:r>
            <w:proofErr w:type="gramStart"/>
            <w:r w:rsidRPr="00D2134C">
              <w:t>auditing</w:t>
            </w:r>
            <w:proofErr w:type="gramEnd"/>
            <w:r w:rsidRPr="00D2134C">
              <w:t xml:space="preserve"> and financial reporting of the </w:t>
            </w:r>
            <w:r w:rsidR="00751C73">
              <w:t>NDIA</w:t>
            </w:r>
            <w:r w:rsidRPr="00D2134C">
              <w:t>. It was established in compliance with section 45 of the PGPA Act.</w:t>
            </w:r>
          </w:p>
          <w:p w14:paraId="41944599"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The Australian National Audit Office attends Audit Committee meetings as external auditor, along with the Chief Internal Auditor.</w:t>
            </w:r>
          </w:p>
        </w:tc>
        <w:tc>
          <w:tcPr>
            <w:tcW w:w="2552" w:type="dxa"/>
            <w:hideMark/>
          </w:tcPr>
          <w:p w14:paraId="703ED678"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Ms Sandra </w:t>
            </w:r>
            <w:proofErr w:type="spellStart"/>
            <w:r w:rsidRPr="00D2134C">
              <w:t>Birkensleigh</w:t>
            </w:r>
            <w:proofErr w:type="spellEnd"/>
            <w:r w:rsidRPr="00D2134C">
              <w:t xml:space="preserve"> (Chair) </w:t>
            </w:r>
          </w:p>
          <w:p w14:paraId="35B6BC45"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Ms Estelle Pearson </w:t>
            </w:r>
          </w:p>
          <w:p w14:paraId="324C388F" w14:textId="77777777" w:rsidR="00E121BA"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Mr Jim Minto </w:t>
            </w:r>
          </w:p>
          <w:p w14:paraId="3E617484" w14:textId="59C671F1" w:rsidR="001C0A38" w:rsidRPr="00D2134C" w:rsidRDefault="001C0A38" w:rsidP="00E665B7">
            <w:pPr>
              <w:pStyle w:val="FGCTABLENORMAL"/>
              <w:cnfStyle w:val="000000100000" w:firstRow="0" w:lastRow="0" w:firstColumn="0" w:lastColumn="0" w:oddVBand="0" w:evenVBand="0" w:oddHBand="1" w:evenHBand="0" w:firstRowFirstColumn="0" w:firstRowLastColumn="0" w:lastRowFirstColumn="0" w:lastRowLastColumn="0"/>
              <w:rPr>
                <w:highlight w:val="yellow"/>
              </w:rPr>
            </w:pPr>
            <w:r w:rsidRPr="002A203D">
              <w:t>Ms Meredith Allan</w:t>
            </w:r>
          </w:p>
        </w:tc>
      </w:tr>
      <w:tr w:rsidR="00E121BA" w:rsidRPr="00D2134C" w14:paraId="46C188F9" w14:textId="77777777" w:rsidTr="00EE2D88">
        <w:tc>
          <w:tcPr>
            <w:cnfStyle w:val="001000000000" w:firstRow="0" w:lastRow="0" w:firstColumn="1" w:lastColumn="0" w:oddVBand="0" w:evenVBand="0" w:oddHBand="0" w:evenHBand="0" w:firstRowFirstColumn="0" w:firstRowLastColumn="0" w:lastRowFirstColumn="0" w:lastRowLastColumn="0"/>
            <w:tcW w:w="1701" w:type="dxa"/>
            <w:hideMark/>
          </w:tcPr>
          <w:p w14:paraId="43E09347" w14:textId="77777777" w:rsidR="00E121BA" w:rsidRPr="00D2134C" w:rsidRDefault="00E121BA" w:rsidP="00E665B7">
            <w:pPr>
              <w:pStyle w:val="FGCNORMAL"/>
              <w:ind w:left="0"/>
            </w:pPr>
            <w:r w:rsidRPr="00D2134C">
              <w:t>ICT and Digital Committee</w:t>
            </w:r>
          </w:p>
        </w:tc>
        <w:tc>
          <w:tcPr>
            <w:tcW w:w="5103" w:type="dxa"/>
            <w:hideMark/>
          </w:tcPr>
          <w:p w14:paraId="197ED56D" w14:textId="1F1820EA"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The ICT and Digital Committee assists the Board in the management and oversight of the </w:t>
            </w:r>
            <w:r w:rsidR="008025F0" w:rsidRPr="00D2134C">
              <w:t xml:space="preserve">NDIA’s </w:t>
            </w:r>
            <w:r w:rsidRPr="00D2134C">
              <w:t xml:space="preserve">information, communication, </w:t>
            </w:r>
            <w:proofErr w:type="gramStart"/>
            <w:r w:rsidRPr="00D2134C">
              <w:t>technology</w:t>
            </w:r>
            <w:proofErr w:type="gramEnd"/>
            <w:r w:rsidRPr="00D2134C">
              <w:t xml:space="preserve"> and digital solutions, including providing input to the Board on the design, development, delivery and performance of the information, communication, technology and digital strategy and systems. </w:t>
            </w:r>
          </w:p>
        </w:tc>
        <w:tc>
          <w:tcPr>
            <w:tcW w:w="2552" w:type="dxa"/>
            <w:hideMark/>
          </w:tcPr>
          <w:p w14:paraId="31CE66C7"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Mr Glenn Keys AO (Chair) </w:t>
            </w:r>
          </w:p>
          <w:p w14:paraId="5649B243"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Professor Jane Burns </w:t>
            </w:r>
          </w:p>
          <w:p w14:paraId="6448A99A"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Mr Jim Minto </w:t>
            </w:r>
          </w:p>
          <w:p w14:paraId="529F5D0C"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Dr Peta Seaton AM </w:t>
            </w:r>
          </w:p>
        </w:tc>
      </w:tr>
      <w:tr w:rsidR="00E121BA" w:rsidRPr="00D2134C" w14:paraId="7AAF6722"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9B09CB7" w14:textId="77777777" w:rsidR="00E121BA" w:rsidRPr="00D2134C" w:rsidRDefault="00E121BA" w:rsidP="00E665B7">
            <w:pPr>
              <w:pStyle w:val="FGCNORMAL"/>
              <w:ind w:left="0"/>
            </w:pPr>
            <w:r w:rsidRPr="00D2134C">
              <w:t>People and Remuneration Committee</w:t>
            </w:r>
          </w:p>
        </w:tc>
        <w:tc>
          <w:tcPr>
            <w:tcW w:w="5103" w:type="dxa"/>
            <w:hideMark/>
          </w:tcPr>
          <w:p w14:paraId="5778CD4E" w14:textId="7BB384A0"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The People and Remuneration Committee assists the </w:t>
            </w:r>
            <w:r w:rsidR="008025F0" w:rsidRPr="00D2134C">
              <w:t xml:space="preserve">NDIA </w:t>
            </w:r>
            <w:r w:rsidRPr="00D2134C">
              <w:t>to attract, retain and develop high-performing employees. It oversees strategies, frameworks and programs related to people and remuneration, and provides recommendations to the Board on CEO succession planning.</w:t>
            </w:r>
          </w:p>
        </w:tc>
        <w:tc>
          <w:tcPr>
            <w:tcW w:w="2552" w:type="dxa"/>
            <w:hideMark/>
          </w:tcPr>
          <w:p w14:paraId="50690559"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Mr Jim Minto (Chair)</w:t>
            </w:r>
          </w:p>
          <w:p w14:paraId="67FF0344"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Ms Sandra </w:t>
            </w:r>
            <w:proofErr w:type="spellStart"/>
            <w:r w:rsidRPr="00D2134C">
              <w:t>Birkensleigh</w:t>
            </w:r>
            <w:proofErr w:type="spellEnd"/>
            <w:r w:rsidRPr="00D2134C">
              <w:t xml:space="preserve"> </w:t>
            </w:r>
          </w:p>
          <w:p w14:paraId="3D2D4309"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Mr Glenn Keys AO</w:t>
            </w:r>
          </w:p>
          <w:p w14:paraId="0C71895D"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Professor Jane Burns </w:t>
            </w:r>
          </w:p>
        </w:tc>
      </w:tr>
      <w:tr w:rsidR="00E121BA" w:rsidRPr="00D2134C" w14:paraId="4A7B88F6" w14:textId="77777777" w:rsidTr="00EE2D88">
        <w:tc>
          <w:tcPr>
            <w:cnfStyle w:val="001000000000" w:firstRow="0" w:lastRow="0" w:firstColumn="1" w:lastColumn="0" w:oddVBand="0" w:evenVBand="0" w:oddHBand="0" w:evenHBand="0" w:firstRowFirstColumn="0" w:firstRowLastColumn="0" w:lastRowFirstColumn="0" w:lastRowLastColumn="0"/>
            <w:tcW w:w="1701" w:type="dxa"/>
            <w:hideMark/>
          </w:tcPr>
          <w:p w14:paraId="361485F4" w14:textId="77777777" w:rsidR="00E121BA" w:rsidRPr="00D2134C" w:rsidRDefault="00E121BA" w:rsidP="00E665B7">
            <w:pPr>
              <w:pStyle w:val="FGCNORMAL"/>
              <w:ind w:left="0"/>
            </w:pPr>
            <w:r w:rsidRPr="00D2134C">
              <w:t>Risk Committee</w:t>
            </w:r>
          </w:p>
        </w:tc>
        <w:tc>
          <w:tcPr>
            <w:tcW w:w="5103" w:type="dxa"/>
            <w:hideMark/>
          </w:tcPr>
          <w:p w14:paraId="4C63AC32" w14:textId="17617168"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The Risk Committee assists the Board in the management and oversight of the </w:t>
            </w:r>
            <w:r w:rsidR="00843740" w:rsidRPr="00D2134C">
              <w:t xml:space="preserve">NDIA’s </w:t>
            </w:r>
            <w:r w:rsidRPr="00D2134C">
              <w:t xml:space="preserve">approach to risk management. Its role is to advise the Board on the development and implementation of the </w:t>
            </w:r>
            <w:r w:rsidR="00843740" w:rsidRPr="00D2134C">
              <w:t xml:space="preserve">NDIA’s </w:t>
            </w:r>
            <w:r w:rsidRPr="00D2134C">
              <w:t>overall risk management approach.</w:t>
            </w:r>
          </w:p>
        </w:tc>
        <w:tc>
          <w:tcPr>
            <w:tcW w:w="2552" w:type="dxa"/>
            <w:hideMark/>
          </w:tcPr>
          <w:p w14:paraId="26D1C9BD"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Mr Jim Minto (Chair) </w:t>
            </w:r>
          </w:p>
          <w:p w14:paraId="59352DC0" w14:textId="6227E892"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Dr Denis Napthine AO </w:t>
            </w:r>
          </w:p>
          <w:p w14:paraId="682913A3"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Ms Meredith Allan </w:t>
            </w:r>
          </w:p>
          <w:p w14:paraId="0AE33BD8" w14:textId="77777777" w:rsidR="00E121BA" w:rsidRPr="00D2134C" w:rsidRDefault="00E121BA" w:rsidP="00E665B7">
            <w:pPr>
              <w:pStyle w:val="FGCTABLENORMAL"/>
              <w:cnfStyle w:val="000000000000" w:firstRow="0" w:lastRow="0" w:firstColumn="0" w:lastColumn="0" w:oddVBand="0" w:evenVBand="0" w:oddHBand="0" w:evenHBand="0" w:firstRowFirstColumn="0" w:firstRowLastColumn="0" w:lastRowFirstColumn="0" w:lastRowLastColumn="0"/>
            </w:pPr>
            <w:r w:rsidRPr="00D2134C">
              <w:t xml:space="preserve">Ms Sandra </w:t>
            </w:r>
            <w:proofErr w:type="spellStart"/>
            <w:r w:rsidRPr="00D2134C">
              <w:t>Birkensleigh</w:t>
            </w:r>
            <w:proofErr w:type="spellEnd"/>
            <w:r w:rsidRPr="00D2134C">
              <w:t xml:space="preserve"> </w:t>
            </w:r>
          </w:p>
        </w:tc>
      </w:tr>
      <w:tr w:rsidR="00E121BA" w:rsidRPr="00D2134C" w14:paraId="1E465C41"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004227C1" w14:textId="77777777" w:rsidR="00E121BA" w:rsidRPr="00D2134C" w:rsidRDefault="00E121BA" w:rsidP="00E665B7">
            <w:pPr>
              <w:pStyle w:val="FGCTABLEBOLD"/>
              <w:rPr>
                <w:b/>
                <w:bCs/>
              </w:rPr>
            </w:pPr>
            <w:r w:rsidRPr="00D2134C">
              <w:t>Sustainability Committee</w:t>
            </w:r>
          </w:p>
        </w:tc>
        <w:tc>
          <w:tcPr>
            <w:tcW w:w="5103" w:type="dxa"/>
            <w:hideMark/>
          </w:tcPr>
          <w:p w14:paraId="04FBB730"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The Sustainability Committee provides advice on assessing, monitoring, reporting on and managing the financial sustainability of the Scheme.</w:t>
            </w:r>
          </w:p>
        </w:tc>
        <w:tc>
          <w:tcPr>
            <w:tcW w:w="2552" w:type="dxa"/>
            <w:hideMark/>
          </w:tcPr>
          <w:p w14:paraId="47AF5606"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Ms Estelle Pearson (Chair) </w:t>
            </w:r>
          </w:p>
          <w:p w14:paraId="2C840520"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Mr Jim Minto </w:t>
            </w:r>
          </w:p>
          <w:p w14:paraId="5FC56142"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 xml:space="preserve">Ms Leah van </w:t>
            </w:r>
            <w:proofErr w:type="spellStart"/>
            <w:r w:rsidRPr="00D2134C">
              <w:t>Poppel</w:t>
            </w:r>
            <w:proofErr w:type="spellEnd"/>
            <w:r w:rsidRPr="00D2134C">
              <w:t xml:space="preserve"> </w:t>
            </w:r>
          </w:p>
          <w:p w14:paraId="32310981" w14:textId="77777777" w:rsidR="00E121BA" w:rsidRPr="00D2134C" w:rsidRDefault="00E121BA" w:rsidP="00E665B7">
            <w:pPr>
              <w:pStyle w:val="FGCTABLENORMAL"/>
              <w:cnfStyle w:val="000000100000" w:firstRow="0" w:lastRow="0" w:firstColumn="0" w:lastColumn="0" w:oddVBand="0" w:evenVBand="0" w:oddHBand="1" w:evenHBand="0" w:firstRowFirstColumn="0" w:firstRowLastColumn="0" w:lastRowFirstColumn="0" w:lastRowLastColumn="0"/>
            </w:pPr>
            <w:r w:rsidRPr="00D2134C">
              <w:t>Dr Peta Seaton AM </w:t>
            </w:r>
          </w:p>
        </w:tc>
      </w:tr>
    </w:tbl>
    <w:bookmarkEnd w:id="475"/>
    <w:p w14:paraId="0C4DDA8C" w14:textId="4343A704" w:rsidR="00E121BA" w:rsidRPr="00D2134C" w:rsidRDefault="00CC293E" w:rsidP="00E121BA">
      <w:pPr>
        <w:pStyle w:val="FGCNORMAL"/>
      </w:pPr>
      <w:r>
        <w:t>Refer to</w:t>
      </w:r>
      <w:r w:rsidR="00333FC6">
        <w:t xml:space="preserve"> section </w:t>
      </w:r>
      <w:r w:rsidRPr="00D2134C">
        <w:fldChar w:fldCharType="begin"/>
      </w:r>
      <w:r w:rsidRPr="00D2134C">
        <w:instrText xml:space="preserve"> REF _Ref112666484 \r \h </w:instrText>
      </w:r>
      <w:r w:rsidRPr="00D2134C">
        <w:fldChar w:fldCharType="separate"/>
      </w:r>
      <w:r w:rsidRPr="00D2134C">
        <w:t>5.2</w:t>
      </w:r>
      <w:r w:rsidRPr="00D2134C">
        <w:fldChar w:fldCharType="end"/>
      </w:r>
      <w:r>
        <w:t xml:space="preserve"> for i</w:t>
      </w:r>
      <w:r w:rsidR="00E121BA" w:rsidRPr="00D2134C">
        <w:t>nformation about the Audit Committee Charter.</w:t>
      </w:r>
    </w:p>
    <w:p w14:paraId="21C5D16D" w14:textId="77777777" w:rsidR="00E121BA" w:rsidRPr="00D2134C" w:rsidRDefault="00E121BA" w:rsidP="00E121BA">
      <w:pPr>
        <w:pStyle w:val="FGCHEADING3"/>
      </w:pPr>
      <w:bookmarkStart w:id="476" w:name="_Toc51067984"/>
      <w:bookmarkStart w:id="477" w:name="_Ref107243196"/>
      <w:bookmarkStart w:id="478" w:name="_Toc110532538"/>
      <w:bookmarkStart w:id="479" w:name="_Toc114477538"/>
      <w:bookmarkStart w:id="480" w:name="_Toc116414709"/>
      <w:bookmarkStart w:id="481" w:name="_Toc116473903"/>
      <w:r w:rsidRPr="00D2134C">
        <w:lastRenderedPageBreak/>
        <w:t>Board and committee attendance</w:t>
      </w:r>
      <w:bookmarkEnd w:id="476"/>
      <w:bookmarkEnd w:id="477"/>
      <w:bookmarkEnd w:id="478"/>
      <w:bookmarkEnd w:id="479"/>
      <w:bookmarkEnd w:id="480"/>
      <w:bookmarkEnd w:id="481"/>
    </w:p>
    <w:p w14:paraId="3D000EA6" w14:textId="104858E2" w:rsidR="00E121BA" w:rsidRPr="00D2134C" w:rsidRDefault="00E121BA" w:rsidP="00EE2D88">
      <w:pPr>
        <w:pStyle w:val="FGCNORMAL"/>
        <w:keepNext/>
        <w:ind w:left="0"/>
      </w:pPr>
      <w:bookmarkStart w:id="482" w:name="_Toc51067985"/>
      <w:r w:rsidRPr="00D2134C">
        <w:rPr>
          <w:rStyle w:val="FGCEMPHASIS"/>
        </w:rPr>
        <w:t>Table 4.2.</w:t>
      </w:r>
      <w:r w:rsidR="00843740" w:rsidRPr="00D2134C">
        <w:rPr>
          <w:rStyle w:val="FGCEMPHASIS"/>
        </w:rPr>
        <w:t>3A</w:t>
      </w:r>
      <w:r w:rsidRPr="00D2134C">
        <w:rPr>
          <w:rStyle w:val="FGCEMPHASIS"/>
        </w:rPr>
        <w:t>:</w:t>
      </w:r>
      <w:r w:rsidRPr="00D2134C">
        <w:t xml:space="preserve"> Number of meetings attended by Board members in 2021–22</w:t>
      </w:r>
    </w:p>
    <w:tbl>
      <w:tblPr>
        <w:tblStyle w:val="GridTable2-Accent31"/>
        <w:tblW w:w="9781" w:type="dxa"/>
        <w:tblLayout w:type="fixed"/>
        <w:tblLook w:val="04A0" w:firstRow="1" w:lastRow="0" w:firstColumn="1" w:lastColumn="0" w:noHBand="0" w:noVBand="1"/>
      </w:tblPr>
      <w:tblGrid>
        <w:gridCol w:w="2476"/>
        <w:gridCol w:w="694"/>
        <w:gridCol w:w="693"/>
        <w:gridCol w:w="556"/>
        <w:gridCol w:w="694"/>
        <w:gridCol w:w="694"/>
        <w:gridCol w:w="556"/>
        <w:gridCol w:w="556"/>
        <w:gridCol w:w="556"/>
        <w:gridCol w:w="556"/>
        <w:gridCol w:w="556"/>
        <w:gridCol w:w="627"/>
        <w:gridCol w:w="567"/>
      </w:tblGrid>
      <w:tr w:rsidR="00122956" w:rsidRPr="00D2134C" w14:paraId="44D8B628" w14:textId="77777777" w:rsidTr="00122956">
        <w:trPr>
          <w:cnfStyle w:val="100000000000" w:firstRow="1" w:lastRow="0" w:firstColumn="0" w:lastColumn="0" w:oddVBand="0" w:evenVBand="0" w:oddHBand="0" w:evenHBand="0" w:firstRowFirstColumn="0" w:firstRowLastColumn="0" w:lastRowFirstColumn="0" w:lastRowLastColumn="0"/>
          <w:cantSplit/>
          <w:trHeight w:val="2007"/>
        </w:trPr>
        <w:tc>
          <w:tcPr>
            <w:cnfStyle w:val="001000000000" w:firstRow="0" w:lastRow="0" w:firstColumn="1" w:lastColumn="0" w:oddVBand="0" w:evenVBand="0" w:oddHBand="0" w:evenHBand="0" w:firstRowFirstColumn="0" w:firstRowLastColumn="0" w:lastRowFirstColumn="0" w:lastRowLastColumn="0"/>
            <w:tcW w:w="2476" w:type="dxa"/>
            <w:vMerge w:val="restart"/>
            <w:vAlign w:val="center"/>
          </w:tcPr>
          <w:p w14:paraId="463EDE28" w14:textId="77777777" w:rsidR="00E121BA" w:rsidRPr="00D2134C" w:rsidRDefault="00E121BA" w:rsidP="007E3645">
            <w:pPr>
              <w:pStyle w:val="FGCNORMAL"/>
              <w:keepNext/>
              <w:ind w:left="0"/>
            </w:pPr>
            <w:bookmarkStart w:id="483" w:name="_Hlk107484645"/>
            <w:r w:rsidRPr="00D2134C">
              <w:t>Board member</w:t>
            </w:r>
          </w:p>
        </w:tc>
        <w:tc>
          <w:tcPr>
            <w:tcW w:w="1387" w:type="dxa"/>
            <w:gridSpan w:val="2"/>
            <w:textDirection w:val="btLr"/>
          </w:tcPr>
          <w:p w14:paraId="74DD74ED" w14:textId="77777777" w:rsidR="00E121BA" w:rsidRPr="00D2134C" w:rsidRDefault="00E121BA" w:rsidP="007E3645">
            <w:pPr>
              <w:pStyle w:val="FGCNORMAL"/>
              <w:keepNext/>
              <w:spacing w:before="60" w:after="60"/>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D2134C">
              <w:rPr>
                <w:sz w:val="20"/>
                <w:szCs w:val="20"/>
              </w:rPr>
              <w:t>NDIA Board</w:t>
            </w:r>
          </w:p>
        </w:tc>
        <w:tc>
          <w:tcPr>
            <w:tcW w:w="1250" w:type="dxa"/>
            <w:gridSpan w:val="2"/>
            <w:textDirection w:val="btLr"/>
          </w:tcPr>
          <w:p w14:paraId="6EDBA47A" w14:textId="77777777" w:rsidR="00E121BA" w:rsidRPr="00D2134C" w:rsidRDefault="00E121BA" w:rsidP="007E3645">
            <w:pPr>
              <w:pStyle w:val="FGCNORMAL"/>
              <w:keepNext/>
              <w:spacing w:before="60" w:after="60"/>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D2134C">
              <w:rPr>
                <w:sz w:val="20"/>
                <w:szCs w:val="20"/>
              </w:rPr>
              <w:t>Audit Committee</w:t>
            </w:r>
          </w:p>
        </w:tc>
        <w:tc>
          <w:tcPr>
            <w:tcW w:w="1250" w:type="dxa"/>
            <w:gridSpan w:val="2"/>
            <w:textDirection w:val="btLr"/>
          </w:tcPr>
          <w:p w14:paraId="7B41CA3D" w14:textId="156B177A" w:rsidR="00E121BA" w:rsidRPr="00D2134C" w:rsidRDefault="00C73C16" w:rsidP="007E3645">
            <w:pPr>
              <w:pStyle w:val="FGCNORMAL"/>
              <w:keepNext/>
              <w:spacing w:before="60" w:after="60"/>
              <w:ind w:left="113" w:right="113"/>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ICT </w:t>
            </w:r>
            <w:r w:rsidR="00E121BA" w:rsidRPr="00D2134C">
              <w:rPr>
                <w:sz w:val="20"/>
                <w:szCs w:val="20"/>
              </w:rPr>
              <w:t>and Digital Committee</w:t>
            </w:r>
          </w:p>
        </w:tc>
        <w:tc>
          <w:tcPr>
            <w:tcW w:w="1112" w:type="dxa"/>
            <w:gridSpan w:val="2"/>
            <w:textDirection w:val="btLr"/>
          </w:tcPr>
          <w:p w14:paraId="25F871FC" w14:textId="77777777" w:rsidR="00E121BA" w:rsidRPr="00D2134C" w:rsidRDefault="00E121BA" w:rsidP="007E3645">
            <w:pPr>
              <w:pStyle w:val="FGCNORMAL"/>
              <w:keepNext/>
              <w:spacing w:before="60" w:after="60"/>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D2134C">
              <w:rPr>
                <w:sz w:val="20"/>
                <w:szCs w:val="20"/>
              </w:rPr>
              <w:t>People and Remuneration Committee</w:t>
            </w:r>
          </w:p>
        </w:tc>
        <w:tc>
          <w:tcPr>
            <w:tcW w:w="1112" w:type="dxa"/>
            <w:gridSpan w:val="2"/>
            <w:textDirection w:val="btLr"/>
          </w:tcPr>
          <w:p w14:paraId="473992B5" w14:textId="77777777" w:rsidR="00E121BA" w:rsidRPr="00D2134C" w:rsidRDefault="00E121BA" w:rsidP="007E3645">
            <w:pPr>
              <w:pStyle w:val="FGCNORMAL"/>
              <w:keepNext/>
              <w:spacing w:before="60" w:after="60"/>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D2134C">
              <w:rPr>
                <w:sz w:val="20"/>
                <w:szCs w:val="20"/>
              </w:rPr>
              <w:t>Sustainability Committee</w:t>
            </w:r>
          </w:p>
        </w:tc>
        <w:tc>
          <w:tcPr>
            <w:tcW w:w="1194" w:type="dxa"/>
            <w:gridSpan w:val="2"/>
            <w:textDirection w:val="btLr"/>
          </w:tcPr>
          <w:p w14:paraId="06BE1282" w14:textId="77777777" w:rsidR="00E121BA" w:rsidRPr="00D2134C" w:rsidRDefault="00E121BA" w:rsidP="007E3645">
            <w:pPr>
              <w:pStyle w:val="FGCNORMAL"/>
              <w:keepNext/>
              <w:ind w:left="113" w:right="113"/>
              <w:cnfStyle w:val="100000000000" w:firstRow="1" w:lastRow="0" w:firstColumn="0" w:lastColumn="0" w:oddVBand="0" w:evenVBand="0" w:oddHBand="0" w:evenHBand="0" w:firstRowFirstColumn="0" w:firstRowLastColumn="0" w:lastRowFirstColumn="0" w:lastRowLastColumn="0"/>
              <w:rPr>
                <w:sz w:val="20"/>
                <w:szCs w:val="20"/>
              </w:rPr>
            </w:pPr>
            <w:r w:rsidRPr="00D2134C">
              <w:rPr>
                <w:sz w:val="20"/>
                <w:szCs w:val="20"/>
              </w:rPr>
              <w:t>Risk Committee</w:t>
            </w:r>
          </w:p>
        </w:tc>
      </w:tr>
      <w:tr w:rsidR="00FB51F2" w:rsidRPr="00D2134C" w14:paraId="1035816B" w14:textId="77777777" w:rsidTr="00122956">
        <w:trPr>
          <w:cnfStyle w:val="000000100000" w:firstRow="0" w:lastRow="0" w:firstColumn="0" w:lastColumn="0" w:oddVBand="0" w:evenVBand="0" w:oddHBand="1" w:evenHBand="0" w:firstRowFirstColumn="0" w:firstRowLastColumn="0" w:lastRowFirstColumn="0" w:lastRowLastColumn="0"/>
          <w:cantSplit/>
          <w:trHeight w:val="1147"/>
        </w:trPr>
        <w:tc>
          <w:tcPr>
            <w:cnfStyle w:val="001000000000" w:firstRow="0" w:lastRow="0" w:firstColumn="1" w:lastColumn="0" w:oddVBand="0" w:evenVBand="0" w:oddHBand="0" w:evenHBand="0" w:firstRowFirstColumn="0" w:firstRowLastColumn="0" w:lastRowFirstColumn="0" w:lastRowLastColumn="0"/>
            <w:tcW w:w="2476" w:type="dxa"/>
            <w:vMerge/>
            <w:shd w:val="clear" w:color="auto" w:fill="6B2976"/>
          </w:tcPr>
          <w:p w14:paraId="48D0E776" w14:textId="77777777" w:rsidR="00E121BA" w:rsidRPr="00D2134C" w:rsidRDefault="00E121BA" w:rsidP="007E3645">
            <w:pPr>
              <w:pStyle w:val="FGCNORMAL"/>
              <w:keepNext/>
              <w:ind w:left="0"/>
              <w:rPr>
                <w:color w:val="FFFFFF" w:themeColor="background1"/>
              </w:rPr>
            </w:pPr>
          </w:p>
        </w:tc>
        <w:tc>
          <w:tcPr>
            <w:tcW w:w="694" w:type="dxa"/>
            <w:shd w:val="clear" w:color="auto" w:fill="6B2976"/>
            <w:textDirection w:val="btLr"/>
          </w:tcPr>
          <w:p w14:paraId="114C65EC"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693" w:type="dxa"/>
            <w:shd w:val="clear" w:color="auto" w:fill="6B2976"/>
            <w:textDirection w:val="btLr"/>
          </w:tcPr>
          <w:p w14:paraId="3AEED039"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c>
          <w:tcPr>
            <w:tcW w:w="556" w:type="dxa"/>
            <w:shd w:val="clear" w:color="auto" w:fill="6B2976"/>
            <w:textDirection w:val="btLr"/>
          </w:tcPr>
          <w:p w14:paraId="76B6EB1A"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694" w:type="dxa"/>
            <w:shd w:val="clear" w:color="auto" w:fill="6B2976"/>
            <w:textDirection w:val="btLr"/>
          </w:tcPr>
          <w:p w14:paraId="626640D3"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c>
          <w:tcPr>
            <w:tcW w:w="694" w:type="dxa"/>
            <w:shd w:val="clear" w:color="auto" w:fill="6B2976"/>
            <w:textDirection w:val="btLr"/>
          </w:tcPr>
          <w:p w14:paraId="07D1CC93"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556" w:type="dxa"/>
            <w:shd w:val="clear" w:color="auto" w:fill="6B2976"/>
            <w:textDirection w:val="btLr"/>
          </w:tcPr>
          <w:p w14:paraId="16A1E8CA"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c>
          <w:tcPr>
            <w:tcW w:w="556" w:type="dxa"/>
            <w:shd w:val="clear" w:color="auto" w:fill="6B2976"/>
            <w:textDirection w:val="btLr"/>
          </w:tcPr>
          <w:p w14:paraId="5C6C4880"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556" w:type="dxa"/>
            <w:shd w:val="clear" w:color="auto" w:fill="6B2976"/>
            <w:textDirection w:val="btLr"/>
          </w:tcPr>
          <w:p w14:paraId="41263C67"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c>
          <w:tcPr>
            <w:tcW w:w="556" w:type="dxa"/>
            <w:shd w:val="clear" w:color="auto" w:fill="6B2976"/>
            <w:textDirection w:val="btLr"/>
          </w:tcPr>
          <w:p w14:paraId="72E81674"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556" w:type="dxa"/>
            <w:shd w:val="clear" w:color="auto" w:fill="6B2976"/>
            <w:textDirection w:val="btLr"/>
          </w:tcPr>
          <w:p w14:paraId="4CB25494"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c>
          <w:tcPr>
            <w:tcW w:w="627" w:type="dxa"/>
            <w:shd w:val="clear" w:color="auto" w:fill="6B2976"/>
            <w:textDirection w:val="btLr"/>
          </w:tcPr>
          <w:p w14:paraId="70639618"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Eligible</w:t>
            </w:r>
          </w:p>
        </w:tc>
        <w:tc>
          <w:tcPr>
            <w:tcW w:w="567" w:type="dxa"/>
            <w:shd w:val="clear" w:color="auto" w:fill="6B2976"/>
            <w:textDirection w:val="btLr"/>
          </w:tcPr>
          <w:p w14:paraId="3781F8E0" w14:textId="77777777" w:rsidR="00E121BA" w:rsidRPr="00D2134C" w:rsidRDefault="00E121BA" w:rsidP="007E3645">
            <w:pPr>
              <w:pStyle w:val="FGCNORMAL"/>
              <w:keepNext/>
              <w:ind w:left="113" w:right="113"/>
              <w:cnfStyle w:val="000000100000" w:firstRow="0" w:lastRow="0" w:firstColumn="0" w:lastColumn="0" w:oddVBand="0" w:evenVBand="0" w:oddHBand="1" w:evenHBand="0" w:firstRowFirstColumn="0" w:firstRowLastColumn="0" w:lastRowFirstColumn="0" w:lastRowLastColumn="0"/>
              <w:rPr>
                <w:color w:val="FFFFFF" w:themeColor="background1"/>
              </w:rPr>
            </w:pPr>
            <w:r w:rsidRPr="00D2134C">
              <w:rPr>
                <w:color w:val="FFFFFF" w:themeColor="background1"/>
              </w:rPr>
              <w:t>Attended</w:t>
            </w:r>
          </w:p>
        </w:tc>
      </w:tr>
      <w:tr w:rsidR="00D470D8" w:rsidRPr="00D2134C" w14:paraId="7DCA00D3" w14:textId="77777777" w:rsidTr="00122956">
        <w:trPr>
          <w:trHeight w:val="1264"/>
        </w:trPr>
        <w:tc>
          <w:tcPr>
            <w:cnfStyle w:val="001000000000" w:firstRow="0" w:lastRow="0" w:firstColumn="1" w:lastColumn="0" w:oddVBand="0" w:evenVBand="0" w:oddHBand="0" w:evenHBand="0" w:firstRowFirstColumn="0" w:firstRowLastColumn="0" w:lastRowFirstColumn="0" w:lastRowLastColumn="0"/>
            <w:tcW w:w="2476" w:type="dxa"/>
          </w:tcPr>
          <w:p w14:paraId="6FB2A9C1" w14:textId="73F887E2" w:rsidR="00E121BA" w:rsidRPr="00D2134C" w:rsidRDefault="00E121BA" w:rsidP="007E3645">
            <w:pPr>
              <w:pStyle w:val="FGCNORMAL"/>
              <w:keepNext/>
              <w:ind w:left="0"/>
            </w:pPr>
            <w:r w:rsidRPr="00D2134C">
              <w:t>Dr Denis Napthine AO (</w:t>
            </w:r>
            <w:r w:rsidR="00BE0F00" w:rsidRPr="00D2134C">
              <w:t>Chair</w:t>
            </w:r>
            <w:r w:rsidRPr="00D2134C">
              <w:t>)</w:t>
            </w:r>
            <w:r w:rsidRPr="00D2134C">
              <w:rPr>
                <w:rStyle w:val="FootnoteReference"/>
                <w:sz w:val="18"/>
                <w:szCs w:val="18"/>
              </w:rPr>
              <w:footnoteReference w:id="52"/>
            </w:r>
          </w:p>
        </w:tc>
        <w:tc>
          <w:tcPr>
            <w:tcW w:w="694" w:type="dxa"/>
          </w:tcPr>
          <w:p w14:paraId="342740A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6</w:t>
            </w:r>
          </w:p>
        </w:tc>
        <w:tc>
          <w:tcPr>
            <w:tcW w:w="693" w:type="dxa"/>
          </w:tcPr>
          <w:p w14:paraId="60E93EE2"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6</w:t>
            </w:r>
          </w:p>
        </w:tc>
        <w:tc>
          <w:tcPr>
            <w:tcW w:w="556" w:type="dxa"/>
          </w:tcPr>
          <w:p w14:paraId="6F1E3E9D"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7654F70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3496D53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197D6B15"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7B81B388"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39D15D5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2FF7CDD2"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509FAFA1"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27" w:type="dxa"/>
          </w:tcPr>
          <w:p w14:paraId="1921922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c>
          <w:tcPr>
            <w:tcW w:w="567" w:type="dxa"/>
          </w:tcPr>
          <w:p w14:paraId="37EF98E9"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r>
      <w:tr w:rsidR="00FB51F2" w:rsidRPr="00D2134C" w14:paraId="03960AFF" w14:textId="77777777" w:rsidTr="00122956">
        <w:trPr>
          <w:cnfStyle w:val="000000100000" w:firstRow="0" w:lastRow="0" w:firstColumn="0" w:lastColumn="0" w:oddVBand="0" w:evenVBand="0" w:oddHBand="1"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2476" w:type="dxa"/>
          </w:tcPr>
          <w:p w14:paraId="498EAB38" w14:textId="77777777" w:rsidR="00E121BA" w:rsidRPr="00D2134C" w:rsidRDefault="00E121BA" w:rsidP="007E3645">
            <w:pPr>
              <w:pStyle w:val="FGCNORMAL"/>
              <w:keepNext/>
              <w:ind w:left="0"/>
            </w:pPr>
            <w:r w:rsidRPr="00D2134C">
              <w:t>Mr Jim Minto</w:t>
            </w:r>
            <w:r w:rsidRPr="00D2134C">
              <w:rPr>
                <w:rStyle w:val="FootnoteReference"/>
                <w:sz w:val="18"/>
                <w:szCs w:val="18"/>
              </w:rPr>
              <w:footnoteReference w:id="53"/>
            </w:r>
          </w:p>
        </w:tc>
        <w:tc>
          <w:tcPr>
            <w:tcW w:w="694" w:type="dxa"/>
          </w:tcPr>
          <w:p w14:paraId="014B53E5"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693" w:type="dxa"/>
          </w:tcPr>
          <w:p w14:paraId="41DE35C8"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556" w:type="dxa"/>
          </w:tcPr>
          <w:p w14:paraId="04C21F57"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3</w:t>
            </w:r>
          </w:p>
        </w:tc>
        <w:tc>
          <w:tcPr>
            <w:tcW w:w="694" w:type="dxa"/>
          </w:tcPr>
          <w:p w14:paraId="2638F7D7"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3</w:t>
            </w:r>
          </w:p>
        </w:tc>
        <w:tc>
          <w:tcPr>
            <w:tcW w:w="694" w:type="dxa"/>
          </w:tcPr>
          <w:p w14:paraId="7288C586"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040E9E65"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3FDF2DC8"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6FEC281F"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51CC1EA1"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556" w:type="dxa"/>
          </w:tcPr>
          <w:p w14:paraId="1EBFD996"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627" w:type="dxa"/>
          </w:tcPr>
          <w:p w14:paraId="410B13D4" w14:textId="5BFD5460" w:rsidR="00E121BA"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4</w:t>
            </w:r>
          </w:p>
        </w:tc>
        <w:tc>
          <w:tcPr>
            <w:tcW w:w="567" w:type="dxa"/>
          </w:tcPr>
          <w:p w14:paraId="610478AA" w14:textId="71FD177B" w:rsidR="00E121BA"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4</w:t>
            </w:r>
          </w:p>
        </w:tc>
      </w:tr>
      <w:tr w:rsidR="00D470D8" w:rsidRPr="00D2134C" w14:paraId="701EF228" w14:textId="77777777" w:rsidTr="00122956">
        <w:trPr>
          <w:trHeight w:val="1017"/>
        </w:trPr>
        <w:tc>
          <w:tcPr>
            <w:cnfStyle w:val="001000000000" w:firstRow="0" w:lastRow="0" w:firstColumn="1" w:lastColumn="0" w:oddVBand="0" w:evenVBand="0" w:oddHBand="0" w:evenHBand="0" w:firstRowFirstColumn="0" w:firstRowLastColumn="0" w:lastRowFirstColumn="0" w:lastRowLastColumn="0"/>
            <w:tcW w:w="2476" w:type="dxa"/>
          </w:tcPr>
          <w:p w14:paraId="2E308811" w14:textId="5E1BA36C" w:rsidR="00E121BA" w:rsidRPr="00D2134C" w:rsidRDefault="00E121BA" w:rsidP="007E3645">
            <w:pPr>
              <w:pStyle w:val="FGCNORMAL"/>
              <w:keepNext/>
              <w:ind w:left="0"/>
            </w:pPr>
            <w:r w:rsidRPr="00D2134C">
              <w:t xml:space="preserve">Ms Sandra </w:t>
            </w:r>
            <w:proofErr w:type="spellStart"/>
            <w:r w:rsidRPr="00D2134C">
              <w:t>Birkensleigh</w:t>
            </w:r>
            <w:proofErr w:type="spellEnd"/>
            <w:r w:rsidR="00622439" w:rsidRPr="00D2134C">
              <w:rPr>
                <w:rStyle w:val="FootnoteReference"/>
                <w:sz w:val="18"/>
                <w:szCs w:val="18"/>
              </w:rPr>
              <w:footnoteReference w:id="54"/>
            </w:r>
          </w:p>
        </w:tc>
        <w:tc>
          <w:tcPr>
            <w:tcW w:w="694" w:type="dxa"/>
          </w:tcPr>
          <w:p w14:paraId="16E0CD32"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11</w:t>
            </w:r>
          </w:p>
        </w:tc>
        <w:tc>
          <w:tcPr>
            <w:tcW w:w="693" w:type="dxa"/>
          </w:tcPr>
          <w:p w14:paraId="492CA28C"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10</w:t>
            </w:r>
          </w:p>
        </w:tc>
        <w:tc>
          <w:tcPr>
            <w:tcW w:w="556" w:type="dxa"/>
          </w:tcPr>
          <w:p w14:paraId="5064B537"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694" w:type="dxa"/>
          </w:tcPr>
          <w:p w14:paraId="4288EF73"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694" w:type="dxa"/>
          </w:tcPr>
          <w:p w14:paraId="1A56DAE8"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1118BEBD"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7D5A24E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556" w:type="dxa"/>
          </w:tcPr>
          <w:p w14:paraId="0647E195"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3</w:t>
            </w:r>
          </w:p>
        </w:tc>
        <w:tc>
          <w:tcPr>
            <w:tcW w:w="556" w:type="dxa"/>
          </w:tcPr>
          <w:p w14:paraId="0EA5D53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0AF2634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27" w:type="dxa"/>
          </w:tcPr>
          <w:p w14:paraId="0FD72D4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c>
          <w:tcPr>
            <w:tcW w:w="567" w:type="dxa"/>
          </w:tcPr>
          <w:p w14:paraId="4CF1B7A4"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r>
      <w:tr w:rsidR="00FB51F2" w:rsidRPr="00D2134C" w14:paraId="3DADA45F" w14:textId="77777777" w:rsidTr="00122956">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476" w:type="dxa"/>
          </w:tcPr>
          <w:p w14:paraId="6E3CD1BA" w14:textId="77777777" w:rsidR="00E121BA" w:rsidRPr="00D2134C" w:rsidRDefault="00E121BA" w:rsidP="007E3645">
            <w:pPr>
              <w:pStyle w:val="FGCNORMAL"/>
              <w:keepNext/>
              <w:ind w:left="0"/>
            </w:pPr>
            <w:r w:rsidRPr="00D2134C">
              <w:t>Professor Jane Burns</w:t>
            </w:r>
          </w:p>
        </w:tc>
        <w:tc>
          <w:tcPr>
            <w:tcW w:w="694" w:type="dxa"/>
          </w:tcPr>
          <w:p w14:paraId="2E46CDAC"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693" w:type="dxa"/>
          </w:tcPr>
          <w:p w14:paraId="6D4D181F"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556" w:type="dxa"/>
          </w:tcPr>
          <w:p w14:paraId="41A358E5"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94" w:type="dxa"/>
          </w:tcPr>
          <w:p w14:paraId="329617F1"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94" w:type="dxa"/>
          </w:tcPr>
          <w:p w14:paraId="43214EB8"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4</w:t>
            </w:r>
          </w:p>
        </w:tc>
        <w:tc>
          <w:tcPr>
            <w:tcW w:w="556" w:type="dxa"/>
          </w:tcPr>
          <w:p w14:paraId="6FD5BE56"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75F3CCBE"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56" w:type="dxa"/>
          </w:tcPr>
          <w:p w14:paraId="25029D9F"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w:t>
            </w:r>
          </w:p>
        </w:tc>
        <w:tc>
          <w:tcPr>
            <w:tcW w:w="556" w:type="dxa"/>
          </w:tcPr>
          <w:p w14:paraId="70659554"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041EBD0B"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27" w:type="dxa"/>
          </w:tcPr>
          <w:p w14:paraId="2A46F67C"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67" w:type="dxa"/>
          </w:tcPr>
          <w:p w14:paraId="7F6AC251"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w:t>
            </w:r>
          </w:p>
        </w:tc>
      </w:tr>
      <w:tr w:rsidR="00D470D8" w:rsidRPr="00D2134C" w14:paraId="1CE69DC4" w14:textId="77777777" w:rsidTr="00122956">
        <w:trPr>
          <w:trHeight w:val="756"/>
        </w:trPr>
        <w:tc>
          <w:tcPr>
            <w:cnfStyle w:val="001000000000" w:firstRow="0" w:lastRow="0" w:firstColumn="1" w:lastColumn="0" w:oddVBand="0" w:evenVBand="0" w:oddHBand="0" w:evenHBand="0" w:firstRowFirstColumn="0" w:firstRowLastColumn="0" w:lastRowFirstColumn="0" w:lastRowLastColumn="0"/>
            <w:tcW w:w="2476" w:type="dxa"/>
          </w:tcPr>
          <w:p w14:paraId="4987AF98" w14:textId="77777777" w:rsidR="00E121BA" w:rsidRPr="00D2134C" w:rsidRDefault="00E121BA" w:rsidP="007E3645">
            <w:pPr>
              <w:pStyle w:val="FGCNORMAL"/>
              <w:keepNext/>
              <w:ind w:left="0"/>
            </w:pPr>
            <w:r w:rsidRPr="00D2134C">
              <w:t>Mr Glenn Keys AO</w:t>
            </w:r>
          </w:p>
        </w:tc>
        <w:tc>
          <w:tcPr>
            <w:tcW w:w="694" w:type="dxa"/>
          </w:tcPr>
          <w:p w14:paraId="7568475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11</w:t>
            </w:r>
          </w:p>
        </w:tc>
        <w:tc>
          <w:tcPr>
            <w:tcW w:w="693" w:type="dxa"/>
          </w:tcPr>
          <w:p w14:paraId="3C84B3E3"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9</w:t>
            </w:r>
          </w:p>
        </w:tc>
        <w:tc>
          <w:tcPr>
            <w:tcW w:w="556" w:type="dxa"/>
          </w:tcPr>
          <w:p w14:paraId="49F5CDA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75DE5BD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6E7777AA"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556" w:type="dxa"/>
          </w:tcPr>
          <w:p w14:paraId="7836A61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556" w:type="dxa"/>
          </w:tcPr>
          <w:p w14:paraId="638FECB8"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556" w:type="dxa"/>
          </w:tcPr>
          <w:p w14:paraId="2379399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4</w:t>
            </w:r>
          </w:p>
        </w:tc>
        <w:tc>
          <w:tcPr>
            <w:tcW w:w="556" w:type="dxa"/>
          </w:tcPr>
          <w:p w14:paraId="7CA43604"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42B92C91"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27" w:type="dxa"/>
          </w:tcPr>
          <w:p w14:paraId="54EF8CEB"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67" w:type="dxa"/>
          </w:tcPr>
          <w:p w14:paraId="04FDEFD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r>
      <w:tr w:rsidR="00FB51F2" w:rsidRPr="00D2134C" w14:paraId="2B007864" w14:textId="77777777" w:rsidTr="00122956">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476" w:type="dxa"/>
          </w:tcPr>
          <w:p w14:paraId="563F2472" w14:textId="77777777" w:rsidR="00E121BA" w:rsidRPr="00D2134C" w:rsidRDefault="00E121BA" w:rsidP="007E3645">
            <w:pPr>
              <w:pStyle w:val="FGCNORMAL"/>
              <w:keepNext/>
              <w:ind w:left="0"/>
            </w:pPr>
            <w:r w:rsidRPr="00D2134C">
              <w:t>Ms Estelle Pearson</w:t>
            </w:r>
          </w:p>
        </w:tc>
        <w:tc>
          <w:tcPr>
            <w:tcW w:w="694" w:type="dxa"/>
          </w:tcPr>
          <w:p w14:paraId="4F6604C0"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693" w:type="dxa"/>
          </w:tcPr>
          <w:p w14:paraId="17D123B4"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11</w:t>
            </w:r>
          </w:p>
        </w:tc>
        <w:tc>
          <w:tcPr>
            <w:tcW w:w="556" w:type="dxa"/>
          </w:tcPr>
          <w:p w14:paraId="4D535DB9"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4</w:t>
            </w:r>
          </w:p>
        </w:tc>
        <w:tc>
          <w:tcPr>
            <w:tcW w:w="694" w:type="dxa"/>
          </w:tcPr>
          <w:p w14:paraId="123F57EE"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4</w:t>
            </w:r>
          </w:p>
        </w:tc>
        <w:tc>
          <w:tcPr>
            <w:tcW w:w="694" w:type="dxa"/>
          </w:tcPr>
          <w:p w14:paraId="231CF125"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285BEE50"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69D22CAE"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3F090333"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57CC9C42"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556" w:type="dxa"/>
          </w:tcPr>
          <w:p w14:paraId="5F937CEC"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627" w:type="dxa"/>
          </w:tcPr>
          <w:p w14:paraId="382C479F"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67" w:type="dxa"/>
          </w:tcPr>
          <w:p w14:paraId="15C46918"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r>
      <w:tr w:rsidR="00D470D8" w:rsidRPr="00D2134C" w14:paraId="43D86832" w14:textId="77777777" w:rsidTr="00122956">
        <w:trPr>
          <w:trHeight w:val="768"/>
        </w:trPr>
        <w:tc>
          <w:tcPr>
            <w:cnfStyle w:val="001000000000" w:firstRow="0" w:lastRow="0" w:firstColumn="1" w:lastColumn="0" w:oddVBand="0" w:evenVBand="0" w:oddHBand="0" w:evenHBand="0" w:firstRowFirstColumn="0" w:firstRowLastColumn="0" w:lastRowFirstColumn="0" w:lastRowLastColumn="0"/>
            <w:tcW w:w="2476" w:type="dxa"/>
          </w:tcPr>
          <w:p w14:paraId="4C17506C" w14:textId="77777777" w:rsidR="00E121BA" w:rsidRPr="00D2134C" w:rsidRDefault="00E121BA" w:rsidP="007E3645">
            <w:pPr>
              <w:pStyle w:val="FGCNORMAL"/>
              <w:keepNext/>
              <w:ind w:left="0"/>
            </w:pPr>
            <w:r w:rsidRPr="00D2134C">
              <w:t>Dr Peta Seaton AM</w:t>
            </w:r>
          </w:p>
        </w:tc>
        <w:tc>
          <w:tcPr>
            <w:tcW w:w="694" w:type="dxa"/>
          </w:tcPr>
          <w:p w14:paraId="35750CA3"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6</w:t>
            </w:r>
          </w:p>
        </w:tc>
        <w:tc>
          <w:tcPr>
            <w:tcW w:w="693" w:type="dxa"/>
          </w:tcPr>
          <w:p w14:paraId="6672950A"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6</w:t>
            </w:r>
          </w:p>
        </w:tc>
        <w:tc>
          <w:tcPr>
            <w:tcW w:w="556" w:type="dxa"/>
          </w:tcPr>
          <w:p w14:paraId="54CC99F1"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483A8F5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0998C4F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c>
          <w:tcPr>
            <w:tcW w:w="556" w:type="dxa"/>
          </w:tcPr>
          <w:p w14:paraId="44C8BD2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2</w:t>
            </w:r>
          </w:p>
        </w:tc>
        <w:tc>
          <w:tcPr>
            <w:tcW w:w="556" w:type="dxa"/>
          </w:tcPr>
          <w:p w14:paraId="640C517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479DF7BB"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12358EF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w:t>
            </w:r>
          </w:p>
        </w:tc>
        <w:tc>
          <w:tcPr>
            <w:tcW w:w="556" w:type="dxa"/>
          </w:tcPr>
          <w:p w14:paraId="2BB94409"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w:t>
            </w:r>
          </w:p>
        </w:tc>
        <w:tc>
          <w:tcPr>
            <w:tcW w:w="627" w:type="dxa"/>
          </w:tcPr>
          <w:p w14:paraId="7D73E59B"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67" w:type="dxa"/>
          </w:tcPr>
          <w:p w14:paraId="623C716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r>
      <w:tr w:rsidR="00FB51F2" w:rsidRPr="00D2134C" w14:paraId="7D3CE89B" w14:textId="77777777" w:rsidTr="00122956">
        <w:trPr>
          <w:cnfStyle w:val="000000100000" w:firstRow="0" w:lastRow="0" w:firstColumn="0" w:lastColumn="0" w:oddVBand="0" w:evenVBand="0" w:oddHBand="1" w:evenHBand="0" w:firstRowFirstColumn="0" w:firstRowLastColumn="0" w:lastRowFirstColumn="0" w:lastRowLastColumn="0"/>
          <w:trHeight w:val="1017"/>
        </w:trPr>
        <w:tc>
          <w:tcPr>
            <w:cnfStyle w:val="001000000000" w:firstRow="0" w:lastRow="0" w:firstColumn="1" w:lastColumn="0" w:oddVBand="0" w:evenVBand="0" w:oddHBand="0" w:evenHBand="0" w:firstRowFirstColumn="0" w:firstRowLastColumn="0" w:lastRowFirstColumn="0" w:lastRowLastColumn="0"/>
            <w:tcW w:w="2476" w:type="dxa"/>
          </w:tcPr>
          <w:p w14:paraId="60221AD5" w14:textId="77777777" w:rsidR="00E121BA" w:rsidRPr="00D2134C" w:rsidRDefault="00E121BA" w:rsidP="007E3645">
            <w:pPr>
              <w:pStyle w:val="FGCNORMAL"/>
              <w:keepNext/>
              <w:ind w:left="0"/>
            </w:pPr>
            <w:r w:rsidRPr="00D2134C">
              <w:t>Ms Meredith Allan</w:t>
            </w:r>
          </w:p>
        </w:tc>
        <w:tc>
          <w:tcPr>
            <w:tcW w:w="694" w:type="dxa"/>
          </w:tcPr>
          <w:p w14:paraId="176C40F6"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693" w:type="dxa"/>
          </w:tcPr>
          <w:p w14:paraId="2F04E034"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6</w:t>
            </w:r>
          </w:p>
        </w:tc>
        <w:tc>
          <w:tcPr>
            <w:tcW w:w="556" w:type="dxa"/>
          </w:tcPr>
          <w:p w14:paraId="691A05A0"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94" w:type="dxa"/>
          </w:tcPr>
          <w:p w14:paraId="2656CA0E"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94" w:type="dxa"/>
          </w:tcPr>
          <w:p w14:paraId="6A924962"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09162DB0"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32E380CB"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5CD0CD00"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5155705C"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556" w:type="dxa"/>
          </w:tcPr>
          <w:p w14:paraId="55C460D2"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27" w:type="dxa"/>
          </w:tcPr>
          <w:p w14:paraId="69C34B9A"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c>
          <w:tcPr>
            <w:tcW w:w="567" w:type="dxa"/>
          </w:tcPr>
          <w:p w14:paraId="043841B1" w14:textId="77777777" w:rsidR="00E121BA" w:rsidRPr="00D2134C" w:rsidRDefault="00E121BA" w:rsidP="007E3645">
            <w:pPr>
              <w:pStyle w:val="FGCNORMAL"/>
              <w:keepNext/>
              <w:ind w:left="0"/>
              <w:cnfStyle w:val="000000100000" w:firstRow="0" w:lastRow="0" w:firstColumn="0" w:lastColumn="0" w:oddVBand="0" w:evenVBand="0" w:oddHBand="1" w:evenHBand="0" w:firstRowFirstColumn="0" w:firstRowLastColumn="0" w:lastRowFirstColumn="0" w:lastRowLastColumn="0"/>
            </w:pPr>
            <w:r w:rsidRPr="00D2134C">
              <w:t>2</w:t>
            </w:r>
          </w:p>
        </w:tc>
      </w:tr>
      <w:tr w:rsidR="00D470D8" w:rsidRPr="00D2134C" w14:paraId="0358568A" w14:textId="77777777" w:rsidTr="00122956">
        <w:trPr>
          <w:trHeight w:val="756"/>
        </w:trPr>
        <w:tc>
          <w:tcPr>
            <w:cnfStyle w:val="001000000000" w:firstRow="0" w:lastRow="0" w:firstColumn="1" w:lastColumn="0" w:oddVBand="0" w:evenVBand="0" w:oddHBand="0" w:evenHBand="0" w:firstRowFirstColumn="0" w:firstRowLastColumn="0" w:lastRowFirstColumn="0" w:lastRowLastColumn="0"/>
            <w:tcW w:w="2476" w:type="dxa"/>
          </w:tcPr>
          <w:p w14:paraId="24B48330" w14:textId="77777777" w:rsidR="00E121BA" w:rsidRPr="00D2134C" w:rsidRDefault="00E121BA" w:rsidP="007E3645">
            <w:pPr>
              <w:pStyle w:val="FGCNORMAL"/>
              <w:keepNext/>
              <w:ind w:left="0"/>
            </w:pPr>
            <w:r w:rsidRPr="00D2134C">
              <w:t xml:space="preserve">Ms Leah van </w:t>
            </w:r>
            <w:proofErr w:type="spellStart"/>
            <w:r w:rsidRPr="00D2134C">
              <w:t>Poppel</w:t>
            </w:r>
            <w:proofErr w:type="spellEnd"/>
          </w:p>
        </w:tc>
        <w:tc>
          <w:tcPr>
            <w:tcW w:w="694" w:type="dxa"/>
          </w:tcPr>
          <w:p w14:paraId="3C198C19"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6</w:t>
            </w:r>
          </w:p>
        </w:tc>
        <w:tc>
          <w:tcPr>
            <w:tcW w:w="693" w:type="dxa"/>
          </w:tcPr>
          <w:p w14:paraId="3B2075BF"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5</w:t>
            </w:r>
          </w:p>
        </w:tc>
        <w:tc>
          <w:tcPr>
            <w:tcW w:w="556" w:type="dxa"/>
          </w:tcPr>
          <w:p w14:paraId="6751F1FB"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4DBD22F8"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694" w:type="dxa"/>
          </w:tcPr>
          <w:p w14:paraId="6BF35670"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7147F86D"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7112639B"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698434CE"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56" w:type="dxa"/>
          </w:tcPr>
          <w:p w14:paraId="0FEABAA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w:t>
            </w:r>
          </w:p>
        </w:tc>
        <w:tc>
          <w:tcPr>
            <w:tcW w:w="556" w:type="dxa"/>
          </w:tcPr>
          <w:p w14:paraId="3B0736CA"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r w:rsidRPr="00D2134C">
              <w:t>1</w:t>
            </w:r>
          </w:p>
        </w:tc>
        <w:tc>
          <w:tcPr>
            <w:tcW w:w="627" w:type="dxa"/>
          </w:tcPr>
          <w:p w14:paraId="1ECDBDF9"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c>
          <w:tcPr>
            <w:tcW w:w="567" w:type="dxa"/>
          </w:tcPr>
          <w:p w14:paraId="55FDC416" w14:textId="77777777" w:rsidR="00E121BA" w:rsidRPr="00D2134C" w:rsidRDefault="00E121BA" w:rsidP="007E3645">
            <w:pPr>
              <w:pStyle w:val="FGCNORMAL"/>
              <w:keepNext/>
              <w:ind w:left="0"/>
              <w:cnfStyle w:val="000000000000" w:firstRow="0" w:lastRow="0" w:firstColumn="0" w:lastColumn="0" w:oddVBand="0" w:evenVBand="0" w:oddHBand="0" w:evenHBand="0" w:firstRowFirstColumn="0" w:firstRowLastColumn="0" w:lastRowFirstColumn="0" w:lastRowLastColumn="0"/>
            </w:pPr>
          </w:p>
        </w:tc>
      </w:tr>
      <w:tr w:rsidR="00FB51F2" w:rsidRPr="00D2134C" w14:paraId="40769E57" w14:textId="77777777" w:rsidTr="00122956">
        <w:trPr>
          <w:cnfStyle w:val="000000100000" w:firstRow="0" w:lastRow="0" w:firstColumn="0" w:lastColumn="0" w:oddVBand="0" w:evenVBand="0" w:oddHBand="1" w:evenHBand="0" w:firstRowFirstColumn="0" w:firstRowLastColumn="0" w:lastRowFirstColumn="0" w:lastRowLastColumn="0"/>
          <w:trHeight w:val="1231"/>
        </w:trPr>
        <w:tc>
          <w:tcPr>
            <w:cnfStyle w:val="001000000000" w:firstRow="0" w:lastRow="0" w:firstColumn="1" w:lastColumn="0" w:oddVBand="0" w:evenVBand="0" w:oddHBand="0" w:evenHBand="0" w:firstRowFirstColumn="0" w:firstRowLastColumn="0" w:lastRowFirstColumn="0" w:lastRowLastColumn="0"/>
            <w:tcW w:w="2476" w:type="dxa"/>
          </w:tcPr>
          <w:p w14:paraId="61328261" w14:textId="29EBAD3E" w:rsidR="003D6ACF" w:rsidRPr="00D2134C" w:rsidRDefault="003D6ACF" w:rsidP="007E3645">
            <w:pPr>
              <w:pStyle w:val="FGCNORMAL"/>
              <w:keepNext/>
              <w:ind w:left="0"/>
            </w:pPr>
            <w:r>
              <w:t xml:space="preserve">Dr Helen Nugent </w:t>
            </w:r>
            <w:r w:rsidRPr="00EE2D88">
              <w:rPr>
                <w:sz w:val="20"/>
                <w:szCs w:val="20"/>
              </w:rPr>
              <w:t>(former Chair)</w:t>
            </w:r>
          </w:p>
        </w:tc>
        <w:tc>
          <w:tcPr>
            <w:tcW w:w="694" w:type="dxa"/>
          </w:tcPr>
          <w:p w14:paraId="69C0B0DB" w14:textId="68F15D23"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5</w:t>
            </w:r>
          </w:p>
        </w:tc>
        <w:tc>
          <w:tcPr>
            <w:tcW w:w="693" w:type="dxa"/>
          </w:tcPr>
          <w:p w14:paraId="204DB7CC" w14:textId="055F0CDD"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5</w:t>
            </w:r>
          </w:p>
        </w:tc>
        <w:tc>
          <w:tcPr>
            <w:tcW w:w="556" w:type="dxa"/>
          </w:tcPr>
          <w:p w14:paraId="6090D8B6" w14:textId="77777777" w:rsidR="003D6ACF" w:rsidRPr="00D2134C" w:rsidRDefault="003D6ACF" w:rsidP="007E3645">
            <w:pPr>
              <w:pStyle w:val="FGCNORMAL"/>
              <w:keepNext/>
              <w:ind w:left="0"/>
              <w:cnfStyle w:val="000000100000" w:firstRow="0" w:lastRow="0" w:firstColumn="0" w:lastColumn="0" w:oddVBand="0" w:evenVBand="0" w:oddHBand="1" w:evenHBand="0" w:firstRowFirstColumn="0" w:firstRowLastColumn="0" w:lastRowFirstColumn="0" w:lastRowLastColumn="0"/>
            </w:pPr>
          </w:p>
        </w:tc>
        <w:tc>
          <w:tcPr>
            <w:tcW w:w="694" w:type="dxa"/>
          </w:tcPr>
          <w:p w14:paraId="2FD6A286" w14:textId="101D57B5" w:rsidR="003D6ACF" w:rsidRPr="00D2134C" w:rsidRDefault="00703048"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4</w:t>
            </w:r>
          </w:p>
        </w:tc>
        <w:tc>
          <w:tcPr>
            <w:tcW w:w="694" w:type="dxa"/>
          </w:tcPr>
          <w:p w14:paraId="5825B171" w14:textId="2A7D224C"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c>
          <w:tcPr>
            <w:tcW w:w="556" w:type="dxa"/>
          </w:tcPr>
          <w:p w14:paraId="39150FD2" w14:textId="1D99974D"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c>
          <w:tcPr>
            <w:tcW w:w="556" w:type="dxa"/>
          </w:tcPr>
          <w:p w14:paraId="780CC7F9" w14:textId="284E28B6"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c>
          <w:tcPr>
            <w:tcW w:w="556" w:type="dxa"/>
          </w:tcPr>
          <w:p w14:paraId="1D608FC0" w14:textId="597C8962"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c>
          <w:tcPr>
            <w:tcW w:w="556" w:type="dxa"/>
          </w:tcPr>
          <w:p w14:paraId="1C7768A2" w14:textId="19AF6872"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4</w:t>
            </w:r>
          </w:p>
        </w:tc>
        <w:tc>
          <w:tcPr>
            <w:tcW w:w="556" w:type="dxa"/>
          </w:tcPr>
          <w:p w14:paraId="2BF5C4F4" w14:textId="794689D8"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4</w:t>
            </w:r>
          </w:p>
        </w:tc>
        <w:tc>
          <w:tcPr>
            <w:tcW w:w="627" w:type="dxa"/>
          </w:tcPr>
          <w:p w14:paraId="0E917DAA" w14:textId="222318A9"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c>
          <w:tcPr>
            <w:tcW w:w="567" w:type="dxa"/>
          </w:tcPr>
          <w:p w14:paraId="7E8E9EFF" w14:textId="3775C22B" w:rsidR="003D6ACF" w:rsidRPr="00D2134C" w:rsidRDefault="00E4371E" w:rsidP="007E3645">
            <w:pPr>
              <w:pStyle w:val="FGCNORMAL"/>
              <w:keepNext/>
              <w:ind w:left="0"/>
              <w:cnfStyle w:val="000000100000" w:firstRow="0" w:lastRow="0" w:firstColumn="0" w:lastColumn="0" w:oddVBand="0" w:evenVBand="0" w:oddHBand="1" w:evenHBand="0" w:firstRowFirstColumn="0" w:firstRowLastColumn="0" w:lastRowFirstColumn="0" w:lastRowLastColumn="0"/>
            </w:pPr>
            <w:r>
              <w:t>2</w:t>
            </w:r>
          </w:p>
        </w:tc>
      </w:tr>
    </w:tbl>
    <w:p w14:paraId="6B5622EC" w14:textId="0C7C9F85" w:rsidR="00E121BA" w:rsidRPr="00EE2D88" w:rsidRDefault="00E121BA" w:rsidP="00EE2D88">
      <w:pPr>
        <w:pStyle w:val="FGCNORMAL"/>
        <w:ind w:left="0"/>
        <w:rPr>
          <w:rFonts w:eastAsia="Cambria"/>
          <w:sz w:val="18"/>
          <w:szCs w:val="18"/>
        </w:rPr>
      </w:pPr>
      <w:bookmarkStart w:id="484" w:name="_Hlk107484771"/>
      <w:bookmarkEnd w:id="483"/>
      <w:r w:rsidRPr="00EE2D88">
        <w:rPr>
          <w:sz w:val="18"/>
          <w:szCs w:val="18"/>
        </w:rPr>
        <w:t>Table note</w:t>
      </w:r>
      <w:r w:rsidR="009D7005" w:rsidRPr="00EE2D88">
        <w:rPr>
          <w:sz w:val="18"/>
          <w:szCs w:val="18"/>
        </w:rPr>
        <w:t>:</w:t>
      </w:r>
      <w:r w:rsidR="007D513E" w:rsidRPr="00EE2D88">
        <w:rPr>
          <w:rFonts w:eastAsia="Cambria"/>
          <w:sz w:val="18"/>
          <w:szCs w:val="18"/>
        </w:rPr>
        <w:t xml:space="preserve"> </w:t>
      </w:r>
      <w:r w:rsidRPr="00EE2D88">
        <w:rPr>
          <w:rFonts w:eastAsia="Cambria"/>
          <w:sz w:val="18"/>
          <w:szCs w:val="18"/>
        </w:rPr>
        <w:t xml:space="preserve">Board </w:t>
      </w:r>
      <w:r w:rsidR="004A1FA6">
        <w:rPr>
          <w:rFonts w:eastAsia="Cambria"/>
          <w:sz w:val="18"/>
          <w:szCs w:val="18"/>
        </w:rPr>
        <w:t>d</w:t>
      </w:r>
      <w:r w:rsidRPr="00EE2D88">
        <w:rPr>
          <w:rFonts w:eastAsia="Cambria"/>
          <w:sz w:val="18"/>
          <w:szCs w:val="18"/>
        </w:rPr>
        <w:t xml:space="preserve">irectors may attend any Board committee meeting in their capacity as a </w:t>
      </w:r>
      <w:r w:rsidR="004A1FA6">
        <w:rPr>
          <w:rFonts w:eastAsia="Cambria"/>
          <w:sz w:val="18"/>
          <w:szCs w:val="18"/>
        </w:rPr>
        <w:t>d</w:t>
      </w:r>
      <w:r w:rsidRPr="00EE2D88">
        <w:rPr>
          <w:rFonts w:eastAsia="Cambria"/>
          <w:sz w:val="18"/>
          <w:szCs w:val="18"/>
        </w:rPr>
        <w:t xml:space="preserve">irector. ‘Eligible’ refers to the number of scheduled committee meetings available to be attended by a </w:t>
      </w:r>
      <w:r w:rsidR="004A1FA6">
        <w:rPr>
          <w:rFonts w:eastAsia="Cambria"/>
          <w:sz w:val="18"/>
          <w:szCs w:val="18"/>
        </w:rPr>
        <w:t>d</w:t>
      </w:r>
      <w:r w:rsidRPr="00EE2D88">
        <w:rPr>
          <w:rFonts w:eastAsia="Cambria"/>
          <w:sz w:val="18"/>
          <w:szCs w:val="18"/>
        </w:rPr>
        <w:t xml:space="preserve">irector as a formal member of the </w:t>
      </w:r>
      <w:r w:rsidR="009D7005" w:rsidRPr="00EE2D88">
        <w:rPr>
          <w:rFonts w:eastAsia="Cambria"/>
          <w:sz w:val="18"/>
          <w:szCs w:val="18"/>
        </w:rPr>
        <w:t>c</w:t>
      </w:r>
      <w:r w:rsidRPr="00EE2D88">
        <w:rPr>
          <w:rFonts w:eastAsia="Cambria"/>
          <w:sz w:val="18"/>
          <w:szCs w:val="18"/>
        </w:rPr>
        <w:t xml:space="preserve">ommittee. ‘Attended’ refers to the actual number of meetings attended. </w:t>
      </w:r>
    </w:p>
    <w:p w14:paraId="62869BE9" w14:textId="77777777" w:rsidR="00E121BA" w:rsidRPr="00D2134C" w:rsidRDefault="00E121BA" w:rsidP="00E121BA">
      <w:pPr>
        <w:pStyle w:val="FGCHEADING3"/>
      </w:pPr>
      <w:bookmarkStart w:id="485" w:name="_Toc110532539"/>
      <w:bookmarkStart w:id="486" w:name="_Toc114477539"/>
      <w:bookmarkStart w:id="487" w:name="_Toc116414710"/>
      <w:bookmarkStart w:id="488" w:name="_Toc116473904"/>
      <w:bookmarkEnd w:id="484"/>
      <w:r w:rsidRPr="00D2134C">
        <w:lastRenderedPageBreak/>
        <w:t>Board membership changes</w:t>
      </w:r>
      <w:bookmarkStart w:id="489" w:name="_Toc51067998"/>
      <w:bookmarkEnd w:id="482"/>
      <w:bookmarkEnd w:id="485"/>
      <w:bookmarkEnd w:id="486"/>
      <w:bookmarkEnd w:id="487"/>
      <w:bookmarkEnd w:id="488"/>
    </w:p>
    <w:p w14:paraId="4788EC52" w14:textId="3F2D7ADE" w:rsidR="004C61C3" w:rsidRDefault="00E121BA" w:rsidP="00E121BA">
      <w:pPr>
        <w:pStyle w:val="FGCNORMAL"/>
      </w:pPr>
      <w:r w:rsidRPr="00D2134C">
        <w:t>On 17 December 2021</w:t>
      </w:r>
      <w:r w:rsidR="009D7005" w:rsidRPr="00D2134C">
        <w:t>,</w:t>
      </w:r>
      <w:r w:rsidRPr="00D2134C">
        <w:t xml:space="preserve"> the then Minister for the NDIS, Senator the Hon Linda Reynolds CSC, announced </w:t>
      </w:r>
      <w:proofErr w:type="gramStart"/>
      <w:r w:rsidRPr="00D2134C">
        <w:t>a number of</w:t>
      </w:r>
      <w:proofErr w:type="gramEnd"/>
      <w:r w:rsidRPr="00D2134C">
        <w:t xml:space="preserve"> appointments and reappointments to the Board. Four new members were appointed to the Board with effect from 1 January 2022: Ms Leah van </w:t>
      </w:r>
      <w:proofErr w:type="spellStart"/>
      <w:r w:rsidRPr="00D2134C">
        <w:t>Poppel</w:t>
      </w:r>
      <w:proofErr w:type="spellEnd"/>
      <w:r w:rsidRPr="00D2134C">
        <w:t xml:space="preserve">, Dr Peta Seaton AM, Ms Meredith </w:t>
      </w:r>
      <w:proofErr w:type="gramStart"/>
      <w:r w:rsidRPr="00D2134C">
        <w:t>Allan</w:t>
      </w:r>
      <w:proofErr w:type="gramEnd"/>
      <w:r w:rsidRPr="00D2134C">
        <w:t xml:space="preserve"> and Dr Denis Napthine. Of the remaining current members, Mr Jim Minto, Professor Jane Burns, Ms Estelle Pearson, Ms Sandra </w:t>
      </w:r>
      <w:proofErr w:type="spellStart"/>
      <w:r w:rsidRPr="00D2134C">
        <w:t>Birkensleigh</w:t>
      </w:r>
      <w:proofErr w:type="spellEnd"/>
      <w:r w:rsidRPr="00D2134C">
        <w:t xml:space="preserve"> and Mr Glenn Keys AO were all reappointed to the Board. </w:t>
      </w:r>
    </w:p>
    <w:p w14:paraId="5550D569" w14:textId="58836DD5" w:rsidR="004C61C3" w:rsidRDefault="00E121BA" w:rsidP="00E121BA">
      <w:pPr>
        <w:pStyle w:val="FGCNORMAL"/>
      </w:pPr>
      <w:r w:rsidRPr="00D2134C">
        <w:t>Former Chair Dr Helen Nugent AO and Board member Ms Robyn Kruk AO stepped down on 31 December 2021 when their terms expired. Both had served 2 terms, having been appointed to the Board on 1 January 2017. </w:t>
      </w:r>
      <w:r w:rsidR="004C61C3" w:rsidRPr="00D2134C">
        <w:t>Mr Jim Minto served as acting Chair from 1 January 2022</w:t>
      </w:r>
      <w:r w:rsidR="004C61C3">
        <w:t>.</w:t>
      </w:r>
    </w:p>
    <w:p w14:paraId="138EB7D6" w14:textId="78A24320" w:rsidR="004C61C3" w:rsidRDefault="00E121BA" w:rsidP="00E121BA">
      <w:pPr>
        <w:pStyle w:val="FGCNORMAL"/>
      </w:pPr>
      <w:r w:rsidRPr="00D2134C">
        <w:t>On 25 March 2022, Minister Reynolds announced the appointment of Dr Denis Napthine AO as Chair of the NDIA Board. Dr Napthine began his term as Chair on 1 April 2022. </w:t>
      </w:r>
    </w:p>
    <w:p w14:paraId="0EA3B5E9" w14:textId="5A12A586" w:rsidR="00E121BA" w:rsidRPr="005A4FC9" w:rsidRDefault="00597C57" w:rsidP="00E121BA">
      <w:pPr>
        <w:pStyle w:val="FGCNORMAL"/>
      </w:pPr>
      <w:r w:rsidRPr="007930DF">
        <w:rPr>
          <w:shd w:val="clear" w:color="auto" w:fill="FFFFFF"/>
        </w:rPr>
        <w:t>Dr Denis Napthine resigned as Chair of the NDIA Board on 18 July 2022</w:t>
      </w:r>
      <w:r w:rsidR="001D4D7E" w:rsidRPr="007930DF">
        <w:rPr>
          <w:shd w:val="clear" w:color="auto" w:fill="FFFFFF"/>
        </w:rPr>
        <w:t xml:space="preserve"> and </w:t>
      </w:r>
      <w:r w:rsidR="007F080E">
        <w:rPr>
          <w:shd w:val="clear" w:color="auto" w:fill="FFFFFF"/>
        </w:rPr>
        <w:t xml:space="preserve">Mr </w:t>
      </w:r>
      <w:r w:rsidR="001D4D7E" w:rsidRPr="007930DF">
        <w:rPr>
          <w:shd w:val="clear" w:color="auto" w:fill="FFFFFF"/>
        </w:rPr>
        <w:t>Jim Minto was reappointed as Acting Chair.</w:t>
      </w:r>
    </w:p>
    <w:p w14:paraId="39867680" w14:textId="6DBDA023" w:rsidR="00E121BA" w:rsidRPr="00D2134C" w:rsidRDefault="00E121BA" w:rsidP="00E121BA">
      <w:pPr>
        <w:pStyle w:val="FGCHEADING2"/>
      </w:pPr>
      <w:bookmarkStart w:id="490" w:name="_Toc51067986"/>
      <w:bookmarkStart w:id="491" w:name="_Ref107222544"/>
      <w:bookmarkStart w:id="492" w:name="_Toc110532540"/>
      <w:bookmarkStart w:id="493" w:name="_Toc114477540"/>
      <w:bookmarkStart w:id="494" w:name="_Toc116473905"/>
      <w:r w:rsidRPr="00D2134C">
        <w:t xml:space="preserve">The Independent Advisory </w:t>
      </w:r>
      <w:bookmarkEnd w:id="490"/>
      <w:r w:rsidRPr="00D2134C">
        <w:t>Council</w:t>
      </w:r>
      <w:bookmarkEnd w:id="491"/>
      <w:bookmarkEnd w:id="492"/>
      <w:r w:rsidR="004C61C3">
        <w:t xml:space="preserve"> (IAC)</w:t>
      </w:r>
      <w:bookmarkEnd w:id="493"/>
      <w:bookmarkEnd w:id="494"/>
    </w:p>
    <w:p w14:paraId="767CD195" w14:textId="59FE97D6" w:rsidR="00E121BA" w:rsidRPr="00D2134C" w:rsidRDefault="00E121BA" w:rsidP="00E121BA">
      <w:pPr>
        <w:pStyle w:val="FGCNORMAL"/>
        <w:rPr>
          <w:rFonts w:eastAsia="DengXian"/>
        </w:rPr>
      </w:pPr>
      <w:bookmarkStart w:id="495" w:name="_Toc51067988"/>
      <w:r w:rsidRPr="00D2134C">
        <w:t xml:space="preserve">The IAC provides the Board with independent advice, which the Board must consider when performing its duties. The IAC, formally appointed by the Minister, is composed of people with disability, families and carers, and disability experts. It brings the crucial perspectives of these stakeholders to the work of the </w:t>
      </w:r>
      <w:r w:rsidR="009D7005" w:rsidRPr="00D2134C">
        <w:t xml:space="preserve">NDIA </w:t>
      </w:r>
      <w:r w:rsidRPr="00D2134C">
        <w:t>and the design of the Scheme. Further information on the IAC is provided on its website at</w:t>
      </w:r>
      <w:r w:rsidRPr="00D2134C">
        <w:rPr>
          <w:rFonts w:eastAsia="DengXian"/>
        </w:rPr>
        <w:t xml:space="preserve"> </w:t>
      </w:r>
      <w:hyperlink r:id="rId113" w:history="1">
        <w:r w:rsidRPr="00D2134C">
          <w:rPr>
            <w:rStyle w:val="Hyperlink"/>
            <w:rFonts w:eastAsia="DengXian"/>
          </w:rPr>
          <w:t>www.ndis-iac.com.au</w:t>
        </w:r>
      </w:hyperlink>
      <w:r w:rsidRPr="00D2134C">
        <w:rPr>
          <w:rFonts w:eastAsia="DengXian"/>
        </w:rPr>
        <w:t>.</w:t>
      </w:r>
    </w:p>
    <w:p w14:paraId="2D812D1A" w14:textId="77777777" w:rsidR="00E121BA" w:rsidRPr="00D2134C" w:rsidRDefault="00E121BA" w:rsidP="00E121BA">
      <w:pPr>
        <w:pStyle w:val="FGCNORMAL"/>
      </w:pPr>
      <w:r w:rsidRPr="00D2134C">
        <w:t xml:space="preserve">The IAC plays an integral role in bringing the views of participants, </w:t>
      </w:r>
      <w:proofErr w:type="gramStart"/>
      <w:r w:rsidRPr="00D2134C">
        <w:t>families</w:t>
      </w:r>
      <w:proofErr w:type="gramEnd"/>
      <w:r w:rsidRPr="00D2134C">
        <w:t xml:space="preserve"> and disability sector experts to the heart of the NDIS by providing independent advice on the experience of its members, its expert adviser and their networks.</w:t>
      </w:r>
    </w:p>
    <w:p w14:paraId="4FAC0E8B" w14:textId="744164B5" w:rsidR="00E121BA" w:rsidRPr="00D2134C" w:rsidRDefault="00E121BA" w:rsidP="00E121BA">
      <w:pPr>
        <w:pStyle w:val="FGCNORMAL"/>
        <w:rPr>
          <w:sz w:val="20"/>
          <w:szCs w:val="20"/>
        </w:rPr>
      </w:pPr>
      <w:r w:rsidRPr="00D2134C">
        <w:t>During 2021–22</w:t>
      </w:r>
      <w:r w:rsidR="00B16FC1" w:rsidRPr="00D2134C">
        <w:t>,</w:t>
      </w:r>
      <w:r w:rsidRPr="00D2134C">
        <w:t xml:space="preserve"> the IAC continued to engage with the NDIA to provide advice. Key highlights for the financial year include</w:t>
      </w:r>
      <w:r w:rsidRPr="00D2134C">
        <w:rPr>
          <w:sz w:val="20"/>
          <w:szCs w:val="20"/>
        </w:rPr>
        <w:t xml:space="preserve">: </w:t>
      </w:r>
    </w:p>
    <w:p w14:paraId="73446B6A" w14:textId="113591ED" w:rsidR="002A3DCD" w:rsidRPr="00D2134C" w:rsidRDefault="00E121BA" w:rsidP="002A3DCD">
      <w:pPr>
        <w:pStyle w:val="FGCBULLET1"/>
      </w:pPr>
      <w:r w:rsidRPr="00D2134C">
        <w:t xml:space="preserve">the appointment of </w:t>
      </w:r>
      <w:r w:rsidR="007F080E">
        <w:t xml:space="preserve">Ms </w:t>
      </w:r>
      <w:r w:rsidRPr="00D2134C">
        <w:t xml:space="preserve">Leah van </w:t>
      </w:r>
      <w:proofErr w:type="spellStart"/>
      <w:r w:rsidRPr="00D2134C">
        <w:t>Poppel</w:t>
      </w:r>
      <w:proofErr w:type="spellEnd"/>
      <w:r w:rsidRPr="00D2134C">
        <w:t xml:space="preserve"> as new Principal Member of the Council</w:t>
      </w:r>
      <w:r w:rsidR="002A3DCD" w:rsidRPr="00D2134C">
        <w:t xml:space="preserve"> on 1 January 2022</w:t>
      </w:r>
    </w:p>
    <w:p w14:paraId="7D96BD67" w14:textId="22D9BBF1" w:rsidR="00E121BA" w:rsidRPr="00D2134C" w:rsidRDefault="00E121BA" w:rsidP="00E665B7">
      <w:pPr>
        <w:pStyle w:val="FGCBULLET1"/>
      </w:pPr>
      <w:r w:rsidRPr="00D2134C">
        <w:t xml:space="preserve">the review and establishment of 4 formal IAC reference groups focusing on home and living; children, young </w:t>
      </w:r>
      <w:proofErr w:type="gramStart"/>
      <w:r w:rsidRPr="00D2134C">
        <w:t>people</w:t>
      </w:r>
      <w:proofErr w:type="gramEnd"/>
      <w:r w:rsidRPr="00D2134C">
        <w:t xml:space="preserve"> and families; intellectual disability; and equity and inclusion. The reference groups support the development of the IAC’s advice</w:t>
      </w:r>
    </w:p>
    <w:p w14:paraId="1AED02AB" w14:textId="1713D678" w:rsidR="00E121BA" w:rsidRPr="00D2134C" w:rsidRDefault="00E121BA" w:rsidP="00E121BA">
      <w:pPr>
        <w:pStyle w:val="FGCBULLET1"/>
      </w:pPr>
      <w:r w:rsidRPr="00D2134C">
        <w:t>the provision of formal advice to the Board in the areas of equity in the NDIS, Scheme reform and behaviour support. The</w:t>
      </w:r>
      <w:r w:rsidR="00B16FC1" w:rsidRPr="00D2134C">
        <w:t xml:space="preserve"> NDIA</w:t>
      </w:r>
      <w:r w:rsidRPr="00D2134C">
        <w:t xml:space="preserve"> will continue to work with the IAC to progress the implementation of current and past advice</w:t>
      </w:r>
    </w:p>
    <w:p w14:paraId="118C237B" w14:textId="77777777" w:rsidR="00E121BA" w:rsidRPr="00D2134C" w:rsidRDefault="00E121BA" w:rsidP="00E121BA">
      <w:pPr>
        <w:pStyle w:val="FGCBULLET1"/>
      </w:pPr>
      <w:r w:rsidRPr="00D2134C">
        <w:t>extensive informal engagement with the NDIA on several priority areas including self-management, research and evaluation, early childhood intervention, support for decision-making, and home and living supports.</w:t>
      </w:r>
    </w:p>
    <w:p w14:paraId="4839D27E" w14:textId="6F177862" w:rsidR="00E121BA" w:rsidRPr="00D2134C" w:rsidRDefault="00E121BA" w:rsidP="00E121BA">
      <w:pPr>
        <w:pStyle w:val="FGCNORMAL"/>
      </w:pPr>
      <w:r w:rsidRPr="00D2134C">
        <w:t xml:space="preserve">Membership of the IAC as </w:t>
      </w:r>
      <w:proofErr w:type="gramStart"/>
      <w:r w:rsidRPr="00D2134C">
        <w:t>at</w:t>
      </w:r>
      <w:proofErr w:type="gramEnd"/>
      <w:r w:rsidRPr="00D2134C">
        <w:t xml:space="preserve"> 30 June 2022 </w:t>
      </w:r>
      <w:r w:rsidR="00B16FC1" w:rsidRPr="00D2134C">
        <w:t>was</w:t>
      </w:r>
      <w:r w:rsidRPr="00D2134C">
        <w:t>:</w:t>
      </w:r>
    </w:p>
    <w:p w14:paraId="6D4CF713" w14:textId="77777777" w:rsidR="00E121BA" w:rsidRPr="00D2134C" w:rsidRDefault="00E121BA" w:rsidP="00E121BA">
      <w:pPr>
        <w:pStyle w:val="FGCBULLET1"/>
      </w:pPr>
      <w:r w:rsidRPr="00D2134C">
        <w:t xml:space="preserve">Ms Leah van </w:t>
      </w:r>
      <w:proofErr w:type="spellStart"/>
      <w:r w:rsidRPr="00D2134C">
        <w:t>Poppel</w:t>
      </w:r>
      <w:proofErr w:type="spellEnd"/>
      <w:r w:rsidRPr="00D2134C">
        <w:t xml:space="preserve">, Principal Member </w:t>
      </w:r>
    </w:p>
    <w:p w14:paraId="3CAF82CC" w14:textId="77777777" w:rsidR="00E121BA" w:rsidRPr="00D2134C" w:rsidRDefault="00E121BA" w:rsidP="00E121BA">
      <w:pPr>
        <w:pStyle w:val="FGCBULLET1"/>
      </w:pPr>
      <w:r w:rsidRPr="00D2134C">
        <w:t>Ms Kerry Allan-</w:t>
      </w:r>
      <w:proofErr w:type="spellStart"/>
      <w:r w:rsidRPr="00D2134C">
        <w:t>Zinner</w:t>
      </w:r>
      <w:proofErr w:type="spellEnd"/>
      <w:r w:rsidRPr="00D2134C">
        <w:t xml:space="preserve"> </w:t>
      </w:r>
    </w:p>
    <w:p w14:paraId="34399F5B" w14:textId="77777777" w:rsidR="00E121BA" w:rsidRPr="00D2134C" w:rsidRDefault="00E121BA" w:rsidP="00E121BA">
      <w:pPr>
        <w:pStyle w:val="FGCBULLET1"/>
      </w:pPr>
      <w:r w:rsidRPr="00D2134C">
        <w:t xml:space="preserve">Dr Leighton Jay </w:t>
      </w:r>
    </w:p>
    <w:p w14:paraId="21A33855" w14:textId="77777777" w:rsidR="00E121BA" w:rsidRPr="00D2134C" w:rsidRDefault="00E121BA" w:rsidP="00E121BA">
      <w:pPr>
        <w:pStyle w:val="FGCBULLET1"/>
      </w:pPr>
      <w:r w:rsidRPr="00D2134C">
        <w:t xml:space="preserve">Adj Prof Jennifer Cullen </w:t>
      </w:r>
    </w:p>
    <w:p w14:paraId="0DB4D94B" w14:textId="77777777" w:rsidR="00E121BA" w:rsidRPr="00D2134C" w:rsidRDefault="00E121BA" w:rsidP="00E121BA">
      <w:pPr>
        <w:pStyle w:val="FGCBULLET1"/>
      </w:pPr>
      <w:r w:rsidRPr="00D2134C">
        <w:lastRenderedPageBreak/>
        <w:t xml:space="preserve">Dr George </w:t>
      </w:r>
      <w:proofErr w:type="spellStart"/>
      <w:r w:rsidRPr="00D2134C">
        <w:t>Taleporos</w:t>
      </w:r>
      <w:proofErr w:type="spellEnd"/>
    </w:p>
    <w:p w14:paraId="6E00BF80" w14:textId="77777777" w:rsidR="00E121BA" w:rsidRPr="00D2134C" w:rsidRDefault="00E121BA" w:rsidP="00E121BA">
      <w:pPr>
        <w:pStyle w:val="FGCBULLET1"/>
      </w:pPr>
      <w:r w:rsidRPr="00D2134C">
        <w:t xml:space="preserve">Dr Sharon Boyce </w:t>
      </w:r>
    </w:p>
    <w:p w14:paraId="2DBF869D" w14:textId="77777777" w:rsidR="00E121BA" w:rsidRPr="00D2134C" w:rsidRDefault="00E121BA" w:rsidP="00E121BA">
      <w:pPr>
        <w:pStyle w:val="FGCBULLET1"/>
      </w:pPr>
      <w:r w:rsidRPr="00D2134C">
        <w:t xml:space="preserve">Ms </w:t>
      </w:r>
      <w:proofErr w:type="spellStart"/>
      <w:r w:rsidRPr="00D2134C">
        <w:t>Sylvana</w:t>
      </w:r>
      <w:proofErr w:type="spellEnd"/>
      <w:r w:rsidRPr="00D2134C">
        <w:t xml:space="preserve"> </w:t>
      </w:r>
      <w:proofErr w:type="spellStart"/>
      <w:r w:rsidRPr="00D2134C">
        <w:t>Mahmic</w:t>
      </w:r>
      <w:proofErr w:type="spellEnd"/>
      <w:r w:rsidRPr="00D2134C">
        <w:t xml:space="preserve"> </w:t>
      </w:r>
    </w:p>
    <w:p w14:paraId="279C0B48" w14:textId="77777777" w:rsidR="00E121BA" w:rsidRPr="00D2134C" w:rsidRDefault="00E121BA" w:rsidP="00E121BA">
      <w:pPr>
        <w:pStyle w:val="FGCBULLET1"/>
      </w:pPr>
      <w:r w:rsidRPr="00D2134C">
        <w:t xml:space="preserve">Ms Sam </w:t>
      </w:r>
      <w:proofErr w:type="spellStart"/>
      <w:r w:rsidRPr="00D2134C">
        <w:t>Paior</w:t>
      </w:r>
      <w:proofErr w:type="spellEnd"/>
      <w:r w:rsidRPr="00D2134C">
        <w:t xml:space="preserve"> </w:t>
      </w:r>
    </w:p>
    <w:p w14:paraId="28697F42" w14:textId="77777777" w:rsidR="00E121BA" w:rsidRPr="00D2134C" w:rsidRDefault="00E121BA" w:rsidP="00E121BA">
      <w:pPr>
        <w:pStyle w:val="FGCBULLET1"/>
      </w:pPr>
      <w:r w:rsidRPr="00D2134C">
        <w:t xml:space="preserve">Mr James </w:t>
      </w:r>
      <w:proofErr w:type="spellStart"/>
      <w:r w:rsidRPr="00D2134C">
        <w:t>Manders</w:t>
      </w:r>
      <w:proofErr w:type="spellEnd"/>
      <w:r w:rsidRPr="00D2134C">
        <w:t xml:space="preserve"> </w:t>
      </w:r>
    </w:p>
    <w:p w14:paraId="7243BFFF" w14:textId="77777777" w:rsidR="00E121BA" w:rsidRPr="00D2134C" w:rsidRDefault="00E121BA" w:rsidP="00E121BA">
      <w:pPr>
        <w:pStyle w:val="FGCBULLET1"/>
      </w:pPr>
      <w:r w:rsidRPr="00D2134C">
        <w:t xml:space="preserve">Mr Mark Tonga </w:t>
      </w:r>
    </w:p>
    <w:p w14:paraId="2C297C3E" w14:textId="77777777" w:rsidR="00E121BA" w:rsidRPr="00D2134C" w:rsidRDefault="00E121BA" w:rsidP="00E121BA">
      <w:pPr>
        <w:pStyle w:val="FGCBULLET1"/>
      </w:pPr>
      <w:r w:rsidRPr="00D2134C">
        <w:t xml:space="preserve">Ms Liz Reid AM </w:t>
      </w:r>
    </w:p>
    <w:p w14:paraId="4E9031DC" w14:textId="77777777" w:rsidR="00E121BA" w:rsidRPr="00D2134C" w:rsidRDefault="00E121BA" w:rsidP="00E121BA">
      <w:pPr>
        <w:pStyle w:val="FGCBULLET1"/>
      </w:pPr>
      <w:r w:rsidRPr="00D2134C">
        <w:t xml:space="preserve">Ms Tricia </w:t>
      </w:r>
      <w:proofErr w:type="spellStart"/>
      <w:r w:rsidRPr="00D2134C">
        <w:t>Malowney</w:t>
      </w:r>
      <w:proofErr w:type="spellEnd"/>
      <w:r w:rsidRPr="00D2134C">
        <w:t xml:space="preserve"> OAM. </w:t>
      </w:r>
    </w:p>
    <w:p w14:paraId="0CD5AEE0" w14:textId="77777777" w:rsidR="00E121BA" w:rsidRPr="00D2134C" w:rsidRDefault="00E121BA" w:rsidP="00E121BA">
      <w:pPr>
        <w:pStyle w:val="FGCNORMAL"/>
      </w:pPr>
      <w:r w:rsidRPr="00D2134C">
        <w:t xml:space="preserve">The IAC is supported by Dr Ben </w:t>
      </w:r>
      <w:proofErr w:type="spellStart"/>
      <w:r w:rsidRPr="00D2134C">
        <w:t>Gauntlett</w:t>
      </w:r>
      <w:proofErr w:type="spellEnd"/>
      <w:r w:rsidRPr="00D2134C">
        <w:t>, Disability Discrimination Commissioner, in his role as expert adviser.</w:t>
      </w:r>
    </w:p>
    <w:p w14:paraId="7CA274B4" w14:textId="30B4DCCD" w:rsidR="00E121BA" w:rsidRPr="00D2134C" w:rsidRDefault="00E121BA" w:rsidP="00E121BA">
      <w:pPr>
        <w:pStyle w:val="FGCHEADING2"/>
      </w:pPr>
      <w:bookmarkStart w:id="496" w:name="_Toc110532541"/>
      <w:bookmarkStart w:id="497" w:name="_Toc114477541"/>
      <w:bookmarkStart w:id="498" w:name="_Toc116473906"/>
      <w:r w:rsidRPr="00D2134C">
        <w:t>The Chief Executive Officer and Executive</w:t>
      </w:r>
      <w:r w:rsidR="00834591" w:rsidRPr="00D2134C">
        <w:t xml:space="preserve"> Leadership</w:t>
      </w:r>
      <w:r w:rsidRPr="00D2134C">
        <w:t xml:space="preserve"> Team</w:t>
      </w:r>
      <w:bookmarkEnd w:id="495"/>
      <w:bookmarkEnd w:id="496"/>
      <w:bookmarkEnd w:id="497"/>
      <w:r w:rsidR="00E43ADA">
        <w:t xml:space="preserve"> </w:t>
      </w:r>
      <w:bookmarkEnd w:id="498"/>
    </w:p>
    <w:p w14:paraId="7F641978" w14:textId="20B5EF93" w:rsidR="00E121BA" w:rsidRPr="00D2134C" w:rsidRDefault="00E121BA" w:rsidP="00E121BA">
      <w:pPr>
        <w:pStyle w:val="FGCNORMAL"/>
      </w:pPr>
      <w:r w:rsidRPr="00D2134C">
        <w:t xml:space="preserve">The Chief Executive Officer (CEO) is responsible for the day-to-day administration of the </w:t>
      </w:r>
      <w:r w:rsidR="00834591" w:rsidRPr="00D2134C">
        <w:t xml:space="preserve">NDIA </w:t>
      </w:r>
      <w:r w:rsidRPr="00D2134C">
        <w:t xml:space="preserve">under the </w:t>
      </w:r>
      <w:r w:rsidR="00834591" w:rsidRPr="00D2134C">
        <w:t xml:space="preserve">NDIS </w:t>
      </w:r>
      <w:r w:rsidRPr="00D2134C">
        <w:t>Act. Supported by the Executive Leadership Team (ELT), the CEO executes the Board-approved strategic objectives and policies, in line with the agreed risk appetite.</w:t>
      </w:r>
    </w:p>
    <w:p w14:paraId="7EDA66A7" w14:textId="26420B49" w:rsidR="00E121BA" w:rsidRPr="006E6DF5" w:rsidRDefault="006E6DF5" w:rsidP="00FF3436">
      <w:pPr>
        <w:pStyle w:val="FGCHEADING3"/>
        <w:numPr>
          <w:ilvl w:val="0"/>
          <w:numId w:val="0"/>
        </w:numPr>
      </w:pPr>
      <w:bookmarkStart w:id="499" w:name="_Toc51067990"/>
      <w:bookmarkStart w:id="500" w:name="_Toc110532543"/>
      <w:bookmarkStart w:id="501" w:name="_Toc114477542"/>
      <w:bookmarkStart w:id="502" w:name="_Toc116414713"/>
      <w:bookmarkStart w:id="503" w:name="_Toc116473907"/>
      <w:r>
        <w:t xml:space="preserve">4.4.1 </w:t>
      </w:r>
      <w:r w:rsidR="00E121BA" w:rsidRPr="006E6DF5">
        <w:t>Organisation structure</w:t>
      </w:r>
      <w:bookmarkEnd w:id="499"/>
      <w:bookmarkEnd w:id="500"/>
      <w:bookmarkEnd w:id="501"/>
      <w:bookmarkEnd w:id="502"/>
      <w:bookmarkEnd w:id="503"/>
    </w:p>
    <w:p w14:paraId="1BA103A4" w14:textId="5C31C93D" w:rsidR="00E121BA" w:rsidRPr="00D2134C" w:rsidRDefault="00E121BA" w:rsidP="00E121BA">
      <w:pPr>
        <w:pStyle w:val="FGCNORMAL"/>
        <w:rPr>
          <w:b/>
        </w:rPr>
      </w:pPr>
      <w:r w:rsidRPr="00D2134C">
        <w:t xml:space="preserve">As </w:t>
      </w:r>
      <w:proofErr w:type="gramStart"/>
      <w:r w:rsidRPr="00D2134C">
        <w:t>at</w:t>
      </w:r>
      <w:proofErr w:type="gramEnd"/>
      <w:r w:rsidRPr="00D2134C">
        <w:t xml:space="preserve"> 30 June 2022 there were </w:t>
      </w:r>
      <w:bookmarkStart w:id="504" w:name="_Hlk111648212"/>
      <w:r w:rsidR="00211A97" w:rsidRPr="00D2134C">
        <w:t>3</w:t>
      </w:r>
      <w:r w:rsidR="0058156B" w:rsidRPr="00D2134C">
        <w:t xml:space="preserve"> </w:t>
      </w:r>
      <w:r w:rsidR="00211A97" w:rsidRPr="00D2134C">
        <w:t xml:space="preserve">groups, 4 divisions </w:t>
      </w:r>
      <w:bookmarkEnd w:id="504"/>
      <w:r w:rsidR="00211A97" w:rsidRPr="00D2134C">
        <w:t xml:space="preserve">and </w:t>
      </w:r>
      <w:r w:rsidRPr="00D2134C">
        <w:t xml:space="preserve">the Scheme Actuary represented on the ELT. </w:t>
      </w:r>
    </w:p>
    <w:p w14:paraId="57DD2EBE" w14:textId="5C5E368C" w:rsidR="006474FD" w:rsidRPr="00D2134C" w:rsidRDefault="00E121BA" w:rsidP="00467702">
      <w:pPr>
        <w:pStyle w:val="FGCNORMAL"/>
        <w:keepNext/>
        <w:rPr>
          <w:lang w:eastAsia="en-AU"/>
        </w:rPr>
      </w:pPr>
      <w:r w:rsidRPr="00D2134C">
        <w:rPr>
          <w:rStyle w:val="FGCEMPHASIS"/>
        </w:rPr>
        <w:t>Figure 4.4.</w:t>
      </w:r>
      <w:r w:rsidR="006215AC">
        <w:rPr>
          <w:rStyle w:val="FGCEMPHASIS"/>
        </w:rPr>
        <w:t>1</w:t>
      </w:r>
      <w:r w:rsidRPr="00D2134C">
        <w:rPr>
          <w:rStyle w:val="FGCEMPHASIS"/>
        </w:rPr>
        <w:t>A:</w:t>
      </w:r>
      <w:r w:rsidRPr="00D2134C">
        <w:rPr>
          <w:rFonts w:eastAsia="Calibri"/>
        </w:rPr>
        <w:t xml:space="preserve"> Agency organisational structure </w:t>
      </w:r>
      <w:r w:rsidR="00C03F9C" w:rsidRPr="00C03F9C">
        <w:rPr>
          <w:rFonts w:eastAsia="Calibri"/>
        </w:rPr>
        <w:t xml:space="preserve">(NB. Mr Martin Hoffman resigned as CEO effective 1 July 2022; Dr Lisa </w:t>
      </w:r>
      <w:proofErr w:type="spellStart"/>
      <w:r w:rsidR="00C03F9C" w:rsidRPr="00C03F9C">
        <w:rPr>
          <w:rFonts w:eastAsia="Calibri"/>
        </w:rPr>
        <w:t>Studdert</w:t>
      </w:r>
      <w:proofErr w:type="spellEnd"/>
      <w:r w:rsidR="00C03F9C" w:rsidRPr="00C03F9C">
        <w:rPr>
          <w:rFonts w:eastAsia="Calibri"/>
        </w:rPr>
        <w:t xml:space="preserve"> assumed the Acting CEO role on 1 July 2022).</w:t>
      </w:r>
      <w:r w:rsidR="00A656EF">
        <w:rPr>
          <w:rFonts w:ascii="Calibri" w:eastAsia="Calibri" w:hAnsi="Calibri"/>
        </w:rPr>
        <w:br/>
      </w:r>
      <w:r w:rsidR="00467702">
        <w:rPr>
          <w:rFonts w:ascii="Calibri" w:eastAsia="Calibri" w:hAnsi="Calibri"/>
        </w:rPr>
        <w:br/>
      </w:r>
      <w:r w:rsidR="00A656EF" w:rsidRPr="00A656EF">
        <w:rPr>
          <w:noProof/>
        </w:rPr>
        <w:drawing>
          <wp:inline distT="0" distB="0" distL="0" distR="0" wp14:anchorId="4419D8EC" wp14:editId="07960DD2">
            <wp:extent cx="5890260" cy="4411579"/>
            <wp:effectExtent l="0" t="0" r="0" b="8255"/>
            <wp:docPr id="2" name="Picture 2" descr="This diagram is the Agency organisational structure with Dr Lisa Studdert as acting CEO.&#10;Below are:&#10;DCEO – Mr Jeremy Dean – Participant Experience Delivery Group.&#10;DCEO – Ms Sarah Johnson (Acting) – Design, Digital and Strategy Group.&#10;Chief Risk Officer – Ms Melissa Woodburn – Chief Risk Officer Division.&#10;Chief Financial Officer  – Ms Nicole Glazebrook – Finance and Corporate Services Division.&#10;DCEO – Ms Liz Neville (Acting) – Markets, Government and Engagement Group.&#10;Chief People Officer – Mr Hamish Aikman – People and Culture Division.&#10;Chief Information Officer – Mr Ian Frew – Chief Information Officer Division.&#10;Scheme Actuary – Ms Sarah Johnson / Mr David Gifford (Acting Deputy) Office of Scheme Actu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diagram is the Agency organisational structure with Dr Lisa Studdert as acting CEO.&#10;Below are:&#10;DCEO – Mr Jeremy Dean – Participant Experience Delivery Group.&#10;DCEO – Ms Sarah Johnson (Acting) – Design, Digital and Strategy Group.&#10;Chief Risk Officer – Ms Melissa Woodburn – Chief Risk Officer Division.&#10;Chief Financial Officer  – Ms Nicole Glazebrook – Finance and Corporate Services Division.&#10;DCEO – Ms Liz Neville (Acting) – Markets, Government and Engagement Group.&#10;Chief People Officer – Mr Hamish Aikman – People and Culture Division.&#10;Chief Information Officer – Mr Ian Frew – Chief Information Officer Division.&#10;Scheme Actuary – Ms Sarah Johnson / Mr David Gifford (Acting Deputy) Office of Scheme Actuary.&#10;"/>
                    <pic:cNvPicPr/>
                  </pic:nvPicPr>
                  <pic:blipFill rotWithShape="1">
                    <a:blip r:embed="rId114"/>
                    <a:srcRect b="703"/>
                    <a:stretch/>
                  </pic:blipFill>
                  <pic:spPr bwMode="auto">
                    <a:xfrm>
                      <a:off x="0" y="0"/>
                      <a:ext cx="5905135" cy="4422720"/>
                    </a:xfrm>
                    <a:prstGeom prst="rect">
                      <a:avLst/>
                    </a:prstGeom>
                    <a:ln>
                      <a:noFill/>
                    </a:ln>
                    <a:extLst>
                      <a:ext uri="{53640926-AAD7-44D8-BBD7-CCE9431645EC}">
                        <a14:shadowObscured xmlns:a14="http://schemas.microsoft.com/office/drawing/2010/main"/>
                      </a:ext>
                    </a:extLst>
                  </pic:spPr>
                </pic:pic>
              </a:graphicData>
            </a:graphic>
          </wp:inline>
        </w:drawing>
      </w:r>
      <w:r w:rsidR="003052B1">
        <w:rPr>
          <w:noProof/>
        </w:rPr>
        <w:t xml:space="preserve"> </w:t>
      </w:r>
    </w:p>
    <w:p w14:paraId="3ED2F9B4" w14:textId="77777777" w:rsidR="002E018B" w:rsidRDefault="002E018B" w:rsidP="00E121BA">
      <w:pPr>
        <w:pStyle w:val="FGCHEADING2"/>
        <w:sectPr w:rsidR="002E018B" w:rsidSect="00873C47">
          <w:pgSz w:w="11906" w:h="16838"/>
          <w:pgMar w:top="1021" w:right="907" w:bottom="1440" w:left="964" w:header="708" w:footer="737" w:gutter="0"/>
          <w:cols w:space="708"/>
          <w:titlePg/>
          <w:docGrid w:linePitch="360"/>
        </w:sectPr>
      </w:pPr>
      <w:bookmarkStart w:id="505" w:name="_Toc110532544"/>
      <w:bookmarkStart w:id="506" w:name="_Toc114477543"/>
    </w:p>
    <w:p w14:paraId="35D041FC" w14:textId="3C0569FE" w:rsidR="00E121BA" w:rsidRPr="00D2134C" w:rsidRDefault="00E121BA" w:rsidP="00E121BA">
      <w:pPr>
        <w:pStyle w:val="FGCHEADING2"/>
      </w:pPr>
      <w:bookmarkStart w:id="507" w:name="_Toc116473908"/>
      <w:r w:rsidRPr="00D2134C">
        <w:lastRenderedPageBreak/>
        <w:t xml:space="preserve">Partners in the </w:t>
      </w:r>
      <w:r w:rsidR="00BC0A2D">
        <w:t>c</w:t>
      </w:r>
      <w:r w:rsidRPr="00D2134C">
        <w:t>ommunity</w:t>
      </w:r>
      <w:bookmarkEnd w:id="505"/>
      <w:r w:rsidR="00D32135">
        <w:t xml:space="preserve"> (PITC)</w:t>
      </w:r>
      <w:bookmarkEnd w:id="506"/>
      <w:bookmarkEnd w:id="507"/>
    </w:p>
    <w:p w14:paraId="7C52FBE8" w14:textId="48B46D52" w:rsidR="00E121BA" w:rsidRPr="00D2134C" w:rsidRDefault="00E121BA" w:rsidP="00E121BA">
      <w:pPr>
        <w:pStyle w:val="FGCNORMAL"/>
      </w:pPr>
      <w:r w:rsidRPr="00D2134C">
        <w:t xml:space="preserve">Our PITC partners are experienced and qualified organisations with strong local knowledge and understanding of the needs of people with disability. They work with the NDIA to deliver </w:t>
      </w:r>
      <w:r w:rsidR="00BC0A2D">
        <w:t>l</w:t>
      </w:r>
      <w:r w:rsidRPr="00D2134C">
        <w:t xml:space="preserve">ocal </w:t>
      </w:r>
      <w:r w:rsidR="00BC0A2D">
        <w:t>a</w:t>
      </w:r>
      <w:r w:rsidRPr="00D2134C">
        <w:t xml:space="preserve">rea </w:t>
      </w:r>
      <w:r w:rsidR="00BC0A2D">
        <w:t>c</w:t>
      </w:r>
      <w:r w:rsidRPr="00D2134C">
        <w:t xml:space="preserve">oordination and early childhood services to Australians with disability. Our partners are often the first point of contact for participants, making them the face of the Scheme in many communities. </w:t>
      </w:r>
    </w:p>
    <w:p w14:paraId="1696DE95" w14:textId="4D379053" w:rsidR="00E121BA" w:rsidRPr="00D2134C" w:rsidRDefault="00E121BA" w:rsidP="00E121BA">
      <w:pPr>
        <w:pStyle w:val="FGCNORMAL"/>
      </w:pPr>
      <w:r w:rsidRPr="00D2134C">
        <w:t xml:space="preserve">As </w:t>
      </w:r>
      <w:proofErr w:type="gramStart"/>
      <w:r w:rsidRPr="00D2134C">
        <w:t>at</w:t>
      </w:r>
      <w:proofErr w:type="gramEnd"/>
      <w:r w:rsidRPr="00D2134C">
        <w:t xml:space="preserve"> 30 June 2022</w:t>
      </w:r>
      <w:r w:rsidR="0048414A" w:rsidRPr="00D2134C">
        <w:t>,</w:t>
      </w:r>
      <w:r w:rsidRPr="00D2134C">
        <w:t xml:space="preserve"> the PITC program had 25 partner organisations operating in all Australian states and territories, with the exception of remote areas, where the local NDIA team provides support. </w:t>
      </w:r>
    </w:p>
    <w:p w14:paraId="6AE2DDBC" w14:textId="754232B4" w:rsidR="00E121BA" w:rsidRPr="00D2134C" w:rsidRDefault="001A21BE" w:rsidP="00EE2D88">
      <w:pPr>
        <w:pStyle w:val="FGCHEADING3"/>
        <w:numPr>
          <w:ilvl w:val="0"/>
          <w:numId w:val="0"/>
        </w:numPr>
        <w:ind w:left="652"/>
      </w:pPr>
      <w:bookmarkStart w:id="508" w:name="_Toc83907138"/>
      <w:bookmarkStart w:id="509" w:name="_Toc84258369"/>
      <w:bookmarkStart w:id="510" w:name="_Toc84258523"/>
      <w:bookmarkStart w:id="511" w:name="_Toc84270267"/>
      <w:bookmarkStart w:id="512" w:name="_Toc85462222"/>
      <w:bookmarkStart w:id="513" w:name="_Toc116414715"/>
      <w:bookmarkStart w:id="514" w:name="_Toc116473909"/>
      <w:r w:rsidRPr="00D2134C">
        <w:t xml:space="preserve">Local </w:t>
      </w:r>
      <w:r w:rsidR="00284370">
        <w:t>a</w:t>
      </w:r>
      <w:r w:rsidRPr="00D2134C">
        <w:t xml:space="preserve">rea </w:t>
      </w:r>
      <w:r w:rsidR="00284370">
        <w:t>c</w:t>
      </w:r>
      <w:r w:rsidRPr="00D2134C">
        <w:t>oord</w:t>
      </w:r>
      <w:r w:rsidR="00565CD8" w:rsidRPr="00D2134C">
        <w:t>ination</w:t>
      </w:r>
      <w:r w:rsidR="00701FAF">
        <w:t xml:space="preserve"> (LAC)</w:t>
      </w:r>
      <w:r w:rsidRPr="00D2134C">
        <w:t xml:space="preserve"> </w:t>
      </w:r>
      <w:r w:rsidR="00284370">
        <w:t>p</w:t>
      </w:r>
      <w:r w:rsidR="00E121BA" w:rsidRPr="00D2134C">
        <w:t xml:space="preserve">artners in the </w:t>
      </w:r>
      <w:r w:rsidR="00284370">
        <w:t>c</w:t>
      </w:r>
      <w:r w:rsidR="00E121BA" w:rsidRPr="00D2134C">
        <w:t>ommunity</w:t>
      </w:r>
      <w:bookmarkEnd w:id="508"/>
      <w:bookmarkEnd w:id="509"/>
      <w:bookmarkEnd w:id="510"/>
      <w:bookmarkEnd w:id="511"/>
      <w:bookmarkEnd w:id="512"/>
      <w:bookmarkEnd w:id="513"/>
      <w:bookmarkEnd w:id="514"/>
    </w:p>
    <w:p w14:paraId="1C617474" w14:textId="77777777" w:rsidR="00E121BA" w:rsidRPr="00D2134C" w:rsidRDefault="00E121BA" w:rsidP="00E121BA">
      <w:pPr>
        <w:pStyle w:val="FGCNORMAL"/>
      </w:pPr>
      <w:r w:rsidRPr="00D2134C">
        <w:t xml:space="preserve">Partners delivering LAC services assist people aged 7 years and above to link to the NDIS and to mainstream and community supports within their local area. </w:t>
      </w:r>
    </w:p>
    <w:p w14:paraId="61BD430E" w14:textId="351E430E" w:rsidR="00E121BA" w:rsidRPr="00D2134C" w:rsidRDefault="00E121BA" w:rsidP="00E121BA">
      <w:pPr>
        <w:pStyle w:val="FGCNORMAL"/>
      </w:pPr>
      <w:r w:rsidRPr="00D2134C">
        <w:t xml:space="preserve">LAC partners play an important role in working directly with communities to improve accessibility and inclusion. They can identify supports available for people with disability within their community, even if they are not eligible for a NDIS-funded plan. </w:t>
      </w:r>
    </w:p>
    <w:p w14:paraId="34C263C7" w14:textId="68F70580" w:rsidR="003D0542" w:rsidRPr="00D2134C" w:rsidRDefault="00E121BA" w:rsidP="00E121BA">
      <w:pPr>
        <w:pStyle w:val="FGCNORMAL"/>
      </w:pPr>
      <w:r w:rsidRPr="00D2134C">
        <w:t xml:space="preserve">LACs help people to understand and access the NDIS, discuss goals and supports through the planning process, and assist people to use their NDIS plan. </w:t>
      </w:r>
    </w:p>
    <w:p w14:paraId="440E0588" w14:textId="4EC1ECCB" w:rsidR="00E121BA" w:rsidRPr="00D2134C" w:rsidRDefault="00E121BA" w:rsidP="003D0542">
      <w:pPr>
        <w:spacing w:before="0" w:after="160" w:line="259" w:lineRule="auto"/>
        <w:ind w:left="0"/>
      </w:pPr>
    </w:p>
    <w:p w14:paraId="207A8E28" w14:textId="77777777" w:rsidR="00E121BA" w:rsidRPr="00D2134C" w:rsidRDefault="00E121BA" w:rsidP="003D0542">
      <w:pPr>
        <w:pStyle w:val="FGCCASESTUDY"/>
        <w:keepNext/>
        <w:pBdr>
          <w:left w:val="single" w:sz="8" w:space="1" w:color="6B2976"/>
        </w:pBdr>
        <w:rPr>
          <w:rStyle w:val="FGCEMPHASIS"/>
        </w:rPr>
      </w:pPr>
      <w:r w:rsidRPr="00D2134C">
        <w:rPr>
          <w:rStyle w:val="FGCEMPHASIS"/>
        </w:rPr>
        <w:t>Case study</w:t>
      </w:r>
    </w:p>
    <w:p w14:paraId="18AC453D" w14:textId="3A838B6F" w:rsidR="00E121BA" w:rsidRPr="00D2134C" w:rsidRDefault="00E121BA" w:rsidP="003D0542">
      <w:pPr>
        <w:pStyle w:val="FGCCASESTUDY"/>
        <w:keepNext/>
        <w:pBdr>
          <w:left w:val="single" w:sz="8" w:space="1" w:color="6B2976"/>
        </w:pBdr>
      </w:pPr>
      <w:r w:rsidRPr="00D2134C">
        <w:t xml:space="preserve">A </w:t>
      </w:r>
      <w:r w:rsidR="000D5969">
        <w:t>l</w:t>
      </w:r>
      <w:r w:rsidR="00565CD8" w:rsidRPr="00D2134C">
        <w:t xml:space="preserve">ocal </w:t>
      </w:r>
      <w:r w:rsidR="000D5969">
        <w:t>ar</w:t>
      </w:r>
      <w:r w:rsidR="00565CD8" w:rsidRPr="00D2134C">
        <w:t xml:space="preserve">ea </w:t>
      </w:r>
      <w:r w:rsidR="000D5969">
        <w:t>c</w:t>
      </w:r>
      <w:r w:rsidR="00565CD8" w:rsidRPr="00D2134C">
        <w:t xml:space="preserve">oordination </w:t>
      </w:r>
      <w:r w:rsidR="00E72FDE" w:rsidRPr="00D2134C">
        <w:t>(</w:t>
      </w:r>
      <w:r w:rsidRPr="00D2134C">
        <w:t>LAC</w:t>
      </w:r>
      <w:r w:rsidR="00E72FDE" w:rsidRPr="00D2134C">
        <w:t>)</w:t>
      </w:r>
      <w:r w:rsidRPr="00D2134C">
        <w:t xml:space="preserve"> partner organisation established a project involving a partnership between various justice stakeholders including magistrates,</w:t>
      </w:r>
      <w:r w:rsidR="00C727EB" w:rsidRPr="00D2134C">
        <w:t xml:space="preserve"> First Nation</w:t>
      </w:r>
      <w:r w:rsidR="005251A0">
        <w:t>s</w:t>
      </w:r>
      <w:r w:rsidRPr="00D2134C">
        <w:t xml:space="preserve"> </w:t>
      </w:r>
      <w:r w:rsidR="009F6D2E" w:rsidRPr="00D2134C">
        <w:t>Elders</w:t>
      </w:r>
      <w:r w:rsidRPr="00D2134C">
        <w:t xml:space="preserve">, the state health service, and the community justice group. The project was aimed at building the capacity of those working in justice to increase awareness of disability, identify NDIS participants who were involved in the justice system and develop a better understanding of how the functional impacts of disability can contribute to a person with disability </w:t>
      </w:r>
      <w:proofErr w:type="gramStart"/>
      <w:r w:rsidRPr="00D2134C">
        <w:t>coming into contact with</w:t>
      </w:r>
      <w:proofErr w:type="gramEnd"/>
      <w:r w:rsidRPr="00D2134C">
        <w:t xml:space="preserve"> the justice system. The project involved working directly with people identified through the justice system so that they could be linked with community and mainstream services and supported to understand the NDIS and either apply for the NDIS or use their existing NDIS plan to connect to appropriate supports.</w:t>
      </w:r>
    </w:p>
    <w:p w14:paraId="23E8EB2F" w14:textId="77777777" w:rsidR="00E121BA" w:rsidRPr="00D2134C" w:rsidRDefault="00E121BA" w:rsidP="003D0542">
      <w:pPr>
        <w:pStyle w:val="FGCCASESTUDY"/>
        <w:keepNext/>
        <w:pBdr>
          <w:left w:val="single" w:sz="8" w:space="1" w:color="6B2976"/>
        </w:pBdr>
        <w:rPr>
          <w:lang w:eastAsia="en-US"/>
        </w:rPr>
      </w:pPr>
      <w:r w:rsidRPr="00D2134C">
        <w:t>The LAC organisation has been invited by local Elders and magistrates to expand its services. Connecting people to appropriate funding, to community and mainstream services, and back to the community has played a big role in reducing reoffending behaviour and is sustainable.</w:t>
      </w:r>
    </w:p>
    <w:p w14:paraId="3993427E" w14:textId="1AAAB9D4" w:rsidR="00E121BA" w:rsidRPr="00D2134C" w:rsidRDefault="00E72FDE" w:rsidP="00EE2D88">
      <w:pPr>
        <w:pStyle w:val="FGCHEADING3"/>
        <w:numPr>
          <w:ilvl w:val="0"/>
          <w:numId w:val="0"/>
        </w:numPr>
        <w:ind w:left="652"/>
      </w:pPr>
      <w:bookmarkStart w:id="515" w:name="_Toc83907139"/>
      <w:bookmarkStart w:id="516" w:name="_Toc84258370"/>
      <w:bookmarkStart w:id="517" w:name="_Toc84258524"/>
      <w:bookmarkStart w:id="518" w:name="_Toc84270268"/>
      <w:bookmarkStart w:id="519" w:name="_Toc85462223"/>
      <w:bookmarkStart w:id="520" w:name="_Toc116414716"/>
      <w:bookmarkStart w:id="521" w:name="_Toc116473910"/>
      <w:r w:rsidRPr="00D2134C">
        <w:t>Early childhood</w:t>
      </w:r>
      <w:r w:rsidR="00701FAF">
        <w:t xml:space="preserve"> (EC)</w:t>
      </w:r>
      <w:r w:rsidR="00E121BA" w:rsidRPr="00D2134C">
        <w:t xml:space="preserve"> </w:t>
      </w:r>
      <w:r w:rsidR="00CB18AC">
        <w:t>p</w:t>
      </w:r>
      <w:r w:rsidR="00E121BA" w:rsidRPr="00D2134C">
        <w:t xml:space="preserve">artners in the </w:t>
      </w:r>
      <w:r w:rsidR="00CB18AC">
        <w:t>c</w:t>
      </w:r>
      <w:r w:rsidR="00E121BA" w:rsidRPr="00D2134C">
        <w:t>ommunity</w:t>
      </w:r>
      <w:bookmarkEnd w:id="515"/>
      <w:bookmarkEnd w:id="516"/>
      <w:bookmarkEnd w:id="517"/>
      <w:bookmarkEnd w:id="518"/>
      <w:bookmarkEnd w:id="519"/>
      <w:bookmarkEnd w:id="520"/>
      <w:bookmarkEnd w:id="521"/>
    </w:p>
    <w:p w14:paraId="616A9C23" w14:textId="1EABBB9B" w:rsidR="00E121BA" w:rsidRPr="00D2134C" w:rsidRDefault="00E121BA" w:rsidP="00E121BA">
      <w:pPr>
        <w:pStyle w:val="FGCNORMAL"/>
      </w:pPr>
      <w:r w:rsidRPr="00D2134C">
        <w:t xml:space="preserve">Partners </w:t>
      </w:r>
      <w:r w:rsidR="00E72FDE" w:rsidRPr="00D2134C">
        <w:t xml:space="preserve">in the </w:t>
      </w:r>
      <w:r w:rsidR="00CB18AC">
        <w:t>c</w:t>
      </w:r>
      <w:r w:rsidR="00E72FDE" w:rsidRPr="00D2134C">
        <w:t xml:space="preserve">ommunity </w:t>
      </w:r>
      <w:r w:rsidRPr="00D2134C">
        <w:t xml:space="preserve">delivering </w:t>
      </w:r>
      <w:r w:rsidR="00122956">
        <w:t>early E</w:t>
      </w:r>
      <w:r w:rsidRPr="00D2134C">
        <w:t xml:space="preserve">C services support children younger than 7 years with developmental delay (including development concerns) or disability, and their families and carers, to develop the skills they need to participate in daily activities and achieve the best possible outcomes throughout their life. </w:t>
      </w:r>
    </w:p>
    <w:p w14:paraId="51F4C5AD" w14:textId="77777777" w:rsidR="00E121BA" w:rsidRPr="00D2134C" w:rsidRDefault="00E121BA" w:rsidP="00E121BA">
      <w:pPr>
        <w:pStyle w:val="FGCNORMAL"/>
      </w:pPr>
      <w:r w:rsidRPr="00D2134C">
        <w:t xml:space="preserve">EC partners focus on delivering family-centred supports using a best practice model and supporting connections to mainstream and community services for children and their families and carers. </w:t>
      </w:r>
    </w:p>
    <w:p w14:paraId="36506B52" w14:textId="557F87F0" w:rsidR="00E121BA" w:rsidRDefault="00E121BA" w:rsidP="00E121BA">
      <w:pPr>
        <w:pStyle w:val="FGCNORMAL"/>
      </w:pPr>
      <w:r w:rsidRPr="00D2134C">
        <w:t xml:space="preserve">EC partners offer early connections and early support for children with developmental concerns or developmental delay (for children </w:t>
      </w:r>
      <w:r w:rsidR="009E4AA6" w:rsidRPr="00D2134C">
        <w:t xml:space="preserve">younger than </w:t>
      </w:r>
      <w:r w:rsidR="004A46BE" w:rsidRPr="00D2134C">
        <w:t>7</w:t>
      </w:r>
      <w:r w:rsidR="00E84E19" w:rsidRPr="00D2134C">
        <w:t xml:space="preserve"> years</w:t>
      </w:r>
      <w:r w:rsidRPr="00D2134C">
        <w:t>) and support families through the NDIS access and planning process if their child requires longer term early childhood intervention supports.</w:t>
      </w:r>
    </w:p>
    <w:p w14:paraId="188EDF7A" w14:textId="77777777" w:rsidR="000D5969" w:rsidRPr="00D2134C" w:rsidRDefault="000D5969" w:rsidP="00E121BA">
      <w:pPr>
        <w:pStyle w:val="FGCNORMAL"/>
        <w:rPr>
          <w:rStyle w:val="FGCEMPHASIS"/>
        </w:rPr>
      </w:pPr>
    </w:p>
    <w:p w14:paraId="4631EABA" w14:textId="77777777" w:rsidR="00E121BA" w:rsidRPr="00D2134C" w:rsidRDefault="00E121BA" w:rsidP="00E121BA">
      <w:pPr>
        <w:pStyle w:val="FGCCASESTUDY"/>
      </w:pPr>
      <w:r w:rsidRPr="00D2134C">
        <w:rPr>
          <w:rStyle w:val="FGCEMPHASIS"/>
        </w:rPr>
        <w:lastRenderedPageBreak/>
        <w:t>Case study</w:t>
      </w:r>
    </w:p>
    <w:p w14:paraId="0406B56B" w14:textId="77777777" w:rsidR="00E121BA" w:rsidRPr="00D2134C" w:rsidRDefault="00E121BA" w:rsidP="00E121BA">
      <w:pPr>
        <w:pStyle w:val="FGCCASESTUDY"/>
      </w:pPr>
      <w:r w:rsidRPr="00D2134C">
        <w:t xml:space="preserve">An early childhood partner engaged with </w:t>
      </w:r>
      <w:proofErr w:type="gramStart"/>
      <w:r w:rsidRPr="00D2134C">
        <w:t>a number of</w:t>
      </w:r>
      <w:proofErr w:type="gramEnd"/>
      <w:r w:rsidRPr="00D2134C">
        <w:t xml:space="preserve"> Neighbourhood Houses to facilitate the establishment of early support groups. This was in response to a trend of increased referrals in </w:t>
      </w:r>
      <w:proofErr w:type="gramStart"/>
      <w:r w:rsidRPr="00D2134C">
        <w:t>a number of</w:t>
      </w:r>
      <w:proofErr w:type="gramEnd"/>
      <w:r w:rsidRPr="00D2134C">
        <w:t xml:space="preserve"> service areas. The focus of the groups varied, based on the needs of communities. The outcomes have been:</w:t>
      </w:r>
    </w:p>
    <w:p w14:paraId="106A872A" w14:textId="73BB3F0A" w:rsidR="00E121BA" w:rsidRPr="00D2134C" w:rsidRDefault="00E121BA" w:rsidP="00E121BA">
      <w:pPr>
        <w:pStyle w:val="FGCCASESTUDY"/>
        <w:tabs>
          <w:tab w:val="left" w:pos="1134"/>
        </w:tabs>
        <w:ind w:firstLine="68"/>
      </w:pPr>
      <w:r w:rsidRPr="00D2134C">
        <w:t>●</w:t>
      </w:r>
      <w:r w:rsidRPr="00D2134C">
        <w:tab/>
      </w:r>
      <w:r w:rsidR="00500AB2" w:rsidRPr="00D2134C">
        <w:t>s</w:t>
      </w:r>
      <w:r w:rsidRPr="00D2134C">
        <w:t xml:space="preserve">horter waitlists for early supports, with increased opportunities for targeted group </w:t>
      </w:r>
      <w:r w:rsidR="00853B99" w:rsidRPr="00D2134C">
        <w:tab/>
      </w:r>
      <w:r w:rsidRPr="00D2134C">
        <w:t>programs</w:t>
      </w:r>
    </w:p>
    <w:p w14:paraId="61D0200F" w14:textId="716E54F9" w:rsidR="00E121BA" w:rsidRPr="00D2134C" w:rsidRDefault="00E121BA" w:rsidP="00E121BA">
      <w:pPr>
        <w:pStyle w:val="FGCCASESTUDY"/>
        <w:tabs>
          <w:tab w:val="left" w:pos="1134"/>
        </w:tabs>
        <w:ind w:firstLine="68"/>
      </w:pPr>
      <w:r w:rsidRPr="00D2134C">
        <w:t>●</w:t>
      </w:r>
      <w:r w:rsidRPr="00D2134C">
        <w:tab/>
      </w:r>
      <w:r w:rsidR="00500AB2" w:rsidRPr="00D2134C">
        <w:t>f</w:t>
      </w:r>
      <w:r w:rsidRPr="00D2134C">
        <w:t>amilies being supported to better understand their children’s needs</w:t>
      </w:r>
    </w:p>
    <w:p w14:paraId="086ADC6F" w14:textId="30BEB57E" w:rsidR="00E121BA" w:rsidRPr="00D2134C" w:rsidRDefault="00E121BA" w:rsidP="00E121BA">
      <w:pPr>
        <w:pStyle w:val="FGCCASESTUDY"/>
        <w:tabs>
          <w:tab w:val="left" w:pos="1134"/>
        </w:tabs>
        <w:ind w:firstLine="68"/>
      </w:pPr>
      <w:r w:rsidRPr="00D2134C">
        <w:t>●</w:t>
      </w:r>
      <w:r w:rsidRPr="00D2134C">
        <w:tab/>
      </w:r>
      <w:r w:rsidR="00500AB2" w:rsidRPr="00D2134C">
        <w:t>l</w:t>
      </w:r>
      <w:r w:rsidRPr="00D2134C">
        <w:t>inkages built for children and their families in the local community.</w:t>
      </w:r>
    </w:p>
    <w:p w14:paraId="069740E8" w14:textId="77777777" w:rsidR="00E121BA" w:rsidRPr="00D2134C" w:rsidRDefault="00E121BA" w:rsidP="00E121BA">
      <w:pPr>
        <w:pStyle w:val="FGCCASESTUDY"/>
      </w:pPr>
      <w:r w:rsidRPr="00D2134C">
        <w:t xml:space="preserve">In addition to these outcomes, the partner organisation has been able to connect with the local toy library. This has provided a great opportunity to link families with a local service so they can use play equipment during the group sessions. </w:t>
      </w:r>
    </w:p>
    <w:p w14:paraId="73A1A8B2" w14:textId="77777777" w:rsidR="00E121BA" w:rsidRPr="00D2134C" w:rsidRDefault="00E121BA" w:rsidP="00E121BA">
      <w:pPr>
        <w:pStyle w:val="FGCHEADING2"/>
      </w:pPr>
      <w:bookmarkStart w:id="522" w:name="_Toc110532545"/>
      <w:bookmarkStart w:id="523" w:name="_Toc114477544"/>
      <w:bookmarkStart w:id="524" w:name="_Toc116473911"/>
      <w:r w:rsidRPr="00D2134C">
        <w:t>Workforce management</w:t>
      </w:r>
      <w:bookmarkEnd w:id="522"/>
      <w:bookmarkEnd w:id="523"/>
      <w:bookmarkEnd w:id="524"/>
      <w:r w:rsidRPr="00D2134C">
        <w:t xml:space="preserve"> </w:t>
      </w:r>
    </w:p>
    <w:p w14:paraId="1BD19925" w14:textId="0F1E9170" w:rsidR="00E121BA" w:rsidRPr="00D2134C" w:rsidRDefault="00E121BA" w:rsidP="00E121BA">
      <w:pPr>
        <w:pStyle w:val="FGCNORMAL"/>
      </w:pPr>
      <w:r w:rsidRPr="00D2134C">
        <w:t xml:space="preserve">To deliver the Scheme, the </w:t>
      </w:r>
      <w:r w:rsidR="00731335" w:rsidRPr="00D2134C">
        <w:t xml:space="preserve">NDIA </w:t>
      </w:r>
      <w:r w:rsidRPr="00D2134C">
        <w:t xml:space="preserve">needs a capable and committed workforce that is reflective of the broader Australian society. The mix of skills needed by the </w:t>
      </w:r>
      <w:r w:rsidR="00731335" w:rsidRPr="00D2134C">
        <w:t xml:space="preserve">NDIA </w:t>
      </w:r>
      <w:r w:rsidRPr="00D2134C">
        <w:t xml:space="preserve">continues to evolve, reflecting the needs of participants, </w:t>
      </w:r>
      <w:proofErr w:type="gramStart"/>
      <w:r w:rsidRPr="00D2134C">
        <w:t>carers</w:t>
      </w:r>
      <w:proofErr w:type="gramEnd"/>
      <w:r w:rsidRPr="00D2134C">
        <w:t xml:space="preserve"> and their families. It is critical the </w:t>
      </w:r>
      <w:r w:rsidR="00731335" w:rsidRPr="00D2134C">
        <w:t xml:space="preserve">NDIA </w:t>
      </w:r>
      <w:r w:rsidRPr="00D2134C">
        <w:t xml:space="preserve">attracts talented, </w:t>
      </w:r>
      <w:proofErr w:type="gramStart"/>
      <w:r w:rsidRPr="00D2134C">
        <w:t>knowledgeable</w:t>
      </w:r>
      <w:proofErr w:type="gramEnd"/>
      <w:r w:rsidRPr="00D2134C">
        <w:t xml:space="preserve"> and experienced people, and provides ongoing investment in building capability and training delivery. In particular, the </w:t>
      </w:r>
      <w:r w:rsidR="00731335" w:rsidRPr="00D2134C">
        <w:t>NDIA</w:t>
      </w:r>
      <w:r w:rsidRPr="00D2134C">
        <w:t xml:space="preserve"> continues to expand and strengthen its focus on disability and cohort awareness to improve frontline capability and the quality of experience for participants. </w:t>
      </w:r>
    </w:p>
    <w:p w14:paraId="52ECEA3F" w14:textId="3C50F701" w:rsidR="00E121BA" w:rsidRPr="00D2134C" w:rsidRDefault="00E121BA" w:rsidP="00E121BA">
      <w:pPr>
        <w:pStyle w:val="FGCNORMAL"/>
      </w:pPr>
      <w:r w:rsidRPr="00D2134C">
        <w:t>A</w:t>
      </w:r>
      <w:r w:rsidR="00383C96" w:rsidRPr="00D2134C">
        <w:t xml:space="preserve">s </w:t>
      </w:r>
      <w:proofErr w:type="gramStart"/>
      <w:r w:rsidR="00383C96" w:rsidRPr="00D2134C">
        <w:t>a</w:t>
      </w:r>
      <w:r w:rsidRPr="00D2134C">
        <w:t>t</w:t>
      </w:r>
      <w:proofErr w:type="gramEnd"/>
      <w:r w:rsidRPr="00D2134C">
        <w:t xml:space="preserve"> </w:t>
      </w:r>
      <w:r w:rsidR="006E6189" w:rsidRPr="00D2134C">
        <w:t>30 June 2022,</w:t>
      </w:r>
      <w:r w:rsidRPr="00D2134C">
        <w:t xml:space="preserve"> the NDIA workforce was 12,596, comprising:</w:t>
      </w:r>
    </w:p>
    <w:p w14:paraId="65E34980" w14:textId="0A6D09A6" w:rsidR="00E121BA" w:rsidRPr="00D2134C" w:rsidRDefault="00E121BA" w:rsidP="00E121BA">
      <w:pPr>
        <w:pStyle w:val="FGCBULLET1"/>
      </w:pPr>
      <w:r w:rsidRPr="00D2134C">
        <w:t>5,070 Australian Public Service (APS) employees (4,87</w:t>
      </w:r>
      <w:r w:rsidR="00B01388" w:rsidRPr="00D2134C">
        <w:t>2</w:t>
      </w:r>
      <w:r w:rsidRPr="00D2134C">
        <w:t xml:space="preserve"> full</w:t>
      </w:r>
      <w:r w:rsidR="005251A0">
        <w:t>-</w:t>
      </w:r>
      <w:r w:rsidRPr="00D2134C">
        <w:t>time equivalent and 4,458 average staffing level)</w:t>
      </w:r>
    </w:p>
    <w:p w14:paraId="5B87B2CD" w14:textId="1CB435B8" w:rsidR="00E121BA" w:rsidRPr="00D2134C" w:rsidRDefault="00E121BA" w:rsidP="00E121BA">
      <w:pPr>
        <w:pStyle w:val="FGCBULLET1"/>
      </w:pPr>
      <w:r w:rsidRPr="00D2134C">
        <w:t>1,89</w:t>
      </w:r>
      <w:r w:rsidR="00DD6B09" w:rsidRPr="00D2134C">
        <w:t>3</w:t>
      </w:r>
      <w:r w:rsidRPr="00D2134C">
        <w:t xml:space="preserve"> contractors, comprising 1,789 labour hire staff, 90 consultants and 14 system access only contractors</w:t>
      </w:r>
    </w:p>
    <w:p w14:paraId="7FE3539C" w14:textId="17187449" w:rsidR="00E121BA" w:rsidRPr="00D2134C" w:rsidRDefault="00E121BA" w:rsidP="00E121BA">
      <w:pPr>
        <w:pStyle w:val="FGCBULLET1"/>
      </w:pPr>
      <w:r w:rsidRPr="00D2134C">
        <w:t>5,633 outsourced workers, comprising 4,81</w:t>
      </w:r>
      <w:r w:rsidR="00A66ACC" w:rsidRPr="00D2134C">
        <w:t>3</w:t>
      </w:r>
      <w:r w:rsidRPr="00D2134C">
        <w:t xml:space="preserve"> PITC partner staff, 808 National Contact Centre staff and 12 other outsourced staff.</w:t>
      </w:r>
    </w:p>
    <w:p w14:paraId="4F0B9283" w14:textId="7470C4F8" w:rsidR="00E121BA" w:rsidRPr="00D2134C" w:rsidRDefault="00E121BA" w:rsidP="00E121BA">
      <w:pPr>
        <w:pStyle w:val="FGCNORMAL"/>
      </w:pPr>
      <w:r w:rsidRPr="00D2134C">
        <w:t>During 2021</w:t>
      </w:r>
      <w:r w:rsidR="00465AFC">
        <w:t>–</w:t>
      </w:r>
      <w:r w:rsidRPr="00D2134C">
        <w:t>22</w:t>
      </w:r>
      <w:r w:rsidR="00731335" w:rsidRPr="00D2134C">
        <w:t>,</w:t>
      </w:r>
      <w:r w:rsidRPr="00D2134C">
        <w:t xml:space="preserve"> the </w:t>
      </w:r>
      <w:r w:rsidR="00731335" w:rsidRPr="00D2134C">
        <w:t>NDIA</w:t>
      </w:r>
      <w:r w:rsidRPr="00D2134C">
        <w:t xml:space="preserve"> engaged 1,434 new APS employees, with more than 58</w:t>
      </w:r>
      <w:r w:rsidR="00C650EB" w:rsidRPr="00D2134C">
        <w:t>%</w:t>
      </w:r>
      <w:r w:rsidRPr="00D2134C">
        <w:t xml:space="preserve"> of these in participant-facing roles. The </w:t>
      </w:r>
      <w:r w:rsidR="00792184" w:rsidRPr="00D2134C">
        <w:t xml:space="preserve">NDIA’s </w:t>
      </w:r>
      <w:r w:rsidRPr="00D2134C">
        <w:t>planner workforce increased by 3.5</w:t>
      </w:r>
      <w:r w:rsidR="00C650EB" w:rsidRPr="00D2134C">
        <w:t>%</w:t>
      </w:r>
      <w:r w:rsidRPr="00D2134C">
        <w:t xml:space="preserve"> in 2021–22 and represented 42.5</w:t>
      </w:r>
      <w:r w:rsidR="00C650EB" w:rsidRPr="00D2134C">
        <w:t>%</w:t>
      </w:r>
      <w:r w:rsidRPr="00D2134C">
        <w:t xml:space="preserve"> of the </w:t>
      </w:r>
      <w:r w:rsidR="00792184" w:rsidRPr="00D2134C">
        <w:t>NDIA</w:t>
      </w:r>
      <w:r w:rsidRPr="00D2134C">
        <w:t xml:space="preserve">’s APS workforce. </w:t>
      </w:r>
    </w:p>
    <w:p w14:paraId="0A009BC3" w14:textId="77777777" w:rsidR="00E121BA" w:rsidRPr="00D2134C" w:rsidRDefault="00E121BA" w:rsidP="00EE2D88">
      <w:pPr>
        <w:pStyle w:val="FGCHEADING3"/>
        <w:numPr>
          <w:ilvl w:val="0"/>
          <w:numId w:val="0"/>
        </w:numPr>
        <w:ind w:left="652"/>
      </w:pPr>
      <w:bookmarkStart w:id="525" w:name="_Toc85462225"/>
      <w:bookmarkStart w:id="526" w:name="_Toc116414718"/>
      <w:bookmarkStart w:id="527" w:name="_Toc116473912"/>
      <w:r w:rsidRPr="00D2134C">
        <w:t>Disability and diversity employment</w:t>
      </w:r>
      <w:bookmarkEnd w:id="525"/>
      <w:bookmarkEnd w:id="526"/>
      <w:bookmarkEnd w:id="527"/>
    </w:p>
    <w:p w14:paraId="54643818" w14:textId="5578588D" w:rsidR="00E121BA" w:rsidRPr="00D2134C" w:rsidRDefault="00E121BA" w:rsidP="00E121BA">
      <w:pPr>
        <w:pStyle w:val="FGCNORMAL"/>
      </w:pPr>
      <w:r w:rsidRPr="00D2134C">
        <w:t xml:space="preserve">We are committed to building a workplace where everyone who </w:t>
      </w:r>
      <w:proofErr w:type="gramStart"/>
      <w:r w:rsidRPr="00D2134C">
        <w:t>comes into contact with</w:t>
      </w:r>
      <w:proofErr w:type="gramEnd"/>
      <w:r w:rsidRPr="00D2134C">
        <w:t xml:space="preserve"> the </w:t>
      </w:r>
      <w:r w:rsidR="00080B05" w:rsidRPr="00D2134C">
        <w:t xml:space="preserve">NDIA </w:t>
      </w:r>
      <w:r w:rsidRPr="00D2134C">
        <w:t xml:space="preserve">is valued, connected and included. The NDIA Inclusion and Diversity Framework supports a diverse workforce </w:t>
      </w:r>
      <w:r w:rsidR="001C78F3">
        <w:t>that</w:t>
      </w:r>
      <w:r w:rsidR="001C78F3" w:rsidRPr="00D2134C">
        <w:t xml:space="preserve"> </w:t>
      </w:r>
      <w:r w:rsidRPr="00D2134C">
        <w:t xml:space="preserve">is representative of the community we serve and aims to increase the </w:t>
      </w:r>
      <w:r w:rsidR="00080B05" w:rsidRPr="00D2134C">
        <w:t xml:space="preserve">NDIA’s </w:t>
      </w:r>
      <w:r w:rsidRPr="00D2134C">
        <w:t>inclusion and diversity practices through the creation of a range of diversity-group inclusion action plans.</w:t>
      </w:r>
    </w:p>
    <w:p w14:paraId="23C8C9A9" w14:textId="04EA002E" w:rsidR="00E121BA" w:rsidRPr="00D2134C" w:rsidRDefault="00E121BA" w:rsidP="00E121BA">
      <w:pPr>
        <w:pStyle w:val="FGCNORMAL"/>
      </w:pPr>
      <w:r w:rsidRPr="00D2134C">
        <w:t xml:space="preserve">Since the NDIA was established in 2013, </w:t>
      </w:r>
      <w:r w:rsidR="009F3DAA" w:rsidRPr="00D2134C">
        <w:t>it</w:t>
      </w:r>
      <w:r w:rsidRPr="00D2134C">
        <w:t xml:space="preserve"> has championed employment of people with disability. In the 2022 APS Census, 18</w:t>
      </w:r>
      <w:r w:rsidR="00C650EB" w:rsidRPr="00D2134C">
        <w:t>%</w:t>
      </w:r>
      <w:r w:rsidRPr="00D2134C">
        <w:t xml:space="preserve"> of NDIA staff identified as having disability.</w:t>
      </w:r>
    </w:p>
    <w:p w14:paraId="68ED232C" w14:textId="17FC2929" w:rsidR="00E121BA" w:rsidRPr="00D2134C" w:rsidRDefault="00E121BA" w:rsidP="00E121BA">
      <w:pPr>
        <w:pStyle w:val="FGCNORMAL"/>
      </w:pPr>
      <w:r w:rsidRPr="00D2134C">
        <w:t xml:space="preserve">The NDIA has continued to progress disability-confident recruiter status through affirmative measures. These are designed to </w:t>
      </w:r>
      <w:r w:rsidR="00920210">
        <w:t xml:space="preserve">increase the representation </w:t>
      </w:r>
      <w:r w:rsidRPr="00D2134C">
        <w:t xml:space="preserve">of people with disabilities at the </w:t>
      </w:r>
      <w:r w:rsidR="009F3DAA" w:rsidRPr="00D2134C">
        <w:t xml:space="preserve">NDIA </w:t>
      </w:r>
      <w:r w:rsidRPr="00D2134C">
        <w:t xml:space="preserve">(and more broadly across the APS). The </w:t>
      </w:r>
      <w:r w:rsidR="00044C91" w:rsidRPr="00D2134C">
        <w:t xml:space="preserve">NDIA </w:t>
      </w:r>
      <w:r w:rsidRPr="00D2134C">
        <w:t xml:space="preserve">engages in the </w:t>
      </w:r>
      <w:proofErr w:type="spellStart"/>
      <w:r w:rsidRPr="00D2134C">
        <w:t>RecruitAbility</w:t>
      </w:r>
      <w:proofErr w:type="spellEnd"/>
      <w:r w:rsidRPr="00D2134C">
        <w:t xml:space="preserve"> scheme and offers roles and vacancies specifically for people with disabilities (or a specific type of disability).</w:t>
      </w:r>
    </w:p>
    <w:p w14:paraId="6C6B3376" w14:textId="7B3C5750" w:rsidR="00E121BA" w:rsidRPr="00D2134C" w:rsidRDefault="00E121BA" w:rsidP="00E121BA">
      <w:pPr>
        <w:pStyle w:val="FGCNORMAL"/>
      </w:pPr>
      <w:r w:rsidRPr="00D2134C">
        <w:t xml:space="preserve">In December 2021, as part of the celebrations for International Day of People with Disability, the </w:t>
      </w:r>
      <w:r w:rsidR="00044C91" w:rsidRPr="00D2134C">
        <w:t xml:space="preserve">NDIA </w:t>
      </w:r>
      <w:r w:rsidRPr="00D2134C">
        <w:t xml:space="preserve">launched ‘NDIA Employees with Disability: Our commitment to you’. This commitment was commissioned and endorsed by the Employees with Disability Network. It outlines the actions </w:t>
      </w:r>
      <w:r w:rsidRPr="00D2134C">
        <w:lastRenderedPageBreak/>
        <w:t xml:space="preserve">the </w:t>
      </w:r>
      <w:r w:rsidR="00C25D31" w:rsidRPr="00D2134C">
        <w:t xml:space="preserve">NDIA </w:t>
      </w:r>
      <w:r w:rsidRPr="00D2134C">
        <w:t xml:space="preserve">will take to support our staff with disability, focusing on culture, inclusion, </w:t>
      </w:r>
      <w:proofErr w:type="gramStart"/>
      <w:r w:rsidRPr="00D2134C">
        <w:t>accessibility</w:t>
      </w:r>
      <w:proofErr w:type="gramEnd"/>
      <w:r w:rsidRPr="00D2134C">
        <w:t xml:space="preserve"> and workplace adjustments, learning and development.</w:t>
      </w:r>
    </w:p>
    <w:p w14:paraId="67A225F5" w14:textId="54EE89BA" w:rsidR="00E121BA" w:rsidRPr="00D2134C" w:rsidRDefault="00E121BA" w:rsidP="00E121BA">
      <w:pPr>
        <w:pStyle w:val="FGCNORMAL"/>
      </w:pPr>
      <w:r w:rsidRPr="00D2134C">
        <w:t xml:space="preserve">We have undertaken thorough consultation to develop the </w:t>
      </w:r>
      <w:r w:rsidR="00C74379" w:rsidRPr="00D2134C">
        <w:t xml:space="preserve">NDIA’s </w:t>
      </w:r>
      <w:r w:rsidRPr="00D2134C">
        <w:t xml:space="preserve">next Disability Inclusion Plan to support staff with disability. The plan is scheduled for release in 2022, with actions that focus on accessibility, inclusive culture, </w:t>
      </w:r>
      <w:proofErr w:type="gramStart"/>
      <w:r w:rsidRPr="00D2134C">
        <w:t>employment</w:t>
      </w:r>
      <w:proofErr w:type="gramEnd"/>
      <w:r w:rsidRPr="00D2134C">
        <w:t xml:space="preserve"> and career development</w:t>
      </w:r>
      <w:r w:rsidR="00A37193" w:rsidRPr="00D2134C">
        <w:t>.</w:t>
      </w:r>
    </w:p>
    <w:p w14:paraId="52971E04" w14:textId="08F6EF5A" w:rsidR="00E121BA" w:rsidRPr="00D2134C" w:rsidRDefault="00E121BA" w:rsidP="00E121BA">
      <w:pPr>
        <w:pStyle w:val="FGCNORMAL"/>
      </w:pPr>
      <w:r w:rsidRPr="00D2134C">
        <w:t xml:space="preserve">The </w:t>
      </w:r>
      <w:r w:rsidR="00C74379" w:rsidRPr="00D2134C">
        <w:t xml:space="preserve">NDIA’s </w:t>
      </w:r>
      <w:r w:rsidRPr="00D2134C">
        <w:t xml:space="preserve">Reconciliation Action Plan (RAP) is currently under development, with input from First Nations staff and stakeholders and support from Reconciliation Australia. This will be the third RAP in the </w:t>
      </w:r>
      <w:r w:rsidR="00C74379" w:rsidRPr="00D2134C">
        <w:t xml:space="preserve">NDIA’s </w:t>
      </w:r>
      <w:r w:rsidRPr="00D2134C">
        <w:t>reconciliation program and will build on actions implemented in our previous RAPs.</w:t>
      </w:r>
    </w:p>
    <w:p w14:paraId="0A675C85" w14:textId="7E4B14D4" w:rsidR="00E121BA" w:rsidRPr="00D2134C" w:rsidRDefault="00E121BA" w:rsidP="00E121BA">
      <w:pPr>
        <w:pStyle w:val="FGCNORMAL"/>
      </w:pPr>
      <w:r w:rsidRPr="00D2134C">
        <w:t>In the second half of 2022</w:t>
      </w:r>
      <w:r w:rsidR="00B83834" w:rsidRPr="00D2134C">
        <w:t>,</w:t>
      </w:r>
      <w:r w:rsidRPr="00D2134C">
        <w:t xml:space="preserve"> the </w:t>
      </w:r>
      <w:r w:rsidR="00C74379" w:rsidRPr="00D2134C">
        <w:t xml:space="preserve">NDIA </w:t>
      </w:r>
      <w:r w:rsidRPr="00D2134C">
        <w:t xml:space="preserve">will release its new First Nations Employment and Inclusion Plan, which will focus on employment and career development opportunities for First Nations staff. This is the second First Nations inclusion plan for the </w:t>
      </w:r>
      <w:r w:rsidR="00742BD0" w:rsidRPr="00D2134C">
        <w:t xml:space="preserve">NDIA </w:t>
      </w:r>
      <w:r w:rsidRPr="00D2134C">
        <w:t>and is aligned to the Commonwealth Aboriginal and Torres Strait Islander Workforce Strategy 2020–2024.</w:t>
      </w:r>
    </w:p>
    <w:p w14:paraId="3A54FE5C" w14:textId="216AFF7B" w:rsidR="00E121BA" w:rsidRPr="00D2134C" w:rsidRDefault="00E121BA" w:rsidP="00E121BA">
      <w:pPr>
        <w:pStyle w:val="FGCNORMAL"/>
      </w:pPr>
      <w:r w:rsidRPr="00D2134C">
        <w:t>In the 2022 APS Census, 3</w:t>
      </w:r>
      <w:r w:rsidR="00C650EB" w:rsidRPr="00D2134C">
        <w:t>%</w:t>
      </w:r>
      <w:r w:rsidRPr="00D2134C">
        <w:t xml:space="preserve"> of </w:t>
      </w:r>
      <w:r w:rsidR="00B83834" w:rsidRPr="00D2134C">
        <w:t xml:space="preserve">NDIA </w:t>
      </w:r>
      <w:r w:rsidRPr="00D2134C">
        <w:t>staff identified as First Nations</w:t>
      </w:r>
      <w:r w:rsidR="003345C5">
        <w:t xml:space="preserve"> people</w:t>
      </w:r>
      <w:r w:rsidRPr="00D2134C">
        <w:t>.</w:t>
      </w:r>
    </w:p>
    <w:p w14:paraId="69AED10F" w14:textId="20D7CBE8" w:rsidR="00E121BA" w:rsidRPr="00D2134C" w:rsidRDefault="00E121BA" w:rsidP="00E121BA">
      <w:pPr>
        <w:pStyle w:val="FGCNORMAL"/>
      </w:pPr>
      <w:r w:rsidRPr="00D2134C">
        <w:t xml:space="preserve">The </w:t>
      </w:r>
      <w:r w:rsidR="00E3440E" w:rsidRPr="00D2134C">
        <w:t xml:space="preserve">NDIA </w:t>
      </w:r>
      <w:r w:rsidRPr="00D2134C">
        <w:t xml:space="preserve">released the NDIA LGBTIQA+ Inclusion Plan in November 2021 to support LGBTIQA+ staff. The plan has 3 focus areas: </w:t>
      </w:r>
    </w:p>
    <w:p w14:paraId="72970AC8" w14:textId="02DE867D" w:rsidR="00E121BA" w:rsidRPr="00D2134C" w:rsidRDefault="00500AB2" w:rsidP="00E121BA">
      <w:pPr>
        <w:pStyle w:val="FGCBULLET1"/>
      </w:pPr>
      <w:r w:rsidRPr="00D2134C">
        <w:t>c</w:t>
      </w:r>
      <w:r w:rsidR="00E121BA" w:rsidRPr="00D2134C">
        <w:t>apability and leadership</w:t>
      </w:r>
    </w:p>
    <w:p w14:paraId="27858ECC" w14:textId="2DDA12D9" w:rsidR="00E121BA" w:rsidRPr="00D2134C" w:rsidRDefault="00500AB2" w:rsidP="00E121BA">
      <w:pPr>
        <w:pStyle w:val="FGCBULLET1"/>
      </w:pPr>
      <w:r w:rsidRPr="00D2134C">
        <w:t>i</w:t>
      </w:r>
      <w:r w:rsidR="00E121BA" w:rsidRPr="00D2134C">
        <w:t>nclusive policy and practice</w:t>
      </w:r>
    </w:p>
    <w:p w14:paraId="49C3F091" w14:textId="2211D379" w:rsidR="00E121BA" w:rsidRPr="00D2134C" w:rsidRDefault="00500AB2" w:rsidP="00E121BA">
      <w:pPr>
        <w:pStyle w:val="FGCBULLET1"/>
      </w:pPr>
      <w:r w:rsidRPr="00D2134C">
        <w:t>c</w:t>
      </w:r>
      <w:r w:rsidR="00E121BA" w:rsidRPr="00D2134C">
        <w:t xml:space="preserve">ulturally safe workplace. </w:t>
      </w:r>
    </w:p>
    <w:p w14:paraId="7CF0B6F3" w14:textId="77777777" w:rsidR="00E121BA" w:rsidRPr="00D2134C" w:rsidRDefault="00E121BA" w:rsidP="00E121BA">
      <w:pPr>
        <w:pStyle w:val="FGCNORMAL"/>
      </w:pPr>
      <w:r w:rsidRPr="00D2134C">
        <w:t xml:space="preserve">As at June 2022, 11 of the plan’s 16 actions are completed, in progress or ongoing. </w:t>
      </w:r>
    </w:p>
    <w:p w14:paraId="39A78509" w14:textId="11B63BEE" w:rsidR="00E121BA" w:rsidRPr="00D2134C" w:rsidRDefault="00E121BA" w:rsidP="00E121BA">
      <w:pPr>
        <w:pStyle w:val="FGCNORMAL"/>
      </w:pPr>
      <w:r w:rsidRPr="00D2134C">
        <w:t>In the 2022 APS Census, 8</w:t>
      </w:r>
      <w:r w:rsidR="00C650EB" w:rsidRPr="00D2134C">
        <w:t>%</w:t>
      </w:r>
      <w:r w:rsidRPr="00D2134C">
        <w:t xml:space="preserve"> of </w:t>
      </w:r>
      <w:r w:rsidR="00E3440E" w:rsidRPr="00D2134C">
        <w:t xml:space="preserve">NDIA </w:t>
      </w:r>
      <w:r w:rsidRPr="00D2134C">
        <w:t>staff identified as LGBTQIA+.</w:t>
      </w:r>
    </w:p>
    <w:p w14:paraId="6AA76E61" w14:textId="1725D93A" w:rsidR="00E121BA" w:rsidRPr="00D2134C" w:rsidRDefault="00E121BA" w:rsidP="00E121BA">
      <w:pPr>
        <w:pStyle w:val="FGCNORMAL"/>
      </w:pPr>
      <w:r w:rsidRPr="00D2134C">
        <w:t xml:space="preserve">SES Inclusion and Diversity Champions support our Inclusion and Diversity Framework objectives, staff networks, inclusion plans and initiatives. Currently the </w:t>
      </w:r>
      <w:r w:rsidR="00E3440E" w:rsidRPr="00D2134C">
        <w:t xml:space="preserve">NDIA </w:t>
      </w:r>
      <w:r w:rsidRPr="00D2134C">
        <w:t xml:space="preserve">has an SES Disability Champion, an SES Indigenous </w:t>
      </w:r>
      <w:proofErr w:type="gramStart"/>
      <w:r w:rsidRPr="00D2134C">
        <w:t>Champion</w:t>
      </w:r>
      <w:proofErr w:type="gramEnd"/>
      <w:r w:rsidRPr="00D2134C">
        <w:t xml:space="preserve"> and an SES LGBTIQA+ Champion. </w:t>
      </w:r>
    </w:p>
    <w:p w14:paraId="34425D59" w14:textId="2A7DCBDA" w:rsidR="00E121BA" w:rsidRPr="00D2134C" w:rsidRDefault="00E121BA" w:rsidP="00E121BA">
      <w:pPr>
        <w:pStyle w:val="FGCNORMAL"/>
      </w:pPr>
      <w:r w:rsidRPr="00D2134C">
        <w:t xml:space="preserve">In </w:t>
      </w:r>
      <w:r w:rsidR="00E72DCC" w:rsidRPr="00D2134C">
        <w:t>March 2022,</w:t>
      </w:r>
      <w:r w:rsidRPr="00D2134C">
        <w:t xml:space="preserve"> the </w:t>
      </w:r>
      <w:r w:rsidR="009B7CF7" w:rsidRPr="00D2134C">
        <w:t xml:space="preserve">NDIA </w:t>
      </w:r>
      <w:r w:rsidRPr="00D2134C">
        <w:t>conducted its first annual Inclusion and Diversity Survey to help measure outcomes and progress against the Inclusion and Diversity Framework</w:t>
      </w:r>
      <w:r w:rsidR="009B7CF7" w:rsidRPr="00D2134C">
        <w:t xml:space="preserve"> and</w:t>
      </w:r>
      <w:r w:rsidRPr="00D2134C">
        <w:t xml:space="preserve"> associated inclusion plans and </w:t>
      </w:r>
      <w:r w:rsidR="009B7CF7" w:rsidRPr="00D2134C">
        <w:t xml:space="preserve">to </w:t>
      </w:r>
      <w:r w:rsidRPr="00D2134C">
        <w:t>build an inclusive workplace culture. The survey had responses from 1,357 staff, across a variety of diversity factors and backgrounds, and gave us more insights into the intersectionality of our workforce.</w:t>
      </w:r>
    </w:p>
    <w:p w14:paraId="7103FE90" w14:textId="64D432EE" w:rsidR="00E121BA" w:rsidRPr="00D2134C" w:rsidRDefault="00E121BA" w:rsidP="00E121BA">
      <w:pPr>
        <w:pStyle w:val="FGCNORMAL"/>
      </w:pPr>
      <w:r w:rsidRPr="00D2134C">
        <w:t>The NDIA’s Inclusion and Diversity Framework commits to inclusion plans for gender equality and families, people from culturally and linguistically diverse (CALD) backgrounds, and</w:t>
      </w:r>
      <w:r w:rsidR="009B7CF7" w:rsidRPr="00D2134C">
        <w:t xml:space="preserve"> the</w:t>
      </w:r>
      <w:r w:rsidRPr="00D2134C">
        <w:t xml:space="preserve"> mature-age and intergenerational workforce. Further SES champions will be appointed to these roles as inclusion plans are developed.</w:t>
      </w:r>
    </w:p>
    <w:p w14:paraId="4149D558" w14:textId="515DDE86" w:rsidR="00E121BA" w:rsidRPr="00D2134C" w:rsidRDefault="00E121BA" w:rsidP="00E121BA">
      <w:pPr>
        <w:pStyle w:val="FGCNORMAL"/>
      </w:pPr>
      <w:r w:rsidRPr="00D2134C">
        <w:t xml:space="preserve">In the 2022 </w:t>
      </w:r>
      <w:r w:rsidR="00211962" w:rsidRPr="00D2134C">
        <w:t xml:space="preserve">APS </w:t>
      </w:r>
      <w:r w:rsidRPr="00D2134C">
        <w:t>Census, 70</w:t>
      </w:r>
      <w:r w:rsidR="00C650EB" w:rsidRPr="00D2134C">
        <w:t>%</w:t>
      </w:r>
      <w:r w:rsidRPr="00D2134C">
        <w:t xml:space="preserve"> of </w:t>
      </w:r>
      <w:r w:rsidR="009B7CF7" w:rsidRPr="00D2134C">
        <w:t xml:space="preserve">NDIA </w:t>
      </w:r>
      <w:r w:rsidRPr="00D2134C">
        <w:t>staff identified as female and 27</w:t>
      </w:r>
      <w:r w:rsidR="00C650EB" w:rsidRPr="00D2134C">
        <w:t>%</w:t>
      </w:r>
      <w:r w:rsidRPr="00D2134C">
        <w:t xml:space="preserve"> </w:t>
      </w:r>
      <w:r w:rsidR="009B7CF7" w:rsidRPr="00D2134C">
        <w:t xml:space="preserve">as </w:t>
      </w:r>
      <w:r w:rsidRPr="00D2134C">
        <w:t>male. For SES, 54</w:t>
      </w:r>
      <w:r w:rsidR="00C650EB" w:rsidRPr="00D2134C">
        <w:t>%</w:t>
      </w:r>
      <w:r w:rsidRPr="00D2134C">
        <w:t xml:space="preserve"> identified as female and 46</w:t>
      </w:r>
      <w:r w:rsidR="00C650EB" w:rsidRPr="00D2134C">
        <w:t>%</w:t>
      </w:r>
      <w:r w:rsidRPr="00D2134C">
        <w:t xml:space="preserve"> </w:t>
      </w:r>
      <w:r w:rsidR="00396B4F">
        <w:t xml:space="preserve">as </w:t>
      </w:r>
      <w:r w:rsidRPr="00D2134C">
        <w:t>male.</w:t>
      </w:r>
    </w:p>
    <w:p w14:paraId="488A74B3" w14:textId="6852D47B" w:rsidR="00E121BA" w:rsidRPr="00D2134C" w:rsidRDefault="00E121BA" w:rsidP="00E121BA">
      <w:pPr>
        <w:pStyle w:val="FGCNORMAL"/>
      </w:pPr>
      <w:r w:rsidRPr="00D2134C">
        <w:t xml:space="preserve">The </w:t>
      </w:r>
      <w:r w:rsidR="009B7CF7" w:rsidRPr="00D2134C">
        <w:t xml:space="preserve">NDIA </w:t>
      </w:r>
      <w:r w:rsidRPr="00D2134C">
        <w:t xml:space="preserve">has established 4 staff diversity networks: Employees with Disability Network, First Nations Employee Network, LGBTIQA+ Staff and Allies Network, and most recently People from CALD Backgrounds Staff Network. </w:t>
      </w:r>
    </w:p>
    <w:p w14:paraId="02ABC7CE" w14:textId="4CAE5E35" w:rsidR="00E121BA" w:rsidRPr="00D2134C" w:rsidRDefault="00E121BA" w:rsidP="00E121BA">
      <w:pPr>
        <w:pStyle w:val="FGCNORMAL"/>
      </w:pPr>
      <w:r w:rsidRPr="00D2134C">
        <w:t xml:space="preserve">The </w:t>
      </w:r>
      <w:r w:rsidR="009B7CF7" w:rsidRPr="00D2134C">
        <w:t xml:space="preserve">NDIA </w:t>
      </w:r>
      <w:r w:rsidRPr="00D2134C">
        <w:t>continues to hold membership of national not-for-profit organisations to support our inclusion initiatives, such as the Australian Network on Disability, the Diversity Council of Australia, and ACON Pride in Diversity.</w:t>
      </w:r>
    </w:p>
    <w:p w14:paraId="131CD5F9" w14:textId="5860E3D4" w:rsidR="00E121BA" w:rsidRPr="00D2134C" w:rsidRDefault="00E121BA" w:rsidP="00E121BA">
      <w:pPr>
        <w:pStyle w:val="FGCNORMAL"/>
      </w:pPr>
      <w:r w:rsidRPr="00D2134C">
        <w:t xml:space="preserve">The NDIA acknowledges and celebrates significant diversity and awareness dates. This year there has been a continued focus on promoting stories from staff representing wide diversity and intersectionality, to provide staff an opportunity to share their stories and lived experience within their workplace. The </w:t>
      </w:r>
      <w:r w:rsidR="009B7CF7" w:rsidRPr="00D2134C">
        <w:t xml:space="preserve">NDIA </w:t>
      </w:r>
      <w:r w:rsidRPr="00D2134C">
        <w:t>will continue to develop inclusion plans with the aim of further progressing how we create an inclusive workplace for everyone.</w:t>
      </w:r>
    </w:p>
    <w:p w14:paraId="54496469" w14:textId="77777777" w:rsidR="00E121BA" w:rsidRPr="00D2134C" w:rsidRDefault="00E121BA" w:rsidP="00EE2D88">
      <w:pPr>
        <w:pStyle w:val="FGCHEADING3"/>
        <w:numPr>
          <w:ilvl w:val="0"/>
          <w:numId w:val="0"/>
        </w:numPr>
        <w:ind w:left="652"/>
      </w:pPr>
      <w:bookmarkStart w:id="528" w:name="_Toc85462226"/>
      <w:bookmarkStart w:id="529" w:name="_Toc116414719"/>
      <w:bookmarkStart w:id="530" w:name="_Toc116473913"/>
      <w:r w:rsidRPr="00D2134C">
        <w:lastRenderedPageBreak/>
        <w:t>Ethics policies</w:t>
      </w:r>
      <w:bookmarkEnd w:id="528"/>
      <w:bookmarkEnd w:id="529"/>
      <w:bookmarkEnd w:id="530"/>
    </w:p>
    <w:p w14:paraId="1E9DEE68" w14:textId="66295A11" w:rsidR="00E121BA" w:rsidRPr="00D2134C" w:rsidRDefault="00E121BA" w:rsidP="00E121BA">
      <w:pPr>
        <w:pStyle w:val="FGCNORMAL"/>
        <w:rPr>
          <w:i/>
          <w:iCs/>
        </w:rPr>
      </w:pPr>
      <w:r w:rsidRPr="00D2134C">
        <w:t xml:space="preserve">The </w:t>
      </w:r>
      <w:r w:rsidR="009B7CF7" w:rsidRPr="00D2134C">
        <w:t xml:space="preserve">NDIA </w:t>
      </w:r>
      <w:r w:rsidRPr="00D2134C">
        <w:t xml:space="preserve">promotes ethical standards and behaviours relating to its workplaces and employment. All </w:t>
      </w:r>
      <w:r w:rsidR="009B7CF7" w:rsidRPr="00D2134C">
        <w:t xml:space="preserve">NDIA </w:t>
      </w:r>
      <w:r w:rsidRPr="00D2134C">
        <w:t xml:space="preserve">staff are required to comply with the APS Values and Code of Conduct as set out in section 13 of the </w:t>
      </w:r>
      <w:r w:rsidRPr="00D2134C">
        <w:rPr>
          <w:i/>
          <w:iCs/>
        </w:rPr>
        <w:t>Public Service Act 1999</w:t>
      </w:r>
      <w:r w:rsidRPr="00D2134C">
        <w:t>.</w:t>
      </w:r>
    </w:p>
    <w:p w14:paraId="2BCFD297" w14:textId="25414F16" w:rsidR="00E121BA" w:rsidRPr="00D2134C" w:rsidRDefault="00E121BA" w:rsidP="00E121BA">
      <w:pPr>
        <w:pStyle w:val="FGCNORMAL"/>
      </w:pPr>
      <w:r w:rsidRPr="00D2134C">
        <w:t xml:space="preserve">Possible breaches of the Code of Conduct are taken seriously, and action is taken when breaches occur. The </w:t>
      </w:r>
      <w:r w:rsidR="009B7CF7" w:rsidRPr="00D2134C">
        <w:t xml:space="preserve">NDIA </w:t>
      </w:r>
      <w:r w:rsidRPr="00D2134C">
        <w:t xml:space="preserve">has in place compulsory training programs, staff policies, and guidelines to help staff to understand their obligations and to support good workplace behaviour. Managers and staff have access to a network of officers trained to provide information and support to staff who have concerns about workplace behaviours, including bullying, </w:t>
      </w:r>
      <w:proofErr w:type="gramStart"/>
      <w:r w:rsidRPr="00D2134C">
        <w:t>harassment</w:t>
      </w:r>
      <w:proofErr w:type="gramEnd"/>
      <w:r w:rsidRPr="00D2134C">
        <w:t xml:space="preserve"> and discrimination. These officers receive a fortnightly allowance to undertake this role, as set out in the </w:t>
      </w:r>
      <w:r w:rsidR="009B7CF7" w:rsidRPr="00D2134C">
        <w:t xml:space="preserve">NDIA </w:t>
      </w:r>
      <w:r w:rsidRPr="00D2134C">
        <w:t>Enterprise Agreement 2020</w:t>
      </w:r>
      <w:r w:rsidR="0072462C">
        <w:t>-</w:t>
      </w:r>
      <w:r w:rsidRPr="00D2134C">
        <w:t xml:space="preserve">2023. </w:t>
      </w:r>
    </w:p>
    <w:p w14:paraId="5ECEB748" w14:textId="47C485C9" w:rsidR="00E121BA" w:rsidRPr="00D2134C" w:rsidRDefault="00E121BA" w:rsidP="00E121BA">
      <w:pPr>
        <w:pStyle w:val="FGCNORMAL"/>
      </w:pPr>
      <w:r w:rsidRPr="00D2134C">
        <w:t xml:space="preserve">Material published on the </w:t>
      </w:r>
      <w:r w:rsidR="009B7CF7" w:rsidRPr="00D2134C">
        <w:t xml:space="preserve">NDIA’s </w:t>
      </w:r>
      <w:r w:rsidRPr="00D2134C">
        <w:t>(internal) intranet includes information on the APS Values, the APS Employment Principles, the APS Code of Conduct and the Ethics Advisory Service, which is available to all APS employees who wish to discuss or seek advice on ethical issues that occur in the workplace.</w:t>
      </w:r>
    </w:p>
    <w:p w14:paraId="3B5A297C" w14:textId="77777777" w:rsidR="00E121BA" w:rsidRPr="00D2134C" w:rsidRDefault="00E121BA" w:rsidP="00E121BA">
      <w:pPr>
        <w:pStyle w:val="FGCHEADING2"/>
      </w:pPr>
      <w:bookmarkStart w:id="531" w:name="_Toc110532546"/>
      <w:bookmarkStart w:id="532" w:name="_Toc114477545"/>
      <w:bookmarkStart w:id="533" w:name="_Toc116473914"/>
      <w:r w:rsidRPr="00D2134C">
        <w:t>Staff engagement</w:t>
      </w:r>
      <w:bookmarkEnd w:id="531"/>
      <w:bookmarkEnd w:id="532"/>
      <w:bookmarkEnd w:id="533"/>
    </w:p>
    <w:p w14:paraId="0CF65C35" w14:textId="11861059" w:rsidR="00E121BA" w:rsidRPr="00D2134C" w:rsidRDefault="00E121BA" w:rsidP="00E121BA">
      <w:pPr>
        <w:pStyle w:val="FGCNORMAL"/>
      </w:pPr>
      <w:bookmarkStart w:id="534" w:name="_Hlk110422353"/>
      <w:r w:rsidRPr="00D2134C">
        <w:t xml:space="preserve">The NDIA works to provide a positive, </w:t>
      </w:r>
      <w:proofErr w:type="gramStart"/>
      <w:r w:rsidRPr="00D2134C">
        <w:t>productive</w:t>
      </w:r>
      <w:proofErr w:type="gramEnd"/>
      <w:r w:rsidRPr="00D2134C">
        <w:t xml:space="preserve"> and inclusive workplace – a great place to work for all staff – so that we can best support our participants and continue to improve the Scheme. Employee engagement drives high performance, as engaged staff are proud of what they do and have a strong connection and commitment to the work that they do. </w:t>
      </w:r>
      <w:r w:rsidR="009114B8" w:rsidRPr="00D2134C">
        <w:t>In the 2022 APS Census, the highest responses are aligned to staff’s connection to purpose, willingness to go above and beyond and positive team culture</w:t>
      </w:r>
      <w:r w:rsidR="001E0568">
        <w:t>,</w:t>
      </w:r>
      <w:r w:rsidR="009114B8" w:rsidRPr="00D2134C">
        <w:t xml:space="preserve"> at 95%.</w:t>
      </w:r>
    </w:p>
    <w:p w14:paraId="5B0E3A98" w14:textId="259816D7" w:rsidR="00B16D78" w:rsidRPr="00D2134C" w:rsidRDefault="00B16D78" w:rsidP="00B16D78">
      <w:pPr>
        <w:pStyle w:val="FGCNORMAL"/>
      </w:pPr>
      <w:r w:rsidRPr="00D2134C">
        <w:t>In the 2022 APS Census, the NDIA had an 85</w:t>
      </w:r>
      <w:r w:rsidR="00C650EB" w:rsidRPr="00D2134C">
        <w:t>%</w:t>
      </w:r>
      <w:r w:rsidRPr="00D2134C">
        <w:t xml:space="preserve"> response rate, with 5,220 of its </w:t>
      </w:r>
      <w:bookmarkStart w:id="535" w:name="_Int_XxMCa6TS"/>
      <w:proofErr w:type="gramStart"/>
      <w:r w:rsidR="00B877D4" w:rsidRPr="00D2134C">
        <w:t>workforce</w:t>
      </w:r>
      <w:bookmarkEnd w:id="535"/>
      <w:proofErr w:type="gramEnd"/>
      <w:r w:rsidRPr="00D2134C">
        <w:t xml:space="preserve"> (APS employee and labour-hire workers</w:t>
      </w:r>
      <w:r w:rsidR="00BE0F00" w:rsidRPr="00D2134C">
        <w:t>, excluding PITC partner staff</w:t>
      </w:r>
      <w:r w:rsidRPr="00D2134C">
        <w:t xml:space="preserve">) participating. The NDIA </w:t>
      </w:r>
      <w:r w:rsidR="001E0568">
        <w:t>E</w:t>
      </w:r>
      <w:r w:rsidRPr="00D2134C">
        <w:t xml:space="preserve">ngagement </w:t>
      </w:r>
      <w:r w:rsidR="001E0568">
        <w:t>I</w:t>
      </w:r>
      <w:r w:rsidRPr="00D2134C">
        <w:t>ndex</w:t>
      </w:r>
      <w:r w:rsidR="004143DD" w:rsidRPr="00D2134C">
        <w:t>,</w:t>
      </w:r>
      <w:r w:rsidRPr="00D2134C">
        <w:t xml:space="preserve"> which measures staff job satisfaction and commitment to an organisation</w:t>
      </w:r>
      <w:r w:rsidR="004143DD" w:rsidRPr="00D2134C">
        <w:t>,</w:t>
      </w:r>
      <w:r w:rsidRPr="00D2134C">
        <w:t xml:space="preserve"> improved from 74</w:t>
      </w:r>
      <w:r w:rsidR="00C650EB" w:rsidRPr="00D2134C">
        <w:t>%</w:t>
      </w:r>
      <w:r w:rsidRPr="00D2134C">
        <w:t xml:space="preserve"> in 2021 to 76</w:t>
      </w:r>
      <w:r w:rsidR="00C650EB" w:rsidRPr="00D2134C">
        <w:t>%</w:t>
      </w:r>
      <w:r w:rsidR="004143DD" w:rsidRPr="00D2134C">
        <w:t xml:space="preserve"> in 2022</w:t>
      </w:r>
      <w:r w:rsidR="0072462C">
        <w:t>,</w:t>
      </w:r>
      <w:r w:rsidR="00A83E3E" w:rsidRPr="00D2134C">
        <w:t xml:space="preserve"> </w:t>
      </w:r>
      <w:r w:rsidRPr="00D2134C">
        <w:t>3</w:t>
      </w:r>
      <w:r w:rsidR="00C650EB" w:rsidRPr="00D2134C">
        <w:t>%</w:t>
      </w:r>
      <w:r w:rsidRPr="00D2134C">
        <w:t xml:space="preserve"> higher than the APS average. </w:t>
      </w:r>
    </w:p>
    <w:p w14:paraId="4BEAD1A1" w14:textId="6941F2F5" w:rsidR="00B16D78" w:rsidRPr="00D2134C" w:rsidRDefault="00B16D78" w:rsidP="00B16D78">
      <w:pPr>
        <w:pStyle w:val="FGCNORMAL"/>
      </w:pPr>
      <w:r w:rsidRPr="00D2134C">
        <w:t xml:space="preserve">The Wellbeing </w:t>
      </w:r>
      <w:r w:rsidR="007452F1" w:rsidRPr="00D2134C">
        <w:t>I</w:t>
      </w:r>
      <w:r w:rsidRPr="00D2134C">
        <w:t xml:space="preserve">ndex measures staff perceptions on how well the </w:t>
      </w:r>
      <w:r w:rsidR="00A83E3E" w:rsidRPr="00D2134C">
        <w:t xml:space="preserve">NDIA </w:t>
      </w:r>
      <w:r w:rsidRPr="00D2134C">
        <w:t>and immediate supervisors care about staff health and wellbeing</w:t>
      </w:r>
      <w:r w:rsidR="00A83E3E" w:rsidRPr="00D2134C">
        <w:t>.</w:t>
      </w:r>
      <w:r w:rsidR="00DD2374" w:rsidRPr="00D2134C">
        <w:rPr>
          <w:rStyle w:val="FootnoteReference"/>
          <w:sz w:val="18"/>
          <w:szCs w:val="18"/>
        </w:rPr>
        <w:footnoteReference w:id="55"/>
      </w:r>
      <w:r w:rsidRPr="00D2134C">
        <w:t xml:space="preserve"> </w:t>
      </w:r>
      <w:r w:rsidR="00A83E3E" w:rsidRPr="00D2134C">
        <w:t>T</w:t>
      </w:r>
      <w:r w:rsidRPr="00D2134C">
        <w:t>his increased from 66</w:t>
      </w:r>
      <w:r w:rsidR="00C650EB" w:rsidRPr="00D2134C">
        <w:t>%</w:t>
      </w:r>
      <w:r w:rsidRPr="00D2134C">
        <w:t xml:space="preserve"> in 2021 to 71</w:t>
      </w:r>
      <w:r w:rsidR="00C650EB" w:rsidRPr="00D2134C">
        <w:t>%</w:t>
      </w:r>
      <w:r w:rsidRPr="00D2134C">
        <w:t xml:space="preserve"> in 2022. Results also indicated an increase in staff feeling supported by their immediate supervisor.</w:t>
      </w:r>
    </w:p>
    <w:p w14:paraId="6F02D765" w14:textId="56B1035B" w:rsidR="00B16D78" w:rsidRPr="00D2134C" w:rsidRDefault="00B16D78" w:rsidP="00B16D78">
      <w:pPr>
        <w:pStyle w:val="FGCNORMAL"/>
      </w:pPr>
      <w:r w:rsidRPr="00D2134C">
        <w:t xml:space="preserve">The Census Innovation </w:t>
      </w:r>
      <w:r w:rsidR="0072462C">
        <w:t>I</w:t>
      </w:r>
      <w:r w:rsidRPr="00D2134C">
        <w:t>ndex remained at 67</w:t>
      </w:r>
      <w:r w:rsidR="00C650EB" w:rsidRPr="00D2134C">
        <w:t>%</w:t>
      </w:r>
      <w:r w:rsidRPr="00D2134C">
        <w:t xml:space="preserve"> in the 2022</w:t>
      </w:r>
      <w:r w:rsidR="00CF17F7" w:rsidRPr="00D2134C">
        <w:t xml:space="preserve"> APS</w:t>
      </w:r>
      <w:r w:rsidRPr="00D2134C">
        <w:t xml:space="preserve"> Census. This was 2</w:t>
      </w:r>
      <w:r w:rsidR="00C650EB" w:rsidRPr="00D2134C">
        <w:t>%</w:t>
      </w:r>
      <w:r w:rsidRPr="00D2134C">
        <w:t xml:space="preserve"> above the APS average.</w:t>
      </w:r>
    </w:p>
    <w:p w14:paraId="623C0EC8" w14:textId="221296DE" w:rsidR="00E121BA" w:rsidRPr="00D2134C" w:rsidRDefault="00E121BA" w:rsidP="00E121BA">
      <w:pPr>
        <w:pStyle w:val="FGCNORMAL"/>
      </w:pPr>
      <w:r w:rsidRPr="00D2134C">
        <w:t xml:space="preserve">The NDIA has continued to place great importance on being an inclusive and welcoming workplace where diversity is embraced and celebrated, to ensure we have a workforce that is diverse and representative of the communities we serve. The NDIA continues to experience strong engagement with staff through its diversity networks, with strong representation on the Employees with Disability Network (around 200 members), First Nations Employee Network (around 90 members) and LGBTIQA+ Staff and Allies Network (around 135 members). These networks provide an avenue for the </w:t>
      </w:r>
      <w:r w:rsidR="00A83E3E" w:rsidRPr="00D2134C">
        <w:t xml:space="preserve">NDIA </w:t>
      </w:r>
      <w:r w:rsidRPr="00D2134C">
        <w:t>to engage directly with specific diversity cohorts and receive advice and guidance on creating a more inclusive workplace culture.</w:t>
      </w:r>
      <w:bookmarkEnd w:id="534"/>
    </w:p>
    <w:p w14:paraId="350FEAF8" w14:textId="77777777" w:rsidR="00E121BA" w:rsidRPr="00D2134C" w:rsidRDefault="00E121BA" w:rsidP="00E121BA">
      <w:pPr>
        <w:pStyle w:val="FGCHEADING2"/>
      </w:pPr>
      <w:bookmarkStart w:id="536" w:name="_Toc110532547"/>
      <w:bookmarkStart w:id="537" w:name="_Toc114477546"/>
      <w:bookmarkStart w:id="538" w:name="_Toc116473915"/>
      <w:r w:rsidRPr="00D2134C">
        <w:lastRenderedPageBreak/>
        <w:t>Risk management</w:t>
      </w:r>
      <w:bookmarkEnd w:id="536"/>
      <w:bookmarkEnd w:id="537"/>
      <w:bookmarkEnd w:id="538"/>
    </w:p>
    <w:p w14:paraId="3EB5FD8B" w14:textId="22078DA8" w:rsidR="00E121BA" w:rsidRPr="00D2134C" w:rsidRDefault="00E121BA" w:rsidP="00E121BA">
      <w:pPr>
        <w:pStyle w:val="FGCNORMAL"/>
      </w:pPr>
      <w:r w:rsidRPr="00D2134C">
        <w:t xml:space="preserve">The </w:t>
      </w:r>
      <w:r w:rsidR="00A83E3E" w:rsidRPr="00D2134C">
        <w:t>NDIA</w:t>
      </w:r>
      <w:r w:rsidRPr="00D2134C">
        <w:t xml:space="preserve"> has a structured approach to identifying, managing, </w:t>
      </w:r>
      <w:proofErr w:type="gramStart"/>
      <w:r w:rsidRPr="00D2134C">
        <w:t>escalating</w:t>
      </w:r>
      <w:proofErr w:type="gramEnd"/>
      <w:r w:rsidRPr="00D2134C">
        <w:t xml:space="preserve"> and communicating key risks. This is critical to the effective and efficient delivery of the Scheme. The </w:t>
      </w:r>
      <w:r w:rsidR="00A83E3E" w:rsidRPr="00D2134C">
        <w:t xml:space="preserve">NDIA </w:t>
      </w:r>
      <w:r w:rsidRPr="00D2134C">
        <w:t xml:space="preserve">is committed to ensuring that participant supports, provider services and other critical business functions are maintained or quickly restored in the event of a significant outage, </w:t>
      </w:r>
      <w:proofErr w:type="gramStart"/>
      <w:r w:rsidRPr="00D2134C">
        <w:t>incident</w:t>
      </w:r>
      <w:proofErr w:type="gramEnd"/>
      <w:r w:rsidRPr="00D2134C">
        <w:t xml:space="preserve"> or crisis. The proactive use of risk management within the </w:t>
      </w:r>
      <w:r w:rsidR="00A83E3E" w:rsidRPr="00D2134C">
        <w:t xml:space="preserve">NDIA </w:t>
      </w:r>
      <w:r w:rsidRPr="00D2134C">
        <w:t xml:space="preserve">has allowed us to support effective business planning, operational </w:t>
      </w:r>
      <w:proofErr w:type="gramStart"/>
      <w:r w:rsidRPr="00D2134C">
        <w:t>stability</w:t>
      </w:r>
      <w:proofErr w:type="gramEnd"/>
      <w:r w:rsidRPr="00D2134C">
        <w:t xml:space="preserve"> and delivery of corporate aspirations through an evidence-based approach within the appetite set by the Board.</w:t>
      </w:r>
    </w:p>
    <w:p w14:paraId="66CC81FA" w14:textId="45F9411B" w:rsidR="00E121BA" w:rsidRPr="00D2134C" w:rsidRDefault="00E121BA" w:rsidP="00E121BA">
      <w:pPr>
        <w:pStyle w:val="FGCNORMAL"/>
      </w:pPr>
      <w:r w:rsidRPr="00D2134C">
        <w:t xml:space="preserve">The Chief Risk Officer Division assists the Board and ELT by providing objective risk reviews, oversight, monitoring and reporting. On an annual basis, the Board determines the risk appetite and strategic risks for the </w:t>
      </w:r>
      <w:r w:rsidR="00A83E3E" w:rsidRPr="00D2134C">
        <w:t>NDIA</w:t>
      </w:r>
      <w:r w:rsidRPr="00D2134C">
        <w:t xml:space="preserve">, which are directly aligned to the Corporate Plan. The Board determined 10 strategic risks for 2021–22 in the areas of participant experience and outcomes, partner performance, provider market growth and quality, financial sustainability, Scheme integrity, stakeholder engagement and </w:t>
      </w:r>
      <w:r w:rsidR="00A83E3E" w:rsidRPr="00D2134C">
        <w:t xml:space="preserve">NDIA </w:t>
      </w:r>
      <w:r w:rsidRPr="00D2134C">
        <w:t xml:space="preserve">operational stability. The strategic risks are monitored against key indicators, and performance is reported to the ELT and Board Risk Committee on a quarterly basis. Management of the strategic risks is supported by operational, fraud and compliance, regulatory and project risk assessments and controls which are owned and managed at group or aggregated </w:t>
      </w:r>
      <w:r w:rsidR="00A83E3E" w:rsidRPr="00D2134C">
        <w:t>NDIA</w:t>
      </w:r>
      <w:r w:rsidRPr="00D2134C">
        <w:t xml:space="preserve"> level.</w:t>
      </w:r>
    </w:p>
    <w:p w14:paraId="4EA354C5" w14:textId="06438A5E" w:rsidR="00E121BA" w:rsidRPr="00D2134C" w:rsidRDefault="00E121BA" w:rsidP="00E121BA">
      <w:pPr>
        <w:pStyle w:val="FGCNORMAL"/>
      </w:pPr>
      <w:r w:rsidRPr="00D2134C">
        <w:t xml:space="preserve">The </w:t>
      </w:r>
      <w:r w:rsidR="00A83E3E" w:rsidRPr="00D2134C">
        <w:t>NDIA</w:t>
      </w:r>
      <w:r w:rsidRPr="00D2134C">
        <w:t xml:space="preserve"> has an established and practically tested Business Continuity Management Framework (most recently tested during the COVID-19 pandemic and east coast flood events) to ensure the rapid response and resumption of participant and provider services and critical business activities in emergency situations.</w:t>
      </w:r>
    </w:p>
    <w:p w14:paraId="6AF7FA8E" w14:textId="2E7949F3" w:rsidR="00E121BA" w:rsidRPr="00D2134C" w:rsidRDefault="00E121BA" w:rsidP="00E121BA">
      <w:pPr>
        <w:pStyle w:val="FGCNORMAL"/>
      </w:pPr>
      <w:r w:rsidRPr="00D2134C">
        <w:t xml:space="preserve">The </w:t>
      </w:r>
      <w:r w:rsidR="00CF0C25" w:rsidRPr="00D2134C">
        <w:t>NDIA</w:t>
      </w:r>
      <w:r w:rsidRPr="00D2134C">
        <w:t xml:space="preserve">’s integrated risk management system provides a single platform for managing operational, </w:t>
      </w:r>
      <w:proofErr w:type="gramStart"/>
      <w:r w:rsidRPr="00D2134C">
        <w:t>strategic</w:t>
      </w:r>
      <w:proofErr w:type="gramEnd"/>
      <w:r w:rsidRPr="00D2134C">
        <w:t xml:space="preserve"> and regulatory risks, audit recommendations, incidents and business continuity plans. The system gives accountable executives extended visibility as to the risks and controls within their business and the broader </w:t>
      </w:r>
      <w:r w:rsidR="00CF0C25" w:rsidRPr="00D2134C">
        <w:t>NDIA</w:t>
      </w:r>
      <w:r w:rsidRPr="00D2134C">
        <w:t xml:space="preserve"> and underpins quarterly risk reporting to the Board Risk Committee.</w:t>
      </w:r>
    </w:p>
    <w:p w14:paraId="4654167E" w14:textId="7E16BDB9" w:rsidR="00E121BA" w:rsidRPr="00D2134C" w:rsidRDefault="00E121BA" w:rsidP="00E121BA">
      <w:pPr>
        <w:pStyle w:val="FGCNORMAL"/>
      </w:pPr>
      <w:r w:rsidRPr="00D2134C">
        <w:t xml:space="preserve">The </w:t>
      </w:r>
      <w:r w:rsidR="009F1105" w:rsidRPr="00D2134C">
        <w:t>NDIA</w:t>
      </w:r>
      <w:r w:rsidRPr="00D2134C">
        <w:t xml:space="preserve"> continues to look for opportunities to optimise, digitise and integrate its risk management frameworks and systems to deliver a more connected, </w:t>
      </w:r>
      <w:proofErr w:type="gramStart"/>
      <w:r w:rsidRPr="00D2134C">
        <w:t>responsive</w:t>
      </w:r>
      <w:proofErr w:type="gramEnd"/>
      <w:r w:rsidRPr="00D2134C">
        <w:t xml:space="preserve"> and predictive risk ecosystem.</w:t>
      </w:r>
    </w:p>
    <w:p w14:paraId="22EFB1D2" w14:textId="77777777" w:rsidR="00E121BA" w:rsidRPr="00D2134C" w:rsidRDefault="00E121BA" w:rsidP="00873C47">
      <w:pPr>
        <w:pStyle w:val="FGCHEADING3"/>
        <w:numPr>
          <w:ilvl w:val="2"/>
          <w:numId w:val="21"/>
        </w:numPr>
      </w:pPr>
      <w:bookmarkStart w:id="539" w:name="_Toc110532548"/>
      <w:bookmarkStart w:id="540" w:name="_Toc114477547"/>
      <w:bookmarkStart w:id="541" w:name="_Toc116414722"/>
      <w:bookmarkStart w:id="542" w:name="_Toc116473916"/>
      <w:r w:rsidRPr="00D2134C">
        <w:t>Scheme integrity</w:t>
      </w:r>
      <w:bookmarkEnd w:id="539"/>
      <w:bookmarkEnd w:id="540"/>
      <w:bookmarkEnd w:id="541"/>
      <w:bookmarkEnd w:id="542"/>
    </w:p>
    <w:p w14:paraId="60859B28" w14:textId="5FDA9E50" w:rsidR="00E121BA" w:rsidRPr="00D2134C" w:rsidRDefault="00E121BA" w:rsidP="00EE2D88">
      <w:pPr>
        <w:pStyle w:val="FGCHEADING4"/>
      </w:pPr>
      <w:r w:rsidRPr="00D2134C">
        <w:t>Payment noncompliance and fraud</w:t>
      </w:r>
    </w:p>
    <w:p w14:paraId="009E2D85" w14:textId="60F83E40" w:rsidR="00E121BA" w:rsidRPr="00D2134C" w:rsidRDefault="00E121BA" w:rsidP="00E121BA">
      <w:pPr>
        <w:pStyle w:val="FGCNORMAL"/>
      </w:pPr>
      <w:r w:rsidRPr="00D2134C">
        <w:t xml:space="preserve">The </w:t>
      </w:r>
      <w:r w:rsidR="009B5E10" w:rsidRPr="00D2134C">
        <w:t xml:space="preserve">NDIA </w:t>
      </w:r>
      <w:r w:rsidRPr="00D2134C">
        <w:t xml:space="preserve">maintains a zero-tolerance approach to fraud and invests heavily in the prevention and detection of noncompliant claiming behaviours, including potential fraud. </w:t>
      </w:r>
    </w:p>
    <w:p w14:paraId="4F44EE94" w14:textId="2E6B1468" w:rsidR="00E121BA" w:rsidRPr="00D2134C" w:rsidRDefault="00E121BA" w:rsidP="00E121BA">
      <w:pPr>
        <w:pStyle w:val="FGCNORMAL"/>
      </w:pPr>
      <w:r w:rsidRPr="00D2134C">
        <w:t xml:space="preserve">The </w:t>
      </w:r>
      <w:r w:rsidR="007E020C">
        <w:t>NDIA</w:t>
      </w:r>
      <w:r w:rsidRPr="00D2134C">
        <w:t xml:space="preserve">’s Fraud and Corruption Control Plan outlines how the </w:t>
      </w:r>
      <w:r w:rsidR="00BA4DAD" w:rsidRPr="00D2134C">
        <w:t>NDIA</w:t>
      </w:r>
      <w:r w:rsidRPr="00D2134C">
        <w:t xml:space="preserve"> is meeting its responsibilities under the </w:t>
      </w:r>
      <w:r w:rsidRPr="00D2134C">
        <w:rPr>
          <w:i/>
          <w:iCs/>
        </w:rPr>
        <w:t>Public Governance, Performance and Accountability Act 2013</w:t>
      </w:r>
      <w:r w:rsidRPr="00D2134C">
        <w:t xml:space="preserve"> and the Commonwealth Fraud Control Framework 2017. Our publicly available Fraud Strategy Statement and Compliance and Enforcement Framework describe the </w:t>
      </w:r>
      <w:r w:rsidR="00BA4DAD" w:rsidRPr="00D2134C">
        <w:t>NDIA</w:t>
      </w:r>
      <w:r w:rsidRPr="00D2134C">
        <w:t>’s approach to managing compliance and enforcement objectives and activities, including fraud and anti-corruption.</w:t>
      </w:r>
    </w:p>
    <w:p w14:paraId="22818480" w14:textId="2E78F943" w:rsidR="00E121BA" w:rsidRPr="00D2134C" w:rsidRDefault="00E121BA" w:rsidP="00E121BA">
      <w:pPr>
        <w:pStyle w:val="FGCNORMAL"/>
      </w:pPr>
      <w:r w:rsidRPr="00D2134C">
        <w:t>The NDIA continues to invest in its capability to prevent, detect and respond to payment noncompliance and fraud. Throughout 2021–22</w:t>
      </w:r>
      <w:r w:rsidR="003D1F4E" w:rsidRPr="00D2134C">
        <w:t>,</w:t>
      </w:r>
      <w:r w:rsidRPr="00D2134C">
        <w:t xml:space="preserve"> the </w:t>
      </w:r>
      <w:r w:rsidR="00BA4DAD" w:rsidRPr="00D2134C">
        <w:t>NDIA</w:t>
      </w:r>
      <w:r w:rsidRPr="00D2134C">
        <w:t xml:space="preserve"> commenced work, in consultation with the NDIS Commission, to develop and test new claims and payment compliance capabilities, targeting fraudulent and unethical provider behaviours. </w:t>
      </w:r>
    </w:p>
    <w:p w14:paraId="5DC4F48C" w14:textId="6C5D87C2" w:rsidR="00E121BA" w:rsidRPr="00D2134C" w:rsidRDefault="00E121BA" w:rsidP="00E121BA">
      <w:pPr>
        <w:pStyle w:val="FGCNORMAL"/>
      </w:pPr>
      <w:r w:rsidRPr="00D2134C">
        <w:t xml:space="preserve">The </w:t>
      </w:r>
      <w:r w:rsidR="00BA4DAD" w:rsidRPr="00D2134C">
        <w:t>NDIA</w:t>
      </w:r>
      <w:r w:rsidRPr="00D2134C">
        <w:t xml:space="preserve"> also continues to undertake preventative initiatives with internal and external stakeholders. In 2021–22</w:t>
      </w:r>
      <w:r w:rsidR="00BD749B" w:rsidRPr="00D2134C">
        <w:t>,</w:t>
      </w:r>
      <w:r w:rsidRPr="00D2134C">
        <w:t xml:space="preserve"> the </w:t>
      </w:r>
      <w:r w:rsidR="00BA4DAD" w:rsidRPr="00D2134C">
        <w:t>NDIA</w:t>
      </w:r>
      <w:r w:rsidRPr="00D2134C">
        <w:t xml:space="preserve"> ran a comprehensive education and engagement campaign designed to raise awareness about noncompliance and fraud within the Scheme. The campaign, which coincided with International Fraud Awareness Week and Scams Awareness Week, </w:t>
      </w:r>
      <w:r w:rsidRPr="00D2134C">
        <w:lastRenderedPageBreak/>
        <w:t xml:space="preserve">provided a channel for stakeholders to identify and express their understanding of noncompliance and fraud issues and build their awareness. </w:t>
      </w:r>
    </w:p>
    <w:p w14:paraId="67E674BA" w14:textId="6C269AE0" w:rsidR="00E121BA" w:rsidRPr="00D2134C" w:rsidRDefault="00E121BA" w:rsidP="00E121BA">
      <w:pPr>
        <w:pStyle w:val="FGCNORMAL"/>
      </w:pPr>
      <w:r w:rsidRPr="00D2134C">
        <w:t xml:space="preserve">In addition, the </w:t>
      </w:r>
      <w:r w:rsidR="00BA4DAD" w:rsidRPr="00D2134C">
        <w:t>NDIA</w:t>
      </w:r>
      <w:r w:rsidRPr="00D2134C">
        <w:t xml:space="preserve"> continued to work across government to leverage capabilities and support more effective compliance and enforcement activities, including with the NDIS Commission, Australian Federal Police, Australian Criminal Intelligence Commission, Services </w:t>
      </w:r>
      <w:proofErr w:type="gramStart"/>
      <w:r w:rsidRPr="00D2134C">
        <w:t>Australia</w:t>
      </w:r>
      <w:proofErr w:type="gramEnd"/>
      <w:r w:rsidRPr="00D2134C">
        <w:t xml:space="preserve"> and AUSTRAC. </w:t>
      </w:r>
    </w:p>
    <w:p w14:paraId="0F18E38F" w14:textId="77777777" w:rsidR="00E121BA" w:rsidRPr="00D2134C" w:rsidRDefault="00E121BA" w:rsidP="00EE2D88">
      <w:pPr>
        <w:pStyle w:val="FGCHEADING4"/>
      </w:pPr>
      <w:r w:rsidRPr="00D2134C">
        <w:t xml:space="preserve">Compliance activities </w:t>
      </w:r>
    </w:p>
    <w:p w14:paraId="48DE8C36" w14:textId="131E6EFF" w:rsidR="00E121BA" w:rsidRPr="00D2134C" w:rsidRDefault="00E121BA" w:rsidP="00E121BA">
      <w:pPr>
        <w:pStyle w:val="FGCNORMAL"/>
      </w:pPr>
      <w:r w:rsidRPr="00D2134C">
        <w:t xml:space="preserve">In </w:t>
      </w:r>
      <w:r w:rsidR="00DA385E" w:rsidRPr="00D2134C">
        <w:t>July 2021,</w:t>
      </w:r>
      <w:r w:rsidRPr="00D2134C">
        <w:t xml:space="preserve"> the </w:t>
      </w:r>
      <w:r w:rsidR="00BA4DAD" w:rsidRPr="00D2134C">
        <w:t>NDIA</w:t>
      </w:r>
      <w:r w:rsidRPr="00D2134C">
        <w:t xml:space="preserve"> established the Compliance Response Team to increase its capacity to proactively identify and respond to potential noncompliance. Since its establishment</w:t>
      </w:r>
      <w:r w:rsidR="00A50EAA" w:rsidRPr="00D2134C">
        <w:t>,</w:t>
      </w:r>
      <w:r w:rsidRPr="00D2134C">
        <w:t xml:space="preserve"> the Compliance Response Team has completed 5,087 engagements with providers where data analytics has identified anomalies in claims submitted by these providers. This proactive approach has resulted in providers cancelling more than 38,700 incorrect or noncompliant payments, worth almost $44.8 million.</w:t>
      </w:r>
    </w:p>
    <w:p w14:paraId="1CB5D45A" w14:textId="77777777" w:rsidR="00E121BA" w:rsidRPr="00D2134C" w:rsidRDefault="00E121BA" w:rsidP="00E121BA">
      <w:pPr>
        <w:pStyle w:val="FGCNORMAL"/>
      </w:pPr>
      <w:r w:rsidRPr="00D2134C">
        <w:t xml:space="preserve">The team also works with providers to raise awareness of their responsibilities and educate them on how to be compliant when claiming. Data modelling has shown that this activity has positively impacted claiming behaviour by tens of millions of dollars. </w:t>
      </w:r>
    </w:p>
    <w:p w14:paraId="06A04748" w14:textId="7B0E37DF" w:rsidR="00E121BA" w:rsidRPr="00D2134C" w:rsidRDefault="00E121BA" w:rsidP="00E121BA">
      <w:pPr>
        <w:pStyle w:val="FGCNORMAL"/>
      </w:pPr>
      <w:r w:rsidRPr="00D2134C">
        <w:t>In 2021–22</w:t>
      </w:r>
      <w:r w:rsidR="00BD749B" w:rsidRPr="00D2134C">
        <w:t>,</w:t>
      </w:r>
      <w:r w:rsidRPr="00D2134C">
        <w:t xml:space="preserve"> the </w:t>
      </w:r>
      <w:r w:rsidR="00BA4DAD" w:rsidRPr="00D2134C">
        <w:t>NDIA</w:t>
      </w:r>
      <w:r w:rsidRPr="00D2134C">
        <w:t xml:space="preserve"> received more than 9,230 tip-offs through the fraud reporting and scams helpline. The most common behaviour reported in the tip-offs was providers overcharging participants for supports. The </w:t>
      </w:r>
      <w:r w:rsidR="00BA4DAD" w:rsidRPr="00D2134C">
        <w:t>NDIA</w:t>
      </w:r>
      <w:r w:rsidRPr="00D2134C">
        <w:t xml:space="preserve"> analysed all tip-offs received, and most were deemed suitable for further compliance review or retained as useful intelligence. </w:t>
      </w:r>
    </w:p>
    <w:p w14:paraId="4DDB4CAD" w14:textId="6B825C2C" w:rsidR="00E121BA" w:rsidRPr="00D2134C" w:rsidRDefault="00E121BA" w:rsidP="00E121BA">
      <w:pPr>
        <w:pStyle w:val="FGCNORMAL"/>
      </w:pPr>
      <w:r w:rsidRPr="00D2134C">
        <w:t xml:space="preserve">Given the impacts of the COVID-19 pandemic, the </w:t>
      </w:r>
      <w:r w:rsidR="00BA4DAD" w:rsidRPr="00D2134C">
        <w:t>NDIA</w:t>
      </w:r>
      <w:r w:rsidRPr="00D2134C">
        <w:t xml:space="preserve"> has adapted how it engages providers and participants on compliance matters to accommodate individual circumstances. </w:t>
      </w:r>
    </w:p>
    <w:p w14:paraId="7119798A" w14:textId="77777777" w:rsidR="00E121BA" w:rsidRPr="00D2134C" w:rsidRDefault="00E121BA" w:rsidP="00EE2D88">
      <w:pPr>
        <w:pStyle w:val="FGCHEADING4"/>
      </w:pPr>
      <w:r w:rsidRPr="00D2134C">
        <w:t>Investigations</w:t>
      </w:r>
    </w:p>
    <w:p w14:paraId="79588429" w14:textId="1791A845" w:rsidR="00E121BA" w:rsidRPr="00D2134C" w:rsidRDefault="00E121BA" w:rsidP="00E121BA">
      <w:pPr>
        <w:pStyle w:val="FGCNORMAL"/>
      </w:pPr>
      <w:r w:rsidRPr="00D2134C">
        <w:t xml:space="preserve">The </w:t>
      </w:r>
      <w:r w:rsidR="00BA4DAD" w:rsidRPr="00D2134C">
        <w:t>NDIA</w:t>
      </w:r>
      <w:r w:rsidRPr="00D2134C">
        <w:t>’s investigation function has continued to mature, with successful investigations completed or currently before the courts. The NDIS Fraud Taskforce, a multi-agency partnership with the Australian Federal</w:t>
      </w:r>
      <w:r w:rsidR="0072462C">
        <w:t xml:space="preserve"> Police</w:t>
      </w:r>
      <w:r w:rsidRPr="00D2134C">
        <w:t xml:space="preserve"> and Services Australia, has assisted the </w:t>
      </w:r>
      <w:r w:rsidR="00BA4DAD" w:rsidRPr="00D2134C">
        <w:t>NDIA</w:t>
      </w:r>
      <w:r w:rsidRPr="00D2134C">
        <w:t xml:space="preserve"> to develop effective detection and responses to serious and organised fraud against the Scheme. </w:t>
      </w:r>
    </w:p>
    <w:p w14:paraId="53D321CA" w14:textId="77777777" w:rsidR="00E121BA" w:rsidRPr="00D2134C" w:rsidRDefault="00E121BA" w:rsidP="00E121BA">
      <w:pPr>
        <w:pStyle w:val="FGCNORMAL"/>
        <w:rPr>
          <w:bCs/>
        </w:rPr>
      </w:pPr>
      <w:r w:rsidRPr="00D2134C">
        <w:t xml:space="preserve">As </w:t>
      </w:r>
      <w:proofErr w:type="gramStart"/>
      <w:r w:rsidRPr="00D2134C">
        <w:t>at</w:t>
      </w:r>
      <w:proofErr w:type="gramEnd"/>
      <w:r w:rsidRPr="00D2134C">
        <w:t xml:space="preserve"> 30 June 2022, 35 fraud investigations in total were in progress and a further 8 matters were being evaluated for possible investigation. Of these, 14 matters are currently before the courts under prosecution.</w:t>
      </w:r>
    </w:p>
    <w:p w14:paraId="65C416D3" w14:textId="77777777" w:rsidR="00E121BA" w:rsidRPr="00D2134C" w:rsidRDefault="00E121BA" w:rsidP="00E121BA">
      <w:pPr>
        <w:pStyle w:val="FGCHEADING3"/>
      </w:pPr>
      <w:bookmarkStart w:id="543" w:name="_Toc110532549"/>
      <w:bookmarkStart w:id="544" w:name="_Toc114477548"/>
      <w:bookmarkStart w:id="545" w:name="_Toc116414723"/>
      <w:bookmarkStart w:id="546" w:name="_Toc116473917"/>
      <w:r w:rsidRPr="00D2134C">
        <w:t>Internal audit</w:t>
      </w:r>
      <w:bookmarkEnd w:id="543"/>
      <w:bookmarkEnd w:id="544"/>
      <w:bookmarkEnd w:id="545"/>
      <w:bookmarkEnd w:id="546"/>
    </w:p>
    <w:p w14:paraId="2EAC91B1" w14:textId="60ABF840" w:rsidR="00E121BA" w:rsidRPr="00D2134C" w:rsidRDefault="00E121BA" w:rsidP="00E121BA">
      <w:pPr>
        <w:pStyle w:val="FGCNORMAL"/>
      </w:pPr>
      <w:r w:rsidRPr="00D2134C">
        <w:t xml:space="preserve">The internal audit function works to successfully implement effective risk management and control. The internal audit team provides independent assurance to management and the Board through the Board Audit Committee, </w:t>
      </w:r>
      <w:proofErr w:type="gramStart"/>
      <w:r w:rsidRPr="00D2134C">
        <w:t>and also</w:t>
      </w:r>
      <w:proofErr w:type="gramEnd"/>
      <w:r w:rsidRPr="00D2134C">
        <w:t xml:space="preserve"> works with management to improve the risk and control environment. It works with stakeholders to ensure they understand the </w:t>
      </w:r>
      <w:r w:rsidR="00BA4DAD" w:rsidRPr="00D2134C">
        <w:t>NDIA</w:t>
      </w:r>
      <w:r w:rsidRPr="00D2134C">
        <w:t xml:space="preserve">’s strategic direction and risk profile to deliver a fully aligned, risk-focused plan incorporating both assurance and advisory engagements. Through its stakeholder engagements, findings are raised with an understanding of the operating environment and relevant insights are communicated. </w:t>
      </w:r>
    </w:p>
    <w:p w14:paraId="2D5E0280" w14:textId="428BF735" w:rsidR="00E121BA" w:rsidRPr="00D2134C" w:rsidRDefault="00E121BA" w:rsidP="00E121BA">
      <w:pPr>
        <w:pStyle w:val="FGCNORMAL"/>
      </w:pPr>
      <w:r w:rsidRPr="00D2134C">
        <w:t>During 2021</w:t>
      </w:r>
      <w:r w:rsidR="00465AFC">
        <w:t>–</w:t>
      </w:r>
      <w:r w:rsidRPr="00D2134C">
        <w:t xml:space="preserve">22 the internal audit team delivered an approved internal audit plan to the Board Audit Committee. This plan is regularly updated, with a formal review performed every 6 months to ensure that it remains relevant and is focused on the key risks facing the </w:t>
      </w:r>
      <w:r w:rsidR="00BA4DAD" w:rsidRPr="00D2134C">
        <w:t>NDIA</w:t>
      </w:r>
      <w:r w:rsidRPr="00D2134C">
        <w:t xml:space="preserve">. The results of all audits were reported to the Board Audit Committee, and progress on action plans to manage issues was monitored through an online tracking system. The status of these actions was reported to both the ELT and the Board through the Audit Committee. </w:t>
      </w:r>
    </w:p>
    <w:p w14:paraId="0A92C21E" w14:textId="2DCA35A1" w:rsidR="00E121BA" w:rsidRPr="00D2134C" w:rsidRDefault="00E121BA" w:rsidP="00E121BA">
      <w:pPr>
        <w:pStyle w:val="FGCNORMAL"/>
      </w:pPr>
      <w:r w:rsidRPr="00D2134C">
        <w:t xml:space="preserve">In addition to raising formal issues, the internal audit team provides an awareness and action rating for each assurance engagement. This rating focuses on the risk management culture of the areas audited. The results are included as part of the report delivered to the ELT and the </w:t>
      </w:r>
      <w:r w:rsidRPr="00D2134C">
        <w:lastRenderedPageBreak/>
        <w:t xml:space="preserve">Board Audit Committee. This method of reporting assists in further maturing the level of risk management culture across the </w:t>
      </w:r>
      <w:r w:rsidR="00BA4DAD" w:rsidRPr="00D2134C">
        <w:t>NDIA</w:t>
      </w:r>
      <w:r w:rsidRPr="00D2134C">
        <w:t>.</w:t>
      </w:r>
    </w:p>
    <w:p w14:paraId="3B2DB5AA" w14:textId="77777777" w:rsidR="00E121BA" w:rsidRPr="00D2134C" w:rsidRDefault="00E121BA" w:rsidP="00E121BA">
      <w:pPr>
        <w:pStyle w:val="FGCHEADING3"/>
      </w:pPr>
      <w:bookmarkStart w:id="547" w:name="_Toc110532550"/>
      <w:bookmarkStart w:id="548" w:name="_Toc114477549"/>
      <w:bookmarkStart w:id="549" w:name="_Toc116414724"/>
      <w:bookmarkStart w:id="550" w:name="_Toc116473918"/>
      <w:r w:rsidRPr="00D2134C">
        <w:t>External audit</w:t>
      </w:r>
      <w:bookmarkEnd w:id="547"/>
      <w:bookmarkEnd w:id="548"/>
      <w:bookmarkEnd w:id="549"/>
      <w:bookmarkEnd w:id="550"/>
    </w:p>
    <w:p w14:paraId="639F2082" w14:textId="0E978FE9" w:rsidR="00E121BA" w:rsidRPr="00D2134C" w:rsidRDefault="00E121BA" w:rsidP="00E121BA">
      <w:pPr>
        <w:pStyle w:val="FGCNORMAL"/>
      </w:pPr>
      <w:r w:rsidRPr="00D2134C">
        <w:t xml:space="preserve">The </w:t>
      </w:r>
      <w:r w:rsidR="00BA4DAD" w:rsidRPr="00D2134C">
        <w:t>NDIA</w:t>
      </w:r>
      <w:r w:rsidRPr="00D2134C">
        <w:t xml:space="preserve"> maintains a close working relationship with the Australian National Audit Office (ANAO), which provides both external auditing services on the annual financial statements and performance audit services. Details of the performance audit delivered during the year that have an impact on the </w:t>
      </w:r>
      <w:r w:rsidR="00BA4DAD" w:rsidRPr="00D2134C">
        <w:t>NDIA</w:t>
      </w:r>
      <w:r w:rsidRPr="00D2134C">
        <w:t xml:space="preserve"> are provided in section </w:t>
      </w:r>
      <w:r w:rsidR="00500AB2" w:rsidRPr="00D2134C">
        <w:rPr>
          <w:highlight w:val="yellow"/>
        </w:rPr>
        <w:fldChar w:fldCharType="begin"/>
      </w:r>
      <w:r w:rsidR="00500AB2" w:rsidRPr="00D2134C">
        <w:instrText xml:space="preserve"> REF _Ref111638576 \r \h </w:instrText>
      </w:r>
      <w:r w:rsidR="00500AB2" w:rsidRPr="00D2134C">
        <w:rPr>
          <w:highlight w:val="yellow"/>
        </w:rPr>
      </w:r>
      <w:r w:rsidR="00500AB2" w:rsidRPr="00D2134C">
        <w:rPr>
          <w:highlight w:val="yellow"/>
        </w:rPr>
        <w:fldChar w:fldCharType="separate"/>
      </w:r>
      <w:r w:rsidR="000C64DB">
        <w:t>5.8</w:t>
      </w:r>
      <w:r w:rsidR="00500AB2" w:rsidRPr="00D2134C">
        <w:rPr>
          <w:highlight w:val="yellow"/>
        </w:rPr>
        <w:fldChar w:fldCharType="end"/>
      </w:r>
      <w:r w:rsidRPr="00D2134C">
        <w:t xml:space="preserve">. The ANAO’s audit report on the annual financial statements is included in section </w:t>
      </w:r>
      <w:r w:rsidR="00631E76" w:rsidRPr="00D2134C">
        <w:rPr>
          <w:highlight w:val="yellow"/>
        </w:rPr>
        <w:fldChar w:fldCharType="begin"/>
      </w:r>
      <w:r w:rsidR="00631E76" w:rsidRPr="00D2134C">
        <w:instrText xml:space="preserve"> REF _Ref111638631 \r \h </w:instrText>
      </w:r>
      <w:r w:rsidR="00631E76" w:rsidRPr="00D2134C">
        <w:rPr>
          <w:highlight w:val="yellow"/>
        </w:rPr>
      </w:r>
      <w:r w:rsidR="00631E76" w:rsidRPr="00D2134C">
        <w:rPr>
          <w:highlight w:val="yellow"/>
        </w:rPr>
        <w:fldChar w:fldCharType="separate"/>
      </w:r>
      <w:r w:rsidR="000C64DB">
        <w:t>3</w:t>
      </w:r>
      <w:r w:rsidR="00631E76" w:rsidRPr="00D2134C">
        <w:rPr>
          <w:highlight w:val="yellow"/>
        </w:rPr>
        <w:fldChar w:fldCharType="end"/>
      </w:r>
      <w:r w:rsidRPr="00D2134C">
        <w:t>. All management actions taken to address recommendations raised by the ANAO are closely tracked, with regular reporting on their status to both the ELT and the Board Audit Committee.</w:t>
      </w:r>
      <w:r w:rsidR="00500AB2" w:rsidRPr="00D2134C">
        <w:t xml:space="preserve"> </w:t>
      </w:r>
    </w:p>
    <w:p w14:paraId="705FA89C" w14:textId="4C3EA294" w:rsidR="00677C63" w:rsidRPr="00D2134C" w:rsidRDefault="00677C63" w:rsidP="00677C63">
      <w:pPr>
        <w:pStyle w:val="FGCHEADING1"/>
      </w:pPr>
      <w:bookmarkStart w:id="551" w:name="_Toc110532551"/>
      <w:bookmarkStart w:id="552" w:name="_Toc114477550"/>
      <w:bookmarkStart w:id="553" w:name="_Toc116473919"/>
      <w:bookmarkEnd w:id="489"/>
      <w:r w:rsidRPr="00D2134C">
        <w:lastRenderedPageBreak/>
        <w:t>Appendices</w:t>
      </w:r>
      <w:bookmarkEnd w:id="551"/>
      <w:bookmarkEnd w:id="552"/>
      <w:bookmarkEnd w:id="553"/>
      <w:r w:rsidRPr="00D2134C">
        <w:t xml:space="preserve"> </w:t>
      </w:r>
    </w:p>
    <w:p w14:paraId="20D458C4" w14:textId="52C1755D" w:rsidR="00677C63" w:rsidRPr="00D2134C" w:rsidRDefault="00677C63" w:rsidP="00873C47">
      <w:pPr>
        <w:pStyle w:val="FGCHEADING2"/>
        <w:numPr>
          <w:ilvl w:val="1"/>
          <w:numId w:val="22"/>
        </w:numPr>
      </w:pPr>
      <w:bookmarkStart w:id="554" w:name="_Toc23603194"/>
      <w:bookmarkStart w:id="555" w:name="_Toc51067999"/>
      <w:bookmarkStart w:id="556" w:name="_Toc110532552"/>
      <w:bookmarkStart w:id="557" w:name="_Toc114477551"/>
      <w:bookmarkStart w:id="558" w:name="_Toc116473920"/>
      <w:r w:rsidRPr="00D2134C">
        <w:t>Enabling legislation</w:t>
      </w:r>
      <w:bookmarkEnd w:id="554"/>
      <w:bookmarkEnd w:id="555"/>
      <w:bookmarkEnd w:id="556"/>
      <w:bookmarkEnd w:id="557"/>
      <w:bookmarkEnd w:id="558"/>
      <w:r w:rsidRPr="00D2134C">
        <w:t xml:space="preserve"> </w:t>
      </w:r>
    </w:p>
    <w:p w14:paraId="0D5E26DB" w14:textId="0081DE3A" w:rsidR="00677C63" w:rsidRPr="00D2134C" w:rsidRDefault="00677C63" w:rsidP="00677C63">
      <w:pPr>
        <w:pStyle w:val="FGCNORMAL"/>
      </w:pPr>
      <w:bookmarkStart w:id="559" w:name="_Toc51068000"/>
      <w:r w:rsidRPr="00D2134C">
        <w:rPr>
          <w:rFonts w:eastAsia="Cambria"/>
        </w:rPr>
        <w:t>The National Disability Insurance Agency (</w:t>
      </w:r>
      <w:r w:rsidR="002C3786" w:rsidRPr="00D2134C">
        <w:rPr>
          <w:rFonts w:eastAsia="Cambria"/>
        </w:rPr>
        <w:t>NDIA</w:t>
      </w:r>
      <w:r w:rsidRPr="00D2134C">
        <w:rPr>
          <w:rFonts w:eastAsia="Cambria"/>
        </w:rPr>
        <w:t>) is established under the National</w:t>
      </w:r>
      <w:r w:rsidRPr="00D2134C">
        <w:rPr>
          <w:i/>
        </w:rPr>
        <w:t xml:space="preserve"> Disability Insurance Scheme Act 2013</w:t>
      </w:r>
      <w:r w:rsidRPr="00D2134C">
        <w:t xml:space="preserve"> (NDIS Act) to deliver the National Disability Insurance Scheme (NDIS or the Scheme). The </w:t>
      </w:r>
      <w:r w:rsidR="002C3786" w:rsidRPr="00D2134C">
        <w:t>NDIA</w:t>
      </w:r>
      <w:r w:rsidRPr="00D2134C">
        <w:t xml:space="preserve"> is a </w:t>
      </w:r>
      <w:r w:rsidR="00051FAD">
        <w:t>c</w:t>
      </w:r>
      <w:r w:rsidRPr="00D2134C">
        <w:t xml:space="preserve">orporate </w:t>
      </w:r>
      <w:r w:rsidR="00051FAD">
        <w:t>c</w:t>
      </w:r>
      <w:r w:rsidRPr="00D2134C">
        <w:t xml:space="preserve">ommonwealth </w:t>
      </w:r>
      <w:r w:rsidR="00051FAD">
        <w:t>e</w:t>
      </w:r>
      <w:r w:rsidRPr="00D2134C">
        <w:t xml:space="preserve">ntity under the </w:t>
      </w:r>
      <w:r w:rsidRPr="00D2134C">
        <w:rPr>
          <w:i/>
        </w:rPr>
        <w:t>Public Governance, Performance and Accountability Act 2013</w:t>
      </w:r>
      <w:r w:rsidRPr="00D2134C">
        <w:t xml:space="preserve"> (PGPA Act). </w:t>
      </w:r>
    </w:p>
    <w:p w14:paraId="70055641" w14:textId="3C33B4E0" w:rsidR="00677C63" w:rsidRPr="00D2134C" w:rsidRDefault="00677C63" w:rsidP="00677C63">
      <w:pPr>
        <w:pStyle w:val="FGCHEADING2"/>
      </w:pPr>
      <w:bookmarkStart w:id="560" w:name="_Toc110532553"/>
      <w:bookmarkStart w:id="561" w:name="_Ref112666484"/>
      <w:bookmarkStart w:id="562" w:name="_Toc114477552"/>
      <w:bookmarkStart w:id="563" w:name="_Toc116473921"/>
      <w:r w:rsidRPr="00D2134C">
        <w:t>Audit Committee</w:t>
      </w:r>
      <w:bookmarkEnd w:id="560"/>
      <w:bookmarkEnd w:id="561"/>
      <w:bookmarkEnd w:id="562"/>
      <w:bookmarkEnd w:id="563"/>
      <w:r w:rsidRPr="00D2134C">
        <w:t xml:space="preserve"> </w:t>
      </w:r>
      <w:bookmarkEnd w:id="559"/>
    </w:p>
    <w:p w14:paraId="17CAEC62" w14:textId="35C58F23" w:rsidR="00677C63" w:rsidRPr="00D2134C" w:rsidRDefault="00677C63" w:rsidP="00677C63">
      <w:pPr>
        <w:pStyle w:val="FGCNORMAL"/>
      </w:pPr>
      <w:bookmarkStart w:id="564" w:name="_Toc23603202"/>
      <w:bookmarkStart w:id="565" w:name="_Toc51068001"/>
      <w:r w:rsidRPr="00D2134C">
        <w:t xml:space="preserve">The </w:t>
      </w:r>
      <w:r w:rsidR="002C3786" w:rsidRPr="00D2134C">
        <w:t>NDIA</w:t>
      </w:r>
      <w:r w:rsidRPr="00D2134C">
        <w:t xml:space="preserve"> Board has established the Audit Committee to assist the Board to oversee its responsibilities and legislative obligations as the </w:t>
      </w:r>
      <w:r w:rsidR="002C3786" w:rsidRPr="00D2134C">
        <w:t>NDIA</w:t>
      </w:r>
      <w:r w:rsidRPr="00D2134C">
        <w:t xml:space="preserve">’s </w:t>
      </w:r>
      <w:r w:rsidR="000B5BB4">
        <w:t>a</w:t>
      </w:r>
      <w:r w:rsidRPr="00D2134C">
        <w:t xml:space="preserve">ccountable </w:t>
      </w:r>
      <w:r w:rsidR="000B5BB4">
        <w:t>a</w:t>
      </w:r>
      <w:r w:rsidRPr="00D2134C">
        <w:t xml:space="preserve">uthority under: </w:t>
      </w:r>
    </w:p>
    <w:p w14:paraId="5EDB2D50" w14:textId="77777777" w:rsidR="00677C63" w:rsidRPr="00D2134C" w:rsidRDefault="00677C63" w:rsidP="00677C63">
      <w:pPr>
        <w:pStyle w:val="FGCBULLET1"/>
      </w:pPr>
      <w:r w:rsidRPr="00D2134C">
        <w:t>section 45 of the PGPA Act</w:t>
      </w:r>
    </w:p>
    <w:p w14:paraId="19663B5E" w14:textId="77777777" w:rsidR="00677C63" w:rsidRPr="00D2134C" w:rsidRDefault="00677C63" w:rsidP="00677C63">
      <w:pPr>
        <w:pStyle w:val="FGCBULLET1"/>
      </w:pPr>
      <w:r w:rsidRPr="00D2134C">
        <w:t>section 17 of the Public Governance, Performance and Accountability Rule 2014 (PGPA Rule)</w:t>
      </w:r>
    </w:p>
    <w:p w14:paraId="02004ECF" w14:textId="77777777" w:rsidR="00677C63" w:rsidRPr="00D2134C" w:rsidRDefault="00677C63" w:rsidP="00677C63">
      <w:pPr>
        <w:pStyle w:val="FGCBULLET1"/>
      </w:pPr>
      <w:r w:rsidRPr="00D2134C">
        <w:t>the NDIS Act.</w:t>
      </w:r>
    </w:p>
    <w:p w14:paraId="60DBFD84" w14:textId="2D30BC38" w:rsidR="00677C63" w:rsidRPr="00D2134C" w:rsidRDefault="00677C63" w:rsidP="00677C63">
      <w:pPr>
        <w:pStyle w:val="FGCNORMAL"/>
        <w:rPr>
          <w:highlight w:val="yellow"/>
        </w:rPr>
      </w:pPr>
      <w:r w:rsidRPr="00D2134C">
        <w:t xml:space="preserve">For details of members’ qualifications, knowledge, </w:t>
      </w:r>
      <w:proofErr w:type="gramStart"/>
      <w:r w:rsidRPr="00D2134C">
        <w:t>skills</w:t>
      </w:r>
      <w:proofErr w:type="gramEnd"/>
      <w:r w:rsidRPr="00D2134C">
        <w:t xml:space="preserve"> or experience, </w:t>
      </w:r>
      <w:r w:rsidR="002A234C">
        <w:t>refer to</w:t>
      </w:r>
      <w:r w:rsidR="002A234C" w:rsidRPr="00D2134C">
        <w:t xml:space="preserve"> </w:t>
      </w:r>
      <w:r w:rsidRPr="00D2134C">
        <w:t xml:space="preserve">section </w:t>
      </w:r>
      <w:r w:rsidRPr="00D2134C">
        <w:fldChar w:fldCharType="begin"/>
      </w:r>
      <w:r w:rsidRPr="00D2134C">
        <w:instrText xml:space="preserve"> REF _Ref107243189 \r \h  \* MERGEFORMAT </w:instrText>
      </w:r>
      <w:r w:rsidRPr="00D2134C">
        <w:fldChar w:fldCharType="separate"/>
      </w:r>
      <w:r w:rsidR="00C76528" w:rsidRPr="00D2134C">
        <w:t>4.2.1</w:t>
      </w:r>
      <w:r w:rsidRPr="00D2134C">
        <w:fldChar w:fldCharType="end"/>
      </w:r>
      <w:r w:rsidRPr="00D2134C">
        <w:t>. For information on the number of meetings attended / total number of meetings</w:t>
      </w:r>
      <w:r w:rsidR="002C3786" w:rsidRPr="00D2134C">
        <w:t>,</w:t>
      </w:r>
      <w:r w:rsidRPr="00D2134C">
        <w:t xml:space="preserve"> </w:t>
      </w:r>
      <w:r w:rsidR="002A234C">
        <w:t>refer to</w:t>
      </w:r>
      <w:r w:rsidRPr="00D2134C">
        <w:t xml:space="preserve"> section </w:t>
      </w:r>
      <w:r w:rsidRPr="007930DF">
        <w:fldChar w:fldCharType="begin"/>
      </w:r>
      <w:r w:rsidRPr="007930DF">
        <w:instrText xml:space="preserve"> REF _Ref107243196 \r \h  \* MERGEFORMAT </w:instrText>
      </w:r>
      <w:r w:rsidRPr="007930DF">
        <w:fldChar w:fldCharType="separate"/>
      </w:r>
      <w:r w:rsidR="00C76528" w:rsidRPr="007930DF">
        <w:t>4.2.3</w:t>
      </w:r>
      <w:r w:rsidRPr="007930DF">
        <w:fldChar w:fldCharType="end"/>
      </w:r>
      <w:r w:rsidRPr="007930DF">
        <w:t>.</w:t>
      </w:r>
    </w:p>
    <w:p w14:paraId="72999222" w14:textId="0E41A290" w:rsidR="00677C63" w:rsidRPr="00D2134C" w:rsidRDefault="00677C63" w:rsidP="00F135F7">
      <w:pPr>
        <w:pStyle w:val="FGCNORMAL"/>
        <w:keepNext/>
        <w:rPr>
          <w:rStyle w:val="FGCCOMMENTEMPHASIS"/>
        </w:rPr>
      </w:pPr>
      <w:r w:rsidRPr="00D2134C">
        <w:rPr>
          <w:rStyle w:val="FGCEMPHASIS"/>
        </w:rPr>
        <w:t>Table 5.2A:</w:t>
      </w:r>
      <w:r w:rsidRPr="00D2134C">
        <w:rPr>
          <w:b/>
        </w:rPr>
        <w:t xml:space="preserve"> </w:t>
      </w:r>
      <w:r w:rsidRPr="00D2134C">
        <w:t>Audit Committee remuneration</w:t>
      </w:r>
    </w:p>
    <w:tbl>
      <w:tblPr>
        <w:tblStyle w:val="GridTable2-Accent31"/>
        <w:tblW w:w="9214" w:type="dxa"/>
        <w:tblInd w:w="709" w:type="dxa"/>
        <w:tblLook w:val="04A0" w:firstRow="1" w:lastRow="0" w:firstColumn="1" w:lastColumn="0" w:noHBand="0" w:noVBand="1"/>
      </w:tblPr>
      <w:tblGrid>
        <w:gridCol w:w="7227"/>
        <w:gridCol w:w="1987"/>
      </w:tblGrid>
      <w:tr w:rsidR="00420863" w:rsidRPr="00D2134C" w14:paraId="5AADA70A" w14:textId="77777777" w:rsidTr="00EE2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hideMark/>
          </w:tcPr>
          <w:p w14:paraId="40FE96A1" w14:textId="543FEC53" w:rsidR="00420863" w:rsidRPr="00D2134C" w:rsidRDefault="00420863" w:rsidP="00E665B7">
            <w:pPr>
              <w:pStyle w:val="Tableformat"/>
            </w:pPr>
            <w:r w:rsidRPr="00D2134C">
              <w:t>Member</w:t>
            </w:r>
          </w:p>
        </w:tc>
        <w:tc>
          <w:tcPr>
            <w:tcW w:w="1987" w:type="dxa"/>
            <w:hideMark/>
          </w:tcPr>
          <w:p w14:paraId="01E5745C" w14:textId="6317C237" w:rsidR="00420863" w:rsidRPr="00D2134C" w:rsidRDefault="00420863" w:rsidP="00E665B7">
            <w:pPr>
              <w:pStyle w:val="Tableformat"/>
              <w:cnfStyle w:val="100000000000" w:firstRow="1" w:lastRow="0" w:firstColumn="0" w:lastColumn="0" w:oddVBand="0" w:evenVBand="0" w:oddHBand="0" w:evenHBand="0" w:firstRowFirstColumn="0" w:firstRowLastColumn="0" w:lastRowFirstColumn="0" w:lastRowLastColumn="0"/>
            </w:pPr>
            <w:r w:rsidRPr="00D2134C">
              <w:t xml:space="preserve">Total </w:t>
            </w:r>
            <w:r w:rsidR="000B5BB4">
              <w:t>a</w:t>
            </w:r>
            <w:r w:rsidRPr="00D2134C">
              <w:t xml:space="preserve">nnual </w:t>
            </w:r>
            <w:r w:rsidR="000B5BB4">
              <w:t>r</w:t>
            </w:r>
            <w:r w:rsidRPr="00D2134C">
              <w:t>emun</w:t>
            </w:r>
            <w:r w:rsidR="00F135F7" w:rsidRPr="00D2134C">
              <w:t>eration</w:t>
            </w:r>
          </w:p>
        </w:tc>
      </w:tr>
      <w:tr w:rsidR="007A4E61" w:rsidRPr="00D2134C" w14:paraId="38BB3904"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Pr>
          <w:p w14:paraId="52EE1EA0" w14:textId="0FB02862" w:rsidR="007A4E61" w:rsidRPr="00D2134C" w:rsidRDefault="007A4E61" w:rsidP="007A4E61">
            <w:pPr>
              <w:pStyle w:val="Tableformat"/>
            </w:pPr>
            <w:r w:rsidRPr="004611AA">
              <w:t xml:space="preserve">Mrs Sandra </w:t>
            </w:r>
            <w:proofErr w:type="spellStart"/>
            <w:r w:rsidRPr="004611AA">
              <w:t>Birkensleigh</w:t>
            </w:r>
            <w:proofErr w:type="spellEnd"/>
          </w:p>
        </w:tc>
        <w:tc>
          <w:tcPr>
            <w:tcW w:w="1987" w:type="dxa"/>
          </w:tcPr>
          <w:p w14:paraId="1419B180" w14:textId="7642CA49" w:rsidR="007A4E61" w:rsidRPr="00044C6D" w:rsidRDefault="007A4E61" w:rsidP="007A4E61">
            <w:pPr>
              <w:pStyle w:val="Tableformat"/>
              <w:cnfStyle w:val="000000100000" w:firstRow="0" w:lastRow="0" w:firstColumn="0" w:lastColumn="0" w:oddVBand="0" w:evenVBand="0" w:oddHBand="1" w:evenHBand="0" w:firstRowFirstColumn="0" w:firstRowLastColumn="0" w:lastRowFirstColumn="0" w:lastRowLastColumn="0"/>
            </w:pPr>
            <w:r w:rsidRPr="00044C6D">
              <w:t>$16,330</w:t>
            </w:r>
          </w:p>
        </w:tc>
      </w:tr>
      <w:tr w:rsidR="007A4E61" w:rsidRPr="00D2134C" w14:paraId="588871A7" w14:textId="77777777" w:rsidTr="00EE2D88">
        <w:tc>
          <w:tcPr>
            <w:cnfStyle w:val="001000000000" w:firstRow="0" w:lastRow="0" w:firstColumn="1" w:lastColumn="0" w:oddVBand="0" w:evenVBand="0" w:oddHBand="0" w:evenHBand="0" w:firstRowFirstColumn="0" w:firstRowLastColumn="0" w:lastRowFirstColumn="0" w:lastRowLastColumn="0"/>
            <w:tcW w:w="7227" w:type="dxa"/>
          </w:tcPr>
          <w:p w14:paraId="01872D2B" w14:textId="58119A61" w:rsidR="007A4E61" w:rsidRPr="00D2134C" w:rsidRDefault="007A4E61" w:rsidP="007A4E61">
            <w:pPr>
              <w:pStyle w:val="Tableformat"/>
            </w:pPr>
            <w:r w:rsidRPr="004611AA">
              <w:t>Ms Robyn Kruk AO</w:t>
            </w:r>
          </w:p>
        </w:tc>
        <w:tc>
          <w:tcPr>
            <w:tcW w:w="1987" w:type="dxa"/>
          </w:tcPr>
          <w:p w14:paraId="39DC6E83" w14:textId="7B5755B7" w:rsidR="007A4E61" w:rsidRPr="00044C6D" w:rsidRDefault="007A4E61" w:rsidP="007A4E61">
            <w:pPr>
              <w:pStyle w:val="Tableformat"/>
              <w:cnfStyle w:val="000000000000" w:firstRow="0" w:lastRow="0" w:firstColumn="0" w:lastColumn="0" w:oddVBand="0" w:evenVBand="0" w:oddHBand="0" w:evenHBand="0" w:firstRowFirstColumn="0" w:firstRowLastColumn="0" w:lastRowFirstColumn="0" w:lastRowLastColumn="0"/>
            </w:pPr>
            <w:r w:rsidRPr="00044C6D">
              <w:t>$4,130</w:t>
            </w:r>
          </w:p>
        </w:tc>
      </w:tr>
      <w:tr w:rsidR="007A4E61" w:rsidRPr="00D2134C" w14:paraId="41199CA1"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Pr>
          <w:p w14:paraId="057D05B6" w14:textId="70674BDA" w:rsidR="007A4E61" w:rsidRPr="00D2134C" w:rsidRDefault="007A4E61" w:rsidP="007A4E61">
            <w:pPr>
              <w:pStyle w:val="Tableformat"/>
            </w:pPr>
            <w:r w:rsidRPr="004611AA">
              <w:t xml:space="preserve">Mr John </w:t>
            </w:r>
            <w:proofErr w:type="spellStart"/>
            <w:r w:rsidRPr="004611AA">
              <w:t>Langoulant</w:t>
            </w:r>
            <w:proofErr w:type="spellEnd"/>
            <w:r w:rsidRPr="004611AA">
              <w:t xml:space="preserve"> AO</w:t>
            </w:r>
          </w:p>
        </w:tc>
        <w:tc>
          <w:tcPr>
            <w:tcW w:w="1987" w:type="dxa"/>
          </w:tcPr>
          <w:p w14:paraId="2850DC21" w14:textId="60804FC7" w:rsidR="007A4E61" w:rsidRPr="00044C6D" w:rsidRDefault="007A4E61" w:rsidP="007A4E61">
            <w:pPr>
              <w:pStyle w:val="Tableformat"/>
              <w:cnfStyle w:val="000000100000" w:firstRow="0" w:lastRow="0" w:firstColumn="0" w:lastColumn="0" w:oddVBand="0" w:evenVBand="0" w:oddHBand="1" w:evenHBand="0" w:firstRowFirstColumn="0" w:firstRowLastColumn="0" w:lastRowFirstColumn="0" w:lastRowLastColumn="0"/>
            </w:pPr>
            <w:r w:rsidRPr="00044C6D">
              <w:t>$2,409</w:t>
            </w:r>
          </w:p>
        </w:tc>
      </w:tr>
      <w:tr w:rsidR="007A4E61" w:rsidRPr="00D2134C" w14:paraId="79D1B922" w14:textId="77777777" w:rsidTr="00EE2D88">
        <w:tc>
          <w:tcPr>
            <w:cnfStyle w:val="001000000000" w:firstRow="0" w:lastRow="0" w:firstColumn="1" w:lastColumn="0" w:oddVBand="0" w:evenVBand="0" w:oddHBand="0" w:evenHBand="0" w:firstRowFirstColumn="0" w:firstRowLastColumn="0" w:lastRowFirstColumn="0" w:lastRowLastColumn="0"/>
            <w:tcW w:w="7227" w:type="dxa"/>
          </w:tcPr>
          <w:p w14:paraId="0E9AA0A3" w14:textId="5A3383EA" w:rsidR="007A4E61" w:rsidRPr="00D2134C" w:rsidRDefault="007A4E61" w:rsidP="007A4E61">
            <w:pPr>
              <w:pStyle w:val="Tableformat"/>
            </w:pPr>
            <w:r w:rsidRPr="004611AA">
              <w:t xml:space="preserve">Mr </w:t>
            </w:r>
            <w:r w:rsidR="00783606">
              <w:t>Jim</w:t>
            </w:r>
            <w:r w:rsidR="00783606" w:rsidRPr="004611AA">
              <w:t xml:space="preserve"> </w:t>
            </w:r>
            <w:r w:rsidRPr="004611AA">
              <w:t>Minto</w:t>
            </w:r>
          </w:p>
        </w:tc>
        <w:tc>
          <w:tcPr>
            <w:tcW w:w="1987" w:type="dxa"/>
          </w:tcPr>
          <w:p w14:paraId="5D114004" w14:textId="358180B3" w:rsidR="007A4E61" w:rsidRPr="00044C6D" w:rsidRDefault="007A4E61" w:rsidP="007A4E61">
            <w:pPr>
              <w:pStyle w:val="Tableformat"/>
              <w:cnfStyle w:val="000000000000" w:firstRow="0" w:lastRow="0" w:firstColumn="0" w:lastColumn="0" w:oddVBand="0" w:evenVBand="0" w:oddHBand="0" w:evenHBand="0" w:firstRowFirstColumn="0" w:firstRowLastColumn="0" w:lastRowFirstColumn="0" w:lastRowLastColumn="0"/>
            </w:pPr>
            <w:r w:rsidRPr="00044C6D">
              <w:t>$6,194</w:t>
            </w:r>
          </w:p>
        </w:tc>
      </w:tr>
      <w:tr w:rsidR="007A4E61" w:rsidRPr="00D2134C" w14:paraId="5769C3F4"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Pr>
          <w:p w14:paraId="7DB84BD4" w14:textId="34CE845B" w:rsidR="007A4E61" w:rsidRPr="00D2134C" w:rsidRDefault="007A4E61" w:rsidP="007A4E61">
            <w:pPr>
              <w:pStyle w:val="Tableformat"/>
            </w:pPr>
            <w:r w:rsidRPr="004611AA">
              <w:t>Ms Estelle Pearson</w:t>
            </w:r>
          </w:p>
        </w:tc>
        <w:tc>
          <w:tcPr>
            <w:tcW w:w="1987" w:type="dxa"/>
          </w:tcPr>
          <w:p w14:paraId="2241F53C" w14:textId="44333316" w:rsidR="007A4E61" w:rsidRPr="00044C6D" w:rsidRDefault="007A4E61" w:rsidP="007A4E61">
            <w:pPr>
              <w:pStyle w:val="Tableformat"/>
              <w:cnfStyle w:val="000000100000" w:firstRow="0" w:lastRow="0" w:firstColumn="0" w:lastColumn="0" w:oddVBand="0" w:evenVBand="0" w:oddHBand="1" w:evenHBand="0" w:firstRowFirstColumn="0" w:firstRowLastColumn="0" w:lastRowFirstColumn="0" w:lastRowLastColumn="0"/>
            </w:pPr>
            <w:r w:rsidRPr="00044C6D">
              <w:t>$8,160</w:t>
            </w:r>
          </w:p>
        </w:tc>
      </w:tr>
    </w:tbl>
    <w:p w14:paraId="088829C0" w14:textId="77777777" w:rsidR="00677C63" w:rsidRPr="00D2134C" w:rsidRDefault="00677C63" w:rsidP="00EE2D88">
      <w:pPr>
        <w:pStyle w:val="FGCHEADING3"/>
        <w:numPr>
          <w:ilvl w:val="0"/>
          <w:numId w:val="0"/>
        </w:numPr>
        <w:ind w:left="652"/>
      </w:pPr>
      <w:bookmarkStart w:id="566" w:name="_Toc83907150"/>
      <w:bookmarkStart w:id="567" w:name="_Toc84258381"/>
      <w:bookmarkStart w:id="568" w:name="_Toc84258535"/>
      <w:bookmarkStart w:id="569" w:name="_Toc84270282"/>
      <w:bookmarkStart w:id="570" w:name="_Toc85122142"/>
      <w:bookmarkStart w:id="571" w:name="_Toc85462240"/>
      <w:bookmarkStart w:id="572" w:name="_Toc116414728"/>
      <w:bookmarkStart w:id="573" w:name="_Toc116473922"/>
      <w:r w:rsidRPr="00D2134C">
        <w:t>Charter</w:t>
      </w:r>
      <w:bookmarkEnd w:id="566"/>
      <w:bookmarkEnd w:id="567"/>
      <w:bookmarkEnd w:id="568"/>
      <w:bookmarkEnd w:id="569"/>
      <w:bookmarkEnd w:id="570"/>
      <w:bookmarkEnd w:id="571"/>
      <w:bookmarkEnd w:id="572"/>
      <w:bookmarkEnd w:id="573"/>
    </w:p>
    <w:p w14:paraId="6AB666EA" w14:textId="41B18131" w:rsidR="00677C63" w:rsidRPr="00D2134C" w:rsidRDefault="00677C63" w:rsidP="00677C63">
      <w:pPr>
        <w:pStyle w:val="FGCNORMAL"/>
      </w:pPr>
      <w:r w:rsidRPr="00D2134C">
        <w:t xml:space="preserve">The Audit Committee Charter details the committee’s purpose, to oversee the appropriateness of the </w:t>
      </w:r>
      <w:r w:rsidR="002C3786" w:rsidRPr="00D2134C">
        <w:t>NDIA</w:t>
      </w:r>
      <w:r w:rsidRPr="00D2134C">
        <w:t>’s:</w:t>
      </w:r>
    </w:p>
    <w:p w14:paraId="729719BD" w14:textId="77777777" w:rsidR="00677C63" w:rsidRPr="00D2134C" w:rsidRDefault="00677C63" w:rsidP="00677C63">
      <w:pPr>
        <w:pStyle w:val="FGCBULLET1"/>
      </w:pPr>
      <w:r w:rsidRPr="00D2134C">
        <w:t xml:space="preserve">management of the internal and external audit processes </w:t>
      </w:r>
    </w:p>
    <w:p w14:paraId="29C355BB" w14:textId="77777777" w:rsidR="00677C63" w:rsidRPr="00D2134C" w:rsidRDefault="00677C63" w:rsidP="00677C63">
      <w:pPr>
        <w:pStyle w:val="FGCBULLET1"/>
      </w:pPr>
      <w:r w:rsidRPr="00D2134C">
        <w:t xml:space="preserve">financial reporting processes </w:t>
      </w:r>
    </w:p>
    <w:p w14:paraId="45BCBA54" w14:textId="77777777" w:rsidR="00677C63" w:rsidRPr="00D2134C" w:rsidRDefault="00677C63" w:rsidP="00677C63">
      <w:pPr>
        <w:pStyle w:val="FGCBULLET1"/>
      </w:pPr>
      <w:r w:rsidRPr="00D2134C">
        <w:t xml:space="preserve">performance reporting processes </w:t>
      </w:r>
    </w:p>
    <w:p w14:paraId="744508B8" w14:textId="77777777" w:rsidR="00677C63" w:rsidRPr="00D2134C" w:rsidRDefault="00677C63" w:rsidP="00677C63">
      <w:pPr>
        <w:pStyle w:val="FGCBULLET1"/>
      </w:pPr>
      <w:r w:rsidRPr="00D2134C">
        <w:t xml:space="preserve">system of risk oversight and management </w:t>
      </w:r>
    </w:p>
    <w:p w14:paraId="176C83BE" w14:textId="77777777" w:rsidR="00677C63" w:rsidRPr="00D2134C" w:rsidRDefault="00677C63" w:rsidP="00677C63">
      <w:pPr>
        <w:pStyle w:val="FGCBULLET1"/>
      </w:pPr>
      <w:r w:rsidRPr="00D2134C">
        <w:t xml:space="preserve">system of internal control </w:t>
      </w:r>
    </w:p>
    <w:p w14:paraId="3906BE1B" w14:textId="77777777" w:rsidR="00677C63" w:rsidRPr="00D2134C" w:rsidRDefault="00677C63" w:rsidP="00677C63">
      <w:pPr>
        <w:pStyle w:val="FGCBULLET1"/>
      </w:pPr>
      <w:r w:rsidRPr="00D2134C">
        <w:t>process for monitoring compliance with laws and regulations and the Code of Conduct.</w:t>
      </w:r>
    </w:p>
    <w:p w14:paraId="52B7E07C" w14:textId="0C323BE7" w:rsidR="00677C63" w:rsidRPr="00D2134C" w:rsidRDefault="00677C63" w:rsidP="00677C63">
      <w:pPr>
        <w:pStyle w:val="FGCNORMAL"/>
      </w:pPr>
      <w:r w:rsidRPr="00D2134C">
        <w:t xml:space="preserve">The Audit Committee Charter is available to view </w:t>
      </w:r>
      <w:r w:rsidR="00814248" w:rsidRPr="00D2134C">
        <w:t>on the</w:t>
      </w:r>
      <w:r w:rsidRPr="00D2134C">
        <w:t xml:space="preserve"> </w:t>
      </w:r>
      <w:hyperlink r:id="rId115" w:history="1">
        <w:r w:rsidR="00814248" w:rsidRPr="00D2134C">
          <w:rPr>
            <w:color w:val="0000FF"/>
            <w:u w:val="single"/>
          </w:rPr>
          <w:t>NDIS website</w:t>
        </w:r>
      </w:hyperlink>
      <w:r w:rsidR="00814248" w:rsidRPr="00D2134C">
        <w:t>.</w:t>
      </w:r>
    </w:p>
    <w:p w14:paraId="732BC43E" w14:textId="361C100C" w:rsidR="00677C63" w:rsidRPr="00D2134C" w:rsidRDefault="00677C63" w:rsidP="00677C63">
      <w:pPr>
        <w:pStyle w:val="FGCHEADING2"/>
      </w:pPr>
      <w:bookmarkStart w:id="574" w:name="_Toc110532554"/>
      <w:bookmarkStart w:id="575" w:name="_Toc114477553"/>
      <w:bookmarkStart w:id="576" w:name="_Toc116473923"/>
      <w:r w:rsidRPr="00D2134C">
        <w:lastRenderedPageBreak/>
        <w:t>Work health and safety</w:t>
      </w:r>
      <w:bookmarkEnd w:id="564"/>
      <w:bookmarkEnd w:id="565"/>
      <w:bookmarkEnd w:id="574"/>
      <w:bookmarkEnd w:id="575"/>
      <w:bookmarkEnd w:id="576"/>
      <w:r w:rsidRPr="00D2134C">
        <w:t xml:space="preserve"> </w:t>
      </w:r>
    </w:p>
    <w:p w14:paraId="71147E80" w14:textId="7B3609BD" w:rsidR="00677C63" w:rsidRPr="00D2134C" w:rsidRDefault="00677C63" w:rsidP="00677C63">
      <w:pPr>
        <w:pStyle w:val="FGCNORMAL"/>
      </w:pPr>
      <w:r w:rsidRPr="00D2134C">
        <w:t xml:space="preserve">The </w:t>
      </w:r>
      <w:r w:rsidR="00BA4DAD" w:rsidRPr="00D2134C">
        <w:t>NDIA</w:t>
      </w:r>
      <w:r w:rsidRPr="00D2134C">
        <w:t xml:space="preserve">’s safety culture continues to mature, with a strong focus on managing compliance and psychosocial risk. The </w:t>
      </w:r>
      <w:r w:rsidR="00BA4DAD" w:rsidRPr="00D2134C">
        <w:t>NDIA</w:t>
      </w:r>
      <w:r w:rsidRPr="00D2134C">
        <w:t xml:space="preserve"> acknowledges its obligations under the</w:t>
      </w:r>
      <w:r w:rsidRPr="00D2134C">
        <w:rPr>
          <w:i/>
          <w:iCs/>
        </w:rPr>
        <w:t xml:space="preserve"> Work Health and Safety Act (</w:t>
      </w:r>
      <w:proofErr w:type="spellStart"/>
      <w:r w:rsidRPr="00D2134C">
        <w:rPr>
          <w:i/>
          <w:iCs/>
        </w:rPr>
        <w:t>Cth</w:t>
      </w:r>
      <w:proofErr w:type="spellEnd"/>
      <w:r w:rsidRPr="00D2134C">
        <w:rPr>
          <w:i/>
          <w:iCs/>
        </w:rPr>
        <w:t>) 2011</w:t>
      </w:r>
      <w:r w:rsidRPr="00D2134C">
        <w:t xml:space="preserve"> (WHS Act) and the </w:t>
      </w:r>
      <w:r w:rsidRPr="00D2134C">
        <w:rPr>
          <w:i/>
          <w:iCs/>
        </w:rPr>
        <w:t>Safety, Rehabilitation and Compensation Act 1988</w:t>
      </w:r>
      <w:r w:rsidRPr="00D2134C">
        <w:t xml:space="preserve"> and takes proactive steps to ensure compliance. </w:t>
      </w:r>
    </w:p>
    <w:p w14:paraId="3A45D7A1" w14:textId="6320A44C" w:rsidR="00677C63" w:rsidRPr="00D2134C" w:rsidRDefault="00677C63" w:rsidP="00677C63">
      <w:pPr>
        <w:pStyle w:val="FGCNORMAL"/>
      </w:pPr>
      <w:r w:rsidRPr="00D2134C">
        <w:t xml:space="preserve">The </w:t>
      </w:r>
      <w:r w:rsidR="00BA4DAD" w:rsidRPr="00D2134C">
        <w:t>NDIA</w:t>
      </w:r>
      <w:r w:rsidRPr="00D2134C">
        <w:t xml:space="preserve"> takes all reasonably practicable measures to protect workers by providing a healthy and safe work environment, whether working in the office or at home, with </w:t>
      </w:r>
      <w:proofErr w:type="gramStart"/>
      <w:r w:rsidRPr="00D2134C">
        <w:t>the majority of</w:t>
      </w:r>
      <w:proofErr w:type="gramEnd"/>
      <w:r w:rsidRPr="00D2134C">
        <w:t xml:space="preserve"> workers opting into hybrid working arrangements.</w:t>
      </w:r>
    </w:p>
    <w:p w14:paraId="246E2151" w14:textId="764BF590" w:rsidR="00677C63" w:rsidRPr="00D2134C" w:rsidRDefault="00677C63" w:rsidP="00677C63">
      <w:pPr>
        <w:pStyle w:val="FGCNORMAL"/>
      </w:pPr>
      <w:r w:rsidRPr="00D2134C">
        <w:t xml:space="preserve">The Work Health and Safety Management System framework promotes consultation, </w:t>
      </w:r>
      <w:proofErr w:type="gramStart"/>
      <w:r w:rsidRPr="00D2134C">
        <w:t>prevention</w:t>
      </w:r>
      <w:proofErr w:type="gramEnd"/>
      <w:r w:rsidRPr="00D2134C">
        <w:t xml:space="preserve"> and early intervention in cases of illness and injury and is aligned with a steadfast commitment to safeguard and value </w:t>
      </w:r>
      <w:r w:rsidR="00BA4DAD" w:rsidRPr="00D2134C">
        <w:t>NDIA</w:t>
      </w:r>
      <w:r w:rsidRPr="00D2134C">
        <w:t xml:space="preserve"> workers.</w:t>
      </w:r>
    </w:p>
    <w:p w14:paraId="680650AD" w14:textId="4D71FC54" w:rsidR="0025403A" w:rsidRPr="00D2134C" w:rsidRDefault="0025403A" w:rsidP="0025403A">
      <w:pPr>
        <w:pStyle w:val="FGCNORMAL"/>
      </w:pPr>
      <w:r w:rsidRPr="00D2134C">
        <w:t xml:space="preserve">The </w:t>
      </w:r>
      <w:r w:rsidR="007E020C">
        <w:t>NDIA</w:t>
      </w:r>
      <w:r w:rsidRPr="00D2134C">
        <w:t xml:space="preserve"> continues to meet frequently with Comcare and Commonwealth Public Sector Union (CPSU) representatives relating to potential psychological risks from excessive workloads affecting workers within the </w:t>
      </w:r>
      <w:r w:rsidR="007E020C">
        <w:t>NDIA</w:t>
      </w:r>
      <w:r w:rsidRPr="00D2134C">
        <w:t xml:space="preserve">’s National Delivery Division. The regulator has indicated informally it is satisfied with the initiatives implemented by the </w:t>
      </w:r>
      <w:r w:rsidR="007E020C">
        <w:t>NDIA</w:t>
      </w:r>
      <w:r w:rsidRPr="00D2134C">
        <w:t xml:space="preserve"> to address these concerns</w:t>
      </w:r>
      <w:bookmarkStart w:id="577" w:name="_Int_KSKS2fAq"/>
      <w:r w:rsidRPr="00D2134C">
        <w:t xml:space="preserve">. </w:t>
      </w:r>
      <w:bookmarkEnd w:id="577"/>
      <w:r w:rsidRPr="00D2134C">
        <w:t xml:space="preserve">The 2022 </w:t>
      </w:r>
      <w:r w:rsidR="005F7AA1">
        <w:t>c</w:t>
      </w:r>
      <w:r w:rsidRPr="00D2134C">
        <w:t>ensus results highlight the impact of these improvements and staff perceptions with respect to emotionally demanding work, workloads and capacity, work stress and burnout</w:t>
      </w:r>
      <w:r w:rsidR="005F7AA1">
        <w:t>,</w:t>
      </w:r>
      <w:r w:rsidRPr="00D2134C">
        <w:t xml:space="preserve"> all of which have 9 to 13 percentage point improvement from 2021.</w:t>
      </w:r>
    </w:p>
    <w:p w14:paraId="501C2576" w14:textId="1CC22C95" w:rsidR="00FF58C5" w:rsidRPr="00D2134C" w:rsidRDefault="00677C63" w:rsidP="00677C63">
      <w:pPr>
        <w:pStyle w:val="FGCNORMAL"/>
      </w:pPr>
      <w:r w:rsidRPr="00D2134C">
        <w:t>In 2021–22</w:t>
      </w:r>
      <w:r w:rsidR="00034A63" w:rsidRPr="00D2134C">
        <w:t>,</w:t>
      </w:r>
      <w:r w:rsidRPr="00D2134C">
        <w:t xml:space="preserve"> the </w:t>
      </w:r>
      <w:r w:rsidR="00BA4DAD" w:rsidRPr="00D2134C">
        <w:t>NDIA</w:t>
      </w:r>
      <w:r w:rsidRPr="00D2134C">
        <w:t xml:space="preserve"> reported </w:t>
      </w:r>
      <w:r w:rsidR="00F504FC" w:rsidRPr="00D2134C">
        <w:t>6</w:t>
      </w:r>
      <w:r w:rsidRPr="00D2134C">
        <w:t xml:space="preserve"> incidents to Comcare pursuant to section 38 of the WHS Act. All incidents were closed by Comcare without further action being required of the </w:t>
      </w:r>
      <w:r w:rsidR="00BA4DAD" w:rsidRPr="00D2134C">
        <w:t>NDIA</w:t>
      </w:r>
      <w:r w:rsidRPr="00D2134C">
        <w:t>.</w:t>
      </w:r>
    </w:p>
    <w:p w14:paraId="2FB07E56" w14:textId="77777777" w:rsidR="00677C63" w:rsidRPr="00D2134C" w:rsidRDefault="00677C63" w:rsidP="002D4F82">
      <w:pPr>
        <w:pStyle w:val="FGCNORMAL"/>
        <w:keepNext/>
      </w:pPr>
      <w:r w:rsidRPr="00D2134C">
        <w:rPr>
          <w:b/>
        </w:rPr>
        <w:t xml:space="preserve">Table 5.3A: </w:t>
      </w:r>
      <w:r w:rsidRPr="00D2134C">
        <w:t xml:space="preserve">Summary of incidents pursuant to section 38 of the WHS Act, 2021–22 </w:t>
      </w:r>
    </w:p>
    <w:tbl>
      <w:tblPr>
        <w:tblStyle w:val="GridTable2-Accent31"/>
        <w:tblW w:w="9356" w:type="dxa"/>
        <w:tblInd w:w="709" w:type="dxa"/>
        <w:tblLook w:val="04A0" w:firstRow="1" w:lastRow="0" w:firstColumn="1" w:lastColumn="0" w:noHBand="0" w:noVBand="1"/>
      </w:tblPr>
      <w:tblGrid>
        <w:gridCol w:w="8222"/>
        <w:gridCol w:w="1134"/>
      </w:tblGrid>
      <w:tr w:rsidR="00677C63" w:rsidRPr="00D2134C" w14:paraId="01F134CE" w14:textId="77777777" w:rsidTr="00EE2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hideMark/>
          </w:tcPr>
          <w:p w14:paraId="20EB66B0" w14:textId="77777777" w:rsidR="00677C63" w:rsidRPr="00D2134C" w:rsidRDefault="00677C63" w:rsidP="00E665B7">
            <w:pPr>
              <w:pStyle w:val="Tableformat"/>
            </w:pPr>
            <w:r w:rsidRPr="00D2134C">
              <w:t>Action</w:t>
            </w:r>
          </w:p>
        </w:tc>
        <w:tc>
          <w:tcPr>
            <w:tcW w:w="1134" w:type="dxa"/>
            <w:hideMark/>
          </w:tcPr>
          <w:p w14:paraId="01CF1F52"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pPr>
            <w:r w:rsidRPr="00D2134C">
              <w:t>Number</w:t>
            </w:r>
          </w:p>
        </w:tc>
      </w:tr>
      <w:tr w:rsidR="00677C63" w:rsidRPr="00D2134C" w14:paraId="0CFAF833"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hideMark/>
          </w:tcPr>
          <w:p w14:paraId="1D83762B" w14:textId="77777777" w:rsidR="00677C63" w:rsidRPr="00D2134C" w:rsidRDefault="00677C63" w:rsidP="00E665B7">
            <w:pPr>
              <w:pStyle w:val="Tableformat"/>
            </w:pPr>
            <w:r w:rsidRPr="00D2134C">
              <w:t>Death of a person that required notice to Comcare under s 35</w:t>
            </w:r>
          </w:p>
        </w:tc>
        <w:tc>
          <w:tcPr>
            <w:tcW w:w="1134" w:type="dxa"/>
            <w:hideMark/>
          </w:tcPr>
          <w:p w14:paraId="575903FD"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0 </w:t>
            </w:r>
          </w:p>
        </w:tc>
      </w:tr>
      <w:tr w:rsidR="00677C63" w:rsidRPr="00D2134C" w14:paraId="6E60A109" w14:textId="77777777" w:rsidTr="00EE2D88">
        <w:tc>
          <w:tcPr>
            <w:cnfStyle w:val="001000000000" w:firstRow="0" w:lastRow="0" w:firstColumn="1" w:lastColumn="0" w:oddVBand="0" w:evenVBand="0" w:oddHBand="0" w:evenHBand="0" w:firstRowFirstColumn="0" w:firstRowLastColumn="0" w:lastRowFirstColumn="0" w:lastRowLastColumn="0"/>
            <w:tcW w:w="8222" w:type="dxa"/>
            <w:hideMark/>
          </w:tcPr>
          <w:p w14:paraId="1310769A" w14:textId="77777777" w:rsidR="00677C63" w:rsidRPr="00D2134C" w:rsidRDefault="00677C63" w:rsidP="00E665B7">
            <w:pPr>
              <w:pStyle w:val="Tableformat"/>
            </w:pPr>
            <w:proofErr w:type="gramStart"/>
            <w:r w:rsidRPr="00D2134C">
              <w:t>Serious</w:t>
            </w:r>
            <w:proofErr w:type="gramEnd"/>
            <w:r w:rsidRPr="00D2134C">
              <w:t xml:space="preserve"> injury or illness of a person that required notification to Comcare under s 35</w:t>
            </w:r>
          </w:p>
        </w:tc>
        <w:tc>
          <w:tcPr>
            <w:tcW w:w="1134" w:type="dxa"/>
            <w:hideMark/>
          </w:tcPr>
          <w:p w14:paraId="79A29CA7"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3 </w:t>
            </w:r>
          </w:p>
        </w:tc>
      </w:tr>
      <w:tr w:rsidR="00677C63" w:rsidRPr="00D2134C" w14:paraId="48F2AB75"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hideMark/>
          </w:tcPr>
          <w:p w14:paraId="0C0EC58B" w14:textId="77777777" w:rsidR="00677C63" w:rsidRPr="00D2134C" w:rsidRDefault="00677C63" w:rsidP="00E665B7">
            <w:pPr>
              <w:pStyle w:val="Tableformat"/>
            </w:pPr>
            <w:r w:rsidRPr="00D2134C">
              <w:t>Dangerous incident that required notification to Comcare under s 35</w:t>
            </w:r>
          </w:p>
        </w:tc>
        <w:tc>
          <w:tcPr>
            <w:tcW w:w="1134" w:type="dxa"/>
            <w:hideMark/>
          </w:tcPr>
          <w:p w14:paraId="2DBD0EEF" w14:textId="60351270" w:rsidR="00677C63" w:rsidRPr="00D2134C" w:rsidRDefault="004A5D02" w:rsidP="00E665B7">
            <w:pPr>
              <w:pStyle w:val="Tableformat"/>
              <w:cnfStyle w:val="000000100000" w:firstRow="0" w:lastRow="0" w:firstColumn="0" w:lastColumn="0" w:oddVBand="0" w:evenVBand="0" w:oddHBand="1" w:evenHBand="0" w:firstRowFirstColumn="0" w:firstRowLastColumn="0" w:lastRowFirstColumn="0" w:lastRowLastColumn="0"/>
            </w:pPr>
            <w:r w:rsidRPr="00D2134C">
              <w:t>3</w:t>
            </w:r>
            <w:r w:rsidR="00677C63" w:rsidRPr="00D2134C">
              <w:t> </w:t>
            </w:r>
          </w:p>
        </w:tc>
      </w:tr>
      <w:tr w:rsidR="00677C63" w:rsidRPr="00D2134C" w14:paraId="0831258B" w14:textId="77777777" w:rsidTr="00EE2D88">
        <w:tc>
          <w:tcPr>
            <w:cnfStyle w:val="001000000000" w:firstRow="0" w:lastRow="0" w:firstColumn="1" w:lastColumn="0" w:oddVBand="0" w:evenVBand="0" w:oddHBand="0" w:evenHBand="0" w:firstRowFirstColumn="0" w:firstRowLastColumn="0" w:lastRowFirstColumn="0" w:lastRowLastColumn="0"/>
            <w:tcW w:w="8222" w:type="dxa"/>
            <w:hideMark/>
          </w:tcPr>
          <w:p w14:paraId="20A89008" w14:textId="77777777" w:rsidR="00677C63" w:rsidRPr="00D2134C" w:rsidRDefault="00677C63" w:rsidP="00E665B7">
            <w:pPr>
              <w:pStyle w:val="Tableformat"/>
            </w:pPr>
            <w:r w:rsidRPr="00D2134C">
              <w:t>Investigation conducted under Part 10</w:t>
            </w:r>
          </w:p>
        </w:tc>
        <w:tc>
          <w:tcPr>
            <w:tcW w:w="1134" w:type="dxa"/>
            <w:hideMark/>
          </w:tcPr>
          <w:p w14:paraId="7DAA454A"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0 </w:t>
            </w:r>
          </w:p>
        </w:tc>
      </w:tr>
      <w:tr w:rsidR="00677C63" w:rsidRPr="00D2134C" w14:paraId="76B9F706"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hideMark/>
          </w:tcPr>
          <w:p w14:paraId="6079EA22" w14:textId="77777777" w:rsidR="00677C63" w:rsidRPr="00D2134C" w:rsidRDefault="00677C63" w:rsidP="00E665B7">
            <w:pPr>
              <w:pStyle w:val="Tableformat"/>
            </w:pPr>
            <w:r w:rsidRPr="00D2134C">
              <w:t>Notice given to Agency under s 90 (provisional improvement notice)</w:t>
            </w:r>
          </w:p>
        </w:tc>
        <w:tc>
          <w:tcPr>
            <w:tcW w:w="1134" w:type="dxa"/>
            <w:hideMark/>
          </w:tcPr>
          <w:p w14:paraId="401813BC"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0 </w:t>
            </w:r>
          </w:p>
        </w:tc>
      </w:tr>
      <w:tr w:rsidR="00677C63" w:rsidRPr="00D2134C" w14:paraId="344A4FCB" w14:textId="77777777" w:rsidTr="00EE2D88">
        <w:tc>
          <w:tcPr>
            <w:cnfStyle w:val="001000000000" w:firstRow="0" w:lastRow="0" w:firstColumn="1" w:lastColumn="0" w:oddVBand="0" w:evenVBand="0" w:oddHBand="0" w:evenHBand="0" w:firstRowFirstColumn="0" w:firstRowLastColumn="0" w:lastRowFirstColumn="0" w:lastRowLastColumn="0"/>
            <w:tcW w:w="8222" w:type="dxa"/>
            <w:hideMark/>
          </w:tcPr>
          <w:p w14:paraId="57469851" w14:textId="77777777" w:rsidR="00677C63" w:rsidRPr="00D2134C" w:rsidRDefault="00677C63" w:rsidP="00E665B7">
            <w:pPr>
              <w:pStyle w:val="Tableformat"/>
            </w:pPr>
            <w:r w:rsidRPr="00D2134C">
              <w:t>Notice given to Agency under s 191</w:t>
            </w:r>
            <w:r w:rsidRPr="00D2134C">
              <w:rPr>
                <w:rStyle w:val="FootnoteReference"/>
                <w:sz w:val="18"/>
                <w:szCs w:val="18"/>
              </w:rPr>
              <w:footnoteReference w:id="56"/>
            </w:r>
            <w:r w:rsidRPr="00D2134C">
              <w:t xml:space="preserve"> (improvement notice)</w:t>
            </w:r>
          </w:p>
        </w:tc>
        <w:tc>
          <w:tcPr>
            <w:tcW w:w="1134" w:type="dxa"/>
            <w:hideMark/>
          </w:tcPr>
          <w:p w14:paraId="4A4E2E12"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1 </w:t>
            </w:r>
          </w:p>
        </w:tc>
      </w:tr>
      <w:tr w:rsidR="00677C63" w:rsidRPr="00D2134C" w14:paraId="6FCB63CA"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hideMark/>
          </w:tcPr>
          <w:p w14:paraId="21E3DDC3" w14:textId="28EA062C" w:rsidR="00677C63" w:rsidRPr="00D2134C" w:rsidRDefault="00677C63" w:rsidP="00E665B7">
            <w:pPr>
              <w:pStyle w:val="Tableformat"/>
            </w:pPr>
            <w:r w:rsidRPr="00D2134C">
              <w:t>Notice given to Agency under s 195 (prohibition notice)</w:t>
            </w:r>
          </w:p>
        </w:tc>
        <w:tc>
          <w:tcPr>
            <w:tcW w:w="1134" w:type="dxa"/>
            <w:hideMark/>
          </w:tcPr>
          <w:p w14:paraId="3DBF5277"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0 </w:t>
            </w:r>
          </w:p>
        </w:tc>
      </w:tr>
      <w:tr w:rsidR="00677C63" w:rsidRPr="00D2134C" w14:paraId="74EF6F1B" w14:textId="77777777" w:rsidTr="00EE2D88">
        <w:tc>
          <w:tcPr>
            <w:cnfStyle w:val="001000000000" w:firstRow="0" w:lastRow="0" w:firstColumn="1" w:lastColumn="0" w:oddVBand="0" w:evenVBand="0" w:oddHBand="0" w:evenHBand="0" w:firstRowFirstColumn="0" w:firstRowLastColumn="0" w:lastRowFirstColumn="0" w:lastRowLastColumn="0"/>
            <w:tcW w:w="8222" w:type="dxa"/>
            <w:hideMark/>
          </w:tcPr>
          <w:p w14:paraId="68C01DF0" w14:textId="77777777" w:rsidR="00677C63" w:rsidRPr="00D2134C" w:rsidRDefault="00677C63" w:rsidP="00E665B7">
            <w:pPr>
              <w:pStyle w:val="Tableformat"/>
            </w:pPr>
            <w:r w:rsidRPr="00D2134C">
              <w:t xml:space="preserve">Directions given to Agency under s 198 (non-disturbance) </w:t>
            </w:r>
          </w:p>
        </w:tc>
        <w:tc>
          <w:tcPr>
            <w:tcW w:w="1134" w:type="dxa"/>
            <w:hideMark/>
          </w:tcPr>
          <w:p w14:paraId="2D496D36"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0 </w:t>
            </w:r>
          </w:p>
        </w:tc>
      </w:tr>
    </w:tbl>
    <w:p w14:paraId="20864B62" w14:textId="77777777" w:rsidR="00677C63" w:rsidRPr="00D2134C" w:rsidRDefault="00677C63" w:rsidP="00677C63">
      <w:pPr>
        <w:pStyle w:val="FGCHEADING2"/>
      </w:pPr>
      <w:bookmarkStart w:id="578" w:name="_Toc51068002"/>
      <w:bookmarkStart w:id="579" w:name="_Toc110532555"/>
      <w:bookmarkStart w:id="580" w:name="_Toc114477554"/>
      <w:bookmarkStart w:id="581" w:name="_Toc116473924"/>
      <w:r w:rsidRPr="00D2134C">
        <w:lastRenderedPageBreak/>
        <w:t>Workforce statistics</w:t>
      </w:r>
      <w:bookmarkEnd w:id="578"/>
      <w:bookmarkEnd w:id="579"/>
      <w:bookmarkEnd w:id="580"/>
      <w:bookmarkEnd w:id="581"/>
      <w:r w:rsidRPr="00D2134C">
        <w:t xml:space="preserve"> </w:t>
      </w:r>
    </w:p>
    <w:p w14:paraId="5B06A9B8" w14:textId="77777777" w:rsidR="00677C63" w:rsidRPr="00D2134C" w:rsidRDefault="00677C63" w:rsidP="00BB5988">
      <w:pPr>
        <w:pStyle w:val="FGCNORMAL"/>
        <w:keepNext/>
      </w:pPr>
      <w:r w:rsidRPr="00D2134C">
        <w:rPr>
          <w:b/>
        </w:rPr>
        <w:t>Table 5.4A:</w:t>
      </w:r>
      <w:r w:rsidRPr="00D2134C">
        <w:t xml:space="preserve"> All ongoing employees current reporting period (2021–22)</w:t>
      </w:r>
    </w:p>
    <w:tbl>
      <w:tblPr>
        <w:tblStyle w:val="GridTable2-Accent31"/>
        <w:tblW w:w="9508" w:type="dxa"/>
        <w:tblInd w:w="557" w:type="dxa"/>
        <w:tblLayout w:type="fixed"/>
        <w:tblCellMar>
          <w:left w:w="28" w:type="dxa"/>
          <w:right w:w="28" w:type="dxa"/>
        </w:tblCellMar>
        <w:tblLook w:val="01E0" w:firstRow="1" w:lastRow="1" w:firstColumn="1" w:lastColumn="1" w:noHBand="0" w:noVBand="0"/>
      </w:tblPr>
      <w:tblGrid>
        <w:gridCol w:w="1560"/>
        <w:gridCol w:w="708"/>
        <w:gridCol w:w="709"/>
        <w:gridCol w:w="709"/>
        <w:gridCol w:w="709"/>
        <w:gridCol w:w="708"/>
        <w:gridCol w:w="851"/>
        <w:gridCol w:w="567"/>
        <w:gridCol w:w="728"/>
        <w:gridCol w:w="1398"/>
        <w:gridCol w:w="861"/>
      </w:tblGrid>
      <w:tr w:rsidR="00FB51F2" w:rsidRPr="00D2134C" w14:paraId="7E5E7FE2" w14:textId="77777777" w:rsidTr="00CA581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C9C9C9" w:themeColor="accent3" w:themeTint="99"/>
              <w:left w:val="single" w:sz="8" w:space="0" w:color="C9C9C9" w:themeColor="accent3" w:themeTint="99"/>
            </w:tcBorders>
            <w:vAlign w:val="center"/>
          </w:tcPr>
          <w:p w14:paraId="29A9DDBF"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2126" w:type="dxa"/>
            <w:gridSpan w:val="3"/>
            <w:tcBorders>
              <w:top w:val="single" w:sz="8" w:space="0" w:color="C9C9C9" w:themeColor="accent3" w:themeTint="99"/>
            </w:tcBorders>
            <w:vAlign w:val="center"/>
            <w:hideMark/>
          </w:tcPr>
          <w:p w14:paraId="74ACC36C"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Male</w:t>
            </w:r>
          </w:p>
        </w:tc>
        <w:tc>
          <w:tcPr>
            <w:tcW w:w="2268" w:type="dxa"/>
            <w:gridSpan w:val="3"/>
            <w:tcBorders>
              <w:top w:val="single" w:sz="8" w:space="0" w:color="C9C9C9" w:themeColor="accent3" w:themeTint="99"/>
            </w:tcBorders>
            <w:vAlign w:val="center"/>
            <w:hideMark/>
          </w:tcPr>
          <w:p w14:paraId="22D1FAAD"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Female</w:t>
            </w:r>
          </w:p>
        </w:tc>
        <w:tc>
          <w:tcPr>
            <w:tcW w:w="2693" w:type="dxa"/>
            <w:gridSpan w:val="3"/>
            <w:tcBorders>
              <w:top w:val="single" w:sz="8" w:space="0" w:color="C9C9C9" w:themeColor="accent3" w:themeTint="99"/>
            </w:tcBorders>
            <w:vAlign w:val="center"/>
            <w:hideMark/>
          </w:tcPr>
          <w:p w14:paraId="6C8A7CD0"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61" w:type="dxa"/>
            <w:tcBorders>
              <w:top w:val="single" w:sz="8" w:space="0" w:color="C9C9C9" w:themeColor="accent3" w:themeTint="99"/>
              <w:right w:val="single" w:sz="8" w:space="0" w:color="C9C9C9" w:themeColor="accent3" w:themeTint="99"/>
            </w:tcBorders>
            <w:vAlign w:val="center"/>
            <w:hideMark/>
          </w:tcPr>
          <w:p w14:paraId="17E319B9" w14:textId="77777777" w:rsidR="00677C63" w:rsidRPr="00D2134C" w:rsidRDefault="00677C63" w:rsidP="00BB5988">
            <w:pPr>
              <w:pStyle w:val="TableParagraph"/>
              <w:keepNext/>
              <w:spacing w:before="1" w:line="256" w:lineRule="auto"/>
              <w:ind w:right="206"/>
              <w:rPr>
                <w:rFonts w:ascii="Arial" w:hAnsi="Arial" w:cs="Arial"/>
                <w:iCs/>
                <w:sz w:val="20"/>
                <w:szCs w:val="20"/>
                <w:lang w:val="en-AU"/>
              </w:rPr>
            </w:pPr>
            <w:r w:rsidRPr="00D2134C">
              <w:rPr>
                <w:rFonts w:ascii="Arial" w:hAnsi="Arial" w:cs="Arial"/>
                <w:iCs/>
                <w:sz w:val="20"/>
                <w:szCs w:val="20"/>
                <w:lang w:val="en-AU"/>
              </w:rPr>
              <w:t>Total</w:t>
            </w:r>
          </w:p>
        </w:tc>
      </w:tr>
      <w:tr w:rsidR="00C13365" w:rsidRPr="00D2134C" w14:paraId="620AFA99"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0A5CEB5A"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708" w:type="dxa"/>
            <w:vAlign w:val="center"/>
            <w:hideMark/>
          </w:tcPr>
          <w:p w14:paraId="29BDA50D" w14:textId="77777777" w:rsidR="00677C63" w:rsidRPr="00D2134C" w:rsidRDefault="00677C63" w:rsidP="00BB5988">
            <w:pPr>
              <w:pStyle w:val="TableParagraph"/>
              <w:keepNext/>
              <w:spacing w:before="125" w:line="256" w:lineRule="auto"/>
              <w:ind w:right="21"/>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09" w:type="dxa"/>
            <w:vAlign w:val="center"/>
            <w:hideMark/>
          </w:tcPr>
          <w:p w14:paraId="6B71B6E4" w14:textId="77777777" w:rsidR="00677C63" w:rsidRPr="00D2134C" w:rsidRDefault="00677C63" w:rsidP="00BB5988">
            <w:pPr>
              <w:pStyle w:val="TableParagraph"/>
              <w:keepNext/>
              <w:spacing w:before="125" w:line="256" w:lineRule="auto"/>
              <w:ind w:right="66"/>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09" w:type="dxa"/>
            <w:vAlign w:val="center"/>
            <w:hideMark/>
          </w:tcPr>
          <w:p w14:paraId="7BBFD5CA" w14:textId="77777777" w:rsidR="001311EF" w:rsidRDefault="00677C63" w:rsidP="00BB5988">
            <w:pPr>
              <w:pStyle w:val="TableParagraph"/>
              <w:keepNext/>
              <w:spacing w:line="276" w:lineRule="auto"/>
              <w:ind w:right="144"/>
              <w:cnfStyle w:val="000000100000" w:firstRow="0" w:lastRow="0" w:firstColumn="0" w:lastColumn="0" w:oddVBand="0" w:evenVBand="0" w:oddHBand="1" w:evenHBand="0" w:firstRowFirstColumn="0" w:firstRowLastColumn="0" w:lastRowFirstColumn="0" w:lastRowLastColumn="0"/>
              <w:rPr>
                <w:rFonts w:ascii="Arial" w:hAnsi="Arial" w:cs="Arial"/>
                <w:i/>
                <w:spacing w:val="-43"/>
                <w:sz w:val="20"/>
                <w:szCs w:val="20"/>
                <w:lang w:val="en-AU"/>
              </w:rPr>
            </w:pPr>
            <w:r w:rsidRPr="00D2134C">
              <w:rPr>
                <w:rFonts w:ascii="Arial" w:hAnsi="Arial" w:cs="Arial"/>
                <w:i/>
                <w:sz w:val="20"/>
                <w:szCs w:val="20"/>
                <w:lang w:val="en-AU"/>
              </w:rPr>
              <w:t>Total</w:t>
            </w:r>
            <w:r w:rsidRPr="00D2134C">
              <w:rPr>
                <w:rFonts w:ascii="Arial" w:hAnsi="Arial" w:cs="Arial"/>
                <w:i/>
                <w:spacing w:val="-43"/>
                <w:sz w:val="20"/>
                <w:szCs w:val="20"/>
                <w:lang w:val="en-AU"/>
              </w:rPr>
              <w:t xml:space="preserve"> </w:t>
            </w:r>
          </w:p>
          <w:p w14:paraId="04823A80" w14:textId="55D58799" w:rsidR="00677C63" w:rsidRPr="00D2134C" w:rsidRDefault="00677C63" w:rsidP="00BB5988">
            <w:pPr>
              <w:pStyle w:val="TableParagraph"/>
              <w:keepNext/>
              <w:spacing w:line="276" w:lineRule="auto"/>
              <w:ind w:right="144"/>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male</w:t>
            </w:r>
          </w:p>
        </w:tc>
        <w:tc>
          <w:tcPr>
            <w:tcW w:w="709" w:type="dxa"/>
            <w:vAlign w:val="center"/>
            <w:hideMark/>
          </w:tcPr>
          <w:p w14:paraId="130AE2BF"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z w:val="20"/>
                <w:szCs w:val="20"/>
                <w:lang w:val="en-AU"/>
              </w:rPr>
              <w:br/>
              <w:t>time</w:t>
            </w:r>
          </w:p>
        </w:tc>
        <w:tc>
          <w:tcPr>
            <w:tcW w:w="708" w:type="dxa"/>
            <w:vAlign w:val="center"/>
            <w:hideMark/>
          </w:tcPr>
          <w:p w14:paraId="23A96D3D"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851" w:type="dxa"/>
            <w:vAlign w:val="center"/>
            <w:hideMark/>
          </w:tcPr>
          <w:p w14:paraId="35D08B50" w14:textId="42CB4C7F" w:rsidR="00677C63" w:rsidRPr="00D2134C" w:rsidRDefault="00677C63" w:rsidP="00BB5988">
            <w:pPr>
              <w:pStyle w:val="TableParagraph"/>
              <w:keepNext/>
              <w:spacing w:line="276" w:lineRule="auto"/>
              <w:ind w:right="58" w:hanging="13"/>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001311EF">
              <w:rPr>
                <w:rFonts w:ascii="Arial" w:hAnsi="Arial" w:cs="Arial"/>
                <w:i/>
                <w:spacing w:val="1"/>
                <w:sz w:val="20"/>
                <w:szCs w:val="20"/>
                <w:lang w:val="en-AU"/>
              </w:rPr>
              <w:br/>
            </w:r>
            <w:r w:rsidRPr="00D2134C">
              <w:rPr>
                <w:rFonts w:ascii="Arial" w:hAnsi="Arial" w:cs="Arial"/>
                <w:i/>
                <w:sz w:val="20"/>
                <w:szCs w:val="20"/>
                <w:lang w:val="en-AU"/>
              </w:rPr>
              <w:t>female</w:t>
            </w:r>
          </w:p>
        </w:tc>
        <w:tc>
          <w:tcPr>
            <w:tcW w:w="567" w:type="dxa"/>
            <w:vAlign w:val="center"/>
            <w:hideMark/>
          </w:tcPr>
          <w:p w14:paraId="1C7D40D9" w14:textId="77777777" w:rsidR="00677C63" w:rsidRPr="00D2134C" w:rsidRDefault="00677C63" w:rsidP="00BB5988">
            <w:pPr>
              <w:pStyle w:val="TableParagraph"/>
              <w:keepNext/>
              <w:spacing w:before="125" w:line="256" w:lineRule="auto"/>
              <w:ind w:right="22"/>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28" w:type="dxa"/>
            <w:vAlign w:val="center"/>
            <w:hideMark/>
          </w:tcPr>
          <w:p w14:paraId="0C2D94EF" w14:textId="77777777" w:rsidR="00677C63" w:rsidRPr="00D2134C" w:rsidRDefault="00677C63" w:rsidP="00BB5988">
            <w:pPr>
              <w:pStyle w:val="TableParagraph"/>
              <w:keepNext/>
              <w:spacing w:before="125" w:line="256" w:lineRule="auto"/>
              <w:ind w:right="23"/>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1398" w:type="dxa"/>
            <w:vAlign w:val="center"/>
            <w:hideMark/>
          </w:tcPr>
          <w:p w14:paraId="4BB74EF8" w14:textId="77777777" w:rsidR="00677C63" w:rsidRPr="00D2134C" w:rsidRDefault="00677C63" w:rsidP="00BB5988">
            <w:pPr>
              <w:pStyle w:val="TableParagraph"/>
              <w:keepNext/>
              <w:spacing w:line="276" w:lineRule="auto"/>
              <w:ind w:right="57" w:hanging="11"/>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525D5822" w14:textId="77777777" w:rsidR="00677C63" w:rsidRPr="00D2134C" w:rsidRDefault="00677C63" w:rsidP="00BB5988">
            <w:pPr>
              <w:pStyle w:val="TableParagraph"/>
              <w:keepNext/>
              <w:spacing w:line="256" w:lineRule="auto"/>
              <w:rPr>
                <w:rFonts w:ascii="Arial" w:hAnsi="Arial" w:cs="Arial"/>
                <w:iCs/>
                <w:sz w:val="20"/>
                <w:szCs w:val="20"/>
                <w:lang w:val="en-AU"/>
              </w:rPr>
            </w:pPr>
          </w:p>
        </w:tc>
      </w:tr>
      <w:tr w:rsidR="00C13365" w:rsidRPr="00D2134C" w14:paraId="3E3F3BD1" w14:textId="77777777" w:rsidTr="00CA5815">
        <w:trPr>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5A3CAF26" w14:textId="77777777" w:rsidR="00677C63" w:rsidRPr="00D2134C" w:rsidRDefault="00677C63" w:rsidP="00BB5988">
            <w:pPr>
              <w:pStyle w:val="TableParagraph"/>
              <w:keepNext/>
              <w:spacing w:line="256" w:lineRule="auto"/>
              <w:ind w:right="39"/>
              <w:rPr>
                <w:rFonts w:ascii="Arial" w:hAnsi="Arial" w:cs="Arial"/>
                <w:b w:val="0"/>
                <w:sz w:val="20"/>
                <w:szCs w:val="20"/>
                <w:lang w:val="en-AU"/>
              </w:rPr>
            </w:pPr>
            <w:r w:rsidRPr="00D2134C">
              <w:rPr>
                <w:rFonts w:ascii="Arial" w:hAnsi="Arial" w:cs="Arial"/>
                <w:color w:val="212121"/>
                <w:sz w:val="20"/>
                <w:szCs w:val="20"/>
                <w:lang w:val="en-AU"/>
              </w:rPr>
              <w:t>NSW</w:t>
            </w:r>
          </w:p>
        </w:tc>
        <w:tc>
          <w:tcPr>
            <w:tcW w:w="708" w:type="dxa"/>
            <w:vAlign w:val="center"/>
          </w:tcPr>
          <w:p w14:paraId="65183066" w14:textId="77777777" w:rsidR="00677C63" w:rsidRPr="00D2134C" w:rsidRDefault="00677C63" w:rsidP="00BB5988">
            <w:pPr>
              <w:pStyle w:val="TableParagraph"/>
              <w:keepNext/>
              <w:spacing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214</w:t>
            </w:r>
          </w:p>
        </w:tc>
        <w:tc>
          <w:tcPr>
            <w:tcW w:w="709" w:type="dxa"/>
            <w:vAlign w:val="center"/>
          </w:tcPr>
          <w:p w14:paraId="6C05B2F6" w14:textId="77777777" w:rsidR="00677C63" w:rsidRPr="00D2134C" w:rsidRDefault="00677C63" w:rsidP="00BB5988">
            <w:pPr>
              <w:pStyle w:val="TableParagraph"/>
              <w:keepNext/>
              <w:spacing w:line="256" w:lineRule="auto"/>
              <w:ind w:right="3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17</w:t>
            </w:r>
          </w:p>
        </w:tc>
        <w:tc>
          <w:tcPr>
            <w:tcW w:w="709" w:type="dxa"/>
            <w:vAlign w:val="center"/>
          </w:tcPr>
          <w:p w14:paraId="31AF7583"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231</w:t>
            </w:r>
          </w:p>
        </w:tc>
        <w:tc>
          <w:tcPr>
            <w:tcW w:w="709" w:type="dxa"/>
            <w:vAlign w:val="center"/>
          </w:tcPr>
          <w:p w14:paraId="333BFD08"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697</w:t>
            </w:r>
          </w:p>
        </w:tc>
        <w:tc>
          <w:tcPr>
            <w:tcW w:w="708" w:type="dxa"/>
            <w:vAlign w:val="center"/>
          </w:tcPr>
          <w:p w14:paraId="1F66D89A"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152</w:t>
            </w:r>
          </w:p>
        </w:tc>
        <w:tc>
          <w:tcPr>
            <w:tcW w:w="851" w:type="dxa"/>
            <w:vAlign w:val="center"/>
          </w:tcPr>
          <w:p w14:paraId="4790445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849</w:t>
            </w:r>
          </w:p>
        </w:tc>
        <w:tc>
          <w:tcPr>
            <w:tcW w:w="567" w:type="dxa"/>
            <w:vAlign w:val="center"/>
          </w:tcPr>
          <w:p w14:paraId="049B9B6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2</w:t>
            </w:r>
          </w:p>
        </w:tc>
        <w:tc>
          <w:tcPr>
            <w:tcW w:w="728" w:type="dxa"/>
            <w:vAlign w:val="center"/>
          </w:tcPr>
          <w:p w14:paraId="60A46174"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tcW w:w="1398" w:type="dxa"/>
            <w:vAlign w:val="center"/>
          </w:tcPr>
          <w:p w14:paraId="1D3B8618"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3</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0F94103A" w14:textId="77777777" w:rsidR="00677C63" w:rsidRPr="00D2134C" w:rsidRDefault="00677C63" w:rsidP="00BB5988">
            <w:pPr>
              <w:pStyle w:val="TableParagraph"/>
              <w:keepNext/>
              <w:spacing w:line="256" w:lineRule="auto"/>
              <w:ind w:right="29"/>
              <w:rPr>
                <w:rFonts w:ascii="Arial" w:hAnsi="Arial" w:cs="Arial"/>
                <w:iCs/>
                <w:sz w:val="20"/>
                <w:szCs w:val="20"/>
                <w:lang w:val="en-AU"/>
              </w:rPr>
            </w:pPr>
            <w:r w:rsidRPr="00D2134C">
              <w:rPr>
                <w:rFonts w:ascii="Arial" w:hAnsi="Arial" w:cs="Arial"/>
                <w:iCs/>
                <w:sz w:val="20"/>
                <w:szCs w:val="20"/>
                <w:lang w:val="en-AU"/>
              </w:rPr>
              <w:t>1,083</w:t>
            </w:r>
          </w:p>
        </w:tc>
      </w:tr>
      <w:tr w:rsidR="00C13365" w:rsidRPr="00D2134C" w14:paraId="03CAED3C"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1AE683FD"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Qld</w:t>
            </w:r>
          </w:p>
        </w:tc>
        <w:tc>
          <w:tcPr>
            <w:tcW w:w="708" w:type="dxa"/>
            <w:vAlign w:val="center"/>
          </w:tcPr>
          <w:p w14:paraId="18624A31" w14:textId="77777777" w:rsidR="00677C63" w:rsidRPr="00D2134C" w:rsidRDefault="00677C63" w:rsidP="00BB5988">
            <w:pPr>
              <w:pStyle w:val="TableParagraph"/>
              <w:keepNext/>
              <w:spacing w:before="1" w:line="256" w:lineRule="auto"/>
              <w:ind w:right="3"/>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158</w:t>
            </w:r>
          </w:p>
        </w:tc>
        <w:tc>
          <w:tcPr>
            <w:tcW w:w="709" w:type="dxa"/>
            <w:vAlign w:val="center"/>
          </w:tcPr>
          <w:p w14:paraId="0DC50602" w14:textId="77777777" w:rsidR="00677C63" w:rsidRPr="00D2134C" w:rsidRDefault="00677C63" w:rsidP="00BB5988">
            <w:pPr>
              <w:pStyle w:val="TableParagraph"/>
              <w:keepNext/>
              <w:spacing w:before="1" w:line="256" w:lineRule="auto"/>
              <w:ind w:right="3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7</w:t>
            </w:r>
          </w:p>
        </w:tc>
        <w:tc>
          <w:tcPr>
            <w:tcW w:w="709" w:type="dxa"/>
            <w:vAlign w:val="center"/>
          </w:tcPr>
          <w:p w14:paraId="5A8423C9"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165</w:t>
            </w:r>
          </w:p>
        </w:tc>
        <w:tc>
          <w:tcPr>
            <w:tcW w:w="709" w:type="dxa"/>
            <w:vAlign w:val="center"/>
          </w:tcPr>
          <w:p w14:paraId="1A5DC48B"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512</w:t>
            </w:r>
          </w:p>
        </w:tc>
        <w:tc>
          <w:tcPr>
            <w:tcW w:w="708" w:type="dxa"/>
            <w:vAlign w:val="center"/>
          </w:tcPr>
          <w:p w14:paraId="1A49B8E7"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87</w:t>
            </w:r>
          </w:p>
        </w:tc>
        <w:tc>
          <w:tcPr>
            <w:tcW w:w="851" w:type="dxa"/>
            <w:vAlign w:val="center"/>
          </w:tcPr>
          <w:p w14:paraId="1947366F"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599</w:t>
            </w:r>
          </w:p>
        </w:tc>
        <w:tc>
          <w:tcPr>
            <w:tcW w:w="567" w:type="dxa"/>
            <w:vAlign w:val="center"/>
          </w:tcPr>
          <w:p w14:paraId="5C0002DC" w14:textId="674F9820" w:rsidR="00677C63" w:rsidRPr="00D2134C" w:rsidRDefault="000D1EBA" w:rsidP="00BB5988">
            <w:pPr>
              <w:pStyle w:val="TableParagraph"/>
              <w:keepNext/>
              <w:spacing w:before="1" w:line="256" w:lineRule="auto"/>
              <w:ind w:right="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077A9727" w14:textId="42E72453" w:rsidR="00677C63" w:rsidRPr="00D2134C" w:rsidRDefault="000D1EBA"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050575DC" w14:textId="567A3DC7" w:rsidR="00677C63" w:rsidRPr="00D2134C" w:rsidRDefault="000D1EBA"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3D871F5C" w14:textId="77777777" w:rsidR="00677C63" w:rsidRPr="00D2134C" w:rsidRDefault="00677C63" w:rsidP="00BB5988">
            <w:pPr>
              <w:pStyle w:val="TableParagraph"/>
              <w:keepNext/>
              <w:spacing w:before="1" w:line="256" w:lineRule="auto"/>
              <w:ind w:right="29"/>
              <w:rPr>
                <w:rFonts w:ascii="Arial" w:hAnsi="Arial" w:cs="Arial"/>
                <w:iCs/>
                <w:sz w:val="20"/>
                <w:szCs w:val="20"/>
                <w:lang w:val="en-AU"/>
              </w:rPr>
            </w:pPr>
            <w:r w:rsidRPr="00D2134C">
              <w:rPr>
                <w:rFonts w:ascii="Arial" w:hAnsi="Arial" w:cs="Arial"/>
                <w:iCs/>
                <w:sz w:val="20"/>
                <w:szCs w:val="20"/>
                <w:lang w:val="en-AU"/>
              </w:rPr>
              <w:t>764</w:t>
            </w:r>
          </w:p>
        </w:tc>
      </w:tr>
      <w:tr w:rsidR="00C13365" w:rsidRPr="00D2134C" w14:paraId="5F0D8997" w14:textId="77777777" w:rsidTr="00CA5815">
        <w:trPr>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1AFBBDFD"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SA</w:t>
            </w:r>
          </w:p>
        </w:tc>
        <w:tc>
          <w:tcPr>
            <w:tcW w:w="708" w:type="dxa"/>
            <w:vAlign w:val="center"/>
          </w:tcPr>
          <w:p w14:paraId="46B44650"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83</w:t>
            </w:r>
          </w:p>
        </w:tc>
        <w:tc>
          <w:tcPr>
            <w:tcW w:w="709" w:type="dxa"/>
            <w:vAlign w:val="center"/>
          </w:tcPr>
          <w:p w14:paraId="0CFA35C5" w14:textId="77777777" w:rsidR="00677C63" w:rsidRPr="00D2134C" w:rsidRDefault="00677C6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w:t>
            </w:r>
          </w:p>
        </w:tc>
        <w:tc>
          <w:tcPr>
            <w:tcW w:w="709" w:type="dxa"/>
            <w:vAlign w:val="center"/>
          </w:tcPr>
          <w:p w14:paraId="75ED7DB6"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89</w:t>
            </w:r>
          </w:p>
        </w:tc>
        <w:tc>
          <w:tcPr>
            <w:tcW w:w="709" w:type="dxa"/>
            <w:vAlign w:val="center"/>
          </w:tcPr>
          <w:p w14:paraId="32FCA355"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206</w:t>
            </w:r>
          </w:p>
        </w:tc>
        <w:tc>
          <w:tcPr>
            <w:tcW w:w="708" w:type="dxa"/>
            <w:vAlign w:val="center"/>
          </w:tcPr>
          <w:p w14:paraId="2112C33B"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78</w:t>
            </w:r>
          </w:p>
        </w:tc>
        <w:tc>
          <w:tcPr>
            <w:tcW w:w="851" w:type="dxa"/>
            <w:vAlign w:val="center"/>
          </w:tcPr>
          <w:p w14:paraId="67D86F9E"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284</w:t>
            </w:r>
          </w:p>
        </w:tc>
        <w:tc>
          <w:tcPr>
            <w:tcW w:w="567" w:type="dxa"/>
            <w:vAlign w:val="center"/>
          </w:tcPr>
          <w:p w14:paraId="753F01A6" w14:textId="469303EA" w:rsidR="00677C63" w:rsidRPr="00D2134C" w:rsidRDefault="000D1EBA"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0D2F23CF" w14:textId="6FD9BE10" w:rsidR="00677C63" w:rsidRPr="00D2134C" w:rsidRDefault="000D1EBA"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647D8241" w14:textId="3F929776" w:rsidR="00677C63" w:rsidRPr="00D2134C" w:rsidRDefault="000D1EBA"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3DFAF172" w14:textId="77777777" w:rsidR="00677C63" w:rsidRPr="00D2134C" w:rsidRDefault="00677C63" w:rsidP="00BB5988">
            <w:pPr>
              <w:pStyle w:val="TableParagraph"/>
              <w:keepNext/>
              <w:spacing w:before="1" w:line="256" w:lineRule="auto"/>
              <w:rPr>
                <w:rFonts w:ascii="Arial" w:hAnsi="Arial" w:cs="Arial"/>
                <w:iCs/>
                <w:sz w:val="20"/>
                <w:szCs w:val="20"/>
                <w:lang w:val="en-AU"/>
              </w:rPr>
            </w:pPr>
            <w:r w:rsidRPr="00D2134C">
              <w:rPr>
                <w:rFonts w:ascii="Arial" w:hAnsi="Arial" w:cs="Arial"/>
                <w:iCs/>
                <w:color w:val="000000"/>
                <w:sz w:val="20"/>
                <w:szCs w:val="20"/>
                <w:lang w:val="en-AU"/>
              </w:rPr>
              <w:t>373</w:t>
            </w:r>
          </w:p>
        </w:tc>
      </w:tr>
      <w:tr w:rsidR="00C13365" w:rsidRPr="00D2134C" w14:paraId="3BEF0BD6"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25644444" w14:textId="77777777" w:rsidR="00677C63" w:rsidRPr="00D2134C" w:rsidRDefault="00677C63" w:rsidP="00BB5988">
            <w:pPr>
              <w:pStyle w:val="TableParagraph"/>
              <w:keepNext/>
              <w:spacing w:line="256" w:lineRule="auto"/>
              <w:ind w:right="40"/>
              <w:rPr>
                <w:rFonts w:ascii="Arial" w:hAnsi="Arial" w:cs="Arial"/>
                <w:b w:val="0"/>
                <w:sz w:val="20"/>
                <w:szCs w:val="20"/>
                <w:lang w:val="en-AU"/>
              </w:rPr>
            </w:pPr>
            <w:r w:rsidRPr="00D2134C">
              <w:rPr>
                <w:rFonts w:ascii="Arial" w:hAnsi="Arial" w:cs="Arial"/>
                <w:color w:val="212121"/>
                <w:sz w:val="20"/>
                <w:szCs w:val="20"/>
                <w:lang w:val="en-AU"/>
              </w:rPr>
              <w:t>Tas</w:t>
            </w:r>
          </w:p>
        </w:tc>
        <w:tc>
          <w:tcPr>
            <w:tcW w:w="708" w:type="dxa"/>
            <w:vAlign w:val="center"/>
          </w:tcPr>
          <w:p w14:paraId="129BB973"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22</w:t>
            </w:r>
          </w:p>
        </w:tc>
        <w:tc>
          <w:tcPr>
            <w:tcW w:w="709" w:type="dxa"/>
            <w:vAlign w:val="center"/>
          </w:tcPr>
          <w:p w14:paraId="7B2634F5" w14:textId="77777777" w:rsidR="00677C63" w:rsidRPr="00D2134C" w:rsidRDefault="00677C63" w:rsidP="00BB5988">
            <w:pPr>
              <w:pStyle w:val="TableParagraph"/>
              <w:keepNext/>
              <w:spacing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709" w:type="dxa"/>
            <w:vAlign w:val="center"/>
          </w:tcPr>
          <w:p w14:paraId="03CAA673"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24</w:t>
            </w:r>
          </w:p>
        </w:tc>
        <w:tc>
          <w:tcPr>
            <w:tcW w:w="709" w:type="dxa"/>
            <w:vAlign w:val="center"/>
          </w:tcPr>
          <w:p w14:paraId="10603E9B"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47</w:t>
            </w:r>
          </w:p>
        </w:tc>
        <w:tc>
          <w:tcPr>
            <w:tcW w:w="708" w:type="dxa"/>
            <w:vAlign w:val="center"/>
          </w:tcPr>
          <w:p w14:paraId="574E75F5"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17</w:t>
            </w:r>
          </w:p>
        </w:tc>
        <w:tc>
          <w:tcPr>
            <w:tcW w:w="851" w:type="dxa"/>
            <w:vAlign w:val="center"/>
          </w:tcPr>
          <w:p w14:paraId="781013F0"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64</w:t>
            </w:r>
          </w:p>
        </w:tc>
        <w:tc>
          <w:tcPr>
            <w:tcW w:w="567" w:type="dxa"/>
            <w:vAlign w:val="center"/>
          </w:tcPr>
          <w:p w14:paraId="1BD9D986" w14:textId="621CF704" w:rsidR="00677C63" w:rsidRPr="00D2134C" w:rsidRDefault="000D1EBA"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0F7A9C8F" w14:textId="4831ACD0" w:rsidR="00677C63" w:rsidRPr="00D2134C" w:rsidRDefault="000D1EBA"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6DD4DA3C" w14:textId="09B13BDC" w:rsidR="00677C63" w:rsidRPr="00D2134C" w:rsidRDefault="000D1EBA"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19C52A28" w14:textId="77777777" w:rsidR="00677C63" w:rsidRPr="00D2134C" w:rsidRDefault="00677C63" w:rsidP="00BB5988">
            <w:pPr>
              <w:pStyle w:val="TableParagraph"/>
              <w:keepNext/>
              <w:spacing w:line="256" w:lineRule="auto"/>
              <w:rPr>
                <w:rFonts w:ascii="Arial" w:hAnsi="Arial" w:cs="Arial"/>
                <w:iCs/>
                <w:sz w:val="20"/>
                <w:szCs w:val="20"/>
                <w:lang w:val="en-AU"/>
              </w:rPr>
            </w:pPr>
            <w:r w:rsidRPr="00D2134C">
              <w:rPr>
                <w:rFonts w:ascii="Arial" w:hAnsi="Arial" w:cs="Arial"/>
                <w:iCs/>
                <w:color w:val="000000"/>
                <w:sz w:val="20"/>
                <w:szCs w:val="20"/>
                <w:lang w:val="en-AU"/>
              </w:rPr>
              <w:t>88</w:t>
            </w:r>
          </w:p>
        </w:tc>
      </w:tr>
      <w:tr w:rsidR="00C13365" w:rsidRPr="00D2134C" w14:paraId="73CBCC0A" w14:textId="77777777" w:rsidTr="00CA5815">
        <w:trPr>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5CA5D945"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Vic</w:t>
            </w:r>
          </w:p>
        </w:tc>
        <w:tc>
          <w:tcPr>
            <w:tcW w:w="708" w:type="dxa"/>
            <w:vAlign w:val="center"/>
          </w:tcPr>
          <w:p w14:paraId="618D25AC"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418</w:t>
            </w:r>
          </w:p>
        </w:tc>
        <w:tc>
          <w:tcPr>
            <w:tcW w:w="709" w:type="dxa"/>
            <w:vAlign w:val="center"/>
          </w:tcPr>
          <w:p w14:paraId="7EEB301E" w14:textId="77777777" w:rsidR="00677C63" w:rsidRPr="00D2134C" w:rsidRDefault="00677C6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27</w:t>
            </w:r>
          </w:p>
        </w:tc>
        <w:tc>
          <w:tcPr>
            <w:tcW w:w="709" w:type="dxa"/>
            <w:vAlign w:val="center"/>
          </w:tcPr>
          <w:p w14:paraId="1FA1D9AC"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445</w:t>
            </w:r>
          </w:p>
        </w:tc>
        <w:tc>
          <w:tcPr>
            <w:tcW w:w="709" w:type="dxa"/>
            <w:vAlign w:val="center"/>
          </w:tcPr>
          <w:p w14:paraId="1F286F2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938</w:t>
            </w:r>
          </w:p>
        </w:tc>
        <w:tc>
          <w:tcPr>
            <w:tcW w:w="708" w:type="dxa"/>
            <w:vAlign w:val="center"/>
          </w:tcPr>
          <w:p w14:paraId="6D3E0D6D"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242</w:t>
            </w:r>
          </w:p>
        </w:tc>
        <w:tc>
          <w:tcPr>
            <w:tcW w:w="851" w:type="dxa"/>
            <w:vAlign w:val="center"/>
          </w:tcPr>
          <w:p w14:paraId="00960703"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1,180</w:t>
            </w:r>
          </w:p>
        </w:tc>
        <w:tc>
          <w:tcPr>
            <w:tcW w:w="567" w:type="dxa"/>
            <w:vAlign w:val="center"/>
          </w:tcPr>
          <w:p w14:paraId="1697ADAC"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728" w:type="dxa"/>
            <w:vAlign w:val="center"/>
          </w:tcPr>
          <w:p w14:paraId="53EE6013" w14:textId="50A20627" w:rsidR="00677C63" w:rsidRPr="00D2134C" w:rsidRDefault="000D1EBA"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7AE88DE8"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4698ED13" w14:textId="77777777" w:rsidR="00677C63" w:rsidRPr="00D2134C" w:rsidRDefault="00677C63" w:rsidP="00BB5988">
            <w:pPr>
              <w:pStyle w:val="TableParagraph"/>
              <w:keepNext/>
              <w:spacing w:before="1" w:line="256" w:lineRule="auto"/>
              <w:rPr>
                <w:rFonts w:ascii="Arial" w:hAnsi="Arial" w:cs="Arial"/>
                <w:iCs/>
                <w:sz w:val="20"/>
                <w:szCs w:val="20"/>
                <w:lang w:val="en-AU"/>
              </w:rPr>
            </w:pPr>
            <w:r w:rsidRPr="00D2134C">
              <w:rPr>
                <w:rFonts w:ascii="Arial" w:hAnsi="Arial" w:cs="Arial"/>
                <w:iCs/>
                <w:color w:val="000000"/>
                <w:sz w:val="20"/>
                <w:szCs w:val="20"/>
                <w:lang w:val="en-AU"/>
              </w:rPr>
              <w:t>1,627</w:t>
            </w:r>
          </w:p>
        </w:tc>
      </w:tr>
      <w:tr w:rsidR="00C13365" w:rsidRPr="00D2134C" w14:paraId="05AC01C6"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6C5F892D"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WA</w:t>
            </w:r>
          </w:p>
        </w:tc>
        <w:tc>
          <w:tcPr>
            <w:tcW w:w="708" w:type="dxa"/>
            <w:vAlign w:val="center"/>
          </w:tcPr>
          <w:p w14:paraId="281E72C5"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64</w:t>
            </w:r>
          </w:p>
        </w:tc>
        <w:tc>
          <w:tcPr>
            <w:tcW w:w="709" w:type="dxa"/>
            <w:vAlign w:val="center"/>
          </w:tcPr>
          <w:p w14:paraId="3325A6F1" w14:textId="77777777" w:rsidR="00677C63" w:rsidRPr="00D2134C" w:rsidRDefault="00677C6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w:t>
            </w:r>
          </w:p>
        </w:tc>
        <w:tc>
          <w:tcPr>
            <w:tcW w:w="709" w:type="dxa"/>
            <w:vAlign w:val="center"/>
          </w:tcPr>
          <w:p w14:paraId="468227F1"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68</w:t>
            </w:r>
          </w:p>
        </w:tc>
        <w:tc>
          <w:tcPr>
            <w:tcW w:w="709" w:type="dxa"/>
            <w:vAlign w:val="center"/>
          </w:tcPr>
          <w:p w14:paraId="0A4331D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188</w:t>
            </w:r>
          </w:p>
        </w:tc>
        <w:tc>
          <w:tcPr>
            <w:tcW w:w="708" w:type="dxa"/>
            <w:vAlign w:val="center"/>
          </w:tcPr>
          <w:p w14:paraId="4EDB4D5C"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29</w:t>
            </w:r>
          </w:p>
        </w:tc>
        <w:tc>
          <w:tcPr>
            <w:tcW w:w="851" w:type="dxa"/>
            <w:vAlign w:val="center"/>
          </w:tcPr>
          <w:p w14:paraId="4E3396DE"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217</w:t>
            </w:r>
          </w:p>
        </w:tc>
        <w:tc>
          <w:tcPr>
            <w:tcW w:w="567" w:type="dxa"/>
            <w:vAlign w:val="center"/>
          </w:tcPr>
          <w:p w14:paraId="2C2F9153" w14:textId="6A0B28B5" w:rsidR="00677C63" w:rsidRPr="00D2134C" w:rsidRDefault="000D1EBA"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37E6EC5A" w14:textId="26D3ED44" w:rsidR="00677C63" w:rsidRPr="00D2134C" w:rsidRDefault="000D1EBA"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31061250" w14:textId="4A2E3A75"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50F943D4" w14:textId="77777777" w:rsidR="00677C63" w:rsidRPr="00D2134C" w:rsidRDefault="00677C63" w:rsidP="00BB5988">
            <w:pPr>
              <w:pStyle w:val="TableParagraph"/>
              <w:keepNext/>
              <w:spacing w:before="1" w:line="256" w:lineRule="auto"/>
              <w:rPr>
                <w:rFonts w:ascii="Arial" w:hAnsi="Arial" w:cs="Arial"/>
                <w:iCs/>
                <w:sz w:val="20"/>
                <w:szCs w:val="20"/>
                <w:lang w:val="en-AU"/>
              </w:rPr>
            </w:pPr>
            <w:r w:rsidRPr="00D2134C">
              <w:rPr>
                <w:rFonts w:ascii="Arial" w:hAnsi="Arial" w:cs="Arial"/>
                <w:iCs/>
                <w:color w:val="000000"/>
                <w:sz w:val="20"/>
                <w:szCs w:val="20"/>
                <w:lang w:val="en-AU"/>
              </w:rPr>
              <w:t>285</w:t>
            </w:r>
          </w:p>
        </w:tc>
      </w:tr>
      <w:tr w:rsidR="00C13365" w:rsidRPr="00D2134C" w14:paraId="1AD1AC3F" w14:textId="77777777" w:rsidTr="00CA5815">
        <w:trPr>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32CCAFAB" w14:textId="77777777" w:rsidR="00677C63" w:rsidRPr="00D2134C" w:rsidRDefault="00677C63" w:rsidP="00BB5988">
            <w:pPr>
              <w:pStyle w:val="TableParagraph"/>
              <w:keepNext/>
              <w:spacing w:line="256" w:lineRule="auto"/>
              <w:ind w:right="41"/>
              <w:rPr>
                <w:rFonts w:ascii="Arial" w:hAnsi="Arial" w:cs="Arial"/>
                <w:b w:val="0"/>
                <w:sz w:val="20"/>
                <w:szCs w:val="20"/>
                <w:lang w:val="en-AU"/>
              </w:rPr>
            </w:pPr>
            <w:r w:rsidRPr="00D2134C">
              <w:rPr>
                <w:rFonts w:ascii="Arial" w:hAnsi="Arial" w:cs="Arial"/>
                <w:color w:val="212121"/>
                <w:sz w:val="20"/>
                <w:szCs w:val="20"/>
                <w:lang w:val="en-AU"/>
              </w:rPr>
              <w:t>ACT</w:t>
            </w:r>
          </w:p>
        </w:tc>
        <w:tc>
          <w:tcPr>
            <w:tcW w:w="708" w:type="dxa"/>
            <w:vAlign w:val="center"/>
          </w:tcPr>
          <w:p w14:paraId="717C097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78</w:t>
            </w:r>
          </w:p>
        </w:tc>
        <w:tc>
          <w:tcPr>
            <w:tcW w:w="709" w:type="dxa"/>
            <w:vAlign w:val="center"/>
          </w:tcPr>
          <w:p w14:paraId="3E82F11E" w14:textId="77777777" w:rsidR="00677C63" w:rsidRPr="00D2134C" w:rsidRDefault="00677C63" w:rsidP="00BB5988">
            <w:pPr>
              <w:pStyle w:val="TableParagraph"/>
              <w:keepNext/>
              <w:spacing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w:t>
            </w:r>
          </w:p>
        </w:tc>
        <w:tc>
          <w:tcPr>
            <w:tcW w:w="709" w:type="dxa"/>
            <w:vAlign w:val="center"/>
          </w:tcPr>
          <w:p w14:paraId="4068E73C"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84</w:t>
            </w:r>
          </w:p>
        </w:tc>
        <w:tc>
          <w:tcPr>
            <w:tcW w:w="709" w:type="dxa"/>
            <w:vAlign w:val="center"/>
          </w:tcPr>
          <w:p w14:paraId="137BD2C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120</w:t>
            </w:r>
          </w:p>
        </w:tc>
        <w:tc>
          <w:tcPr>
            <w:tcW w:w="708" w:type="dxa"/>
            <w:vAlign w:val="center"/>
          </w:tcPr>
          <w:p w14:paraId="1050BD16"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19</w:t>
            </w:r>
          </w:p>
        </w:tc>
        <w:tc>
          <w:tcPr>
            <w:tcW w:w="851" w:type="dxa"/>
            <w:vAlign w:val="center"/>
          </w:tcPr>
          <w:p w14:paraId="0472A45A"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139</w:t>
            </w:r>
          </w:p>
        </w:tc>
        <w:tc>
          <w:tcPr>
            <w:tcW w:w="567" w:type="dxa"/>
            <w:vAlign w:val="center"/>
          </w:tcPr>
          <w:p w14:paraId="3D17BC61"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728" w:type="dxa"/>
            <w:vAlign w:val="center"/>
          </w:tcPr>
          <w:p w14:paraId="52A2AB1B" w14:textId="24F8FCBE"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p>
        </w:tc>
        <w:tc>
          <w:tcPr>
            <w:tcW w:w="1398" w:type="dxa"/>
            <w:vAlign w:val="center"/>
          </w:tcPr>
          <w:p w14:paraId="458B0ACB"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0229DB60" w14:textId="77777777" w:rsidR="00677C63" w:rsidRPr="00D2134C" w:rsidRDefault="00677C63" w:rsidP="00BB5988">
            <w:pPr>
              <w:pStyle w:val="TableParagraph"/>
              <w:keepNext/>
              <w:spacing w:line="256" w:lineRule="auto"/>
              <w:rPr>
                <w:rFonts w:ascii="Arial" w:hAnsi="Arial" w:cs="Arial"/>
                <w:iCs/>
                <w:sz w:val="20"/>
                <w:szCs w:val="20"/>
                <w:lang w:val="en-AU"/>
              </w:rPr>
            </w:pPr>
            <w:r w:rsidRPr="00D2134C">
              <w:rPr>
                <w:rFonts w:ascii="Arial" w:hAnsi="Arial" w:cs="Arial"/>
                <w:iCs/>
                <w:color w:val="000000"/>
                <w:sz w:val="20"/>
                <w:szCs w:val="20"/>
                <w:lang w:val="en-AU"/>
              </w:rPr>
              <w:t>224</w:t>
            </w:r>
          </w:p>
        </w:tc>
      </w:tr>
      <w:tr w:rsidR="00C13365" w:rsidRPr="00D2134C" w14:paraId="585B4E29"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78C9B378"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NT</w:t>
            </w:r>
          </w:p>
        </w:tc>
        <w:tc>
          <w:tcPr>
            <w:tcW w:w="708" w:type="dxa"/>
            <w:vAlign w:val="center"/>
          </w:tcPr>
          <w:p w14:paraId="6CF6F77B"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15</w:t>
            </w:r>
          </w:p>
        </w:tc>
        <w:tc>
          <w:tcPr>
            <w:tcW w:w="709" w:type="dxa"/>
            <w:vAlign w:val="center"/>
          </w:tcPr>
          <w:p w14:paraId="5981114F" w14:textId="77777777" w:rsidR="00677C63" w:rsidRPr="00D2134C" w:rsidRDefault="00677C6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4781E5A1"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15</w:t>
            </w:r>
          </w:p>
        </w:tc>
        <w:tc>
          <w:tcPr>
            <w:tcW w:w="709" w:type="dxa"/>
            <w:vAlign w:val="center"/>
          </w:tcPr>
          <w:p w14:paraId="5D533AD6"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53</w:t>
            </w:r>
          </w:p>
        </w:tc>
        <w:tc>
          <w:tcPr>
            <w:tcW w:w="708" w:type="dxa"/>
            <w:vAlign w:val="center"/>
          </w:tcPr>
          <w:p w14:paraId="5D050C6A"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w:t>
            </w:r>
          </w:p>
        </w:tc>
        <w:tc>
          <w:tcPr>
            <w:tcW w:w="851" w:type="dxa"/>
            <w:vAlign w:val="center"/>
          </w:tcPr>
          <w:p w14:paraId="25BA3532"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60</w:t>
            </w:r>
          </w:p>
        </w:tc>
        <w:tc>
          <w:tcPr>
            <w:tcW w:w="567" w:type="dxa"/>
            <w:vAlign w:val="center"/>
          </w:tcPr>
          <w:p w14:paraId="73978E36" w14:textId="2C352C70"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18379FA9" w14:textId="41757FE9"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28F4DB8E" w14:textId="32C5C1EC"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5497A329" w14:textId="5AD3ECB0" w:rsidR="00677C63" w:rsidRPr="00D2134C" w:rsidRDefault="007511F2" w:rsidP="00BB5988">
            <w:pPr>
              <w:pStyle w:val="TableParagraph"/>
              <w:keepNext/>
              <w:spacing w:before="1" w:line="256" w:lineRule="auto"/>
              <w:rPr>
                <w:rFonts w:ascii="Arial" w:hAnsi="Arial" w:cs="Arial"/>
                <w:iCs/>
                <w:sz w:val="20"/>
                <w:szCs w:val="20"/>
                <w:lang w:val="en-AU"/>
              </w:rPr>
            </w:pPr>
            <w:r w:rsidRPr="00D2134C">
              <w:rPr>
                <w:rFonts w:ascii="Arial" w:hAnsi="Arial" w:cs="Arial"/>
                <w:iCs/>
                <w:color w:val="000000"/>
                <w:sz w:val="20"/>
                <w:szCs w:val="20"/>
                <w:lang w:val="en-AU"/>
              </w:rPr>
              <w:t>75</w:t>
            </w:r>
          </w:p>
        </w:tc>
      </w:tr>
      <w:tr w:rsidR="00C13365" w:rsidRPr="00D2134C" w14:paraId="2974D7D7" w14:textId="77777777" w:rsidTr="00CA5815">
        <w:trPr>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tcBorders>
            <w:vAlign w:val="center"/>
          </w:tcPr>
          <w:p w14:paraId="41D254CF" w14:textId="77777777" w:rsidR="00677C63" w:rsidRPr="00D2134C" w:rsidRDefault="00677C63" w:rsidP="00BB5988">
            <w:pPr>
              <w:pStyle w:val="TableParagraph"/>
              <w:keepNext/>
              <w:spacing w:before="1" w:line="276" w:lineRule="auto"/>
              <w:ind w:right="24"/>
              <w:rPr>
                <w:rFonts w:ascii="Arial" w:hAnsi="Arial" w:cs="Arial"/>
                <w:b w:val="0"/>
                <w:sz w:val="20"/>
                <w:szCs w:val="20"/>
                <w:lang w:val="en-AU"/>
              </w:rPr>
            </w:pPr>
            <w:r w:rsidRPr="00D2134C">
              <w:rPr>
                <w:rFonts w:ascii="Arial" w:hAnsi="Arial" w:cs="Arial"/>
                <w:color w:val="212121"/>
                <w:sz w:val="20"/>
                <w:szCs w:val="20"/>
                <w:lang w:val="en-AU"/>
              </w:rPr>
              <w:t>External</w:t>
            </w:r>
            <w:r w:rsidRPr="00D2134C">
              <w:rPr>
                <w:rFonts w:ascii="Arial" w:hAnsi="Arial" w:cs="Arial"/>
                <w:color w:val="212121"/>
                <w:spacing w:val="-43"/>
                <w:sz w:val="20"/>
                <w:szCs w:val="20"/>
                <w:lang w:val="en-AU"/>
              </w:rPr>
              <w:t xml:space="preserve"> </w:t>
            </w:r>
            <w:r w:rsidRPr="00D2134C">
              <w:rPr>
                <w:rFonts w:ascii="Arial" w:hAnsi="Arial" w:cs="Arial"/>
                <w:color w:val="212121"/>
                <w:spacing w:val="-1"/>
                <w:sz w:val="20"/>
                <w:szCs w:val="20"/>
                <w:lang w:val="en-AU"/>
              </w:rPr>
              <w:t>territories</w:t>
            </w:r>
          </w:p>
        </w:tc>
        <w:tc>
          <w:tcPr>
            <w:tcW w:w="708" w:type="dxa"/>
            <w:vAlign w:val="center"/>
          </w:tcPr>
          <w:p w14:paraId="3D0C61D7" w14:textId="79C2B628" w:rsidR="00677C63" w:rsidRPr="00D2134C" w:rsidRDefault="00000890" w:rsidP="00BB5988">
            <w:pPr>
              <w:pStyle w:val="TableParagraph"/>
              <w:keepNext/>
              <w:spacing w:before="1"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1F124A60" w14:textId="63A138D2" w:rsidR="00677C63" w:rsidRPr="00D2134C" w:rsidRDefault="00000890" w:rsidP="00BB5988">
            <w:pPr>
              <w:pStyle w:val="TableParagraph"/>
              <w:keepNext/>
              <w:spacing w:before="1" w:line="256" w:lineRule="auto"/>
              <w:ind w:right="117"/>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1BBC137A" w14:textId="294F801F" w:rsidR="00677C63" w:rsidRPr="00D2134C" w:rsidRDefault="000008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1943F78E" w14:textId="73991E30" w:rsidR="00677C63" w:rsidRPr="00D2134C" w:rsidRDefault="00000890"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8" w:type="dxa"/>
            <w:vAlign w:val="center"/>
          </w:tcPr>
          <w:p w14:paraId="5F7CB9F5" w14:textId="6ECB271A" w:rsidR="00677C63" w:rsidRPr="00D2134C" w:rsidRDefault="00000890"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4EF6CEC2" w14:textId="33CD60F6" w:rsidR="00677C63" w:rsidRPr="00D2134C" w:rsidRDefault="000008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567" w:type="dxa"/>
            <w:vAlign w:val="center"/>
          </w:tcPr>
          <w:p w14:paraId="6D66D1C0" w14:textId="659E2037" w:rsidR="00677C63" w:rsidRPr="00D2134C" w:rsidRDefault="000008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vAlign w:val="center"/>
          </w:tcPr>
          <w:p w14:paraId="1C899475" w14:textId="562F0379" w:rsidR="00677C63" w:rsidRPr="00D2134C" w:rsidRDefault="000008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vAlign w:val="center"/>
          </w:tcPr>
          <w:p w14:paraId="651120F2" w14:textId="2070D732" w:rsidR="00677C63" w:rsidRPr="00D2134C" w:rsidRDefault="000008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right w:val="single" w:sz="8" w:space="0" w:color="C9C9C9" w:themeColor="accent3" w:themeTint="99"/>
            </w:tcBorders>
            <w:vAlign w:val="center"/>
          </w:tcPr>
          <w:p w14:paraId="5D29D8F3" w14:textId="7753332B" w:rsidR="00677C63" w:rsidRPr="00D2134C" w:rsidRDefault="00000890" w:rsidP="00BB5988">
            <w:pPr>
              <w:pStyle w:val="TableParagraph"/>
              <w:keepNext/>
              <w:spacing w:before="1" w:line="256" w:lineRule="auto"/>
              <w:ind w:right="29"/>
              <w:rPr>
                <w:rFonts w:ascii="Arial" w:hAnsi="Arial" w:cs="Arial"/>
                <w:iCs/>
                <w:sz w:val="20"/>
                <w:szCs w:val="20"/>
                <w:lang w:val="en-AU"/>
              </w:rPr>
            </w:pPr>
            <w:r w:rsidRPr="00D2134C">
              <w:rPr>
                <w:rFonts w:ascii="Arial" w:hAnsi="Arial" w:cs="Arial"/>
                <w:iCs/>
                <w:sz w:val="20"/>
                <w:szCs w:val="20"/>
                <w:lang w:val="en-AU"/>
              </w:rPr>
              <w:t>‒</w:t>
            </w:r>
          </w:p>
        </w:tc>
      </w:tr>
      <w:tr w:rsidR="00C13365" w:rsidRPr="00D2134C" w14:paraId="45E8084F" w14:textId="77777777" w:rsidTr="00CA58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left w:val="single" w:sz="8" w:space="0" w:color="C9C9C9" w:themeColor="accent3" w:themeTint="99"/>
              <w:bottom w:val="single" w:sz="8" w:space="0" w:color="C9C9C9" w:themeColor="accent3" w:themeTint="99"/>
            </w:tcBorders>
            <w:vAlign w:val="center"/>
          </w:tcPr>
          <w:p w14:paraId="02892CB9"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Overseas</w:t>
            </w:r>
          </w:p>
        </w:tc>
        <w:tc>
          <w:tcPr>
            <w:tcW w:w="708" w:type="dxa"/>
            <w:tcBorders>
              <w:bottom w:val="single" w:sz="8" w:space="0" w:color="C9C9C9" w:themeColor="accent3" w:themeTint="99"/>
            </w:tcBorders>
            <w:vAlign w:val="center"/>
          </w:tcPr>
          <w:p w14:paraId="638571F9" w14:textId="439192DF"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tcBorders>
              <w:bottom w:val="single" w:sz="8" w:space="0" w:color="C9C9C9" w:themeColor="accent3" w:themeTint="99"/>
            </w:tcBorders>
            <w:vAlign w:val="center"/>
          </w:tcPr>
          <w:p w14:paraId="11724337" w14:textId="620AE0B5" w:rsidR="00677C63" w:rsidRPr="00D2134C" w:rsidRDefault="00000890"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tcBorders>
              <w:bottom w:val="single" w:sz="8" w:space="0" w:color="C9C9C9" w:themeColor="accent3" w:themeTint="99"/>
            </w:tcBorders>
            <w:vAlign w:val="center"/>
          </w:tcPr>
          <w:p w14:paraId="678952B8" w14:textId="3B1E2AA9"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tcBorders>
              <w:bottom w:val="single" w:sz="8" w:space="0" w:color="C9C9C9" w:themeColor="accent3" w:themeTint="99"/>
            </w:tcBorders>
            <w:vAlign w:val="center"/>
          </w:tcPr>
          <w:p w14:paraId="1A375076" w14:textId="3381C5F6" w:rsidR="00677C63" w:rsidRPr="00D2134C" w:rsidRDefault="00000890"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8" w:type="dxa"/>
            <w:tcBorders>
              <w:bottom w:val="single" w:sz="8" w:space="0" w:color="C9C9C9" w:themeColor="accent3" w:themeTint="99"/>
            </w:tcBorders>
            <w:vAlign w:val="center"/>
          </w:tcPr>
          <w:p w14:paraId="57167CC2" w14:textId="0A20F660" w:rsidR="00677C63" w:rsidRPr="00D2134C" w:rsidRDefault="00000890"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tcBorders>
              <w:bottom w:val="single" w:sz="8" w:space="0" w:color="C9C9C9" w:themeColor="accent3" w:themeTint="99"/>
            </w:tcBorders>
            <w:vAlign w:val="center"/>
          </w:tcPr>
          <w:p w14:paraId="14BCF9AB" w14:textId="5CAED782"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567" w:type="dxa"/>
            <w:tcBorders>
              <w:bottom w:val="single" w:sz="8" w:space="0" w:color="C9C9C9" w:themeColor="accent3" w:themeTint="99"/>
            </w:tcBorders>
            <w:vAlign w:val="center"/>
          </w:tcPr>
          <w:p w14:paraId="30C2CAC5" w14:textId="0BEBBD85"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28" w:type="dxa"/>
            <w:tcBorders>
              <w:bottom w:val="single" w:sz="8" w:space="0" w:color="C9C9C9" w:themeColor="accent3" w:themeTint="99"/>
            </w:tcBorders>
            <w:vAlign w:val="center"/>
          </w:tcPr>
          <w:p w14:paraId="3BE9C381" w14:textId="5D7C51A7"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398" w:type="dxa"/>
            <w:tcBorders>
              <w:bottom w:val="single" w:sz="8" w:space="0" w:color="C9C9C9" w:themeColor="accent3" w:themeTint="99"/>
            </w:tcBorders>
            <w:vAlign w:val="center"/>
          </w:tcPr>
          <w:p w14:paraId="11FE00D6" w14:textId="76740865" w:rsidR="00677C63" w:rsidRPr="00D2134C" w:rsidRDefault="00000890"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61" w:type="dxa"/>
            <w:tcBorders>
              <w:bottom w:val="single" w:sz="8" w:space="0" w:color="C9C9C9" w:themeColor="accent3" w:themeTint="99"/>
              <w:right w:val="single" w:sz="8" w:space="0" w:color="C9C9C9" w:themeColor="accent3" w:themeTint="99"/>
            </w:tcBorders>
            <w:vAlign w:val="center"/>
          </w:tcPr>
          <w:p w14:paraId="5872C478" w14:textId="555D6766" w:rsidR="00677C63" w:rsidRPr="00D2134C" w:rsidRDefault="00000890" w:rsidP="00BB5988">
            <w:pPr>
              <w:pStyle w:val="TableParagraph"/>
              <w:keepNext/>
              <w:spacing w:before="1" w:line="256" w:lineRule="auto"/>
              <w:rPr>
                <w:rFonts w:ascii="Arial" w:hAnsi="Arial" w:cs="Arial"/>
                <w:iCs/>
                <w:sz w:val="20"/>
                <w:szCs w:val="20"/>
                <w:lang w:val="en-AU"/>
              </w:rPr>
            </w:pPr>
            <w:r w:rsidRPr="00D2134C">
              <w:rPr>
                <w:rFonts w:ascii="Arial" w:hAnsi="Arial" w:cs="Arial"/>
                <w:iCs/>
                <w:sz w:val="20"/>
                <w:szCs w:val="20"/>
                <w:lang w:val="en-AU"/>
              </w:rPr>
              <w:t>‒</w:t>
            </w:r>
          </w:p>
        </w:tc>
      </w:tr>
      <w:tr w:rsidR="00C13365" w:rsidRPr="00D2134C" w14:paraId="6B98D455" w14:textId="77777777" w:rsidTr="00CA581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71939AEF" w14:textId="77777777" w:rsidR="00677C63" w:rsidRPr="00D2134C" w:rsidRDefault="00677C63" w:rsidP="00BB5988">
            <w:pPr>
              <w:pStyle w:val="TableParagraph"/>
              <w:keepNext/>
              <w:spacing w:line="256" w:lineRule="auto"/>
              <w:ind w:right="40"/>
              <w:rPr>
                <w:rFonts w:ascii="Arial" w:hAnsi="Arial" w:cs="Arial"/>
                <w:iCs/>
                <w:sz w:val="20"/>
                <w:szCs w:val="20"/>
                <w:lang w:val="en-AU"/>
              </w:rPr>
            </w:pPr>
            <w:r w:rsidRPr="00D2134C">
              <w:rPr>
                <w:rFonts w:ascii="Arial" w:hAnsi="Arial" w:cs="Arial"/>
                <w:iCs/>
                <w:sz w:val="20"/>
                <w:szCs w:val="20"/>
                <w:lang w:val="en-AU"/>
              </w:rPr>
              <w:t>Total</w:t>
            </w:r>
          </w:p>
        </w:tc>
        <w:tc>
          <w:tcPr>
            <w:tcW w:w="70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6ABB3AB" w14:textId="2CF34825" w:rsidR="00677C63" w:rsidRPr="00D2134C" w:rsidRDefault="00677C63" w:rsidP="00BB5988">
            <w:pPr>
              <w:pStyle w:val="TableParagraph"/>
              <w:keepNext/>
              <w:spacing w:line="256" w:lineRule="auto"/>
              <w:ind w:right="3"/>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r w:rsidR="009C121F" w:rsidRPr="00D2134C">
              <w:rPr>
                <w:rFonts w:ascii="Arial" w:hAnsi="Arial" w:cs="Arial"/>
                <w:color w:val="000000"/>
                <w:sz w:val="20"/>
                <w:szCs w:val="20"/>
                <w:lang w:val="en-AU"/>
              </w:rPr>
              <w:t>,</w:t>
            </w:r>
            <w:r w:rsidRPr="00D2134C">
              <w:rPr>
                <w:rFonts w:ascii="Arial" w:hAnsi="Arial" w:cs="Arial"/>
                <w:color w:val="000000"/>
                <w:sz w:val="20"/>
                <w:szCs w:val="20"/>
                <w:lang w:val="en-AU"/>
              </w:rPr>
              <w:t>052</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4186FE0" w14:textId="77777777" w:rsidR="00677C63" w:rsidRPr="00D2134C" w:rsidRDefault="00677C63" w:rsidP="00BB5988">
            <w:pPr>
              <w:pStyle w:val="TableParagraph"/>
              <w:keepNext/>
              <w:spacing w:line="256" w:lineRule="auto"/>
              <w:ind w:right="117"/>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69</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7888CC86"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1,121</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31B1CF4"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2,761</w:t>
            </w:r>
          </w:p>
        </w:tc>
        <w:tc>
          <w:tcPr>
            <w:tcW w:w="70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2328240"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631</w:t>
            </w:r>
          </w:p>
        </w:tc>
        <w:tc>
          <w:tcPr>
            <w:tcW w:w="85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56BBA146"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3,392</w:t>
            </w:r>
          </w:p>
        </w:tc>
        <w:tc>
          <w:tcPr>
            <w:tcW w:w="56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7726D3F7"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72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279EAD42"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139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D6980A4"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w:t>
            </w:r>
          </w:p>
        </w:tc>
        <w:tc>
          <w:tcPr>
            <w:cnfStyle w:val="000100000000" w:firstRow="0" w:lastRow="0" w:firstColumn="0" w:lastColumn="1" w:oddVBand="0" w:evenVBand="0" w:oddHBand="0" w:evenHBand="0" w:firstRowFirstColumn="0" w:firstRowLastColumn="0" w:lastRowFirstColumn="0" w:lastRowLastColumn="0"/>
            <w:tcW w:w="86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2378C7E1" w14:textId="77777777" w:rsidR="00677C63" w:rsidRPr="00D2134C" w:rsidRDefault="00677C63" w:rsidP="00BB5988">
            <w:pPr>
              <w:pStyle w:val="TableParagraph"/>
              <w:keepNext/>
              <w:spacing w:line="256" w:lineRule="auto"/>
              <w:ind w:right="29"/>
              <w:rPr>
                <w:rFonts w:ascii="Arial" w:hAnsi="Arial" w:cs="Arial"/>
                <w:iCs/>
                <w:sz w:val="20"/>
                <w:szCs w:val="20"/>
                <w:lang w:val="en-AU"/>
              </w:rPr>
            </w:pPr>
            <w:r w:rsidRPr="00D2134C">
              <w:rPr>
                <w:rFonts w:ascii="Arial" w:hAnsi="Arial" w:cs="Arial"/>
                <w:iCs/>
                <w:color w:val="000000"/>
                <w:sz w:val="20"/>
                <w:szCs w:val="20"/>
                <w:lang w:val="en-AU"/>
              </w:rPr>
              <w:t>4,519</w:t>
            </w:r>
          </w:p>
        </w:tc>
      </w:tr>
    </w:tbl>
    <w:p w14:paraId="3FDD811B" w14:textId="578EE5A9" w:rsidR="00677C63" w:rsidRPr="00D2134C" w:rsidRDefault="00677C63" w:rsidP="00BB5988">
      <w:pPr>
        <w:pStyle w:val="FGCNORMAL"/>
        <w:keepNext/>
      </w:pPr>
      <w:r w:rsidRPr="00D2134C">
        <w:rPr>
          <w:b/>
        </w:rPr>
        <w:t>Table 5.4B:</w:t>
      </w:r>
      <w:r w:rsidRPr="00D2134C">
        <w:t xml:space="preserve"> All non-ongoing employees current reporting period (2021–22)</w:t>
      </w:r>
    </w:p>
    <w:tbl>
      <w:tblPr>
        <w:tblStyle w:val="GridTable2-Accent31"/>
        <w:tblW w:w="9365" w:type="dxa"/>
        <w:tblInd w:w="699" w:type="dxa"/>
        <w:tblLayout w:type="fixed"/>
        <w:tblCellMar>
          <w:left w:w="28" w:type="dxa"/>
          <w:right w:w="28" w:type="dxa"/>
        </w:tblCellMar>
        <w:tblLook w:val="01E0" w:firstRow="1" w:lastRow="1" w:firstColumn="1" w:lastColumn="1" w:noHBand="0" w:noVBand="0"/>
      </w:tblPr>
      <w:tblGrid>
        <w:gridCol w:w="1244"/>
        <w:gridCol w:w="692"/>
        <w:gridCol w:w="830"/>
        <w:gridCol w:w="693"/>
        <w:gridCol w:w="693"/>
        <w:gridCol w:w="668"/>
        <w:gridCol w:w="928"/>
        <w:gridCol w:w="631"/>
        <w:gridCol w:w="709"/>
        <w:gridCol w:w="1437"/>
        <w:gridCol w:w="840"/>
      </w:tblGrid>
      <w:tr w:rsidR="00FB51F2" w:rsidRPr="00D2134C" w14:paraId="36D39FBE" w14:textId="77777777" w:rsidTr="00EE2D88">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top w:val="single" w:sz="8" w:space="0" w:color="C9C9C9" w:themeColor="accent3" w:themeTint="99"/>
              <w:left w:val="single" w:sz="8" w:space="0" w:color="C9C9C9" w:themeColor="accent3" w:themeTint="99"/>
            </w:tcBorders>
            <w:vAlign w:val="center"/>
          </w:tcPr>
          <w:p w14:paraId="2FAEB430" w14:textId="77777777" w:rsidR="00677C63" w:rsidRPr="00D2134C" w:rsidRDefault="00677C63" w:rsidP="00BB5988">
            <w:pPr>
              <w:pStyle w:val="TableParagraph"/>
              <w:keepNext/>
              <w:spacing w:line="256" w:lineRule="auto"/>
              <w:rPr>
                <w:rFonts w:ascii="Arial" w:hAnsi="Arial" w:cs="Arial"/>
                <w:sz w:val="20"/>
                <w:szCs w:val="20"/>
                <w:lang w:val="en-AU"/>
              </w:rPr>
            </w:pPr>
            <w:bookmarkStart w:id="582" w:name="_Hlk110430985"/>
          </w:p>
        </w:tc>
        <w:tc>
          <w:tcPr>
            <w:tcW w:w="2215" w:type="dxa"/>
            <w:gridSpan w:val="3"/>
            <w:tcBorders>
              <w:top w:val="single" w:sz="8" w:space="0" w:color="C9C9C9" w:themeColor="accent3" w:themeTint="99"/>
            </w:tcBorders>
            <w:vAlign w:val="center"/>
            <w:hideMark/>
          </w:tcPr>
          <w:p w14:paraId="5C4364EF"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Male</w:t>
            </w:r>
          </w:p>
        </w:tc>
        <w:tc>
          <w:tcPr>
            <w:tcW w:w="2289" w:type="dxa"/>
            <w:gridSpan w:val="3"/>
            <w:tcBorders>
              <w:top w:val="single" w:sz="8" w:space="0" w:color="C9C9C9" w:themeColor="accent3" w:themeTint="99"/>
            </w:tcBorders>
            <w:vAlign w:val="center"/>
            <w:hideMark/>
          </w:tcPr>
          <w:p w14:paraId="20841A50"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Female</w:t>
            </w:r>
          </w:p>
        </w:tc>
        <w:tc>
          <w:tcPr>
            <w:tcW w:w="2777" w:type="dxa"/>
            <w:gridSpan w:val="3"/>
            <w:tcBorders>
              <w:top w:val="single" w:sz="8" w:space="0" w:color="C9C9C9" w:themeColor="accent3" w:themeTint="99"/>
            </w:tcBorders>
            <w:vAlign w:val="center"/>
            <w:hideMark/>
          </w:tcPr>
          <w:p w14:paraId="06F241B6" w14:textId="77777777" w:rsidR="00677C63" w:rsidRPr="00D2134C" w:rsidRDefault="00677C63" w:rsidP="00BB5988">
            <w:pPr>
              <w:pStyle w:val="TableParagraph"/>
              <w:keepNext/>
              <w:spacing w:before="1" w:line="256" w:lineRule="auto"/>
              <w:ind w:left="29"/>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40" w:type="dxa"/>
            <w:tcBorders>
              <w:top w:val="single" w:sz="8" w:space="0" w:color="C9C9C9" w:themeColor="accent3" w:themeTint="99"/>
              <w:right w:val="single" w:sz="8" w:space="0" w:color="C9C9C9" w:themeColor="accent3" w:themeTint="99"/>
            </w:tcBorders>
            <w:vAlign w:val="center"/>
            <w:hideMark/>
          </w:tcPr>
          <w:p w14:paraId="16CFA402" w14:textId="77777777" w:rsidR="00677C63" w:rsidRPr="00D2134C" w:rsidRDefault="00677C63" w:rsidP="00BB5988">
            <w:pPr>
              <w:pStyle w:val="TableParagraph"/>
              <w:keepNext/>
              <w:spacing w:before="1" w:line="256" w:lineRule="auto"/>
              <w:ind w:right="206"/>
              <w:rPr>
                <w:rFonts w:ascii="Arial" w:hAnsi="Arial" w:cs="Arial"/>
                <w:iCs/>
                <w:sz w:val="20"/>
                <w:szCs w:val="20"/>
                <w:lang w:val="en-AU"/>
              </w:rPr>
            </w:pPr>
            <w:r w:rsidRPr="00D2134C">
              <w:rPr>
                <w:rFonts w:ascii="Arial" w:hAnsi="Arial" w:cs="Arial"/>
                <w:iCs/>
                <w:sz w:val="20"/>
                <w:szCs w:val="20"/>
                <w:lang w:val="en-AU"/>
              </w:rPr>
              <w:t>Total</w:t>
            </w:r>
          </w:p>
        </w:tc>
      </w:tr>
      <w:tr w:rsidR="00DE0777" w:rsidRPr="00D2134C" w14:paraId="69A9A4B4"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6FA40CA5"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692" w:type="dxa"/>
            <w:vAlign w:val="center"/>
            <w:hideMark/>
          </w:tcPr>
          <w:p w14:paraId="038600DE" w14:textId="77777777" w:rsidR="00677C63" w:rsidRPr="00D2134C" w:rsidRDefault="00677C63" w:rsidP="00BB5988">
            <w:pPr>
              <w:pStyle w:val="TableParagraph"/>
              <w:keepNext/>
              <w:spacing w:before="125" w:line="256" w:lineRule="auto"/>
              <w:ind w:right="21"/>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830" w:type="dxa"/>
            <w:vAlign w:val="center"/>
            <w:hideMark/>
          </w:tcPr>
          <w:p w14:paraId="46DBFFEB" w14:textId="77777777" w:rsidR="00677C63" w:rsidRPr="00D2134C" w:rsidRDefault="00677C63" w:rsidP="00BB5988">
            <w:pPr>
              <w:pStyle w:val="TableParagraph"/>
              <w:keepNext/>
              <w:spacing w:before="125" w:line="256" w:lineRule="auto"/>
              <w:ind w:right="66"/>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693" w:type="dxa"/>
            <w:vAlign w:val="center"/>
            <w:hideMark/>
          </w:tcPr>
          <w:p w14:paraId="00F5A7DA" w14:textId="77777777" w:rsidR="00677C63" w:rsidRPr="00D2134C" w:rsidRDefault="00677C63" w:rsidP="00BB5988">
            <w:pPr>
              <w:pStyle w:val="TableParagraph"/>
              <w:keepNext/>
              <w:spacing w:line="276" w:lineRule="auto"/>
              <w:ind w:right="144"/>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43"/>
                <w:sz w:val="20"/>
                <w:szCs w:val="20"/>
                <w:lang w:val="en-AU"/>
              </w:rPr>
              <w:t xml:space="preserve"> </w:t>
            </w:r>
            <w:r w:rsidRPr="00D2134C">
              <w:rPr>
                <w:rFonts w:ascii="Arial" w:hAnsi="Arial" w:cs="Arial"/>
                <w:i/>
                <w:sz w:val="20"/>
                <w:szCs w:val="20"/>
                <w:lang w:val="en-AU"/>
              </w:rPr>
              <w:t>male</w:t>
            </w:r>
          </w:p>
        </w:tc>
        <w:tc>
          <w:tcPr>
            <w:tcW w:w="693" w:type="dxa"/>
            <w:vAlign w:val="center"/>
            <w:hideMark/>
          </w:tcPr>
          <w:p w14:paraId="6B3502A0"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z w:val="20"/>
                <w:szCs w:val="20"/>
                <w:lang w:val="en-AU"/>
              </w:rPr>
              <w:br/>
              <w:t>time</w:t>
            </w:r>
          </w:p>
        </w:tc>
        <w:tc>
          <w:tcPr>
            <w:tcW w:w="668" w:type="dxa"/>
            <w:vAlign w:val="center"/>
            <w:hideMark/>
          </w:tcPr>
          <w:p w14:paraId="6BB2A950"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928" w:type="dxa"/>
            <w:vAlign w:val="center"/>
            <w:hideMark/>
          </w:tcPr>
          <w:p w14:paraId="40164ABD" w14:textId="77777777" w:rsidR="00677C63" w:rsidRPr="00D2134C" w:rsidRDefault="00677C63" w:rsidP="00BB5988">
            <w:pPr>
              <w:pStyle w:val="TableParagraph"/>
              <w:keepNext/>
              <w:spacing w:line="276" w:lineRule="auto"/>
              <w:ind w:right="58" w:hanging="13"/>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female</w:t>
            </w:r>
          </w:p>
        </w:tc>
        <w:tc>
          <w:tcPr>
            <w:tcW w:w="631" w:type="dxa"/>
            <w:vAlign w:val="center"/>
            <w:hideMark/>
          </w:tcPr>
          <w:p w14:paraId="323E050F" w14:textId="77777777" w:rsidR="00677C63" w:rsidRPr="00D2134C" w:rsidRDefault="00677C63" w:rsidP="00BB5988">
            <w:pPr>
              <w:pStyle w:val="TableParagraph"/>
              <w:keepNext/>
              <w:spacing w:before="125" w:line="256" w:lineRule="auto"/>
              <w:ind w:right="22"/>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09" w:type="dxa"/>
            <w:vAlign w:val="center"/>
            <w:hideMark/>
          </w:tcPr>
          <w:p w14:paraId="1054E678" w14:textId="77777777" w:rsidR="00677C63" w:rsidRPr="00D2134C" w:rsidRDefault="00677C63" w:rsidP="00BB5988">
            <w:pPr>
              <w:pStyle w:val="TableParagraph"/>
              <w:keepNext/>
              <w:spacing w:before="125" w:line="256" w:lineRule="auto"/>
              <w:ind w:right="23"/>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1437" w:type="dxa"/>
            <w:vAlign w:val="center"/>
            <w:hideMark/>
          </w:tcPr>
          <w:p w14:paraId="241A5127" w14:textId="77777777" w:rsidR="00677C63" w:rsidRPr="00D2134C" w:rsidRDefault="00677C63" w:rsidP="00BB5988">
            <w:pPr>
              <w:pStyle w:val="TableParagraph"/>
              <w:keepNext/>
              <w:spacing w:line="276" w:lineRule="auto"/>
              <w:ind w:right="57" w:hanging="11"/>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20A80A8E" w14:textId="77777777" w:rsidR="00677C63" w:rsidRPr="00D2134C" w:rsidRDefault="00677C63" w:rsidP="00BB5988">
            <w:pPr>
              <w:pStyle w:val="TableParagraph"/>
              <w:keepNext/>
              <w:spacing w:line="256" w:lineRule="auto"/>
              <w:rPr>
                <w:rFonts w:ascii="Arial" w:hAnsi="Arial" w:cs="Arial"/>
                <w:sz w:val="20"/>
                <w:szCs w:val="20"/>
                <w:lang w:val="en-AU"/>
              </w:rPr>
            </w:pPr>
          </w:p>
        </w:tc>
      </w:tr>
      <w:tr w:rsidR="002E018B" w:rsidRPr="00D2134C" w14:paraId="689EEC80" w14:textId="77777777" w:rsidTr="002E018B">
        <w:trPr>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2C20734B" w14:textId="77777777" w:rsidR="00677C63" w:rsidRPr="00D2134C" w:rsidRDefault="00677C63" w:rsidP="00BB5988">
            <w:pPr>
              <w:pStyle w:val="TableParagraph"/>
              <w:keepNext/>
              <w:spacing w:line="256" w:lineRule="auto"/>
              <w:ind w:right="39"/>
              <w:rPr>
                <w:rFonts w:ascii="Arial" w:hAnsi="Arial" w:cs="Arial"/>
                <w:b w:val="0"/>
                <w:sz w:val="20"/>
                <w:szCs w:val="20"/>
                <w:lang w:val="en-AU"/>
              </w:rPr>
            </w:pPr>
            <w:r w:rsidRPr="00D2134C">
              <w:rPr>
                <w:rFonts w:ascii="Arial" w:hAnsi="Arial" w:cs="Arial"/>
                <w:color w:val="212121"/>
                <w:sz w:val="20"/>
                <w:szCs w:val="20"/>
                <w:lang w:val="en-AU"/>
              </w:rPr>
              <w:t>NSW</w:t>
            </w:r>
          </w:p>
        </w:tc>
        <w:tc>
          <w:tcPr>
            <w:tcW w:w="692" w:type="dxa"/>
            <w:vAlign w:val="center"/>
          </w:tcPr>
          <w:p w14:paraId="73F3DF48" w14:textId="77777777" w:rsidR="00677C63" w:rsidRPr="00D2134C" w:rsidRDefault="00677C63" w:rsidP="00BB5988">
            <w:pPr>
              <w:pStyle w:val="TableParagraph"/>
              <w:keepNext/>
              <w:spacing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22</w:t>
            </w:r>
          </w:p>
        </w:tc>
        <w:tc>
          <w:tcPr>
            <w:tcW w:w="830" w:type="dxa"/>
            <w:vAlign w:val="center"/>
          </w:tcPr>
          <w:p w14:paraId="6DC9C198" w14:textId="77777777" w:rsidR="00677C63" w:rsidRPr="00D2134C" w:rsidRDefault="00677C63" w:rsidP="00BB5988">
            <w:pPr>
              <w:pStyle w:val="TableParagraph"/>
              <w:keepNext/>
              <w:spacing w:line="256" w:lineRule="auto"/>
              <w:ind w:right="3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693" w:type="dxa"/>
            <w:vAlign w:val="center"/>
          </w:tcPr>
          <w:p w14:paraId="7014C88C"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23</w:t>
            </w:r>
          </w:p>
        </w:tc>
        <w:tc>
          <w:tcPr>
            <w:tcW w:w="693" w:type="dxa"/>
            <w:vAlign w:val="center"/>
          </w:tcPr>
          <w:p w14:paraId="685E8517"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76</w:t>
            </w:r>
          </w:p>
        </w:tc>
        <w:tc>
          <w:tcPr>
            <w:tcW w:w="668" w:type="dxa"/>
            <w:vAlign w:val="center"/>
          </w:tcPr>
          <w:p w14:paraId="0D24A24B"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w:t>
            </w:r>
          </w:p>
        </w:tc>
        <w:tc>
          <w:tcPr>
            <w:tcW w:w="928" w:type="dxa"/>
            <w:vAlign w:val="center"/>
          </w:tcPr>
          <w:p w14:paraId="5172D00A"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83</w:t>
            </w:r>
          </w:p>
        </w:tc>
        <w:tc>
          <w:tcPr>
            <w:tcW w:w="631" w:type="dxa"/>
            <w:vAlign w:val="center"/>
          </w:tcPr>
          <w:p w14:paraId="3CA403B2" w14:textId="53E75047" w:rsidR="00677C63" w:rsidRPr="00D2134C" w:rsidRDefault="009C121F"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7B2EAB5D" w14:textId="64692522" w:rsidR="00677C63" w:rsidRPr="00D2134C" w:rsidRDefault="009C121F"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4870F79C" w14:textId="6F01BE45" w:rsidR="00677C63" w:rsidRPr="00D2134C" w:rsidRDefault="009C121F"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30D7FA02" w14:textId="77777777" w:rsidR="00677C63" w:rsidRPr="00D2134C" w:rsidRDefault="00677C63" w:rsidP="00BB5988">
            <w:pPr>
              <w:pStyle w:val="TableParagraph"/>
              <w:keepNext/>
              <w:spacing w:line="256" w:lineRule="auto"/>
              <w:ind w:right="29"/>
              <w:rPr>
                <w:rFonts w:ascii="Arial" w:hAnsi="Arial" w:cs="Arial"/>
                <w:sz w:val="20"/>
                <w:szCs w:val="20"/>
                <w:lang w:val="en-AU"/>
              </w:rPr>
            </w:pPr>
            <w:r w:rsidRPr="00D2134C">
              <w:rPr>
                <w:rFonts w:ascii="Arial" w:hAnsi="Arial" w:cs="Arial"/>
                <w:color w:val="000000"/>
                <w:sz w:val="20"/>
                <w:szCs w:val="20"/>
                <w:lang w:val="en-AU"/>
              </w:rPr>
              <w:t>106</w:t>
            </w:r>
          </w:p>
        </w:tc>
      </w:tr>
      <w:tr w:rsidR="00DE0777" w:rsidRPr="00D2134C" w14:paraId="35425F4B"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33E3D92C"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Qld</w:t>
            </w:r>
          </w:p>
        </w:tc>
        <w:tc>
          <w:tcPr>
            <w:tcW w:w="692" w:type="dxa"/>
            <w:vAlign w:val="center"/>
          </w:tcPr>
          <w:p w14:paraId="470F2B53" w14:textId="77777777" w:rsidR="00677C63" w:rsidRPr="00D2134C" w:rsidRDefault="00677C63" w:rsidP="00BB5988">
            <w:pPr>
              <w:pStyle w:val="TableParagraph"/>
              <w:keepNext/>
              <w:spacing w:before="1" w:line="256" w:lineRule="auto"/>
              <w:ind w:right="3"/>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38</w:t>
            </w:r>
          </w:p>
        </w:tc>
        <w:tc>
          <w:tcPr>
            <w:tcW w:w="830" w:type="dxa"/>
            <w:vAlign w:val="center"/>
          </w:tcPr>
          <w:p w14:paraId="2BFDEDCA" w14:textId="77777777" w:rsidR="00677C63" w:rsidRPr="00D2134C" w:rsidRDefault="00677C63" w:rsidP="00BB5988">
            <w:pPr>
              <w:pStyle w:val="TableParagraph"/>
              <w:keepNext/>
              <w:spacing w:before="1" w:line="256" w:lineRule="auto"/>
              <w:ind w:right="3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693" w:type="dxa"/>
            <w:vAlign w:val="center"/>
          </w:tcPr>
          <w:p w14:paraId="479821AB"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39</w:t>
            </w:r>
          </w:p>
        </w:tc>
        <w:tc>
          <w:tcPr>
            <w:tcW w:w="693" w:type="dxa"/>
            <w:vAlign w:val="center"/>
          </w:tcPr>
          <w:p w14:paraId="32507B4F"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102</w:t>
            </w:r>
          </w:p>
        </w:tc>
        <w:tc>
          <w:tcPr>
            <w:tcW w:w="668" w:type="dxa"/>
            <w:vAlign w:val="center"/>
          </w:tcPr>
          <w:p w14:paraId="5497458A"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10</w:t>
            </w:r>
          </w:p>
        </w:tc>
        <w:tc>
          <w:tcPr>
            <w:tcW w:w="928" w:type="dxa"/>
            <w:vAlign w:val="center"/>
          </w:tcPr>
          <w:p w14:paraId="4A538FAE"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112</w:t>
            </w:r>
          </w:p>
        </w:tc>
        <w:tc>
          <w:tcPr>
            <w:tcW w:w="631" w:type="dxa"/>
            <w:vAlign w:val="center"/>
          </w:tcPr>
          <w:p w14:paraId="02BBEA2B" w14:textId="06883B5E" w:rsidR="00677C63" w:rsidRPr="00D2134C" w:rsidRDefault="009C121F" w:rsidP="00BB5988">
            <w:pPr>
              <w:pStyle w:val="TableParagraph"/>
              <w:keepNext/>
              <w:spacing w:before="1" w:line="256" w:lineRule="auto"/>
              <w:ind w:right="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7E1332EF" w14:textId="6D895A48" w:rsidR="00677C63" w:rsidRPr="00D2134C" w:rsidRDefault="009C121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4195E753" w14:textId="40D6B8B5" w:rsidR="00677C63" w:rsidRPr="00D2134C" w:rsidRDefault="009C121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2ED8264F" w14:textId="77777777" w:rsidR="00677C63" w:rsidRPr="00D2134C" w:rsidRDefault="00677C63" w:rsidP="00BB5988">
            <w:pPr>
              <w:pStyle w:val="TableParagraph"/>
              <w:keepNext/>
              <w:spacing w:before="1" w:line="256" w:lineRule="auto"/>
              <w:ind w:right="29"/>
              <w:rPr>
                <w:rFonts w:ascii="Arial" w:hAnsi="Arial" w:cs="Arial"/>
                <w:sz w:val="20"/>
                <w:szCs w:val="20"/>
                <w:lang w:val="en-AU"/>
              </w:rPr>
            </w:pPr>
            <w:r w:rsidRPr="00D2134C">
              <w:rPr>
                <w:rFonts w:ascii="Arial" w:hAnsi="Arial" w:cs="Arial"/>
                <w:color w:val="000000"/>
                <w:sz w:val="20"/>
                <w:szCs w:val="20"/>
                <w:lang w:val="en-AU"/>
              </w:rPr>
              <w:t>151</w:t>
            </w:r>
          </w:p>
        </w:tc>
      </w:tr>
      <w:tr w:rsidR="002E018B" w:rsidRPr="00D2134C" w14:paraId="1EFBD783" w14:textId="77777777" w:rsidTr="002E018B">
        <w:trPr>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4E4E9BBC"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SA</w:t>
            </w:r>
          </w:p>
        </w:tc>
        <w:tc>
          <w:tcPr>
            <w:tcW w:w="692" w:type="dxa"/>
            <w:vAlign w:val="center"/>
          </w:tcPr>
          <w:p w14:paraId="38B94CD2"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12</w:t>
            </w:r>
          </w:p>
        </w:tc>
        <w:tc>
          <w:tcPr>
            <w:tcW w:w="830" w:type="dxa"/>
            <w:vAlign w:val="center"/>
          </w:tcPr>
          <w:p w14:paraId="37C4DFBE" w14:textId="3EA3E685" w:rsidR="00677C63" w:rsidRPr="00D2134C" w:rsidRDefault="008A601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3" w:type="dxa"/>
            <w:vAlign w:val="center"/>
          </w:tcPr>
          <w:p w14:paraId="16C8527E"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12</w:t>
            </w:r>
          </w:p>
        </w:tc>
        <w:tc>
          <w:tcPr>
            <w:tcW w:w="693" w:type="dxa"/>
            <w:vAlign w:val="center"/>
          </w:tcPr>
          <w:p w14:paraId="1E1176C7"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21</w:t>
            </w:r>
          </w:p>
        </w:tc>
        <w:tc>
          <w:tcPr>
            <w:tcW w:w="668" w:type="dxa"/>
            <w:vAlign w:val="center"/>
          </w:tcPr>
          <w:p w14:paraId="1F068351"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928" w:type="dxa"/>
            <w:vAlign w:val="center"/>
          </w:tcPr>
          <w:p w14:paraId="57E877CA"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26</w:t>
            </w:r>
          </w:p>
        </w:tc>
        <w:tc>
          <w:tcPr>
            <w:tcW w:w="631" w:type="dxa"/>
            <w:vAlign w:val="center"/>
          </w:tcPr>
          <w:p w14:paraId="0C487786" w14:textId="61BCD2AB" w:rsidR="00677C63" w:rsidRPr="00D2134C" w:rsidRDefault="009C121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531DFBD0" w14:textId="1BDEE242" w:rsidR="00677C63" w:rsidRPr="00D2134C" w:rsidRDefault="009C121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405233E1" w14:textId="73EB32C2" w:rsidR="00677C63" w:rsidRPr="00D2134C" w:rsidRDefault="009C121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2C9D05FF"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38</w:t>
            </w:r>
          </w:p>
        </w:tc>
      </w:tr>
      <w:tr w:rsidR="00DE0777" w:rsidRPr="00D2134C" w14:paraId="14CD9A6C"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3E878831" w14:textId="77777777" w:rsidR="00677C63" w:rsidRPr="00D2134C" w:rsidRDefault="00677C63" w:rsidP="00BB5988">
            <w:pPr>
              <w:pStyle w:val="TableParagraph"/>
              <w:keepNext/>
              <w:spacing w:line="256" w:lineRule="auto"/>
              <w:ind w:right="40"/>
              <w:rPr>
                <w:rFonts w:ascii="Arial" w:hAnsi="Arial" w:cs="Arial"/>
                <w:b w:val="0"/>
                <w:sz w:val="20"/>
                <w:szCs w:val="20"/>
                <w:lang w:val="en-AU"/>
              </w:rPr>
            </w:pPr>
            <w:r w:rsidRPr="00D2134C">
              <w:rPr>
                <w:rFonts w:ascii="Arial" w:hAnsi="Arial" w:cs="Arial"/>
                <w:color w:val="212121"/>
                <w:sz w:val="20"/>
                <w:szCs w:val="20"/>
                <w:lang w:val="en-AU"/>
              </w:rPr>
              <w:t>Tas</w:t>
            </w:r>
          </w:p>
        </w:tc>
        <w:tc>
          <w:tcPr>
            <w:tcW w:w="692" w:type="dxa"/>
            <w:vAlign w:val="center"/>
          </w:tcPr>
          <w:p w14:paraId="7080A43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830" w:type="dxa"/>
            <w:vAlign w:val="center"/>
          </w:tcPr>
          <w:p w14:paraId="12284805" w14:textId="28D66F58" w:rsidR="00677C63" w:rsidRPr="00D2134C" w:rsidRDefault="008A6013" w:rsidP="00BB5988">
            <w:pPr>
              <w:pStyle w:val="TableParagraph"/>
              <w:keepNext/>
              <w:spacing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3" w:type="dxa"/>
            <w:vAlign w:val="center"/>
          </w:tcPr>
          <w:p w14:paraId="2E5F954D"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693" w:type="dxa"/>
            <w:vAlign w:val="center"/>
          </w:tcPr>
          <w:p w14:paraId="23EF684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668" w:type="dxa"/>
            <w:vAlign w:val="center"/>
          </w:tcPr>
          <w:p w14:paraId="327FC282"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928" w:type="dxa"/>
            <w:vAlign w:val="center"/>
          </w:tcPr>
          <w:p w14:paraId="6A55CBD7"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631" w:type="dxa"/>
            <w:vAlign w:val="center"/>
          </w:tcPr>
          <w:p w14:paraId="7879F668" w14:textId="0826E272" w:rsidR="00677C63" w:rsidRPr="00D2134C" w:rsidRDefault="009C121F"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79EEE4EB" w14:textId="6F2C1096" w:rsidR="00677C63" w:rsidRPr="00D2134C" w:rsidRDefault="009C121F"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5CD1165D" w14:textId="56570AE4" w:rsidR="00677C63" w:rsidRPr="00D2134C" w:rsidRDefault="009C121F"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5C53C586"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7</w:t>
            </w:r>
          </w:p>
        </w:tc>
      </w:tr>
      <w:tr w:rsidR="002E018B" w:rsidRPr="00D2134C" w14:paraId="77E74717" w14:textId="77777777" w:rsidTr="002E018B">
        <w:trPr>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2EA9D490"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Vic</w:t>
            </w:r>
          </w:p>
        </w:tc>
        <w:tc>
          <w:tcPr>
            <w:tcW w:w="692" w:type="dxa"/>
            <w:vAlign w:val="center"/>
          </w:tcPr>
          <w:p w14:paraId="444C5C0C"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46</w:t>
            </w:r>
          </w:p>
        </w:tc>
        <w:tc>
          <w:tcPr>
            <w:tcW w:w="830" w:type="dxa"/>
            <w:vAlign w:val="center"/>
          </w:tcPr>
          <w:p w14:paraId="407419FE" w14:textId="77777777" w:rsidR="00677C63" w:rsidRPr="00D2134C" w:rsidRDefault="00677C6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693" w:type="dxa"/>
            <w:vAlign w:val="center"/>
          </w:tcPr>
          <w:p w14:paraId="4115F2C0"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48</w:t>
            </w:r>
          </w:p>
        </w:tc>
        <w:tc>
          <w:tcPr>
            <w:tcW w:w="693" w:type="dxa"/>
            <w:vAlign w:val="center"/>
          </w:tcPr>
          <w:p w14:paraId="020E828D"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108</w:t>
            </w:r>
          </w:p>
        </w:tc>
        <w:tc>
          <w:tcPr>
            <w:tcW w:w="668" w:type="dxa"/>
            <w:vAlign w:val="center"/>
          </w:tcPr>
          <w:p w14:paraId="01B303B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17</w:t>
            </w:r>
          </w:p>
        </w:tc>
        <w:tc>
          <w:tcPr>
            <w:tcW w:w="928" w:type="dxa"/>
            <w:vAlign w:val="center"/>
          </w:tcPr>
          <w:p w14:paraId="4BA12DB6"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125</w:t>
            </w:r>
          </w:p>
        </w:tc>
        <w:tc>
          <w:tcPr>
            <w:tcW w:w="631" w:type="dxa"/>
            <w:vAlign w:val="center"/>
          </w:tcPr>
          <w:p w14:paraId="0163877E" w14:textId="4B651594" w:rsidR="00677C63" w:rsidRPr="00D2134C" w:rsidRDefault="00DA0A08"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62519994" w14:textId="794BA0AC" w:rsidR="00677C63" w:rsidRPr="00D2134C" w:rsidRDefault="00DA0A08"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6F7DB46E" w14:textId="3F90F3A7" w:rsidR="00677C63" w:rsidRPr="00D2134C" w:rsidRDefault="00DA0A08"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447FDA52"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173</w:t>
            </w:r>
          </w:p>
        </w:tc>
      </w:tr>
      <w:tr w:rsidR="00DE0777" w:rsidRPr="00D2134C" w14:paraId="49931234"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7E9F2C3F"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WA</w:t>
            </w:r>
          </w:p>
        </w:tc>
        <w:tc>
          <w:tcPr>
            <w:tcW w:w="692" w:type="dxa"/>
            <w:vAlign w:val="center"/>
          </w:tcPr>
          <w:p w14:paraId="3B71667F"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w:t>
            </w:r>
          </w:p>
        </w:tc>
        <w:tc>
          <w:tcPr>
            <w:tcW w:w="830" w:type="dxa"/>
            <w:vAlign w:val="center"/>
          </w:tcPr>
          <w:p w14:paraId="0875E87D" w14:textId="77777777" w:rsidR="00677C63" w:rsidRPr="00D2134C" w:rsidRDefault="00677C6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693" w:type="dxa"/>
            <w:vAlign w:val="center"/>
          </w:tcPr>
          <w:p w14:paraId="2E64A86D"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10</w:t>
            </w:r>
          </w:p>
        </w:tc>
        <w:tc>
          <w:tcPr>
            <w:tcW w:w="693" w:type="dxa"/>
            <w:vAlign w:val="center"/>
          </w:tcPr>
          <w:p w14:paraId="669E2D18"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29</w:t>
            </w:r>
          </w:p>
        </w:tc>
        <w:tc>
          <w:tcPr>
            <w:tcW w:w="668" w:type="dxa"/>
            <w:vAlign w:val="center"/>
          </w:tcPr>
          <w:p w14:paraId="5D34E73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928" w:type="dxa"/>
            <w:vAlign w:val="center"/>
          </w:tcPr>
          <w:p w14:paraId="5196AEE6"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32</w:t>
            </w:r>
          </w:p>
        </w:tc>
        <w:tc>
          <w:tcPr>
            <w:tcW w:w="631" w:type="dxa"/>
            <w:vAlign w:val="center"/>
          </w:tcPr>
          <w:p w14:paraId="1CC094CF" w14:textId="2F83D602" w:rsidR="00677C63" w:rsidRPr="00D2134C" w:rsidRDefault="00615FFA"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23198837" w14:textId="686CCA49"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258B769B" w14:textId="21EB95E1"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7251DCDE"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42</w:t>
            </w:r>
          </w:p>
        </w:tc>
      </w:tr>
      <w:tr w:rsidR="002E018B" w:rsidRPr="00D2134C" w14:paraId="4FBA30D0" w14:textId="77777777" w:rsidTr="002E018B">
        <w:trPr>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2A2E41EA" w14:textId="77777777" w:rsidR="00677C63" w:rsidRPr="00D2134C" w:rsidRDefault="00677C63" w:rsidP="00BB5988">
            <w:pPr>
              <w:pStyle w:val="TableParagraph"/>
              <w:keepNext/>
              <w:spacing w:line="256" w:lineRule="auto"/>
              <w:ind w:right="41"/>
              <w:rPr>
                <w:rFonts w:ascii="Arial" w:hAnsi="Arial" w:cs="Arial"/>
                <w:b w:val="0"/>
                <w:sz w:val="20"/>
                <w:szCs w:val="20"/>
                <w:lang w:val="en-AU"/>
              </w:rPr>
            </w:pPr>
            <w:r w:rsidRPr="00D2134C">
              <w:rPr>
                <w:rFonts w:ascii="Arial" w:hAnsi="Arial" w:cs="Arial"/>
                <w:color w:val="212121"/>
                <w:sz w:val="20"/>
                <w:szCs w:val="20"/>
                <w:lang w:val="en-AU"/>
              </w:rPr>
              <w:t>ACT</w:t>
            </w:r>
          </w:p>
        </w:tc>
        <w:tc>
          <w:tcPr>
            <w:tcW w:w="692" w:type="dxa"/>
            <w:vAlign w:val="center"/>
          </w:tcPr>
          <w:p w14:paraId="4BA36C7F"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830" w:type="dxa"/>
            <w:vAlign w:val="center"/>
          </w:tcPr>
          <w:p w14:paraId="578630B5" w14:textId="2C3B89A9" w:rsidR="00677C63" w:rsidRPr="00D2134C" w:rsidRDefault="008A6013" w:rsidP="00BB5988">
            <w:pPr>
              <w:pStyle w:val="TableParagraph"/>
              <w:keepNext/>
              <w:spacing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3" w:type="dxa"/>
            <w:vAlign w:val="center"/>
          </w:tcPr>
          <w:p w14:paraId="52077129"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693" w:type="dxa"/>
            <w:vAlign w:val="center"/>
          </w:tcPr>
          <w:p w14:paraId="028D10D5"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w:t>
            </w:r>
          </w:p>
        </w:tc>
        <w:tc>
          <w:tcPr>
            <w:tcW w:w="668" w:type="dxa"/>
            <w:vAlign w:val="center"/>
          </w:tcPr>
          <w:p w14:paraId="78CB742C"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928" w:type="dxa"/>
            <w:vAlign w:val="center"/>
          </w:tcPr>
          <w:p w14:paraId="3034B00D"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16</w:t>
            </w:r>
          </w:p>
        </w:tc>
        <w:tc>
          <w:tcPr>
            <w:tcW w:w="631" w:type="dxa"/>
            <w:vAlign w:val="center"/>
          </w:tcPr>
          <w:p w14:paraId="7052BB0F" w14:textId="103A2C8C"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30DF3492" w14:textId="3A2EFBA0"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7DF0A445" w14:textId="7DBEEB96"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13DAE61A"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19</w:t>
            </w:r>
          </w:p>
        </w:tc>
      </w:tr>
      <w:tr w:rsidR="00DE0777" w:rsidRPr="00D2134C" w14:paraId="3EC67FE5"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34EF6C56"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NT</w:t>
            </w:r>
          </w:p>
        </w:tc>
        <w:tc>
          <w:tcPr>
            <w:tcW w:w="692" w:type="dxa"/>
            <w:vAlign w:val="center"/>
          </w:tcPr>
          <w:p w14:paraId="601BF1BD"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w:t>
            </w:r>
          </w:p>
        </w:tc>
        <w:tc>
          <w:tcPr>
            <w:tcW w:w="830" w:type="dxa"/>
            <w:vAlign w:val="center"/>
          </w:tcPr>
          <w:p w14:paraId="2B15B8FA" w14:textId="445CDC87" w:rsidR="00677C63" w:rsidRPr="00D2134C" w:rsidRDefault="008A601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3" w:type="dxa"/>
            <w:vAlign w:val="center"/>
          </w:tcPr>
          <w:p w14:paraId="7B661613"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w:t>
            </w:r>
          </w:p>
        </w:tc>
        <w:tc>
          <w:tcPr>
            <w:tcW w:w="693" w:type="dxa"/>
            <w:vAlign w:val="center"/>
          </w:tcPr>
          <w:p w14:paraId="1669CD2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w:t>
            </w:r>
          </w:p>
        </w:tc>
        <w:tc>
          <w:tcPr>
            <w:tcW w:w="668" w:type="dxa"/>
            <w:vAlign w:val="center"/>
          </w:tcPr>
          <w:p w14:paraId="73EFA9D4" w14:textId="173B21D6"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928" w:type="dxa"/>
            <w:vAlign w:val="center"/>
          </w:tcPr>
          <w:p w14:paraId="4C531C5B"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w:t>
            </w:r>
          </w:p>
        </w:tc>
        <w:tc>
          <w:tcPr>
            <w:tcW w:w="631" w:type="dxa"/>
            <w:vAlign w:val="center"/>
          </w:tcPr>
          <w:p w14:paraId="2B73B018" w14:textId="5621BD46"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103744D1" w14:textId="63BF180B"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3357ACF7" w14:textId="2369388C"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45934B8F"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15</w:t>
            </w:r>
          </w:p>
        </w:tc>
      </w:tr>
      <w:tr w:rsidR="002E018B" w:rsidRPr="00D2134C" w14:paraId="48A729A9" w14:textId="77777777" w:rsidTr="002E018B">
        <w:trPr>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tcBorders>
            <w:vAlign w:val="center"/>
          </w:tcPr>
          <w:p w14:paraId="602550F3" w14:textId="77777777" w:rsidR="00677C63" w:rsidRPr="00D2134C" w:rsidRDefault="00677C63" w:rsidP="00BB5988">
            <w:pPr>
              <w:pStyle w:val="TableParagraph"/>
              <w:keepNext/>
              <w:spacing w:before="1" w:line="276" w:lineRule="auto"/>
              <w:ind w:right="24"/>
              <w:rPr>
                <w:rFonts w:ascii="Arial" w:hAnsi="Arial" w:cs="Arial"/>
                <w:b w:val="0"/>
                <w:sz w:val="20"/>
                <w:szCs w:val="20"/>
                <w:lang w:val="en-AU"/>
              </w:rPr>
            </w:pPr>
            <w:r w:rsidRPr="00D2134C">
              <w:rPr>
                <w:rFonts w:ascii="Arial" w:hAnsi="Arial" w:cs="Arial"/>
                <w:color w:val="212121"/>
                <w:sz w:val="20"/>
                <w:szCs w:val="20"/>
                <w:lang w:val="en-AU"/>
              </w:rPr>
              <w:t>External</w:t>
            </w:r>
            <w:r w:rsidRPr="00D2134C">
              <w:rPr>
                <w:rFonts w:ascii="Arial" w:hAnsi="Arial" w:cs="Arial"/>
                <w:color w:val="212121"/>
                <w:spacing w:val="-43"/>
                <w:sz w:val="20"/>
                <w:szCs w:val="20"/>
                <w:lang w:val="en-AU"/>
              </w:rPr>
              <w:t xml:space="preserve"> </w:t>
            </w:r>
            <w:r w:rsidRPr="00D2134C">
              <w:rPr>
                <w:rFonts w:ascii="Arial" w:hAnsi="Arial" w:cs="Arial"/>
                <w:color w:val="212121"/>
                <w:spacing w:val="-1"/>
                <w:sz w:val="20"/>
                <w:szCs w:val="20"/>
                <w:lang w:val="en-AU"/>
              </w:rPr>
              <w:t>territories</w:t>
            </w:r>
          </w:p>
        </w:tc>
        <w:tc>
          <w:tcPr>
            <w:tcW w:w="692" w:type="dxa"/>
            <w:vAlign w:val="center"/>
          </w:tcPr>
          <w:p w14:paraId="129F758A" w14:textId="32931134" w:rsidR="00677C63" w:rsidRPr="00D2134C" w:rsidRDefault="008A6013" w:rsidP="00BB5988">
            <w:pPr>
              <w:pStyle w:val="TableParagraph"/>
              <w:keepNext/>
              <w:spacing w:before="1"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0" w:type="dxa"/>
            <w:vAlign w:val="center"/>
          </w:tcPr>
          <w:p w14:paraId="0A6CDAE5" w14:textId="2BCA0ACA" w:rsidR="00677C63" w:rsidRPr="00D2134C" w:rsidRDefault="008A6013" w:rsidP="00BB5988">
            <w:pPr>
              <w:pStyle w:val="TableParagraph"/>
              <w:keepNext/>
              <w:spacing w:before="1" w:line="256" w:lineRule="auto"/>
              <w:ind w:right="117"/>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3" w:type="dxa"/>
            <w:vAlign w:val="center"/>
          </w:tcPr>
          <w:p w14:paraId="0D1639AB" w14:textId="38652A71"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3" w:type="dxa"/>
            <w:vAlign w:val="center"/>
          </w:tcPr>
          <w:p w14:paraId="28AF0A9F" w14:textId="2EBF8D36"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68" w:type="dxa"/>
            <w:vAlign w:val="center"/>
          </w:tcPr>
          <w:p w14:paraId="5E3743C3" w14:textId="219B3A95"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928" w:type="dxa"/>
            <w:vAlign w:val="center"/>
          </w:tcPr>
          <w:p w14:paraId="092F6D0E" w14:textId="74971F7D"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31" w:type="dxa"/>
            <w:vAlign w:val="center"/>
          </w:tcPr>
          <w:p w14:paraId="7B77640F" w14:textId="4C8A43B8"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2E469993" w14:textId="77B73025"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vAlign w:val="center"/>
          </w:tcPr>
          <w:p w14:paraId="657E5545" w14:textId="6A62FAB5"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right w:val="single" w:sz="8" w:space="0" w:color="C9C9C9" w:themeColor="accent3" w:themeTint="99"/>
            </w:tcBorders>
            <w:vAlign w:val="center"/>
          </w:tcPr>
          <w:p w14:paraId="3A9A3319" w14:textId="7CAA131A" w:rsidR="00677C63" w:rsidRPr="00D2134C" w:rsidRDefault="008A6013" w:rsidP="00BB5988">
            <w:pPr>
              <w:pStyle w:val="TableParagraph"/>
              <w:keepNext/>
              <w:spacing w:before="1" w:line="256" w:lineRule="auto"/>
              <w:ind w:right="29"/>
              <w:rPr>
                <w:rFonts w:ascii="Arial" w:hAnsi="Arial" w:cs="Arial"/>
                <w:sz w:val="20"/>
                <w:szCs w:val="20"/>
                <w:lang w:val="en-AU"/>
              </w:rPr>
            </w:pPr>
            <w:r w:rsidRPr="00D2134C">
              <w:rPr>
                <w:rFonts w:ascii="Cambria Math" w:hAnsi="Cambria Math" w:cs="Cambria Math"/>
                <w:sz w:val="20"/>
                <w:szCs w:val="20"/>
                <w:lang w:val="en-AU"/>
              </w:rPr>
              <w:t>‒</w:t>
            </w:r>
          </w:p>
        </w:tc>
      </w:tr>
      <w:tr w:rsidR="00DE0777" w:rsidRPr="00D2134C" w14:paraId="636A67EE" w14:textId="77777777" w:rsidTr="002E018B">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44" w:type="dxa"/>
            <w:tcBorders>
              <w:left w:val="single" w:sz="8" w:space="0" w:color="C9C9C9" w:themeColor="accent3" w:themeTint="99"/>
              <w:bottom w:val="single" w:sz="8" w:space="0" w:color="C9C9C9" w:themeColor="accent3" w:themeTint="99"/>
            </w:tcBorders>
            <w:vAlign w:val="center"/>
          </w:tcPr>
          <w:p w14:paraId="4FF62198"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Overseas</w:t>
            </w:r>
          </w:p>
        </w:tc>
        <w:tc>
          <w:tcPr>
            <w:tcW w:w="692" w:type="dxa"/>
            <w:tcBorders>
              <w:bottom w:val="single" w:sz="8" w:space="0" w:color="C9C9C9" w:themeColor="accent3" w:themeTint="99"/>
            </w:tcBorders>
            <w:vAlign w:val="center"/>
          </w:tcPr>
          <w:p w14:paraId="30739EF5" w14:textId="6A787D29"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0" w:type="dxa"/>
            <w:tcBorders>
              <w:bottom w:val="single" w:sz="8" w:space="0" w:color="C9C9C9" w:themeColor="accent3" w:themeTint="99"/>
            </w:tcBorders>
            <w:vAlign w:val="center"/>
          </w:tcPr>
          <w:p w14:paraId="5EA5F591" w14:textId="1401ED13" w:rsidR="00677C63" w:rsidRPr="00D2134C" w:rsidRDefault="008A601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3" w:type="dxa"/>
            <w:tcBorders>
              <w:bottom w:val="single" w:sz="8" w:space="0" w:color="C9C9C9" w:themeColor="accent3" w:themeTint="99"/>
            </w:tcBorders>
            <w:vAlign w:val="center"/>
          </w:tcPr>
          <w:p w14:paraId="1FCAB057" w14:textId="008449EB"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3" w:type="dxa"/>
            <w:tcBorders>
              <w:bottom w:val="single" w:sz="8" w:space="0" w:color="C9C9C9" w:themeColor="accent3" w:themeTint="99"/>
            </w:tcBorders>
            <w:vAlign w:val="center"/>
          </w:tcPr>
          <w:p w14:paraId="3DDBCC54" w14:textId="325968E0"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68" w:type="dxa"/>
            <w:tcBorders>
              <w:bottom w:val="single" w:sz="8" w:space="0" w:color="C9C9C9" w:themeColor="accent3" w:themeTint="99"/>
            </w:tcBorders>
            <w:vAlign w:val="center"/>
          </w:tcPr>
          <w:p w14:paraId="343A7A5F" w14:textId="24F7E2D6"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928" w:type="dxa"/>
            <w:tcBorders>
              <w:bottom w:val="single" w:sz="8" w:space="0" w:color="C9C9C9" w:themeColor="accent3" w:themeTint="99"/>
            </w:tcBorders>
            <w:vAlign w:val="center"/>
          </w:tcPr>
          <w:p w14:paraId="42756FC5" w14:textId="3FDDF963"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31" w:type="dxa"/>
            <w:tcBorders>
              <w:bottom w:val="single" w:sz="8" w:space="0" w:color="C9C9C9" w:themeColor="accent3" w:themeTint="99"/>
            </w:tcBorders>
            <w:vAlign w:val="center"/>
          </w:tcPr>
          <w:p w14:paraId="2E4DA991" w14:textId="67140797"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tcBorders>
              <w:bottom w:val="single" w:sz="8" w:space="0" w:color="C9C9C9" w:themeColor="accent3" w:themeTint="99"/>
            </w:tcBorders>
            <w:vAlign w:val="center"/>
          </w:tcPr>
          <w:p w14:paraId="746EE0B6" w14:textId="13B1EE97"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37" w:type="dxa"/>
            <w:tcBorders>
              <w:bottom w:val="single" w:sz="8" w:space="0" w:color="C9C9C9" w:themeColor="accent3" w:themeTint="99"/>
            </w:tcBorders>
            <w:vAlign w:val="center"/>
          </w:tcPr>
          <w:p w14:paraId="5CAF996E" w14:textId="39687E36"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40" w:type="dxa"/>
            <w:tcBorders>
              <w:bottom w:val="single" w:sz="8" w:space="0" w:color="C9C9C9" w:themeColor="accent3" w:themeTint="99"/>
              <w:right w:val="single" w:sz="8" w:space="0" w:color="C9C9C9" w:themeColor="accent3" w:themeTint="99"/>
            </w:tcBorders>
            <w:vAlign w:val="center"/>
          </w:tcPr>
          <w:p w14:paraId="579DFFC7" w14:textId="0F9E26BE" w:rsidR="00677C63" w:rsidRPr="00D2134C" w:rsidRDefault="008A6013" w:rsidP="00BB5988">
            <w:pPr>
              <w:pStyle w:val="TableParagraph"/>
              <w:keepNext/>
              <w:spacing w:before="1" w:line="256" w:lineRule="auto"/>
              <w:rPr>
                <w:rFonts w:ascii="Arial" w:hAnsi="Arial" w:cs="Arial"/>
                <w:sz w:val="20"/>
                <w:szCs w:val="20"/>
                <w:lang w:val="en-AU"/>
              </w:rPr>
            </w:pPr>
            <w:r w:rsidRPr="00D2134C">
              <w:rPr>
                <w:rFonts w:ascii="Cambria Math" w:hAnsi="Cambria Math" w:cs="Cambria Math"/>
                <w:sz w:val="20"/>
                <w:szCs w:val="20"/>
                <w:lang w:val="en-AU"/>
              </w:rPr>
              <w:t>‒</w:t>
            </w:r>
          </w:p>
        </w:tc>
      </w:tr>
      <w:tr w:rsidR="00FB51F2" w:rsidRPr="00D2134C" w14:paraId="72D93B61" w14:textId="77777777" w:rsidTr="00EE2D88">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4221238" w14:textId="77777777" w:rsidR="00677C63" w:rsidRPr="00D2134C" w:rsidRDefault="00677C63" w:rsidP="00BB5988">
            <w:pPr>
              <w:pStyle w:val="TableParagraph"/>
              <w:keepNext/>
              <w:spacing w:line="256" w:lineRule="auto"/>
              <w:ind w:left="18" w:right="40"/>
              <w:rPr>
                <w:rFonts w:ascii="Arial" w:hAnsi="Arial" w:cs="Arial"/>
                <w:iCs/>
                <w:sz w:val="20"/>
                <w:szCs w:val="20"/>
                <w:lang w:val="en-AU"/>
              </w:rPr>
            </w:pPr>
            <w:r w:rsidRPr="00D2134C">
              <w:rPr>
                <w:rFonts w:ascii="Arial" w:hAnsi="Arial" w:cs="Arial"/>
                <w:iCs/>
                <w:sz w:val="20"/>
                <w:szCs w:val="20"/>
                <w:lang w:val="en-AU"/>
              </w:rPr>
              <w:t>Total</w:t>
            </w:r>
          </w:p>
        </w:tc>
        <w:tc>
          <w:tcPr>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2A21B261" w14:textId="77777777" w:rsidR="00677C63" w:rsidRPr="00D2134C" w:rsidRDefault="00677C63" w:rsidP="00BB5988">
            <w:pPr>
              <w:pStyle w:val="TableParagraph"/>
              <w:keepNext/>
              <w:spacing w:line="257" w:lineRule="auto"/>
              <w:ind w:right="3"/>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139</w:t>
            </w:r>
          </w:p>
        </w:tc>
        <w:tc>
          <w:tcPr>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69C50A61" w14:textId="77777777" w:rsidR="00677C63" w:rsidRPr="00D2134C" w:rsidRDefault="00677C63" w:rsidP="00BB5988">
            <w:pPr>
              <w:pStyle w:val="TableParagraph"/>
              <w:keepNext/>
              <w:spacing w:line="257" w:lineRule="auto"/>
              <w:ind w:right="117"/>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72C0E98" w14:textId="77777777" w:rsidR="00677C63" w:rsidRPr="00D2134C" w:rsidRDefault="00677C6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144</w:t>
            </w:r>
          </w:p>
        </w:tc>
        <w:tc>
          <w:tcPr>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038B184" w14:textId="77777777" w:rsidR="00677C63" w:rsidRPr="00D2134C" w:rsidRDefault="00677C6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360</w:t>
            </w:r>
          </w:p>
        </w:tc>
        <w:tc>
          <w:tcPr>
            <w:tcW w:w="66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19FED5B2" w14:textId="77777777" w:rsidR="00677C63" w:rsidRPr="00D2134C" w:rsidRDefault="00677C6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47</w:t>
            </w:r>
          </w:p>
        </w:tc>
        <w:tc>
          <w:tcPr>
            <w:tcW w:w="92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6058BEBE" w14:textId="77777777" w:rsidR="00677C63" w:rsidRPr="00D2134C" w:rsidRDefault="00677C6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407</w:t>
            </w:r>
          </w:p>
        </w:tc>
        <w:tc>
          <w:tcPr>
            <w:tcW w:w="63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79A6641" w14:textId="685BDDB7" w:rsidR="00677C63" w:rsidRPr="00D2134C" w:rsidRDefault="008A601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b w:val="0"/>
                <w:bCs w:val="0"/>
                <w:sz w:val="20"/>
                <w:szCs w:val="20"/>
                <w:lang w:val="en-AU"/>
              </w:rPr>
            </w:pPr>
            <w:r w:rsidRPr="00D2134C">
              <w:rPr>
                <w:rFonts w:ascii="Cambria Math" w:hAnsi="Cambria Math" w:cs="Cambria Math"/>
                <w:b w:val="0"/>
                <w:bCs w:val="0"/>
                <w:sz w:val="20"/>
                <w:szCs w:val="20"/>
                <w:lang w:val="en-AU"/>
              </w:rPr>
              <w:t>‒</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951B8DD" w14:textId="4EED8A65" w:rsidR="00677C63" w:rsidRPr="00D2134C" w:rsidRDefault="008A601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b w:val="0"/>
                <w:bCs w:val="0"/>
                <w:sz w:val="20"/>
                <w:szCs w:val="20"/>
                <w:lang w:val="en-AU"/>
              </w:rPr>
            </w:pPr>
            <w:r w:rsidRPr="00D2134C">
              <w:rPr>
                <w:rFonts w:ascii="Cambria Math" w:hAnsi="Cambria Math" w:cs="Cambria Math"/>
                <w:b w:val="0"/>
                <w:bCs w:val="0"/>
                <w:sz w:val="20"/>
                <w:szCs w:val="20"/>
                <w:lang w:val="en-AU"/>
              </w:rPr>
              <w:t>‒</w:t>
            </w:r>
          </w:p>
        </w:tc>
        <w:tc>
          <w:tcPr>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1F2DA352" w14:textId="0DE9BA7F" w:rsidR="00677C63" w:rsidRPr="00D2134C" w:rsidRDefault="008A6013" w:rsidP="00BB5988">
            <w:pPr>
              <w:pStyle w:val="TableParagraph"/>
              <w:keepNext/>
              <w:spacing w:line="257" w:lineRule="auto"/>
              <w:cnfStyle w:val="010000000000" w:firstRow="0" w:lastRow="1" w:firstColumn="0" w:lastColumn="0" w:oddVBand="0" w:evenVBand="0" w:oddHBand="0" w:evenHBand="0" w:firstRowFirstColumn="0" w:firstRowLastColumn="0" w:lastRowFirstColumn="0" w:lastRowLastColumn="0"/>
              <w:rPr>
                <w:rFonts w:ascii="Arial" w:hAnsi="Arial" w:cs="Arial"/>
                <w:b w:val="0"/>
                <w:bCs w:val="0"/>
                <w:sz w:val="20"/>
                <w:szCs w:val="20"/>
                <w:lang w:val="en-AU"/>
              </w:rPr>
            </w:pPr>
            <w:r w:rsidRPr="00D2134C">
              <w:rPr>
                <w:rFonts w:ascii="Cambria Math" w:hAnsi="Cambria Math" w:cs="Cambria Math"/>
                <w:b w:val="0"/>
                <w:bCs w:val="0"/>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4DF3AA2" w14:textId="77777777" w:rsidR="00677C63" w:rsidRPr="00D2134C" w:rsidRDefault="00677C63" w:rsidP="00BB5988">
            <w:pPr>
              <w:pStyle w:val="TableParagraph"/>
              <w:keepNext/>
              <w:spacing w:line="257" w:lineRule="auto"/>
              <w:ind w:right="29"/>
              <w:rPr>
                <w:rFonts w:ascii="Arial" w:hAnsi="Arial" w:cs="Arial"/>
                <w:b w:val="0"/>
                <w:bCs w:val="0"/>
                <w:sz w:val="20"/>
                <w:szCs w:val="20"/>
                <w:lang w:val="en-AU"/>
              </w:rPr>
            </w:pPr>
            <w:r w:rsidRPr="00D2134C">
              <w:rPr>
                <w:rFonts w:ascii="Arial" w:hAnsi="Arial" w:cs="Arial"/>
                <w:sz w:val="20"/>
                <w:szCs w:val="20"/>
                <w:lang w:val="en-AU"/>
              </w:rPr>
              <w:t>551</w:t>
            </w:r>
          </w:p>
        </w:tc>
      </w:tr>
      <w:bookmarkEnd w:id="582"/>
    </w:tbl>
    <w:p w14:paraId="43249152" w14:textId="77777777" w:rsidR="00CA5815" w:rsidRDefault="00CA5815" w:rsidP="00BB5988">
      <w:pPr>
        <w:pStyle w:val="FGCNORMAL"/>
        <w:keepNext/>
        <w:rPr>
          <w:rStyle w:val="FGCEMPHASIS"/>
        </w:rPr>
      </w:pPr>
      <w:r>
        <w:rPr>
          <w:rStyle w:val="FGCEMPHASIS"/>
        </w:rPr>
        <w:br w:type="page"/>
      </w:r>
    </w:p>
    <w:p w14:paraId="12C7F2F9" w14:textId="4DD36DB5" w:rsidR="00677C63" w:rsidRPr="00D2134C" w:rsidRDefault="00677C63" w:rsidP="00BB5988">
      <w:pPr>
        <w:pStyle w:val="FGCNORMAL"/>
        <w:keepNext/>
      </w:pPr>
      <w:r w:rsidRPr="00D2134C">
        <w:rPr>
          <w:rStyle w:val="FGCEMPHASIS"/>
        </w:rPr>
        <w:lastRenderedPageBreak/>
        <w:t>Table 5.4C</w:t>
      </w:r>
      <w:r w:rsidRPr="00D2134C">
        <w:t>: All ongoing employees previous reporting period (2020–21)</w:t>
      </w:r>
    </w:p>
    <w:tbl>
      <w:tblPr>
        <w:tblStyle w:val="GridTable2-Accent31"/>
        <w:tblW w:w="9781" w:type="dxa"/>
        <w:tblInd w:w="699" w:type="dxa"/>
        <w:tblLayout w:type="fixed"/>
        <w:tblCellMar>
          <w:left w:w="28" w:type="dxa"/>
          <w:right w:w="28" w:type="dxa"/>
        </w:tblCellMar>
        <w:tblLook w:val="01E0" w:firstRow="1" w:lastRow="1" w:firstColumn="1" w:lastColumn="1" w:noHBand="0" w:noVBand="0"/>
      </w:tblPr>
      <w:tblGrid>
        <w:gridCol w:w="1276"/>
        <w:gridCol w:w="709"/>
        <w:gridCol w:w="708"/>
        <w:gridCol w:w="851"/>
        <w:gridCol w:w="709"/>
        <w:gridCol w:w="708"/>
        <w:gridCol w:w="993"/>
        <w:gridCol w:w="850"/>
        <w:gridCol w:w="709"/>
        <w:gridCol w:w="1417"/>
        <w:gridCol w:w="851"/>
      </w:tblGrid>
      <w:tr w:rsidR="00FB51F2" w:rsidRPr="00D2134C" w14:paraId="11CCD5E5" w14:textId="77777777" w:rsidTr="00C3246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C9C9C9" w:themeColor="accent3" w:themeTint="99"/>
              <w:left w:val="single" w:sz="8" w:space="0" w:color="C9C9C9" w:themeColor="accent3" w:themeTint="99"/>
            </w:tcBorders>
            <w:vAlign w:val="center"/>
          </w:tcPr>
          <w:p w14:paraId="1BC10251"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2268" w:type="dxa"/>
            <w:gridSpan w:val="3"/>
            <w:tcBorders>
              <w:top w:val="single" w:sz="8" w:space="0" w:color="C9C9C9" w:themeColor="accent3" w:themeTint="99"/>
            </w:tcBorders>
            <w:vAlign w:val="center"/>
            <w:hideMark/>
          </w:tcPr>
          <w:p w14:paraId="56829852"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Male</w:t>
            </w:r>
          </w:p>
        </w:tc>
        <w:tc>
          <w:tcPr>
            <w:tcW w:w="2410" w:type="dxa"/>
            <w:gridSpan w:val="3"/>
            <w:tcBorders>
              <w:top w:val="single" w:sz="8" w:space="0" w:color="C9C9C9" w:themeColor="accent3" w:themeTint="99"/>
            </w:tcBorders>
            <w:vAlign w:val="center"/>
            <w:hideMark/>
          </w:tcPr>
          <w:p w14:paraId="6B1A52C9"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Female</w:t>
            </w:r>
          </w:p>
        </w:tc>
        <w:tc>
          <w:tcPr>
            <w:tcW w:w="2976" w:type="dxa"/>
            <w:gridSpan w:val="3"/>
            <w:tcBorders>
              <w:top w:val="single" w:sz="8" w:space="0" w:color="C9C9C9" w:themeColor="accent3" w:themeTint="99"/>
            </w:tcBorders>
            <w:vAlign w:val="center"/>
            <w:hideMark/>
          </w:tcPr>
          <w:p w14:paraId="6BE6D06B"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51" w:type="dxa"/>
            <w:tcBorders>
              <w:top w:val="single" w:sz="8" w:space="0" w:color="C9C9C9" w:themeColor="accent3" w:themeTint="99"/>
              <w:right w:val="single" w:sz="8" w:space="0" w:color="C9C9C9" w:themeColor="accent3" w:themeTint="99"/>
            </w:tcBorders>
            <w:vAlign w:val="center"/>
            <w:hideMark/>
          </w:tcPr>
          <w:p w14:paraId="10D68C30" w14:textId="77777777" w:rsidR="00677C63" w:rsidRPr="00D2134C" w:rsidRDefault="00677C63" w:rsidP="00BB5988">
            <w:pPr>
              <w:pStyle w:val="TableParagraph"/>
              <w:keepNext/>
              <w:spacing w:before="1" w:line="256" w:lineRule="auto"/>
              <w:ind w:right="206"/>
              <w:rPr>
                <w:rFonts w:ascii="Arial" w:hAnsi="Arial" w:cs="Arial"/>
                <w:iCs/>
                <w:sz w:val="20"/>
                <w:szCs w:val="20"/>
                <w:lang w:val="en-AU"/>
              </w:rPr>
            </w:pPr>
            <w:r w:rsidRPr="00D2134C">
              <w:rPr>
                <w:rFonts w:ascii="Arial" w:hAnsi="Arial" w:cs="Arial"/>
                <w:iCs/>
                <w:sz w:val="20"/>
                <w:szCs w:val="20"/>
                <w:lang w:val="en-AU"/>
              </w:rPr>
              <w:t>Total</w:t>
            </w:r>
          </w:p>
        </w:tc>
      </w:tr>
      <w:tr w:rsidR="00C32469" w:rsidRPr="00D2134C" w14:paraId="55C5368F"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7A367E77"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709" w:type="dxa"/>
            <w:vAlign w:val="center"/>
            <w:hideMark/>
          </w:tcPr>
          <w:p w14:paraId="179E97FD" w14:textId="77777777" w:rsidR="00677C63" w:rsidRPr="00D2134C" w:rsidRDefault="00677C63" w:rsidP="00BB5988">
            <w:pPr>
              <w:pStyle w:val="TableParagraph"/>
              <w:keepNext/>
              <w:spacing w:before="125" w:line="256" w:lineRule="auto"/>
              <w:ind w:right="21"/>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08" w:type="dxa"/>
            <w:vAlign w:val="center"/>
            <w:hideMark/>
          </w:tcPr>
          <w:p w14:paraId="3A398905" w14:textId="77777777" w:rsidR="00677C63" w:rsidRPr="00D2134C" w:rsidRDefault="00677C63" w:rsidP="00BB5988">
            <w:pPr>
              <w:pStyle w:val="TableParagraph"/>
              <w:keepNext/>
              <w:spacing w:before="125" w:line="256" w:lineRule="auto"/>
              <w:ind w:right="66"/>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851" w:type="dxa"/>
            <w:vAlign w:val="center"/>
            <w:hideMark/>
          </w:tcPr>
          <w:p w14:paraId="4C4A62ED" w14:textId="77777777" w:rsidR="00677C63" w:rsidRPr="00D2134C" w:rsidRDefault="00677C63" w:rsidP="00BB5988">
            <w:pPr>
              <w:pStyle w:val="TableParagraph"/>
              <w:keepNext/>
              <w:spacing w:line="276" w:lineRule="auto"/>
              <w:ind w:right="144"/>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43"/>
                <w:sz w:val="20"/>
                <w:szCs w:val="20"/>
                <w:lang w:val="en-AU"/>
              </w:rPr>
              <w:t xml:space="preserve"> </w:t>
            </w:r>
            <w:r w:rsidRPr="00D2134C">
              <w:rPr>
                <w:rFonts w:ascii="Arial" w:hAnsi="Arial" w:cs="Arial"/>
                <w:i/>
                <w:sz w:val="20"/>
                <w:szCs w:val="20"/>
                <w:lang w:val="en-AU"/>
              </w:rPr>
              <w:t>male</w:t>
            </w:r>
          </w:p>
        </w:tc>
        <w:tc>
          <w:tcPr>
            <w:tcW w:w="709" w:type="dxa"/>
            <w:vAlign w:val="center"/>
            <w:hideMark/>
          </w:tcPr>
          <w:p w14:paraId="5CC1FD55"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z w:val="20"/>
                <w:szCs w:val="20"/>
                <w:lang w:val="en-AU"/>
              </w:rPr>
              <w:br/>
              <w:t>time</w:t>
            </w:r>
          </w:p>
        </w:tc>
        <w:tc>
          <w:tcPr>
            <w:tcW w:w="708" w:type="dxa"/>
            <w:vAlign w:val="center"/>
            <w:hideMark/>
          </w:tcPr>
          <w:p w14:paraId="19207A8D"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993" w:type="dxa"/>
            <w:vAlign w:val="center"/>
            <w:hideMark/>
          </w:tcPr>
          <w:p w14:paraId="0E0A3071" w14:textId="77777777" w:rsidR="00677C63" w:rsidRPr="00D2134C" w:rsidRDefault="00677C63" w:rsidP="00BB5988">
            <w:pPr>
              <w:pStyle w:val="TableParagraph"/>
              <w:keepNext/>
              <w:spacing w:line="276" w:lineRule="auto"/>
              <w:ind w:right="58" w:hanging="13"/>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female</w:t>
            </w:r>
          </w:p>
        </w:tc>
        <w:tc>
          <w:tcPr>
            <w:tcW w:w="850" w:type="dxa"/>
            <w:vAlign w:val="center"/>
            <w:hideMark/>
          </w:tcPr>
          <w:p w14:paraId="37F121E3" w14:textId="77777777" w:rsidR="00677C63" w:rsidRPr="00D2134C" w:rsidRDefault="00677C63" w:rsidP="00BB5988">
            <w:pPr>
              <w:pStyle w:val="TableParagraph"/>
              <w:keepNext/>
              <w:spacing w:before="125" w:line="256" w:lineRule="auto"/>
              <w:ind w:right="22"/>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709" w:type="dxa"/>
            <w:vAlign w:val="center"/>
            <w:hideMark/>
          </w:tcPr>
          <w:p w14:paraId="38ADDC34" w14:textId="77777777" w:rsidR="00677C63" w:rsidRPr="00D2134C" w:rsidRDefault="00677C63" w:rsidP="00BB5988">
            <w:pPr>
              <w:pStyle w:val="TableParagraph"/>
              <w:keepNext/>
              <w:spacing w:before="125" w:line="256" w:lineRule="auto"/>
              <w:ind w:right="23"/>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1417" w:type="dxa"/>
            <w:vAlign w:val="center"/>
            <w:hideMark/>
          </w:tcPr>
          <w:p w14:paraId="00E58F76" w14:textId="77777777" w:rsidR="00677C63" w:rsidRPr="00D2134C" w:rsidRDefault="00677C63" w:rsidP="00BB5988">
            <w:pPr>
              <w:pStyle w:val="TableParagraph"/>
              <w:keepNext/>
              <w:spacing w:line="276" w:lineRule="auto"/>
              <w:ind w:right="57" w:hanging="11"/>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01BD49CF" w14:textId="77777777" w:rsidR="00677C63" w:rsidRPr="00D2134C" w:rsidRDefault="00677C63" w:rsidP="00BB5988">
            <w:pPr>
              <w:pStyle w:val="TableParagraph"/>
              <w:keepNext/>
              <w:spacing w:line="256" w:lineRule="auto"/>
              <w:rPr>
                <w:rFonts w:ascii="Arial" w:hAnsi="Arial" w:cs="Arial"/>
                <w:sz w:val="20"/>
                <w:szCs w:val="20"/>
                <w:lang w:val="en-AU"/>
              </w:rPr>
            </w:pPr>
          </w:p>
        </w:tc>
      </w:tr>
      <w:tr w:rsidR="00C32469" w:rsidRPr="00D2134C" w14:paraId="3FFBE898" w14:textId="77777777" w:rsidTr="00C32469">
        <w:trPr>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09CADF4F" w14:textId="77777777" w:rsidR="00677C63" w:rsidRPr="00D2134C" w:rsidRDefault="00677C63" w:rsidP="00BB5988">
            <w:pPr>
              <w:pStyle w:val="TableParagraph"/>
              <w:keepNext/>
              <w:spacing w:line="256" w:lineRule="auto"/>
              <w:ind w:right="39"/>
              <w:rPr>
                <w:rFonts w:ascii="Arial" w:hAnsi="Arial" w:cs="Arial"/>
                <w:b w:val="0"/>
                <w:sz w:val="20"/>
                <w:szCs w:val="20"/>
                <w:lang w:val="en-AU"/>
              </w:rPr>
            </w:pPr>
            <w:r w:rsidRPr="00D2134C">
              <w:rPr>
                <w:rFonts w:ascii="Arial" w:hAnsi="Arial" w:cs="Arial"/>
                <w:color w:val="212121"/>
                <w:sz w:val="20"/>
                <w:szCs w:val="20"/>
                <w:lang w:val="en-AU"/>
              </w:rPr>
              <w:t>NSW</w:t>
            </w:r>
          </w:p>
        </w:tc>
        <w:tc>
          <w:tcPr>
            <w:tcW w:w="709" w:type="dxa"/>
            <w:vAlign w:val="center"/>
          </w:tcPr>
          <w:p w14:paraId="46E58C47" w14:textId="77777777" w:rsidR="00677C63" w:rsidRPr="00D2134C" w:rsidRDefault="00677C63" w:rsidP="00BB5988">
            <w:pPr>
              <w:pStyle w:val="TableParagraph"/>
              <w:keepNext/>
              <w:spacing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173</w:t>
            </w:r>
          </w:p>
        </w:tc>
        <w:tc>
          <w:tcPr>
            <w:tcW w:w="708" w:type="dxa"/>
            <w:vAlign w:val="center"/>
          </w:tcPr>
          <w:p w14:paraId="6F434A92" w14:textId="77777777" w:rsidR="00677C63" w:rsidRPr="00D2134C" w:rsidRDefault="00677C63" w:rsidP="00BB5988">
            <w:pPr>
              <w:pStyle w:val="TableParagraph"/>
              <w:keepNext/>
              <w:spacing w:line="256" w:lineRule="auto"/>
              <w:ind w:right="35"/>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w:t>
            </w:r>
          </w:p>
        </w:tc>
        <w:tc>
          <w:tcPr>
            <w:tcW w:w="851" w:type="dxa"/>
            <w:vAlign w:val="center"/>
          </w:tcPr>
          <w:p w14:paraId="0390A786"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193</w:t>
            </w:r>
          </w:p>
        </w:tc>
        <w:tc>
          <w:tcPr>
            <w:tcW w:w="709" w:type="dxa"/>
            <w:vAlign w:val="center"/>
          </w:tcPr>
          <w:p w14:paraId="5F77631F"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541</w:t>
            </w:r>
          </w:p>
        </w:tc>
        <w:tc>
          <w:tcPr>
            <w:tcW w:w="708" w:type="dxa"/>
            <w:vAlign w:val="center"/>
          </w:tcPr>
          <w:p w14:paraId="022272E2"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139</w:t>
            </w:r>
          </w:p>
        </w:tc>
        <w:tc>
          <w:tcPr>
            <w:tcW w:w="993" w:type="dxa"/>
            <w:vAlign w:val="center"/>
          </w:tcPr>
          <w:p w14:paraId="7E9DFAAD"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680</w:t>
            </w:r>
          </w:p>
        </w:tc>
        <w:tc>
          <w:tcPr>
            <w:tcW w:w="850" w:type="dxa"/>
            <w:vAlign w:val="center"/>
          </w:tcPr>
          <w:p w14:paraId="0DA6AFFF"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709" w:type="dxa"/>
            <w:vAlign w:val="center"/>
          </w:tcPr>
          <w:p w14:paraId="4EBA7877" w14:textId="5B01CBA0"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w:t>
            </w:r>
          </w:p>
        </w:tc>
        <w:tc>
          <w:tcPr>
            <w:tcW w:w="1417" w:type="dxa"/>
            <w:vAlign w:val="center"/>
          </w:tcPr>
          <w:p w14:paraId="62AC5B39"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09348C6D" w14:textId="77777777" w:rsidR="00677C63" w:rsidRPr="00D2134C" w:rsidRDefault="00677C63" w:rsidP="00BB5988">
            <w:pPr>
              <w:pStyle w:val="TableParagraph"/>
              <w:keepNext/>
              <w:spacing w:line="256" w:lineRule="auto"/>
              <w:ind w:right="29"/>
              <w:rPr>
                <w:rFonts w:ascii="Arial" w:hAnsi="Arial" w:cs="Arial"/>
                <w:sz w:val="20"/>
                <w:szCs w:val="20"/>
                <w:lang w:val="en-AU"/>
              </w:rPr>
            </w:pPr>
            <w:r w:rsidRPr="00D2134C">
              <w:rPr>
                <w:rFonts w:ascii="Arial" w:hAnsi="Arial" w:cs="Arial"/>
                <w:color w:val="000000"/>
                <w:sz w:val="20"/>
                <w:szCs w:val="20"/>
                <w:lang w:val="en-AU"/>
              </w:rPr>
              <w:t>874</w:t>
            </w:r>
          </w:p>
        </w:tc>
      </w:tr>
      <w:tr w:rsidR="00C13365" w:rsidRPr="00D2134C" w14:paraId="7B9FEA2F"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3E16F57F"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Qld</w:t>
            </w:r>
          </w:p>
        </w:tc>
        <w:tc>
          <w:tcPr>
            <w:tcW w:w="709" w:type="dxa"/>
            <w:vAlign w:val="center"/>
          </w:tcPr>
          <w:p w14:paraId="11D4E0A8" w14:textId="77777777" w:rsidR="00677C63" w:rsidRPr="00D2134C" w:rsidRDefault="00677C63" w:rsidP="00BB5988">
            <w:pPr>
              <w:pStyle w:val="TableParagraph"/>
              <w:keepNext/>
              <w:spacing w:before="1" w:line="256" w:lineRule="auto"/>
              <w:ind w:right="3"/>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111</w:t>
            </w:r>
          </w:p>
        </w:tc>
        <w:tc>
          <w:tcPr>
            <w:tcW w:w="708" w:type="dxa"/>
            <w:vAlign w:val="center"/>
          </w:tcPr>
          <w:p w14:paraId="2EBB4681" w14:textId="77777777" w:rsidR="00677C63" w:rsidRPr="00D2134C" w:rsidRDefault="00677C63" w:rsidP="00BB5988">
            <w:pPr>
              <w:pStyle w:val="TableParagraph"/>
              <w:keepNext/>
              <w:spacing w:before="1" w:line="256" w:lineRule="auto"/>
              <w:ind w:right="35"/>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w:t>
            </w:r>
          </w:p>
        </w:tc>
        <w:tc>
          <w:tcPr>
            <w:tcW w:w="851" w:type="dxa"/>
            <w:vAlign w:val="center"/>
          </w:tcPr>
          <w:p w14:paraId="618C828D"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117</w:t>
            </w:r>
          </w:p>
        </w:tc>
        <w:tc>
          <w:tcPr>
            <w:tcW w:w="709" w:type="dxa"/>
            <w:vAlign w:val="center"/>
          </w:tcPr>
          <w:p w14:paraId="66794432"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364</w:t>
            </w:r>
          </w:p>
        </w:tc>
        <w:tc>
          <w:tcPr>
            <w:tcW w:w="708" w:type="dxa"/>
            <w:vAlign w:val="center"/>
          </w:tcPr>
          <w:p w14:paraId="553A1E5C"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63</w:t>
            </w:r>
          </w:p>
        </w:tc>
        <w:tc>
          <w:tcPr>
            <w:tcW w:w="993" w:type="dxa"/>
            <w:vAlign w:val="center"/>
          </w:tcPr>
          <w:p w14:paraId="31AB945A"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427</w:t>
            </w:r>
          </w:p>
        </w:tc>
        <w:tc>
          <w:tcPr>
            <w:tcW w:w="850" w:type="dxa"/>
            <w:vAlign w:val="center"/>
          </w:tcPr>
          <w:p w14:paraId="1E670DE0" w14:textId="4E001380" w:rsidR="00677C63" w:rsidRPr="00D2134C" w:rsidRDefault="008A6013" w:rsidP="00BB5988">
            <w:pPr>
              <w:pStyle w:val="TableParagraph"/>
              <w:keepNext/>
              <w:spacing w:before="1" w:line="256" w:lineRule="auto"/>
              <w:ind w:right="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728C014B" w14:textId="788E90D0"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001A9FEC" w14:textId="7DFAE58F"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1875D603" w14:textId="77777777" w:rsidR="00677C63" w:rsidRPr="00D2134C" w:rsidRDefault="00677C63" w:rsidP="00BB5988">
            <w:pPr>
              <w:pStyle w:val="TableParagraph"/>
              <w:keepNext/>
              <w:spacing w:before="1" w:line="256" w:lineRule="auto"/>
              <w:ind w:right="29"/>
              <w:rPr>
                <w:rFonts w:ascii="Arial" w:hAnsi="Arial" w:cs="Arial"/>
                <w:sz w:val="20"/>
                <w:szCs w:val="20"/>
                <w:lang w:val="en-AU"/>
              </w:rPr>
            </w:pPr>
            <w:r w:rsidRPr="00D2134C">
              <w:rPr>
                <w:rFonts w:ascii="Arial" w:hAnsi="Arial" w:cs="Arial"/>
                <w:color w:val="000000"/>
                <w:sz w:val="20"/>
                <w:szCs w:val="20"/>
                <w:lang w:val="en-AU"/>
              </w:rPr>
              <w:t>544</w:t>
            </w:r>
          </w:p>
        </w:tc>
      </w:tr>
      <w:tr w:rsidR="00C32469" w:rsidRPr="00D2134C" w14:paraId="25C7C75F" w14:textId="77777777" w:rsidTr="00C32469">
        <w:trPr>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40E80504"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SA</w:t>
            </w:r>
          </w:p>
        </w:tc>
        <w:tc>
          <w:tcPr>
            <w:tcW w:w="709" w:type="dxa"/>
            <w:vAlign w:val="center"/>
          </w:tcPr>
          <w:p w14:paraId="201544BE"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51</w:t>
            </w:r>
          </w:p>
        </w:tc>
        <w:tc>
          <w:tcPr>
            <w:tcW w:w="708" w:type="dxa"/>
            <w:vAlign w:val="center"/>
          </w:tcPr>
          <w:p w14:paraId="6AFB0224" w14:textId="77777777" w:rsidR="00677C63" w:rsidRPr="00D2134C" w:rsidRDefault="00677C6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w:t>
            </w:r>
          </w:p>
        </w:tc>
        <w:tc>
          <w:tcPr>
            <w:tcW w:w="851" w:type="dxa"/>
            <w:vAlign w:val="center"/>
          </w:tcPr>
          <w:p w14:paraId="3A8E061B"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59</w:t>
            </w:r>
          </w:p>
        </w:tc>
        <w:tc>
          <w:tcPr>
            <w:tcW w:w="709" w:type="dxa"/>
            <w:vAlign w:val="center"/>
          </w:tcPr>
          <w:p w14:paraId="758D0A5B"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172</w:t>
            </w:r>
          </w:p>
        </w:tc>
        <w:tc>
          <w:tcPr>
            <w:tcW w:w="708" w:type="dxa"/>
            <w:vAlign w:val="center"/>
          </w:tcPr>
          <w:p w14:paraId="3ED32903"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58</w:t>
            </w:r>
          </w:p>
        </w:tc>
        <w:tc>
          <w:tcPr>
            <w:tcW w:w="993" w:type="dxa"/>
            <w:vAlign w:val="center"/>
          </w:tcPr>
          <w:p w14:paraId="45D93DEB"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230</w:t>
            </w:r>
          </w:p>
        </w:tc>
        <w:tc>
          <w:tcPr>
            <w:tcW w:w="850" w:type="dxa"/>
            <w:vAlign w:val="center"/>
          </w:tcPr>
          <w:p w14:paraId="3A293471" w14:textId="76E4BE9B"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59CDA53F" w14:textId="25CF9292"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414945B1" w14:textId="44BC5455"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33036F0B"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289</w:t>
            </w:r>
          </w:p>
        </w:tc>
      </w:tr>
      <w:tr w:rsidR="00C13365" w:rsidRPr="00D2134C" w14:paraId="647CDB05"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7C386133" w14:textId="77777777" w:rsidR="00677C63" w:rsidRPr="00D2134C" w:rsidRDefault="00677C63" w:rsidP="00BB5988">
            <w:pPr>
              <w:pStyle w:val="TableParagraph"/>
              <w:keepNext/>
              <w:spacing w:line="256" w:lineRule="auto"/>
              <w:ind w:right="40"/>
              <w:rPr>
                <w:rFonts w:ascii="Arial" w:hAnsi="Arial" w:cs="Arial"/>
                <w:b w:val="0"/>
                <w:sz w:val="20"/>
                <w:szCs w:val="20"/>
                <w:lang w:val="en-AU"/>
              </w:rPr>
            </w:pPr>
            <w:r w:rsidRPr="00D2134C">
              <w:rPr>
                <w:rFonts w:ascii="Arial" w:hAnsi="Arial" w:cs="Arial"/>
                <w:color w:val="212121"/>
                <w:sz w:val="20"/>
                <w:szCs w:val="20"/>
                <w:lang w:val="en-AU"/>
              </w:rPr>
              <w:t>Tas</w:t>
            </w:r>
          </w:p>
        </w:tc>
        <w:tc>
          <w:tcPr>
            <w:tcW w:w="709" w:type="dxa"/>
            <w:vAlign w:val="center"/>
          </w:tcPr>
          <w:p w14:paraId="19F5CBA1"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19</w:t>
            </w:r>
          </w:p>
        </w:tc>
        <w:tc>
          <w:tcPr>
            <w:tcW w:w="708" w:type="dxa"/>
            <w:vAlign w:val="center"/>
          </w:tcPr>
          <w:p w14:paraId="05919AC3" w14:textId="77777777" w:rsidR="00677C63" w:rsidRPr="00D2134C" w:rsidRDefault="00677C63" w:rsidP="00BB5988">
            <w:pPr>
              <w:pStyle w:val="TableParagraph"/>
              <w:keepNext/>
              <w:spacing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851" w:type="dxa"/>
            <w:vAlign w:val="center"/>
          </w:tcPr>
          <w:p w14:paraId="3DEAD1F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w:t>
            </w:r>
          </w:p>
        </w:tc>
        <w:tc>
          <w:tcPr>
            <w:tcW w:w="709" w:type="dxa"/>
            <w:vAlign w:val="center"/>
          </w:tcPr>
          <w:p w14:paraId="7485506F"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38</w:t>
            </w:r>
          </w:p>
        </w:tc>
        <w:tc>
          <w:tcPr>
            <w:tcW w:w="708" w:type="dxa"/>
            <w:vAlign w:val="center"/>
          </w:tcPr>
          <w:p w14:paraId="396BA783"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14</w:t>
            </w:r>
          </w:p>
        </w:tc>
        <w:tc>
          <w:tcPr>
            <w:tcW w:w="993" w:type="dxa"/>
            <w:vAlign w:val="center"/>
          </w:tcPr>
          <w:p w14:paraId="720629B9"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52</w:t>
            </w:r>
          </w:p>
        </w:tc>
        <w:tc>
          <w:tcPr>
            <w:tcW w:w="850" w:type="dxa"/>
            <w:vAlign w:val="center"/>
          </w:tcPr>
          <w:p w14:paraId="717B95F1" w14:textId="2155BD06"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2D342295" w14:textId="6357368B"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441F747D" w14:textId="6EEC6CCE" w:rsidR="00677C63" w:rsidRPr="00D2134C" w:rsidRDefault="008A601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05C4A865"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72</w:t>
            </w:r>
          </w:p>
        </w:tc>
      </w:tr>
      <w:tr w:rsidR="00C32469" w:rsidRPr="00D2134C" w14:paraId="17EC88BE" w14:textId="77777777" w:rsidTr="00C32469">
        <w:trPr>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24EB2EBA"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Vic</w:t>
            </w:r>
          </w:p>
        </w:tc>
        <w:tc>
          <w:tcPr>
            <w:tcW w:w="709" w:type="dxa"/>
            <w:vAlign w:val="center"/>
          </w:tcPr>
          <w:p w14:paraId="6D6C5C3A"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317</w:t>
            </w:r>
          </w:p>
        </w:tc>
        <w:tc>
          <w:tcPr>
            <w:tcW w:w="708" w:type="dxa"/>
            <w:vAlign w:val="center"/>
          </w:tcPr>
          <w:p w14:paraId="711B01EC" w14:textId="77777777" w:rsidR="00677C63" w:rsidRPr="00D2134C" w:rsidRDefault="00677C63" w:rsidP="00BB5988">
            <w:pPr>
              <w:pStyle w:val="TableParagraph"/>
              <w:keepNext/>
              <w:spacing w:before="1"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22</w:t>
            </w:r>
          </w:p>
        </w:tc>
        <w:tc>
          <w:tcPr>
            <w:tcW w:w="851" w:type="dxa"/>
            <w:vAlign w:val="center"/>
          </w:tcPr>
          <w:p w14:paraId="3425A775"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339</w:t>
            </w:r>
          </w:p>
        </w:tc>
        <w:tc>
          <w:tcPr>
            <w:tcW w:w="709" w:type="dxa"/>
            <w:vAlign w:val="center"/>
          </w:tcPr>
          <w:p w14:paraId="2395FC9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715</w:t>
            </w:r>
          </w:p>
        </w:tc>
        <w:tc>
          <w:tcPr>
            <w:tcW w:w="708" w:type="dxa"/>
            <w:vAlign w:val="center"/>
          </w:tcPr>
          <w:p w14:paraId="4C06D79C"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202</w:t>
            </w:r>
          </w:p>
        </w:tc>
        <w:tc>
          <w:tcPr>
            <w:tcW w:w="993" w:type="dxa"/>
            <w:vAlign w:val="center"/>
          </w:tcPr>
          <w:p w14:paraId="3D8A5776"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917</w:t>
            </w:r>
          </w:p>
        </w:tc>
        <w:tc>
          <w:tcPr>
            <w:tcW w:w="850" w:type="dxa"/>
            <w:vAlign w:val="center"/>
          </w:tcPr>
          <w:p w14:paraId="7F4A10E5" w14:textId="58FE434A"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577728E3" w14:textId="485D56AB"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11686482" w14:textId="3F3308CF"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6CE4931C"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1,256</w:t>
            </w:r>
          </w:p>
        </w:tc>
      </w:tr>
      <w:tr w:rsidR="00C13365" w:rsidRPr="00D2134C" w14:paraId="0AEF4979"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6846A654"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WA</w:t>
            </w:r>
          </w:p>
        </w:tc>
        <w:tc>
          <w:tcPr>
            <w:tcW w:w="709" w:type="dxa"/>
            <w:vAlign w:val="center"/>
          </w:tcPr>
          <w:p w14:paraId="7967E564"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40</w:t>
            </w:r>
          </w:p>
        </w:tc>
        <w:tc>
          <w:tcPr>
            <w:tcW w:w="708" w:type="dxa"/>
            <w:vAlign w:val="center"/>
          </w:tcPr>
          <w:p w14:paraId="21D8175B" w14:textId="77777777" w:rsidR="00677C63" w:rsidRPr="00D2134C" w:rsidRDefault="00677C6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w:t>
            </w:r>
          </w:p>
        </w:tc>
        <w:tc>
          <w:tcPr>
            <w:tcW w:w="851" w:type="dxa"/>
            <w:vAlign w:val="center"/>
          </w:tcPr>
          <w:p w14:paraId="7A04B26E"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44</w:t>
            </w:r>
          </w:p>
        </w:tc>
        <w:tc>
          <w:tcPr>
            <w:tcW w:w="709" w:type="dxa"/>
            <w:vAlign w:val="center"/>
          </w:tcPr>
          <w:p w14:paraId="213E24E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135</w:t>
            </w:r>
          </w:p>
        </w:tc>
        <w:tc>
          <w:tcPr>
            <w:tcW w:w="708" w:type="dxa"/>
            <w:vAlign w:val="center"/>
          </w:tcPr>
          <w:p w14:paraId="681A0D47"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21</w:t>
            </w:r>
          </w:p>
        </w:tc>
        <w:tc>
          <w:tcPr>
            <w:tcW w:w="993" w:type="dxa"/>
            <w:vAlign w:val="center"/>
          </w:tcPr>
          <w:p w14:paraId="4A7C3D73"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156</w:t>
            </w:r>
          </w:p>
        </w:tc>
        <w:tc>
          <w:tcPr>
            <w:tcW w:w="850" w:type="dxa"/>
            <w:vAlign w:val="center"/>
          </w:tcPr>
          <w:p w14:paraId="1B4E4AC2" w14:textId="1DDB658C"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2596B01F" w14:textId="17096516"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20EF5F38" w14:textId="55EBAD4B"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1A24A589"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200</w:t>
            </w:r>
          </w:p>
        </w:tc>
      </w:tr>
      <w:tr w:rsidR="00C32469" w:rsidRPr="00D2134C" w14:paraId="598609B3" w14:textId="77777777" w:rsidTr="00C32469">
        <w:trPr>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18E24C20" w14:textId="77777777" w:rsidR="00677C63" w:rsidRPr="00D2134C" w:rsidRDefault="00677C63" w:rsidP="00BB5988">
            <w:pPr>
              <w:pStyle w:val="TableParagraph"/>
              <w:keepNext/>
              <w:spacing w:line="256" w:lineRule="auto"/>
              <w:ind w:right="41"/>
              <w:rPr>
                <w:rFonts w:ascii="Arial" w:hAnsi="Arial" w:cs="Arial"/>
                <w:b w:val="0"/>
                <w:sz w:val="20"/>
                <w:szCs w:val="20"/>
                <w:lang w:val="en-AU"/>
              </w:rPr>
            </w:pPr>
            <w:r w:rsidRPr="00D2134C">
              <w:rPr>
                <w:rFonts w:ascii="Arial" w:hAnsi="Arial" w:cs="Arial"/>
                <w:color w:val="212121"/>
                <w:sz w:val="20"/>
                <w:szCs w:val="20"/>
                <w:lang w:val="en-AU"/>
              </w:rPr>
              <w:t>ACT</w:t>
            </w:r>
          </w:p>
        </w:tc>
        <w:tc>
          <w:tcPr>
            <w:tcW w:w="709" w:type="dxa"/>
            <w:vAlign w:val="center"/>
          </w:tcPr>
          <w:p w14:paraId="3C8F1EB3"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57</w:t>
            </w:r>
          </w:p>
        </w:tc>
        <w:tc>
          <w:tcPr>
            <w:tcW w:w="708" w:type="dxa"/>
            <w:vAlign w:val="center"/>
          </w:tcPr>
          <w:p w14:paraId="59997FE9" w14:textId="77777777" w:rsidR="00677C63" w:rsidRPr="00D2134C" w:rsidRDefault="00677C63" w:rsidP="00BB5988">
            <w:pPr>
              <w:pStyle w:val="TableParagraph"/>
              <w:keepNext/>
              <w:spacing w:line="256" w:lineRule="auto"/>
              <w:ind w:right="72"/>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851" w:type="dxa"/>
            <w:vAlign w:val="center"/>
          </w:tcPr>
          <w:p w14:paraId="70CCE109"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60</w:t>
            </w:r>
          </w:p>
        </w:tc>
        <w:tc>
          <w:tcPr>
            <w:tcW w:w="709" w:type="dxa"/>
            <w:vAlign w:val="center"/>
          </w:tcPr>
          <w:p w14:paraId="7EE21CD6"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97</w:t>
            </w:r>
          </w:p>
        </w:tc>
        <w:tc>
          <w:tcPr>
            <w:tcW w:w="708" w:type="dxa"/>
            <w:vAlign w:val="center"/>
          </w:tcPr>
          <w:p w14:paraId="437946A3"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15</w:t>
            </w:r>
          </w:p>
        </w:tc>
        <w:tc>
          <w:tcPr>
            <w:tcW w:w="993" w:type="dxa"/>
            <w:vAlign w:val="center"/>
          </w:tcPr>
          <w:p w14:paraId="1E97AFA9"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112</w:t>
            </w:r>
          </w:p>
        </w:tc>
        <w:tc>
          <w:tcPr>
            <w:tcW w:w="850" w:type="dxa"/>
            <w:vAlign w:val="center"/>
          </w:tcPr>
          <w:p w14:paraId="3C3AB512" w14:textId="62C2AF21"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334142BD" w14:textId="698E1029"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69AA2646" w14:textId="4C1FE586"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3F8B2E8F"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172</w:t>
            </w:r>
          </w:p>
        </w:tc>
      </w:tr>
      <w:tr w:rsidR="00C13365" w:rsidRPr="00D2134C" w14:paraId="379A9E88"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062F0B7F" w14:textId="77777777" w:rsidR="00677C63" w:rsidRPr="00D2134C" w:rsidRDefault="00677C63" w:rsidP="00BB5988">
            <w:pPr>
              <w:pStyle w:val="TableParagraph"/>
              <w:keepNext/>
              <w:spacing w:before="1" w:line="256" w:lineRule="auto"/>
              <w:ind w:right="39"/>
              <w:rPr>
                <w:rFonts w:ascii="Arial" w:hAnsi="Arial" w:cs="Arial"/>
                <w:b w:val="0"/>
                <w:sz w:val="20"/>
                <w:szCs w:val="20"/>
                <w:lang w:val="en-AU"/>
              </w:rPr>
            </w:pPr>
            <w:r w:rsidRPr="00D2134C">
              <w:rPr>
                <w:rFonts w:ascii="Arial" w:hAnsi="Arial" w:cs="Arial"/>
                <w:color w:val="212121"/>
                <w:sz w:val="20"/>
                <w:szCs w:val="20"/>
                <w:lang w:val="en-AU"/>
              </w:rPr>
              <w:t>NT</w:t>
            </w:r>
          </w:p>
        </w:tc>
        <w:tc>
          <w:tcPr>
            <w:tcW w:w="709" w:type="dxa"/>
            <w:vAlign w:val="center"/>
          </w:tcPr>
          <w:p w14:paraId="55D8B717"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w:t>
            </w:r>
          </w:p>
        </w:tc>
        <w:tc>
          <w:tcPr>
            <w:tcW w:w="708" w:type="dxa"/>
            <w:vAlign w:val="center"/>
          </w:tcPr>
          <w:p w14:paraId="75F4D0C8" w14:textId="77777777" w:rsidR="00677C63" w:rsidRPr="00D2134C" w:rsidRDefault="00677C63"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p>
        </w:tc>
        <w:tc>
          <w:tcPr>
            <w:tcW w:w="851" w:type="dxa"/>
            <w:vAlign w:val="center"/>
          </w:tcPr>
          <w:p w14:paraId="4BFA8A48"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w:t>
            </w:r>
          </w:p>
        </w:tc>
        <w:tc>
          <w:tcPr>
            <w:tcW w:w="709" w:type="dxa"/>
            <w:vAlign w:val="center"/>
          </w:tcPr>
          <w:p w14:paraId="6597CF49"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44</w:t>
            </w:r>
          </w:p>
        </w:tc>
        <w:tc>
          <w:tcPr>
            <w:tcW w:w="708" w:type="dxa"/>
            <w:vAlign w:val="center"/>
          </w:tcPr>
          <w:p w14:paraId="0BF80947"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993" w:type="dxa"/>
            <w:vAlign w:val="center"/>
          </w:tcPr>
          <w:p w14:paraId="45888F88"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49</w:t>
            </w:r>
          </w:p>
        </w:tc>
        <w:tc>
          <w:tcPr>
            <w:tcW w:w="850" w:type="dxa"/>
            <w:vAlign w:val="center"/>
          </w:tcPr>
          <w:p w14:paraId="22F72ABA" w14:textId="5D6B729B"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709" w:type="dxa"/>
            <w:vAlign w:val="center"/>
          </w:tcPr>
          <w:p w14:paraId="7F2EDEA2" w14:textId="43B30787"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vAlign w:val="center"/>
          </w:tcPr>
          <w:p w14:paraId="441FEE7A" w14:textId="6C145ADB" w:rsidR="00677C63" w:rsidRPr="00D2134C" w:rsidRDefault="008A601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180CA174"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69</w:t>
            </w:r>
          </w:p>
        </w:tc>
      </w:tr>
      <w:tr w:rsidR="00C32469" w:rsidRPr="00D2134C" w14:paraId="6500B85D" w14:textId="77777777" w:rsidTr="00C32469">
        <w:trPr>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tcBorders>
            <w:vAlign w:val="center"/>
          </w:tcPr>
          <w:p w14:paraId="41C09482" w14:textId="77777777" w:rsidR="00677C63" w:rsidRPr="00D2134C" w:rsidRDefault="00677C63" w:rsidP="00BB5988">
            <w:pPr>
              <w:pStyle w:val="TableParagraph"/>
              <w:keepNext/>
              <w:spacing w:before="1" w:line="276" w:lineRule="auto"/>
              <w:ind w:right="24"/>
              <w:rPr>
                <w:rFonts w:ascii="Arial" w:hAnsi="Arial" w:cs="Arial"/>
                <w:b w:val="0"/>
                <w:sz w:val="20"/>
                <w:szCs w:val="20"/>
                <w:lang w:val="en-AU"/>
              </w:rPr>
            </w:pPr>
            <w:r w:rsidRPr="00D2134C">
              <w:rPr>
                <w:rFonts w:ascii="Arial" w:hAnsi="Arial" w:cs="Arial"/>
                <w:color w:val="212121"/>
                <w:sz w:val="20"/>
                <w:szCs w:val="20"/>
                <w:lang w:val="en-AU"/>
              </w:rPr>
              <w:t>External</w:t>
            </w:r>
            <w:r w:rsidRPr="00D2134C">
              <w:rPr>
                <w:rFonts w:ascii="Arial" w:hAnsi="Arial" w:cs="Arial"/>
                <w:color w:val="212121"/>
                <w:spacing w:val="-43"/>
                <w:sz w:val="20"/>
                <w:szCs w:val="20"/>
                <w:lang w:val="en-AU"/>
              </w:rPr>
              <w:t xml:space="preserve"> </w:t>
            </w:r>
            <w:r w:rsidRPr="00D2134C">
              <w:rPr>
                <w:rFonts w:ascii="Arial" w:hAnsi="Arial" w:cs="Arial"/>
                <w:color w:val="212121"/>
                <w:spacing w:val="-1"/>
                <w:sz w:val="20"/>
                <w:szCs w:val="20"/>
                <w:lang w:val="en-AU"/>
              </w:rPr>
              <w:t>territories</w:t>
            </w:r>
          </w:p>
        </w:tc>
        <w:tc>
          <w:tcPr>
            <w:tcW w:w="709" w:type="dxa"/>
            <w:vAlign w:val="center"/>
          </w:tcPr>
          <w:p w14:paraId="140E158C" w14:textId="108561A3" w:rsidR="00677C63" w:rsidRPr="00D2134C" w:rsidRDefault="008A6013" w:rsidP="00BB5988">
            <w:pPr>
              <w:pStyle w:val="TableParagraph"/>
              <w:keepNext/>
              <w:spacing w:before="1" w:line="256" w:lineRule="auto"/>
              <w:ind w:right="3"/>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8" w:type="dxa"/>
            <w:vAlign w:val="center"/>
          </w:tcPr>
          <w:p w14:paraId="7B5D58EC" w14:textId="5401BEF5" w:rsidR="00677C63" w:rsidRPr="00D2134C" w:rsidRDefault="008A6013" w:rsidP="00BB5988">
            <w:pPr>
              <w:pStyle w:val="TableParagraph"/>
              <w:keepNext/>
              <w:spacing w:before="1" w:line="256" w:lineRule="auto"/>
              <w:ind w:right="117"/>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1" w:type="dxa"/>
            <w:vAlign w:val="center"/>
          </w:tcPr>
          <w:p w14:paraId="4729575C" w14:textId="3FFEC6B7" w:rsidR="00677C63" w:rsidRPr="00D2134C" w:rsidRDefault="008A601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1809478E" w14:textId="30E973E1" w:rsidR="00677C63" w:rsidRPr="00D2134C" w:rsidRDefault="008A601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8" w:type="dxa"/>
            <w:vAlign w:val="center"/>
          </w:tcPr>
          <w:p w14:paraId="370AD1FA" w14:textId="33325343" w:rsidR="00677C63" w:rsidRPr="00D2134C" w:rsidRDefault="00B10A7F"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993" w:type="dxa"/>
            <w:vAlign w:val="center"/>
          </w:tcPr>
          <w:p w14:paraId="352630EC" w14:textId="3DCFA345" w:rsidR="00677C63" w:rsidRPr="00D2134C" w:rsidRDefault="00B10A7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0" w:type="dxa"/>
            <w:vAlign w:val="center"/>
          </w:tcPr>
          <w:p w14:paraId="152FA40E" w14:textId="532719FD" w:rsidR="00677C63" w:rsidRPr="00D2134C" w:rsidRDefault="00B10A7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vAlign w:val="center"/>
          </w:tcPr>
          <w:p w14:paraId="5FB56A27" w14:textId="255CE91A" w:rsidR="00677C63" w:rsidRPr="00D2134C" w:rsidRDefault="00B10A7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17" w:type="dxa"/>
            <w:vAlign w:val="center"/>
          </w:tcPr>
          <w:p w14:paraId="4DB6356E" w14:textId="0C7FBD2A" w:rsidR="00677C63" w:rsidRPr="00D2134C" w:rsidRDefault="00B10A7F"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right w:val="single" w:sz="8" w:space="0" w:color="C9C9C9" w:themeColor="accent3" w:themeTint="99"/>
            </w:tcBorders>
            <w:vAlign w:val="center"/>
          </w:tcPr>
          <w:p w14:paraId="622C9FF0" w14:textId="3FC9DDA6" w:rsidR="00677C63" w:rsidRPr="00D2134C" w:rsidRDefault="00B10A7F" w:rsidP="00BB5988">
            <w:pPr>
              <w:pStyle w:val="TableParagraph"/>
              <w:keepNext/>
              <w:spacing w:before="1" w:line="256" w:lineRule="auto"/>
              <w:ind w:right="29"/>
              <w:rPr>
                <w:rFonts w:ascii="Arial" w:hAnsi="Arial" w:cs="Arial"/>
                <w:sz w:val="20"/>
                <w:szCs w:val="20"/>
                <w:lang w:val="en-AU"/>
              </w:rPr>
            </w:pPr>
            <w:r w:rsidRPr="00D2134C">
              <w:rPr>
                <w:rFonts w:ascii="Cambria Math" w:hAnsi="Cambria Math" w:cs="Cambria Math"/>
                <w:sz w:val="20"/>
                <w:szCs w:val="20"/>
                <w:lang w:val="en-AU"/>
              </w:rPr>
              <w:t>‒</w:t>
            </w:r>
          </w:p>
        </w:tc>
      </w:tr>
      <w:tr w:rsidR="00C32469" w:rsidRPr="00D2134C" w14:paraId="1CECA2F5" w14:textId="77777777" w:rsidTr="00C3246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left w:val="single" w:sz="8" w:space="0" w:color="C9C9C9" w:themeColor="accent3" w:themeTint="99"/>
              <w:bottom w:val="single" w:sz="8" w:space="0" w:color="C9C9C9" w:themeColor="accent3" w:themeTint="99"/>
            </w:tcBorders>
            <w:vAlign w:val="center"/>
          </w:tcPr>
          <w:p w14:paraId="67ADC37D" w14:textId="77777777" w:rsidR="00677C63" w:rsidRPr="00D2134C" w:rsidRDefault="00677C63" w:rsidP="00BB5988">
            <w:pPr>
              <w:pStyle w:val="TableParagraph"/>
              <w:keepNext/>
              <w:spacing w:before="1" w:line="256" w:lineRule="auto"/>
              <w:ind w:right="40"/>
              <w:rPr>
                <w:rFonts w:ascii="Arial" w:hAnsi="Arial" w:cs="Arial"/>
                <w:b w:val="0"/>
                <w:sz w:val="20"/>
                <w:szCs w:val="20"/>
                <w:lang w:val="en-AU"/>
              </w:rPr>
            </w:pPr>
            <w:r w:rsidRPr="00D2134C">
              <w:rPr>
                <w:rFonts w:ascii="Arial" w:hAnsi="Arial" w:cs="Arial"/>
                <w:color w:val="212121"/>
                <w:sz w:val="20"/>
                <w:szCs w:val="20"/>
                <w:lang w:val="en-AU"/>
              </w:rPr>
              <w:t>Overseas</w:t>
            </w:r>
          </w:p>
        </w:tc>
        <w:tc>
          <w:tcPr>
            <w:tcW w:w="709" w:type="dxa"/>
            <w:tcBorders>
              <w:bottom w:val="single" w:sz="8" w:space="0" w:color="C9C9C9" w:themeColor="accent3" w:themeTint="99"/>
            </w:tcBorders>
            <w:vAlign w:val="center"/>
          </w:tcPr>
          <w:p w14:paraId="10318E58" w14:textId="32E4E4EA"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8" w:type="dxa"/>
            <w:tcBorders>
              <w:bottom w:val="single" w:sz="8" w:space="0" w:color="C9C9C9" w:themeColor="accent3" w:themeTint="99"/>
            </w:tcBorders>
            <w:vAlign w:val="center"/>
          </w:tcPr>
          <w:p w14:paraId="582E8A14" w14:textId="3DDED685" w:rsidR="00677C63" w:rsidRPr="00D2134C" w:rsidRDefault="00B10A7F" w:rsidP="00BB5988">
            <w:pPr>
              <w:pStyle w:val="TableParagraph"/>
              <w:keepNext/>
              <w:spacing w:before="1" w:line="256" w:lineRule="auto"/>
              <w:ind w:right="72"/>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1" w:type="dxa"/>
            <w:tcBorders>
              <w:bottom w:val="single" w:sz="8" w:space="0" w:color="C9C9C9" w:themeColor="accent3" w:themeTint="99"/>
            </w:tcBorders>
            <w:vAlign w:val="center"/>
          </w:tcPr>
          <w:p w14:paraId="0C73FF61" w14:textId="49FE176D"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tcBorders>
              <w:bottom w:val="single" w:sz="8" w:space="0" w:color="C9C9C9" w:themeColor="accent3" w:themeTint="99"/>
            </w:tcBorders>
            <w:vAlign w:val="center"/>
          </w:tcPr>
          <w:p w14:paraId="5918E51C" w14:textId="650AF6FF" w:rsidR="00677C63" w:rsidRPr="00D2134C" w:rsidRDefault="00B10A7F"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 xml:space="preserve"> ‒</w:t>
            </w:r>
          </w:p>
        </w:tc>
        <w:tc>
          <w:tcPr>
            <w:tcW w:w="708" w:type="dxa"/>
            <w:tcBorders>
              <w:bottom w:val="single" w:sz="8" w:space="0" w:color="C9C9C9" w:themeColor="accent3" w:themeTint="99"/>
            </w:tcBorders>
            <w:vAlign w:val="center"/>
          </w:tcPr>
          <w:p w14:paraId="2B1A37D8" w14:textId="1ED64C20" w:rsidR="00677C63" w:rsidRPr="00D2134C" w:rsidRDefault="00B10A7F"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993" w:type="dxa"/>
            <w:tcBorders>
              <w:bottom w:val="single" w:sz="8" w:space="0" w:color="C9C9C9" w:themeColor="accent3" w:themeTint="99"/>
            </w:tcBorders>
            <w:vAlign w:val="center"/>
          </w:tcPr>
          <w:p w14:paraId="27DD16B0" w14:textId="6639CE4A"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0" w:type="dxa"/>
            <w:tcBorders>
              <w:bottom w:val="single" w:sz="8" w:space="0" w:color="C9C9C9" w:themeColor="accent3" w:themeTint="99"/>
            </w:tcBorders>
            <w:vAlign w:val="center"/>
          </w:tcPr>
          <w:p w14:paraId="67BC20C5" w14:textId="64E66373"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709" w:type="dxa"/>
            <w:tcBorders>
              <w:bottom w:val="single" w:sz="8" w:space="0" w:color="C9C9C9" w:themeColor="accent3" w:themeTint="99"/>
            </w:tcBorders>
            <w:vAlign w:val="center"/>
          </w:tcPr>
          <w:p w14:paraId="374226AB" w14:textId="7F81DAD3"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17" w:type="dxa"/>
            <w:tcBorders>
              <w:bottom w:val="single" w:sz="8" w:space="0" w:color="C9C9C9" w:themeColor="accent3" w:themeTint="99"/>
            </w:tcBorders>
            <w:vAlign w:val="center"/>
          </w:tcPr>
          <w:p w14:paraId="7FD246AF" w14:textId="1225B6A2" w:rsidR="00677C63" w:rsidRPr="00D2134C" w:rsidRDefault="00B10A7F"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51" w:type="dxa"/>
            <w:tcBorders>
              <w:bottom w:val="single" w:sz="8" w:space="0" w:color="C9C9C9" w:themeColor="accent3" w:themeTint="99"/>
              <w:right w:val="single" w:sz="8" w:space="0" w:color="C9C9C9" w:themeColor="accent3" w:themeTint="99"/>
            </w:tcBorders>
            <w:vAlign w:val="center"/>
          </w:tcPr>
          <w:p w14:paraId="40EE9C3D" w14:textId="66302C8F" w:rsidR="00677C63" w:rsidRPr="00D2134C" w:rsidRDefault="00B10A7F" w:rsidP="00BB5988">
            <w:pPr>
              <w:pStyle w:val="TableParagraph"/>
              <w:keepNext/>
              <w:spacing w:before="1" w:line="256" w:lineRule="auto"/>
              <w:rPr>
                <w:rFonts w:ascii="Arial" w:hAnsi="Arial" w:cs="Arial"/>
                <w:sz w:val="20"/>
                <w:szCs w:val="20"/>
                <w:lang w:val="en-AU"/>
              </w:rPr>
            </w:pPr>
            <w:r w:rsidRPr="00D2134C">
              <w:rPr>
                <w:rFonts w:ascii="Cambria Math" w:hAnsi="Cambria Math" w:cs="Cambria Math"/>
                <w:sz w:val="20"/>
                <w:szCs w:val="20"/>
                <w:lang w:val="en-AU"/>
              </w:rPr>
              <w:t>‒</w:t>
            </w:r>
          </w:p>
        </w:tc>
      </w:tr>
      <w:tr w:rsidR="00C32469" w:rsidRPr="00D2134C" w14:paraId="7C473ACC" w14:textId="77777777" w:rsidTr="00C32469">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D345FD4" w14:textId="77777777" w:rsidR="00677C63" w:rsidRPr="00D2134C" w:rsidRDefault="00677C63" w:rsidP="00BB5988">
            <w:pPr>
              <w:pStyle w:val="TableParagraph"/>
              <w:keepNext/>
              <w:spacing w:line="256" w:lineRule="auto"/>
              <w:ind w:right="40"/>
              <w:rPr>
                <w:rFonts w:ascii="Arial" w:hAnsi="Arial" w:cs="Arial"/>
                <w:iCs/>
                <w:sz w:val="20"/>
                <w:szCs w:val="20"/>
                <w:lang w:val="en-AU"/>
              </w:rPr>
            </w:pPr>
            <w:r w:rsidRPr="00D2134C">
              <w:rPr>
                <w:rFonts w:ascii="Arial" w:hAnsi="Arial" w:cs="Arial"/>
                <w:iCs/>
                <w:sz w:val="20"/>
                <w:szCs w:val="20"/>
                <w:lang w:val="en-AU"/>
              </w:rPr>
              <w:t>Total</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1D4D2527" w14:textId="77777777" w:rsidR="00677C63" w:rsidRPr="00D2134C" w:rsidRDefault="00677C63" w:rsidP="00BB5988">
            <w:pPr>
              <w:pStyle w:val="TableParagraph"/>
              <w:keepNext/>
              <w:spacing w:line="256" w:lineRule="auto"/>
              <w:ind w:right="3"/>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788</w:t>
            </w:r>
          </w:p>
        </w:tc>
        <w:tc>
          <w:tcPr>
            <w:tcW w:w="70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3971A8B" w14:textId="77777777" w:rsidR="00677C63" w:rsidRPr="00D2134C" w:rsidRDefault="00677C63" w:rsidP="00BB5988">
            <w:pPr>
              <w:pStyle w:val="TableParagraph"/>
              <w:keepNext/>
              <w:spacing w:line="256" w:lineRule="auto"/>
              <w:ind w:right="117"/>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64</w:t>
            </w:r>
          </w:p>
        </w:tc>
        <w:tc>
          <w:tcPr>
            <w:tcW w:w="85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6E20403"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852</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67C0C5CC" w14:textId="3A9D1E4F"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r w:rsidR="00E2669C" w:rsidRPr="00D2134C">
              <w:rPr>
                <w:rFonts w:ascii="Arial" w:hAnsi="Arial" w:cs="Arial"/>
                <w:color w:val="000000"/>
                <w:sz w:val="20"/>
                <w:szCs w:val="20"/>
                <w:lang w:val="en-AU"/>
              </w:rPr>
              <w:t>,</w:t>
            </w:r>
            <w:r w:rsidRPr="00D2134C">
              <w:rPr>
                <w:rFonts w:ascii="Arial" w:hAnsi="Arial" w:cs="Arial"/>
                <w:color w:val="000000"/>
                <w:sz w:val="20"/>
                <w:szCs w:val="20"/>
                <w:lang w:val="en-AU"/>
              </w:rPr>
              <w:t>106</w:t>
            </w:r>
          </w:p>
        </w:tc>
        <w:tc>
          <w:tcPr>
            <w:tcW w:w="70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697113B9"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517</w:t>
            </w:r>
          </w:p>
        </w:tc>
        <w:tc>
          <w:tcPr>
            <w:tcW w:w="993"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20EA0A3" w14:textId="4252AB6C"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r w:rsidR="00E2669C" w:rsidRPr="00D2134C">
              <w:rPr>
                <w:rFonts w:ascii="Arial" w:hAnsi="Arial" w:cs="Arial"/>
                <w:color w:val="000000"/>
                <w:sz w:val="20"/>
                <w:szCs w:val="20"/>
                <w:lang w:val="en-AU"/>
              </w:rPr>
              <w:t>,</w:t>
            </w:r>
            <w:r w:rsidRPr="00D2134C">
              <w:rPr>
                <w:rFonts w:ascii="Arial" w:hAnsi="Arial" w:cs="Arial"/>
                <w:color w:val="000000"/>
                <w:sz w:val="20"/>
                <w:szCs w:val="20"/>
                <w:lang w:val="en-AU"/>
              </w:rPr>
              <w:t>623</w:t>
            </w:r>
          </w:p>
        </w:tc>
        <w:tc>
          <w:tcPr>
            <w:tcW w:w="85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76354D6D"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tcW w:w="70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75E841FC" w14:textId="0083F3E3" w:rsidR="00677C63" w:rsidRPr="00D2134C" w:rsidRDefault="00B10A7F"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1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6A385642"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cnfStyle w:val="000100000000" w:firstRow="0" w:lastRow="0" w:firstColumn="0" w:lastColumn="1" w:oddVBand="0" w:evenVBand="0" w:oddHBand="0" w:evenHBand="0" w:firstRowFirstColumn="0" w:firstRowLastColumn="0" w:lastRowFirstColumn="0" w:lastRowLastColumn="0"/>
            <w:tcW w:w="85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E52099B" w14:textId="341F7170" w:rsidR="00677C63" w:rsidRPr="00D2134C" w:rsidRDefault="00677C63" w:rsidP="00BB5988">
            <w:pPr>
              <w:pStyle w:val="TableParagraph"/>
              <w:keepNext/>
              <w:spacing w:line="256" w:lineRule="auto"/>
              <w:ind w:right="29"/>
              <w:rPr>
                <w:rFonts w:ascii="Arial" w:hAnsi="Arial" w:cs="Arial"/>
                <w:sz w:val="20"/>
                <w:szCs w:val="20"/>
                <w:lang w:val="en-AU"/>
              </w:rPr>
            </w:pPr>
            <w:r w:rsidRPr="00D2134C">
              <w:rPr>
                <w:rFonts w:ascii="Arial" w:hAnsi="Arial" w:cs="Arial"/>
                <w:color w:val="000000"/>
                <w:sz w:val="20"/>
                <w:szCs w:val="20"/>
                <w:lang w:val="en-AU"/>
              </w:rPr>
              <w:t>3</w:t>
            </w:r>
            <w:r w:rsidR="007511F2" w:rsidRPr="00D2134C">
              <w:rPr>
                <w:rFonts w:ascii="Arial" w:hAnsi="Arial" w:cs="Arial"/>
                <w:color w:val="000000"/>
                <w:sz w:val="20"/>
                <w:szCs w:val="20"/>
                <w:lang w:val="en-AU"/>
              </w:rPr>
              <w:t>,</w:t>
            </w:r>
            <w:r w:rsidRPr="00D2134C">
              <w:rPr>
                <w:rFonts w:ascii="Arial" w:hAnsi="Arial" w:cs="Arial"/>
                <w:color w:val="000000"/>
                <w:sz w:val="20"/>
                <w:szCs w:val="20"/>
                <w:lang w:val="en-AU"/>
              </w:rPr>
              <w:t>476</w:t>
            </w:r>
          </w:p>
        </w:tc>
      </w:tr>
    </w:tbl>
    <w:p w14:paraId="6193B696" w14:textId="77777777" w:rsidR="00CA0050" w:rsidRPr="00D2134C" w:rsidRDefault="00CA0050">
      <w:pPr>
        <w:spacing w:before="0" w:after="160" w:line="259" w:lineRule="auto"/>
        <w:ind w:left="0"/>
        <w:rPr>
          <w:b/>
        </w:rPr>
      </w:pPr>
      <w:r w:rsidRPr="00D2134C">
        <w:rPr>
          <w:b/>
        </w:rPr>
        <w:br w:type="page"/>
      </w:r>
    </w:p>
    <w:p w14:paraId="53A7ACDA" w14:textId="27AC95AB" w:rsidR="00677C63" w:rsidRPr="00D2134C" w:rsidRDefault="00677C63" w:rsidP="00BB5988">
      <w:pPr>
        <w:pStyle w:val="FGCNORMAL"/>
        <w:keepNext/>
      </w:pPr>
      <w:r w:rsidRPr="00D2134C">
        <w:rPr>
          <w:b/>
        </w:rPr>
        <w:lastRenderedPageBreak/>
        <w:t>Table 5.4D:</w:t>
      </w:r>
      <w:r w:rsidRPr="00D2134C">
        <w:t xml:space="preserve"> All non-ongoing employees previous reporting period (2020–21)</w:t>
      </w:r>
    </w:p>
    <w:tbl>
      <w:tblPr>
        <w:tblStyle w:val="GridTable2-Accent31"/>
        <w:tblW w:w="9507" w:type="dxa"/>
        <w:tblInd w:w="557" w:type="dxa"/>
        <w:tblLayout w:type="fixed"/>
        <w:tblCellMar>
          <w:left w:w="28" w:type="dxa"/>
          <w:right w:w="28" w:type="dxa"/>
        </w:tblCellMar>
        <w:tblLook w:val="01E0" w:firstRow="1" w:lastRow="1" w:firstColumn="1" w:lastColumn="1" w:noHBand="0" w:noVBand="0"/>
      </w:tblPr>
      <w:tblGrid>
        <w:gridCol w:w="1119"/>
        <w:gridCol w:w="837"/>
        <w:gridCol w:w="698"/>
        <w:gridCol w:w="697"/>
        <w:gridCol w:w="837"/>
        <w:gridCol w:w="698"/>
        <w:gridCol w:w="836"/>
        <w:gridCol w:w="657"/>
        <w:gridCol w:w="851"/>
        <w:gridCol w:w="1403"/>
        <w:gridCol w:w="874"/>
      </w:tblGrid>
      <w:tr w:rsidR="00FB51F2" w:rsidRPr="00D2134C" w14:paraId="41E6E893" w14:textId="77777777" w:rsidTr="00CA581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top w:val="single" w:sz="8" w:space="0" w:color="C9C9C9" w:themeColor="accent3" w:themeTint="99"/>
              <w:left w:val="single" w:sz="8" w:space="0" w:color="C9C9C9" w:themeColor="accent3" w:themeTint="99"/>
            </w:tcBorders>
            <w:vAlign w:val="center"/>
          </w:tcPr>
          <w:p w14:paraId="629F1410"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2232" w:type="dxa"/>
            <w:gridSpan w:val="3"/>
            <w:tcBorders>
              <w:top w:val="single" w:sz="8" w:space="0" w:color="C9C9C9" w:themeColor="accent3" w:themeTint="99"/>
            </w:tcBorders>
            <w:vAlign w:val="center"/>
            <w:hideMark/>
          </w:tcPr>
          <w:p w14:paraId="0BD1A719"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Male</w:t>
            </w:r>
          </w:p>
        </w:tc>
        <w:tc>
          <w:tcPr>
            <w:tcW w:w="2371" w:type="dxa"/>
            <w:gridSpan w:val="3"/>
            <w:tcBorders>
              <w:top w:val="single" w:sz="8" w:space="0" w:color="C9C9C9" w:themeColor="accent3" w:themeTint="99"/>
            </w:tcBorders>
            <w:vAlign w:val="center"/>
            <w:hideMark/>
          </w:tcPr>
          <w:p w14:paraId="0504122C"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Female</w:t>
            </w:r>
          </w:p>
        </w:tc>
        <w:tc>
          <w:tcPr>
            <w:tcW w:w="2911" w:type="dxa"/>
            <w:gridSpan w:val="3"/>
            <w:tcBorders>
              <w:top w:val="single" w:sz="8" w:space="0" w:color="C9C9C9" w:themeColor="accent3" w:themeTint="99"/>
            </w:tcBorders>
            <w:vAlign w:val="center"/>
            <w:hideMark/>
          </w:tcPr>
          <w:p w14:paraId="0839DC48" w14:textId="77777777" w:rsidR="00677C63" w:rsidRPr="00D2134C" w:rsidRDefault="00677C63" w:rsidP="00BB5988">
            <w:pPr>
              <w:pStyle w:val="TableParagraph"/>
              <w:keepNext/>
              <w:spacing w:before="1" w:line="256"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lang w:val="en-AU"/>
              </w:rPr>
            </w:pPr>
            <w:r w:rsidRPr="00D2134C">
              <w:rPr>
                <w:rFonts w:ascii="Arial" w:hAnsi="Arial" w:cs="Arial"/>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74" w:type="dxa"/>
            <w:tcBorders>
              <w:top w:val="single" w:sz="8" w:space="0" w:color="C9C9C9" w:themeColor="accent3" w:themeTint="99"/>
              <w:right w:val="single" w:sz="8" w:space="0" w:color="C9C9C9" w:themeColor="accent3" w:themeTint="99"/>
            </w:tcBorders>
            <w:vAlign w:val="center"/>
            <w:hideMark/>
          </w:tcPr>
          <w:p w14:paraId="2EC475C6" w14:textId="77777777" w:rsidR="00677C63" w:rsidRPr="00D2134C" w:rsidRDefault="00677C63" w:rsidP="00BB5988">
            <w:pPr>
              <w:pStyle w:val="TableParagraph"/>
              <w:keepNext/>
              <w:spacing w:before="1" w:line="256" w:lineRule="auto"/>
              <w:rPr>
                <w:rFonts w:ascii="Arial" w:hAnsi="Arial" w:cs="Arial"/>
                <w:iCs/>
                <w:sz w:val="20"/>
                <w:szCs w:val="20"/>
                <w:lang w:val="en-AU"/>
              </w:rPr>
            </w:pPr>
            <w:r w:rsidRPr="00D2134C">
              <w:rPr>
                <w:rFonts w:ascii="Arial" w:hAnsi="Arial" w:cs="Arial"/>
                <w:iCs/>
                <w:sz w:val="20"/>
                <w:szCs w:val="20"/>
                <w:lang w:val="en-AU"/>
              </w:rPr>
              <w:t>Total</w:t>
            </w:r>
          </w:p>
        </w:tc>
      </w:tr>
      <w:tr w:rsidR="00DE0777" w:rsidRPr="00D2134C" w14:paraId="6923C096"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5275195B" w14:textId="77777777" w:rsidR="00677C63" w:rsidRPr="00D2134C" w:rsidRDefault="00677C63" w:rsidP="00BB5988">
            <w:pPr>
              <w:pStyle w:val="TableParagraph"/>
              <w:keepNext/>
              <w:spacing w:line="256" w:lineRule="auto"/>
              <w:rPr>
                <w:rFonts w:ascii="Arial" w:hAnsi="Arial" w:cs="Arial"/>
                <w:sz w:val="20"/>
                <w:szCs w:val="20"/>
                <w:lang w:val="en-AU"/>
              </w:rPr>
            </w:pPr>
          </w:p>
        </w:tc>
        <w:tc>
          <w:tcPr>
            <w:tcW w:w="837" w:type="dxa"/>
            <w:vAlign w:val="center"/>
            <w:hideMark/>
          </w:tcPr>
          <w:p w14:paraId="715A9C9C"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698" w:type="dxa"/>
            <w:vAlign w:val="center"/>
            <w:hideMark/>
          </w:tcPr>
          <w:p w14:paraId="3C3703BC"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697" w:type="dxa"/>
            <w:vAlign w:val="center"/>
            <w:hideMark/>
          </w:tcPr>
          <w:p w14:paraId="25970EE7" w14:textId="77777777" w:rsidR="00677C63" w:rsidRPr="00D2134C" w:rsidRDefault="00677C63" w:rsidP="00BB5988">
            <w:pPr>
              <w:pStyle w:val="TableParagraph"/>
              <w:keepNext/>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43"/>
                <w:sz w:val="20"/>
                <w:szCs w:val="20"/>
                <w:lang w:val="en-AU"/>
              </w:rPr>
              <w:t xml:space="preserve"> </w:t>
            </w:r>
            <w:r w:rsidRPr="00D2134C">
              <w:rPr>
                <w:rFonts w:ascii="Arial" w:hAnsi="Arial" w:cs="Arial"/>
                <w:i/>
                <w:sz w:val="20"/>
                <w:szCs w:val="20"/>
                <w:lang w:val="en-AU"/>
              </w:rPr>
              <w:t>male</w:t>
            </w:r>
          </w:p>
        </w:tc>
        <w:tc>
          <w:tcPr>
            <w:tcW w:w="837" w:type="dxa"/>
            <w:vAlign w:val="center"/>
            <w:hideMark/>
          </w:tcPr>
          <w:p w14:paraId="2F2371F6"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z w:val="20"/>
                <w:szCs w:val="20"/>
                <w:lang w:val="en-AU"/>
              </w:rPr>
              <w:br/>
              <w:t>time</w:t>
            </w:r>
          </w:p>
        </w:tc>
        <w:tc>
          <w:tcPr>
            <w:tcW w:w="698" w:type="dxa"/>
            <w:vAlign w:val="center"/>
            <w:hideMark/>
          </w:tcPr>
          <w:p w14:paraId="7DD7AD20"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836" w:type="dxa"/>
            <w:vAlign w:val="center"/>
            <w:hideMark/>
          </w:tcPr>
          <w:p w14:paraId="56199EC2" w14:textId="77777777" w:rsidR="00677C63" w:rsidRPr="00D2134C" w:rsidRDefault="00677C63" w:rsidP="00BB5988">
            <w:pPr>
              <w:pStyle w:val="TableParagraph"/>
              <w:keepNext/>
              <w:spacing w:line="276" w:lineRule="auto"/>
              <w:ind w:hanging="13"/>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female</w:t>
            </w:r>
          </w:p>
        </w:tc>
        <w:tc>
          <w:tcPr>
            <w:tcW w:w="657" w:type="dxa"/>
            <w:vAlign w:val="center"/>
            <w:hideMark/>
          </w:tcPr>
          <w:p w14:paraId="2FEC5550"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Full</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851" w:type="dxa"/>
            <w:vAlign w:val="center"/>
            <w:hideMark/>
          </w:tcPr>
          <w:p w14:paraId="1891B9ED" w14:textId="77777777" w:rsidR="00677C63" w:rsidRPr="00D2134C" w:rsidRDefault="00677C63" w:rsidP="00BB5988">
            <w:pPr>
              <w:pStyle w:val="TableParagraph"/>
              <w:keepNext/>
              <w:spacing w:before="125" w:line="256" w:lineRule="auto"/>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AU"/>
              </w:rPr>
            </w:pPr>
            <w:r w:rsidRPr="00D2134C">
              <w:rPr>
                <w:rFonts w:ascii="Arial" w:hAnsi="Arial" w:cs="Arial"/>
                <w:b/>
                <w:sz w:val="20"/>
                <w:szCs w:val="20"/>
                <w:lang w:val="en-AU"/>
              </w:rPr>
              <w:t>Part</w:t>
            </w:r>
            <w:r w:rsidRPr="00D2134C">
              <w:rPr>
                <w:rFonts w:ascii="Arial" w:hAnsi="Arial" w:cs="Arial"/>
                <w:b/>
                <w:spacing w:val="-1"/>
                <w:sz w:val="20"/>
                <w:szCs w:val="20"/>
                <w:lang w:val="en-AU"/>
              </w:rPr>
              <w:t xml:space="preserve"> </w:t>
            </w:r>
            <w:r w:rsidRPr="00D2134C">
              <w:rPr>
                <w:rFonts w:ascii="Arial" w:hAnsi="Arial" w:cs="Arial"/>
                <w:b/>
                <w:sz w:val="20"/>
                <w:szCs w:val="20"/>
                <w:lang w:val="en-AU"/>
              </w:rPr>
              <w:t>time</w:t>
            </w:r>
          </w:p>
        </w:tc>
        <w:tc>
          <w:tcPr>
            <w:tcW w:w="1403" w:type="dxa"/>
            <w:vAlign w:val="center"/>
            <w:hideMark/>
          </w:tcPr>
          <w:p w14:paraId="2996871A" w14:textId="77777777" w:rsidR="00677C63" w:rsidRPr="00D2134C" w:rsidRDefault="00677C63" w:rsidP="00BB5988">
            <w:pPr>
              <w:pStyle w:val="TableParagraph"/>
              <w:keepNext/>
              <w:spacing w:line="276" w:lineRule="auto"/>
              <w:ind w:hanging="11"/>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lang w:val="en-AU"/>
              </w:rPr>
            </w:pPr>
            <w:r w:rsidRPr="00D2134C">
              <w:rPr>
                <w:rFonts w:ascii="Arial" w:hAnsi="Arial" w:cs="Arial"/>
                <w:i/>
                <w:sz w:val="20"/>
                <w:szCs w:val="20"/>
                <w:lang w:val="en-AU"/>
              </w:rPr>
              <w:t>Total</w:t>
            </w:r>
            <w:r w:rsidRPr="00D2134C">
              <w:rPr>
                <w:rFonts w:ascii="Arial" w:hAnsi="Arial" w:cs="Arial"/>
                <w:i/>
                <w:spacing w:val="1"/>
                <w:sz w:val="20"/>
                <w:szCs w:val="20"/>
                <w:lang w:val="en-AU"/>
              </w:rPr>
              <w:t xml:space="preserve"> </w:t>
            </w:r>
            <w:r w:rsidRPr="00D2134C">
              <w:rPr>
                <w:rFonts w:ascii="Arial" w:hAnsi="Arial" w:cs="Arial"/>
                <w:i/>
                <w:sz w:val="20"/>
                <w:szCs w:val="20"/>
                <w:lang w:val="en-AU"/>
              </w:rPr>
              <w:t>indeterminate</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0EC9A74C" w14:textId="77777777" w:rsidR="00677C63" w:rsidRPr="00D2134C" w:rsidRDefault="00677C63" w:rsidP="00BB5988">
            <w:pPr>
              <w:pStyle w:val="TableParagraph"/>
              <w:keepNext/>
              <w:spacing w:line="256" w:lineRule="auto"/>
              <w:rPr>
                <w:rFonts w:ascii="Arial" w:hAnsi="Arial" w:cs="Arial"/>
                <w:sz w:val="20"/>
                <w:szCs w:val="20"/>
                <w:lang w:val="en-AU"/>
              </w:rPr>
            </w:pPr>
          </w:p>
        </w:tc>
      </w:tr>
      <w:tr w:rsidR="00FB51F2" w:rsidRPr="00D2134C" w14:paraId="63E16E7B" w14:textId="77777777" w:rsidTr="00CA5815">
        <w:trPr>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1BA01A41" w14:textId="77777777" w:rsidR="00677C63" w:rsidRPr="00D2134C" w:rsidRDefault="00677C63" w:rsidP="00BB5988">
            <w:pPr>
              <w:pStyle w:val="TableParagraph"/>
              <w:keepNext/>
              <w:spacing w:line="256" w:lineRule="auto"/>
              <w:rPr>
                <w:rFonts w:ascii="Arial" w:hAnsi="Arial" w:cs="Arial"/>
                <w:b w:val="0"/>
                <w:sz w:val="20"/>
                <w:szCs w:val="20"/>
                <w:lang w:val="en-AU"/>
              </w:rPr>
            </w:pPr>
            <w:r w:rsidRPr="00D2134C">
              <w:rPr>
                <w:rFonts w:ascii="Arial" w:hAnsi="Arial" w:cs="Arial"/>
                <w:color w:val="212121"/>
                <w:sz w:val="20"/>
                <w:szCs w:val="20"/>
                <w:lang w:val="en-AU"/>
              </w:rPr>
              <w:t>NSW</w:t>
            </w:r>
          </w:p>
        </w:tc>
        <w:tc>
          <w:tcPr>
            <w:tcW w:w="837" w:type="dxa"/>
            <w:vAlign w:val="center"/>
          </w:tcPr>
          <w:p w14:paraId="681BE855"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39</w:t>
            </w:r>
          </w:p>
        </w:tc>
        <w:tc>
          <w:tcPr>
            <w:tcW w:w="698" w:type="dxa"/>
            <w:vAlign w:val="center"/>
          </w:tcPr>
          <w:p w14:paraId="11ACF1FA" w14:textId="0979D355" w:rsidR="00677C63" w:rsidRPr="00D2134C" w:rsidRDefault="00426219"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32CBC948"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39</w:t>
            </w:r>
          </w:p>
        </w:tc>
        <w:tc>
          <w:tcPr>
            <w:tcW w:w="837" w:type="dxa"/>
            <w:vAlign w:val="center"/>
          </w:tcPr>
          <w:p w14:paraId="4EF5913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117</w:t>
            </w:r>
          </w:p>
        </w:tc>
        <w:tc>
          <w:tcPr>
            <w:tcW w:w="698" w:type="dxa"/>
            <w:vAlign w:val="center"/>
          </w:tcPr>
          <w:p w14:paraId="3DD1D94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w:t>
            </w:r>
          </w:p>
        </w:tc>
        <w:tc>
          <w:tcPr>
            <w:tcW w:w="836" w:type="dxa"/>
            <w:vAlign w:val="center"/>
          </w:tcPr>
          <w:p w14:paraId="368A60C0"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125</w:t>
            </w:r>
          </w:p>
        </w:tc>
        <w:tc>
          <w:tcPr>
            <w:tcW w:w="657" w:type="dxa"/>
            <w:vAlign w:val="center"/>
          </w:tcPr>
          <w:p w14:paraId="75AE704D" w14:textId="33328B9A" w:rsidR="00677C63" w:rsidRPr="00D2134C" w:rsidRDefault="00C32FDD"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40172FE9" w14:textId="215E6184" w:rsidR="00677C63" w:rsidRPr="00D2134C" w:rsidRDefault="00C32FDD"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5495D3E3" w14:textId="7432061D" w:rsidR="00677C63" w:rsidRPr="00D2134C" w:rsidRDefault="00C32FDD"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12EE87EE"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164</w:t>
            </w:r>
          </w:p>
        </w:tc>
      </w:tr>
      <w:tr w:rsidR="00DE0777" w:rsidRPr="00D2134C" w14:paraId="72A88793"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5A58474A"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Qld</w:t>
            </w:r>
          </w:p>
        </w:tc>
        <w:tc>
          <w:tcPr>
            <w:tcW w:w="837" w:type="dxa"/>
            <w:vAlign w:val="center"/>
          </w:tcPr>
          <w:p w14:paraId="07B3BD39"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33</w:t>
            </w:r>
          </w:p>
        </w:tc>
        <w:tc>
          <w:tcPr>
            <w:tcW w:w="698" w:type="dxa"/>
            <w:vAlign w:val="center"/>
          </w:tcPr>
          <w:p w14:paraId="156EF74C"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697" w:type="dxa"/>
            <w:vAlign w:val="center"/>
          </w:tcPr>
          <w:p w14:paraId="5D11CBF1"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34</w:t>
            </w:r>
          </w:p>
        </w:tc>
        <w:tc>
          <w:tcPr>
            <w:tcW w:w="837" w:type="dxa"/>
            <w:vAlign w:val="center"/>
          </w:tcPr>
          <w:p w14:paraId="0EC9B246"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115</w:t>
            </w:r>
          </w:p>
        </w:tc>
        <w:tc>
          <w:tcPr>
            <w:tcW w:w="698" w:type="dxa"/>
            <w:vAlign w:val="center"/>
          </w:tcPr>
          <w:p w14:paraId="6AC8D31C"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21</w:t>
            </w:r>
          </w:p>
        </w:tc>
        <w:tc>
          <w:tcPr>
            <w:tcW w:w="836" w:type="dxa"/>
            <w:vAlign w:val="center"/>
          </w:tcPr>
          <w:p w14:paraId="3557D567"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136</w:t>
            </w:r>
          </w:p>
        </w:tc>
        <w:tc>
          <w:tcPr>
            <w:tcW w:w="657" w:type="dxa"/>
            <w:vAlign w:val="center"/>
          </w:tcPr>
          <w:p w14:paraId="05A2B08E"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851" w:type="dxa"/>
            <w:vAlign w:val="center"/>
          </w:tcPr>
          <w:p w14:paraId="4D5BECC9" w14:textId="36485595" w:rsidR="00677C63" w:rsidRPr="00D2134C" w:rsidRDefault="00C32FDD"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5A97B382"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08CE6FED"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171</w:t>
            </w:r>
          </w:p>
        </w:tc>
      </w:tr>
      <w:tr w:rsidR="00FB51F2" w:rsidRPr="00D2134C" w14:paraId="71763A50" w14:textId="77777777" w:rsidTr="00CA5815">
        <w:trPr>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4666003F"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SA</w:t>
            </w:r>
          </w:p>
        </w:tc>
        <w:tc>
          <w:tcPr>
            <w:tcW w:w="837" w:type="dxa"/>
            <w:vAlign w:val="center"/>
          </w:tcPr>
          <w:p w14:paraId="522455D0"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19</w:t>
            </w:r>
          </w:p>
        </w:tc>
        <w:tc>
          <w:tcPr>
            <w:tcW w:w="698" w:type="dxa"/>
            <w:vAlign w:val="center"/>
          </w:tcPr>
          <w:p w14:paraId="56FD001A" w14:textId="3F2664E6" w:rsidR="00677C63" w:rsidRPr="00D2134C" w:rsidRDefault="00426219"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42F9C2BB"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19</w:t>
            </w:r>
          </w:p>
        </w:tc>
        <w:tc>
          <w:tcPr>
            <w:tcW w:w="837" w:type="dxa"/>
            <w:vAlign w:val="center"/>
          </w:tcPr>
          <w:p w14:paraId="02B05F3F"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51</w:t>
            </w:r>
          </w:p>
        </w:tc>
        <w:tc>
          <w:tcPr>
            <w:tcW w:w="698" w:type="dxa"/>
            <w:vAlign w:val="center"/>
          </w:tcPr>
          <w:p w14:paraId="4342A929"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w:t>
            </w:r>
          </w:p>
        </w:tc>
        <w:tc>
          <w:tcPr>
            <w:tcW w:w="836" w:type="dxa"/>
            <w:vAlign w:val="center"/>
          </w:tcPr>
          <w:p w14:paraId="6F60695A"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56</w:t>
            </w:r>
          </w:p>
        </w:tc>
        <w:tc>
          <w:tcPr>
            <w:tcW w:w="657" w:type="dxa"/>
            <w:vAlign w:val="center"/>
          </w:tcPr>
          <w:p w14:paraId="60B6A245" w14:textId="0D7BA037" w:rsidR="00677C63" w:rsidRPr="00D2134C" w:rsidRDefault="00C32FDD"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597C2594" w14:textId="42BC107C" w:rsidR="00677C63" w:rsidRPr="00D2134C" w:rsidRDefault="00C32FDD"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0ABA89EB" w14:textId="6FFDED03" w:rsidR="00677C63" w:rsidRPr="00D2134C" w:rsidRDefault="00C32FDD"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3149A61B"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75</w:t>
            </w:r>
          </w:p>
        </w:tc>
      </w:tr>
      <w:tr w:rsidR="00DE0777" w:rsidRPr="00D2134C" w14:paraId="75F4DDC5"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5FA80D77" w14:textId="77777777" w:rsidR="00677C63" w:rsidRPr="00D2134C" w:rsidRDefault="00677C63" w:rsidP="00BB5988">
            <w:pPr>
              <w:pStyle w:val="TableParagraph"/>
              <w:keepNext/>
              <w:spacing w:line="256" w:lineRule="auto"/>
              <w:rPr>
                <w:rFonts w:ascii="Arial" w:hAnsi="Arial" w:cs="Arial"/>
                <w:b w:val="0"/>
                <w:sz w:val="20"/>
                <w:szCs w:val="20"/>
                <w:lang w:val="en-AU"/>
              </w:rPr>
            </w:pPr>
            <w:r w:rsidRPr="00D2134C">
              <w:rPr>
                <w:rFonts w:ascii="Arial" w:hAnsi="Arial" w:cs="Arial"/>
                <w:color w:val="212121"/>
                <w:sz w:val="20"/>
                <w:szCs w:val="20"/>
                <w:lang w:val="en-AU"/>
              </w:rPr>
              <w:t>Tas</w:t>
            </w:r>
          </w:p>
        </w:tc>
        <w:tc>
          <w:tcPr>
            <w:tcW w:w="837" w:type="dxa"/>
            <w:vAlign w:val="center"/>
          </w:tcPr>
          <w:p w14:paraId="4D19788E"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698" w:type="dxa"/>
            <w:vAlign w:val="center"/>
          </w:tcPr>
          <w:p w14:paraId="6532AFC2" w14:textId="7B281551" w:rsidR="00677C63" w:rsidRPr="00D2134C" w:rsidRDefault="00426219"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648D8CF3"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837" w:type="dxa"/>
            <w:vAlign w:val="center"/>
          </w:tcPr>
          <w:p w14:paraId="25654090"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698" w:type="dxa"/>
            <w:vAlign w:val="center"/>
          </w:tcPr>
          <w:p w14:paraId="386A9893"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36" w:type="dxa"/>
            <w:vAlign w:val="center"/>
          </w:tcPr>
          <w:p w14:paraId="6C6C0515"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657" w:type="dxa"/>
            <w:vAlign w:val="center"/>
          </w:tcPr>
          <w:p w14:paraId="070BF3FD" w14:textId="310CD54C" w:rsidR="00677C63" w:rsidRPr="00D2134C" w:rsidRDefault="00C32FDD"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709BE00A" w14:textId="5824651F" w:rsidR="00677C63" w:rsidRPr="00D2134C" w:rsidRDefault="00C32FDD"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26EEC324" w14:textId="7D850C14" w:rsidR="00677C63" w:rsidRPr="00D2134C" w:rsidRDefault="00C32FDD"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30C0F7F2"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5</w:t>
            </w:r>
          </w:p>
        </w:tc>
      </w:tr>
      <w:tr w:rsidR="00FB51F2" w:rsidRPr="00D2134C" w14:paraId="43538DD9" w14:textId="77777777" w:rsidTr="00CA5815">
        <w:trPr>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4DECCD1F"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Vic</w:t>
            </w:r>
          </w:p>
        </w:tc>
        <w:tc>
          <w:tcPr>
            <w:tcW w:w="837" w:type="dxa"/>
            <w:vAlign w:val="center"/>
          </w:tcPr>
          <w:p w14:paraId="1085F029"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78</w:t>
            </w:r>
          </w:p>
        </w:tc>
        <w:tc>
          <w:tcPr>
            <w:tcW w:w="698" w:type="dxa"/>
            <w:vAlign w:val="center"/>
          </w:tcPr>
          <w:p w14:paraId="7D5B1CD3" w14:textId="621C6A8C" w:rsidR="00677C63" w:rsidRPr="00D2134C" w:rsidRDefault="009A0B90"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w:t>
            </w:r>
          </w:p>
        </w:tc>
        <w:tc>
          <w:tcPr>
            <w:tcW w:w="697" w:type="dxa"/>
            <w:vAlign w:val="center"/>
          </w:tcPr>
          <w:p w14:paraId="2B6DB2E1" w14:textId="0C3D623E"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8</w:t>
            </w:r>
            <w:r w:rsidR="009A0B90" w:rsidRPr="00D2134C">
              <w:rPr>
                <w:rFonts w:ascii="Arial" w:hAnsi="Arial" w:cs="Arial"/>
                <w:color w:val="000000"/>
                <w:sz w:val="20"/>
                <w:szCs w:val="20"/>
                <w:lang w:val="en-AU"/>
              </w:rPr>
              <w:t>0</w:t>
            </w:r>
          </w:p>
        </w:tc>
        <w:tc>
          <w:tcPr>
            <w:tcW w:w="837" w:type="dxa"/>
            <w:vAlign w:val="center"/>
          </w:tcPr>
          <w:p w14:paraId="2A742EB1"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176</w:t>
            </w:r>
          </w:p>
        </w:tc>
        <w:tc>
          <w:tcPr>
            <w:tcW w:w="698" w:type="dxa"/>
            <w:vAlign w:val="center"/>
          </w:tcPr>
          <w:p w14:paraId="463004A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34</w:t>
            </w:r>
          </w:p>
        </w:tc>
        <w:tc>
          <w:tcPr>
            <w:tcW w:w="836" w:type="dxa"/>
            <w:vAlign w:val="center"/>
          </w:tcPr>
          <w:p w14:paraId="3B3072E2" w14:textId="77777777" w:rsidR="00677C63" w:rsidRPr="00D2134C" w:rsidRDefault="00677C6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210</w:t>
            </w:r>
          </w:p>
        </w:tc>
        <w:tc>
          <w:tcPr>
            <w:tcW w:w="657" w:type="dxa"/>
            <w:vAlign w:val="center"/>
          </w:tcPr>
          <w:p w14:paraId="4CB4229D" w14:textId="27B9A812" w:rsidR="00677C63" w:rsidRPr="00D2134C" w:rsidRDefault="00740E83"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softHyphen/>
            </w:r>
            <w:r w:rsidRPr="00D2134C">
              <w:rPr>
                <w:rFonts w:ascii="Arial" w:hAnsi="Arial" w:cs="Arial"/>
                <w:sz w:val="20"/>
                <w:szCs w:val="20"/>
                <w:lang w:val="en-AU"/>
              </w:rPr>
              <w:softHyphen/>
            </w:r>
            <w:r w:rsidR="00EF6D87" w:rsidRPr="00D2134C">
              <w:rPr>
                <w:rFonts w:ascii="Arial" w:hAnsi="Arial" w:cs="Arial"/>
                <w:sz w:val="20"/>
                <w:szCs w:val="20"/>
                <w:lang w:val="en-AU"/>
              </w:rPr>
              <w:t>–</w:t>
            </w:r>
          </w:p>
        </w:tc>
        <w:tc>
          <w:tcPr>
            <w:tcW w:w="851" w:type="dxa"/>
            <w:vAlign w:val="center"/>
          </w:tcPr>
          <w:p w14:paraId="35A0CB0F" w14:textId="2235FB9A" w:rsidR="00677C63" w:rsidRPr="00D2134C" w:rsidRDefault="00EF6D87"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749AD91C" w14:textId="2F838224" w:rsidR="00677C63" w:rsidRPr="00D2134C" w:rsidRDefault="00426219"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7387FF21" w14:textId="43217476"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29</w:t>
            </w:r>
            <w:r w:rsidR="009A0B90" w:rsidRPr="00D2134C">
              <w:rPr>
                <w:rFonts w:ascii="Arial" w:hAnsi="Arial" w:cs="Arial"/>
                <w:color w:val="000000"/>
                <w:sz w:val="20"/>
                <w:szCs w:val="20"/>
                <w:lang w:val="en-AU"/>
              </w:rPr>
              <w:t>0</w:t>
            </w:r>
          </w:p>
        </w:tc>
      </w:tr>
      <w:tr w:rsidR="00DE0777" w:rsidRPr="00D2134C" w14:paraId="0D04411C"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77759738"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WA</w:t>
            </w:r>
          </w:p>
        </w:tc>
        <w:tc>
          <w:tcPr>
            <w:tcW w:w="837" w:type="dxa"/>
            <w:vAlign w:val="center"/>
          </w:tcPr>
          <w:p w14:paraId="753733EE"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w:t>
            </w:r>
          </w:p>
        </w:tc>
        <w:tc>
          <w:tcPr>
            <w:tcW w:w="698" w:type="dxa"/>
            <w:vAlign w:val="center"/>
          </w:tcPr>
          <w:p w14:paraId="61D02393" w14:textId="495D899A" w:rsidR="00677C63" w:rsidRPr="00D2134C" w:rsidRDefault="00426219"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08F1B0D2"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13</w:t>
            </w:r>
          </w:p>
        </w:tc>
        <w:tc>
          <w:tcPr>
            <w:tcW w:w="837" w:type="dxa"/>
            <w:vAlign w:val="center"/>
          </w:tcPr>
          <w:p w14:paraId="3B1929C7"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44</w:t>
            </w:r>
          </w:p>
        </w:tc>
        <w:tc>
          <w:tcPr>
            <w:tcW w:w="698" w:type="dxa"/>
            <w:vAlign w:val="center"/>
          </w:tcPr>
          <w:p w14:paraId="4F6487B1"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w:t>
            </w:r>
          </w:p>
        </w:tc>
        <w:tc>
          <w:tcPr>
            <w:tcW w:w="836" w:type="dxa"/>
            <w:vAlign w:val="center"/>
          </w:tcPr>
          <w:p w14:paraId="5EB66751"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51</w:t>
            </w:r>
          </w:p>
        </w:tc>
        <w:tc>
          <w:tcPr>
            <w:tcW w:w="657" w:type="dxa"/>
            <w:vAlign w:val="center"/>
          </w:tcPr>
          <w:p w14:paraId="16A67C59" w14:textId="3DFA410F" w:rsidR="00677C63" w:rsidRPr="00D2134C" w:rsidRDefault="00426219"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0BFD27B8" w14:textId="0020214E" w:rsidR="00677C63" w:rsidRPr="00D2134C" w:rsidRDefault="00426219"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09E978F7" w14:textId="49A3234C" w:rsidR="00677C63" w:rsidRPr="00D2134C" w:rsidRDefault="00426219"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5CD25B45"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64</w:t>
            </w:r>
          </w:p>
        </w:tc>
      </w:tr>
      <w:tr w:rsidR="00FB51F2" w:rsidRPr="00D2134C" w14:paraId="2F055502" w14:textId="77777777" w:rsidTr="00CA5815">
        <w:trPr>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774276E1" w14:textId="77777777" w:rsidR="00677C63" w:rsidRPr="00D2134C" w:rsidRDefault="00677C63" w:rsidP="00BB5988">
            <w:pPr>
              <w:pStyle w:val="TableParagraph"/>
              <w:keepNext/>
              <w:spacing w:line="256" w:lineRule="auto"/>
              <w:rPr>
                <w:rFonts w:ascii="Arial" w:hAnsi="Arial" w:cs="Arial"/>
                <w:b w:val="0"/>
                <w:sz w:val="20"/>
                <w:szCs w:val="20"/>
                <w:lang w:val="en-AU"/>
              </w:rPr>
            </w:pPr>
            <w:r w:rsidRPr="00D2134C">
              <w:rPr>
                <w:rFonts w:ascii="Arial" w:hAnsi="Arial" w:cs="Arial"/>
                <w:color w:val="212121"/>
                <w:sz w:val="20"/>
                <w:szCs w:val="20"/>
                <w:lang w:val="en-AU"/>
              </w:rPr>
              <w:t>ACT</w:t>
            </w:r>
          </w:p>
        </w:tc>
        <w:tc>
          <w:tcPr>
            <w:tcW w:w="837" w:type="dxa"/>
            <w:vAlign w:val="center"/>
          </w:tcPr>
          <w:p w14:paraId="4BD7A048"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16</w:t>
            </w:r>
          </w:p>
        </w:tc>
        <w:tc>
          <w:tcPr>
            <w:tcW w:w="698" w:type="dxa"/>
            <w:vAlign w:val="center"/>
          </w:tcPr>
          <w:p w14:paraId="2A2CBE74" w14:textId="6B230B80" w:rsidR="00677C63" w:rsidRPr="00D2134C" w:rsidRDefault="00426219"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119328E2"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16</w:t>
            </w:r>
          </w:p>
        </w:tc>
        <w:tc>
          <w:tcPr>
            <w:tcW w:w="837" w:type="dxa"/>
            <w:vAlign w:val="center"/>
          </w:tcPr>
          <w:p w14:paraId="5594172E"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31</w:t>
            </w:r>
          </w:p>
        </w:tc>
        <w:tc>
          <w:tcPr>
            <w:tcW w:w="698" w:type="dxa"/>
            <w:vAlign w:val="center"/>
          </w:tcPr>
          <w:p w14:paraId="2D4A1894"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w:t>
            </w:r>
          </w:p>
        </w:tc>
        <w:tc>
          <w:tcPr>
            <w:tcW w:w="836" w:type="dxa"/>
            <w:vAlign w:val="center"/>
          </w:tcPr>
          <w:p w14:paraId="0E9DA994" w14:textId="77777777" w:rsidR="00677C63" w:rsidRPr="00D2134C" w:rsidRDefault="00677C63"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35</w:t>
            </w:r>
          </w:p>
        </w:tc>
        <w:tc>
          <w:tcPr>
            <w:tcW w:w="657" w:type="dxa"/>
            <w:vAlign w:val="center"/>
          </w:tcPr>
          <w:p w14:paraId="517F5500" w14:textId="42F9CBFA" w:rsidR="00677C63" w:rsidRPr="00D2134C" w:rsidRDefault="00426219"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1CECD0B8" w14:textId="71FC6034" w:rsidR="00677C63" w:rsidRPr="00D2134C" w:rsidRDefault="00426219"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440FF604" w14:textId="51E8E4F1" w:rsidR="00677C63" w:rsidRPr="00D2134C" w:rsidRDefault="00426219"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335DC2C2" w14:textId="77777777"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51</w:t>
            </w:r>
          </w:p>
        </w:tc>
      </w:tr>
      <w:tr w:rsidR="00DE0777" w:rsidRPr="00D2134C" w14:paraId="6379FACB"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7A9B00F8"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NT</w:t>
            </w:r>
          </w:p>
        </w:tc>
        <w:tc>
          <w:tcPr>
            <w:tcW w:w="837" w:type="dxa"/>
            <w:vAlign w:val="center"/>
          </w:tcPr>
          <w:p w14:paraId="278122BB"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w:t>
            </w:r>
          </w:p>
        </w:tc>
        <w:tc>
          <w:tcPr>
            <w:tcW w:w="698" w:type="dxa"/>
            <w:vAlign w:val="center"/>
          </w:tcPr>
          <w:p w14:paraId="201E247F" w14:textId="66981CFF" w:rsidR="00677C63" w:rsidRPr="00D2134C" w:rsidRDefault="00426219"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697" w:type="dxa"/>
            <w:vAlign w:val="center"/>
          </w:tcPr>
          <w:p w14:paraId="3F6AD755"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4</w:t>
            </w:r>
          </w:p>
        </w:tc>
        <w:tc>
          <w:tcPr>
            <w:tcW w:w="837" w:type="dxa"/>
            <w:vAlign w:val="center"/>
          </w:tcPr>
          <w:p w14:paraId="00D39E64" w14:textId="77777777" w:rsidR="00677C63" w:rsidRPr="00D2134C" w:rsidRDefault="00677C63"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w:t>
            </w:r>
          </w:p>
        </w:tc>
        <w:tc>
          <w:tcPr>
            <w:tcW w:w="698" w:type="dxa"/>
            <w:vAlign w:val="center"/>
          </w:tcPr>
          <w:p w14:paraId="517012E2" w14:textId="0ACBAA07" w:rsidR="00677C63" w:rsidRPr="00D2134C" w:rsidRDefault="00682F11" w:rsidP="00682F11">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36" w:type="dxa"/>
            <w:vAlign w:val="center"/>
          </w:tcPr>
          <w:p w14:paraId="5391368D" w14:textId="77777777" w:rsidR="00677C63" w:rsidRPr="00D2134C" w:rsidRDefault="00677C63"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9</w:t>
            </w:r>
          </w:p>
        </w:tc>
        <w:tc>
          <w:tcPr>
            <w:tcW w:w="657" w:type="dxa"/>
            <w:vAlign w:val="center"/>
          </w:tcPr>
          <w:p w14:paraId="04E6AB59" w14:textId="4F953737"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851" w:type="dxa"/>
            <w:vAlign w:val="center"/>
          </w:tcPr>
          <w:p w14:paraId="20482CEE" w14:textId="5B025998"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vAlign w:val="center"/>
          </w:tcPr>
          <w:p w14:paraId="0BF077C3" w14:textId="43D37DD6"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232F2A64" w14:textId="77777777" w:rsidR="00677C63" w:rsidRPr="00D2134C" w:rsidRDefault="00677C63" w:rsidP="00BB5988">
            <w:pPr>
              <w:pStyle w:val="TableParagraph"/>
              <w:keepNext/>
              <w:spacing w:before="1" w:line="256" w:lineRule="auto"/>
              <w:rPr>
                <w:rFonts w:ascii="Arial" w:hAnsi="Arial" w:cs="Arial"/>
                <w:sz w:val="20"/>
                <w:szCs w:val="20"/>
                <w:lang w:val="en-AU"/>
              </w:rPr>
            </w:pPr>
            <w:r w:rsidRPr="00D2134C">
              <w:rPr>
                <w:rFonts w:ascii="Arial" w:hAnsi="Arial" w:cs="Arial"/>
                <w:color w:val="000000"/>
                <w:sz w:val="20"/>
                <w:szCs w:val="20"/>
                <w:lang w:val="en-AU"/>
              </w:rPr>
              <w:t>13</w:t>
            </w:r>
          </w:p>
        </w:tc>
      </w:tr>
      <w:tr w:rsidR="00FB51F2" w:rsidRPr="00D2134C" w14:paraId="5C17E6F0" w14:textId="77777777" w:rsidTr="00CA5815">
        <w:trPr>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tcBorders>
            <w:vAlign w:val="center"/>
          </w:tcPr>
          <w:p w14:paraId="59972DFD" w14:textId="77777777" w:rsidR="00677C63" w:rsidRPr="00D2134C" w:rsidRDefault="00677C63" w:rsidP="00BB5988">
            <w:pPr>
              <w:pStyle w:val="TableParagraph"/>
              <w:keepNext/>
              <w:spacing w:before="1" w:line="276" w:lineRule="auto"/>
              <w:rPr>
                <w:rFonts w:ascii="Arial" w:hAnsi="Arial" w:cs="Arial"/>
                <w:b w:val="0"/>
                <w:sz w:val="20"/>
                <w:szCs w:val="20"/>
                <w:lang w:val="en-AU"/>
              </w:rPr>
            </w:pPr>
            <w:r w:rsidRPr="00D2134C">
              <w:rPr>
                <w:rFonts w:ascii="Arial" w:hAnsi="Arial" w:cs="Arial"/>
                <w:color w:val="212121"/>
                <w:sz w:val="20"/>
                <w:szCs w:val="20"/>
                <w:lang w:val="en-AU"/>
              </w:rPr>
              <w:t>External</w:t>
            </w:r>
            <w:r w:rsidRPr="00D2134C">
              <w:rPr>
                <w:rFonts w:ascii="Arial" w:hAnsi="Arial" w:cs="Arial"/>
                <w:color w:val="212121"/>
                <w:spacing w:val="-43"/>
                <w:sz w:val="20"/>
                <w:szCs w:val="20"/>
                <w:lang w:val="en-AU"/>
              </w:rPr>
              <w:t xml:space="preserve"> </w:t>
            </w:r>
            <w:r w:rsidRPr="00D2134C">
              <w:rPr>
                <w:rFonts w:ascii="Arial" w:hAnsi="Arial" w:cs="Arial"/>
                <w:color w:val="212121"/>
                <w:spacing w:val="-1"/>
                <w:sz w:val="20"/>
                <w:szCs w:val="20"/>
                <w:lang w:val="en-AU"/>
              </w:rPr>
              <w:t>territories</w:t>
            </w:r>
          </w:p>
        </w:tc>
        <w:tc>
          <w:tcPr>
            <w:tcW w:w="837" w:type="dxa"/>
            <w:vAlign w:val="center"/>
          </w:tcPr>
          <w:p w14:paraId="17CC2080" w14:textId="7A43E75E"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8" w:type="dxa"/>
            <w:vAlign w:val="center"/>
          </w:tcPr>
          <w:p w14:paraId="0D077CF5" w14:textId="182A97A8"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7" w:type="dxa"/>
            <w:vAlign w:val="center"/>
          </w:tcPr>
          <w:p w14:paraId="73518E27" w14:textId="1E586FC9"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7" w:type="dxa"/>
            <w:vAlign w:val="center"/>
          </w:tcPr>
          <w:p w14:paraId="1AC7757E" w14:textId="6B420AAA" w:rsidR="00677C63" w:rsidRPr="00D2134C" w:rsidRDefault="00682F11"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8" w:type="dxa"/>
            <w:vAlign w:val="center"/>
          </w:tcPr>
          <w:p w14:paraId="70F3180B" w14:textId="7E454F79" w:rsidR="00677C63" w:rsidRPr="00D2134C" w:rsidRDefault="00682F11" w:rsidP="00BB5988">
            <w:pPr>
              <w:pStyle w:val="TableParagraph"/>
              <w:keepNext/>
              <w:spacing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6" w:type="dxa"/>
            <w:vAlign w:val="center"/>
          </w:tcPr>
          <w:p w14:paraId="38EE63D2" w14:textId="4A8B22A8"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57" w:type="dxa"/>
            <w:vAlign w:val="center"/>
          </w:tcPr>
          <w:p w14:paraId="2C7832A7" w14:textId="05D1B553"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1" w:type="dxa"/>
            <w:vAlign w:val="center"/>
          </w:tcPr>
          <w:p w14:paraId="1A3BEF76" w14:textId="7A2E5768"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03" w:type="dxa"/>
            <w:vAlign w:val="center"/>
          </w:tcPr>
          <w:p w14:paraId="085E3D97" w14:textId="3765034C" w:rsidR="00677C63" w:rsidRPr="00D2134C" w:rsidRDefault="00682F11" w:rsidP="00BB5988">
            <w:pPr>
              <w:pStyle w:val="TableParagraph"/>
              <w:keepNext/>
              <w:spacing w:before="1" w:line="256"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right w:val="single" w:sz="8" w:space="0" w:color="C9C9C9" w:themeColor="accent3" w:themeTint="99"/>
            </w:tcBorders>
            <w:vAlign w:val="center"/>
          </w:tcPr>
          <w:p w14:paraId="226D746B" w14:textId="3D4F687E" w:rsidR="00677C63" w:rsidRPr="00D2134C" w:rsidRDefault="00682F11" w:rsidP="00BB5988">
            <w:pPr>
              <w:pStyle w:val="TableParagraph"/>
              <w:keepNext/>
              <w:spacing w:before="1" w:line="256" w:lineRule="auto"/>
              <w:rPr>
                <w:rFonts w:ascii="Arial" w:hAnsi="Arial" w:cs="Arial"/>
                <w:b w:val="0"/>
                <w:bCs w:val="0"/>
                <w:sz w:val="20"/>
                <w:szCs w:val="20"/>
                <w:lang w:val="en-AU"/>
              </w:rPr>
            </w:pPr>
            <w:r w:rsidRPr="00D2134C">
              <w:rPr>
                <w:rFonts w:ascii="Cambria Math" w:hAnsi="Cambria Math" w:cs="Cambria Math"/>
                <w:b w:val="0"/>
                <w:bCs w:val="0"/>
                <w:sz w:val="20"/>
                <w:szCs w:val="20"/>
                <w:lang w:val="en-AU"/>
              </w:rPr>
              <w:t>‒</w:t>
            </w:r>
          </w:p>
        </w:tc>
      </w:tr>
      <w:tr w:rsidR="00DE0777" w:rsidRPr="00D2134C" w14:paraId="7CDFCF8F" w14:textId="77777777" w:rsidTr="00CA581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left w:val="single" w:sz="8" w:space="0" w:color="C9C9C9" w:themeColor="accent3" w:themeTint="99"/>
              <w:bottom w:val="single" w:sz="8" w:space="0" w:color="C9C9C9" w:themeColor="accent3" w:themeTint="99"/>
            </w:tcBorders>
            <w:vAlign w:val="center"/>
          </w:tcPr>
          <w:p w14:paraId="1C037CA0" w14:textId="77777777" w:rsidR="00677C63" w:rsidRPr="00D2134C" w:rsidRDefault="00677C63" w:rsidP="00BB5988">
            <w:pPr>
              <w:pStyle w:val="TableParagraph"/>
              <w:keepNext/>
              <w:spacing w:before="1" w:line="256" w:lineRule="auto"/>
              <w:rPr>
                <w:rFonts w:ascii="Arial" w:hAnsi="Arial" w:cs="Arial"/>
                <w:b w:val="0"/>
                <w:sz w:val="20"/>
                <w:szCs w:val="20"/>
                <w:lang w:val="en-AU"/>
              </w:rPr>
            </w:pPr>
            <w:r w:rsidRPr="00D2134C">
              <w:rPr>
                <w:rFonts w:ascii="Arial" w:hAnsi="Arial" w:cs="Arial"/>
                <w:color w:val="212121"/>
                <w:sz w:val="20"/>
                <w:szCs w:val="20"/>
                <w:lang w:val="en-AU"/>
              </w:rPr>
              <w:t>Overseas</w:t>
            </w:r>
          </w:p>
        </w:tc>
        <w:tc>
          <w:tcPr>
            <w:tcW w:w="837" w:type="dxa"/>
            <w:tcBorders>
              <w:bottom w:val="single" w:sz="8" w:space="0" w:color="C9C9C9" w:themeColor="accent3" w:themeTint="99"/>
            </w:tcBorders>
            <w:vAlign w:val="center"/>
          </w:tcPr>
          <w:p w14:paraId="4CD0CE21" w14:textId="0EBDEF29"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8" w:type="dxa"/>
            <w:tcBorders>
              <w:bottom w:val="single" w:sz="8" w:space="0" w:color="C9C9C9" w:themeColor="accent3" w:themeTint="99"/>
            </w:tcBorders>
            <w:vAlign w:val="center"/>
          </w:tcPr>
          <w:p w14:paraId="0180B730" w14:textId="72E820F3"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7" w:type="dxa"/>
            <w:tcBorders>
              <w:bottom w:val="single" w:sz="8" w:space="0" w:color="C9C9C9" w:themeColor="accent3" w:themeTint="99"/>
            </w:tcBorders>
            <w:vAlign w:val="center"/>
          </w:tcPr>
          <w:p w14:paraId="42004ED4" w14:textId="438CD9AA"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7" w:type="dxa"/>
            <w:tcBorders>
              <w:bottom w:val="single" w:sz="8" w:space="0" w:color="C9C9C9" w:themeColor="accent3" w:themeTint="99"/>
            </w:tcBorders>
            <w:vAlign w:val="center"/>
          </w:tcPr>
          <w:p w14:paraId="20DD032B" w14:textId="496C5AC0" w:rsidR="00677C63" w:rsidRPr="00D2134C" w:rsidRDefault="00682F11"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98" w:type="dxa"/>
            <w:tcBorders>
              <w:bottom w:val="single" w:sz="8" w:space="0" w:color="C9C9C9" w:themeColor="accent3" w:themeTint="99"/>
            </w:tcBorders>
            <w:vAlign w:val="center"/>
          </w:tcPr>
          <w:p w14:paraId="59CF59FE" w14:textId="23BCE53B" w:rsidR="00677C63" w:rsidRPr="00D2134C" w:rsidRDefault="00682F11" w:rsidP="00BB5988">
            <w:pPr>
              <w:pStyle w:val="TableParagraph"/>
              <w:keepNext/>
              <w:spacing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36" w:type="dxa"/>
            <w:tcBorders>
              <w:bottom w:val="single" w:sz="8" w:space="0" w:color="C9C9C9" w:themeColor="accent3" w:themeTint="99"/>
            </w:tcBorders>
            <w:vAlign w:val="center"/>
          </w:tcPr>
          <w:p w14:paraId="02BC4928" w14:textId="32C8C0CC"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657" w:type="dxa"/>
            <w:tcBorders>
              <w:bottom w:val="single" w:sz="8" w:space="0" w:color="C9C9C9" w:themeColor="accent3" w:themeTint="99"/>
            </w:tcBorders>
            <w:vAlign w:val="center"/>
          </w:tcPr>
          <w:p w14:paraId="0C4F3BE1" w14:textId="3FB9FC90"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851" w:type="dxa"/>
            <w:tcBorders>
              <w:bottom w:val="single" w:sz="8" w:space="0" w:color="C9C9C9" w:themeColor="accent3" w:themeTint="99"/>
            </w:tcBorders>
            <w:vAlign w:val="center"/>
          </w:tcPr>
          <w:p w14:paraId="56B8F0FE" w14:textId="424CAA4C"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tcW w:w="1403" w:type="dxa"/>
            <w:tcBorders>
              <w:bottom w:val="single" w:sz="8" w:space="0" w:color="C9C9C9" w:themeColor="accent3" w:themeTint="99"/>
            </w:tcBorders>
            <w:vAlign w:val="center"/>
          </w:tcPr>
          <w:p w14:paraId="10023156" w14:textId="1D8C81D1" w:rsidR="00677C63" w:rsidRPr="00D2134C" w:rsidRDefault="00682F11" w:rsidP="00BB5988">
            <w:pPr>
              <w:pStyle w:val="TableParagraph"/>
              <w:keepNext/>
              <w:spacing w:before="1" w:line="256"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rPr>
            </w:pPr>
            <w:r w:rsidRPr="00D2134C">
              <w:rPr>
                <w:rFonts w:ascii="Cambria Math" w:hAnsi="Cambria Math" w:cs="Cambria Math"/>
                <w:sz w:val="20"/>
                <w:szCs w:val="20"/>
                <w:lang w:val="en-AU"/>
              </w:rPr>
              <w:t>‒</w:t>
            </w:r>
          </w:p>
        </w:tc>
        <w:tc>
          <w:tcPr>
            <w:cnfStyle w:val="000100000000" w:firstRow="0" w:lastRow="0" w:firstColumn="0" w:lastColumn="1" w:oddVBand="0" w:evenVBand="0" w:oddHBand="0" w:evenHBand="0" w:firstRowFirstColumn="0" w:firstRowLastColumn="0" w:lastRowFirstColumn="0" w:lastRowLastColumn="0"/>
            <w:tcW w:w="874" w:type="dxa"/>
            <w:tcBorders>
              <w:bottom w:val="single" w:sz="8" w:space="0" w:color="C9C9C9" w:themeColor="accent3" w:themeTint="99"/>
              <w:right w:val="single" w:sz="8" w:space="0" w:color="C9C9C9" w:themeColor="accent3" w:themeTint="99"/>
            </w:tcBorders>
            <w:vAlign w:val="center"/>
          </w:tcPr>
          <w:p w14:paraId="3F2B581B" w14:textId="28761AD9" w:rsidR="00677C63" w:rsidRPr="00D2134C" w:rsidRDefault="00682F11" w:rsidP="00BB5988">
            <w:pPr>
              <w:pStyle w:val="TableParagraph"/>
              <w:keepNext/>
              <w:spacing w:before="1" w:line="256" w:lineRule="auto"/>
              <w:rPr>
                <w:rFonts w:ascii="Arial" w:hAnsi="Arial" w:cs="Arial"/>
                <w:b w:val="0"/>
                <w:bCs w:val="0"/>
                <w:sz w:val="20"/>
                <w:szCs w:val="20"/>
                <w:lang w:val="en-AU"/>
              </w:rPr>
            </w:pPr>
            <w:r w:rsidRPr="00D2134C">
              <w:rPr>
                <w:rFonts w:ascii="Cambria Math" w:hAnsi="Cambria Math" w:cs="Cambria Math"/>
                <w:b w:val="0"/>
                <w:bCs w:val="0"/>
                <w:sz w:val="20"/>
                <w:szCs w:val="20"/>
                <w:lang w:val="en-AU"/>
              </w:rPr>
              <w:t>‒</w:t>
            </w:r>
          </w:p>
        </w:tc>
      </w:tr>
      <w:tr w:rsidR="00FB51F2" w:rsidRPr="00D2134C" w14:paraId="63EE414E" w14:textId="77777777" w:rsidTr="00CA5815">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19"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12A934B" w14:textId="77777777" w:rsidR="00677C63" w:rsidRPr="00D2134C" w:rsidRDefault="00677C63" w:rsidP="00BB5988">
            <w:pPr>
              <w:pStyle w:val="TableParagraph"/>
              <w:keepNext/>
              <w:spacing w:line="256" w:lineRule="auto"/>
              <w:rPr>
                <w:rFonts w:ascii="Arial" w:hAnsi="Arial" w:cs="Arial"/>
                <w:iCs/>
                <w:sz w:val="20"/>
                <w:szCs w:val="20"/>
                <w:lang w:val="en-AU"/>
              </w:rPr>
            </w:pPr>
            <w:r w:rsidRPr="00D2134C">
              <w:rPr>
                <w:rFonts w:ascii="Arial" w:hAnsi="Arial" w:cs="Arial"/>
                <w:iCs/>
                <w:sz w:val="20"/>
                <w:szCs w:val="20"/>
                <w:lang w:val="en-AU"/>
              </w:rPr>
              <w:t>Total</w:t>
            </w:r>
          </w:p>
        </w:tc>
        <w:tc>
          <w:tcPr>
            <w:tcW w:w="83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49615EEA"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204</w:t>
            </w:r>
          </w:p>
        </w:tc>
        <w:tc>
          <w:tcPr>
            <w:tcW w:w="69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7831977" w14:textId="169A2A42" w:rsidR="00677C63" w:rsidRPr="00D2134C" w:rsidRDefault="009A0B90"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3</w:t>
            </w:r>
          </w:p>
        </w:tc>
        <w:tc>
          <w:tcPr>
            <w:tcW w:w="69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B74B7A2" w14:textId="766BFFB2"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20</w:t>
            </w:r>
            <w:r w:rsidR="00FE3AEB" w:rsidRPr="00D2134C">
              <w:rPr>
                <w:rFonts w:ascii="Arial" w:hAnsi="Arial" w:cs="Arial"/>
                <w:color w:val="000000"/>
                <w:sz w:val="20"/>
                <w:szCs w:val="20"/>
                <w:lang w:val="en-AU"/>
              </w:rPr>
              <w:t>7</w:t>
            </w:r>
          </w:p>
        </w:tc>
        <w:tc>
          <w:tcPr>
            <w:tcW w:w="83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7B58DAF"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546</w:t>
            </w:r>
          </w:p>
        </w:tc>
        <w:tc>
          <w:tcPr>
            <w:tcW w:w="698"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5B091F28"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79</w:t>
            </w:r>
          </w:p>
        </w:tc>
        <w:tc>
          <w:tcPr>
            <w:tcW w:w="836"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7FD1E4C"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625</w:t>
            </w:r>
          </w:p>
        </w:tc>
        <w:tc>
          <w:tcPr>
            <w:tcW w:w="657"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147FF825"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color w:val="000000"/>
                <w:sz w:val="20"/>
                <w:szCs w:val="20"/>
                <w:lang w:val="en-AU"/>
              </w:rPr>
              <w:t>1</w:t>
            </w:r>
          </w:p>
        </w:tc>
        <w:tc>
          <w:tcPr>
            <w:tcW w:w="851"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C5F4F34" w14:textId="6DD4C0F3" w:rsidR="00677C63" w:rsidRPr="00D2134C" w:rsidRDefault="00682F11"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w:t>
            </w:r>
          </w:p>
        </w:tc>
        <w:tc>
          <w:tcPr>
            <w:tcW w:w="1403"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3F6E345D" w14:textId="77777777" w:rsidR="00677C63" w:rsidRPr="00D2134C" w:rsidRDefault="00677C63" w:rsidP="00BB5988">
            <w:pPr>
              <w:pStyle w:val="TableParagraph"/>
              <w:keepNext/>
              <w:spacing w:line="256" w:lineRule="auto"/>
              <w:cnfStyle w:val="010000000000" w:firstRow="0" w:lastRow="1" w:firstColumn="0" w:lastColumn="0" w:oddVBand="0" w:evenVBand="0" w:oddHBand="0" w:evenHBand="0" w:firstRowFirstColumn="0" w:firstRowLastColumn="0" w:lastRowFirstColumn="0" w:lastRowLastColumn="0"/>
              <w:rPr>
                <w:rFonts w:ascii="Arial" w:hAnsi="Arial" w:cs="Arial"/>
                <w:sz w:val="20"/>
                <w:szCs w:val="20"/>
                <w:lang w:val="en-AU"/>
              </w:rPr>
            </w:pPr>
            <w:r w:rsidRPr="00D2134C">
              <w:rPr>
                <w:rFonts w:ascii="Arial" w:hAnsi="Arial" w:cs="Arial"/>
                <w:sz w:val="20"/>
                <w:szCs w:val="20"/>
                <w:lang w:val="en-AU"/>
              </w:rPr>
              <w:t>1</w:t>
            </w:r>
          </w:p>
        </w:tc>
        <w:tc>
          <w:tcPr>
            <w:cnfStyle w:val="000100000000" w:firstRow="0" w:lastRow="0" w:firstColumn="0" w:lastColumn="1" w:oddVBand="0" w:evenVBand="0" w:oddHBand="0" w:evenHBand="0" w:firstRowFirstColumn="0" w:firstRowLastColumn="0" w:lastRowFirstColumn="0" w:lastRowLastColumn="0"/>
            <w:tcW w:w="874"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vAlign w:val="center"/>
          </w:tcPr>
          <w:p w14:paraId="01DBAFA7" w14:textId="3A796E15" w:rsidR="00677C63" w:rsidRPr="00D2134C" w:rsidRDefault="00677C63" w:rsidP="00BB5988">
            <w:pPr>
              <w:pStyle w:val="TableParagraph"/>
              <w:keepNext/>
              <w:spacing w:line="256" w:lineRule="auto"/>
              <w:rPr>
                <w:rFonts w:ascii="Arial" w:hAnsi="Arial" w:cs="Arial"/>
                <w:sz w:val="20"/>
                <w:szCs w:val="20"/>
                <w:lang w:val="en-AU"/>
              </w:rPr>
            </w:pPr>
            <w:r w:rsidRPr="00D2134C">
              <w:rPr>
                <w:rFonts w:ascii="Arial" w:hAnsi="Arial" w:cs="Arial"/>
                <w:color w:val="000000"/>
                <w:sz w:val="20"/>
                <w:szCs w:val="20"/>
                <w:lang w:val="en-AU"/>
              </w:rPr>
              <w:t>83</w:t>
            </w:r>
            <w:r w:rsidR="007B4742" w:rsidRPr="00D2134C">
              <w:rPr>
                <w:rFonts w:ascii="Arial" w:hAnsi="Arial" w:cs="Arial"/>
                <w:color w:val="000000"/>
                <w:sz w:val="20"/>
                <w:szCs w:val="20"/>
                <w:lang w:val="en-AU"/>
              </w:rPr>
              <w:t>3</w:t>
            </w:r>
          </w:p>
        </w:tc>
      </w:tr>
    </w:tbl>
    <w:p w14:paraId="464C2A8D" w14:textId="77777777" w:rsidR="00677C63" w:rsidRPr="00D2134C" w:rsidRDefault="00677C63" w:rsidP="00677C63">
      <w:pPr>
        <w:pStyle w:val="FGCHEADING2"/>
      </w:pPr>
      <w:bookmarkStart w:id="583" w:name="_Toc51068003"/>
      <w:bookmarkStart w:id="584" w:name="_Toc110532556"/>
      <w:bookmarkStart w:id="585" w:name="_Toc114477555"/>
      <w:bookmarkStart w:id="586" w:name="_Toc116473925"/>
      <w:r w:rsidRPr="00D2134C">
        <w:t>Executive remuneration policy</w:t>
      </w:r>
      <w:bookmarkEnd w:id="583"/>
      <w:bookmarkEnd w:id="584"/>
      <w:bookmarkEnd w:id="585"/>
      <w:bookmarkEnd w:id="586"/>
    </w:p>
    <w:p w14:paraId="73092C33" w14:textId="77777777" w:rsidR="00677C63" w:rsidRPr="00D2134C" w:rsidRDefault="00677C63" w:rsidP="00780639">
      <w:pPr>
        <w:pStyle w:val="FGCHEADING4"/>
        <w:ind w:left="648"/>
        <w:outlineLvl w:val="2"/>
      </w:pPr>
      <w:bookmarkStart w:id="587" w:name="_Toc23603197"/>
      <w:r w:rsidRPr="00D2134C">
        <w:t>Executive remuneration</w:t>
      </w:r>
    </w:p>
    <w:p w14:paraId="41F19D95" w14:textId="1D05A057" w:rsidR="00677C63" w:rsidRPr="00D2134C" w:rsidRDefault="00677C63" w:rsidP="00677C63">
      <w:pPr>
        <w:pStyle w:val="FGCNORMAL"/>
      </w:pPr>
      <w:r w:rsidRPr="00D2134C">
        <w:t xml:space="preserve">Outlined </w:t>
      </w:r>
      <w:r w:rsidR="002145DF">
        <w:t xml:space="preserve">in this section </w:t>
      </w:r>
      <w:r w:rsidRPr="00D2134C">
        <w:t xml:space="preserve">is information on the </w:t>
      </w:r>
      <w:r w:rsidR="00BA4DAD" w:rsidRPr="00D2134C">
        <w:t>NDIA</w:t>
      </w:r>
      <w:r w:rsidRPr="00D2134C">
        <w:t xml:space="preserve">’s remuneration practices, as well as the remuneration paid to the </w:t>
      </w:r>
      <w:r w:rsidR="00BA4DAD" w:rsidRPr="00D2134C">
        <w:t>NDIA</w:t>
      </w:r>
      <w:r w:rsidRPr="00D2134C">
        <w:t>’s key management personnel, senior executives and other highly paid staff for the year ended 30 June 2022 in accordance with the PGPA Rule.</w:t>
      </w:r>
    </w:p>
    <w:p w14:paraId="6D373D1C" w14:textId="77777777" w:rsidR="00677C63" w:rsidRPr="00D2134C" w:rsidRDefault="00677C63" w:rsidP="00780639">
      <w:pPr>
        <w:pStyle w:val="Heading43"/>
      </w:pPr>
      <w:r w:rsidRPr="00D2134C">
        <w:t xml:space="preserve">Remuneration policies, </w:t>
      </w:r>
      <w:proofErr w:type="gramStart"/>
      <w:r w:rsidRPr="00D2134C">
        <w:t>practices</w:t>
      </w:r>
      <w:proofErr w:type="gramEnd"/>
      <w:r w:rsidRPr="00D2134C">
        <w:t xml:space="preserve"> and governance arrangements</w:t>
      </w:r>
    </w:p>
    <w:p w14:paraId="7B304F28" w14:textId="3115863B" w:rsidR="00677C63" w:rsidRPr="00D2134C" w:rsidRDefault="00677C63" w:rsidP="00677C63">
      <w:pPr>
        <w:pStyle w:val="FGCNORMAL"/>
      </w:pPr>
      <w:bookmarkStart w:id="588" w:name="_Toc51068004"/>
      <w:r w:rsidRPr="00D2134C">
        <w:t xml:space="preserve">The </w:t>
      </w:r>
      <w:r w:rsidR="00BE0F00" w:rsidRPr="00D2134C">
        <w:t>Chair</w:t>
      </w:r>
      <w:r w:rsidRPr="00D2134C">
        <w:t xml:space="preserve"> and members of the Board are remunerated as per the Remuneration Tribunal (Remuneration and Allowances for Holders of Part-time Public Office) Determination 2021 made under subsections 7(3) and (4) of the </w:t>
      </w:r>
      <w:r w:rsidRPr="00D2134C">
        <w:rPr>
          <w:i/>
          <w:iCs/>
        </w:rPr>
        <w:t>Remuneration Tribunal Act 1973</w:t>
      </w:r>
      <w:r w:rsidRPr="00D2134C">
        <w:t xml:space="preserve">. </w:t>
      </w:r>
    </w:p>
    <w:p w14:paraId="0759B8A1" w14:textId="6BCE6DD9" w:rsidR="00677C63" w:rsidRPr="00D2134C" w:rsidRDefault="00677C63" w:rsidP="00677C63">
      <w:pPr>
        <w:pStyle w:val="FGCNORMAL"/>
      </w:pPr>
      <w:r w:rsidRPr="00D2134C">
        <w:t xml:space="preserve">The CEO of the </w:t>
      </w:r>
      <w:r w:rsidR="00BA4DAD" w:rsidRPr="00D2134C">
        <w:t>NDIA</w:t>
      </w:r>
      <w:r w:rsidRPr="00D2134C">
        <w:t xml:space="preserve"> is remunerated as per the Remuneration Tribunal (Remuneration and Allowances for Holders of Full-time Public Office) Determination 2021 made under subsections 7(3) and (4) of the </w:t>
      </w:r>
      <w:r w:rsidRPr="00D2134C">
        <w:rPr>
          <w:i/>
          <w:iCs/>
        </w:rPr>
        <w:t>Remuneration Tribunal Act 1973</w:t>
      </w:r>
      <w:r w:rsidRPr="00D2134C">
        <w:t xml:space="preserve">. </w:t>
      </w:r>
    </w:p>
    <w:p w14:paraId="180CBF26" w14:textId="3E0B3FFF" w:rsidR="00677C63" w:rsidRPr="00D2134C" w:rsidRDefault="00347C09" w:rsidP="00677C63">
      <w:pPr>
        <w:pStyle w:val="FGCNORMAL"/>
      </w:pPr>
      <w:r w:rsidRPr="00D2134C">
        <w:t>NDIA</w:t>
      </w:r>
      <w:r w:rsidR="00677C63" w:rsidRPr="00D2134C">
        <w:t xml:space="preserve"> SES employees are offered a remuneration and employment conditions package through an individual determination under the </w:t>
      </w:r>
      <w:r w:rsidR="00677C63" w:rsidRPr="00D2134C">
        <w:rPr>
          <w:i/>
          <w:iCs/>
        </w:rPr>
        <w:t>Public Service Act 1999</w:t>
      </w:r>
      <w:r w:rsidR="00677C63" w:rsidRPr="00D2134C">
        <w:t xml:space="preserve"> (section 24.1). Packages follow the principles outlined in the </w:t>
      </w:r>
      <w:r w:rsidR="00BA4DAD" w:rsidRPr="00D2134C">
        <w:t>NDIA</w:t>
      </w:r>
      <w:r w:rsidR="00677C63" w:rsidRPr="00D2134C">
        <w:t xml:space="preserve">’s Remuneration Policy and comply with the requirements of the Executive Remuneration Management Policy issued by the Australian Public Service Commission, including specific approval by the Public Service Commissioner if required. </w:t>
      </w:r>
    </w:p>
    <w:p w14:paraId="3C0DD34C" w14:textId="27437815" w:rsidR="00677C63" w:rsidRPr="00D2134C" w:rsidRDefault="00677C63" w:rsidP="00677C63">
      <w:pPr>
        <w:pStyle w:val="FGCNORMAL"/>
      </w:pPr>
      <w:r w:rsidRPr="00D2134C">
        <w:t xml:space="preserve">Other highly paid staff within the </w:t>
      </w:r>
      <w:r w:rsidR="00BA4DAD" w:rsidRPr="00D2134C">
        <w:t>NDIA</w:t>
      </w:r>
      <w:r w:rsidRPr="00D2134C">
        <w:t xml:space="preserve">, excluding SES employees, are remunerated in line with the </w:t>
      </w:r>
      <w:r w:rsidR="00BA4DAD" w:rsidRPr="00D2134C">
        <w:t>NDIA</w:t>
      </w:r>
      <w:r w:rsidRPr="00D2134C">
        <w:t xml:space="preserve"> Enterprise Agreement 2020–2023. This may include payment of a Higher Duties Allowance </w:t>
      </w:r>
      <w:proofErr w:type="gramStart"/>
      <w:r w:rsidRPr="00D2134C">
        <w:t>as a result of</w:t>
      </w:r>
      <w:proofErr w:type="gramEnd"/>
      <w:r w:rsidRPr="00D2134C">
        <w:t xml:space="preserve"> an employee performing higher duties or an </w:t>
      </w:r>
      <w:r w:rsidR="002145DF">
        <w:t>i</w:t>
      </w:r>
      <w:r w:rsidRPr="00D2134C">
        <w:t xml:space="preserve">ndividual </w:t>
      </w:r>
      <w:r w:rsidR="002145DF">
        <w:t>f</w:t>
      </w:r>
      <w:r w:rsidRPr="00D2134C">
        <w:t xml:space="preserve">lexibility </w:t>
      </w:r>
      <w:r w:rsidR="002145DF">
        <w:t>a</w:t>
      </w:r>
      <w:r w:rsidRPr="00D2134C">
        <w:t xml:space="preserve">rrangement. Remuneration-related policies that underpin the </w:t>
      </w:r>
      <w:r w:rsidR="00BA4DAD" w:rsidRPr="00D2134C">
        <w:t>NDIA</w:t>
      </w:r>
      <w:r w:rsidRPr="00D2134C">
        <w:t xml:space="preserve"> Enterprise Agreement 2020–2023 include the Remuneration Policy and the Allowances and Reimbursement Policy.</w:t>
      </w:r>
    </w:p>
    <w:p w14:paraId="796FD0D0" w14:textId="77777777" w:rsidR="00677C63" w:rsidRPr="00D2134C" w:rsidRDefault="00677C63" w:rsidP="00677C63">
      <w:pPr>
        <w:pStyle w:val="FGCNORMAL"/>
      </w:pPr>
      <w:proofErr w:type="gramStart"/>
      <w:r w:rsidRPr="00D2134C">
        <w:lastRenderedPageBreak/>
        <w:t>For the purpose of</w:t>
      </w:r>
      <w:proofErr w:type="gramEnd"/>
      <w:r w:rsidRPr="00D2134C">
        <w:t xml:space="preserve"> executive remuneration reporting, the scope includes salary, superannuation and executive vehicle benefits (where applicable), as well as any additional salary payments and/or other remuneration benefits for key management personnel and other highly paid staff. </w:t>
      </w:r>
    </w:p>
    <w:p w14:paraId="51AAC355" w14:textId="7A6B12FF" w:rsidR="00677C63" w:rsidRPr="00D2134C" w:rsidRDefault="00677C63" w:rsidP="00677C63">
      <w:pPr>
        <w:pStyle w:val="FGCNORMAL"/>
      </w:pPr>
      <w:r w:rsidRPr="00D2134C">
        <w:t xml:space="preserve">The </w:t>
      </w:r>
      <w:r w:rsidR="00BA4DAD" w:rsidRPr="00D2134C">
        <w:t>NDIA</w:t>
      </w:r>
      <w:r w:rsidRPr="00D2134C">
        <w:t xml:space="preserve"> Board established the People and Remuneration Committee to assist the Board to fulfil its governance responsibilities for the people and remuneration policies of the </w:t>
      </w:r>
      <w:r w:rsidR="00BA4DAD" w:rsidRPr="00D2134C">
        <w:t>NDIA</w:t>
      </w:r>
      <w:r w:rsidRPr="00D2134C">
        <w:t xml:space="preserve">. The disclosure requirements for executive remuneration in financial statements and annual reports for 2021–22 </w:t>
      </w:r>
      <w:proofErr w:type="gramStart"/>
      <w:r w:rsidRPr="00D2134C">
        <w:t>are</w:t>
      </w:r>
      <w:proofErr w:type="gramEnd"/>
      <w:r w:rsidRPr="00D2134C">
        <w:t xml:space="preserve"> incorporated in the Public Governance, Performance and Accountability (Financial Reporting) Rule 2015 and Subdivision C of Part 2</w:t>
      </w:r>
      <w:r w:rsidR="00465AFC">
        <w:t>–</w:t>
      </w:r>
      <w:r w:rsidRPr="00D2134C">
        <w:t xml:space="preserve">3 of the </w:t>
      </w:r>
      <w:r w:rsidR="006C10A4">
        <w:t>PGPA</w:t>
      </w:r>
      <w:r w:rsidRPr="00D2134C">
        <w:t xml:space="preserve"> Rule 2014, respectively.</w:t>
      </w:r>
    </w:p>
    <w:p w14:paraId="1F1472D1" w14:textId="70B846EE" w:rsidR="00677C63" w:rsidRPr="00D2134C" w:rsidRDefault="00677C63" w:rsidP="00677C63">
      <w:pPr>
        <w:pStyle w:val="FGCHEADING2"/>
      </w:pPr>
      <w:bookmarkStart w:id="589" w:name="_Toc110532557"/>
      <w:bookmarkStart w:id="590" w:name="_Toc114477556"/>
      <w:bookmarkStart w:id="591" w:name="_Toc116473926"/>
      <w:r w:rsidRPr="00D2134C">
        <w:t>Executive remuneration</w:t>
      </w:r>
      <w:bookmarkEnd w:id="587"/>
      <w:bookmarkEnd w:id="588"/>
      <w:bookmarkEnd w:id="589"/>
      <w:bookmarkEnd w:id="590"/>
      <w:bookmarkEnd w:id="591"/>
    </w:p>
    <w:p w14:paraId="6E8574B8" w14:textId="760D8C88" w:rsidR="00677C63" w:rsidRPr="00D2134C" w:rsidRDefault="00677C63" w:rsidP="00873C47">
      <w:pPr>
        <w:pStyle w:val="FGCHEADING3"/>
        <w:numPr>
          <w:ilvl w:val="2"/>
          <w:numId w:val="23"/>
        </w:numPr>
      </w:pPr>
      <w:bookmarkStart w:id="592" w:name="_Toc51068005"/>
      <w:bookmarkStart w:id="593" w:name="_Toc110532558"/>
      <w:bookmarkStart w:id="594" w:name="_Toc114477557"/>
      <w:bookmarkStart w:id="595" w:name="_Toc116414733"/>
      <w:bookmarkStart w:id="596" w:name="_Toc116473927"/>
      <w:r w:rsidRPr="00D2134C">
        <w:t>Key management personnel</w:t>
      </w:r>
      <w:bookmarkEnd w:id="592"/>
      <w:bookmarkEnd w:id="593"/>
      <w:bookmarkEnd w:id="594"/>
      <w:bookmarkEnd w:id="595"/>
      <w:bookmarkEnd w:id="596"/>
    </w:p>
    <w:p w14:paraId="10DBAAE9" w14:textId="3039B64D" w:rsidR="00677C63" w:rsidRPr="00D2134C" w:rsidRDefault="00677C63" w:rsidP="00677C63">
      <w:pPr>
        <w:pStyle w:val="FGCNORMAL"/>
      </w:pPr>
      <w:r w:rsidRPr="00D2134C">
        <w:t xml:space="preserve">During the year ended 30 June 2022, in addition to the Board, the </w:t>
      </w:r>
      <w:r w:rsidR="00290CAE" w:rsidRPr="00D2134C">
        <w:t>NDIA</w:t>
      </w:r>
      <w:r w:rsidRPr="00D2134C">
        <w:t xml:space="preserve"> had senior executive or equivalent officials who met the definition of key management personnel. Table 5.6.1A lists name</w:t>
      </w:r>
      <w:r w:rsidR="00DA2853" w:rsidRPr="00D2134C">
        <w:t>s</w:t>
      </w:r>
      <w:r w:rsidRPr="00D2134C">
        <w:t xml:space="preserve"> and length</w:t>
      </w:r>
      <w:r w:rsidR="00DA2853" w:rsidRPr="00D2134C">
        <w:t>s</w:t>
      </w:r>
      <w:r w:rsidRPr="00D2134C">
        <w:t xml:space="preserve"> of term </w:t>
      </w:r>
      <w:r w:rsidR="001A5949" w:rsidRPr="00D2134C">
        <w:t xml:space="preserve">for </w:t>
      </w:r>
      <w:r w:rsidR="00DA2853" w:rsidRPr="00D2134C">
        <w:t xml:space="preserve">key management </w:t>
      </w:r>
      <w:r w:rsidR="0092510A" w:rsidRPr="00D2134C">
        <w:t>personnel</w:t>
      </w:r>
      <w:r w:rsidRPr="00D2134C">
        <w:t>.</w:t>
      </w:r>
    </w:p>
    <w:p w14:paraId="56386E0E" w14:textId="77777777" w:rsidR="00677C63" w:rsidRPr="00D2134C" w:rsidRDefault="00677C63" w:rsidP="00DE21F0">
      <w:pPr>
        <w:pStyle w:val="FGCNORMAL"/>
        <w:keepNext/>
      </w:pPr>
      <w:r w:rsidRPr="00D2134C">
        <w:rPr>
          <w:b/>
        </w:rPr>
        <w:t>Table 5.6.1A:</w:t>
      </w:r>
      <w:r w:rsidRPr="00D2134C">
        <w:t xml:space="preserve"> Key management personnel</w:t>
      </w:r>
    </w:p>
    <w:p w14:paraId="4DE2FEE1" w14:textId="4CCF729B" w:rsidR="00677C63" w:rsidRDefault="00677C63" w:rsidP="00677C63">
      <w:pPr>
        <w:pStyle w:val="FGCCommentitalic"/>
      </w:pPr>
    </w:p>
    <w:tbl>
      <w:tblPr>
        <w:tblStyle w:val="GridTable2-Accent311"/>
        <w:tblW w:w="10656" w:type="dxa"/>
        <w:tblInd w:w="0" w:type="dxa"/>
        <w:tblLook w:val="04A0" w:firstRow="1" w:lastRow="0" w:firstColumn="1" w:lastColumn="0" w:noHBand="0" w:noVBand="1"/>
      </w:tblPr>
      <w:tblGrid>
        <w:gridCol w:w="10656"/>
      </w:tblGrid>
      <w:tr w:rsidR="006240F1" w14:paraId="4852C7AE" w14:textId="77777777" w:rsidTr="006240F1">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000" w:firstRow="0" w:lastRow="0" w:firstColumn="1" w:lastColumn="0" w:oddVBand="0" w:evenVBand="0" w:oddHBand="0" w:evenHBand="0" w:firstRowFirstColumn="0" w:firstRowLastColumn="0" w:lastRowFirstColumn="0" w:lastRowLastColumn="0"/>
            <w:tcW w:w="10656" w:type="dxa"/>
            <w:hideMark/>
          </w:tcPr>
          <w:p w14:paraId="5A6DFB69" w14:textId="77777777" w:rsidR="006240F1" w:rsidRDefault="006240F1">
            <w:pPr>
              <w:pStyle w:val="Tableformat"/>
              <w:rPr>
                <w:rFonts w:eastAsiaTheme="minorHAnsi"/>
              </w:rPr>
            </w:pPr>
            <w:r>
              <w:t>Name</w:t>
            </w:r>
          </w:p>
        </w:tc>
      </w:tr>
      <w:tr w:rsidR="006240F1" w14:paraId="71CC0A6A" w14:textId="77777777" w:rsidTr="006240F1">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2546CDB8"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2AC34491"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Dr Helen Nugent AC</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02A26C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Board Chairman </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C1F3BD3"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to 31 December 2021</w:t>
                  </w:r>
                </w:p>
              </w:tc>
            </w:tr>
          </w:tbl>
          <w:p w14:paraId="284ECAEF" w14:textId="77777777" w:rsidR="006240F1" w:rsidRDefault="006240F1">
            <w:pPr>
              <w:pStyle w:val="Tableformat"/>
              <w:rPr>
                <w:rFonts w:eastAsiaTheme="minorHAnsi"/>
                <w:highlight w:val="yellow"/>
                <w:lang w:bidi="ar-SA"/>
              </w:rPr>
            </w:pPr>
          </w:p>
        </w:tc>
      </w:tr>
      <w:tr w:rsidR="006240F1" w14:paraId="32F0C016" w14:textId="77777777" w:rsidTr="006240F1">
        <w:trPr>
          <w:trHeight w:val="413"/>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3469CE6B"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3BB86B4F" w14:textId="31137B38"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Mr </w:t>
                  </w:r>
                  <w:r w:rsidR="00783606">
                    <w:rPr>
                      <w:rFonts w:ascii="Calibri" w:eastAsia="Times New Roman" w:hAnsi="Calibri" w:cs="Calibri"/>
                      <w:color w:val="000000"/>
                      <w:sz w:val="20"/>
                      <w:szCs w:val="20"/>
                      <w:lang w:eastAsia="zh-CN" w:bidi="th-TH"/>
                    </w:rPr>
                    <w:t xml:space="preserve">Jim </w:t>
                  </w:r>
                  <w:r>
                    <w:rPr>
                      <w:rFonts w:ascii="Calibri" w:eastAsia="Times New Roman" w:hAnsi="Calibri" w:cs="Calibri"/>
                      <w:color w:val="000000"/>
                      <w:sz w:val="20"/>
                      <w:szCs w:val="20"/>
                      <w:lang w:eastAsia="zh-CN" w:bidi="th-TH"/>
                    </w:rPr>
                    <w:t>Minto</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CF997A2" w14:textId="5C5EA745"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Board Member and (Acting Chairman </w:t>
                  </w:r>
                  <w:r w:rsidR="0079415A">
                    <w:rPr>
                      <w:rFonts w:ascii="Calibri" w:eastAsia="Times New Roman" w:hAnsi="Calibri" w:cs="Calibri"/>
                      <w:color w:val="000000"/>
                      <w:sz w:val="20"/>
                      <w:szCs w:val="20"/>
                      <w:lang w:eastAsia="zh-CN" w:bidi="th-TH"/>
                    </w:rPr>
                    <w:br/>
                  </w:r>
                  <w:r>
                    <w:rPr>
                      <w:rFonts w:ascii="Calibri" w:eastAsia="Times New Roman" w:hAnsi="Calibri" w:cs="Calibri"/>
                      <w:color w:val="000000"/>
                      <w:sz w:val="20"/>
                      <w:szCs w:val="20"/>
                      <w:lang w:eastAsia="zh-CN" w:bidi="th-TH"/>
                    </w:rPr>
                    <w:t>1 January 2022 to 31 March 2022)</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E3AE4D6"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5A20AF45" w14:textId="77777777" w:rsidR="006240F1" w:rsidRDefault="006240F1">
            <w:pPr>
              <w:pStyle w:val="Tableformat"/>
              <w:rPr>
                <w:rFonts w:eastAsiaTheme="minorHAnsi"/>
                <w:highlight w:val="yellow"/>
                <w:lang w:bidi="ar-SA"/>
              </w:rPr>
            </w:pPr>
          </w:p>
        </w:tc>
      </w:tr>
      <w:tr w:rsidR="006240F1" w14:paraId="66E86219" w14:textId="77777777" w:rsidTr="006240F1">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74ABAF48"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905D38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Dr Denis Napthine AO</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F918D9B"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Chairman (from 1 April 2022)</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DF254CB"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from 1 January 2022</w:t>
                  </w:r>
                </w:p>
              </w:tc>
            </w:tr>
          </w:tbl>
          <w:p w14:paraId="79705E8E" w14:textId="77777777" w:rsidR="006240F1" w:rsidRDefault="006240F1">
            <w:pPr>
              <w:pStyle w:val="Tableformat"/>
              <w:rPr>
                <w:rFonts w:eastAsiaTheme="minorHAnsi"/>
                <w:highlight w:val="yellow"/>
                <w:lang w:bidi="ar-SA"/>
              </w:rPr>
            </w:pPr>
          </w:p>
        </w:tc>
      </w:tr>
      <w:tr w:rsidR="006240F1" w14:paraId="6205AC30" w14:textId="77777777" w:rsidTr="006240F1">
        <w:trPr>
          <w:trHeight w:val="410"/>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2FD108FE"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7C08444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Ms Meredith Allan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4313B67"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Board Member </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FC0BAF4"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from 1 January 2022</w:t>
                  </w:r>
                </w:p>
              </w:tc>
            </w:tr>
          </w:tbl>
          <w:p w14:paraId="0152D6C3" w14:textId="77777777" w:rsidR="006240F1" w:rsidRDefault="006240F1">
            <w:pPr>
              <w:pStyle w:val="Tableformat"/>
              <w:rPr>
                <w:rFonts w:eastAsiaTheme="minorHAnsi"/>
                <w:highlight w:val="yellow"/>
                <w:lang w:bidi="ar-SA"/>
              </w:rPr>
            </w:pPr>
          </w:p>
        </w:tc>
      </w:tr>
      <w:tr w:rsidR="006240F1" w14:paraId="5BFEF579" w14:textId="77777777" w:rsidTr="006240F1">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6E54354"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0EAB93DE"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Ms Sandra </w:t>
                  </w:r>
                  <w:proofErr w:type="spellStart"/>
                  <w:r>
                    <w:rPr>
                      <w:rFonts w:ascii="Calibri" w:eastAsia="Times New Roman" w:hAnsi="Calibri" w:cs="Calibri"/>
                      <w:color w:val="000000"/>
                      <w:sz w:val="20"/>
                      <w:szCs w:val="20"/>
                      <w:lang w:eastAsia="zh-CN" w:bidi="th-TH"/>
                    </w:rPr>
                    <w:t>Birkensleigh</w:t>
                  </w:r>
                  <w:proofErr w:type="spellEnd"/>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7547633"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Board Member </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E477877"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245495AE" w14:textId="77777777" w:rsidR="006240F1" w:rsidRDefault="006240F1">
            <w:pPr>
              <w:pStyle w:val="Tableformat"/>
              <w:rPr>
                <w:rFonts w:eastAsiaTheme="minorHAnsi"/>
                <w:highlight w:val="yellow"/>
                <w:lang w:bidi="ar-SA"/>
              </w:rPr>
            </w:pPr>
          </w:p>
        </w:tc>
      </w:tr>
      <w:tr w:rsidR="006240F1" w14:paraId="5950C4DA" w14:textId="77777777" w:rsidTr="006240F1">
        <w:trPr>
          <w:trHeight w:val="422"/>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5C421147"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F1C04D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Professor Jane Burns</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0F181F1"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C12E758"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6D9DC9BA" w14:textId="77777777" w:rsidR="006240F1" w:rsidRDefault="006240F1">
            <w:pPr>
              <w:pStyle w:val="Tableformat"/>
              <w:rPr>
                <w:rFonts w:eastAsiaTheme="minorHAnsi"/>
                <w:highlight w:val="yellow"/>
                <w:lang w:bidi="ar-SA"/>
              </w:rPr>
            </w:pPr>
          </w:p>
        </w:tc>
      </w:tr>
      <w:tr w:rsidR="006240F1" w14:paraId="3956C0B1" w14:textId="77777777" w:rsidTr="006240F1">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1ED0AB5C"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0A9CC8C6"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Mr Glenn Keys AO</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BCF04C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FF756F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464AA989" w14:textId="77777777" w:rsidR="006240F1" w:rsidRDefault="006240F1">
            <w:pPr>
              <w:pStyle w:val="Tableformat"/>
              <w:rPr>
                <w:rFonts w:eastAsiaTheme="minorHAnsi"/>
                <w:highlight w:val="yellow"/>
                <w:lang w:bidi="ar-SA"/>
              </w:rPr>
            </w:pPr>
          </w:p>
        </w:tc>
      </w:tr>
      <w:tr w:rsidR="006240F1" w14:paraId="4A4FE147" w14:textId="77777777" w:rsidTr="006240F1">
        <w:trPr>
          <w:trHeight w:val="40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FF2C1E9"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02B0A8F"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Ms Robyn Kruk AO </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E40FC0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E103CA1"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to 31 December 2021</w:t>
                  </w:r>
                </w:p>
              </w:tc>
            </w:tr>
          </w:tbl>
          <w:p w14:paraId="6F05BDD1" w14:textId="77777777" w:rsidR="006240F1" w:rsidRDefault="006240F1">
            <w:pPr>
              <w:pStyle w:val="Tableformat"/>
              <w:rPr>
                <w:rFonts w:eastAsiaTheme="minorHAnsi"/>
                <w:highlight w:val="yellow"/>
                <w:lang w:bidi="ar-SA"/>
              </w:rPr>
            </w:pPr>
          </w:p>
        </w:tc>
      </w:tr>
      <w:tr w:rsidR="006240F1" w14:paraId="66408F66" w14:textId="77777777" w:rsidTr="006240F1">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1E26BD7C"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75823F6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Mr John </w:t>
                  </w:r>
                  <w:proofErr w:type="spellStart"/>
                  <w:r>
                    <w:rPr>
                      <w:rFonts w:ascii="Calibri" w:eastAsia="Times New Roman" w:hAnsi="Calibri" w:cs="Calibri"/>
                      <w:color w:val="000000"/>
                      <w:sz w:val="20"/>
                      <w:szCs w:val="20"/>
                      <w:lang w:eastAsia="zh-CN" w:bidi="th-TH"/>
                    </w:rPr>
                    <w:t>Langoulant</w:t>
                  </w:r>
                  <w:proofErr w:type="spellEnd"/>
                  <w:r>
                    <w:rPr>
                      <w:rFonts w:ascii="Calibri" w:eastAsia="Times New Roman" w:hAnsi="Calibri" w:cs="Calibri"/>
                      <w:color w:val="000000"/>
                      <w:sz w:val="20"/>
                      <w:szCs w:val="20"/>
                      <w:lang w:eastAsia="zh-CN" w:bidi="th-TH"/>
                    </w:rPr>
                    <w:t xml:space="preserve"> AO</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0C8224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8D6A93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to 15 October 2021</w:t>
                  </w:r>
                </w:p>
              </w:tc>
            </w:tr>
          </w:tbl>
          <w:p w14:paraId="4F40065A" w14:textId="77777777" w:rsidR="006240F1" w:rsidRDefault="006240F1">
            <w:pPr>
              <w:pStyle w:val="Tableformat"/>
              <w:rPr>
                <w:rFonts w:eastAsiaTheme="minorHAnsi"/>
                <w:highlight w:val="yellow"/>
                <w:lang w:bidi="ar-SA"/>
              </w:rPr>
            </w:pPr>
          </w:p>
        </w:tc>
      </w:tr>
      <w:tr w:rsidR="006240F1" w14:paraId="51BD2018" w14:textId="77777777" w:rsidTr="006240F1">
        <w:trPr>
          <w:trHeight w:val="403"/>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7F0D9E0C"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5CA1AB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Ms Estelle Pearson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56EBB96"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41F47A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48752945" w14:textId="77777777" w:rsidR="006240F1" w:rsidRDefault="006240F1">
            <w:pPr>
              <w:pStyle w:val="Tableformat"/>
              <w:rPr>
                <w:rFonts w:eastAsiaTheme="minorHAnsi"/>
                <w:highlight w:val="yellow"/>
                <w:lang w:bidi="ar-SA"/>
              </w:rPr>
            </w:pPr>
          </w:p>
        </w:tc>
      </w:tr>
      <w:tr w:rsidR="006240F1" w14:paraId="6DA4C0E8" w14:textId="77777777" w:rsidTr="006240F1">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65F5F349"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F85255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Ms Leah van </w:t>
                  </w:r>
                  <w:proofErr w:type="spellStart"/>
                  <w:r>
                    <w:rPr>
                      <w:rFonts w:ascii="Calibri" w:eastAsia="Times New Roman" w:hAnsi="Calibri" w:cs="Calibri"/>
                      <w:color w:val="000000"/>
                      <w:sz w:val="20"/>
                      <w:szCs w:val="20"/>
                      <w:lang w:eastAsia="zh-CN" w:bidi="th-TH"/>
                    </w:rPr>
                    <w:t>Poppel</w:t>
                  </w:r>
                  <w:proofErr w:type="spellEnd"/>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1F7492A"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6BE84B5"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from 1 January 2022</w:t>
                  </w:r>
                </w:p>
              </w:tc>
            </w:tr>
          </w:tbl>
          <w:p w14:paraId="27832810" w14:textId="77777777" w:rsidR="006240F1" w:rsidRDefault="006240F1">
            <w:pPr>
              <w:pStyle w:val="Tableformat"/>
              <w:rPr>
                <w:rFonts w:eastAsiaTheme="minorHAnsi"/>
                <w:highlight w:val="yellow"/>
                <w:lang w:bidi="ar-SA"/>
              </w:rPr>
            </w:pPr>
          </w:p>
        </w:tc>
      </w:tr>
      <w:tr w:rsidR="006240F1" w14:paraId="4B9C8986" w14:textId="77777777" w:rsidTr="006240F1">
        <w:trPr>
          <w:trHeight w:val="419"/>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C03C7D5"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64896EFA"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Dr Peta Seaton AM</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7735FD7"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Board Member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030679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from 1 January 2022</w:t>
                  </w:r>
                </w:p>
              </w:tc>
            </w:tr>
          </w:tbl>
          <w:p w14:paraId="0815E91C" w14:textId="77777777" w:rsidR="006240F1" w:rsidRDefault="006240F1">
            <w:pPr>
              <w:pStyle w:val="Tableformat"/>
              <w:rPr>
                <w:rFonts w:eastAsiaTheme="minorHAnsi"/>
                <w:highlight w:val="yellow"/>
                <w:lang w:bidi="ar-SA"/>
              </w:rPr>
            </w:pPr>
          </w:p>
        </w:tc>
      </w:tr>
      <w:tr w:rsidR="006240F1" w14:paraId="471379E7" w14:textId="77777777" w:rsidTr="006240F1">
        <w:trPr>
          <w:cnfStyle w:val="000000100000" w:firstRow="0" w:lastRow="0" w:firstColumn="0" w:lastColumn="0" w:oddVBand="0" w:evenVBand="0" w:oddHBand="1"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2B3DABC3"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4F54B5EA"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Mr Martin Hoffman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FD3C2D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Chief Executive Officer </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9E6EDC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77F32D08" w14:textId="77777777" w:rsidR="006240F1" w:rsidRDefault="006240F1">
            <w:pPr>
              <w:pStyle w:val="Tableformat"/>
              <w:rPr>
                <w:rFonts w:eastAsiaTheme="minorHAnsi"/>
                <w:highlight w:val="yellow"/>
                <w:lang w:bidi="ar-SA"/>
              </w:rPr>
            </w:pPr>
          </w:p>
        </w:tc>
      </w:tr>
      <w:tr w:rsidR="006240F1" w14:paraId="32B27B57" w14:textId="77777777" w:rsidTr="006240F1">
        <w:trPr>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6B7C86F7"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1385F45"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lastRenderedPageBreak/>
                    <w:t>Mr Hamish Aikman</w:t>
                  </w:r>
                  <w:r>
                    <w:rPr>
                      <w:rFonts w:ascii="Times New Roman" w:eastAsia="Times New Roman" w:hAnsi="Times New Roman" w:cs="Times New Roman"/>
                      <w:color w:val="000000"/>
                      <w:sz w:val="16"/>
                      <w:szCs w:val="16"/>
                      <w:lang w:eastAsia="zh-CN" w:bidi="th-TH"/>
                    </w:rPr>
                    <w:t> </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7AABB76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Chief People Officer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8A8B6E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23529889" w14:textId="77777777" w:rsidR="006240F1" w:rsidRDefault="006240F1">
            <w:pPr>
              <w:pStyle w:val="Tableformat"/>
              <w:rPr>
                <w:rFonts w:eastAsiaTheme="minorHAnsi"/>
                <w:highlight w:val="yellow"/>
                <w:lang w:bidi="ar-SA"/>
              </w:rPr>
            </w:pPr>
          </w:p>
        </w:tc>
      </w:tr>
      <w:tr w:rsidR="006240F1" w14:paraId="1D5F8A15" w14:textId="77777777" w:rsidTr="006240F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B9D99FD"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04327B98"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Mr Oliver </w:t>
                  </w:r>
                  <w:proofErr w:type="spellStart"/>
                  <w:r>
                    <w:rPr>
                      <w:rFonts w:ascii="Calibri" w:eastAsia="Times New Roman" w:hAnsi="Calibri" w:cs="Calibri"/>
                      <w:color w:val="000000"/>
                      <w:sz w:val="20"/>
                      <w:szCs w:val="20"/>
                      <w:lang w:eastAsia="zh-CN" w:bidi="th-TH"/>
                    </w:rPr>
                    <w:t>Bladek</w:t>
                  </w:r>
                  <w:proofErr w:type="spellEnd"/>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FBC3888"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DCEO Design, Digital and Strategy</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2D189B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to 28 January 2022</w:t>
                  </w:r>
                </w:p>
              </w:tc>
            </w:tr>
          </w:tbl>
          <w:p w14:paraId="3829243A" w14:textId="77777777" w:rsidR="006240F1" w:rsidRDefault="006240F1">
            <w:pPr>
              <w:pStyle w:val="Tableformat"/>
              <w:rPr>
                <w:rFonts w:eastAsiaTheme="minorHAnsi"/>
                <w:highlight w:val="yellow"/>
                <w:lang w:bidi="ar-SA"/>
              </w:rPr>
            </w:pPr>
          </w:p>
        </w:tc>
      </w:tr>
      <w:tr w:rsidR="006240F1" w14:paraId="511D4201" w14:textId="77777777" w:rsidTr="006240F1">
        <w:trPr>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B4DC937"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75410644"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Mr Jeremy Dean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A9A5936"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DCEO Participant Experience Delivery</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E5D45DB"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Full year </w:t>
                  </w:r>
                </w:p>
              </w:tc>
            </w:tr>
          </w:tbl>
          <w:p w14:paraId="422CF0C3" w14:textId="77777777" w:rsidR="006240F1" w:rsidRDefault="006240F1">
            <w:pPr>
              <w:pStyle w:val="Tableformat"/>
              <w:rPr>
                <w:rFonts w:eastAsiaTheme="minorHAnsi"/>
                <w:highlight w:val="yellow"/>
                <w:lang w:bidi="ar-SA"/>
              </w:rPr>
            </w:pPr>
          </w:p>
        </w:tc>
      </w:tr>
      <w:tr w:rsidR="006240F1" w14:paraId="568729D9" w14:textId="77777777" w:rsidTr="006240F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60242E6E" w14:textId="77777777">
              <w:trPr>
                <w:trHeight w:val="566"/>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6A7A000B"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Mr Ian Frew</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560A47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Chief Information Officer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4792A72C"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67161DEE" w14:textId="77777777" w:rsidR="006240F1" w:rsidRDefault="006240F1">
            <w:pPr>
              <w:pStyle w:val="Tableformat"/>
              <w:rPr>
                <w:rFonts w:eastAsiaTheme="minorHAnsi"/>
                <w:highlight w:val="yellow"/>
                <w:lang w:bidi="ar-SA"/>
              </w:rPr>
            </w:pPr>
          </w:p>
        </w:tc>
      </w:tr>
      <w:tr w:rsidR="006240F1" w14:paraId="4CB4DF9D" w14:textId="77777777" w:rsidTr="006240F1">
        <w:trPr>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070AD27"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1A5D4360"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Mr David Gifford</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6EE6FA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Acting Deputy Scheme Actuary </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43F035D"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Part year – from 13 January 2022</w:t>
                  </w:r>
                </w:p>
              </w:tc>
            </w:tr>
          </w:tbl>
          <w:p w14:paraId="7DAF64A4" w14:textId="77777777" w:rsidR="006240F1" w:rsidRDefault="006240F1">
            <w:pPr>
              <w:pStyle w:val="Tableformat"/>
              <w:rPr>
                <w:rFonts w:eastAsiaTheme="minorHAnsi"/>
                <w:highlight w:val="yellow"/>
                <w:lang w:bidi="ar-SA"/>
              </w:rPr>
            </w:pPr>
          </w:p>
        </w:tc>
      </w:tr>
      <w:tr w:rsidR="006240F1" w14:paraId="19D8B5D2" w14:textId="77777777" w:rsidTr="006240F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4FB38CFC"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51F36EF6"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Ms Nicole </w:t>
                  </w:r>
                  <w:proofErr w:type="spellStart"/>
                  <w:r>
                    <w:rPr>
                      <w:rFonts w:ascii="Calibri" w:eastAsia="Times New Roman" w:hAnsi="Calibri" w:cs="Calibri"/>
                      <w:color w:val="000000"/>
                      <w:sz w:val="20"/>
                      <w:szCs w:val="20"/>
                      <w:lang w:eastAsia="zh-CN" w:bidi="th-TH"/>
                    </w:rPr>
                    <w:t>Glazebrook</w:t>
                  </w:r>
                  <w:proofErr w:type="spellEnd"/>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2F4C6E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Chief Financial Officer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037F8F92"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3634922E" w14:textId="77777777" w:rsidR="006240F1" w:rsidRDefault="006240F1">
            <w:pPr>
              <w:pStyle w:val="Tableformat"/>
              <w:rPr>
                <w:rFonts w:eastAsiaTheme="minorHAnsi"/>
                <w:highlight w:val="yellow"/>
                <w:lang w:bidi="ar-SA"/>
              </w:rPr>
            </w:pPr>
          </w:p>
        </w:tc>
      </w:tr>
      <w:tr w:rsidR="006240F1" w14:paraId="2FEE8767" w14:textId="77777777" w:rsidTr="006240F1">
        <w:trPr>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0A0E7291" w14:textId="77777777">
              <w:trPr>
                <w:trHeight w:val="765"/>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29C3FB3A"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Ms Sarah Johnson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5E89B3EA"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Scheme Actuary</w:t>
                  </w:r>
                  <w:r>
                    <w:rPr>
                      <w:rFonts w:ascii="Calibri" w:eastAsia="Times New Roman" w:hAnsi="Calibri" w:cs="Calibri"/>
                      <w:color w:val="000000"/>
                      <w:sz w:val="20"/>
                      <w:szCs w:val="20"/>
                      <w:lang w:eastAsia="zh-CN" w:bidi="th-TH"/>
                    </w:rPr>
                    <w:br/>
                    <w:t>Acting DCEO Design, Digital and Strategy (from 31 January 2022)</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3C7FBA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674DD4ED" w14:textId="77777777" w:rsidR="006240F1" w:rsidRDefault="006240F1">
            <w:pPr>
              <w:pStyle w:val="Tableformat"/>
              <w:rPr>
                <w:rFonts w:eastAsiaTheme="minorHAnsi"/>
                <w:highlight w:val="yellow"/>
                <w:lang w:bidi="ar-SA"/>
              </w:rPr>
            </w:pPr>
          </w:p>
        </w:tc>
      </w:tr>
      <w:tr w:rsidR="006240F1" w14:paraId="1331361E" w14:textId="77777777" w:rsidTr="006240F1">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53815801"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6CCD4532"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 xml:space="preserve">Ms Lisa </w:t>
                  </w:r>
                  <w:proofErr w:type="spellStart"/>
                  <w:r>
                    <w:rPr>
                      <w:rFonts w:ascii="Calibri" w:eastAsia="Times New Roman" w:hAnsi="Calibri" w:cs="Calibri"/>
                      <w:color w:val="000000"/>
                      <w:sz w:val="20"/>
                      <w:szCs w:val="20"/>
                      <w:lang w:eastAsia="zh-CN" w:bidi="th-TH"/>
                    </w:rPr>
                    <w:t>Studdert</w:t>
                  </w:r>
                  <w:proofErr w:type="spellEnd"/>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19E473A5"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DCEO Markets, Government &amp; Engagement</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6C354ABE"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2419F74E" w14:textId="77777777" w:rsidR="006240F1" w:rsidRDefault="006240F1">
            <w:pPr>
              <w:pStyle w:val="Tableformat"/>
              <w:rPr>
                <w:rFonts w:eastAsiaTheme="minorHAnsi"/>
                <w:highlight w:val="yellow"/>
                <w:lang w:bidi="ar-SA"/>
              </w:rPr>
            </w:pPr>
          </w:p>
        </w:tc>
      </w:tr>
      <w:tr w:rsidR="006240F1" w14:paraId="3CED7A98" w14:textId="77777777" w:rsidTr="006240F1">
        <w:trPr>
          <w:trHeight w:val="316"/>
        </w:trPr>
        <w:tc>
          <w:tcPr>
            <w:cnfStyle w:val="001000000000" w:firstRow="0" w:lastRow="0" w:firstColumn="1" w:lastColumn="0" w:oddVBand="0" w:evenVBand="0" w:oddHBand="0" w:evenHBand="0" w:firstRowFirstColumn="0" w:firstRowLastColumn="0" w:lastRowFirstColumn="0" w:lastRowLastColumn="0"/>
            <w:tcW w:w="10656" w:type="dxa"/>
            <w:tcBorders>
              <w:top w:val="nil"/>
              <w:left w:val="nil"/>
              <w:bottom w:val="nil"/>
              <w:right w:val="nil"/>
            </w:tcBorders>
            <w:hideMark/>
          </w:tcPr>
          <w:tbl>
            <w:tblPr>
              <w:tblW w:w="10420" w:type="dxa"/>
              <w:tblLook w:val="04A0" w:firstRow="1" w:lastRow="0" w:firstColumn="1" w:lastColumn="0" w:noHBand="0" w:noVBand="1"/>
            </w:tblPr>
            <w:tblGrid>
              <w:gridCol w:w="3035"/>
              <w:gridCol w:w="4052"/>
              <w:gridCol w:w="3333"/>
            </w:tblGrid>
            <w:tr w:rsidR="006240F1" w14:paraId="5E39CA44" w14:textId="77777777">
              <w:trPr>
                <w:trHeight w:val="600"/>
              </w:trPr>
              <w:tc>
                <w:tcPr>
                  <w:tcW w:w="3035" w:type="dxa"/>
                  <w:tcBorders>
                    <w:top w:val="nil"/>
                    <w:left w:val="single" w:sz="8" w:space="0" w:color="auto"/>
                    <w:bottom w:val="single" w:sz="8" w:space="0" w:color="auto"/>
                    <w:right w:val="single" w:sz="8" w:space="0" w:color="auto"/>
                  </w:tcBorders>
                  <w:tcMar>
                    <w:top w:w="15" w:type="dxa"/>
                    <w:left w:w="108" w:type="dxa"/>
                    <w:bottom w:w="15" w:type="dxa"/>
                    <w:right w:w="108" w:type="dxa"/>
                  </w:tcMar>
                  <w:vAlign w:val="center"/>
                  <w:hideMark/>
                </w:tcPr>
                <w:p w14:paraId="61F5DB03"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Ms Melissa Woodburn</w:t>
                  </w:r>
                </w:p>
              </w:tc>
              <w:tc>
                <w:tcPr>
                  <w:tcW w:w="4052"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2FDFF22F"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Chief Risk Officer</w:t>
                  </w:r>
                </w:p>
              </w:tc>
              <w:tc>
                <w:tcPr>
                  <w:tcW w:w="3333" w:type="dxa"/>
                  <w:tcBorders>
                    <w:top w:val="nil"/>
                    <w:left w:val="nil"/>
                    <w:bottom w:val="single" w:sz="8" w:space="0" w:color="auto"/>
                    <w:right w:val="single" w:sz="8" w:space="0" w:color="auto"/>
                  </w:tcBorders>
                  <w:tcMar>
                    <w:top w:w="15" w:type="dxa"/>
                    <w:left w:w="108" w:type="dxa"/>
                    <w:bottom w:w="15" w:type="dxa"/>
                    <w:right w:w="108" w:type="dxa"/>
                  </w:tcMar>
                  <w:vAlign w:val="center"/>
                  <w:hideMark/>
                </w:tcPr>
                <w:p w14:paraId="3D5AC4B9" w14:textId="77777777" w:rsidR="006240F1" w:rsidRDefault="006240F1">
                  <w:pPr>
                    <w:spacing w:before="0" w:after="0" w:line="256" w:lineRule="auto"/>
                    <w:ind w:left="0"/>
                    <w:rPr>
                      <w:rFonts w:ascii="Calibri" w:eastAsia="Times New Roman" w:hAnsi="Calibri" w:cs="Calibri"/>
                      <w:color w:val="000000"/>
                      <w:sz w:val="20"/>
                      <w:szCs w:val="20"/>
                      <w:lang w:eastAsia="zh-CN" w:bidi="th-TH"/>
                    </w:rPr>
                  </w:pPr>
                  <w:r>
                    <w:rPr>
                      <w:rFonts w:ascii="Calibri" w:eastAsia="Times New Roman" w:hAnsi="Calibri" w:cs="Calibri"/>
                      <w:color w:val="000000"/>
                      <w:sz w:val="20"/>
                      <w:szCs w:val="20"/>
                      <w:lang w:eastAsia="zh-CN" w:bidi="th-TH"/>
                    </w:rPr>
                    <w:t>Full year</w:t>
                  </w:r>
                </w:p>
              </w:tc>
            </w:tr>
          </w:tbl>
          <w:p w14:paraId="6A118378" w14:textId="77777777" w:rsidR="006240F1" w:rsidRDefault="006240F1">
            <w:pPr>
              <w:pStyle w:val="Tableformat"/>
              <w:rPr>
                <w:rFonts w:eastAsiaTheme="minorHAnsi"/>
                <w:highlight w:val="yellow"/>
                <w:lang w:bidi="ar-SA"/>
              </w:rPr>
            </w:pPr>
          </w:p>
        </w:tc>
      </w:tr>
    </w:tbl>
    <w:p w14:paraId="4F8E69B8" w14:textId="77777777" w:rsidR="00677C63" w:rsidRPr="00D2134C" w:rsidRDefault="00677C63" w:rsidP="00677C63"/>
    <w:p w14:paraId="257A9249" w14:textId="77777777" w:rsidR="00677C63" w:rsidRPr="00D2134C" w:rsidRDefault="00677C63" w:rsidP="00677C63">
      <w:pPr>
        <w:sectPr w:rsidR="00677C63" w:rsidRPr="00D2134C" w:rsidSect="00873C47">
          <w:pgSz w:w="11906" w:h="16838"/>
          <w:pgMar w:top="1021" w:right="907" w:bottom="1440" w:left="964" w:header="708" w:footer="737" w:gutter="0"/>
          <w:cols w:space="708"/>
          <w:titlePg/>
          <w:docGrid w:linePitch="360"/>
        </w:sectPr>
      </w:pPr>
    </w:p>
    <w:p w14:paraId="6A4AB736" w14:textId="77777777" w:rsidR="00677C63" w:rsidRPr="00D2134C" w:rsidRDefault="00677C63" w:rsidP="00677C63">
      <w:pPr>
        <w:pStyle w:val="FGCHEADING3"/>
      </w:pPr>
      <w:bookmarkStart w:id="597" w:name="_Toc51068006"/>
      <w:bookmarkStart w:id="598" w:name="_Toc110532559"/>
      <w:bookmarkStart w:id="599" w:name="_Toc114477558"/>
      <w:bookmarkStart w:id="600" w:name="_Toc116414734"/>
      <w:bookmarkStart w:id="601" w:name="_Toc116473928"/>
      <w:r w:rsidRPr="00D2134C">
        <w:lastRenderedPageBreak/>
        <w:t>Information about remuneration of key management personnel</w:t>
      </w:r>
      <w:bookmarkEnd w:id="597"/>
      <w:bookmarkEnd w:id="598"/>
      <w:bookmarkEnd w:id="599"/>
      <w:bookmarkEnd w:id="600"/>
      <w:bookmarkEnd w:id="601"/>
    </w:p>
    <w:p w14:paraId="4F637167" w14:textId="6FB0B437" w:rsidR="00677C63" w:rsidRPr="00D2134C" w:rsidRDefault="00677C63" w:rsidP="0074381C">
      <w:pPr>
        <w:pStyle w:val="FGCNORMAL"/>
      </w:pPr>
      <w:r w:rsidRPr="00D2134C">
        <w:t xml:space="preserve">The remuneration received or due to be received for each of the </w:t>
      </w:r>
      <w:r w:rsidR="001A5949" w:rsidRPr="00D2134C">
        <w:t>NDIA’s key management personnel</w:t>
      </w:r>
      <w:r w:rsidRPr="00D2134C">
        <w:t xml:space="preserve"> for 2021–22 is shown in Table 5.6.2A.</w:t>
      </w:r>
    </w:p>
    <w:p w14:paraId="3C39B230" w14:textId="762168C5" w:rsidR="00462911" w:rsidRDefault="00677C63" w:rsidP="0033691B">
      <w:pPr>
        <w:pStyle w:val="FGCNORMAL"/>
        <w:keepNext/>
      </w:pPr>
      <w:r w:rsidRPr="00D2134C">
        <w:rPr>
          <w:b/>
        </w:rPr>
        <w:t>Table 5.6.2A:</w:t>
      </w:r>
      <w:r w:rsidRPr="00D2134C">
        <w:t xml:space="preserve"> Key management personnel remuneration</w:t>
      </w:r>
      <w:r w:rsidR="00187A95">
        <w:rPr>
          <w:rStyle w:val="FootnoteReference"/>
        </w:rPr>
        <w:footnoteReference w:id="57"/>
      </w:r>
      <w:r w:rsidR="00187A95">
        <w:t xml:space="preserve"> </w:t>
      </w:r>
      <w:r w:rsidR="00F940CB">
        <w:rPr>
          <w:rStyle w:val="FootnoteReference"/>
        </w:rPr>
        <w:footnoteReference w:id="58"/>
      </w:r>
      <w:r w:rsidR="00A02E5C" w:rsidRPr="00D2134C">
        <w:t xml:space="preserve"> </w:t>
      </w:r>
    </w:p>
    <w:tbl>
      <w:tblPr>
        <w:tblStyle w:val="GridTable2-Accent31"/>
        <w:tblpPr w:leftFromText="180" w:rightFromText="180" w:vertAnchor="text" w:tblpY="1"/>
        <w:tblOverlap w:val="never"/>
        <w:tblW w:w="14601" w:type="dxa"/>
        <w:tblLayout w:type="fixed"/>
        <w:tblLook w:val="01E0" w:firstRow="1" w:lastRow="1" w:firstColumn="1" w:lastColumn="1" w:noHBand="0" w:noVBand="0"/>
      </w:tblPr>
      <w:tblGrid>
        <w:gridCol w:w="1418"/>
        <w:gridCol w:w="1733"/>
        <w:gridCol w:w="1385"/>
        <w:gridCol w:w="1134"/>
        <w:gridCol w:w="1560"/>
        <w:gridCol w:w="1842"/>
        <w:gridCol w:w="1134"/>
        <w:gridCol w:w="1418"/>
        <w:gridCol w:w="1417"/>
        <w:gridCol w:w="1560"/>
      </w:tblGrid>
      <w:tr w:rsidR="0074381C" w:rsidRPr="00E1337A" w14:paraId="21D127E4" w14:textId="77777777" w:rsidTr="00091385">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151" w:type="dxa"/>
            <w:gridSpan w:val="2"/>
          </w:tcPr>
          <w:p w14:paraId="4A6EB6F0" w14:textId="77777777" w:rsidR="0074381C" w:rsidRPr="00E1337A" w:rsidRDefault="0074381C" w:rsidP="00E20BC4">
            <w:pPr>
              <w:pStyle w:val="FGCTABLENORMAL"/>
              <w:rPr>
                <w:sz w:val="20"/>
                <w:szCs w:val="20"/>
              </w:rPr>
            </w:pPr>
          </w:p>
        </w:tc>
        <w:tc>
          <w:tcPr>
            <w:tcW w:w="4079" w:type="dxa"/>
            <w:gridSpan w:val="3"/>
          </w:tcPr>
          <w:p w14:paraId="146CFAB8"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Short-term</w:t>
            </w:r>
            <w:r w:rsidRPr="00E1337A">
              <w:rPr>
                <w:spacing w:val="-2"/>
                <w:sz w:val="20"/>
                <w:szCs w:val="20"/>
              </w:rPr>
              <w:t xml:space="preserve"> </w:t>
            </w:r>
            <w:r w:rsidRPr="00E1337A">
              <w:rPr>
                <w:sz w:val="20"/>
                <w:szCs w:val="20"/>
              </w:rPr>
              <w:t>benefits</w:t>
            </w:r>
          </w:p>
        </w:tc>
        <w:tc>
          <w:tcPr>
            <w:tcW w:w="1842" w:type="dxa"/>
          </w:tcPr>
          <w:p w14:paraId="33DB1D0B"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Post-employment</w:t>
            </w:r>
            <w:r w:rsidRPr="00E1337A">
              <w:rPr>
                <w:spacing w:val="-47"/>
                <w:sz w:val="20"/>
                <w:szCs w:val="20"/>
              </w:rPr>
              <w:t xml:space="preserve"> </w:t>
            </w:r>
            <w:r w:rsidRPr="00E1337A">
              <w:rPr>
                <w:sz w:val="20"/>
                <w:szCs w:val="20"/>
              </w:rPr>
              <w:t>benefits</w:t>
            </w:r>
          </w:p>
        </w:tc>
        <w:tc>
          <w:tcPr>
            <w:tcW w:w="2552" w:type="dxa"/>
            <w:gridSpan w:val="2"/>
          </w:tcPr>
          <w:p w14:paraId="77F5EB4F"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Other</w:t>
            </w:r>
            <w:r w:rsidRPr="00E1337A">
              <w:rPr>
                <w:spacing w:val="-1"/>
                <w:sz w:val="20"/>
                <w:szCs w:val="20"/>
              </w:rPr>
              <w:t xml:space="preserve"> </w:t>
            </w:r>
            <w:r w:rsidRPr="00E1337A">
              <w:rPr>
                <w:sz w:val="20"/>
                <w:szCs w:val="20"/>
              </w:rPr>
              <w:t>long-term benefits</w:t>
            </w:r>
          </w:p>
        </w:tc>
        <w:tc>
          <w:tcPr>
            <w:tcW w:w="1417" w:type="dxa"/>
          </w:tcPr>
          <w:p w14:paraId="30513E5F"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Termination benefits</w:t>
            </w:r>
          </w:p>
        </w:tc>
        <w:tc>
          <w:tcPr>
            <w:cnfStyle w:val="000100000000" w:firstRow="0" w:lastRow="0" w:firstColumn="0" w:lastColumn="1" w:oddVBand="0" w:evenVBand="0" w:oddHBand="0" w:evenHBand="0" w:firstRowFirstColumn="0" w:firstRowLastColumn="0" w:lastRowFirstColumn="0" w:lastRowLastColumn="0"/>
            <w:tcW w:w="1560" w:type="dxa"/>
          </w:tcPr>
          <w:p w14:paraId="37D281FA" w14:textId="77777777" w:rsidR="0074381C" w:rsidRPr="00E1337A" w:rsidRDefault="0074381C" w:rsidP="00E20BC4">
            <w:pPr>
              <w:pStyle w:val="FGCTABLENORMAL"/>
              <w:rPr>
                <w:b w:val="0"/>
                <w:sz w:val="20"/>
                <w:szCs w:val="20"/>
              </w:rPr>
            </w:pPr>
            <w:r w:rsidRPr="00E1337A">
              <w:rPr>
                <w:sz w:val="20"/>
                <w:szCs w:val="20"/>
              </w:rPr>
              <w:t>Total</w:t>
            </w:r>
            <w:r w:rsidRPr="00E1337A">
              <w:rPr>
                <w:spacing w:val="1"/>
                <w:sz w:val="20"/>
                <w:szCs w:val="20"/>
              </w:rPr>
              <w:t xml:space="preserve"> </w:t>
            </w:r>
            <w:r w:rsidRPr="00E1337A">
              <w:rPr>
                <w:spacing w:val="-1"/>
                <w:sz w:val="20"/>
                <w:szCs w:val="20"/>
              </w:rPr>
              <w:t>remuneration</w:t>
            </w:r>
          </w:p>
        </w:tc>
      </w:tr>
      <w:tr w:rsidR="007668DE" w:rsidRPr="00E1337A" w14:paraId="0087E166" w14:textId="77777777" w:rsidTr="007668DE">
        <w:trPr>
          <w:cnfStyle w:val="100000000000" w:firstRow="1" w:lastRow="0" w:firstColumn="0" w:lastColumn="0" w:oddVBand="0" w:evenVBand="0" w:oddHBand="0" w:evenHBand="0" w:firstRowFirstColumn="0" w:firstRowLastColumn="0" w:lastRowFirstColumn="0" w:lastRowLastColumn="0"/>
          <w:trHeight w:val="765"/>
          <w:tblHeader/>
        </w:trPr>
        <w:tc>
          <w:tcPr>
            <w:cnfStyle w:val="001000000000" w:firstRow="0" w:lastRow="0" w:firstColumn="1" w:lastColumn="0" w:oddVBand="0" w:evenVBand="0" w:oddHBand="0" w:evenHBand="0" w:firstRowFirstColumn="0" w:firstRowLastColumn="0" w:lastRowFirstColumn="0" w:lastRowLastColumn="0"/>
            <w:tcW w:w="1418" w:type="dxa"/>
            <w:tcBorders>
              <w:bottom w:val="single" w:sz="2" w:space="0" w:color="C9C9C9" w:themeColor="accent3" w:themeTint="99"/>
            </w:tcBorders>
          </w:tcPr>
          <w:p w14:paraId="6FF42806" w14:textId="77777777" w:rsidR="0074381C" w:rsidRPr="00E1337A" w:rsidRDefault="0074381C" w:rsidP="00E20BC4">
            <w:pPr>
              <w:pStyle w:val="FGCTABLENORMAL"/>
              <w:rPr>
                <w:b w:val="0"/>
                <w:sz w:val="20"/>
                <w:szCs w:val="20"/>
              </w:rPr>
            </w:pPr>
            <w:r w:rsidRPr="00E1337A">
              <w:rPr>
                <w:sz w:val="20"/>
                <w:szCs w:val="20"/>
              </w:rPr>
              <w:t>Name</w:t>
            </w:r>
          </w:p>
        </w:tc>
        <w:tc>
          <w:tcPr>
            <w:tcW w:w="1733" w:type="dxa"/>
            <w:tcBorders>
              <w:bottom w:val="single" w:sz="2" w:space="0" w:color="C9C9C9" w:themeColor="accent3" w:themeTint="99"/>
            </w:tcBorders>
          </w:tcPr>
          <w:p w14:paraId="04B051FD"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Position</w:t>
            </w:r>
            <w:r>
              <w:rPr>
                <w:sz w:val="20"/>
                <w:szCs w:val="20"/>
              </w:rPr>
              <w:t>/</w:t>
            </w:r>
            <w:r w:rsidRPr="00E1337A">
              <w:rPr>
                <w:sz w:val="20"/>
                <w:szCs w:val="20"/>
              </w:rPr>
              <w:t>title</w:t>
            </w:r>
          </w:p>
        </w:tc>
        <w:tc>
          <w:tcPr>
            <w:tcW w:w="1385" w:type="dxa"/>
            <w:tcBorders>
              <w:bottom w:val="single" w:sz="2" w:space="0" w:color="C9C9C9" w:themeColor="accent3" w:themeTint="99"/>
            </w:tcBorders>
          </w:tcPr>
          <w:p w14:paraId="7B460849"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Base</w:t>
            </w:r>
            <w:r w:rsidRPr="00E1337A">
              <w:rPr>
                <w:spacing w:val="1"/>
                <w:sz w:val="20"/>
                <w:szCs w:val="20"/>
              </w:rPr>
              <w:t xml:space="preserve"> </w:t>
            </w:r>
            <w:r w:rsidRPr="00E1337A">
              <w:rPr>
                <w:sz w:val="20"/>
                <w:szCs w:val="20"/>
              </w:rPr>
              <w:t>salary</w:t>
            </w:r>
          </w:p>
        </w:tc>
        <w:tc>
          <w:tcPr>
            <w:tcW w:w="1134" w:type="dxa"/>
            <w:tcBorders>
              <w:bottom w:val="single" w:sz="2" w:space="0" w:color="C9C9C9" w:themeColor="accent3" w:themeTint="99"/>
            </w:tcBorders>
          </w:tcPr>
          <w:p w14:paraId="48B8CD42"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Bonuses</w:t>
            </w:r>
          </w:p>
        </w:tc>
        <w:tc>
          <w:tcPr>
            <w:tcW w:w="1560" w:type="dxa"/>
            <w:tcBorders>
              <w:bottom w:val="single" w:sz="2" w:space="0" w:color="C9C9C9" w:themeColor="accent3" w:themeTint="99"/>
            </w:tcBorders>
          </w:tcPr>
          <w:p w14:paraId="74A736D0"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Other</w:t>
            </w:r>
            <w:r w:rsidRPr="00E1337A">
              <w:rPr>
                <w:spacing w:val="1"/>
                <w:sz w:val="20"/>
                <w:szCs w:val="20"/>
              </w:rPr>
              <w:t xml:space="preserve"> </w:t>
            </w:r>
            <w:r w:rsidRPr="00E1337A">
              <w:rPr>
                <w:sz w:val="20"/>
                <w:szCs w:val="20"/>
              </w:rPr>
              <w:t>benefits and</w:t>
            </w:r>
            <w:r w:rsidRPr="00E1337A">
              <w:rPr>
                <w:spacing w:val="-47"/>
                <w:sz w:val="20"/>
                <w:szCs w:val="20"/>
              </w:rPr>
              <w:t xml:space="preserve"> </w:t>
            </w:r>
            <w:r w:rsidRPr="00E1337A">
              <w:rPr>
                <w:sz w:val="20"/>
                <w:szCs w:val="20"/>
              </w:rPr>
              <w:t>allowances</w:t>
            </w:r>
          </w:p>
        </w:tc>
        <w:tc>
          <w:tcPr>
            <w:tcW w:w="1842" w:type="dxa"/>
            <w:tcBorders>
              <w:bottom w:val="single" w:sz="2" w:space="0" w:color="C9C9C9" w:themeColor="accent3" w:themeTint="99"/>
            </w:tcBorders>
          </w:tcPr>
          <w:p w14:paraId="4DEEC199"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Superannuation contributions</w:t>
            </w:r>
          </w:p>
        </w:tc>
        <w:tc>
          <w:tcPr>
            <w:tcW w:w="1134" w:type="dxa"/>
            <w:tcBorders>
              <w:bottom w:val="single" w:sz="2" w:space="0" w:color="C9C9C9" w:themeColor="accent3" w:themeTint="99"/>
            </w:tcBorders>
          </w:tcPr>
          <w:p w14:paraId="5B85E41F"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Long service leave</w:t>
            </w:r>
          </w:p>
        </w:tc>
        <w:tc>
          <w:tcPr>
            <w:tcW w:w="1418" w:type="dxa"/>
            <w:tcBorders>
              <w:bottom w:val="single" w:sz="2" w:space="0" w:color="C9C9C9" w:themeColor="accent3" w:themeTint="99"/>
            </w:tcBorders>
          </w:tcPr>
          <w:p w14:paraId="3A8D556D" w14:textId="48C916F3"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b w:val="0"/>
                <w:sz w:val="20"/>
                <w:szCs w:val="20"/>
              </w:rPr>
            </w:pPr>
            <w:r w:rsidRPr="00E1337A">
              <w:rPr>
                <w:sz w:val="20"/>
                <w:szCs w:val="20"/>
              </w:rPr>
              <w:t>Other</w:t>
            </w:r>
            <w:r w:rsidRPr="00E1337A">
              <w:rPr>
                <w:spacing w:val="1"/>
                <w:sz w:val="20"/>
                <w:szCs w:val="20"/>
              </w:rPr>
              <w:t xml:space="preserve"> </w:t>
            </w:r>
            <w:r w:rsidRPr="00E1337A">
              <w:rPr>
                <w:sz w:val="20"/>
                <w:szCs w:val="20"/>
              </w:rPr>
              <w:t>long-</w:t>
            </w:r>
            <w:proofErr w:type="gramStart"/>
            <w:r w:rsidRPr="00E1337A">
              <w:rPr>
                <w:sz w:val="20"/>
                <w:szCs w:val="20"/>
              </w:rPr>
              <w:t>term</w:t>
            </w:r>
            <w:r>
              <w:rPr>
                <w:sz w:val="20"/>
                <w:szCs w:val="20"/>
              </w:rPr>
              <w:t xml:space="preserve"> </w:t>
            </w:r>
            <w:r w:rsidRPr="00E1337A">
              <w:rPr>
                <w:spacing w:val="-47"/>
                <w:sz w:val="20"/>
                <w:szCs w:val="20"/>
              </w:rPr>
              <w:t xml:space="preserve"> </w:t>
            </w:r>
            <w:r w:rsidRPr="00E1337A">
              <w:rPr>
                <w:sz w:val="20"/>
                <w:szCs w:val="20"/>
              </w:rPr>
              <w:t>benefits</w:t>
            </w:r>
            <w:proofErr w:type="gramEnd"/>
          </w:p>
        </w:tc>
        <w:tc>
          <w:tcPr>
            <w:tcW w:w="1417" w:type="dxa"/>
            <w:tcBorders>
              <w:bottom w:val="single" w:sz="2" w:space="0" w:color="C9C9C9" w:themeColor="accent3" w:themeTint="99"/>
            </w:tcBorders>
          </w:tcPr>
          <w:p w14:paraId="5B12FA1B" w14:textId="77777777" w:rsidR="0074381C" w:rsidRPr="00E1337A" w:rsidRDefault="0074381C" w:rsidP="00E20BC4">
            <w:pPr>
              <w:pStyle w:val="FGCTABLENORMA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1560" w:type="dxa"/>
            <w:tcBorders>
              <w:bottom w:val="single" w:sz="2" w:space="0" w:color="C9C9C9" w:themeColor="accent3" w:themeTint="99"/>
            </w:tcBorders>
          </w:tcPr>
          <w:p w14:paraId="0211D0E7" w14:textId="77777777" w:rsidR="0074381C" w:rsidRPr="00E1337A" w:rsidRDefault="0074381C" w:rsidP="00E20BC4">
            <w:pPr>
              <w:pStyle w:val="FGCTABLENORMAL"/>
              <w:rPr>
                <w:sz w:val="20"/>
                <w:szCs w:val="20"/>
              </w:rPr>
            </w:pPr>
          </w:p>
        </w:tc>
      </w:tr>
      <w:tr w:rsidR="0074381C" w:rsidRPr="00E1337A" w14:paraId="35472D2C" w14:textId="77777777" w:rsidTr="007668DE">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14601" w:type="dxa"/>
            <w:gridSpan w:val="10"/>
            <w:shd w:val="clear" w:color="auto" w:fill="D3C5D7"/>
          </w:tcPr>
          <w:p w14:paraId="77DEB15D" w14:textId="77777777" w:rsidR="0074381C" w:rsidRPr="00E1337A" w:rsidRDefault="0074381C" w:rsidP="00E20BC4">
            <w:pPr>
              <w:pStyle w:val="FGCTABLENORMAL"/>
              <w:rPr>
                <w:color w:val="000000"/>
                <w:sz w:val="20"/>
                <w:szCs w:val="20"/>
              </w:rPr>
            </w:pPr>
            <w:r w:rsidRPr="00E1337A">
              <w:rPr>
                <w:color w:val="000000"/>
                <w:sz w:val="20"/>
                <w:szCs w:val="20"/>
              </w:rPr>
              <w:t>Board members</w:t>
            </w:r>
          </w:p>
        </w:tc>
      </w:tr>
      <w:tr w:rsidR="0074381C" w:rsidRPr="00E1337A" w14:paraId="4FE0BCAC" w14:textId="77777777" w:rsidTr="00091385">
        <w:trPr>
          <w:trHeight w:val="289"/>
        </w:trPr>
        <w:tc>
          <w:tcPr>
            <w:cnfStyle w:val="001000000000" w:firstRow="0" w:lastRow="0" w:firstColumn="1" w:lastColumn="0" w:oddVBand="0" w:evenVBand="0" w:oddHBand="0" w:evenHBand="0" w:firstRowFirstColumn="0" w:firstRowLastColumn="0" w:lastRowFirstColumn="0" w:lastRowLastColumn="0"/>
            <w:tcW w:w="1418" w:type="dxa"/>
          </w:tcPr>
          <w:p w14:paraId="069CC97B" w14:textId="77777777" w:rsidR="0074381C" w:rsidRPr="00E1337A" w:rsidRDefault="0074381C" w:rsidP="00E20BC4">
            <w:pPr>
              <w:pStyle w:val="FGCTABLENORMAL"/>
              <w:rPr>
                <w:sz w:val="20"/>
                <w:szCs w:val="20"/>
              </w:rPr>
            </w:pPr>
            <w:r w:rsidRPr="00E1337A">
              <w:rPr>
                <w:sz w:val="20"/>
                <w:szCs w:val="20"/>
              </w:rPr>
              <w:t>Dr Helen Nugent AC</w:t>
            </w:r>
          </w:p>
        </w:tc>
        <w:tc>
          <w:tcPr>
            <w:tcW w:w="1733" w:type="dxa"/>
          </w:tcPr>
          <w:p w14:paraId="47EA14A7"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 xml:space="preserve">Board Chairman </w:t>
            </w:r>
          </w:p>
        </w:tc>
        <w:tc>
          <w:tcPr>
            <w:tcW w:w="1385" w:type="dxa"/>
          </w:tcPr>
          <w:p w14:paraId="7A272182"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$71,265</w:t>
            </w:r>
          </w:p>
        </w:tc>
        <w:tc>
          <w:tcPr>
            <w:tcW w:w="1134" w:type="dxa"/>
          </w:tcPr>
          <w:p w14:paraId="4A3D6612"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560" w:type="dxa"/>
          </w:tcPr>
          <w:p w14:paraId="3081A578"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842" w:type="dxa"/>
          </w:tcPr>
          <w:p w14:paraId="78B5B9C4"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$10,975</w:t>
            </w:r>
          </w:p>
        </w:tc>
        <w:tc>
          <w:tcPr>
            <w:tcW w:w="1134" w:type="dxa"/>
          </w:tcPr>
          <w:p w14:paraId="6EA497DA"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418" w:type="dxa"/>
          </w:tcPr>
          <w:p w14:paraId="3B626594"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417" w:type="dxa"/>
          </w:tcPr>
          <w:p w14:paraId="48DFC172"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4B0D14B8" w14:textId="77777777" w:rsidR="0074381C" w:rsidRPr="00E1337A" w:rsidRDefault="0074381C" w:rsidP="00E20BC4">
            <w:pPr>
              <w:pStyle w:val="FGCTABLENORMAL"/>
              <w:rPr>
                <w:sz w:val="20"/>
                <w:szCs w:val="20"/>
              </w:rPr>
            </w:pPr>
            <w:r w:rsidRPr="00E1337A">
              <w:rPr>
                <w:sz w:val="20"/>
                <w:szCs w:val="20"/>
              </w:rPr>
              <w:t>$82,240</w:t>
            </w:r>
          </w:p>
        </w:tc>
      </w:tr>
      <w:tr w:rsidR="007668DE" w:rsidRPr="00E1337A" w14:paraId="638C2234"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7BB2E68D" w14:textId="77777777" w:rsidR="0074381C" w:rsidRPr="00E1337A" w:rsidRDefault="0074381C" w:rsidP="00E20BC4">
            <w:pPr>
              <w:pStyle w:val="FGCTABLENORMAL"/>
              <w:rPr>
                <w:sz w:val="20"/>
                <w:szCs w:val="20"/>
              </w:rPr>
            </w:pPr>
            <w:r w:rsidRPr="00E1337A">
              <w:rPr>
                <w:sz w:val="20"/>
                <w:szCs w:val="20"/>
              </w:rPr>
              <w:t>Mr James Minto</w:t>
            </w:r>
          </w:p>
        </w:tc>
        <w:tc>
          <w:tcPr>
            <w:tcW w:w="1733" w:type="dxa"/>
          </w:tcPr>
          <w:p w14:paraId="1943A7C9"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Board Member and (Acting Chairman 1 January 2022 to 31 March 2022)</w:t>
            </w:r>
          </w:p>
        </w:tc>
        <w:tc>
          <w:tcPr>
            <w:tcW w:w="1385" w:type="dxa"/>
          </w:tcPr>
          <w:p w14:paraId="53888789"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$98,530</w:t>
            </w:r>
          </w:p>
        </w:tc>
        <w:tc>
          <w:tcPr>
            <w:tcW w:w="1134" w:type="dxa"/>
          </w:tcPr>
          <w:p w14:paraId="37C4717B"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w:t>
            </w:r>
          </w:p>
        </w:tc>
        <w:tc>
          <w:tcPr>
            <w:tcW w:w="1560" w:type="dxa"/>
          </w:tcPr>
          <w:p w14:paraId="064245F1"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w:t>
            </w:r>
          </w:p>
        </w:tc>
        <w:tc>
          <w:tcPr>
            <w:tcW w:w="1842" w:type="dxa"/>
          </w:tcPr>
          <w:p w14:paraId="3781E241"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$15,174</w:t>
            </w:r>
          </w:p>
        </w:tc>
        <w:tc>
          <w:tcPr>
            <w:tcW w:w="1134" w:type="dxa"/>
          </w:tcPr>
          <w:p w14:paraId="0CD197D5"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w:t>
            </w:r>
          </w:p>
        </w:tc>
        <w:tc>
          <w:tcPr>
            <w:tcW w:w="1418" w:type="dxa"/>
          </w:tcPr>
          <w:p w14:paraId="5FBA6D0A"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w:t>
            </w:r>
          </w:p>
        </w:tc>
        <w:tc>
          <w:tcPr>
            <w:tcW w:w="1417" w:type="dxa"/>
          </w:tcPr>
          <w:p w14:paraId="0DF60E59" w14:textId="77777777" w:rsidR="0074381C" w:rsidRPr="00E1337A"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E1337A">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33912D85" w14:textId="77777777" w:rsidR="0074381C" w:rsidRPr="00E1337A" w:rsidRDefault="0074381C" w:rsidP="00E20BC4">
            <w:pPr>
              <w:pStyle w:val="FGCTABLENORMAL"/>
              <w:rPr>
                <w:sz w:val="20"/>
                <w:szCs w:val="20"/>
              </w:rPr>
            </w:pPr>
            <w:r w:rsidRPr="00E1337A">
              <w:rPr>
                <w:sz w:val="20"/>
                <w:szCs w:val="20"/>
              </w:rPr>
              <w:t>$113,704</w:t>
            </w:r>
          </w:p>
        </w:tc>
      </w:tr>
      <w:tr w:rsidR="0074381C" w:rsidRPr="00E1337A" w14:paraId="19CDA4B0" w14:textId="77777777" w:rsidTr="00091385">
        <w:trPr>
          <w:trHeight w:val="299"/>
        </w:trPr>
        <w:tc>
          <w:tcPr>
            <w:cnfStyle w:val="001000000000" w:firstRow="0" w:lastRow="0" w:firstColumn="1" w:lastColumn="0" w:oddVBand="0" w:evenVBand="0" w:oddHBand="0" w:evenHBand="0" w:firstRowFirstColumn="0" w:firstRowLastColumn="0" w:lastRowFirstColumn="0" w:lastRowLastColumn="0"/>
            <w:tcW w:w="1418" w:type="dxa"/>
          </w:tcPr>
          <w:p w14:paraId="12090B65" w14:textId="77777777" w:rsidR="0074381C" w:rsidRPr="00E1337A" w:rsidRDefault="0074381C" w:rsidP="00E20BC4">
            <w:pPr>
              <w:pStyle w:val="FGCTABLENORMAL"/>
              <w:rPr>
                <w:sz w:val="20"/>
                <w:szCs w:val="20"/>
              </w:rPr>
            </w:pPr>
            <w:r w:rsidRPr="00E1337A">
              <w:rPr>
                <w:sz w:val="20"/>
                <w:szCs w:val="20"/>
              </w:rPr>
              <w:t>Dr Denis Napthine AO</w:t>
            </w:r>
          </w:p>
        </w:tc>
        <w:tc>
          <w:tcPr>
            <w:tcW w:w="1733" w:type="dxa"/>
          </w:tcPr>
          <w:p w14:paraId="0006E7C1"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Board Chairman (from 1 April 2022)</w:t>
            </w:r>
          </w:p>
        </w:tc>
        <w:tc>
          <w:tcPr>
            <w:tcW w:w="1385" w:type="dxa"/>
          </w:tcPr>
          <w:p w14:paraId="23F58439"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$53,050</w:t>
            </w:r>
          </w:p>
        </w:tc>
        <w:tc>
          <w:tcPr>
            <w:tcW w:w="1134" w:type="dxa"/>
          </w:tcPr>
          <w:p w14:paraId="1CDE3F86"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560" w:type="dxa"/>
          </w:tcPr>
          <w:p w14:paraId="1537BD5E"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842" w:type="dxa"/>
          </w:tcPr>
          <w:p w14:paraId="16686FC8"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$8,257</w:t>
            </w:r>
          </w:p>
        </w:tc>
        <w:tc>
          <w:tcPr>
            <w:tcW w:w="1134" w:type="dxa"/>
          </w:tcPr>
          <w:p w14:paraId="3F94FAB6"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418" w:type="dxa"/>
          </w:tcPr>
          <w:p w14:paraId="5162F4A7"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tcW w:w="1417" w:type="dxa"/>
          </w:tcPr>
          <w:p w14:paraId="5C509105" w14:textId="77777777" w:rsidR="0074381C" w:rsidRPr="00E1337A"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E1337A">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19D84B4E" w14:textId="77777777" w:rsidR="0074381C" w:rsidRPr="00E1337A" w:rsidRDefault="0074381C" w:rsidP="00E20BC4">
            <w:pPr>
              <w:pStyle w:val="FGCTABLENORMAL"/>
              <w:rPr>
                <w:sz w:val="20"/>
                <w:szCs w:val="20"/>
              </w:rPr>
            </w:pPr>
            <w:r w:rsidRPr="00E1337A">
              <w:rPr>
                <w:sz w:val="20"/>
                <w:szCs w:val="20"/>
              </w:rPr>
              <w:t>$61,307</w:t>
            </w:r>
          </w:p>
        </w:tc>
      </w:tr>
      <w:tr w:rsidR="007668DE" w:rsidRPr="006D79BE" w14:paraId="1403BF79"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133B401" w14:textId="77777777" w:rsidR="0074381C" w:rsidRPr="006D79BE" w:rsidRDefault="0074381C" w:rsidP="00E20BC4">
            <w:pPr>
              <w:pStyle w:val="FGCTABLENORMAL"/>
              <w:rPr>
                <w:sz w:val="20"/>
                <w:szCs w:val="20"/>
              </w:rPr>
            </w:pPr>
            <w:r w:rsidRPr="006D79BE">
              <w:rPr>
                <w:sz w:val="20"/>
                <w:szCs w:val="20"/>
              </w:rPr>
              <w:t>Ms Meredith Allen</w:t>
            </w:r>
          </w:p>
        </w:tc>
        <w:tc>
          <w:tcPr>
            <w:tcW w:w="1733" w:type="dxa"/>
          </w:tcPr>
          <w:p w14:paraId="378D4974"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 xml:space="preserve">Board Member </w:t>
            </w:r>
          </w:p>
        </w:tc>
        <w:tc>
          <w:tcPr>
            <w:tcW w:w="1385" w:type="dxa"/>
          </w:tcPr>
          <w:p w14:paraId="4247BEBC"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$34,840</w:t>
            </w:r>
          </w:p>
        </w:tc>
        <w:tc>
          <w:tcPr>
            <w:tcW w:w="1134" w:type="dxa"/>
          </w:tcPr>
          <w:p w14:paraId="556CFE33"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560" w:type="dxa"/>
          </w:tcPr>
          <w:p w14:paraId="5160C471"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842" w:type="dxa"/>
          </w:tcPr>
          <w:p w14:paraId="085CFBB2"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$5,365</w:t>
            </w:r>
          </w:p>
        </w:tc>
        <w:tc>
          <w:tcPr>
            <w:tcW w:w="1134" w:type="dxa"/>
          </w:tcPr>
          <w:p w14:paraId="72308A91"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8" w:type="dxa"/>
          </w:tcPr>
          <w:p w14:paraId="4B40D1A3"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7" w:type="dxa"/>
          </w:tcPr>
          <w:p w14:paraId="10B748E3"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6273EACE" w14:textId="77777777" w:rsidR="0074381C" w:rsidRPr="006D79BE" w:rsidRDefault="0074381C" w:rsidP="00E20BC4">
            <w:pPr>
              <w:pStyle w:val="FGCTABLENORMAL"/>
              <w:rPr>
                <w:sz w:val="20"/>
                <w:szCs w:val="20"/>
              </w:rPr>
            </w:pPr>
            <w:r w:rsidRPr="006D79BE">
              <w:rPr>
                <w:sz w:val="20"/>
                <w:szCs w:val="20"/>
              </w:rPr>
              <w:t>$40,206</w:t>
            </w:r>
          </w:p>
        </w:tc>
      </w:tr>
      <w:tr w:rsidR="0074381C" w:rsidRPr="006D79BE" w14:paraId="630E91FA" w14:textId="77777777" w:rsidTr="00091385">
        <w:trPr>
          <w:trHeight w:val="299"/>
        </w:trPr>
        <w:tc>
          <w:tcPr>
            <w:cnfStyle w:val="001000000000" w:firstRow="0" w:lastRow="0" w:firstColumn="1" w:lastColumn="0" w:oddVBand="0" w:evenVBand="0" w:oddHBand="0" w:evenHBand="0" w:firstRowFirstColumn="0" w:firstRowLastColumn="0" w:lastRowFirstColumn="0" w:lastRowLastColumn="0"/>
            <w:tcW w:w="1418" w:type="dxa"/>
          </w:tcPr>
          <w:p w14:paraId="6ED5483D" w14:textId="77777777" w:rsidR="0074381C" w:rsidRPr="006D79BE" w:rsidRDefault="0074381C" w:rsidP="00E20BC4">
            <w:pPr>
              <w:pStyle w:val="FGCTABLENORMAL"/>
              <w:rPr>
                <w:sz w:val="20"/>
                <w:szCs w:val="20"/>
              </w:rPr>
            </w:pPr>
            <w:r w:rsidRPr="006D79BE">
              <w:rPr>
                <w:sz w:val="20"/>
                <w:szCs w:val="20"/>
              </w:rPr>
              <w:t xml:space="preserve">Ms Sandra </w:t>
            </w:r>
            <w:proofErr w:type="spellStart"/>
            <w:r w:rsidRPr="006D79BE">
              <w:rPr>
                <w:sz w:val="20"/>
                <w:szCs w:val="20"/>
              </w:rPr>
              <w:t>Birkensleigh</w:t>
            </w:r>
            <w:proofErr w:type="spellEnd"/>
          </w:p>
        </w:tc>
        <w:tc>
          <w:tcPr>
            <w:tcW w:w="1733" w:type="dxa"/>
          </w:tcPr>
          <w:p w14:paraId="074150B6"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 xml:space="preserve">Board Member </w:t>
            </w:r>
          </w:p>
        </w:tc>
        <w:tc>
          <w:tcPr>
            <w:tcW w:w="1385" w:type="dxa"/>
          </w:tcPr>
          <w:p w14:paraId="6FC21607"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$86,807</w:t>
            </w:r>
          </w:p>
        </w:tc>
        <w:tc>
          <w:tcPr>
            <w:tcW w:w="1134" w:type="dxa"/>
          </w:tcPr>
          <w:p w14:paraId="03D4086D"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560" w:type="dxa"/>
          </w:tcPr>
          <w:p w14:paraId="7853F711"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842" w:type="dxa"/>
          </w:tcPr>
          <w:p w14:paraId="483A2D3A"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$13,368</w:t>
            </w:r>
          </w:p>
        </w:tc>
        <w:tc>
          <w:tcPr>
            <w:tcW w:w="1134" w:type="dxa"/>
          </w:tcPr>
          <w:p w14:paraId="7AE5F331"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8" w:type="dxa"/>
          </w:tcPr>
          <w:p w14:paraId="62AF98EF"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7" w:type="dxa"/>
          </w:tcPr>
          <w:p w14:paraId="058AE5AA"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3C996042" w14:textId="77777777" w:rsidR="0074381C" w:rsidRPr="006D79BE" w:rsidRDefault="0074381C" w:rsidP="00E20BC4">
            <w:pPr>
              <w:pStyle w:val="FGCTABLENORMAL"/>
              <w:rPr>
                <w:sz w:val="20"/>
                <w:szCs w:val="20"/>
              </w:rPr>
            </w:pPr>
            <w:r w:rsidRPr="006D79BE">
              <w:rPr>
                <w:sz w:val="20"/>
                <w:szCs w:val="20"/>
              </w:rPr>
              <w:t>$100,176</w:t>
            </w:r>
          </w:p>
        </w:tc>
      </w:tr>
      <w:tr w:rsidR="007668DE" w:rsidRPr="006D79BE" w14:paraId="33A43CCD"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41030108" w14:textId="77777777" w:rsidR="0074381C" w:rsidRPr="006D79BE" w:rsidRDefault="0074381C" w:rsidP="00E20BC4">
            <w:pPr>
              <w:pStyle w:val="FGCTABLENORMAL"/>
              <w:rPr>
                <w:sz w:val="20"/>
                <w:szCs w:val="20"/>
              </w:rPr>
            </w:pPr>
            <w:r w:rsidRPr="006D79BE">
              <w:rPr>
                <w:sz w:val="20"/>
                <w:szCs w:val="20"/>
              </w:rPr>
              <w:t>Professor Jane Burns</w:t>
            </w:r>
          </w:p>
        </w:tc>
        <w:tc>
          <w:tcPr>
            <w:tcW w:w="1733" w:type="dxa"/>
          </w:tcPr>
          <w:p w14:paraId="2B4B6840"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Board Member</w:t>
            </w:r>
          </w:p>
        </w:tc>
        <w:tc>
          <w:tcPr>
            <w:tcW w:w="1385" w:type="dxa"/>
          </w:tcPr>
          <w:p w14:paraId="06EB18A6"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$70,473</w:t>
            </w:r>
          </w:p>
        </w:tc>
        <w:tc>
          <w:tcPr>
            <w:tcW w:w="1134" w:type="dxa"/>
          </w:tcPr>
          <w:p w14:paraId="041D5108"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560" w:type="dxa"/>
          </w:tcPr>
          <w:p w14:paraId="73BA4046"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842" w:type="dxa"/>
          </w:tcPr>
          <w:p w14:paraId="4B40A940"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$10,853</w:t>
            </w:r>
          </w:p>
        </w:tc>
        <w:tc>
          <w:tcPr>
            <w:tcW w:w="1134" w:type="dxa"/>
          </w:tcPr>
          <w:p w14:paraId="0AA9E4C7"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8" w:type="dxa"/>
          </w:tcPr>
          <w:p w14:paraId="32BA68AE"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7" w:type="dxa"/>
          </w:tcPr>
          <w:p w14:paraId="344EB281"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4A22C9CB" w14:textId="77777777" w:rsidR="0074381C" w:rsidRPr="006D79BE" w:rsidRDefault="0074381C" w:rsidP="00E20BC4">
            <w:pPr>
              <w:pStyle w:val="FGCTABLENORMAL"/>
              <w:rPr>
                <w:sz w:val="20"/>
                <w:szCs w:val="20"/>
              </w:rPr>
            </w:pPr>
            <w:r w:rsidRPr="006D79BE">
              <w:rPr>
                <w:sz w:val="20"/>
                <w:szCs w:val="20"/>
              </w:rPr>
              <w:t>$81,325</w:t>
            </w:r>
          </w:p>
        </w:tc>
      </w:tr>
      <w:tr w:rsidR="00091385" w:rsidRPr="006D79BE" w14:paraId="4424EAA7" w14:textId="77777777" w:rsidTr="0009138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3EBD45F6" w14:textId="77777777" w:rsidR="0074381C" w:rsidRPr="006D79BE" w:rsidRDefault="0074381C" w:rsidP="00E20BC4">
            <w:pPr>
              <w:pStyle w:val="FGCTABLENORMAL"/>
              <w:rPr>
                <w:sz w:val="20"/>
                <w:szCs w:val="20"/>
              </w:rPr>
            </w:pPr>
            <w:r w:rsidRPr="006D79BE">
              <w:rPr>
                <w:sz w:val="20"/>
                <w:szCs w:val="20"/>
              </w:rPr>
              <w:t>Mr Glenn Keys AO</w:t>
            </w:r>
          </w:p>
        </w:tc>
        <w:tc>
          <w:tcPr>
            <w:tcW w:w="1733" w:type="dxa"/>
          </w:tcPr>
          <w:p w14:paraId="7E31BEC3"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Board Member</w:t>
            </w:r>
          </w:p>
        </w:tc>
        <w:tc>
          <w:tcPr>
            <w:tcW w:w="1385" w:type="dxa"/>
          </w:tcPr>
          <w:p w14:paraId="55703B38"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$70,473</w:t>
            </w:r>
          </w:p>
        </w:tc>
        <w:tc>
          <w:tcPr>
            <w:tcW w:w="1134" w:type="dxa"/>
          </w:tcPr>
          <w:p w14:paraId="4D9CC143"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560" w:type="dxa"/>
          </w:tcPr>
          <w:p w14:paraId="11AF1317"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842" w:type="dxa"/>
          </w:tcPr>
          <w:p w14:paraId="047C147A"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$10,885</w:t>
            </w:r>
          </w:p>
        </w:tc>
        <w:tc>
          <w:tcPr>
            <w:tcW w:w="1134" w:type="dxa"/>
          </w:tcPr>
          <w:p w14:paraId="272A4BDD"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8" w:type="dxa"/>
          </w:tcPr>
          <w:p w14:paraId="1CAD11F6"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7" w:type="dxa"/>
          </w:tcPr>
          <w:p w14:paraId="3696D872" w14:textId="77777777" w:rsidR="0074381C" w:rsidRPr="006D79BE"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53FA4B3B" w14:textId="77777777" w:rsidR="0074381C" w:rsidRPr="006D79BE" w:rsidRDefault="0074381C" w:rsidP="00E20BC4">
            <w:pPr>
              <w:pStyle w:val="FGCTABLENORMAL"/>
              <w:rPr>
                <w:sz w:val="20"/>
                <w:szCs w:val="20"/>
              </w:rPr>
            </w:pPr>
            <w:r w:rsidRPr="006D79BE">
              <w:rPr>
                <w:sz w:val="20"/>
                <w:szCs w:val="20"/>
              </w:rPr>
              <w:t>$81,357</w:t>
            </w:r>
          </w:p>
        </w:tc>
      </w:tr>
    </w:tbl>
    <w:p w14:paraId="05F6F986" w14:textId="77777777" w:rsidR="00091385" w:rsidRDefault="00091385"/>
    <w:tbl>
      <w:tblPr>
        <w:tblStyle w:val="GridTable2-Accent31"/>
        <w:tblpPr w:leftFromText="180" w:rightFromText="180" w:vertAnchor="text" w:tblpY="1"/>
        <w:tblOverlap w:val="never"/>
        <w:tblW w:w="14601" w:type="dxa"/>
        <w:tblLayout w:type="fixed"/>
        <w:tblLook w:val="01E0" w:firstRow="1" w:lastRow="1" w:firstColumn="1" w:lastColumn="1" w:noHBand="0" w:noVBand="0"/>
      </w:tblPr>
      <w:tblGrid>
        <w:gridCol w:w="1418"/>
        <w:gridCol w:w="1733"/>
        <w:gridCol w:w="1385"/>
        <w:gridCol w:w="1134"/>
        <w:gridCol w:w="1560"/>
        <w:gridCol w:w="1842"/>
        <w:gridCol w:w="1134"/>
        <w:gridCol w:w="1418"/>
        <w:gridCol w:w="1417"/>
        <w:gridCol w:w="1560"/>
      </w:tblGrid>
      <w:tr w:rsidR="00570265" w:rsidRPr="006D79BE" w14:paraId="61330AB6" w14:textId="77777777" w:rsidTr="0057026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3151" w:type="dxa"/>
            <w:gridSpan w:val="2"/>
          </w:tcPr>
          <w:p w14:paraId="5F947323" w14:textId="77777777" w:rsidR="00570265" w:rsidRPr="006D79BE" w:rsidRDefault="00570265" w:rsidP="00570265">
            <w:pPr>
              <w:pStyle w:val="FGCTABLENORMAL"/>
              <w:rPr>
                <w:sz w:val="20"/>
                <w:szCs w:val="20"/>
              </w:rPr>
            </w:pPr>
          </w:p>
        </w:tc>
        <w:tc>
          <w:tcPr>
            <w:tcW w:w="4079" w:type="dxa"/>
            <w:gridSpan w:val="3"/>
          </w:tcPr>
          <w:p w14:paraId="5115DC8A" w14:textId="0CC47A24"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Short-term</w:t>
            </w:r>
            <w:r w:rsidRPr="00E1337A">
              <w:rPr>
                <w:spacing w:val="-2"/>
                <w:sz w:val="20"/>
                <w:szCs w:val="20"/>
              </w:rPr>
              <w:t xml:space="preserve"> </w:t>
            </w:r>
            <w:r w:rsidRPr="00E1337A">
              <w:rPr>
                <w:sz w:val="20"/>
                <w:szCs w:val="20"/>
              </w:rPr>
              <w:t>benefits</w:t>
            </w:r>
          </w:p>
        </w:tc>
        <w:tc>
          <w:tcPr>
            <w:tcW w:w="1842" w:type="dxa"/>
          </w:tcPr>
          <w:p w14:paraId="4EBA8D72" w14:textId="688E6C5A"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Post-employment</w:t>
            </w:r>
            <w:r w:rsidRPr="00E1337A">
              <w:rPr>
                <w:spacing w:val="-47"/>
                <w:sz w:val="20"/>
                <w:szCs w:val="20"/>
              </w:rPr>
              <w:t xml:space="preserve"> </w:t>
            </w:r>
            <w:r w:rsidRPr="00E1337A">
              <w:rPr>
                <w:sz w:val="20"/>
                <w:szCs w:val="20"/>
              </w:rPr>
              <w:t>benefits</w:t>
            </w:r>
          </w:p>
        </w:tc>
        <w:tc>
          <w:tcPr>
            <w:tcW w:w="2552" w:type="dxa"/>
            <w:gridSpan w:val="2"/>
          </w:tcPr>
          <w:p w14:paraId="27241334" w14:textId="3ADF9828"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long-term benefits</w:t>
            </w:r>
          </w:p>
        </w:tc>
        <w:tc>
          <w:tcPr>
            <w:tcW w:w="1417" w:type="dxa"/>
          </w:tcPr>
          <w:p w14:paraId="2E018C68" w14:textId="2EDCF9BE"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Termination benefits</w:t>
            </w:r>
          </w:p>
        </w:tc>
        <w:tc>
          <w:tcPr>
            <w:cnfStyle w:val="000100000000" w:firstRow="0" w:lastRow="0" w:firstColumn="0" w:lastColumn="1" w:oddVBand="0" w:evenVBand="0" w:oddHBand="0" w:evenHBand="0" w:firstRowFirstColumn="0" w:firstRowLastColumn="0" w:lastRowFirstColumn="0" w:lastRowLastColumn="0"/>
            <w:tcW w:w="1560" w:type="dxa"/>
          </w:tcPr>
          <w:p w14:paraId="0C743572" w14:textId="6E65C53D" w:rsidR="00570265" w:rsidRPr="006D79BE" w:rsidRDefault="00570265" w:rsidP="00570265">
            <w:pPr>
              <w:pStyle w:val="FGCTABLENORMAL"/>
              <w:rPr>
                <w:sz w:val="20"/>
                <w:szCs w:val="20"/>
              </w:rPr>
            </w:pPr>
            <w:r w:rsidRPr="00E1337A">
              <w:rPr>
                <w:sz w:val="20"/>
                <w:szCs w:val="20"/>
              </w:rPr>
              <w:t>Total</w:t>
            </w:r>
            <w:r w:rsidRPr="00E1337A">
              <w:rPr>
                <w:spacing w:val="1"/>
                <w:sz w:val="20"/>
                <w:szCs w:val="20"/>
              </w:rPr>
              <w:t xml:space="preserve"> </w:t>
            </w:r>
            <w:r w:rsidRPr="00E1337A">
              <w:rPr>
                <w:spacing w:val="-1"/>
                <w:sz w:val="20"/>
                <w:szCs w:val="20"/>
              </w:rPr>
              <w:t>remuneration</w:t>
            </w:r>
          </w:p>
        </w:tc>
      </w:tr>
      <w:tr w:rsidR="00570265" w:rsidRPr="006D79BE" w14:paraId="02286F2C" w14:textId="77777777" w:rsidTr="00570265">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418" w:type="dxa"/>
            <w:tcBorders>
              <w:bottom w:val="single" w:sz="2" w:space="0" w:color="C9C9C9" w:themeColor="accent3" w:themeTint="99"/>
            </w:tcBorders>
          </w:tcPr>
          <w:p w14:paraId="0A73B170" w14:textId="514C9F7C" w:rsidR="00570265" w:rsidRPr="006D79BE" w:rsidRDefault="00570265" w:rsidP="00570265">
            <w:pPr>
              <w:pStyle w:val="FGCTABLENORMAL"/>
              <w:rPr>
                <w:sz w:val="20"/>
                <w:szCs w:val="20"/>
              </w:rPr>
            </w:pPr>
            <w:r w:rsidRPr="00E1337A">
              <w:rPr>
                <w:sz w:val="20"/>
                <w:szCs w:val="20"/>
              </w:rPr>
              <w:t>Name</w:t>
            </w:r>
          </w:p>
        </w:tc>
        <w:tc>
          <w:tcPr>
            <w:tcW w:w="1733" w:type="dxa"/>
            <w:tcBorders>
              <w:bottom w:val="single" w:sz="2" w:space="0" w:color="C9C9C9" w:themeColor="accent3" w:themeTint="99"/>
            </w:tcBorders>
          </w:tcPr>
          <w:p w14:paraId="136AD874" w14:textId="038F284D"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Position</w:t>
            </w:r>
            <w:r>
              <w:rPr>
                <w:sz w:val="20"/>
                <w:szCs w:val="20"/>
              </w:rPr>
              <w:t>/</w:t>
            </w:r>
            <w:r w:rsidRPr="00E1337A">
              <w:rPr>
                <w:sz w:val="20"/>
                <w:szCs w:val="20"/>
              </w:rPr>
              <w:t>title</w:t>
            </w:r>
          </w:p>
        </w:tc>
        <w:tc>
          <w:tcPr>
            <w:tcW w:w="1385" w:type="dxa"/>
            <w:tcBorders>
              <w:bottom w:val="single" w:sz="2" w:space="0" w:color="C9C9C9" w:themeColor="accent3" w:themeTint="99"/>
            </w:tcBorders>
          </w:tcPr>
          <w:p w14:paraId="04FE878D" w14:textId="2609B3B1"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Base</w:t>
            </w:r>
            <w:r w:rsidRPr="00E1337A">
              <w:rPr>
                <w:spacing w:val="1"/>
                <w:sz w:val="20"/>
                <w:szCs w:val="20"/>
              </w:rPr>
              <w:t xml:space="preserve"> </w:t>
            </w:r>
            <w:r w:rsidRPr="00E1337A">
              <w:rPr>
                <w:sz w:val="20"/>
                <w:szCs w:val="20"/>
              </w:rPr>
              <w:t>salary</w:t>
            </w:r>
          </w:p>
        </w:tc>
        <w:tc>
          <w:tcPr>
            <w:tcW w:w="1134" w:type="dxa"/>
            <w:tcBorders>
              <w:bottom w:val="single" w:sz="2" w:space="0" w:color="C9C9C9" w:themeColor="accent3" w:themeTint="99"/>
            </w:tcBorders>
          </w:tcPr>
          <w:p w14:paraId="33A2E28C" w14:textId="5D3F5D19"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Bonuses</w:t>
            </w:r>
          </w:p>
        </w:tc>
        <w:tc>
          <w:tcPr>
            <w:tcW w:w="1560" w:type="dxa"/>
            <w:tcBorders>
              <w:bottom w:val="single" w:sz="2" w:space="0" w:color="C9C9C9" w:themeColor="accent3" w:themeTint="99"/>
            </w:tcBorders>
          </w:tcPr>
          <w:p w14:paraId="0AD9E2CA" w14:textId="62E37314"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benefits and</w:t>
            </w:r>
            <w:r w:rsidRPr="00E1337A">
              <w:rPr>
                <w:spacing w:val="-47"/>
                <w:sz w:val="20"/>
                <w:szCs w:val="20"/>
              </w:rPr>
              <w:t xml:space="preserve"> </w:t>
            </w:r>
            <w:r w:rsidRPr="00E1337A">
              <w:rPr>
                <w:sz w:val="20"/>
                <w:szCs w:val="20"/>
              </w:rPr>
              <w:t>allowances</w:t>
            </w:r>
          </w:p>
        </w:tc>
        <w:tc>
          <w:tcPr>
            <w:tcW w:w="1842" w:type="dxa"/>
            <w:tcBorders>
              <w:bottom w:val="single" w:sz="2" w:space="0" w:color="C9C9C9" w:themeColor="accent3" w:themeTint="99"/>
            </w:tcBorders>
          </w:tcPr>
          <w:p w14:paraId="63DE0F43" w14:textId="4AC2AECA"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Superannuation contributions</w:t>
            </w:r>
          </w:p>
        </w:tc>
        <w:tc>
          <w:tcPr>
            <w:tcW w:w="1134" w:type="dxa"/>
            <w:tcBorders>
              <w:bottom w:val="single" w:sz="2" w:space="0" w:color="C9C9C9" w:themeColor="accent3" w:themeTint="99"/>
            </w:tcBorders>
          </w:tcPr>
          <w:p w14:paraId="58FC59CD" w14:textId="282E08CE"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Long service leave</w:t>
            </w:r>
          </w:p>
        </w:tc>
        <w:tc>
          <w:tcPr>
            <w:tcW w:w="1418" w:type="dxa"/>
            <w:tcBorders>
              <w:bottom w:val="single" w:sz="2" w:space="0" w:color="C9C9C9" w:themeColor="accent3" w:themeTint="99"/>
            </w:tcBorders>
          </w:tcPr>
          <w:p w14:paraId="640DECDB" w14:textId="74C71CA6"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long-</w:t>
            </w:r>
            <w:proofErr w:type="gramStart"/>
            <w:r w:rsidRPr="00E1337A">
              <w:rPr>
                <w:sz w:val="20"/>
                <w:szCs w:val="20"/>
              </w:rPr>
              <w:t>term</w:t>
            </w:r>
            <w:r>
              <w:rPr>
                <w:sz w:val="20"/>
                <w:szCs w:val="20"/>
              </w:rPr>
              <w:t xml:space="preserve"> </w:t>
            </w:r>
            <w:r w:rsidRPr="00E1337A">
              <w:rPr>
                <w:spacing w:val="-47"/>
                <w:sz w:val="20"/>
                <w:szCs w:val="20"/>
              </w:rPr>
              <w:t xml:space="preserve"> </w:t>
            </w:r>
            <w:r w:rsidRPr="00E1337A">
              <w:rPr>
                <w:sz w:val="20"/>
                <w:szCs w:val="20"/>
              </w:rPr>
              <w:t>benefits</w:t>
            </w:r>
            <w:proofErr w:type="gramEnd"/>
          </w:p>
        </w:tc>
        <w:tc>
          <w:tcPr>
            <w:tcW w:w="1417" w:type="dxa"/>
            <w:tcBorders>
              <w:bottom w:val="single" w:sz="2" w:space="0" w:color="C9C9C9" w:themeColor="accent3" w:themeTint="99"/>
            </w:tcBorders>
          </w:tcPr>
          <w:p w14:paraId="0544702B" w14:textId="2E544188" w:rsidR="00570265" w:rsidRPr="006D79BE"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1560" w:type="dxa"/>
            <w:tcBorders>
              <w:bottom w:val="single" w:sz="2" w:space="0" w:color="C9C9C9" w:themeColor="accent3" w:themeTint="99"/>
            </w:tcBorders>
          </w:tcPr>
          <w:p w14:paraId="2D8FD699" w14:textId="4EC673C6" w:rsidR="00570265" w:rsidRPr="006D79BE" w:rsidRDefault="00570265" w:rsidP="00570265">
            <w:pPr>
              <w:pStyle w:val="FGCTABLENORMAL"/>
              <w:rPr>
                <w:sz w:val="20"/>
                <w:szCs w:val="20"/>
              </w:rPr>
            </w:pPr>
          </w:p>
        </w:tc>
      </w:tr>
      <w:tr w:rsidR="00570265" w:rsidRPr="006D79BE" w14:paraId="591550F7"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574AE8CD" w14:textId="77777777" w:rsidR="0074381C" w:rsidRPr="006D79BE" w:rsidRDefault="0074381C" w:rsidP="00E20BC4">
            <w:pPr>
              <w:pStyle w:val="FGCTABLENORMAL"/>
              <w:rPr>
                <w:sz w:val="20"/>
                <w:szCs w:val="20"/>
              </w:rPr>
            </w:pPr>
            <w:r w:rsidRPr="006D79BE">
              <w:rPr>
                <w:sz w:val="20"/>
                <w:szCs w:val="20"/>
              </w:rPr>
              <w:t xml:space="preserve">Ms Robyn Kruk AO </w:t>
            </w:r>
          </w:p>
        </w:tc>
        <w:tc>
          <w:tcPr>
            <w:tcW w:w="1733" w:type="dxa"/>
          </w:tcPr>
          <w:p w14:paraId="6FD1DC08"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Board Member</w:t>
            </w:r>
          </w:p>
        </w:tc>
        <w:tc>
          <w:tcPr>
            <w:tcW w:w="1385" w:type="dxa"/>
          </w:tcPr>
          <w:p w14:paraId="60F31DC2"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$53,529</w:t>
            </w:r>
          </w:p>
        </w:tc>
        <w:tc>
          <w:tcPr>
            <w:tcW w:w="1134" w:type="dxa"/>
          </w:tcPr>
          <w:p w14:paraId="69C9893F"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560" w:type="dxa"/>
          </w:tcPr>
          <w:p w14:paraId="73A313B2"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842" w:type="dxa"/>
          </w:tcPr>
          <w:p w14:paraId="52377D63"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$8,244</w:t>
            </w:r>
          </w:p>
        </w:tc>
        <w:tc>
          <w:tcPr>
            <w:tcW w:w="1134" w:type="dxa"/>
          </w:tcPr>
          <w:p w14:paraId="35D22432"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8" w:type="dxa"/>
          </w:tcPr>
          <w:p w14:paraId="59C354D9"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7" w:type="dxa"/>
          </w:tcPr>
          <w:p w14:paraId="359AFBFF"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15C24672" w14:textId="77777777" w:rsidR="0074381C" w:rsidRPr="006D79BE" w:rsidRDefault="0074381C" w:rsidP="00E20BC4">
            <w:pPr>
              <w:pStyle w:val="FGCTABLENORMAL"/>
              <w:rPr>
                <w:sz w:val="20"/>
                <w:szCs w:val="20"/>
              </w:rPr>
            </w:pPr>
            <w:r w:rsidRPr="006D79BE">
              <w:rPr>
                <w:sz w:val="20"/>
                <w:szCs w:val="20"/>
              </w:rPr>
              <w:t>$61,773</w:t>
            </w:r>
          </w:p>
        </w:tc>
      </w:tr>
      <w:tr w:rsidR="00091385" w:rsidRPr="006D79BE" w14:paraId="5EE9F8B6" w14:textId="77777777" w:rsidTr="00091385">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21CFED7F" w14:textId="77777777" w:rsidR="0074381C" w:rsidRPr="006D79BE" w:rsidRDefault="0074381C" w:rsidP="00E20BC4">
            <w:pPr>
              <w:pStyle w:val="FGCTABLENORMAL"/>
              <w:rPr>
                <w:sz w:val="20"/>
                <w:szCs w:val="20"/>
              </w:rPr>
            </w:pPr>
            <w:r w:rsidRPr="006D79BE">
              <w:rPr>
                <w:sz w:val="20"/>
                <w:szCs w:val="20"/>
              </w:rPr>
              <w:t xml:space="preserve">Mr John </w:t>
            </w:r>
            <w:proofErr w:type="spellStart"/>
            <w:r w:rsidRPr="006D79BE">
              <w:rPr>
                <w:sz w:val="20"/>
                <w:szCs w:val="20"/>
              </w:rPr>
              <w:t>Langoulant</w:t>
            </w:r>
            <w:proofErr w:type="spellEnd"/>
            <w:r w:rsidRPr="006D79BE">
              <w:rPr>
                <w:sz w:val="20"/>
                <w:szCs w:val="20"/>
              </w:rPr>
              <w:t xml:space="preserve"> AO</w:t>
            </w:r>
          </w:p>
        </w:tc>
        <w:tc>
          <w:tcPr>
            <w:tcW w:w="1733" w:type="dxa"/>
          </w:tcPr>
          <w:p w14:paraId="40D6EBD7"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Board Member</w:t>
            </w:r>
          </w:p>
        </w:tc>
        <w:tc>
          <w:tcPr>
            <w:tcW w:w="1385" w:type="dxa"/>
          </w:tcPr>
          <w:p w14:paraId="1022749F"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$24,998</w:t>
            </w:r>
          </w:p>
        </w:tc>
        <w:tc>
          <w:tcPr>
            <w:tcW w:w="1134" w:type="dxa"/>
          </w:tcPr>
          <w:p w14:paraId="14E09F40"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560" w:type="dxa"/>
          </w:tcPr>
          <w:p w14:paraId="084A2987"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842" w:type="dxa"/>
          </w:tcPr>
          <w:p w14:paraId="2027DA44"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$3,850</w:t>
            </w:r>
          </w:p>
        </w:tc>
        <w:tc>
          <w:tcPr>
            <w:tcW w:w="1134" w:type="dxa"/>
          </w:tcPr>
          <w:p w14:paraId="33ED1B5A"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8" w:type="dxa"/>
          </w:tcPr>
          <w:p w14:paraId="2A3F0B76"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tcW w:w="1417" w:type="dxa"/>
          </w:tcPr>
          <w:p w14:paraId="4FA77772" w14:textId="77777777" w:rsidR="0074381C" w:rsidRPr="006D79BE"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669E387D" w14:textId="77777777" w:rsidR="0074381C" w:rsidRPr="006D79BE" w:rsidRDefault="0074381C" w:rsidP="00E20BC4">
            <w:pPr>
              <w:pStyle w:val="FGCTABLENORMAL"/>
              <w:rPr>
                <w:sz w:val="20"/>
                <w:szCs w:val="20"/>
              </w:rPr>
            </w:pPr>
            <w:r w:rsidRPr="006D79BE">
              <w:rPr>
                <w:sz w:val="20"/>
                <w:szCs w:val="20"/>
              </w:rPr>
              <w:t>$28,848</w:t>
            </w:r>
          </w:p>
        </w:tc>
      </w:tr>
      <w:tr w:rsidR="00570265" w:rsidRPr="006D79BE" w14:paraId="3463FA0D"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50F74E22" w14:textId="77777777" w:rsidR="0074381C" w:rsidRPr="006D79BE" w:rsidRDefault="0074381C" w:rsidP="00E20BC4">
            <w:pPr>
              <w:pStyle w:val="FGCTABLENORMAL"/>
              <w:rPr>
                <w:sz w:val="20"/>
                <w:szCs w:val="20"/>
              </w:rPr>
            </w:pPr>
            <w:r w:rsidRPr="006D79BE">
              <w:rPr>
                <w:sz w:val="20"/>
                <w:szCs w:val="20"/>
              </w:rPr>
              <w:t>Ms Estelle Pearson</w:t>
            </w:r>
          </w:p>
        </w:tc>
        <w:tc>
          <w:tcPr>
            <w:tcW w:w="1733" w:type="dxa"/>
          </w:tcPr>
          <w:p w14:paraId="3A7D5D65"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Board Member</w:t>
            </w:r>
          </w:p>
        </w:tc>
        <w:tc>
          <w:tcPr>
            <w:tcW w:w="1385" w:type="dxa"/>
          </w:tcPr>
          <w:p w14:paraId="7674CCDF"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$90,861</w:t>
            </w:r>
          </w:p>
        </w:tc>
        <w:tc>
          <w:tcPr>
            <w:tcW w:w="1134" w:type="dxa"/>
          </w:tcPr>
          <w:p w14:paraId="79E47767"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560" w:type="dxa"/>
          </w:tcPr>
          <w:p w14:paraId="4CC595F1"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842" w:type="dxa"/>
          </w:tcPr>
          <w:p w14:paraId="53160B34"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$13,993</w:t>
            </w:r>
          </w:p>
        </w:tc>
        <w:tc>
          <w:tcPr>
            <w:tcW w:w="1134" w:type="dxa"/>
          </w:tcPr>
          <w:p w14:paraId="0FB89CC4"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8" w:type="dxa"/>
          </w:tcPr>
          <w:p w14:paraId="3862BAA2"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tcW w:w="1417" w:type="dxa"/>
          </w:tcPr>
          <w:p w14:paraId="3E9EB1DE" w14:textId="77777777" w:rsidR="0074381C" w:rsidRPr="006D79BE"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D79BE">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691A6365" w14:textId="77777777" w:rsidR="0074381C" w:rsidRPr="006D79BE" w:rsidRDefault="0074381C" w:rsidP="00E20BC4">
            <w:pPr>
              <w:pStyle w:val="FGCTABLENORMAL"/>
              <w:rPr>
                <w:sz w:val="20"/>
                <w:szCs w:val="20"/>
              </w:rPr>
            </w:pPr>
            <w:r w:rsidRPr="006D79BE">
              <w:rPr>
                <w:sz w:val="20"/>
                <w:szCs w:val="20"/>
              </w:rPr>
              <w:t>$104,854</w:t>
            </w:r>
          </w:p>
        </w:tc>
      </w:tr>
      <w:tr w:rsidR="00091385" w:rsidRPr="00A73EF8" w14:paraId="51A4009C" w14:textId="77777777" w:rsidTr="00091385">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7A7C8ED3" w14:textId="77777777" w:rsidR="0074381C" w:rsidRPr="00A73EF8" w:rsidRDefault="0074381C" w:rsidP="00E20BC4">
            <w:pPr>
              <w:pStyle w:val="FGCTABLENORMAL"/>
              <w:rPr>
                <w:sz w:val="20"/>
                <w:szCs w:val="20"/>
              </w:rPr>
            </w:pPr>
            <w:r w:rsidRPr="00A73EF8">
              <w:rPr>
                <w:sz w:val="20"/>
                <w:szCs w:val="20"/>
              </w:rPr>
              <w:t xml:space="preserve">Ms Leah van </w:t>
            </w:r>
            <w:proofErr w:type="spellStart"/>
            <w:r w:rsidRPr="00A73EF8">
              <w:rPr>
                <w:sz w:val="20"/>
                <w:szCs w:val="20"/>
              </w:rPr>
              <w:t>Poppel</w:t>
            </w:r>
            <w:proofErr w:type="spellEnd"/>
          </w:p>
        </w:tc>
        <w:tc>
          <w:tcPr>
            <w:tcW w:w="1733" w:type="dxa"/>
          </w:tcPr>
          <w:p w14:paraId="17802725"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Board Member</w:t>
            </w:r>
          </w:p>
        </w:tc>
        <w:tc>
          <w:tcPr>
            <w:tcW w:w="1385" w:type="dxa"/>
          </w:tcPr>
          <w:p w14:paraId="2A6A7EE6"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$83,877</w:t>
            </w:r>
          </w:p>
        </w:tc>
        <w:tc>
          <w:tcPr>
            <w:tcW w:w="1134" w:type="dxa"/>
          </w:tcPr>
          <w:p w14:paraId="529309D5"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560" w:type="dxa"/>
          </w:tcPr>
          <w:p w14:paraId="6DED06C5"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842" w:type="dxa"/>
          </w:tcPr>
          <w:p w14:paraId="39299DF7"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$12,917</w:t>
            </w:r>
          </w:p>
        </w:tc>
        <w:tc>
          <w:tcPr>
            <w:tcW w:w="1134" w:type="dxa"/>
          </w:tcPr>
          <w:p w14:paraId="0C9DE3E0"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418" w:type="dxa"/>
          </w:tcPr>
          <w:p w14:paraId="203BC55E"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417" w:type="dxa"/>
          </w:tcPr>
          <w:p w14:paraId="300F7B72"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5CFF8527" w14:textId="77777777" w:rsidR="0074381C" w:rsidRPr="00A73EF8" w:rsidRDefault="0074381C" w:rsidP="00E20BC4">
            <w:pPr>
              <w:pStyle w:val="FGCTABLENORMAL"/>
              <w:rPr>
                <w:sz w:val="20"/>
                <w:szCs w:val="20"/>
              </w:rPr>
            </w:pPr>
            <w:r w:rsidRPr="00A73EF8">
              <w:rPr>
                <w:sz w:val="20"/>
                <w:szCs w:val="20"/>
              </w:rPr>
              <w:t>$96,794</w:t>
            </w:r>
          </w:p>
        </w:tc>
      </w:tr>
      <w:tr w:rsidR="00570265" w:rsidRPr="00A73EF8" w14:paraId="760AD5F1"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Borders>
              <w:bottom w:val="single" w:sz="2" w:space="0" w:color="C9C9C9" w:themeColor="accent3" w:themeTint="99"/>
            </w:tcBorders>
          </w:tcPr>
          <w:p w14:paraId="1BB8398A" w14:textId="77777777" w:rsidR="0074381C" w:rsidRPr="00A73EF8" w:rsidRDefault="0074381C" w:rsidP="00E20BC4">
            <w:pPr>
              <w:pStyle w:val="FGCTABLENORMAL"/>
              <w:rPr>
                <w:sz w:val="20"/>
                <w:szCs w:val="20"/>
              </w:rPr>
            </w:pPr>
            <w:r w:rsidRPr="00A73EF8">
              <w:rPr>
                <w:sz w:val="20"/>
                <w:szCs w:val="20"/>
              </w:rPr>
              <w:t>Dr Peta Seaton AM</w:t>
            </w:r>
          </w:p>
        </w:tc>
        <w:tc>
          <w:tcPr>
            <w:tcW w:w="1733" w:type="dxa"/>
            <w:tcBorders>
              <w:bottom w:val="single" w:sz="2" w:space="0" w:color="C9C9C9" w:themeColor="accent3" w:themeTint="99"/>
            </w:tcBorders>
          </w:tcPr>
          <w:p w14:paraId="058426F2"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Board Member</w:t>
            </w:r>
          </w:p>
        </w:tc>
        <w:tc>
          <w:tcPr>
            <w:tcW w:w="1385" w:type="dxa"/>
            <w:tcBorders>
              <w:bottom w:val="single" w:sz="2" w:space="0" w:color="C9C9C9" w:themeColor="accent3" w:themeTint="99"/>
            </w:tcBorders>
          </w:tcPr>
          <w:p w14:paraId="39D6D427"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$37,864</w:t>
            </w:r>
          </w:p>
        </w:tc>
        <w:tc>
          <w:tcPr>
            <w:tcW w:w="1134" w:type="dxa"/>
            <w:tcBorders>
              <w:bottom w:val="single" w:sz="2" w:space="0" w:color="C9C9C9" w:themeColor="accent3" w:themeTint="99"/>
            </w:tcBorders>
          </w:tcPr>
          <w:p w14:paraId="0195A587"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560" w:type="dxa"/>
            <w:tcBorders>
              <w:bottom w:val="single" w:sz="2" w:space="0" w:color="C9C9C9" w:themeColor="accent3" w:themeTint="99"/>
            </w:tcBorders>
          </w:tcPr>
          <w:p w14:paraId="64FBD8D9"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842" w:type="dxa"/>
            <w:tcBorders>
              <w:bottom w:val="single" w:sz="2" w:space="0" w:color="C9C9C9" w:themeColor="accent3" w:themeTint="99"/>
            </w:tcBorders>
          </w:tcPr>
          <w:p w14:paraId="2CBAEE80"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$5,831</w:t>
            </w:r>
          </w:p>
        </w:tc>
        <w:tc>
          <w:tcPr>
            <w:tcW w:w="1134" w:type="dxa"/>
            <w:tcBorders>
              <w:bottom w:val="single" w:sz="2" w:space="0" w:color="C9C9C9" w:themeColor="accent3" w:themeTint="99"/>
            </w:tcBorders>
          </w:tcPr>
          <w:p w14:paraId="1A5C787F"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418" w:type="dxa"/>
            <w:tcBorders>
              <w:bottom w:val="single" w:sz="2" w:space="0" w:color="C9C9C9" w:themeColor="accent3" w:themeTint="99"/>
            </w:tcBorders>
          </w:tcPr>
          <w:p w14:paraId="68876B5D"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417" w:type="dxa"/>
            <w:tcBorders>
              <w:bottom w:val="single" w:sz="2" w:space="0" w:color="C9C9C9" w:themeColor="accent3" w:themeTint="99"/>
            </w:tcBorders>
          </w:tcPr>
          <w:p w14:paraId="2E2EB6B6"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Borders>
              <w:bottom w:val="single" w:sz="2" w:space="0" w:color="C9C9C9" w:themeColor="accent3" w:themeTint="99"/>
            </w:tcBorders>
          </w:tcPr>
          <w:p w14:paraId="51243B7C" w14:textId="77777777" w:rsidR="0074381C" w:rsidRPr="00A73EF8" w:rsidRDefault="0074381C" w:rsidP="00E20BC4">
            <w:pPr>
              <w:pStyle w:val="FGCTABLENORMAL"/>
              <w:rPr>
                <w:sz w:val="20"/>
                <w:szCs w:val="20"/>
              </w:rPr>
            </w:pPr>
            <w:r w:rsidRPr="00A73EF8">
              <w:rPr>
                <w:sz w:val="20"/>
                <w:szCs w:val="20"/>
              </w:rPr>
              <w:t>$43,695</w:t>
            </w:r>
          </w:p>
        </w:tc>
      </w:tr>
      <w:tr w:rsidR="0074381C" w:rsidRPr="00A73EF8" w14:paraId="5C6282B1" w14:textId="77777777" w:rsidTr="007668DE">
        <w:trPr>
          <w:trHeight w:val="300"/>
        </w:trPr>
        <w:tc>
          <w:tcPr>
            <w:cnfStyle w:val="001000000000" w:firstRow="0" w:lastRow="0" w:firstColumn="1" w:lastColumn="0" w:oddVBand="0" w:evenVBand="0" w:oddHBand="0" w:evenHBand="0" w:firstRowFirstColumn="0" w:firstRowLastColumn="0" w:lastRowFirstColumn="0" w:lastRowLastColumn="0"/>
            <w:tcW w:w="14601" w:type="dxa"/>
            <w:gridSpan w:val="10"/>
            <w:shd w:val="clear" w:color="auto" w:fill="D3C5D7"/>
          </w:tcPr>
          <w:p w14:paraId="18BE6CD9" w14:textId="77777777" w:rsidR="0074381C" w:rsidRPr="00A73EF8" w:rsidRDefault="0074381C" w:rsidP="00E20BC4">
            <w:pPr>
              <w:pStyle w:val="FGCTABLENORMAL"/>
              <w:rPr>
                <w:color w:val="000000"/>
                <w:sz w:val="20"/>
                <w:szCs w:val="20"/>
              </w:rPr>
            </w:pPr>
            <w:r w:rsidRPr="00A73EF8">
              <w:rPr>
                <w:color w:val="000000"/>
                <w:sz w:val="20"/>
                <w:szCs w:val="20"/>
              </w:rPr>
              <w:t>Executive Leadership Team</w:t>
            </w:r>
          </w:p>
        </w:tc>
      </w:tr>
      <w:tr w:rsidR="00570265" w:rsidRPr="006A2CE1" w14:paraId="002D8CC3"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4A3CB38A" w14:textId="77777777" w:rsidR="0074381C" w:rsidRPr="006A2CE1" w:rsidRDefault="0074381C" w:rsidP="00E20BC4">
            <w:pPr>
              <w:pStyle w:val="FGCTABLENORMAL"/>
              <w:rPr>
                <w:sz w:val="20"/>
                <w:szCs w:val="20"/>
              </w:rPr>
            </w:pPr>
            <w:r w:rsidRPr="006A2CE1">
              <w:rPr>
                <w:sz w:val="20"/>
                <w:szCs w:val="20"/>
              </w:rPr>
              <w:t>Mr Martin Hoffman</w:t>
            </w:r>
          </w:p>
        </w:tc>
        <w:tc>
          <w:tcPr>
            <w:tcW w:w="1733" w:type="dxa"/>
          </w:tcPr>
          <w:p w14:paraId="15C09CE9"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 xml:space="preserve">Chief Executive Officer </w:t>
            </w:r>
          </w:p>
        </w:tc>
        <w:tc>
          <w:tcPr>
            <w:tcW w:w="1385" w:type="dxa"/>
          </w:tcPr>
          <w:p w14:paraId="19506014"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$719,816</w:t>
            </w:r>
          </w:p>
        </w:tc>
        <w:tc>
          <w:tcPr>
            <w:tcW w:w="1134" w:type="dxa"/>
          </w:tcPr>
          <w:p w14:paraId="3B82930B"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560" w:type="dxa"/>
          </w:tcPr>
          <w:p w14:paraId="1B4FD42E"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842" w:type="dxa"/>
          </w:tcPr>
          <w:p w14:paraId="608BB19D"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$28,147</w:t>
            </w:r>
          </w:p>
        </w:tc>
        <w:tc>
          <w:tcPr>
            <w:tcW w:w="1134" w:type="dxa"/>
          </w:tcPr>
          <w:p w14:paraId="6A29CA1F"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$17,700</w:t>
            </w:r>
          </w:p>
        </w:tc>
        <w:tc>
          <w:tcPr>
            <w:tcW w:w="1418" w:type="dxa"/>
          </w:tcPr>
          <w:p w14:paraId="603BEB4A"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417" w:type="dxa"/>
          </w:tcPr>
          <w:p w14:paraId="75BE6287"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23D6BD6C" w14:textId="77777777" w:rsidR="0074381C" w:rsidRPr="006A2CE1" w:rsidRDefault="0074381C" w:rsidP="00E20BC4">
            <w:pPr>
              <w:pStyle w:val="FGCTABLENORMAL"/>
              <w:rPr>
                <w:sz w:val="20"/>
                <w:szCs w:val="20"/>
              </w:rPr>
            </w:pPr>
            <w:r w:rsidRPr="006A2CE1">
              <w:rPr>
                <w:sz w:val="20"/>
                <w:szCs w:val="20"/>
              </w:rPr>
              <w:t>$765,663</w:t>
            </w:r>
          </w:p>
        </w:tc>
      </w:tr>
      <w:tr w:rsidR="00091385" w:rsidRPr="006A2CE1" w14:paraId="74760500" w14:textId="77777777" w:rsidTr="00091385">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6E7DD4FA" w14:textId="77777777" w:rsidR="0074381C" w:rsidRPr="006A2CE1" w:rsidRDefault="0074381C" w:rsidP="00E20BC4">
            <w:pPr>
              <w:pStyle w:val="FGCTABLENORMAL"/>
              <w:rPr>
                <w:sz w:val="20"/>
                <w:szCs w:val="20"/>
              </w:rPr>
            </w:pPr>
            <w:r w:rsidRPr="006A2CE1">
              <w:rPr>
                <w:sz w:val="20"/>
                <w:szCs w:val="20"/>
              </w:rPr>
              <w:t>Mr Hamish Aikman </w:t>
            </w:r>
          </w:p>
        </w:tc>
        <w:tc>
          <w:tcPr>
            <w:tcW w:w="1733" w:type="dxa"/>
          </w:tcPr>
          <w:p w14:paraId="6C60673E"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Chief People Officer</w:t>
            </w:r>
          </w:p>
        </w:tc>
        <w:tc>
          <w:tcPr>
            <w:tcW w:w="1385" w:type="dxa"/>
          </w:tcPr>
          <w:p w14:paraId="49659774"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$448,761</w:t>
            </w:r>
          </w:p>
        </w:tc>
        <w:tc>
          <w:tcPr>
            <w:tcW w:w="1134" w:type="dxa"/>
          </w:tcPr>
          <w:p w14:paraId="59702690"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560" w:type="dxa"/>
          </w:tcPr>
          <w:p w14:paraId="3E8451F5"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$4,723</w:t>
            </w:r>
          </w:p>
        </w:tc>
        <w:tc>
          <w:tcPr>
            <w:tcW w:w="1842" w:type="dxa"/>
          </w:tcPr>
          <w:p w14:paraId="7548F034"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$23,699</w:t>
            </w:r>
          </w:p>
        </w:tc>
        <w:tc>
          <w:tcPr>
            <w:tcW w:w="1134" w:type="dxa"/>
          </w:tcPr>
          <w:p w14:paraId="0A33F0AE"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$11,257</w:t>
            </w:r>
          </w:p>
        </w:tc>
        <w:tc>
          <w:tcPr>
            <w:tcW w:w="1418" w:type="dxa"/>
          </w:tcPr>
          <w:p w14:paraId="05A50B5F"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417" w:type="dxa"/>
          </w:tcPr>
          <w:p w14:paraId="27B1EBEB"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6FB456E2" w14:textId="77777777" w:rsidR="0074381C" w:rsidRPr="006A2CE1" w:rsidRDefault="0074381C" w:rsidP="00E20BC4">
            <w:pPr>
              <w:pStyle w:val="FGCTABLENORMAL"/>
              <w:rPr>
                <w:sz w:val="20"/>
                <w:szCs w:val="20"/>
              </w:rPr>
            </w:pPr>
            <w:r w:rsidRPr="006A2CE1">
              <w:rPr>
                <w:sz w:val="20"/>
                <w:szCs w:val="20"/>
              </w:rPr>
              <w:t>$488,440</w:t>
            </w:r>
          </w:p>
        </w:tc>
      </w:tr>
      <w:tr w:rsidR="00570265" w:rsidRPr="006A2CE1" w14:paraId="642AFD3A" w14:textId="77777777" w:rsidTr="007668D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6EAAB63A" w14:textId="77777777" w:rsidR="0074381C" w:rsidRPr="006A2CE1" w:rsidRDefault="0074381C" w:rsidP="00E20BC4">
            <w:pPr>
              <w:pStyle w:val="FGCTABLENORMAL"/>
              <w:rPr>
                <w:sz w:val="20"/>
                <w:szCs w:val="20"/>
              </w:rPr>
            </w:pPr>
            <w:r w:rsidRPr="006A2CE1">
              <w:rPr>
                <w:sz w:val="20"/>
                <w:szCs w:val="20"/>
              </w:rPr>
              <w:t xml:space="preserve">Mr Oliver </w:t>
            </w:r>
            <w:proofErr w:type="spellStart"/>
            <w:r w:rsidRPr="006A2CE1">
              <w:rPr>
                <w:sz w:val="20"/>
                <w:szCs w:val="20"/>
              </w:rPr>
              <w:t>Bladek</w:t>
            </w:r>
            <w:proofErr w:type="spellEnd"/>
          </w:p>
        </w:tc>
        <w:tc>
          <w:tcPr>
            <w:tcW w:w="1733" w:type="dxa"/>
          </w:tcPr>
          <w:p w14:paraId="261DB832"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DCEO Design, Digital and Strategy</w:t>
            </w:r>
          </w:p>
        </w:tc>
        <w:tc>
          <w:tcPr>
            <w:tcW w:w="1385" w:type="dxa"/>
          </w:tcPr>
          <w:p w14:paraId="5D302A02"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$289,052</w:t>
            </w:r>
          </w:p>
        </w:tc>
        <w:tc>
          <w:tcPr>
            <w:tcW w:w="1134" w:type="dxa"/>
          </w:tcPr>
          <w:p w14:paraId="1BC87262"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560" w:type="dxa"/>
          </w:tcPr>
          <w:p w14:paraId="73D8E367"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842" w:type="dxa"/>
          </w:tcPr>
          <w:p w14:paraId="6298E366"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134" w:type="dxa"/>
          </w:tcPr>
          <w:p w14:paraId="1E5898FF"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418" w:type="dxa"/>
          </w:tcPr>
          <w:p w14:paraId="47F2396A"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417" w:type="dxa"/>
          </w:tcPr>
          <w:p w14:paraId="32917BFD"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124E62A5" w14:textId="77777777" w:rsidR="0074381C" w:rsidRPr="006A2CE1" w:rsidRDefault="0074381C" w:rsidP="00E20BC4">
            <w:pPr>
              <w:pStyle w:val="FGCTABLENORMAL"/>
              <w:rPr>
                <w:sz w:val="20"/>
                <w:szCs w:val="20"/>
              </w:rPr>
            </w:pPr>
            <w:r w:rsidRPr="006A2CE1">
              <w:rPr>
                <w:sz w:val="20"/>
                <w:szCs w:val="20"/>
              </w:rPr>
              <w:t>$289,052</w:t>
            </w:r>
          </w:p>
        </w:tc>
      </w:tr>
      <w:tr w:rsidR="00091385" w:rsidRPr="006A2CE1" w14:paraId="761ACB08" w14:textId="77777777" w:rsidTr="00091385">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60417721" w14:textId="77777777" w:rsidR="0074381C" w:rsidRPr="006A2CE1" w:rsidRDefault="0074381C" w:rsidP="00E20BC4">
            <w:pPr>
              <w:pStyle w:val="FGCTABLENORMAL"/>
              <w:rPr>
                <w:sz w:val="20"/>
                <w:szCs w:val="20"/>
              </w:rPr>
            </w:pPr>
            <w:r w:rsidRPr="006A2CE1">
              <w:rPr>
                <w:sz w:val="20"/>
                <w:szCs w:val="20"/>
              </w:rPr>
              <w:t>Mr Jeremy Dean</w:t>
            </w:r>
          </w:p>
        </w:tc>
        <w:tc>
          <w:tcPr>
            <w:tcW w:w="1733" w:type="dxa"/>
          </w:tcPr>
          <w:p w14:paraId="4A841DC1"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DCEO Participant Experience Delivery</w:t>
            </w:r>
          </w:p>
        </w:tc>
        <w:tc>
          <w:tcPr>
            <w:tcW w:w="1385" w:type="dxa"/>
          </w:tcPr>
          <w:p w14:paraId="49765D1D"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$552,233</w:t>
            </w:r>
          </w:p>
        </w:tc>
        <w:tc>
          <w:tcPr>
            <w:tcW w:w="1134" w:type="dxa"/>
          </w:tcPr>
          <w:p w14:paraId="5CDEFFDE"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560" w:type="dxa"/>
          </w:tcPr>
          <w:p w14:paraId="720ADBC9"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$5,061</w:t>
            </w:r>
          </w:p>
        </w:tc>
        <w:tc>
          <w:tcPr>
            <w:tcW w:w="1842" w:type="dxa"/>
          </w:tcPr>
          <w:p w14:paraId="259E9CB1"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$27,606</w:t>
            </w:r>
          </w:p>
        </w:tc>
        <w:tc>
          <w:tcPr>
            <w:tcW w:w="1134" w:type="dxa"/>
          </w:tcPr>
          <w:p w14:paraId="50EDF0B7"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$14,593</w:t>
            </w:r>
          </w:p>
        </w:tc>
        <w:tc>
          <w:tcPr>
            <w:tcW w:w="1418" w:type="dxa"/>
          </w:tcPr>
          <w:p w14:paraId="53388215"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417" w:type="dxa"/>
          </w:tcPr>
          <w:p w14:paraId="39E34528"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5EE0EE17" w14:textId="77777777" w:rsidR="0074381C" w:rsidRPr="006A2CE1" w:rsidRDefault="0074381C" w:rsidP="00E20BC4">
            <w:pPr>
              <w:pStyle w:val="FGCTABLENORMAL"/>
              <w:rPr>
                <w:sz w:val="20"/>
                <w:szCs w:val="20"/>
              </w:rPr>
            </w:pPr>
            <w:r w:rsidRPr="006A2CE1">
              <w:rPr>
                <w:sz w:val="20"/>
                <w:szCs w:val="20"/>
              </w:rPr>
              <w:t>$599,493</w:t>
            </w:r>
          </w:p>
        </w:tc>
      </w:tr>
      <w:tr w:rsidR="00570265" w:rsidRPr="006A2CE1" w14:paraId="0009BF83" w14:textId="77777777" w:rsidTr="007668DE">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tcPr>
          <w:p w14:paraId="7CEBFA92" w14:textId="77777777" w:rsidR="0074381C" w:rsidRPr="006A2CE1" w:rsidRDefault="0074381C" w:rsidP="00E20BC4">
            <w:pPr>
              <w:pStyle w:val="FGCTABLENORMAL"/>
              <w:rPr>
                <w:sz w:val="20"/>
                <w:szCs w:val="20"/>
              </w:rPr>
            </w:pPr>
            <w:r w:rsidRPr="006A2CE1">
              <w:rPr>
                <w:sz w:val="20"/>
                <w:szCs w:val="20"/>
              </w:rPr>
              <w:t>Mr Ian Frew</w:t>
            </w:r>
          </w:p>
        </w:tc>
        <w:tc>
          <w:tcPr>
            <w:tcW w:w="1733" w:type="dxa"/>
          </w:tcPr>
          <w:p w14:paraId="03F8BF3C"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Chief Information Officer</w:t>
            </w:r>
          </w:p>
        </w:tc>
        <w:tc>
          <w:tcPr>
            <w:tcW w:w="1385" w:type="dxa"/>
          </w:tcPr>
          <w:p w14:paraId="78CD0E93"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$381,750</w:t>
            </w:r>
          </w:p>
        </w:tc>
        <w:tc>
          <w:tcPr>
            <w:tcW w:w="1134" w:type="dxa"/>
          </w:tcPr>
          <w:p w14:paraId="6DB51CEE"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560" w:type="dxa"/>
          </w:tcPr>
          <w:p w14:paraId="5823B64B"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842" w:type="dxa"/>
          </w:tcPr>
          <w:p w14:paraId="6D15415F"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$38,175</w:t>
            </w:r>
          </w:p>
        </w:tc>
        <w:tc>
          <w:tcPr>
            <w:tcW w:w="1134" w:type="dxa"/>
          </w:tcPr>
          <w:p w14:paraId="6379C974"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418" w:type="dxa"/>
          </w:tcPr>
          <w:p w14:paraId="52324F5D"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417" w:type="dxa"/>
          </w:tcPr>
          <w:p w14:paraId="6F1B9606" w14:textId="77777777" w:rsidR="0074381C" w:rsidRPr="006A2CE1"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10574BF5" w14:textId="77777777" w:rsidR="0074381C" w:rsidRPr="006A2CE1" w:rsidRDefault="0074381C" w:rsidP="00E20BC4">
            <w:pPr>
              <w:pStyle w:val="FGCTABLENORMAL"/>
              <w:rPr>
                <w:sz w:val="20"/>
                <w:szCs w:val="20"/>
              </w:rPr>
            </w:pPr>
            <w:r w:rsidRPr="006A2CE1">
              <w:rPr>
                <w:sz w:val="20"/>
                <w:szCs w:val="20"/>
              </w:rPr>
              <w:t>$419,925</w:t>
            </w:r>
          </w:p>
        </w:tc>
      </w:tr>
    </w:tbl>
    <w:p w14:paraId="2AE8170B" w14:textId="77777777" w:rsidR="00570265" w:rsidRDefault="00570265"/>
    <w:tbl>
      <w:tblPr>
        <w:tblStyle w:val="GridTable2-Accent31"/>
        <w:tblpPr w:leftFromText="180" w:rightFromText="180" w:vertAnchor="text" w:tblpY="1"/>
        <w:tblOverlap w:val="never"/>
        <w:tblW w:w="14601" w:type="dxa"/>
        <w:tblLayout w:type="fixed"/>
        <w:tblLook w:val="01E0" w:firstRow="1" w:lastRow="1" w:firstColumn="1" w:lastColumn="1" w:noHBand="0" w:noVBand="0"/>
      </w:tblPr>
      <w:tblGrid>
        <w:gridCol w:w="1418"/>
        <w:gridCol w:w="1733"/>
        <w:gridCol w:w="1385"/>
        <w:gridCol w:w="1134"/>
        <w:gridCol w:w="1560"/>
        <w:gridCol w:w="1842"/>
        <w:gridCol w:w="1134"/>
        <w:gridCol w:w="1418"/>
        <w:gridCol w:w="1417"/>
        <w:gridCol w:w="1560"/>
      </w:tblGrid>
      <w:tr w:rsidR="00570265" w:rsidRPr="006A2CE1" w14:paraId="53AED3CB" w14:textId="77777777" w:rsidTr="00570265">
        <w:trPr>
          <w:cnfStyle w:val="100000000000" w:firstRow="1" w:lastRow="0" w:firstColumn="0" w:lastColumn="0" w:oddVBand="0" w:evenVBand="0" w:oddHBand="0" w:evenHBand="0" w:firstRowFirstColumn="0" w:firstRowLastColumn="0" w:lastRowFirstColumn="0" w:lastRowLastColumn="0"/>
          <w:trHeight w:val="299"/>
          <w:tblHeader/>
        </w:trPr>
        <w:tc>
          <w:tcPr>
            <w:cnfStyle w:val="001000000000" w:firstRow="0" w:lastRow="0" w:firstColumn="1" w:lastColumn="0" w:oddVBand="0" w:evenVBand="0" w:oddHBand="0" w:evenHBand="0" w:firstRowFirstColumn="0" w:firstRowLastColumn="0" w:lastRowFirstColumn="0" w:lastRowLastColumn="0"/>
            <w:tcW w:w="3151" w:type="dxa"/>
            <w:gridSpan w:val="2"/>
          </w:tcPr>
          <w:p w14:paraId="661FD81E" w14:textId="77777777" w:rsidR="00570265" w:rsidRPr="006A2CE1" w:rsidRDefault="00570265" w:rsidP="00570265">
            <w:pPr>
              <w:pStyle w:val="FGCTABLENORMAL"/>
              <w:rPr>
                <w:sz w:val="20"/>
                <w:szCs w:val="20"/>
              </w:rPr>
            </w:pPr>
          </w:p>
        </w:tc>
        <w:tc>
          <w:tcPr>
            <w:tcW w:w="4079" w:type="dxa"/>
            <w:gridSpan w:val="3"/>
          </w:tcPr>
          <w:p w14:paraId="4132C389" w14:textId="6549BD1D"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Short-term</w:t>
            </w:r>
            <w:r w:rsidRPr="00E1337A">
              <w:rPr>
                <w:spacing w:val="-2"/>
                <w:sz w:val="20"/>
                <w:szCs w:val="20"/>
              </w:rPr>
              <w:t xml:space="preserve"> </w:t>
            </w:r>
            <w:r w:rsidRPr="00E1337A">
              <w:rPr>
                <w:sz w:val="20"/>
                <w:szCs w:val="20"/>
              </w:rPr>
              <w:t>benefits</w:t>
            </w:r>
          </w:p>
        </w:tc>
        <w:tc>
          <w:tcPr>
            <w:tcW w:w="1842" w:type="dxa"/>
          </w:tcPr>
          <w:p w14:paraId="53842919" w14:textId="58E8DE12"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Post-employment</w:t>
            </w:r>
            <w:r w:rsidRPr="00E1337A">
              <w:rPr>
                <w:spacing w:val="-47"/>
                <w:sz w:val="20"/>
                <w:szCs w:val="20"/>
              </w:rPr>
              <w:t xml:space="preserve"> </w:t>
            </w:r>
            <w:r w:rsidRPr="00E1337A">
              <w:rPr>
                <w:sz w:val="20"/>
                <w:szCs w:val="20"/>
              </w:rPr>
              <w:t>benefits</w:t>
            </w:r>
          </w:p>
        </w:tc>
        <w:tc>
          <w:tcPr>
            <w:tcW w:w="2552" w:type="dxa"/>
            <w:gridSpan w:val="2"/>
          </w:tcPr>
          <w:p w14:paraId="23E48BFE" w14:textId="789C3EE3"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long-term benefits</w:t>
            </w:r>
          </w:p>
        </w:tc>
        <w:tc>
          <w:tcPr>
            <w:tcW w:w="1417" w:type="dxa"/>
          </w:tcPr>
          <w:p w14:paraId="11DB5CAD" w14:textId="1D258F51"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Termination benefits</w:t>
            </w:r>
          </w:p>
        </w:tc>
        <w:tc>
          <w:tcPr>
            <w:cnfStyle w:val="000100000000" w:firstRow="0" w:lastRow="0" w:firstColumn="0" w:lastColumn="1" w:oddVBand="0" w:evenVBand="0" w:oddHBand="0" w:evenHBand="0" w:firstRowFirstColumn="0" w:firstRowLastColumn="0" w:lastRowFirstColumn="0" w:lastRowLastColumn="0"/>
            <w:tcW w:w="1560" w:type="dxa"/>
          </w:tcPr>
          <w:p w14:paraId="277F24AD" w14:textId="44F7CBDA" w:rsidR="00570265" w:rsidRPr="006A2CE1" w:rsidRDefault="00570265" w:rsidP="00570265">
            <w:pPr>
              <w:pStyle w:val="FGCTABLENORMAL"/>
              <w:rPr>
                <w:sz w:val="20"/>
                <w:szCs w:val="20"/>
              </w:rPr>
            </w:pPr>
            <w:r w:rsidRPr="00E1337A">
              <w:rPr>
                <w:sz w:val="20"/>
                <w:szCs w:val="20"/>
              </w:rPr>
              <w:t>Total</w:t>
            </w:r>
            <w:r w:rsidRPr="00E1337A">
              <w:rPr>
                <w:spacing w:val="1"/>
                <w:sz w:val="20"/>
                <w:szCs w:val="20"/>
              </w:rPr>
              <w:t xml:space="preserve"> </w:t>
            </w:r>
            <w:r w:rsidRPr="00E1337A">
              <w:rPr>
                <w:spacing w:val="-1"/>
                <w:sz w:val="20"/>
                <w:szCs w:val="20"/>
              </w:rPr>
              <w:t>remuneration</w:t>
            </w:r>
          </w:p>
        </w:tc>
      </w:tr>
      <w:tr w:rsidR="00570265" w:rsidRPr="006A2CE1" w14:paraId="1FBFF583" w14:textId="77777777" w:rsidTr="00570265">
        <w:trPr>
          <w:cnfStyle w:val="100000000000" w:firstRow="1" w:lastRow="0" w:firstColumn="0" w:lastColumn="0" w:oddVBand="0" w:evenVBand="0" w:oddHBand="0" w:evenHBand="0" w:firstRowFirstColumn="0" w:firstRowLastColumn="0" w:lastRowFirstColumn="0" w:lastRowLastColumn="0"/>
          <w:trHeight w:val="299"/>
          <w:tblHeader/>
        </w:trPr>
        <w:tc>
          <w:tcPr>
            <w:cnfStyle w:val="001000000000" w:firstRow="0" w:lastRow="0" w:firstColumn="1" w:lastColumn="0" w:oddVBand="0" w:evenVBand="0" w:oddHBand="0" w:evenHBand="0" w:firstRowFirstColumn="0" w:firstRowLastColumn="0" w:lastRowFirstColumn="0" w:lastRowLastColumn="0"/>
            <w:tcW w:w="1418" w:type="dxa"/>
            <w:tcBorders>
              <w:bottom w:val="single" w:sz="2" w:space="0" w:color="C9C9C9" w:themeColor="accent3" w:themeTint="99"/>
            </w:tcBorders>
          </w:tcPr>
          <w:p w14:paraId="757D85EE" w14:textId="7154313A" w:rsidR="00570265" w:rsidRPr="006A2CE1" w:rsidRDefault="00570265" w:rsidP="00570265">
            <w:pPr>
              <w:pStyle w:val="FGCTABLENORMAL"/>
              <w:rPr>
                <w:sz w:val="20"/>
                <w:szCs w:val="20"/>
              </w:rPr>
            </w:pPr>
            <w:r w:rsidRPr="00E1337A">
              <w:rPr>
                <w:sz w:val="20"/>
                <w:szCs w:val="20"/>
              </w:rPr>
              <w:t>Name</w:t>
            </w:r>
          </w:p>
        </w:tc>
        <w:tc>
          <w:tcPr>
            <w:tcW w:w="1733" w:type="dxa"/>
            <w:tcBorders>
              <w:bottom w:val="single" w:sz="2" w:space="0" w:color="C9C9C9" w:themeColor="accent3" w:themeTint="99"/>
            </w:tcBorders>
          </w:tcPr>
          <w:p w14:paraId="6B880181" w14:textId="45F15F67"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Position</w:t>
            </w:r>
            <w:r>
              <w:rPr>
                <w:sz w:val="20"/>
                <w:szCs w:val="20"/>
              </w:rPr>
              <w:t>/</w:t>
            </w:r>
            <w:r w:rsidRPr="00E1337A">
              <w:rPr>
                <w:sz w:val="20"/>
                <w:szCs w:val="20"/>
              </w:rPr>
              <w:t>title</w:t>
            </w:r>
          </w:p>
        </w:tc>
        <w:tc>
          <w:tcPr>
            <w:tcW w:w="1385" w:type="dxa"/>
            <w:tcBorders>
              <w:bottom w:val="single" w:sz="2" w:space="0" w:color="C9C9C9" w:themeColor="accent3" w:themeTint="99"/>
            </w:tcBorders>
          </w:tcPr>
          <w:p w14:paraId="5BAEB06A" w14:textId="57E5CA75"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Base</w:t>
            </w:r>
            <w:r w:rsidRPr="00E1337A">
              <w:rPr>
                <w:spacing w:val="1"/>
                <w:sz w:val="20"/>
                <w:szCs w:val="20"/>
              </w:rPr>
              <w:t xml:space="preserve"> </w:t>
            </w:r>
            <w:r w:rsidRPr="00E1337A">
              <w:rPr>
                <w:sz w:val="20"/>
                <w:szCs w:val="20"/>
              </w:rPr>
              <w:t>salary</w:t>
            </w:r>
          </w:p>
        </w:tc>
        <w:tc>
          <w:tcPr>
            <w:tcW w:w="1134" w:type="dxa"/>
            <w:tcBorders>
              <w:bottom w:val="single" w:sz="2" w:space="0" w:color="C9C9C9" w:themeColor="accent3" w:themeTint="99"/>
            </w:tcBorders>
          </w:tcPr>
          <w:p w14:paraId="57B2CAC4" w14:textId="2594D4C1"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Bonuses</w:t>
            </w:r>
          </w:p>
        </w:tc>
        <w:tc>
          <w:tcPr>
            <w:tcW w:w="1560" w:type="dxa"/>
            <w:tcBorders>
              <w:bottom w:val="single" w:sz="2" w:space="0" w:color="C9C9C9" w:themeColor="accent3" w:themeTint="99"/>
            </w:tcBorders>
          </w:tcPr>
          <w:p w14:paraId="0119AF80" w14:textId="59B2B951"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benefits and</w:t>
            </w:r>
            <w:r w:rsidRPr="00E1337A">
              <w:rPr>
                <w:spacing w:val="-47"/>
                <w:sz w:val="20"/>
                <w:szCs w:val="20"/>
              </w:rPr>
              <w:t xml:space="preserve"> </w:t>
            </w:r>
            <w:r w:rsidRPr="00E1337A">
              <w:rPr>
                <w:sz w:val="20"/>
                <w:szCs w:val="20"/>
              </w:rPr>
              <w:t>allowances</w:t>
            </w:r>
          </w:p>
        </w:tc>
        <w:tc>
          <w:tcPr>
            <w:tcW w:w="1842" w:type="dxa"/>
            <w:tcBorders>
              <w:bottom w:val="single" w:sz="2" w:space="0" w:color="C9C9C9" w:themeColor="accent3" w:themeTint="99"/>
            </w:tcBorders>
          </w:tcPr>
          <w:p w14:paraId="516E835C" w14:textId="387C4406"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Superannuation contributions</w:t>
            </w:r>
          </w:p>
        </w:tc>
        <w:tc>
          <w:tcPr>
            <w:tcW w:w="1134" w:type="dxa"/>
            <w:tcBorders>
              <w:bottom w:val="single" w:sz="2" w:space="0" w:color="C9C9C9" w:themeColor="accent3" w:themeTint="99"/>
            </w:tcBorders>
          </w:tcPr>
          <w:p w14:paraId="17B253AA" w14:textId="765F1356"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Long service leave</w:t>
            </w:r>
          </w:p>
        </w:tc>
        <w:tc>
          <w:tcPr>
            <w:tcW w:w="1418" w:type="dxa"/>
            <w:tcBorders>
              <w:bottom w:val="single" w:sz="2" w:space="0" w:color="C9C9C9" w:themeColor="accent3" w:themeTint="99"/>
            </w:tcBorders>
          </w:tcPr>
          <w:p w14:paraId="2F406DA3" w14:textId="166EF0FF"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r w:rsidRPr="00E1337A">
              <w:rPr>
                <w:sz w:val="20"/>
                <w:szCs w:val="20"/>
              </w:rPr>
              <w:t>Other</w:t>
            </w:r>
            <w:r w:rsidRPr="00E1337A">
              <w:rPr>
                <w:spacing w:val="1"/>
                <w:sz w:val="20"/>
                <w:szCs w:val="20"/>
              </w:rPr>
              <w:t xml:space="preserve"> </w:t>
            </w:r>
            <w:r w:rsidRPr="00E1337A">
              <w:rPr>
                <w:sz w:val="20"/>
                <w:szCs w:val="20"/>
              </w:rPr>
              <w:t>long-</w:t>
            </w:r>
            <w:proofErr w:type="gramStart"/>
            <w:r w:rsidRPr="00E1337A">
              <w:rPr>
                <w:sz w:val="20"/>
                <w:szCs w:val="20"/>
              </w:rPr>
              <w:t>term</w:t>
            </w:r>
            <w:r>
              <w:rPr>
                <w:sz w:val="20"/>
                <w:szCs w:val="20"/>
              </w:rPr>
              <w:t xml:space="preserve"> </w:t>
            </w:r>
            <w:r w:rsidRPr="00E1337A">
              <w:rPr>
                <w:spacing w:val="-47"/>
                <w:sz w:val="20"/>
                <w:szCs w:val="20"/>
              </w:rPr>
              <w:t xml:space="preserve"> </w:t>
            </w:r>
            <w:r w:rsidRPr="00E1337A">
              <w:rPr>
                <w:sz w:val="20"/>
                <w:szCs w:val="20"/>
              </w:rPr>
              <w:t>benefits</w:t>
            </w:r>
            <w:proofErr w:type="gramEnd"/>
          </w:p>
        </w:tc>
        <w:tc>
          <w:tcPr>
            <w:tcW w:w="1417" w:type="dxa"/>
            <w:tcBorders>
              <w:bottom w:val="single" w:sz="2" w:space="0" w:color="C9C9C9" w:themeColor="accent3" w:themeTint="99"/>
            </w:tcBorders>
          </w:tcPr>
          <w:p w14:paraId="55BAC7A0" w14:textId="255DBB89" w:rsidR="00570265" w:rsidRPr="006A2CE1" w:rsidRDefault="00570265" w:rsidP="00570265">
            <w:pPr>
              <w:pStyle w:val="FGCTABLENORMAL"/>
              <w:cnfStyle w:val="100000000000" w:firstRow="1" w:lastRow="0" w:firstColumn="0" w:lastColumn="0" w:oddVBand="0" w:evenVBand="0" w:oddHBand="0" w:evenHBand="0" w:firstRowFirstColumn="0" w:firstRowLastColumn="0" w:lastRowFirstColumn="0" w:lastRowLastColumn="0"/>
              <w:rPr>
                <w:sz w:val="20"/>
                <w:szCs w:val="20"/>
              </w:rPr>
            </w:pPr>
          </w:p>
        </w:tc>
        <w:tc>
          <w:tcPr>
            <w:cnfStyle w:val="000100000000" w:firstRow="0" w:lastRow="0" w:firstColumn="0" w:lastColumn="1" w:oddVBand="0" w:evenVBand="0" w:oddHBand="0" w:evenHBand="0" w:firstRowFirstColumn="0" w:firstRowLastColumn="0" w:lastRowFirstColumn="0" w:lastRowLastColumn="0"/>
            <w:tcW w:w="1560" w:type="dxa"/>
            <w:tcBorders>
              <w:bottom w:val="single" w:sz="2" w:space="0" w:color="C9C9C9" w:themeColor="accent3" w:themeTint="99"/>
            </w:tcBorders>
          </w:tcPr>
          <w:p w14:paraId="798934EA" w14:textId="5F5D9D05" w:rsidR="00570265" w:rsidRPr="006A2CE1" w:rsidRDefault="00570265" w:rsidP="00570265">
            <w:pPr>
              <w:pStyle w:val="FGCTABLENORMAL"/>
              <w:rPr>
                <w:sz w:val="20"/>
                <w:szCs w:val="20"/>
              </w:rPr>
            </w:pPr>
          </w:p>
        </w:tc>
      </w:tr>
      <w:tr w:rsidR="00570265" w:rsidRPr="006A2CE1" w14:paraId="0E4BC092" w14:textId="77777777" w:rsidTr="0009138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18" w:type="dxa"/>
          </w:tcPr>
          <w:p w14:paraId="1104BF56" w14:textId="77777777" w:rsidR="0074381C" w:rsidRPr="006A2CE1" w:rsidRDefault="0074381C" w:rsidP="00E20BC4">
            <w:pPr>
              <w:pStyle w:val="FGCTABLENORMAL"/>
              <w:rPr>
                <w:sz w:val="20"/>
                <w:szCs w:val="20"/>
              </w:rPr>
            </w:pPr>
            <w:r w:rsidRPr="006A2CE1">
              <w:rPr>
                <w:sz w:val="20"/>
                <w:szCs w:val="20"/>
              </w:rPr>
              <w:t>Mr David Gifford</w:t>
            </w:r>
            <w:r>
              <w:rPr>
                <w:rStyle w:val="FootnoteReference"/>
                <w:sz w:val="20"/>
                <w:szCs w:val="20"/>
              </w:rPr>
              <w:footnoteReference w:id="59"/>
            </w:r>
          </w:p>
        </w:tc>
        <w:tc>
          <w:tcPr>
            <w:tcW w:w="1733" w:type="dxa"/>
          </w:tcPr>
          <w:p w14:paraId="7E2D094D"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 xml:space="preserve">Acting Deputy Scheme Actuary </w:t>
            </w:r>
          </w:p>
        </w:tc>
        <w:tc>
          <w:tcPr>
            <w:tcW w:w="1385" w:type="dxa"/>
          </w:tcPr>
          <w:p w14:paraId="20CACC46"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$160,149</w:t>
            </w:r>
          </w:p>
        </w:tc>
        <w:tc>
          <w:tcPr>
            <w:tcW w:w="1134" w:type="dxa"/>
          </w:tcPr>
          <w:p w14:paraId="1F0B6017"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560" w:type="dxa"/>
          </w:tcPr>
          <w:p w14:paraId="127210D9"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842" w:type="dxa"/>
          </w:tcPr>
          <w:p w14:paraId="3CFD1B0A"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134" w:type="dxa"/>
          </w:tcPr>
          <w:p w14:paraId="5503300A"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418" w:type="dxa"/>
          </w:tcPr>
          <w:p w14:paraId="7656CE90"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tcW w:w="1417" w:type="dxa"/>
          </w:tcPr>
          <w:p w14:paraId="7B3F6FD5" w14:textId="77777777" w:rsidR="0074381C" w:rsidRPr="006A2CE1"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4BB23298" w14:textId="77777777" w:rsidR="0074381C" w:rsidRPr="006A2CE1" w:rsidRDefault="0074381C" w:rsidP="00E20BC4">
            <w:pPr>
              <w:pStyle w:val="FGCTABLENORMAL"/>
              <w:rPr>
                <w:sz w:val="20"/>
                <w:szCs w:val="20"/>
              </w:rPr>
            </w:pPr>
            <w:r w:rsidRPr="006A2CE1">
              <w:rPr>
                <w:sz w:val="20"/>
                <w:szCs w:val="20"/>
              </w:rPr>
              <w:t>$160,149</w:t>
            </w:r>
          </w:p>
        </w:tc>
      </w:tr>
      <w:tr w:rsidR="00570265" w:rsidRPr="006A2CE1" w14:paraId="4CD811A2" w14:textId="77777777" w:rsidTr="007668DE">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0B27623B" w14:textId="77777777" w:rsidR="0074381C" w:rsidRPr="006A2CE1" w:rsidRDefault="0074381C" w:rsidP="00E20BC4">
            <w:pPr>
              <w:pStyle w:val="FGCTABLENORMAL"/>
              <w:rPr>
                <w:sz w:val="20"/>
                <w:szCs w:val="20"/>
              </w:rPr>
            </w:pPr>
            <w:r w:rsidRPr="006A2CE1">
              <w:rPr>
                <w:sz w:val="20"/>
                <w:szCs w:val="20"/>
              </w:rPr>
              <w:t xml:space="preserve">Ms Nicole </w:t>
            </w:r>
            <w:proofErr w:type="spellStart"/>
            <w:r w:rsidRPr="006A2CE1">
              <w:rPr>
                <w:sz w:val="20"/>
                <w:szCs w:val="20"/>
              </w:rPr>
              <w:t>Glazebrook</w:t>
            </w:r>
            <w:proofErr w:type="spellEnd"/>
          </w:p>
        </w:tc>
        <w:tc>
          <w:tcPr>
            <w:tcW w:w="1733" w:type="dxa"/>
          </w:tcPr>
          <w:p w14:paraId="00F025F6"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Chief Financial Officer</w:t>
            </w:r>
          </w:p>
        </w:tc>
        <w:tc>
          <w:tcPr>
            <w:tcW w:w="1385" w:type="dxa"/>
          </w:tcPr>
          <w:p w14:paraId="17ED0E82"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$395,781</w:t>
            </w:r>
          </w:p>
        </w:tc>
        <w:tc>
          <w:tcPr>
            <w:tcW w:w="1134" w:type="dxa"/>
          </w:tcPr>
          <w:p w14:paraId="7C525748"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560" w:type="dxa"/>
          </w:tcPr>
          <w:p w14:paraId="7DEB6A7D"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$5,308</w:t>
            </w:r>
          </w:p>
        </w:tc>
        <w:tc>
          <w:tcPr>
            <w:tcW w:w="1842" w:type="dxa"/>
          </w:tcPr>
          <w:p w14:paraId="4B613346"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$44,654</w:t>
            </w:r>
          </w:p>
        </w:tc>
        <w:tc>
          <w:tcPr>
            <w:tcW w:w="1134" w:type="dxa"/>
          </w:tcPr>
          <w:p w14:paraId="6AF8D3A0"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$10,226</w:t>
            </w:r>
          </w:p>
        </w:tc>
        <w:tc>
          <w:tcPr>
            <w:tcW w:w="1418" w:type="dxa"/>
          </w:tcPr>
          <w:p w14:paraId="66DBA11A"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tcW w:w="1417" w:type="dxa"/>
          </w:tcPr>
          <w:p w14:paraId="12C04594" w14:textId="77777777" w:rsidR="0074381C" w:rsidRPr="006A2CE1"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6A2CE1">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7539FE27" w14:textId="77777777" w:rsidR="0074381C" w:rsidRPr="006A2CE1" w:rsidRDefault="0074381C" w:rsidP="00E20BC4">
            <w:pPr>
              <w:pStyle w:val="FGCTABLENORMAL"/>
              <w:rPr>
                <w:sz w:val="20"/>
                <w:szCs w:val="20"/>
              </w:rPr>
            </w:pPr>
            <w:r w:rsidRPr="006A2CE1">
              <w:rPr>
                <w:sz w:val="20"/>
                <w:szCs w:val="20"/>
              </w:rPr>
              <w:t>$455,969</w:t>
            </w:r>
          </w:p>
        </w:tc>
      </w:tr>
      <w:tr w:rsidR="00570265" w:rsidRPr="00A73EF8" w14:paraId="20D0A6A4" w14:textId="77777777" w:rsidTr="0009138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18" w:type="dxa"/>
          </w:tcPr>
          <w:p w14:paraId="18294A3F" w14:textId="77777777" w:rsidR="0074381C" w:rsidRPr="00A73EF8" w:rsidRDefault="0074381C" w:rsidP="00E20BC4">
            <w:pPr>
              <w:pStyle w:val="FGCTABLENORMAL"/>
              <w:rPr>
                <w:sz w:val="20"/>
                <w:szCs w:val="20"/>
              </w:rPr>
            </w:pPr>
            <w:r w:rsidRPr="00A73EF8">
              <w:rPr>
                <w:sz w:val="20"/>
                <w:szCs w:val="20"/>
              </w:rPr>
              <w:t>Ms Sarah </w:t>
            </w:r>
            <w:r>
              <w:rPr>
                <w:sz w:val="20"/>
                <w:szCs w:val="20"/>
              </w:rPr>
              <w:br/>
            </w:r>
            <w:r w:rsidRPr="00A73EF8">
              <w:rPr>
                <w:sz w:val="20"/>
                <w:szCs w:val="20"/>
              </w:rPr>
              <w:t>Johnson</w:t>
            </w:r>
          </w:p>
        </w:tc>
        <w:tc>
          <w:tcPr>
            <w:tcW w:w="1733" w:type="dxa"/>
          </w:tcPr>
          <w:p w14:paraId="031216ED"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Scheme Actuary</w:t>
            </w:r>
          </w:p>
          <w:p w14:paraId="680632E0"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Acting DCEO Design, Digital and Strategy (from 31 January 2022)</w:t>
            </w:r>
          </w:p>
        </w:tc>
        <w:tc>
          <w:tcPr>
            <w:tcW w:w="1385" w:type="dxa"/>
          </w:tcPr>
          <w:p w14:paraId="50DA9EBB"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$468,574</w:t>
            </w:r>
          </w:p>
        </w:tc>
        <w:tc>
          <w:tcPr>
            <w:tcW w:w="1134" w:type="dxa"/>
          </w:tcPr>
          <w:p w14:paraId="6E08573A"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560" w:type="dxa"/>
          </w:tcPr>
          <w:p w14:paraId="51075078"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842" w:type="dxa"/>
          </w:tcPr>
          <w:p w14:paraId="20A6E3F0"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134" w:type="dxa"/>
          </w:tcPr>
          <w:p w14:paraId="3D832795"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418" w:type="dxa"/>
          </w:tcPr>
          <w:p w14:paraId="6B925E36"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417" w:type="dxa"/>
          </w:tcPr>
          <w:p w14:paraId="69352AB6"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37B473F1" w14:textId="77777777" w:rsidR="0074381C" w:rsidRPr="00A73EF8" w:rsidRDefault="0074381C" w:rsidP="00E20BC4">
            <w:pPr>
              <w:pStyle w:val="FGCTABLENORMAL"/>
              <w:rPr>
                <w:sz w:val="20"/>
                <w:szCs w:val="20"/>
              </w:rPr>
            </w:pPr>
            <w:r w:rsidRPr="00A73EF8">
              <w:rPr>
                <w:sz w:val="20"/>
                <w:szCs w:val="20"/>
              </w:rPr>
              <w:t>$468,574</w:t>
            </w:r>
          </w:p>
        </w:tc>
      </w:tr>
      <w:tr w:rsidR="00570265" w:rsidRPr="00A73EF8" w14:paraId="6B0C923A" w14:textId="77777777" w:rsidTr="007668DE">
        <w:trPr>
          <w:trHeight w:val="300"/>
        </w:trPr>
        <w:tc>
          <w:tcPr>
            <w:cnfStyle w:val="001000000000" w:firstRow="0" w:lastRow="0" w:firstColumn="1" w:lastColumn="0" w:oddVBand="0" w:evenVBand="0" w:oddHBand="0" w:evenHBand="0" w:firstRowFirstColumn="0" w:firstRowLastColumn="0" w:lastRowFirstColumn="0" w:lastRowLastColumn="0"/>
            <w:tcW w:w="1418" w:type="dxa"/>
          </w:tcPr>
          <w:p w14:paraId="7F959CFE" w14:textId="77777777" w:rsidR="0074381C" w:rsidRPr="00A73EF8" w:rsidRDefault="0074381C" w:rsidP="00E20BC4">
            <w:pPr>
              <w:pStyle w:val="FGCTABLENORMAL"/>
              <w:rPr>
                <w:sz w:val="20"/>
                <w:szCs w:val="20"/>
              </w:rPr>
            </w:pPr>
            <w:r w:rsidRPr="00A73EF8">
              <w:rPr>
                <w:sz w:val="20"/>
                <w:szCs w:val="20"/>
              </w:rPr>
              <w:t xml:space="preserve">Ms Lisa </w:t>
            </w:r>
            <w:proofErr w:type="spellStart"/>
            <w:r w:rsidRPr="00A73EF8">
              <w:rPr>
                <w:sz w:val="20"/>
                <w:szCs w:val="20"/>
              </w:rPr>
              <w:t>Studdert</w:t>
            </w:r>
            <w:proofErr w:type="spellEnd"/>
          </w:p>
        </w:tc>
        <w:tc>
          <w:tcPr>
            <w:tcW w:w="1733" w:type="dxa"/>
          </w:tcPr>
          <w:p w14:paraId="29B4BE0D"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DCEO Markets, Government &amp; Engagement</w:t>
            </w:r>
          </w:p>
        </w:tc>
        <w:tc>
          <w:tcPr>
            <w:tcW w:w="1385" w:type="dxa"/>
          </w:tcPr>
          <w:p w14:paraId="15EBC347"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$368,302</w:t>
            </w:r>
          </w:p>
        </w:tc>
        <w:tc>
          <w:tcPr>
            <w:tcW w:w="1134" w:type="dxa"/>
          </w:tcPr>
          <w:p w14:paraId="10AF4A5F"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560" w:type="dxa"/>
          </w:tcPr>
          <w:p w14:paraId="2FC4CE3E"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$29,938</w:t>
            </w:r>
          </w:p>
        </w:tc>
        <w:tc>
          <w:tcPr>
            <w:tcW w:w="1842" w:type="dxa"/>
          </w:tcPr>
          <w:p w14:paraId="2C28EF0D"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$68,033</w:t>
            </w:r>
          </w:p>
        </w:tc>
        <w:tc>
          <w:tcPr>
            <w:tcW w:w="1134" w:type="dxa"/>
          </w:tcPr>
          <w:p w14:paraId="396786FC"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$9,318</w:t>
            </w:r>
          </w:p>
        </w:tc>
        <w:tc>
          <w:tcPr>
            <w:tcW w:w="1418" w:type="dxa"/>
          </w:tcPr>
          <w:p w14:paraId="53B25367"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tcW w:w="1417" w:type="dxa"/>
          </w:tcPr>
          <w:p w14:paraId="7B3678CC" w14:textId="77777777" w:rsidR="0074381C" w:rsidRPr="00A73EF8" w:rsidRDefault="0074381C" w:rsidP="00E20BC4">
            <w:pPr>
              <w:pStyle w:val="FGCTABLENORMAL"/>
              <w:cnfStyle w:val="000000000000" w:firstRow="0" w:lastRow="0" w:firstColumn="0" w:lastColumn="0" w:oddVBand="0" w:evenVBand="0" w:oddHBand="0" w:evenHBand="0" w:firstRowFirstColumn="0" w:firstRowLastColumn="0" w:lastRowFirstColumn="0" w:lastRowLastColumn="0"/>
              <w:rPr>
                <w:sz w:val="20"/>
                <w:szCs w:val="20"/>
              </w:rPr>
            </w:pPr>
            <w:r w:rsidRPr="00A73EF8">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73C516E7" w14:textId="77777777" w:rsidR="0074381C" w:rsidRPr="00A73EF8" w:rsidRDefault="0074381C" w:rsidP="00E20BC4">
            <w:pPr>
              <w:pStyle w:val="FGCTABLENORMAL"/>
              <w:rPr>
                <w:sz w:val="20"/>
                <w:szCs w:val="20"/>
              </w:rPr>
            </w:pPr>
            <w:r w:rsidRPr="00A73EF8">
              <w:rPr>
                <w:sz w:val="20"/>
                <w:szCs w:val="20"/>
              </w:rPr>
              <w:t>$475,591</w:t>
            </w:r>
          </w:p>
        </w:tc>
      </w:tr>
      <w:tr w:rsidR="00570265" w:rsidRPr="00A73EF8" w14:paraId="0B4029A7" w14:textId="77777777" w:rsidTr="0009138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18" w:type="dxa"/>
          </w:tcPr>
          <w:p w14:paraId="5C52B414" w14:textId="77777777" w:rsidR="0074381C" w:rsidRPr="00A73EF8" w:rsidRDefault="0074381C" w:rsidP="00E20BC4">
            <w:pPr>
              <w:pStyle w:val="FGCTABLENORMAL"/>
              <w:rPr>
                <w:sz w:val="20"/>
                <w:szCs w:val="20"/>
              </w:rPr>
            </w:pPr>
            <w:r w:rsidRPr="00A73EF8">
              <w:rPr>
                <w:sz w:val="20"/>
                <w:szCs w:val="20"/>
              </w:rPr>
              <w:t>Ms Melissa Woodburn</w:t>
            </w:r>
          </w:p>
        </w:tc>
        <w:tc>
          <w:tcPr>
            <w:tcW w:w="1733" w:type="dxa"/>
          </w:tcPr>
          <w:p w14:paraId="6BD34A97"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Chief Risk Officer</w:t>
            </w:r>
          </w:p>
        </w:tc>
        <w:tc>
          <w:tcPr>
            <w:tcW w:w="1385" w:type="dxa"/>
          </w:tcPr>
          <w:p w14:paraId="23E16F34"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$298,979</w:t>
            </w:r>
          </w:p>
        </w:tc>
        <w:tc>
          <w:tcPr>
            <w:tcW w:w="1134" w:type="dxa"/>
          </w:tcPr>
          <w:p w14:paraId="1A73EA8B"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560" w:type="dxa"/>
          </w:tcPr>
          <w:p w14:paraId="6BF9A95D"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$29,766</w:t>
            </w:r>
          </w:p>
        </w:tc>
        <w:tc>
          <w:tcPr>
            <w:tcW w:w="1842" w:type="dxa"/>
          </w:tcPr>
          <w:p w14:paraId="63E350F1"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$45,386</w:t>
            </w:r>
          </w:p>
        </w:tc>
        <w:tc>
          <w:tcPr>
            <w:tcW w:w="1134" w:type="dxa"/>
          </w:tcPr>
          <w:p w14:paraId="22A506A5"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$7,578</w:t>
            </w:r>
          </w:p>
        </w:tc>
        <w:tc>
          <w:tcPr>
            <w:tcW w:w="1418" w:type="dxa"/>
          </w:tcPr>
          <w:p w14:paraId="2FFC9A4B"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tcW w:w="1417" w:type="dxa"/>
          </w:tcPr>
          <w:p w14:paraId="08B80B7D" w14:textId="77777777" w:rsidR="0074381C" w:rsidRPr="00A73EF8" w:rsidRDefault="0074381C" w:rsidP="00E20BC4">
            <w:pPr>
              <w:pStyle w:val="FGCTABLENORMAL"/>
              <w:cnfStyle w:val="000000100000" w:firstRow="0" w:lastRow="0" w:firstColumn="0" w:lastColumn="0" w:oddVBand="0" w:evenVBand="0" w:oddHBand="1" w:evenHBand="0" w:firstRowFirstColumn="0" w:firstRowLastColumn="0" w:lastRowFirstColumn="0" w:lastRowLastColumn="0"/>
              <w:rPr>
                <w:sz w:val="20"/>
                <w:szCs w:val="20"/>
              </w:rPr>
            </w:pPr>
            <w:r w:rsidRPr="00A73EF8">
              <w:rPr>
                <w:sz w:val="20"/>
                <w:szCs w:val="20"/>
              </w:rPr>
              <w:t>-</w:t>
            </w:r>
          </w:p>
        </w:tc>
        <w:tc>
          <w:tcPr>
            <w:cnfStyle w:val="000100000000" w:firstRow="0" w:lastRow="0" w:firstColumn="0" w:lastColumn="1" w:oddVBand="0" w:evenVBand="0" w:oddHBand="0" w:evenHBand="0" w:firstRowFirstColumn="0" w:firstRowLastColumn="0" w:lastRowFirstColumn="0" w:lastRowLastColumn="0"/>
            <w:tcW w:w="1560" w:type="dxa"/>
          </w:tcPr>
          <w:p w14:paraId="179D5E87" w14:textId="77777777" w:rsidR="0074381C" w:rsidRPr="00A73EF8" w:rsidRDefault="0074381C" w:rsidP="00E20BC4">
            <w:pPr>
              <w:pStyle w:val="FGCTABLENORMAL"/>
              <w:rPr>
                <w:sz w:val="20"/>
                <w:szCs w:val="20"/>
              </w:rPr>
            </w:pPr>
            <w:r w:rsidRPr="00A73EF8">
              <w:rPr>
                <w:sz w:val="20"/>
                <w:szCs w:val="20"/>
              </w:rPr>
              <w:t>$381,709</w:t>
            </w:r>
          </w:p>
        </w:tc>
      </w:tr>
      <w:tr w:rsidR="0069558D" w:rsidRPr="00A73EF8" w14:paraId="6E876D0A" w14:textId="77777777" w:rsidTr="007668DE">
        <w:trPr>
          <w:cnfStyle w:val="010000000000" w:firstRow="0" w:lastRow="1"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418" w:type="dxa"/>
          </w:tcPr>
          <w:p w14:paraId="378A9F85" w14:textId="77777777" w:rsidR="0074381C" w:rsidRPr="00A73EF8" w:rsidRDefault="0074381C" w:rsidP="00E20BC4">
            <w:pPr>
              <w:pStyle w:val="FGCTABLENORMAL"/>
              <w:rPr>
                <w:sz w:val="20"/>
                <w:szCs w:val="20"/>
              </w:rPr>
            </w:pPr>
            <w:r w:rsidRPr="00A73EF8">
              <w:rPr>
                <w:sz w:val="20"/>
                <w:szCs w:val="20"/>
              </w:rPr>
              <w:t>Total</w:t>
            </w:r>
          </w:p>
        </w:tc>
        <w:tc>
          <w:tcPr>
            <w:tcW w:w="1733" w:type="dxa"/>
          </w:tcPr>
          <w:p w14:paraId="5C167F77"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p>
        </w:tc>
        <w:tc>
          <w:tcPr>
            <w:tcW w:w="1385" w:type="dxa"/>
          </w:tcPr>
          <w:p w14:paraId="6624E360"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$4,859,964 </w:t>
            </w:r>
          </w:p>
        </w:tc>
        <w:tc>
          <w:tcPr>
            <w:tcW w:w="1134" w:type="dxa"/>
          </w:tcPr>
          <w:p w14:paraId="3033D057"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 -   </w:t>
            </w:r>
          </w:p>
        </w:tc>
        <w:tc>
          <w:tcPr>
            <w:tcW w:w="1560" w:type="dxa"/>
          </w:tcPr>
          <w:p w14:paraId="4ECC53C0"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$74,796 </w:t>
            </w:r>
          </w:p>
        </w:tc>
        <w:tc>
          <w:tcPr>
            <w:tcW w:w="1842" w:type="dxa"/>
          </w:tcPr>
          <w:p w14:paraId="0FB5C4CB"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$395,410 </w:t>
            </w:r>
          </w:p>
        </w:tc>
        <w:tc>
          <w:tcPr>
            <w:tcW w:w="1134" w:type="dxa"/>
          </w:tcPr>
          <w:p w14:paraId="4B4B63A1"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$70,672 </w:t>
            </w:r>
          </w:p>
        </w:tc>
        <w:tc>
          <w:tcPr>
            <w:tcW w:w="1418" w:type="dxa"/>
          </w:tcPr>
          <w:p w14:paraId="263A070F"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 -   </w:t>
            </w:r>
          </w:p>
        </w:tc>
        <w:tc>
          <w:tcPr>
            <w:tcW w:w="1417" w:type="dxa"/>
          </w:tcPr>
          <w:p w14:paraId="1B2D8FAF" w14:textId="77777777" w:rsidR="0074381C" w:rsidRPr="00A73EF8" w:rsidRDefault="0074381C" w:rsidP="00E20BC4">
            <w:pPr>
              <w:pStyle w:val="FGCTABLENORMAL"/>
              <w:cnfStyle w:val="010000000000" w:firstRow="0" w:lastRow="1" w:firstColumn="0" w:lastColumn="0" w:oddVBand="0" w:evenVBand="0" w:oddHBand="0" w:evenHBand="0" w:firstRowFirstColumn="0" w:firstRowLastColumn="0" w:lastRowFirstColumn="0" w:lastRowLastColumn="0"/>
              <w:rPr>
                <w:sz w:val="20"/>
                <w:szCs w:val="20"/>
              </w:rPr>
            </w:pPr>
            <w:r w:rsidRPr="00A73EF8">
              <w:rPr>
                <w:sz w:val="20"/>
                <w:szCs w:val="20"/>
              </w:rPr>
              <w:t xml:space="preserve"> -   </w:t>
            </w:r>
          </w:p>
        </w:tc>
        <w:tc>
          <w:tcPr>
            <w:cnfStyle w:val="000100000000" w:firstRow="0" w:lastRow="0" w:firstColumn="0" w:lastColumn="1" w:oddVBand="0" w:evenVBand="0" w:oddHBand="0" w:evenHBand="0" w:firstRowFirstColumn="0" w:firstRowLastColumn="0" w:lastRowFirstColumn="0" w:lastRowLastColumn="0"/>
            <w:tcW w:w="1560" w:type="dxa"/>
          </w:tcPr>
          <w:p w14:paraId="3DEE001F" w14:textId="77777777" w:rsidR="0074381C" w:rsidRPr="00A73EF8" w:rsidRDefault="0074381C" w:rsidP="00E20BC4">
            <w:pPr>
              <w:pStyle w:val="FGCTABLENORMAL"/>
              <w:rPr>
                <w:sz w:val="20"/>
                <w:szCs w:val="20"/>
              </w:rPr>
            </w:pPr>
            <w:r w:rsidRPr="00A73EF8">
              <w:rPr>
                <w:sz w:val="20"/>
                <w:szCs w:val="20"/>
              </w:rPr>
              <w:t xml:space="preserve">$5,400,842 </w:t>
            </w:r>
          </w:p>
        </w:tc>
      </w:tr>
    </w:tbl>
    <w:p w14:paraId="4F12F00C" w14:textId="77777777" w:rsidR="00570265" w:rsidRDefault="00570265">
      <w:pPr>
        <w:spacing w:before="0" w:after="160" w:line="259" w:lineRule="auto"/>
        <w:ind w:left="0"/>
        <w:rPr>
          <w:rFonts w:ascii="Arial Bold" w:eastAsia="Georgia" w:hAnsi="Arial Bold"/>
          <w:b/>
          <w:color w:val="6A2875"/>
          <w:sz w:val="30"/>
          <w:szCs w:val="28"/>
          <w:lang w:eastAsia="en-US"/>
        </w:rPr>
      </w:pPr>
      <w:bookmarkStart w:id="602" w:name="_Toc51068007"/>
      <w:bookmarkStart w:id="603" w:name="_Toc110532560"/>
      <w:bookmarkStart w:id="604" w:name="_Toc114477559"/>
      <w:bookmarkStart w:id="605" w:name="_Toc116414735"/>
      <w:bookmarkStart w:id="606" w:name="_Toc116473929"/>
      <w:r>
        <w:rPr>
          <w:rFonts w:ascii="Arial Bold" w:eastAsia="Georgia" w:hAnsi="Arial Bold"/>
          <w:b/>
          <w:color w:val="6A2875"/>
          <w:sz w:val="30"/>
          <w:szCs w:val="28"/>
          <w:lang w:eastAsia="en-US"/>
        </w:rPr>
        <w:br w:type="page"/>
      </w:r>
    </w:p>
    <w:p w14:paraId="0E233184" w14:textId="4A1002B6" w:rsidR="00677C63" w:rsidRPr="00D2134C" w:rsidRDefault="00677C63" w:rsidP="00677C63">
      <w:pPr>
        <w:pStyle w:val="FGCHEADING3"/>
      </w:pPr>
      <w:r w:rsidRPr="00D2134C">
        <w:lastRenderedPageBreak/>
        <w:t>Senior executives</w:t>
      </w:r>
      <w:bookmarkEnd w:id="602"/>
      <w:bookmarkEnd w:id="603"/>
      <w:bookmarkEnd w:id="604"/>
      <w:bookmarkEnd w:id="605"/>
      <w:bookmarkEnd w:id="606"/>
      <w:r w:rsidRPr="00D2134C">
        <w:t xml:space="preserve"> </w:t>
      </w:r>
    </w:p>
    <w:p w14:paraId="772F51B8" w14:textId="56F9806C" w:rsidR="00677C63" w:rsidRPr="00D2134C" w:rsidRDefault="00677C63" w:rsidP="00677C63">
      <w:pPr>
        <w:pStyle w:val="FGCNORMAL"/>
      </w:pPr>
      <w:r w:rsidRPr="00D2134C">
        <w:t xml:space="preserve">The </w:t>
      </w:r>
      <w:r w:rsidR="001A5949" w:rsidRPr="00D2134C">
        <w:t xml:space="preserve">NDIA’s </w:t>
      </w:r>
      <w:r w:rsidRPr="00D2134C">
        <w:t>senior executives comprise:</w:t>
      </w:r>
    </w:p>
    <w:p w14:paraId="6D5EE598" w14:textId="77777777" w:rsidR="00677C63" w:rsidRPr="00D2134C" w:rsidRDefault="00677C63" w:rsidP="00677C63">
      <w:pPr>
        <w:pStyle w:val="FGCBULLET1"/>
      </w:pPr>
      <w:r w:rsidRPr="00D2134C">
        <w:t xml:space="preserve">any official classified as a Senior Executive Band 1, Band </w:t>
      </w:r>
      <w:proofErr w:type="gramStart"/>
      <w:r w:rsidRPr="00D2134C">
        <w:t>2</w:t>
      </w:r>
      <w:proofErr w:type="gramEnd"/>
      <w:r w:rsidRPr="00D2134C">
        <w:t xml:space="preserve"> or Band 3 under the </w:t>
      </w:r>
      <w:r w:rsidRPr="00D2134C">
        <w:rPr>
          <w:iCs/>
        </w:rPr>
        <w:t>Public Service Classification Rules 2000</w:t>
      </w:r>
      <w:r w:rsidRPr="00D2134C">
        <w:t xml:space="preserve"> </w:t>
      </w:r>
    </w:p>
    <w:p w14:paraId="6C9AEBD5" w14:textId="77777777" w:rsidR="00677C63" w:rsidRPr="00D2134C" w:rsidRDefault="00677C63" w:rsidP="00677C63">
      <w:pPr>
        <w:pStyle w:val="FGCBULLET1"/>
      </w:pPr>
      <w:r w:rsidRPr="00D2134C">
        <w:t xml:space="preserve">any official with a position equivalent to a Senior Executive Band 1, Band </w:t>
      </w:r>
      <w:proofErr w:type="gramStart"/>
      <w:r w:rsidRPr="00D2134C">
        <w:t>2</w:t>
      </w:r>
      <w:proofErr w:type="gramEnd"/>
      <w:r w:rsidRPr="00D2134C">
        <w:t xml:space="preserve"> or Band 3, including contractors and consultants prescribed as officials.</w:t>
      </w:r>
    </w:p>
    <w:p w14:paraId="0E562EB6" w14:textId="3CC09B0F" w:rsidR="00677C63" w:rsidRPr="00D2134C" w:rsidRDefault="00677C63" w:rsidP="00677C63">
      <w:pPr>
        <w:pStyle w:val="FGCNORMAL"/>
        <w:rPr>
          <w:b/>
        </w:rPr>
      </w:pPr>
      <w:r w:rsidRPr="00D2134C">
        <w:rPr>
          <w:lang w:eastAsia="en-AU"/>
        </w:rPr>
        <w:t xml:space="preserve">The average remuneration received or due to be received for each of the </w:t>
      </w:r>
      <w:r w:rsidR="00347C09" w:rsidRPr="00D2134C">
        <w:rPr>
          <w:lang w:eastAsia="en-AU"/>
        </w:rPr>
        <w:t xml:space="preserve">NDIA’s </w:t>
      </w:r>
      <w:r w:rsidRPr="00D2134C">
        <w:rPr>
          <w:lang w:eastAsia="en-AU"/>
        </w:rPr>
        <w:t>senior executives who are not key management personnel for the year ended 30 June 2022 is shown in Table 5.6.3A.</w:t>
      </w:r>
      <w:r w:rsidRPr="00D2134C">
        <w:rPr>
          <w:b/>
        </w:rPr>
        <w:t xml:space="preserve"> </w:t>
      </w:r>
    </w:p>
    <w:p w14:paraId="1C811D69" w14:textId="1E70963F" w:rsidR="00677C63" w:rsidRDefault="00677C63" w:rsidP="00570265">
      <w:pPr>
        <w:pStyle w:val="FGCNORMAL"/>
        <w:ind w:left="648"/>
      </w:pPr>
      <w:r w:rsidRPr="001A2809">
        <w:rPr>
          <w:b/>
        </w:rPr>
        <w:t>Table 5.6.3A:</w:t>
      </w:r>
      <w:r w:rsidRPr="001A2809">
        <w:t xml:space="preserve"> Average remuneration for senior executives who are not key management personnel</w:t>
      </w:r>
    </w:p>
    <w:tbl>
      <w:tblPr>
        <w:tblStyle w:val="GridTable2-Accent31"/>
        <w:tblW w:w="14420" w:type="dxa"/>
        <w:tblInd w:w="567" w:type="dxa"/>
        <w:tblLook w:val="04A0" w:firstRow="1" w:lastRow="0" w:firstColumn="1" w:lastColumn="0" w:noHBand="0" w:noVBand="1"/>
      </w:tblPr>
      <w:tblGrid>
        <w:gridCol w:w="2084"/>
        <w:gridCol w:w="1239"/>
        <w:gridCol w:w="1115"/>
        <w:gridCol w:w="1121"/>
        <w:gridCol w:w="1549"/>
        <w:gridCol w:w="1895"/>
        <w:gridCol w:w="1209"/>
        <w:gridCol w:w="1352"/>
        <w:gridCol w:w="1361"/>
        <w:gridCol w:w="1495"/>
      </w:tblGrid>
      <w:tr w:rsidR="007D35DD" w:rsidRPr="00D2134C" w14:paraId="38A7FC60" w14:textId="77777777" w:rsidTr="00570265">
        <w:trPr>
          <w:cnfStyle w:val="100000000000" w:firstRow="1" w:lastRow="0" w:firstColumn="0" w:lastColumn="0" w:oddVBand="0" w:evenVBand="0" w:oddHBand="0" w:evenHBand="0" w:firstRowFirstColumn="0" w:firstRowLastColumn="0" w:lastRowFirstColumn="0" w:lastRowLastColumn="0"/>
          <w:trHeight w:val="443"/>
          <w:tblHeader/>
        </w:trPr>
        <w:tc>
          <w:tcPr>
            <w:cnfStyle w:val="001000000000" w:firstRow="0" w:lastRow="0" w:firstColumn="1" w:lastColumn="0" w:oddVBand="0" w:evenVBand="0" w:oddHBand="0" w:evenHBand="0" w:firstRowFirstColumn="0" w:firstRowLastColumn="0" w:lastRowFirstColumn="0" w:lastRowLastColumn="0"/>
            <w:tcW w:w="3277" w:type="dxa"/>
            <w:gridSpan w:val="2"/>
            <w:hideMark/>
          </w:tcPr>
          <w:p w14:paraId="2051F6F9" w14:textId="77777777" w:rsidR="00677C63" w:rsidRPr="007D35DD" w:rsidRDefault="00677C63" w:rsidP="00570265">
            <w:pPr>
              <w:pStyle w:val="Tableformat"/>
            </w:pPr>
            <w:r w:rsidRPr="007D35DD">
              <w:t>Senior executive remuneration</w:t>
            </w:r>
          </w:p>
        </w:tc>
        <w:tc>
          <w:tcPr>
            <w:tcW w:w="3808" w:type="dxa"/>
            <w:gridSpan w:val="3"/>
            <w:hideMark/>
          </w:tcPr>
          <w:p w14:paraId="037C8048"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Short</w:t>
            </w:r>
            <w:r w:rsidRPr="007D35DD">
              <w:noBreakHyphen/>
              <w:t>term benefits</w:t>
            </w:r>
          </w:p>
        </w:tc>
        <w:tc>
          <w:tcPr>
            <w:tcW w:w="0" w:type="dxa"/>
            <w:hideMark/>
          </w:tcPr>
          <w:p w14:paraId="5A520B1E"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Post</w:t>
            </w:r>
            <w:r w:rsidRPr="007D35DD">
              <w:noBreakHyphen/>
              <w:t>employment benefits</w:t>
            </w:r>
          </w:p>
        </w:tc>
        <w:tc>
          <w:tcPr>
            <w:tcW w:w="2584" w:type="dxa"/>
            <w:gridSpan w:val="2"/>
            <w:hideMark/>
          </w:tcPr>
          <w:p w14:paraId="18816A3F"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Other long</w:t>
            </w:r>
            <w:r w:rsidRPr="007D35DD">
              <w:noBreakHyphen/>
              <w:t>term benefits</w:t>
            </w:r>
          </w:p>
        </w:tc>
        <w:tc>
          <w:tcPr>
            <w:tcW w:w="0" w:type="dxa"/>
            <w:hideMark/>
          </w:tcPr>
          <w:p w14:paraId="37D5BF64"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Termination benefits</w:t>
            </w:r>
          </w:p>
        </w:tc>
        <w:tc>
          <w:tcPr>
            <w:tcW w:w="0" w:type="dxa"/>
            <w:hideMark/>
          </w:tcPr>
          <w:p w14:paraId="1E1C2444"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Total remuneration</w:t>
            </w:r>
          </w:p>
        </w:tc>
      </w:tr>
      <w:tr w:rsidR="00A766D4" w:rsidRPr="00D2134C" w14:paraId="5C23C595" w14:textId="77777777" w:rsidTr="00570265">
        <w:trPr>
          <w:cnfStyle w:val="100000000000" w:firstRow="1" w:lastRow="0" w:firstColumn="0" w:lastColumn="0" w:oddVBand="0" w:evenVBand="0" w:oddHBand="0" w:evenHBand="0" w:firstRowFirstColumn="0" w:firstRowLastColumn="0" w:lastRowFirstColumn="0" w:lastRowLastColumn="0"/>
          <w:trHeight w:val="589"/>
          <w:tblHeader/>
        </w:trPr>
        <w:tc>
          <w:tcPr>
            <w:cnfStyle w:val="001000000000" w:firstRow="0" w:lastRow="0" w:firstColumn="1" w:lastColumn="0" w:oddVBand="0" w:evenVBand="0" w:oddHBand="0" w:evenHBand="0" w:firstRowFirstColumn="0" w:firstRowLastColumn="0" w:lastRowFirstColumn="0" w:lastRowLastColumn="0"/>
            <w:tcW w:w="2116" w:type="dxa"/>
            <w:hideMark/>
          </w:tcPr>
          <w:p w14:paraId="1F89C725" w14:textId="77777777" w:rsidR="00677C63" w:rsidRPr="007D35DD" w:rsidRDefault="00677C63" w:rsidP="00570265">
            <w:pPr>
              <w:pStyle w:val="Tableformat"/>
            </w:pPr>
            <w:r w:rsidRPr="007D35DD">
              <w:t>Total remuneration bands</w:t>
            </w:r>
          </w:p>
        </w:tc>
        <w:tc>
          <w:tcPr>
            <w:tcW w:w="0" w:type="dxa"/>
            <w:hideMark/>
          </w:tcPr>
          <w:p w14:paraId="03A988DF"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Number of senior executives</w:t>
            </w:r>
          </w:p>
        </w:tc>
        <w:tc>
          <w:tcPr>
            <w:tcW w:w="1119" w:type="dxa"/>
            <w:hideMark/>
          </w:tcPr>
          <w:p w14:paraId="19F48FDB"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base salary</w:t>
            </w:r>
          </w:p>
        </w:tc>
        <w:tc>
          <w:tcPr>
            <w:tcW w:w="1125" w:type="dxa"/>
            <w:hideMark/>
          </w:tcPr>
          <w:p w14:paraId="563F8AEA"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bonuses</w:t>
            </w:r>
          </w:p>
        </w:tc>
        <w:tc>
          <w:tcPr>
            <w:tcW w:w="1564" w:type="dxa"/>
            <w:hideMark/>
          </w:tcPr>
          <w:p w14:paraId="5EC1225A"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other benefits and allowances</w:t>
            </w:r>
          </w:p>
        </w:tc>
        <w:tc>
          <w:tcPr>
            <w:tcW w:w="0" w:type="dxa"/>
            <w:hideMark/>
          </w:tcPr>
          <w:p w14:paraId="324FAD63"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superannuation contributions</w:t>
            </w:r>
          </w:p>
        </w:tc>
        <w:tc>
          <w:tcPr>
            <w:tcW w:w="1220" w:type="dxa"/>
            <w:hideMark/>
          </w:tcPr>
          <w:p w14:paraId="35BB8EE0"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 xml:space="preserve">Average long service leave </w:t>
            </w:r>
          </w:p>
        </w:tc>
        <w:tc>
          <w:tcPr>
            <w:tcW w:w="1364" w:type="dxa"/>
            <w:hideMark/>
          </w:tcPr>
          <w:p w14:paraId="7764EE08"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other long</w:t>
            </w:r>
            <w:r w:rsidRPr="007D35DD">
              <w:noBreakHyphen/>
              <w:t xml:space="preserve">term benefits </w:t>
            </w:r>
          </w:p>
        </w:tc>
        <w:tc>
          <w:tcPr>
            <w:tcW w:w="0" w:type="dxa"/>
            <w:hideMark/>
          </w:tcPr>
          <w:p w14:paraId="760C8DC2"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 xml:space="preserve">Average termination benefits </w:t>
            </w:r>
          </w:p>
        </w:tc>
        <w:tc>
          <w:tcPr>
            <w:tcW w:w="0" w:type="dxa"/>
            <w:hideMark/>
          </w:tcPr>
          <w:p w14:paraId="5AA73832" w14:textId="77777777" w:rsidR="00677C63" w:rsidRPr="007D35DD" w:rsidRDefault="00677C63" w:rsidP="00570265">
            <w:pPr>
              <w:pStyle w:val="Tableformat"/>
              <w:cnfStyle w:val="100000000000" w:firstRow="1" w:lastRow="0" w:firstColumn="0" w:lastColumn="0" w:oddVBand="0" w:evenVBand="0" w:oddHBand="0" w:evenHBand="0" w:firstRowFirstColumn="0" w:firstRowLastColumn="0" w:lastRowFirstColumn="0" w:lastRowLastColumn="0"/>
            </w:pPr>
            <w:r w:rsidRPr="007D35DD">
              <w:t>Average total remuneration</w:t>
            </w:r>
          </w:p>
        </w:tc>
      </w:tr>
      <w:tr w:rsidR="007D35DD" w:rsidRPr="00D2134C" w14:paraId="7BA8C1F1" w14:textId="77777777"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635FC2CA" w14:textId="77777777" w:rsidR="00E87F98" w:rsidRPr="007D35DD" w:rsidRDefault="00E87F98" w:rsidP="00570265">
            <w:pPr>
              <w:pStyle w:val="Tableformat"/>
            </w:pPr>
            <w:r w:rsidRPr="007D35DD">
              <w:t>$0–$220,000</w:t>
            </w:r>
          </w:p>
        </w:tc>
        <w:tc>
          <w:tcPr>
            <w:tcW w:w="1161" w:type="dxa"/>
          </w:tcPr>
          <w:p w14:paraId="6BC09B2B" w14:textId="07900022"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34</w:t>
            </w:r>
          </w:p>
        </w:tc>
        <w:tc>
          <w:tcPr>
            <w:tcW w:w="1119" w:type="dxa"/>
          </w:tcPr>
          <w:p w14:paraId="570DAE04" w14:textId="3A61DCC3" w:rsidR="00E87F98" w:rsidRPr="007D35DD" w:rsidRDefault="00E87F98" w:rsidP="00570265">
            <w:pPr>
              <w:ind w:left="0"/>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$101,554</w:t>
            </w:r>
          </w:p>
        </w:tc>
        <w:tc>
          <w:tcPr>
            <w:tcW w:w="1125" w:type="dxa"/>
          </w:tcPr>
          <w:p w14:paraId="42D9B0C9" w14:textId="575EF875" w:rsidR="00E87F98" w:rsidRPr="007D35DD" w:rsidRDefault="00E87F98" w:rsidP="00570265">
            <w:pPr>
              <w:ind w:left="0"/>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w:t>
            </w:r>
          </w:p>
        </w:tc>
        <w:tc>
          <w:tcPr>
            <w:tcW w:w="1564" w:type="dxa"/>
          </w:tcPr>
          <w:p w14:paraId="345FE6FD" w14:textId="716E959D" w:rsidR="00E87F98" w:rsidRPr="007D35DD" w:rsidRDefault="00E87F98" w:rsidP="00570265">
            <w:pPr>
              <w:ind w:left="0"/>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$3,108</w:t>
            </w:r>
          </w:p>
        </w:tc>
        <w:tc>
          <w:tcPr>
            <w:tcW w:w="0" w:type="dxa"/>
          </w:tcPr>
          <w:p w14:paraId="5E2D34D3" w14:textId="3A6EA491" w:rsidR="00E87F98" w:rsidRPr="007D35DD" w:rsidRDefault="00E87F98" w:rsidP="00570265">
            <w:pPr>
              <w:ind w:left="-66"/>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$12,220</w:t>
            </w:r>
          </w:p>
        </w:tc>
        <w:tc>
          <w:tcPr>
            <w:tcW w:w="1220" w:type="dxa"/>
          </w:tcPr>
          <w:p w14:paraId="07507658" w14:textId="41AC2452" w:rsidR="00E87F98" w:rsidRPr="007D35DD" w:rsidRDefault="00E87F98" w:rsidP="00570265">
            <w:pPr>
              <w:ind w:left="-12"/>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$1,796</w:t>
            </w:r>
          </w:p>
        </w:tc>
        <w:tc>
          <w:tcPr>
            <w:tcW w:w="1364" w:type="dxa"/>
          </w:tcPr>
          <w:p w14:paraId="34D8D2D4" w14:textId="03FA28DF" w:rsidR="00E87F98" w:rsidRPr="007D35DD" w:rsidRDefault="00E87F98" w:rsidP="00570265">
            <w:pPr>
              <w:ind w:left="-70"/>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w:t>
            </w:r>
          </w:p>
        </w:tc>
        <w:tc>
          <w:tcPr>
            <w:tcW w:w="0" w:type="dxa"/>
          </w:tcPr>
          <w:p w14:paraId="7D1CE614" w14:textId="2EFEA6A4" w:rsidR="00E87F98" w:rsidRPr="007D35DD" w:rsidRDefault="00E87F98" w:rsidP="00570265">
            <w:pPr>
              <w:ind w:left="-29"/>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w:t>
            </w:r>
          </w:p>
        </w:tc>
        <w:tc>
          <w:tcPr>
            <w:tcW w:w="0" w:type="dxa"/>
          </w:tcPr>
          <w:p w14:paraId="58B39004" w14:textId="7A4B9AD2" w:rsidR="00E87F98" w:rsidRPr="007D35DD" w:rsidRDefault="00E87F98" w:rsidP="00570265">
            <w:pPr>
              <w:ind w:left="0"/>
              <w:cnfStyle w:val="000000100000" w:firstRow="0" w:lastRow="0" w:firstColumn="0" w:lastColumn="0" w:oddVBand="0" w:evenVBand="0" w:oddHBand="1" w:evenHBand="0" w:firstRowFirstColumn="0" w:firstRowLastColumn="0" w:lastRowFirstColumn="0" w:lastRowLastColumn="0"/>
              <w:rPr>
                <w:sz w:val="20"/>
                <w:szCs w:val="20"/>
              </w:rPr>
            </w:pPr>
            <w:r w:rsidRPr="00EE2D88">
              <w:rPr>
                <w:sz w:val="20"/>
                <w:szCs w:val="20"/>
              </w:rPr>
              <w:t>$118,678</w:t>
            </w:r>
          </w:p>
        </w:tc>
      </w:tr>
      <w:tr w:rsidR="00FB51F2" w:rsidRPr="00D2134C" w14:paraId="1A7AE7B3" w14:textId="77777777"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14252840" w14:textId="77777777" w:rsidR="00E87F98" w:rsidRPr="007D35DD" w:rsidRDefault="00E87F98" w:rsidP="00570265">
            <w:pPr>
              <w:pStyle w:val="Tableformat"/>
            </w:pPr>
            <w:r w:rsidRPr="007D35DD">
              <w:t xml:space="preserve"> $220,001–$245,000</w:t>
            </w:r>
          </w:p>
        </w:tc>
        <w:tc>
          <w:tcPr>
            <w:tcW w:w="0" w:type="dxa"/>
          </w:tcPr>
          <w:p w14:paraId="7085CFBA" w14:textId="417F61CD"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9</w:t>
            </w:r>
          </w:p>
        </w:tc>
        <w:tc>
          <w:tcPr>
            <w:tcW w:w="1119" w:type="dxa"/>
          </w:tcPr>
          <w:p w14:paraId="587F006A" w14:textId="4ED7C485"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$203,691</w:t>
            </w:r>
          </w:p>
        </w:tc>
        <w:tc>
          <w:tcPr>
            <w:tcW w:w="1125" w:type="dxa"/>
          </w:tcPr>
          <w:p w14:paraId="1B3FC770" w14:textId="469B145B"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564" w:type="dxa"/>
          </w:tcPr>
          <w:p w14:paraId="78D2E0DC" w14:textId="4668D26E"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$8,594</w:t>
            </w:r>
          </w:p>
        </w:tc>
        <w:tc>
          <w:tcPr>
            <w:tcW w:w="0" w:type="dxa"/>
          </w:tcPr>
          <w:p w14:paraId="4D095B92" w14:textId="3E5DAAF7"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$25,044</w:t>
            </w:r>
          </w:p>
        </w:tc>
        <w:tc>
          <w:tcPr>
            <w:tcW w:w="1220" w:type="dxa"/>
          </w:tcPr>
          <w:p w14:paraId="7B0ACF6B" w14:textId="2A7499E0"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$4,067</w:t>
            </w:r>
          </w:p>
        </w:tc>
        <w:tc>
          <w:tcPr>
            <w:tcW w:w="1364" w:type="dxa"/>
          </w:tcPr>
          <w:p w14:paraId="68C444D6" w14:textId="563FFF8A"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4C91C771" w14:textId="703B30D0"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0F9D2401" w14:textId="29CC9A0B"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$241,395</w:t>
            </w:r>
          </w:p>
        </w:tc>
      </w:tr>
      <w:tr w:rsidR="007D35DD" w:rsidRPr="00D2134C" w14:paraId="1D149285" w14:textId="77777777"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78176D61" w14:textId="77777777" w:rsidR="00E87F98" w:rsidRPr="007D35DD" w:rsidRDefault="00E87F98" w:rsidP="00570265">
            <w:pPr>
              <w:pStyle w:val="Tableformat"/>
            </w:pPr>
            <w:r w:rsidRPr="007D35DD">
              <w:t xml:space="preserve"> $245,001–$270,000</w:t>
            </w:r>
          </w:p>
        </w:tc>
        <w:tc>
          <w:tcPr>
            <w:tcW w:w="1161" w:type="dxa"/>
          </w:tcPr>
          <w:p w14:paraId="35CC1AA6" w14:textId="293E62DA"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18</w:t>
            </w:r>
          </w:p>
        </w:tc>
        <w:tc>
          <w:tcPr>
            <w:tcW w:w="1119" w:type="dxa"/>
          </w:tcPr>
          <w:p w14:paraId="7227283F" w14:textId="59630A47"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$206,349</w:t>
            </w:r>
          </w:p>
        </w:tc>
        <w:tc>
          <w:tcPr>
            <w:tcW w:w="1125" w:type="dxa"/>
          </w:tcPr>
          <w:p w14:paraId="633FDFD6" w14:textId="478E31C4"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564" w:type="dxa"/>
          </w:tcPr>
          <w:p w14:paraId="247B04C3" w14:textId="3517FC3A"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$10,346</w:t>
            </w:r>
          </w:p>
        </w:tc>
        <w:tc>
          <w:tcPr>
            <w:tcW w:w="0" w:type="dxa"/>
          </w:tcPr>
          <w:p w14:paraId="1E727586" w14:textId="7434169B"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$27,009</w:t>
            </w:r>
          </w:p>
        </w:tc>
        <w:tc>
          <w:tcPr>
            <w:tcW w:w="1220" w:type="dxa"/>
          </w:tcPr>
          <w:p w14:paraId="28135080" w14:textId="0D543AD6"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$5,118</w:t>
            </w:r>
          </w:p>
        </w:tc>
        <w:tc>
          <w:tcPr>
            <w:tcW w:w="1364" w:type="dxa"/>
          </w:tcPr>
          <w:p w14:paraId="08040888" w14:textId="7361E766"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1DC80E91" w14:textId="0DF73516"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$5,090</w:t>
            </w:r>
          </w:p>
        </w:tc>
        <w:tc>
          <w:tcPr>
            <w:tcW w:w="0" w:type="dxa"/>
          </w:tcPr>
          <w:p w14:paraId="1EE39D41" w14:textId="5FBC3860"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$253,912</w:t>
            </w:r>
          </w:p>
        </w:tc>
      </w:tr>
      <w:tr w:rsidR="00FB51F2" w:rsidRPr="00D2134C" w14:paraId="33E61163" w14:textId="77777777"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3945ABDE" w14:textId="77777777" w:rsidR="00E87F98" w:rsidRPr="007D35DD" w:rsidRDefault="00E87F98" w:rsidP="00570265">
            <w:pPr>
              <w:pStyle w:val="Tableformat"/>
            </w:pPr>
            <w:r w:rsidRPr="007D35DD">
              <w:t xml:space="preserve"> $270,001–$295,000</w:t>
            </w:r>
          </w:p>
        </w:tc>
        <w:tc>
          <w:tcPr>
            <w:tcW w:w="0" w:type="dxa"/>
          </w:tcPr>
          <w:p w14:paraId="40DF3C4A" w14:textId="52CB9B3B"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15</w:t>
            </w:r>
          </w:p>
        </w:tc>
        <w:tc>
          <w:tcPr>
            <w:tcW w:w="1119" w:type="dxa"/>
          </w:tcPr>
          <w:p w14:paraId="4F18B827" w14:textId="680F16E6"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$229,223</w:t>
            </w:r>
          </w:p>
        </w:tc>
        <w:tc>
          <w:tcPr>
            <w:tcW w:w="1125" w:type="dxa"/>
          </w:tcPr>
          <w:p w14:paraId="025D7EC6" w14:textId="25EE680C"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564" w:type="dxa"/>
          </w:tcPr>
          <w:p w14:paraId="57D513CC" w14:textId="461A5CD1"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$13,848</w:t>
            </w:r>
          </w:p>
        </w:tc>
        <w:tc>
          <w:tcPr>
            <w:tcW w:w="0" w:type="dxa"/>
          </w:tcPr>
          <w:p w14:paraId="246556D9" w14:textId="7C678A33"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$31,623</w:t>
            </w:r>
          </w:p>
        </w:tc>
        <w:tc>
          <w:tcPr>
            <w:tcW w:w="1220" w:type="dxa"/>
          </w:tcPr>
          <w:p w14:paraId="5EC1963A" w14:textId="2B2DC349"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$4,995</w:t>
            </w:r>
          </w:p>
        </w:tc>
        <w:tc>
          <w:tcPr>
            <w:tcW w:w="1364" w:type="dxa"/>
          </w:tcPr>
          <w:p w14:paraId="43AD0F47" w14:textId="15A98BA2"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612FF952" w14:textId="245E7D9A"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087CB986" w14:textId="580535D1"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$279,689</w:t>
            </w:r>
          </w:p>
        </w:tc>
      </w:tr>
      <w:tr w:rsidR="007D35DD" w:rsidRPr="00D2134C" w14:paraId="192F25CC" w14:textId="77777777"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1C35D64A" w14:textId="77777777" w:rsidR="00E87F98" w:rsidRPr="007D35DD" w:rsidRDefault="00E87F98" w:rsidP="00570265">
            <w:pPr>
              <w:pStyle w:val="Tableformat"/>
            </w:pPr>
            <w:r w:rsidRPr="007D35DD">
              <w:t xml:space="preserve"> $295,001–$320,000</w:t>
            </w:r>
          </w:p>
        </w:tc>
        <w:tc>
          <w:tcPr>
            <w:tcW w:w="1161" w:type="dxa"/>
          </w:tcPr>
          <w:p w14:paraId="586A87C2" w14:textId="5AEE6798"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w:t>
            </w:r>
          </w:p>
        </w:tc>
        <w:tc>
          <w:tcPr>
            <w:tcW w:w="1119" w:type="dxa"/>
          </w:tcPr>
          <w:p w14:paraId="09E70422" w14:textId="070915CD"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$252,982</w:t>
            </w:r>
          </w:p>
        </w:tc>
        <w:tc>
          <w:tcPr>
            <w:tcW w:w="1125" w:type="dxa"/>
          </w:tcPr>
          <w:p w14:paraId="7E9639FB" w14:textId="02961C50"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564" w:type="dxa"/>
          </w:tcPr>
          <w:p w14:paraId="643B43C6" w14:textId="53C8DD70"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$15,143</w:t>
            </w:r>
          </w:p>
        </w:tc>
        <w:tc>
          <w:tcPr>
            <w:tcW w:w="0" w:type="dxa"/>
          </w:tcPr>
          <w:p w14:paraId="50A3EADB" w14:textId="5BE3EA41"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$31,169</w:t>
            </w:r>
          </w:p>
        </w:tc>
        <w:tc>
          <w:tcPr>
            <w:tcW w:w="1220" w:type="dxa"/>
          </w:tcPr>
          <w:p w14:paraId="3B75AAED" w14:textId="519EA4EA"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$2,909</w:t>
            </w:r>
          </w:p>
        </w:tc>
        <w:tc>
          <w:tcPr>
            <w:tcW w:w="1364" w:type="dxa"/>
          </w:tcPr>
          <w:p w14:paraId="2C2B17FF" w14:textId="4E299506"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0C445992" w14:textId="2C46F63A"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352CF7E7" w14:textId="3960C9E4"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$302,202</w:t>
            </w:r>
          </w:p>
        </w:tc>
      </w:tr>
      <w:tr w:rsidR="00FB51F2" w:rsidRPr="00D2134C" w14:paraId="060E3B82" w14:textId="77777777"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40C9C486" w14:textId="77777777" w:rsidR="00E87F98" w:rsidRPr="007D35DD" w:rsidRDefault="00E87F98" w:rsidP="00570265">
            <w:pPr>
              <w:pStyle w:val="Tableformat"/>
            </w:pPr>
            <w:r w:rsidRPr="007D35DD">
              <w:t xml:space="preserve"> $320,001–$345,000</w:t>
            </w:r>
          </w:p>
        </w:tc>
        <w:tc>
          <w:tcPr>
            <w:tcW w:w="0" w:type="dxa"/>
          </w:tcPr>
          <w:p w14:paraId="1785121D" w14:textId="512DF9DB"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5</w:t>
            </w:r>
          </w:p>
        </w:tc>
        <w:tc>
          <w:tcPr>
            <w:tcW w:w="1119" w:type="dxa"/>
          </w:tcPr>
          <w:p w14:paraId="6714964F" w14:textId="6BD73214"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$267,050</w:t>
            </w:r>
          </w:p>
        </w:tc>
        <w:tc>
          <w:tcPr>
            <w:tcW w:w="1125" w:type="dxa"/>
          </w:tcPr>
          <w:p w14:paraId="1BD7423F" w14:textId="39A91C35"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564" w:type="dxa"/>
          </w:tcPr>
          <w:p w14:paraId="2C1533CB" w14:textId="27ABE94F"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$17,197</w:t>
            </w:r>
          </w:p>
        </w:tc>
        <w:tc>
          <w:tcPr>
            <w:tcW w:w="0" w:type="dxa"/>
          </w:tcPr>
          <w:p w14:paraId="4470C278" w14:textId="09223D31"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$41,776</w:t>
            </w:r>
          </w:p>
        </w:tc>
        <w:tc>
          <w:tcPr>
            <w:tcW w:w="1220" w:type="dxa"/>
          </w:tcPr>
          <w:p w14:paraId="34E159A0" w14:textId="01922AD7"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$6,936</w:t>
            </w:r>
          </w:p>
        </w:tc>
        <w:tc>
          <w:tcPr>
            <w:tcW w:w="1364" w:type="dxa"/>
          </w:tcPr>
          <w:p w14:paraId="44381568" w14:textId="5F8229C2"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369A1F28" w14:textId="1F88E566"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51AA1C58" w14:textId="61D54AE7"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$332,959</w:t>
            </w:r>
          </w:p>
        </w:tc>
      </w:tr>
      <w:tr w:rsidR="007D35DD" w:rsidRPr="00D2134C" w14:paraId="38C237D6" w14:textId="77777777"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6B0D8E0A" w14:textId="77777777" w:rsidR="00E87F98" w:rsidRPr="007D35DD" w:rsidRDefault="00E87F98" w:rsidP="00570265">
            <w:pPr>
              <w:pStyle w:val="Tableformat"/>
            </w:pPr>
            <w:r w:rsidRPr="007D35DD">
              <w:t xml:space="preserve"> $345,001–$370,000</w:t>
            </w:r>
          </w:p>
        </w:tc>
        <w:tc>
          <w:tcPr>
            <w:tcW w:w="1161" w:type="dxa"/>
          </w:tcPr>
          <w:p w14:paraId="020F0F18" w14:textId="4EA75962"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w:t>
            </w:r>
          </w:p>
        </w:tc>
        <w:tc>
          <w:tcPr>
            <w:tcW w:w="1119" w:type="dxa"/>
          </w:tcPr>
          <w:p w14:paraId="16C2D022" w14:textId="051CD9CD"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$298,548</w:t>
            </w:r>
          </w:p>
        </w:tc>
        <w:tc>
          <w:tcPr>
            <w:tcW w:w="1125" w:type="dxa"/>
          </w:tcPr>
          <w:p w14:paraId="4AB7559C" w14:textId="3EDC2EBE"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564" w:type="dxa"/>
          </w:tcPr>
          <w:p w14:paraId="765C276C" w14:textId="1FF9FB61"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$4,649</w:t>
            </w:r>
          </w:p>
        </w:tc>
        <w:tc>
          <w:tcPr>
            <w:tcW w:w="0" w:type="dxa"/>
          </w:tcPr>
          <w:p w14:paraId="48614DB3" w14:textId="542D6F3C"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$46,467</w:t>
            </w:r>
          </w:p>
        </w:tc>
        <w:tc>
          <w:tcPr>
            <w:tcW w:w="1220" w:type="dxa"/>
          </w:tcPr>
          <w:p w14:paraId="57EEA26B" w14:textId="6E113712"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$7,325</w:t>
            </w:r>
          </w:p>
        </w:tc>
        <w:tc>
          <w:tcPr>
            <w:tcW w:w="1364" w:type="dxa"/>
          </w:tcPr>
          <w:p w14:paraId="78D9CD44" w14:textId="257AAB6C"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56A4A735" w14:textId="6E0F07B4"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05AF7FB0" w14:textId="51A76A71"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$356,990</w:t>
            </w:r>
          </w:p>
        </w:tc>
      </w:tr>
      <w:tr w:rsidR="00FB51F2" w:rsidRPr="00D2134C" w14:paraId="7055B7B2" w14:textId="77777777"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0DE4EFBA" w14:textId="77777777" w:rsidR="00E87F98" w:rsidRPr="007D35DD" w:rsidRDefault="00E87F98" w:rsidP="00570265">
            <w:pPr>
              <w:pStyle w:val="Tableformat"/>
            </w:pPr>
            <w:r w:rsidRPr="007D35DD">
              <w:t xml:space="preserve"> $370,001–$395,000</w:t>
            </w:r>
          </w:p>
        </w:tc>
        <w:tc>
          <w:tcPr>
            <w:tcW w:w="0" w:type="dxa"/>
          </w:tcPr>
          <w:p w14:paraId="22CD6406" w14:textId="0985F923"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w:t>
            </w:r>
          </w:p>
        </w:tc>
        <w:tc>
          <w:tcPr>
            <w:tcW w:w="1119" w:type="dxa"/>
          </w:tcPr>
          <w:p w14:paraId="3C830F86" w14:textId="73B35ECC"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$338,869</w:t>
            </w:r>
          </w:p>
        </w:tc>
        <w:tc>
          <w:tcPr>
            <w:tcW w:w="1125" w:type="dxa"/>
          </w:tcPr>
          <w:p w14:paraId="0AF75D40" w14:textId="4348A2F5"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564" w:type="dxa"/>
          </w:tcPr>
          <w:p w14:paraId="4EC1245C" w14:textId="54A06BBE"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$42</w:t>
            </w:r>
          </w:p>
        </w:tc>
        <w:tc>
          <w:tcPr>
            <w:tcW w:w="0" w:type="dxa"/>
          </w:tcPr>
          <w:p w14:paraId="629CBB88" w14:textId="29523097"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$37,839</w:t>
            </w:r>
          </w:p>
        </w:tc>
        <w:tc>
          <w:tcPr>
            <w:tcW w:w="1220" w:type="dxa"/>
          </w:tcPr>
          <w:p w14:paraId="31D32FA4" w14:textId="511EDF28"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$2,021</w:t>
            </w:r>
          </w:p>
        </w:tc>
        <w:tc>
          <w:tcPr>
            <w:tcW w:w="1364" w:type="dxa"/>
          </w:tcPr>
          <w:p w14:paraId="0DD77B40" w14:textId="2863D441"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1EA00378" w14:textId="18D28979"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7BB1D56D" w14:textId="5FF0A1D9" w:rsidR="00E87F98" w:rsidRPr="007D35DD" w:rsidRDefault="00E87F98" w:rsidP="00570265">
            <w:pPr>
              <w:pStyle w:val="Tableformat"/>
              <w:cnfStyle w:val="000000000000" w:firstRow="0" w:lastRow="0" w:firstColumn="0" w:lastColumn="0" w:oddVBand="0" w:evenVBand="0" w:oddHBand="0" w:evenHBand="0" w:firstRowFirstColumn="0" w:firstRowLastColumn="0" w:lastRowFirstColumn="0" w:lastRowLastColumn="0"/>
            </w:pPr>
            <w:r w:rsidRPr="007D35DD">
              <w:t>$378,771</w:t>
            </w:r>
          </w:p>
        </w:tc>
      </w:tr>
      <w:tr w:rsidR="007D35DD" w:rsidRPr="00D2134C" w14:paraId="2AFE9B45" w14:textId="79711A16"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237526AB" w14:textId="7B050CCC" w:rsidR="00677C63" w:rsidRPr="007D35DD" w:rsidRDefault="00677C63" w:rsidP="00570265">
            <w:pPr>
              <w:pStyle w:val="Tableformat"/>
            </w:pPr>
            <w:r w:rsidRPr="007D35DD">
              <w:t xml:space="preserve"> $395,001–$420,000</w:t>
            </w:r>
          </w:p>
        </w:tc>
        <w:tc>
          <w:tcPr>
            <w:tcW w:w="1161" w:type="dxa"/>
          </w:tcPr>
          <w:p w14:paraId="60594376" w14:textId="588CA5AE"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119" w:type="dxa"/>
          </w:tcPr>
          <w:p w14:paraId="5B7E01CC" w14:textId="3BE5EFD6"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125" w:type="dxa"/>
          </w:tcPr>
          <w:p w14:paraId="0C17D996" w14:textId="6AAD9E52"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564" w:type="dxa"/>
          </w:tcPr>
          <w:p w14:paraId="0A03073E" w14:textId="742E5FB3"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31398E65" w14:textId="038D494A"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220" w:type="dxa"/>
          </w:tcPr>
          <w:p w14:paraId="08188D5D" w14:textId="5E41555A"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364" w:type="dxa"/>
          </w:tcPr>
          <w:p w14:paraId="30F3E601" w14:textId="4839CB68"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17CB7734" w14:textId="37B89843"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73A8BA43" w14:textId="3FB6052D" w:rsidR="00677C63" w:rsidRPr="007D35DD" w:rsidRDefault="00CF104B"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r>
      <w:tr w:rsidR="00FB51F2" w:rsidRPr="00D2134C" w14:paraId="10732010" w14:textId="00C82B4D"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04977485" w14:textId="3B28EB37" w:rsidR="00677C63" w:rsidRPr="007D35DD" w:rsidRDefault="00677C63" w:rsidP="00570265">
            <w:pPr>
              <w:pStyle w:val="Tableformat"/>
            </w:pPr>
            <w:r w:rsidRPr="007D35DD">
              <w:t>$420,001–$445,000</w:t>
            </w:r>
          </w:p>
        </w:tc>
        <w:tc>
          <w:tcPr>
            <w:tcW w:w="0" w:type="dxa"/>
          </w:tcPr>
          <w:p w14:paraId="415DCC9C" w14:textId="2BD46EF4"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1119" w:type="dxa"/>
          </w:tcPr>
          <w:p w14:paraId="467F62A6" w14:textId="0FB1558B"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1125" w:type="dxa"/>
          </w:tcPr>
          <w:p w14:paraId="1FF85C50" w14:textId="212B733D"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1564" w:type="dxa"/>
          </w:tcPr>
          <w:p w14:paraId="15FA3305" w14:textId="1AF0B86A"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0" w:type="dxa"/>
          </w:tcPr>
          <w:p w14:paraId="3A840502" w14:textId="1FDF7867"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1220" w:type="dxa"/>
          </w:tcPr>
          <w:p w14:paraId="75C0EE6C" w14:textId="5B1ABC3E"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1364" w:type="dxa"/>
          </w:tcPr>
          <w:p w14:paraId="05879721" w14:textId="2BB47289"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0" w:type="dxa"/>
          </w:tcPr>
          <w:p w14:paraId="3DBD8410" w14:textId="449ACDB5"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c>
          <w:tcPr>
            <w:tcW w:w="0" w:type="dxa"/>
          </w:tcPr>
          <w:p w14:paraId="2A8020B2" w14:textId="01D26DBA" w:rsidR="00677C63" w:rsidRPr="007D35DD" w:rsidRDefault="00677C63" w:rsidP="00570265">
            <w:pPr>
              <w:pStyle w:val="Tableformat"/>
              <w:cnfStyle w:val="000000000000" w:firstRow="0" w:lastRow="0" w:firstColumn="0" w:lastColumn="0" w:oddVBand="0" w:evenVBand="0" w:oddHBand="0" w:evenHBand="0" w:firstRowFirstColumn="0" w:firstRowLastColumn="0" w:lastRowFirstColumn="0" w:lastRowLastColumn="0"/>
            </w:pPr>
          </w:p>
        </w:tc>
      </w:tr>
      <w:tr w:rsidR="007D35DD" w:rsidRPr="00D2134C" w14:paraId="373BD973" w14:textId="77777777" w:rsidTr="0057026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2116" w:type="dxa"/>
          </w:tcPr>
          <w:p w14:paraId="2BA1BFA9" w14:textId="77777777" w:rsidR="00E87F98" w:rsidRPr="007D35DD" w:rsidRDefault="00E87F98" w:rsidP="00570265">
            <w:pPr>
              <w:pStyle w:val="Tableformat"/>
            </w:pPr>
            <w:r w:rsidRPr="007D35DD">
              <w:lastRenderedPageBreak/>
              <w:t>$445,001–$470,000</w:t>
            </w:r>
          </w:p>
        </w:tc>
        <w:tc>
          <w:tcPr>
            <w:tcW w:w="1161" w:type="dxa"/>
          </w:tcPr>
          <w:p w14:paraId="7742728F" w14:textId="109B5FB5"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1</w:t>
            </w:r>
          </w:p>
        </w:tc>
        <w:tc>
          <w:tcPr>
            <w:tcW w:w="1119" w:type="dxa"/>
          </w:tcPr>
          <w:p w14:paraId="4B31D2AE" w14:textId="33B35E2C"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$406,372</w:t>
            </w:r>
          </w:p>
        </w:tc>
        <w:tc>
          <w:tcPr>
            <w:tcW w:w="1125" w:type="dxa"/>
          </w:tcPr>
          <w:p w14:paraId="516C4B6E" w14:textId="03309967"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1564" w:type="dxa"/>
          </w:tcPr>
          <w:p w14:paraId="42969C38" w14:textId="7A79A89B"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26F3E158" w14:textId="28463840"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$40,637</w:t>
            </w:r>
          </w:p>
        </w:tc>
        <w:tc>
          <w:tcPr>
            <w:tcW w:w="1220" w:type="dxa"/>
          </w:tcPr>
          <w:p w14:paraId="7518AE01" w14:textId="28E8B60F"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0</w:t>
            </w:r>
          </w:p>
        </w:tc>
        <w:tc>
          <w:tcPr>
            <w:tcW w:w="1364" w:type="dxa"/>
          </w:tcPr>
          <w:p w14:paraId="4ED84FAD" w14:textId="029D29E1"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5B758EAA" w14:textId="625C5AB4"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w:t>
            </w:r>
          </w:p>
        </w:tc>
        <w:tc>
          <w:tcPr>
            <w:tcW w:w="0" w:type="dxa"/>
          </w:tcPr>
          <w:p w14:paraId="47EF0266" w14:textId="0C108D8D" w:rsidR="00E87F98" w:rsidRPr="007D35DD" w:rsidRDefault="00E87F98" w:rsidP="00570265">
            <w:pPr>
              <w:pStyle w:val="Tableformat"/>
              <w:cnfStyle w:val="000000100000" w:firstRow="0" w:lastRow="0" w:firstColumn="0" w:lastColumn="0" w:oddVBand="0" w:evenVBand="0" w:oddHBand="1" w:evenHBand="0" w:firstRowFirstColumn="0" w:firstRowLastColumn="0" w:lastRowFirstColumn="0" w:lastRowLastColumn="0"/>
            </w:pPr>
            <w:r w:rsidRPr="007D35DD">
              <w:t>$447,009</w:t>
            </w:r>
          </w:p>
        </w:tc>
      </w:tr>
      <w:tr w:rsidR="00FB51F2" w:rsidRPr="00D2134C" w14:paraId="4268BCBF" w14:textId="092A92AC" w:rsidTr="00570265">
        <w:trPr>
          <w:trHeight w:val="344"/>
        </w:trPr>
        <w:tc>
          <w:tcPr>
            <w:cnfStyle w:val="001000000000" w:firstRow="0" w:lastRow="0" w:firstColumn="1" w:lastColumn="0" w:oddVBand="0" w:evenVBand="0" w:oddHBand="0" w:evenHBand="0" w:firstRowFirstColumn="0" w:firstRowLastColumn="0" w:lastRowFirstColumn="0" w:lastRowLastColumn="0"/>
            <w:tcW w:w="2116" w:type="dxa"/>
          </w:tcPr>
          <w:p w14:paraId="0E11D4D1" w14:textId="77198498" w:rsidR="00677C63" w:rsidRPr="007D35DD" w:rsidRDefault="00677C63" w:rsidP="00570265">
            <w:pPr>
              <w:pStyle w:val="Tableformat"/>
            </w:pPr>
            <w:r w:rsidRPr="007D35DD">
              <w:t>$470,001–$495,000</w:t>
            </w:r>
          </w:p>
        </w:tc>
        <w:tc>
          <w:tcPr>
            <w:tcW w:w="0" w:type="dxa"/>
          </w:tcPr>
          <w:p w14:paraId="5D1E06B4" w14:textId="6CEBE4AB"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119" w:type="dxa"/>
          </w:tcPr>
          <w:p w14:paraId="63F40ABE" w14:textId="04170EC9"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125" w:type="dxa"/>
          </w:tcPr>
          <w:p w14:paraId="244D15AF" w14:textId="7BC65E28"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564" w:type="dxa"/>
          </w:tcPr>
          <w:p w14:paraId="3C459B50" w14:textId="58640CD0"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55642381" w14:textId="174C05BF"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220" w:type="dxa"/>
          </w:tcPr>
          <w:p w14:paraId="7DB2E4BA" w14:textId="33DFC8B1"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1364" w:type="dxa"/>
          </w:tcPr>
          <w:p w14:paraId="52FD9DBE" w14:textId="496EC002"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66996AB2" w14:textId="7EF9D5D9"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c>
          <w:tcPr>
            <w:tcW w:w="0" w:type="dxa"/>
          </w:tcPr>
          <w:p w14:paraId="269F255A" w14:textId="043C2B13" w:rsidR="00677C63" w:rsidRPr="007D35DD" w:rsidRDefault="00CF104B" w:rsidP="00570265">
            <w:pPr>
              <w:pStyle w:val="Tableformat"/>
              <w:cnfStyle w:val="000000000000" w:firstRow="0" w:lastRow="0" w:firstColumn="0" w:lastColumn="0" w:oddVBand="0" w:evenVBand="0" w:oddHBand="0" w:evenHBand="0" w:firstRowFirstColumn="0" w:firstRowLastColumn="0" w:lastRowFirstColumn="0" w:lastRowLastColumn="0"/>
            </w:pPr>
            <w:r w:rsidRPr="007D35DD">
              <w:t>-</w:t>
            </w:r>
          </w:p>
        </w:tc>
      </w:tr>
    </w:tbl>
    <w:p w14:paraId="5D8F800D" w14:textId="77777777" w:rsidR="00570265" w:rsidRDefault="00570265">
      <w:pPr>
        <w:spacing w:before="0" w:after="160" w:line="259" w:lineRule="auto"/>
        <w:ind w:left="0"/>
        <w:rPr>
          <w:rFonts w:ascii="Arial Bold" w:eastAsia="Georgia" w:hAnsi="Arial Bold"/>
          <w:b/>
          <w:color w:val="6A2875"/>
          <w:sz w:val="30"/>
          <w:szCs w:val="28"/>
          <w:lang w:eastAsia="en-US"/>
        </w:rPr>
      </w:pPr>
      <w:bookmarkStart w:id="607" w:name="_Toc51068008"/>
      <w:bookmarkStart w:id="608" w:name="_Toc110532561"/>
      <w:bookmarkStart w:id="609" w:name="_Toc114477560"/>
      <w:bookmarkStart w:id="610" w:name="_Toc116414736"/>
      <w:bookmarkStart w:id="611" w:name="_Toc116473930"/>
      <w:r>
        <w:br w:type="page"/>
      </w:r>
    </w:p>
    <w:p w14:paraId="471DB710" w14:textId="60349D9D" w:rsidR="00677C63" w:rsidRPr="00D2134C" w:rsidRDefault="00677C63" w:rsidP="00677C63">
      <w:pPr>
        <w:pStyle w:val="FGCHEADING3"/>
      </w:pPr>
      <w:r w:rsidRPr="00D2134C">
        <w:lastRenderedPageBreak/>
        <w:t>Other highly paid staff</w:t>
      </w:r>
      <w:bookmarkEnd w:id="607"/>
      <w:bookmarkEnd w:id="608"/>
      <w:bookmarkEnd w:id="609"/>
      <w:bookmarkEnd w:id="610"/>
      <w:bookmarkEnd w:id="611"/>
      <w:r w:rsidRPr="00D2134C">
        <w:t xml:space="preserve"> </w:t>
      </w:r>
    </w:p>
    <w:p w14:paraId="5A04CC2F" w14:textId="77777777" w:rsidR="00677C63" w:rsidRPr="00D2134C" w:rsidRDefault="00677C63" w:rsidP="00677C63">
      <w:pPr>
        <w:pStyle w:val="FGCNORMAL"/>
      </w:pPr>
      <w:r w:rsidRPr="00D2134C">
        <w:t>Other highly paid staff are officials, including contractors and consultants prescribed as officials:</w:t>
      </w:r>
    </w:p>
    <w:p w14:paraId="051A0C15" w14:textId="44095089" w:rsidR="00677C63" w:rsidRPr="00D2134C" w:rsidRDefault="00677C63" w:rsidP="00677C63">
      <w:pPr>
        <w:pStyle w:val="FGCBULLET1"/>
      </w:pPr>
      <w:r w:rsidRPr="00D2134C">
        <w:t xml:space="preserve">who are neither </w:t>
      </w:r>
      <w:r w:rsidR="00347C09" w:rsidRPr="00D2134C">
        <w:t xml:space="preserve">key management personnel </w:t>
      </w:r>
      <w:r w:rsidRPr="00D2134C">
        <w:t>nor senior executives</w:t>
      </w:r>
    </w:p>
    <w:p w14:paraId="534E2F69" w14:textId="77777777" w:rsidR="00677C63" w:rsidRPr="00D2134C" w:rsidRDefault="00677C63" w:rsidP="00677C63">
      <w:pPr>
        <w:pStyle w:val="FGCBULLET1"/>
      </w:pPr>
      <w:r w:rsidRPr="00D2134C">
        <w:t>whose total remuneration exceeds $235,000.</w:t>
      </w:r>
    </w:p>
    <w:p w14:paraId="797DA84E" w14:textId="3463798D" w:rsidR="00677C63" w:rsidRPr="00D2134C" w:rsidRDefault="00677C63" w:rsidP="00677C63">
      <w:pPr>
        <w:pStyle w:val="FGCNORMAL"/>
      </w:pPr>
      <w:r w:rsidRPr="00D2134C">
        <w:t xml:space="preserve">The average remuneration received or due to be received for each of the </w:t>
      </w:r>
      <w:r w:rsidR="00347C09" w:rsidRPr="00D2134C">
        <w:t xml:space="preserve">NDIA’s </w:t>
      </w:r>
      <w:r w:rsidRPr="00D2134C">
        <w:t>other highly paid staff for the year ended 30 June 2022 is shown in Table 5.6.4A.</w:t>
      </w:r>
    </w:p>
    <w:p w14:paraId="1ECA8DCB" w14:textId="2F7EF504" w:rsidR="00677C63" w:rsidRPr="00D2134C" w:rsidRDefault="00677C63" w:rsidP="00295C5E">
      <w:pPr>
        <w:pStyle w:val="FGCNORMAL"/>
        <w:keepNext/>
      </w:pPr>
      <w:r w:rsidRPr="00D2134C">
        <w:rPr>
          <w:b/>
        </w:rPr>
        <w:t>Table 5.6.4A:</w:t>
      </w:r>
      <w:r w:rsidRPr="00D2134C">
        <w:t xml:space="preserve"> Average remuneration for other highly paid staff </w:t>
      </w:r>
    </w:p>
    <w:tbl>
      <w:tblPr>
        <w:tblStyle w:val="GridTable2-Accent31"/>
        <w:tblW w:w="13965" w:type="dxa"/>
        <w:tblLayout w:type="fixed"/>
        <w:tblLook w:val="0020" w:firstRow="1" w:lastRow="0" w:firstColumn="0" w:lastColumn="0" w:noHBand="0" w:noVBand="0"/>
      </w:tblPr>
      <w:tblGrid>
        <w:gridCol w:w="2160"/>
        <w:gridCol w:w="1134"/>
        <w:gridCol w:w="1242"/>
        <w:gridCol w:w="993"/>
        <w:gridCol w:w="1417"/>
        <w:gridCol w:w="1559"/>
        <w:gridCol w:w="1418"/>
        <w:gridCol w:w="1276"/>
        <w:gridCol w:w="1275"/>
        <w:gridCol w:w="1491"/>
      </w:tblGrid>
      <w:tr w:rsidR="00677C63" w:rsidRPr="00D2134C" w14:paraId="1B564D09" w14:textId="77777777" w:rsidTr="00DB37F0">
        <w:trPr>
          <w:cnfStyle w:val="100000000000" w:firstRow="1" w:lastRow="0" w:firstColumn="0" w:lastColumn="0" w:oddVBand="0" w:evenVBand="0" w:oddHBand="0" w:evenHBand="0" w:firstRowFirstColumn="0" w:firstRowLastColumn="0" w:lastRowFirstColumn="0" w:lastRowLastColumn="0"/>
          <w:cantSplit/>
          <w:tblHeader/>
        </w:trPr>
        <w:tc>
          <w:tcPr>
            <w:tcW w:w="2160" w:type="dxa"/>
          </w:tcPr>
          <w:p w14:paraId="5BAE7691" w14:textId="77777777" w:rsidR="00677C63" w:rsidRPr="00D2134C" w:rsidRDefault="00677C63" w:rsidP="00E665B7">
            <w:pPr>
              <w:pStyle w:val="Tableformat"/>
            </w:pPr>
          </w:p>
        </w:tc>
        <w:tc>
          <w:tcPr>
            <w:tcW w:w="1134" w:type="dxa"/>
          </w:tcPr>
          <w:p w14:paraId="4F078000" w14:textId="77777777" w:rsidR="00677C63" w:rsidRPr="00D2134C" w:rsidRDefault="00677C63" w:rsidP="00E665B7">
            <w:pPr>
              <w:pStyle w:val="Tableformat"/>
            </w:pPr>
          </w:p>
        </w:tc>
        <w:tc>
          <w:tcPr>
            <w:tcW w:w="3652" w:type="dxa"/>
            <w:gridSpan w:val="3"/>
          </w:tcPr>
          <w:p w14:paraId="6DC66C58" w14:textId="77777777" w:rsidR="00677C63" w:rsidRPr="00D2134C" w:rsidRDefault="00677C63" w:rsidP="00E665B7">
            <w:pPr>
              <w:pStyle w:val="Tableformat"/>
            </w:pPr>
            <w:r w:rsidRPr="00D2134C">
              <w:t>Short</w:t>
            </w:r>
            <w:r w:rsidRPr="00D2134C">
              <w:noBreakHyphen/>
              <w:t>term benefits</w:t>
            </w:r>
          </w:p>
        </w:tc>
        <w:tc>
          <w:tcPr>
            <w:tcW w:w="1559" w:type="dxa"/>
          </w:tcPr>
          <w:p w14:paraId="70375ED5" w14:textId="77777777" w:rsidR="00677C63" w:rsidRPr="00D2134C" w:rsidRDefault="00677C63" w:rsidP="00E665B7">
            <w:pPr>
              <w:pStyle w:val="Tableformat"/>
            </w:pPr>
            <w:r w:rsidRPr="00D2134C">
              <w:t>Post</w:t>
            </w:r>
            <w:r w:rsidRPr="00D2134C">
              <w:noBreakHyphen/>
              <w:t>employment benefits</w:t>
            </w:r>
          </w:p>
        </w:tc>
        <w:tc>
          <w:tcPr>
            <w:tcW w:w="2694" w:type="dxa"/>
            <w:gridSpan w:val="2"/>
          </w:tcPr>
          <w:p w14:paraId="173DFCC1" w14:textId="77777777" w:rsidR="00677C63" w:rsidRPr="00D2134C" w:rsidRDefault="00677C63" w:rsidP="00E665B7">
            <w:pPr>
              <w:pStyle w:val="Tableformat"/>
            </w:pPr>
            <w:r w:rsidRPr="00D2134C">
              <w:t>Other long</w:t>
            </w:r>
            <w:r w:rsidRPr="00D2134C">
              <w:noBreakHyphen/>
              <w:t>term benefits</w:t>
            </w:r>
          </w:p>
        </w:tc>
        <w:tc>
          <w:tcPr>
            <w:tcW w:w="1275" w:type="dxa"/>
          </w:tcPr>
          <w:p w14:paraId="401636D4" w14:textId="77777777" w:rsidR="00677C63" w:rsidRPr="00D2134C" w:rsidRDefault="00677C63" w:rsidP="00E665B7">
            <w:pPr>
              <w:pStyle w:val="Tableformat"/>
            </w:pPr>
            <w:r w:rsidRPr="00D2134C">
              <w:t>Termination benefits</w:t>
            </w:r>
          </w:p>
        </w:tc>
        <w:tc>
          <w:tcPr>
            <w:tcW w:w="1491" w:type="dxa"/>
          </w:tcPr>
          <w:p w14:paraId="2F423E21" w14:textId="77777777" w:rsidR="00677C63" w:rsidRPr="00D2134C" w:rsidRDefault="00677C63" w:rsidP="00E665B7">
            <w:pPr>
              <w:pStyle w:val="Tableformat"/>
            </w:pPr>
            <w:r w:rsidRPr="00D2134C">
              <w:t>Total remuneration</w:t>
            </w:r>
          </w:p>
        </w:tc>
      </w:tr>
      <w:tr w:rsidR="009209FF" w:rsidRPr="00D2134C" w14:paraId="1BF38E6E" w14:textId="77777777" w:rsidTr="00DB37F0">
        <w:trPr>
          <w:cnfStyle w:val="000000100000" w:firstRow="0" w:lastRow="0" w:firstColumn="0" w:lastColumn="0" w:oddVBand="0" w:evenVBand="0" w:oddHBand="1" w:evenHBand="0" w:firstRowFirstColumn="0" w:firstRowLastColumn="0" w:lastRowFirstColumn="0" w:lastRowLastColumn="0"/>
          <w:cantSplit/>
        </w:trPr>
        <w:tc>
          <w:tcPr>
            <w:tcW w:w="2160" w:type="dxa"/>
            <w:shd w:val="clear" w:color="auto" w:fill="6B2976"/>
          </w:tcPr>
          <w:p w14:paraId="58D60BF7" w14:textId="77777777" w:rsidR="00677C63" w:rsidRPr="00D2134C" w:rsidRDefault="00677C63" w:rsidP="00E665B7">
            <w:pPr>
              <w:pStyle w:val="Tableformat"/>
              <w:rPr>
                <w:color w:val="FFFFFF" w:themeColor="background1"/>
              </w:rPr>
            </w:pPr>
            <w:r w:rsidRPr="00D2134C">
              <w:rPr>
                <w:color w:val="FFFFFF" w:themeColor="background1"/>
              </w:rPr>
              <w:t>Total remuneration bands</w:t>
            </w:r>
          </w:p>
        </w:tc>
        <w:tc>
          <w:tcPr>
            <w:tcW w:w="1134" w:type="dxa"/>
            <w:shd w:val="clear" w:color="auto" w:fill="6B2976"/>
          </w:tcPr>
          <w:p w14:paraId="2695D754" w14:textId="77777777" w:rsidR="00677C63" w:rsidRPr="00D2134C" w:rsidRDefault="00677C63" w:rsidP="00E665B7">
            <w:pPr>
              <w:pStyle w:val="Tableformat"/>
              <w:rPr>
                <w:color w:val="FFFFFF" w:themeColor="background1"/>
              </w:rPr>
            </w:pPr>
            <w:r w:rsidRPr="00D2134C">
              <w:rPr>
                <w:color w:val="FFFFFF" w:themeColor="background1"/>
              </w:rPr>
              <w:t>Number of other highly paid staff</w:t>
            </w:r>
          </w:p>
        </w:tc>
        <w:tc>
          <w:tcPr>
            <w:tcW w:w="1242" w:type="dxa"/>
            <w:shd w:val="clear" w:color="auto" w:fill="6B2976"/>
          </w:tcPr>
          <w:p w14:paraId="5D7267C3" w14:textId="77777777" w:rsidR="00677C63" w:rsidRPr="00D2134C" w:rsidRDefault="00677C63" w:rsidP="00E665B7">
            <w:pPr>
              <w:pStyle w:val="Tableformat"/>
              <w:rPr>
                <w:color w:val="FFFFFF" w:themeColor="background1"/>
              </w:rPr>
            </w:pPr>
            <w:r w:rsidRPr="00D2134C">
              <w:rPr>
                <w:color w:val="FFFFFF" w:themeColor="background1"/>
              </w:rPr>
              <w:t xml:space="preserve">Average base salary </w:t>
            </w:r>
          </w:p>
        </w:tc>
        <w:tc>
          <w:tcPr>
            <w:tcW w:w="993" w:type="dxa"/>
            <w:shd w:val="clear" w:color="auto" w:fill="6B2976"/>
          </w:tcPr>
          <w:p w14:paraId="0903912A" w14:textId="77777777" w:rsidR="00677C63" w:rsidRPr="00D2134C" w:rsidRDefault="00677C63" w:rsidP="00E665B7">
            <w:pPr>
              <w:pStyle w:val="Tableformat"/>
              <w:rPr>
                <w:color w:val="FFFFFF" w:themeColor="background1"/>
              </w:rPr>
            </w:pPr>
            <w:r w:rsidRPr="00D2134C">
              <w:rPr>
                <w:color w:val="FFFFFF" w:themeColor="background1"/>
              </w:rPr>
              <w:t>Average bonuses</w:t>
            </w:r>
          </w:p>
        </w:tc>
        <w:tc>
          <w:tcPr>
            <w:tcW w:w="1417" w:type="dxa"/>
            <w:shd w:val="clear" w:color="auto" w:fill="6B2976"/>
          </w:tcPr>
          <w:p w14:paraId="68E4AC42" w14:textId="77777777" w:rsidR="00677C63" w:rsidRPr="00D2134C" w:rsidRDefault="00677C63" w:rsidP="00E665B7">
            <w:pPr>
              <w:pStyle w:val="Tableformat"/>
              <w:rPr>
                <w:color w:val="FFFFFF" w:themeColor="background1"/>
              </w:rPr>
            </w:pPr>
            <w:r w:rsidRPr="00D2134C">
              <w:rPr>
                <w:color w:val="FFFFFF" w:themeColor="background1"/>
              </w:rPr>
              <w:t>Average other benefits and allowances</w:t>
            </w:r>
          </w:p>
        </w:tc>
        <w:tc>
          <w:tcPr>
            <w:tcW w:w="1559" w:type="dxa"/>
            <w:shd w:val="clear" w:color="auto" w:fill="6B2976"/>
          </w:tcPr>
          <w:p w14:paraId="27B13C11" w14:textId="77777777" w:rsidR="00677C63" w:rsidRPr="00D2134C" w:rsidRDefault="00677C63" w:rsidP="00E665B7">
            <w:pPr>
              <w:pStyle w:val="Tableformat"/>
              <w:rPr>
                <w:color w:val="FFFFFF" w:themeColor="background1"/>
              </w:rPr>
            </w:pPr>
            <w:r w:rsidRPr="00D2134C">
              <w:rPr>
                <w:color w:val="FFFFFF" w:themeColor="background1"/>
              </w:rPr>
              <w:t>Average superannuation contribution</w:t>
            </w:r>
          </w:p>
        </w:tc>
        <w:tc>
          <w:tcPr>
            <w:tcW w:w="1418" w:type="dxa"/>
            <w:shd w:val="clear" w:color="auto" w:fill="6B2976"/>
          </w:tcPr>
          <w:p w14:paraId="555A14B8" w14:textId="77777777" w:rsidR="00677C63" w:rsidRPr="00D2134C" w:rsidRDefault="00677C63" w:rsidP="00E665B7">
            <w:pPr>
              <w:pStyle w:val="Tableformat"/>
              <w:rPr>
                <w:color w:val="FFFFFF" w:themeColor="background1"/>
              </w:rPr>
            </w:pPr>
            <w:r w:rsidRPr="00D2134C">
              <w:rPr>
                <w:color w:val="FFFFFF" w:themeColor="background1"/>
              </w:rPr>
              <w:t>Average long service leave</w:t>
            </w:r>
          </w:p>
        </w:tc>
        <w:tc>
          <w:tcPr>
            <w:tcW w:w="1276" w:type="dxa"/>
            <w:shd w:val="clear" w:color="auto" w:fill="6B2976"/>
          </w:tcPr>
          <w:p w14:paraId="7BD9A7B0" w14:textId="77777777" w:rsidR="00677C63" w:rsidRPr="00D2134C" w:rsidRDefault="00677C63" w:rsidP="00E665B7">
            <w:pPr>
              <w:pStyle w:val="Tableformat"/>
              <w:rPr>
                <w:color w:val="FFFFFF" w:themeColor="background1"/>
              </w:rPr>
            </w:pPr>
            <w:r w:rsidRPr="00D2134C">
              <w:rPr>
                <w:color w:val="FFFFFF" w:themeColor="background1"/>
              </w:rPr>
              <w:t>Average other long</w:t>
            </w:r>
            <w:r w:rsidRPr="00D2134C">
              <w:rPr>
                <w:color w:val="FFFFFF" w:themeColor="background1"/>
              </w:rPr>
              <w:noBreakHyphen/>
              <w:t>term benefits</w:t>
            </w:r>
          </w:p>
        </w:tc>
        <w:tc>
          <w:tcPr>
            <w:tcW w:w="1275" w:type="dxa"/>
            <w:shd w:val="clear" w:color="auto" w:fill="6B2976"/>
          </w:tcPr>
          <w:p w14:paraId="68030AC3" w14:textId="77777777" w:rsidR="00677C63" w:rsidRPr="00D2134C" w:rsidRDefault="00677C63" w:rsidP="00E665B7">
            <w:pPr>
              <w:pStyle w:val="Tableformat"/>
              <w:rPr>
                <w:color w:val="FFFFFF" w:themeColor="background1"/>
              </w:rPr>
            </w:pPr>
            <w:r w:rsidRPr="00D2134C">
              <w:rPr>
                <w:color w:val="FFFFFF" w:themeColor="background1"/>
              </w:rPr>
              <w:t xml:space="preserve">Average termination benefits </w:t>
            </w:r>
          </w:p>
        </w:tc>
        <w:tc>
          <w:tcPr>
            <w:tcW w:w="1491" w:type="dxa"/>
            <w:shd w:val="clear" w:color="auto" w:fill="6B2976"/>
          </w:tcPr>
          <w:p w14:paraId="57C0D68C" w14:textId="77777777" w:rsidR="00677C63" w:rsidRPr="00D2134C" w:rsidRDefault="00677C63" w:rsidP="00E665B7">
            <w:pPr>
              <w:pStyle w:val="Tableformat"/>
              <w:rPr>
                <w:color w:val="FFFFFF" w:themeColor="background1"/>
              </w:rPr>
            </w:pPr>
            <w:r w:rsidRPr="00D2134C">
              <w:rPr>
                <w:color w:val="FFFFFF" w:themeColor="background1"/>
              </w:rPr>
              <w:t>Average total remuneration</w:t>
            </w:r>
          </w:p>
        </w:tc>
      </w:tr>
      <w:tr w:rsidR="00144DE1" w:rsidRPr="00D2134C" w14:paraId="6E893D0E" w14:textId="77777777" w:rsidTr="00DB37F0">
        <w:trPr>
          <w:cantSplit/>
          <w:trHeight w:val="397"/>
        </w:trPr>
        <w:tc>
          <w:tcPr>
            <w:tcW w:w="2160" w:type="dxa"/>
          </w:tcPr>
          <w:p w14:paraId="7F79225C" w14:textId="04EE64F0" w:rsidR="009209FF" w:rsidRPr="00D2134C" w:rsidRDefault="009209FF" w:rsidP="009209FF">
            <w:pPr>
              <w:pStyle w:val="Tableformat"/>
            </w:pPr>
            <w:r w:rsidRPr="00D2134C">
              <w:t>$2</w:t>
            </w:r>
            <w:r>
              <w:t>45</w:t>
            </w:r>
            <w:r w:rsidRPr="00D2134C">
              <w:t>,001–$27</w:t>
            </w:r>
            <w:r>
              <w:t>0</w:t>
            </w:r>
            <w:r w:rsidRPr="00D2134C">
              <w:t xml:space="preserve">,000 </w:t>
            </w:r>
          </w:p>
        </w:tc>
        <w:tc>
          <w:tcPr>
            <w:tcW w:w="1134" w:type="dxa"/>
          </w:tcPr>
          <w:p w14:paraId="6528178F" w14:textId="25F01663" w:rsidR="009209FF" w:rsidRPr="00D2134C" w:rsidRDefault="009209FF" w:rsidP="009209FF">
            <w:pPr>
              <w:pStyle w:val="Tableformat"/>
            </w:pPr>
            <w:r w:rsidRPr="00A60E0D">
              <w:t>3</w:t>
            </w:r>
          </w:p>
        </w:tc>
        <w:tc>
          <w:tcPr>
            <w:tcW w:w="1242" w:type="dxa"/>
          </w:tcPr>
          <w:p w14:paraId="4E1CB7C5" w14:textId="06978DD0" w:rsidR="009209FF" w:rsidRPr="00D2134C" w:rsidRDefault="009209FF" w:rsidP="009209FF">
            <w:pPr>
              <w:pStyle w:val="Tableformat"/>
            </w:pPr>
            <w:r>
              <w:t>$</w:t>
            </w:r>
            <w:r w:rsidRPr="00A60E0D">
              <w:t>167,340</w:t>
            </w:r>
          </w:p>
        </w:tc>
        <w:tc>
          <w:tcPr>
            <w:tcW w:w="993" w:type="dxa"/>
          </w:tcPr>
          <w:p w14:paraId="3EC2CCD8" w14:textId="7F2820BA" w:rsidR="009209FF" w:rsidRPr="00D2134C" w:rsidRDefault="009209FF" w:rsidP="009209FF">
            <w:pPr>
              <w:pStyle w:val="Tableformat"/>
            </w:pPr>
            <w:r w:rsidRPr="00A60E0D">
              <w:t>-</w:t>
            </w:r>
          </w:p>
        </w:tc>
        <w:tc>
          <w:tcPr>
            <w:tcW w:w="1417" w:type="dxa"/>
          </w:tcPr>
          <w:p w14:paraId="523950DC" w14:textId="417C7A4E" w:rsidR="009209FF" w:rsidRPr="00D2134C" w:rsidRDefault="009209FF" w:rsidP="009209FF">
            <w:pPr>
              <w:pStyle w:val="Tableformat"/>
            </w:pPr>
            <w:r>
              <w:t>$</w:t>
            </w:r>
            <w:r w:rsidRPr="00A60E0D">
              <w:t>52,844</w:t>
            </w:r>
          </w:p>
        </w:tc>
        <w:tc>
          <w:tcPr>
            <w:tcW w:w="1559" w:type="dxa"/>
          </w:tcPr>
          <w:p w14:paraId="7BDFF251" w14:textId="5F6CCA31" w:rsidR="009209FF" w:rsidRPr="00D2134C" w:rsidRDefault="009209FF" w:rsidP="009209FF">
            <w:pPr>
              <w:pStyle w:val="Tableformat"/>
            </w:pPr>
            <w:r>
              <w:t>$</w:t>
            </w:r>
            <w:r w:rsidRPr="00A60E0D">
              <w:t>29,760</w:t>
            </w:r>
          </w:p>
        </w:tc>
        <w:tc>
          <w:tcPr>
            <w:tcW w:w="1418" w:type="dxa"/>
          </w:tcPr>
          <w:p w14:paraId="59600AEE" w14:textId="6B959B0E" w:rsidR="009209FF" w:rsidRPr="00D2134C" w:rsidRDefault="009209FF" w:rsidP="009209FF">
            <w:pPr>
              <w:pStyle w:val="Tableformat"/>
            </w:pPr>
            <w:r>
              <w:t>$</w:t>
            </w:r>
            <w:r w:rsidRPr="00A60E0D">
              <w:t>3,649</w:t>
            </w:r>
          </w:p>
        </w:tc>
        <w:tc>
          <w:tcPr>
            <w:tcW w:w="1276" w:type="dxa"/>
          </w:tcPr>
          <w:p w14:paraId="54902FE4" w14:textId="656A5F72" w:rsidR="009209FF" w:rsidRPr="00D2134C" w:rsidRDefault="009209FF" w:rsidP="009209FF">
            <w:pPr>
              <w:pStyle w:val="Tableformat"/>
            </w:pPr>
            <w:r>
              <w:t>-</w:t>
            </w:r>
          </w:p>
        </w:tc>
        <w:tc>
          <w:tcPr>
            <w:tcW w:w="1275" w:type="dxa"/>
          </w:tcPr>
          <w:p w14:paraId="3A8A1917" w14:textId="3CDC7FE4" w:rsidR="009209FF" w:rsidRPr="00D2134C" w:rsidRDefault="009209FF" w:rsidP="009209FF">
            <w:pPr>
              <w:pStyle w:val="Tableformat"/>
            </w:pPr>
            <w:r w:rsidRPr="00A60E0D">
              <w:t>-</w:t>
            </w:r>
          </w:p>
        </w:tc>
        <w:tc>
          <w:tcPr>
            <w:tcW w:w="1491" w:type="dxa"/>
          </w:tcPr>
          <w:p w14:paraId="5EF16A56" w14:textId="722321BF" w:rsidR="009209FF" w:rsidRPr="00D2134C" w:rsidRDefault="009209FF" w:rsidP="009209FF">
            <w:pPr>
              <w:pStyle w:val="Tableformat"/>
            </w:pPr>
            <w:r>
              <w:t>$</w:t>
            </w:r>
            <w:r w:rsidRPr="00A60E0D">
              <w:t>253,593</w:t>
            </w:r>
          </w:p>
        </w:tc>
      </w:tr>
      <w:tr w:rsidR="009209FF" w:rsidRPr="00D2134C" w14:paraId="2825A94C" w14:textId="77777777" w:rsidTr="00DB37F0">
        <w:trPr>
          <w:cnfStyle w:val="000000100000" w:firstRow="0" w:lastRow="0" w:firstColumn="0" w:lastColumn="0" w:oddVBand="0" w:evenVBand="0" w:oddHBand="1" w:evenHBand="0" w:firstRowFirstColumn="0" w:firstRowLastColumn="0" w:lastRowFirstColumn="0" w:lastRowLastColumn="0"/>
          <w:cantSplit/>
          <w:trHeight w:val="397"/>
        </w:trPr>
        <w:tc>
          <w:tcPr>
            <w:tcW w:w="2160" w:type="dxa"/>
          </w:tcPr>
          <w:p w14:paraId="21F83DCB" w14:textId="73B4AE64" w:rsidR="009209FF" w:rsidRPr="00D2134C" w:rsidRDefault="009209FF" w:rsidP="009209FF">
            <w:pPr>
              <w:pStyle w:val="Tableformat"/>
            </w:pPr>
            <w:r w:rsidRPr="00D2134C">
              <w:t>$2</w:t>
            </w:r>
            <w:r>
              <w:t>9</w:t>
            </w:r>
            <w:r w:rsidRPr="00D2134C">
              <w:t>5,001–$3</w:t>
            </w:r>
            <w:r>
              <w:t>2</w:t>
            </w:r>
            <w:r w:rsidRPr="00D2134C">
              <w:t xml:space="preserve">0,000 </w:t>
            </w:r>
          </w:p>
        </w:tc>
        <w:tc>
          <w:tcPr>
            <w:tcW w:w="1134" w:type="dxa"/>
          </w:tcPr>
          <w:p w14:paraId="4B676A64" w14:textId="48D28702" w:rsidR="009209FF" w:rsidRPr="00D2134C" w:rsidRDefault="009209FF" w:rsidP="009209FF">
            <w:pPr>
              <w:pStyle w:val="Tableformat"/>
            </w:pPr>
            <w:r w:rsidRPr="00A60E0D">
              <w:t>1</w:t>
            </w:r>
          </w:p>
        </w:tc>
        <w:tc>
          <w:tcPr>
            <w:tcW w:w="1242" w:type="dxa"/>
          </w:tcPr>
          <w:p w14:paraId="59694968" w14:textId="4F9243D9" w:rsidR="009209FF" w:rsidRPr="00D2134C" w:rsidRDefault="009209FF" w:rsidP="009209FF">
            <w:pPr>
              <w:pStyle w:val="Tableformat"/>
            </w:pPr>
            <w:r>
              <w:t>$</w:t>
            </w:r>
            <w:r w:rsidRPr="00A60E0D">
              <w:t>146,568</w:t>
            </w:r>
          </w:p>
        </w:tc>
        <w:tc>
          <w:tcPr>
            <w:tcW w:w="993" w:type="dxa"/>
          </w:tcPr>
          <w:p w14:paraId="3731F4C5" w14:textId="3941B9CB" w:rsidR="009209FF" w:rsidRPr="00D2134C" w:rsidRDefault="009209FF" w:rsidP="009209FF">
            <w:pPr>
              <w:pStyle w:val="Tableformat"/>
            </w:pPr>
            <w:r w:rsidRPr="00A60E0D">
              <w:t>-</w:t>
            </w:r>
          </w:p>
        </w:tc>
        <w:tc>
          <w:tcPr>
            <w:tcW w:w="1417" w:type="dxa"/>
          </w:tcPr>
          <w:p w14:paraId="1288092E" w14:textId="2981720C" w:rsidR="009209FF" w:rsidRPr="00D2134C" w:rsidRDefault="009209FF" w:rsidP="009209FF">
            <w:pPr>
              <w:pStyle w:val="Tableformat"/>
            </w:pPr>
            <w:r>
              <w:t>$</w:t>
            </w:r>
            <w:r w:rsidRPr="00A60E0D">
              <w:t>99,883</w:t>
            </w:r>
          </w:p>
        </w:tc>
        <w:tc>
          <w:tcPr>
            <w:tcW w:w="1559" w:type="dxa"/>
          </w:tcPr>
          <w:p w14:paraId="07D4D480" w14:textId="6600ECE8" w:rsidR="009209FF" w:rsidRPr="00D2134C" w:rsidRDefault="009209FF" w:rsidP="009209FF">
            <w:pPr>
              <w:pStyle w:val="Tableformat"/>
            </w:pPr>
            <w:r>
              <w:t>$</w:t>
            </w:r>
            <w:r w:rsidRPr="00A60E0D">
              <w:t>45,687</w:t>
            </w:r>
          </w:p>
        </w:tc>
        <w:tc>
          <w:tcPr>
            <w:tcW w:w="1418" w:type="dxa"/>
          </w:tcPr>
          <w:p w14:paraId="0AE8DB1D" w14:textId="4C8D631C" w:rsidR="009209FF" w:rsidRPr="00D2134C" w:rsidRDefault="009209FF" w:rsidP="009209FF">
            <w:pPr>
              <w:pStyle w:val="Tableformat"/>
            </w:pPr>
            <w:r>
              <w:t>$</w:t>
            </w:r>
            <w:r w:rsidRPr="00A60E0D">
              <w:t>3,765</w:t>
            </w:r>
          </w:p>
        </w:tc>
        <w:tc>
          <w:tcPr>
            <w:tcW w:w="1276" w:type="dxa"/>
          </w:tcPr>
          <w:p w14:paraId="222AAC3F" w14:textId="6720196A" w:rsidR="009209FF" w:rsidRPr="00D2134C" w:rsidRDefault="009209FF" w:rsidP="009209FF">
            <w:pPr>
              <w:pStyle w:val="Tableformat"/>
            </w:pPr>
            <w:r>
              <w:t>-</w:t>
            </w:r>
          </w:p>
        </w:tc>
        <w:tc>
          <w:tcPr>
            <w:tcW w:w="1275" w:type="dxa"/>
          </w:tcPr>
          <w:p w14:paraId="5A1EB604" w14:textId="557BD518" w:rsidR="009209FF" w:rsidRPr="00D2134C" w:rsidRDefault="009209FF" w:rsidP="009209FF">
            <w:pPr>
              <w:pStyle w:val="Tableformat"/>
            </w:pPr>
            <w:r w:rsidRPr="00A60E0D">
              <w:t>-</w:t>
            </w:r>
          </w:p>
        </w:tc>
        <w:tc>
          <w:tcPr>
            <w:tcW w:w="1491" w:type="dxa"/>
          </w:tcPr>
          <w:p w14:paraId="67399C14" w14:textId="0AAACE8B" w:rsidR="009209FF" w:rsidRPr="00D2134C" w:rsidRDefault="009209FF" w:rsidP="009209FF">
            <w:pPr>
              <w:pStyle w:val="Tableformat"/>
            </w:pPr>
            <w:r>
              <w:t>$</w:t>
            </w:r>
            <w:r w:rsidRPr="00A60E0D">
              <w:t>295,902</w:t>
            </w:r>
          </w:p>
        </w:tc>
      </w:tr>
    </w:tbl>
    <w:p w14:paraId="47DC9004" w14:textId="77777777" w:rsidR="00677C63" w:rsidRPr="00D2134C" w:rsidRDefault="00677C63" w:rsidP="00677C63"/>
    <w:p w14:paraId="738DC743" w14:textId="77777777" w:rsidR="00677C63" w:rsidRPr="00D2134C" w:rsidRDefault="00677C63" w:rsidP="00677C63">
      <w:pPr>
        <w:sectPr w:rsidR="00677C63" w:rsidRPr="00D2134C" w:rsidSect="001D739F">
          <w:headerReference w:type="default" r:id="rId116"/>
          <w:pgSz w:w="16838" w:h="11906" w:orient="landscape"/>
          <w:pgMar w:top="964" w:right="1021" w:bottom="907" w:left="1440" w:header="709" w:footer="709" w:gutter="0"/>
          <w:cols w:space="708"/>
          <w:docGrid w:linePitch="360"/>
        </w:sectPr>
      </w:pPr>
    </w:p>
    <w:p w14:paraId="21223F11" w14:textId="77777777" w:rsidR="00677C63" w:rsidRPr="00D2134C" w:rsidRDefault="00677C63" w:rsidP="00677C63">
      <w:pPr>
        <w:pStyle w:val="FGCHEADING2"/>
      </w:pPr>
      <w:bookmarkStart w:id="612" w:name="_Toc51068009"/>
      <w:bookmarkStart w:id="613" w:name="_Toc110532562"/>
      <w:bookmarkStart w:id="614" w:name="_Toc114477561"/>
      <w:bookmarkStart w:id="615" w:name="_Toc116473931"/>
      <w:r w:rsidRPr="00D2134C">
        <w:lastRenderedPageBreak/>
        <w:t>Reports by parliamentary committees</w:t>
      </w:r>
      <w:bookmarkEnd w:id="612"/>
      <w:bookmarkEnd w:id="613"/>
      <w:bookmarkEnd w:id="614"/>
      <w:bookmarkEnd w:id="615"/>
      <w:r w:rsidRPr="00D2134C">
        <w:t xml:space="preserve"> </w:t>
      </w:r>
    </w:p>
    <w:p w14:paraId="39DA2E0B" w14:textId="77777777" w:rsidR="00677C63" w:rsidRPr="00D2134C" w:rsidRDefault="00677C63" w:rsidP="00780639">
      <w:pPr>
        <w:pStyle w:val="FGCHEADING43"/>
      </w:pPr>
      <w:r w:rsidRPr="00D2134C">
        <w:t>Joint Standing Committee on the National Disability Insurance Scheme</w:t>
      </w:r>
    </w:p>
    <w:p w14:paraId="02251EB0" w14:textId="77777777" w:rsidR="00677C63" w:rsidRPr="00D2134C" w:rsidRDefault="00677C63" w:rsidP="00677C63">
      <w:pPr>
        <w:pStyle w:val="FGCNORMAL"/>
      </w:pPr>
      <w:r w:rsidRPr="00D2134C">
        <w:t xml:space="preserve">The Joint Standing Committee on the National Disability Insurance Scheme (JSC) was appointed by resolution by the House of Representatives on 4 July 2019 and the Senate on 22 July 2019. Prior to dissolution in 2022 for the federal election, the committee was composed of 5 senators and 5 members. The committee was tasked with inquiring into: </w:t>
      </w:r>
    </w:p>
    <w:p w14:paraId="6516EC60" w14:textId="77777777" w:rsidR="00677C63" w:rsidRPr="00D2134C" w:rsidRDefault="00677C63" w:rsidP="00677C63">
      <w:pPr>
        <w:pStyle w:val="FGCBULLET1"/>
      </w:pPr>
      <w:r w:rsidRPr="00D2134C">
        <w:t xml:space="preserve">the implementation, </w:t>
      </w:r>
      <w:proofErr w:type="gramStart"/>
      <w:r w:rsidRPr="00D2134C">
        <w:t>performance</w:t>
      </w:r>
      <w:proofErr w:type="gramEnd"/>
      <w:r w:rsidRPr="00D2134C">
        <w:t xml:space="preserve"> and governance of the NDIS </w:t>
      </w:r>
    </w:p>
    <w:p w14:paraId="3B76FFAF" w14:textId="77777777" w:rsidR="00677C63" w:rsidRPr="00D2134C" w:rsidRDefault="00677C63" w:rsidP="00677C63">
      <w:pPr>
        <w:pStyle w:val="FGCBULLET1"/>
      </w:pPr>
      <w:r w:rsidRPr="00D2134C">
        <w:t xml:space="preserve">the administration and expenditure of the NDIS </w:t>
      </w:r>
    </w:p>
    <w:p w14:paraId="5F3BC120" w14:textId="77777777" w:rsidR="00677C63" w:rsidRPr="00D2134C" w:rsidRDefault="00677C63" w:rsidP="00677C63">
      <w:pPr>
        <w:pStyle w:val="FGCBULLET1"/>
      </w:pPr>
      <w:r w:rsidRPr="00D2134C">
        <w:t xml:space="preserve">such other matters in relation to the NDIS as may be referred to it by either House of the Parliament. </w:t>
      </w:r>
    </w:p>
    <w:p w14:paraId="126CDFB0" w14:textId="496BB374" w:rsidR="00677C63" w:rsidRPr="00D2134C" w:rsidRDefault="00677C63" w:rsidP="00677C63">
      <w:pPr>
        <w:pStyle w:val="FGCNORMAL"/>
      </w:pPr>
      <w:r w:rsidRPr="00D2134C">
        <w:t>In 2021–22</w:t>
      </w:r>
      <w:r w:rsidR="00347C09" w:rsidRPr="00D2134C">
        <w:t>,</w:t>
      </w:r>
      <w:r w:rsidRPr="00D2134C">
        <w:t xml:space="preserve"> the NDIA participated in 3 inquiries by the JSC: </w:t>
      </w:r>
    </w:p>
    <w:p w14:paraId="75CE2E76" w14:textId="77777777" w:rsidR="00677C63" w:rsidRPr="00D2134C" w:rsidRDefault="00677C63" w:rsidP="00AF2A75">
      <w:pPr>
        <w:pStyle w:val="FGCBULLET1"/>
      </w:pPr>
      <w:r w:rsidRPr="00D2134C">
        <w:t>Inquiry into Independent Assessments</w:t>
      </w:r>
    </w:p>
    <w:p w14:paraId="01D968AC" w14:textId="77777777" w:rsidR="00677C63" w:rsidRPr="00D2134C" w:rsidRDefault="00677C63" w:rsidP="00AF2A75">
      <w:pPr>
        <w:pStyle w:val="FGCBULLET1"/>
      </w:pPr>
      <w:r w:rsidRPr="00D2134C">
        <w:t>Inquiry into General Issues around the Implementation and Performance of the NDIS</w:t>
      </w:r>
    </w:p>
    <w:p w14:paraId="0C912F15" w14:textId="77777777" w:rsidR="00677C63" w:rsidRPr="00D2134C" w:rsidRDefault="00677C63" w:rsidP="00AF2A75">
      <w:pPr>
        <w:pStyle w:val="FGCBULLET1"/>
      </w:pPr>
      <w:r w:rsidRPr="00D2134C">
        <w:t>Inquiry into Current Scheme Implementation and Forecasting.</w:t>
      </w:r>
    </w:p>
    <w:p w14:paraId="38C7ECA2" w14:textId="08C1F1B8" w:rsidR="00677C63" w:rsidRPr="00D2134C" w:rsidRDefault="00677C63" w:rsidP="00677C63">
      <w:pPr>
        <w:pStyle w:val="FGCNORMAL"/>
      </w:pPr>
      <w:r w:rsidRPr="00D2134C">
        <w:t>In 2021–22</w:t>
      </w:r>
      <w:r w:rsidR="00347C09" w:rsidRPr="00D2134C">
        <w:t>,</w:t>
      </w:r>
      <w:r w:rsidRPr="00D2134C">
        <w:t xml:space="preserve"> the JSC tabled 6 reports: </w:t>
      </w:r>
    </w:p>
    <w:p w14:paraId="68CDCF91" w14:textId="77777777" w:rsidR="00677C63" w:rsidRPr="00D2134C" w:rsidRDefault="00677C63" w:rsidP="00677C63">
      <w:pPr>
        <w:pStyle w:val="FGCBULLET1"/>
      </w:pPr>
      <w:r w:rsidRPr="00D2134C">
        <w:t>Inquiry into Independent Assessments</w:t>
      </w:r>
    </w:p>
    <w:p w14:paraId="3AA0DE98" w14:textId="77777777" w:rsidR="00677C63" w:rsidRPr="00D2134C" w:rsidRDefault="00677C63" w:rsidP="00677C63">
      <w:pPr>
        <w:pStyle w:val="FGCBULLET1"/>
      </w:pPr>
      <w:r w:rsidRPr="00D2134C">
        <w:t xml:space="preserve">Inquiry into the NDIS Workforce – interim report </w:t>
      </w:r>
    </w:p>
    <w:p w14:paraId="48883CCB" w14:textId="77777777" w:rsidR="00677C63" w:rsidRPr="00D2134C" w:rsidRDefault="00677C63" w:rsidP="00677C63">
      <w:pPr>
        <w:pStyle w:val="FGCBULLET1"/>
      </w:pPr>
      <w:r w:rsidRPr="00D2134C">
        <w:t>Inquiry into General Issues – 2021 report</w:t>
      </w:r>
    </w:p>
    <w:p w14:paraId="2D910DD7" w14:textId="77777777" w:rsidR="00677C63" w:rsidRPr="00D2134C" w:rsidRDefault="00677C63" w:rsidP="00677C63">
      <w:pPr>
        <w:pStyle w:val="FGCBULLET1"/>
      </w:pPr>
      <w:r w:rsidRPr="00D2134C">
        <w:t>Inquiry into the NDIS Quality and Safeguards Commission</w:t>
      </w:r>
    </w:p>
    <w:p w14:paraId="30CCBFA2" w14:textId="77777777" w:rsidR="00677C63" w:rsidRPr="00D2134C" w:rsidRDefault="00677C63" w:rsidP="00677C63">
      <w:pPr>
        <w:pStyle w:val="FGCBULLET1"/>
      </w:pPr>
      <w:r w:rsidRPr="00D2134C">
        <w:t>Inquiry into Current Scheme Implementation and Forecasting</w:t>
      </w:r>
    </w:p>
    <w:p w14:paraId="39E06B1D" w14:textId="77777777" w:rsidR="00677C63" w:rsidRPr="00D2134C" w:rsidRDefault="00677C63" w:rsidP="00677C63">
      <w:pPr>
        <w:pStyle w:val="FGCBULLET1"/>
      </w:pPr>
      <w:r w:rsidRPr="00D2134C">
        <w:t>General Issues – Work of the Committee in the 46th Parliament.</w:t>
      </w:r>
    </w:p>
    <w:p w14:paraId="717A1964" w14:textId="77777777" w:rsidR="00677C63" w:rsidRPr="00D2134C" w:rsidRDefault="00677C63" w:rsidP="00780639">
      <w:pPr>
        <w:pStyle w:val="FGCHEADING43"/>
      </w:pPr>
      <w:r w:rsidRPr="00D2134C">
        <w:t>Senate Standing Committee on Community Affairs Legislation Committee</w:t>
      </w:r>
    </w:p>
    <w:p w14:paraId="742CF3B5" w14:textId="3E6AFD04" w:rsidR="00677C63" w:rsidRPr="00D2134C" w:rsidRDefault="00677C63" w:rsidP="00677C63">
      <w:pPr>
        <w:pStyle w:val="FGCNORMAL"/>
      </w:pPr>
      <w:r w:rsidRPr="00D2134C">
        <w:t>In 2021–22</w:t>
      </w:r>
      <w:r w:rsidR="00D73851" w:rsidRPr="00D2134C">
        <w:t>,</w:t>
      </w:r>
      <w:r w:rsidRPr="00D2134C">
        <w:t xml:space="preserve"> the NDIA appeared at 4 Senate Estimates hearings before the Senate Community Affairs Legislation Committee for Budget and Additional Estimates, including one spill</w:t>
      </w:r>
      <w:r w:rsidR="00B43026" w:rsidRPr="00D2134C">
        <w:t>-</w:t>
      </w:r>
      <w:r w:rsidRPr="00D2134C">
        <w:t>over hearing for Additional Estimates.</w:t>
      </w:r>
    </w:p>
    <w:p w14:paraId="7B8E539F" w14:textId="77777777" w:rsidR="00677C63" w:rsidRPr="00D2134C" w:rsidRDefault="00677C63" w:rsidP="00780639">
      <w:pPr>
        <w:pStyle w:val="FGCHEADING43"/>
      </w:pPr>
      <w:r w:rsidRPr="00D2134C">
        <w:t>Senate Standing Committee on Community Affairs References Committee</w:t>
      </w:r>
    </w:p>
    <w:p w14:paraId="1E2AF81F" w14:textId="4C9D540F" w:rsidR="00677C63" w:rsidRPr="00D2134C" w:rsidRDefault="00677C63" w:rsidP="00677C63">
      <w:pPr>
        <w:pStyle w:val="FGCNORMAL"/>
      </w:pPr>
      <w:r w:rsidRPr="00D2134C">
        <w:t>In 2021–22</w:t>
      </w:r>
      <w:r w:rsidR="00785555" w:rsidRPr="00D2134C">
        <w:t>,</w:t>
      </w:r>
      <w:r w:rsidRPr="00D2134C">
        <w:t xml:space="preserve"> the Senate Community Affairs References Committee continued its inquiry into the purpose, </w:t>
      </w:r>
      <w:proofErr w:type="gramStart"/>
      <w:r w:rsidRPr="00D2134C">
        <w:t>intent</w:t>
      </w:r>
      <w:proofErr w:type="gramEnd"/>
      <w:r w:rsidRPr="00D2134C">
        <w:t xml:space="preserve"> and adequacy of the Disability Support Pension, for which agencies in the social services portfolio</w:t>
      </w:r>
      <w:r w:rsidR="00785555" w:rsidRPr="00D2134C">
        <w:t>, including the NDIA</w:t>
      </w:r>
      <w:r w:rsidR="00113DFB">
        <w:t>,</w:t>
      </w:r>
      <w:r w:rsidR="00F66D47" w:rsidRPr="00D2134C">
        <w:t xml:space="preserve"> attended in October 2021</w:t>
      </w:r>
      <w:r w:rsidRPr="00D2134C">
        <w:t>. The final report of the inquiry was tabled in February 2022.</w:t>
      </w:r>
    </w:p>
    <w:p w14:paraId="717D6C64" w14:textId="77777777" w:rsidR="00677C63" w:rsidRPr="00D2134C" w:rsidRDefault="00677C63" w:rsidP="00677C63">
      <w:pPr>
        <w:pStyle w:val="FGCNORMAL"/>
      </w:pPr>
      <w:r w:rsidRPr="00D2134C">
        <w:t xml:space="preserve">The Senate Community Affairs References Committee also inquired into the National Disability Insurance Scheme Amendment (Participant Service Guarantee and Other Measures) Bill 2021, for which the NDIA and the NDIS Quality and Safeguards </w:t>
      </w:r>
      <w:r w:rsidRPr="00D2134C">
        <w:lastRenderedPageBreak/>
        <w:t>Commission attended a hearing in November 2021. The final report was tabled in November 2021.</w:t>
      </w:r>
    </w:p>
    <w:p w14:paraId="73B41BD4" w14:textId="77777777" w:rsidR="00677C63" w:rsidRPr="00D2134C" w:rsidRDefault="00677C63" w:rsidP="00780639">
      <w:pPr>
        <w:pStyle w:val="FGCHEADING43"/>
      </w:pPr>
      <w:r w:rsidRPr="00D2134C">
        <w:t xml:space="preserve">Senate Standing Committee on Finance and Public Administration </w:t>
      </w:r>
    </w:p>
    <w:p w14:paraId="5F9C9C9C" w14:textId="1BB5C7C0" w:rsidR="00677C63" w:rsidRPr="00D2134C" w:rsidRDefault="00677C63" w:rsidP="00677C63">
      <w:pPr>
        <w:pStyle w:val="FGCNORMAL"/>
      </w:pPr>
      <w:r w:rsidRPr="00D2134C">
        <w:t>In 2021–22</w:t>
      </w:r>
      <w:r w:rsidR="00A55E18" w:rsidRPr="00D2134C">
        <w:t>,</w:t>
      </w:r>
      <w:r w:rsidRPr="00D2134C">
        <w:t xml:space="preserve"> the Senate Standing Committee on Finance and Public Administration inquired into the current capability of the Australian Public Service (APS). The NDIA, along with other APS agencies, attended a hearing in July 2021. The final report was tabled in November 2021. </w:t>
      </w:r>
    </w:p>
    <w:p w14:paraId="1630EB9C" w14:textId="77777777" w:rsidR="00677C63" w:rsidRPr="00D2134C" w:rsidRDefault="00677C63" w:rsidP="00780639">
      <w:pPr>
        <w:pStyle w:val="FGCHEADING43"/>
      </w:pPr>
      <w:r w:rsidRPr="00D2134C">
        <w:t xml:space="preserve">Joint Committee of Public Accounts and Audit </w:t>
      </w:r>
    </w:p>
    <w:p w14:paraId="6DCB7877" w14:textId="276864CA" w:rsidR="00677C63" w:rsidRPr="00D2134C" w:rsidRDefault="00677C63" w:rsidP="00677C63">
      <w:pPr>
        <w:pStyle w:val="FGCNORMAL"/>
      </w:pPr>
      <w:r w:rsidRPr="00D2134C">
        <w:t>In 2021–22</w:t>
      </w:r>
      <w:r w:rsidR="00A55E18" w:rsidRPr="00D2134C">
        <w:t>,</w:t>
      </w:r>
      <w:r w:rsidRPr="00D2134C">
        <w:t xml:space="preserve"> the Joint Committee of Public Accounts and Audit completed an inquiry into Auditor-General Reports Nos 14, 26, 28 and 47 (2020‒21), for which the NDIA made a submission in October 2021 and attended a hearing in March 2022. </w:t>
      </w:r>
    </w:p>
    <w:p w14:paraId="31D9614C" w14:textId="798F6744" w:rsidR="00677C63" w:rsidRPr="00D2134C" w:rsidRDefault="00545E4E" w:rsidP="00545E4E">
      <w:pPr>
        <w:pStyle w:val="FGCHEADING3"/>
        <w:numPr>
          <w:ilvl w:val="0"/>
          <w:numId w:val="0"/>
        </w:numPr>
        <w:ind w:left="907" w:hanging="907"/>
      </w:pPr>
      <w:bookmarkStart w:id="616" w:name="_Toc110532563"/>
      <w:bookmarkStart w:id="617" w:name="_Toc114477562"/>
      <w:bookmarkStart w:id="618" w:name="_Toc116414738"/>
      <w:bookmarkStart w:id="619" w:name="_Toc116473932"/>
      <w:r w:rsidRPr="00D2134C">
        <w:t xml:space="preserve">5.7.1 </w:t>
      </w:r>
      <w:r w:rsidR="00677C63" w:rsidRPr="00D2134C">
        <w:t>Royal Commission</w:t>
      </w:r>
      <w:bookmarkEnd w:id="616"/>
      <w:bookmarkEnd w:id="617"/>
      <w:bookmarkEnd w:id="618"/>
      <w:bookmarkEnd w:id="619"/>
    </w:p>
    <w:p w14:paraId="7B766205" w14:textId="5E0D8924" w:rsidR="00677C63" w:rsidRPr="00D2134C" w:rsidRDefault="00677C63" w:rsidP="00677C63">
      <w:pPr>
        <w:pStyle w:val="FGCHEADING4"/>
      </w:pPr>
      <w:r w:rsidRPr="00D2134C">
        <w:t>Royal Commission into Violence, Abuse, Neglect and Exploitation of People with Disability</w:t>
      </w:r>
    </w:p>
    <w:p w14:paraId="079B499D" w14:textId="714DAE6F" w:rsidR="00677C63" w:rsidRPr="00D2134C" w:rsidRDefault="00677C63" w:rsidP="00677C63">
      <w:pPr>
        <w:pStyle w:val="FGCNORMAL"/>
      </w:pPr>
      <w:r w:rsidRPr="00D2134C">
        <w:t>The</w:t>
      </w:r>
      <w:r w:rsidR="00A55E18" w:rsidRPr="00D2134C">
        <w:t xml:space="preserve"> Royal Commission into Violence, Abuse, Neglect and Exploitation of People with</w:t>
      </w:r>
      <w:r w:rsidRPr="00D2134C">
        <w:t xml:space="preserve"> </w:t>
      </w:r>
      <w:r w:rsidR="00F93E05">
        <w:t xml:space="preserve">Disability </w:t>
      </w:r>
      <w:r w:rsidR="00A55E18" w:rsidRPr="00D2134C">
        <w:t>(</w:t>
      </w:r>
      <w:r w:rsidRPr="00D2134C">
        <w:t>D</w:t>
      </w:r>
      <w:r w:rsidR="00845B9E">
        <w:t xml:space="preserve">isability </w:t>
      </w:r>
      <w:r w:rsidRPr="00D2134C">
        <w:t>RC</w:t>
      </w:r>
      <w:r w:rsidR="00A55E18" w:rsidRPr="00D2134C">
        <w:t>)</w:t>
      </w:r>
      <w:r w:rsidRPr="00D2134C">
        <w:t xml:space="preserve"> was established in April 2019 in response to community concern about widespread reports of violence against, and the neglect, </w:t>
      </w:r>
      <w:proofErr w:type="gramStart"/>
      <w:r w:rsidRPr="00D2134C">
        <w:t>abuse</w:t>
      </w:r>
      <w:proofErr w:type="gramEnd"/>
      <w:r w:rsidRPr="00D2134C">
        <w:t xml:space="preserve"> and exploitation of, people with disability. The D</w:t>
      </w:r>
      <w:r w:rsidR="00845B9E">
        <w:t xml:space="preserve">isability </w:t>
      </w:r>
      <w:r w:rsidRPr="00D2134C">
        <w:t xml:space="preserve">RC is investigating: </w:t>
      </w:r>
    </w:p>
    <w:p w14:paraId="6B63BFCF" w14:textId="77777777" w:rsidR="00677C63" w:rsidRPr="00D2134C" w:rsidRDefault="00677C63" w:rsidP="00677C63">
      <w:pPr>
        <w:pStyle w:val="FGCBULLET1"/>
      </w:pPr>
      <w:r w:rsidRPr="00D2134C">
        <w:t xml:space="preserve">preventing and better protecting people with disability from experiencing violence, abuse, </w:t>
      </w:r>
      <w:proofErr w:type="gramStart"/>
      <w:r w:rsidRPr="00D2134C">
        <w:t>neglect</w:t>
      </w:r>
      <w:proofErr w:type="gramEnd"/>
      <w:r w:rsidRPr="00D2134C">
        <w:t xml:space="preserve"> and exploitation </w:t>
      </w:r>
    </w:p>
    <w:p w14:paraId="6CC255BE" w14:textId="77777777" w:rsidR="00677C63" w:rsidRPr="00D2134C" w:rsidRDefault="00677C63" w:rsidP="00677C63">
      <w:pPr>
        <w:pStyle w:val="FGCBULLET1"/>
      </w:pPr>
      <w:r w:rsidRPr="00D2134C">
        <w:t xml:space="preserve">achieving best practice in reporting, </w:t>
      </w:r>
      <w:proofErr w:type="gramStart"/>
      <w:r w:rsidRPr="00D2134C">
        <w:t>investigating</w:t>
      </w:r>
      <w:proofErr w:type="gramEnd"/>
      <w:r w:rsidRPr="00D2134C">
        <w:t xml:space="preserve"> and responding to violence, abuse, neglect and exploitation of people with disability </w:t>
      </w:r>
    </w:p>
    <w:p w14:paraId="76604970" w14:textId="77777777" w:rsidR="00677C63" w:rsidRPr="00D2134C" w:rsidRDefault="00677C63" w:rsidP="00677C63">
      <w:pPr>
        <w:pStyle w:val="FGCBULLET1"/>
      </w:pPr>
      <w:r w:rsidRPr="00D2134C">
        <w:t xml:space="preserve">promoting a more inclusive society that supports people with disability to be independent and live free from violence, abuse, </w:t>
      </w:r>
      <w:proofErr w:type="gramStart"/>
      <w:r w:rsidRPr="00D2134C">
        <w:t>neglect</w:t>
      </w:r>
      <w:proofErr w:type="gramEnd"/>
      <w:r w:rsidRPr="00D2134C">
        <w:t xml:space="preserve"> and exploitation. </w:t>
      </w:r>
    </w:p>
    <w:p w14:paraId="66EE51C9" w14:textId="74E02BE9" w:rsidR="00677C63" w:rsidRPr="00D2134C" w:rsidRDefault="00677C63" w:rsidP="00677C63">
      <w:pPr>
        <w:pStyle w:val="FGCNORMAL"/>
        <w:rPr>
          <w:rFonts w:ascii="Calibri" w:hAnsi="Calibri" w:cs="Calibri"/>
          <w:lang w:eastAsia="zh-CN"/>
        </w:rPr>
      </w:pPr>
      <w:r w:rsidRPr="00D2134C">
        <w:rPr>
          <w:lang w:eastAsia="zh-CN"/>
        </w:rPr>
        <w:t>In 2021</w:t>
      </w:r>
      <w:r w:rsidR="00465AFC">
        <w:rPr>
          <w:lang w:eastAsia="zh-CN"/>
        </w:rPr>
        <w:t>–</w:t>
      </w:r>
      <w:r w:rsidRPr="00D2134C">
        <w:rPr>
          <w:lang w:eastAsia="zh-CN"/>
        </w:rPr>
        <w:t>22</w:t>
      </w:r>
      <w:r w:rsidR="005406F5" w:rsidRPr="00D2134C">
        <w:rPr>
          <w:lang w:eastAsia="zh-CN"/>
        </w:rPr>
        <w:t>,</w:t>
      </w:r>
      <w:r w:rsidRPr="00D2134C">
        <w:rPr>
          <w:lang w:eastAsia="zh-CN"/>
        </w:rPr>
        <w:t xml:space="preserve"> the NDIA responded to 36 notices to produce documents or to give a statement, had 9 witnesses appear at 6 public hearings, and contributed to 3 Commonwealth responses to counsel assisting’s submissions relating to justice and provider case studies, an issues paper on culturally and linguistically diverse people with disability, and a Commonwealth response relating to COVID-19.</w:t>
      </w:r>
    </w:p>
    <w:p w14:paraId="5FC46ED9" w14:textId="58BAD48C" w:rsidR="00677C63" w:rsidRPr="00D2134C" w:rsidRDefault="00677C63" w:rsidP="00677C63">
      <w:pPr>
        <w:pStyle w:val="FGCHEADING2"/>
      </w:pPr>
      <w:bookmarkStart w:id="620" w:name="_Toc23603198"/>
      <w:bookmarkStart w:id="621" w:name="_Toc51068010"/>
      <w:bookmarkStart w:id="622" w:name="_Toc110532564"/>
      <w:bookmarkStart w:id="623" w:name="_Ref111638576"/>
      <w:bookmarkStart w:id="624" w:name="_Ref111638583"/>
      <w:bookmarkStart w:id="625" w:name="_Toc114477563"/>
      <w:bookmarkStart w:id="626" w:name="_Toc116473933"/>
      <w:r w:rsidRPr="00D2134C">
        <w:t>Judicial decisions and external reviews</w:t>
      </w:r>
      <w:bookmarkEnd w:id="620"/>
      <w:bookmarkEnd w:id="621"/>
      <w:bookmarkEnd w:id="622"/>
      <w:bookmarkEnd w:id="623"/>
      <w:bookmarkEnd w:id="624"/>
      <w:bookmarkEnd w:id="625"/>
      <w:bookmarkEnd w:id="626"/>
    </w:p>
    <w:p w14:paraId="0DDD6B14" w14:textId="61CF8F25" w:rsidR="00677C63" w:rsidRPr="00D2134C" w:rsidRDefault="00677C63" w:rsidP="00677C63">
      <w:pPr>
        <w:pStyle w:val="FGCNORMAL"/>
      </w:pPr>
      <w:bookmarkStart w:id="627" w:name="_Toc23603199"/>
      <w:r w:rsidRPr="00D2134C">
        <w:t xml:space="preserve">The operations of the </w:t>
      </w:r>
      <w:r w:rsidR="005406F5" w:rsidRPr="00D2134C">
        <w:t xml:space="preserve">NDIA </w:t>
      </w:r>
      <w:r w:rsidRPr="00D2134C">
        <w:t>and decisions made in the delivery of the NDIS are subject to scrutiny by external entities.</w:t>
      </w:r>
    </w:p>
    <w:p w14:paraId="0261957E" w14:textId="333A6683" w:rsidR="00677C63" w:rsidRPr="00D2134C" w:rsidRDefault="00677C63" w:rsidP="00780639">
      <w:pPr>
        <w:pStyle w:val="FGCHEADING43"/>
      </w:pPr>
      <w:r w:rsidRPr="00D2134C">
        <w:t xml:space="preserve">Administrative Appeals Tribunal appeals – Federal Court of Australia </w:t>
      </w:r>
    </w:p>
    <w:p w14:paraId="74B0B13A" w14:textId="1B96213A" w:rsidR="00677C63" w:rsidRPr="00D2134C" w:rsidRDefault="00677C63" w:rsidP="00677C63">
      <w:pPr>
        <w:pStyle w:val="FGCNORMAL"/>
      </w:pPr>
      <w:r w:rsidRPr="00D2134C">
        <w:t xml:space="preserve">Reasons for the decision in </w:t>
      </w:r>
      <w:r w:rsidRPr="00D2134C">
        <w:rPr>
          <w:i/>
          <w:iCs/>
        </w:rPr>
        <w:t>QDKH, by his litigation representative BGJF v NDIA</w:t>
      </w:r>
      <w:r w:rsidRPr="00D2134C">
        <w:t xml:space="preserve"> [2021] FCAFC 189, were published by the Full Federal Court of Australia on 29 October 2021. The Court held that the </w:t>
      </w:r>
      <w:r w:rsidR="00F70DB7" w:rsidRPr="00D2134C">
        <w:t>Administra</w:t>
      </w:r>
      <w:r w:rsidR="00E0649F" w:rsidRPr="00D2134C">
        <w:t>t</w:t>
      </w:r>
      <w:r w:rsidR="00F70DB7" w:rsidRPr="00D2134C">
        <w:t>i</w:t>
      </w:r>
      <w:r w:rsidR="00E0649F" w:rsidRPr="00D2134C">
        <w:t>v</w:t>
      </w:r>
      <w:r w:rsidR="00F70DB7" w:rsidRPr="00D2134C">
        <w:t xml:space="preserve">e Appeals </w:t>
      </w:r>
      <w:r w:rsidRPr="00D2134C">
        <w:t>Tribunal’s jurisdiction was not limited to considering supports which were ‘put before’ the internal reviewer, as held by the Tribunal.</w:t>
      </w:r>
    </w:p>
    <w:p w14:paraId="398BEF97" w14:textId="77777777" w:rsidR="00677C63" w:rsidRPr="00D2134C" w:rsidRDefault="00677C63" w:rsidP="00677C63">
      <w:pPr>
        <w:pStyle w:val="FGCNORMAL"/>
      </w:pPr>
      <w:r w:rsidRPr="00D2134C">
        <w:t>In 2021–22, 7 appeals from Tribunal decisions were lodged in the Federal Court (5 by the NDIA and 2 by participants) for which decisions have not yet been handed down.</w:t>
      </w:r>
    </w:p>
    <w:p w14:paraId="48734574" w14:textId="627B70DA" w:rsidR="00677C63" w:rsidRPr="00D2134C" w:rsidRDefault="00677C63" w:rsidP="00780639">
      <w:pPr>
        <w:pStyle w:val="FGCHEADING43"/>
      </w:pPr>
      <w:r w:rsidRPr="00D2134C">
        <w:lastRenderedPageBreak/>
        <w:t>Administrative Appeals Tribunal reviews</w:t>
      </w:r>
    </w:p>
    <w:p w14:paraId="093C4591" w14:textId="34A53D0D" w:rsidR="00677C63" w:rsidRPr="00D2134C" w:rsidRDefault="00677C63" w:rsidP="00677C63">
      <w:pPr>
        <w:pStyle w:val="FGCNORMAL"/>
      </w:pPr>
      <w:r w:rsidRPr="00D2134C">
        <w:t xml:space="preserve">The </w:t>
      </w:r>
      <w:r w:rsidR="00E0649F" w:rsidRPr="00D2134C">
        <w:t>Administrative Appeals Tribunal</w:t>
      </w:r>
      <w:r w:rsidRPr="00D2134C">
        <w:t xml:space="preserve"> is responsible for independently reviewing a range of decisions made under the NDIS Act, including decisions about whether a person meets the access criteria to become a participant in the Scheme, and the supports provided under the Scheme. </w:t>
      </w:r>
    </w:p>
    <w:p w14:paraId="684577A8" w14:textId="2A7257BF" w:rsidR="00677C63" w:rsidRDefault="00677C63" w:rsidP="00677C63">
      <w:pPr>
        <w:pStyle w:val="FGCNORMAL"/>
      </w:pPr>
      <w:r w:rsidRPr="00D2134C">
        <w:t>In 2021</w:t>
      </w:r>
      <w:r w:rsidR="00465AFC">
        <w:t>–</w:t>
      </w:r>
      <w:r w:rsidRPr="00D2134C">
        <w:t xml:space="preserve">22, 5,943 applications for external merits review were lodged by participants in the </w:t>
      </w:r>
      <w:r w:rsidR="00FE0BEC" w:rsidRPr="00D2134C">
        <w:t>Tribunal</w:t>
      </w:r>
      <w:r w:rsidRPr="00D2134C">
        <w:t xml:space="preserve">. </w:t>
      </w:r>
      <w:proofErr w:type="gramStart"/>
      <w:r w:rsidRPr="00D2134C">
        <w:t>The majority of</w:t>
      </w:r>
      <w:proofErr w:type="gramEnd"/>
      <w:r w:rsidRPr="00D2134C">
        <w:t xml:space="preserve"> cases were finalised without requiring a substantive hearing. As </w:t>
      </w:r>
      <w:proofErr w:type="gramStart"/>
      <w:r w:rsidRPr="00D2134C">
        <w:t>at</w:t>
      </w:r>
      <w:proofErr w:type="gramEnd"/>
      <w:r w:rsidRPr="00D2134C">
        <w:t xml:space="preserve"> 30 June 2022, 4,408 matters were open. The </w:t>
      </w:r>
      <w:r w:rsidR="00FE0BEC" w:rsidRPr="00D2134C">
        <w:t xml:space="preserve">Administrative Appeals Tribunal </w:t>
      </w:r>
      <w:r w:rsidR="003E7A8C">
        <w:t xml:space="preserve">(AAT) </w:t>
      </w:r>
      <w:r w:rsidRPr="00D2134C">
        <w:t>handed down 120 hearing decisions in 2021</w:t>
      </w:r>
      <w:r w:rsidR="00465AFC">
        <w:t>–</w:t>
      </w:r>
      <w:r w:rsidRPr="00D2134C">
        <w:t xml:space="preserve">22. </w:t>
      </w:r>
      <w:r w:rsidR="00BF208E" w:rsidRPr="00D2134C">
        <w:t>It</w:t>
      </w:r>
      <w:r w:rsidRPr="00D2134C">
        <w:t xml:space="preserve"> affirmed 40 decisions, varied 45 </w:t>
      </w:r>
      <w:proofErr w:type="gramStart"/>
      <w:r w:rsidRPr="00D2134C">
        <w:t>decisions</w:t>
      </w:r>
      <w:proofErr w:type="gramEnd"/>
      <w:r w:rsidRPr="00D2134C">
        <w:t xml:space="preserve"> and set aside 35 decisions. There were no </w:t>
      </w:r>
      <w:r w:rsidR="00BF208E" w:rsidRPr="00D2134C">
        <w:t xml:space="preserve">Tribunal </w:t>
      </w:r>
      <w:r w:rsidRPr="00D2134C">
        <w:t>decisions in 2021</w:t>
      </w:r>
      <w:r w:rsidR="00465AFC">
        <w:t>–</w:t>
      </w:r>
      <w:r w:rsidRPr="00D2134C">
        <w:t xml:space="preserve">22 that had a significant effect on the operations of the </w:t>
      </w:r>
      <w:r w:rsidR="00BF208E" w:rsidRPr="00D2134C">
        <w:t>NDIA</w:t>
      </w:r>
      <w:r w:rsidRPr="00D2134C">
        <w:t>.</w:t>
      </w:r>
    </w:p>
    <w:p w14:paraId="223FA928" w14:textId="693EDDAF" w:rsidR="003345C5" w:rsidRPr="00D2134C" w:rsidRDefault="003345C5" w:rsidP="00677C63">
      <w:pPr>
        <w:pStyle w:val="FGCNORMAL"/>
      </w:pPr>
      <w:r>
        <w:t>The NDIA continues to look for better ways to reduce the AAT caseload. The NDIA has commenced development of an expert review alternative dispute resolution program to improve the participant experience and reduce the impact on the legal system.</w:t>
      </w:r>
    </w:p>
    <w:p w14:paraId="4C0C59C6" w14:textId="24AF206A" w:rsidR="00677C63" w:rsidRPr="00D2134C" w:rsidRDefault="00677C63" w:rsidP="00780639">
      <w:pPr>
        <w:pStyle w:val="FGCHEADING43"/>
      </w:pPr>
      <w:r w:rsidRPr="00D2134C">
        <w:t xml:space="preserve">Australian Human Rights Commission </w:t>
      </w:r>
    </w:p>
    <w:p w14:paraId="10DCD06F" w14:textId="12982059" w:rsidR="00677C63" w:rsidRPr="00D2134C" w:rsidRDefault="00677C63" w:rsidP="00677C63">
      <w:pPr>
        <w:pStyle w:val="FGCNORMAL"/>
        <w:rPr>
          <w:b/>
        </w:rPr>
      </w:pPr>
      <w:r w:rsidRPr="00D2134C">
        <w:t xml:space="preserve">The </w:t>
      </w:r>
      <w:r w:rsidR="00DF4075" w:rsidRPr="00D2134C">
        <w:t>Australian Human Right</w:t>
      </w:r>
      <w:r w:rsidR="0004564D">
        <w:t>s</w:t>
      </w:r>
      <w:r w:rsidR="00DF4075" w:rsidRPr="00D2134C">
        <w:t xml:space="preserve"> Commission (</w:t>
      </w:r>
      <w:r w:rsidRPr="00D2134C">
        <w:t>AHRC</w:t>
      </w:r>
      <w:r w:rsidR="00DF4075" w:rsidRPr="00D2134C">
        <w:t>)</w:t>
      </w:r>
      <w:r w:rsidRPr="00D2134C">
        <w:t xml:space="preserve"> is an independent statutory organisation established to protect and promote human rights in Australia and internationally. The AHRC has statutory responsibilities under the </w:t>
      </w:r>
      <w:r w:rsidRPr="00D2134C">
        <w:rPr>
          <w:i/>
          <w:iCs/>
        </w:rPr>
        <w:t>Age Discrimination Act 2004</w:t>
      </w:r>
      <w:r w:rsidRPr="00D2134C">
        <w:t xml:space="preserve">, </w:t>
      </w:r>
      <w:r w:rsidRPr="00D2134C">
        <w:rPr>
          <w:i/>
          <w:iCs/>
        </w:rPr>
        <w:t>Australian Human Rights Commission Act 1986</w:t>
      </w:r>
      <w:r w:rsidRPr="00D2134C">
        <w:t xml:space="preserve">, </w:t>
      </w:r>
      <w:r w:rsidRPr="00D2134C">
        <w:rPr>
          <w:i/>
          <w:iCs/>
        </w:rPr>
        <w:t>Disability Discrimination Act 1992</w:t>
      </w:r>
      <w:r w:rsidRPr="00D2134C">
        <w:t xml:space="preserve">, </w:t>
      </w:r>
      <w:r w:rsidRPr="00D2134C">
        <w:rPr>
          <w:i/>
          <w:iCs/>
        </w:rPr>
        <w:t>Racial Discrimination Act 1975</w:t>
      </w:r>
      <w:r w:rsidRPr="00D2134C">
        <w:t xml:space="preserve">, and </w:t>
      </w:r>
      <w:r w:rsidRPr="00D2134C">
        <w:rPr>
          <w:i/>
          <w:iCs/>
        </w:rPr>
        <w:t>Sex Discrimination Act 1984</w:t>
      </w:r>
      <w:r w:rsidRPr="00D2134C">
        <w:t>, and investigates and resolves complaints about alleged breaches of human rights against the Commonwealth and its agencies. In 2021–22</w:t>
      </w:r>
      <w:r w:rsidR="00DF4075" w:rsidRPr="00D2134C">
        <w:t>,</w:t>
      </w:r>
      <w:r w:rsidRPr="00D2134C">
        <w:t xml:space="preserve"> the </w:t>
      </w:r>
      <w:r w:rsidR="00DF4075" w:rsidRPr="00D2134C">
        <w:t>NDIA</w:t>
      </w:r>
      <w:r w:rsidRPr="00D2134C">
        <w:t xml:space="preserve"> received 13 requests from the AHRC, of which 2 were open at the end of the year.</w:t>
      </w:r>
    </w:p>
    <w:p w14:paraId="0234DB17" w14:textId="554F2337" w:rsidR="00677C63" w:rsidRPr="00D2134C" w:rsidRDefault="00677C63" w:rsidP="00780639">
      <w:pPr>
        <w:pStyle w:val="FGCHEADING43"/>
      </w:pPr>
      <w:r w:rsidRPr="00D2134C">
        <w:t>Australian National Audit Office reports</w:t>
      </w:r>
    </w:p>
    <w:p w14:paraId="40C5ADA3" w14:textId="2327FB65" w:rsidR="00677C63" w:rsidRPr="00D2134C" w:rsidRDefault="00677C63" w:rsidP="00677C63">
      <w:pPr>
        <w:pStyle w:val="FGCNORMAL"/>
      </w:pPr>
      <w:r w:rsidRPr="00D2134C">
        <w:t xml:space="preserve">The </w:t>
      </w:r>
      <w:r w:rsidR="00213759" w:rsidRPr="00D2134C">
        <w:t>Australian National Audit Office (</w:t>
      </w:r>
      <w:r w:rsidRPr="00D2134C">
        <w:t>ANAO</w:t>
      </w:r>
      <w:r w:rsidR="00213759" w:rsidRPr="00D2134C">
        <w:t>)</w:t>
      </w:r>
      <w:r w:rsidRPr="00D2134C">
        <w:t xml:space="preserve"> conducts performance audits of the efficiency and effectiveness of the </w:t>
      </w:r>
      <w:r w:rsidR="00DB663B" w:rsidRPr="00D2134C">
        <w:t xml:space="preserve">NDIA’s </w:t>
      </w:r>
      <w:r w:rsidRPr="00D2134C">
        <w:t xml:space="preserve">operations and financial audits of </w:t>
      </w:r>
      <w:r w:rsidR="00DB663B" w:rsidRPr="00D2134C">
        <w:t xml:space="preserve">NDIA </w:t>
      </w:r>
      <w:r w:rsidRPr="00D2134C">
        <w:t>financial statements. In 2021–22</w:t>
      </w:r>
      <w:r w:rsidR="00DB663B" w:rsidRPr="00D2134C">
        <w:t>,</w:t>
      </w:r>
      <w:r w:rsidRPr="00D2134C">
        <w:t xml:space="preserve"> the ANAO undertook one performance audit report involving the </w:t>
      </w:r>
      <w:r w:rsidR="00DB663B" w:rsidRPr="00D2134C">
        <w:t>NDIA</w:t>
      </w:r>
      <w:r w:rsidRPr="00D2134C">
        <w:t xml:space="preserve">. This audit, on Management of Staff Leave in the Australian Public Service, was published on 30 June 2022. There were 4 recommendations raised, of which 2 related to the </w:t>
      </w:r>
      <w:r w:rsidR="00DB663B" w:rsidRPr="00D2134C">
        <w:t>NDIA</w:t>
      </w:r>
      <w:r w:rsidRPr="00D2134C">
        <w:t xml:space="preserve">. The </w:t>
      </w:r>
      <w:r w:rsidR="00DB663B" w:rsidRPr="00D2134C">
        <w:t xml:space="preserve">NDIA </w:t>
      </w:r>
      <w:r w:rsidRPr="00D2134C">
        <w:t>agreed with the 2 recommendations. All ANAO recommendations, from both the performance and financial audits, are actively monitored and addressed within the necessary timelines with both Executive Leadership Team and Board Audit Committee oversight.</w:t>
      </w:r>
    </w:p>
    <w:p w14:paraId="7AA32D77" w14:textId="77777777" w:rsidR="00677C63" w:rsidRPr="00D2134C" w:rsidRDefault="00677C63" w:rsidP="00780639">
      <w:pPr>
        <w:pStyle w:val="FGCHEADING43"/>
      </w:pPr>
      <w:r w:rsidRPr="00D2134C">
        <w:t>Commonwealth Ombudsman</w:t>
      </w:r>
    </w:p>
    <w:p w14:paraId="61142A9C" w14:textId="5E372CD0" w:rsidR="00677C63" w:rsidRPr="00D2134C" w:rsidRDefault="00677C63" w:rsidP="00677C63">
      <w:pPr>
        <w:pStyle w:val="FGCNORMAL"/>
      </w:pPr>
      <w:r w:rsidRPr="00D2134C">
        <w:t xml:space="preserve">The </w:t>
      </w:r>
      <w:r w:rsidR="00DB663B" w:rsidRPr="00D2134C">
        <w:t>NDIA</w:t>
      </w:r>
      <w:r w:rsidRPr="00D2134C">
        <w:t xml:space="preserve"> is a prescribed authority for the purposes of the </w:t>
      </w:r>
      <w:r w:rsidRPr="00D2134C">
        <w:rPr>
          <w:i/>
          <w:iCs/>
        </w:rPr>
        <w:t>Ombudsman Act 1976</w:t>
      </w:r>
      <w:r w:rsidRPr="00D2134C">
        <w:t xml:space="preserve">. Accordingly, the Office of the Commonwealth Ombudsman (OCO) may investigate complaints from individuals, </w:t>
      </w:r>
      <w:proofErr w:type="gramStart"/>
      <w:r w:rsidRPr="00D2134C">
        <w:t>groups</w:t>
      </w:r>
      <w:proofErr w:type="gramEnd"/>
      <w:r w:rsidRPr="00D2134C">
        <w:t xml:space="preserve"> or organisations about the administrative actions of the </w:t>
      </w:r>
      <w:r w:rsidR="00DB663B" w:rsidRPr="00D2134C">
        <w:t>NDIA</w:t>
      </w:r>
      <w:r w:rsidRPr="00D2134C">
        <w:t xml:space="preserve">. There are 4 types of primary contacts that the </w:t>
      </w:r>
      <w:r w:rsidR="00DB663B" w:rsidRPr="00D2134C">
        <w:t>NDIA</w:t>
      </w:r>
      <w:r w:rsidRPr="00D2134C">
        <w:t xml:space="preserve"> will generally receive from the OCO: complaint transfers, section 7A preliminary inquiries, section 8 investigations, and section 12 finalisations of investigation. </w:t>
      </w:r>
    </w:p>
    <w:p w14:paraId="5DB39097" w14:textId="42D6C387" w:rsidR="00677C63" w:rsidRPr="00D2134C" w:rsidRDefault="00677C63" w:rsidP="00677C63">
      <w:pPr>
        <w:pStyle w:val="FGCNORMAL"/>
      </w:pPr>
      <w:r w:rsidRPr="00D2134C">
        <w:t xml:space="preserve">At the beginning of the year there were </w:t>
      </w:r>
      <w:r w:rsidR="003051F1" w:rsidRPr="00D2134C">
        <w:t>6</w:t>
      </w:r>
      <w:r w:rsidRPr="00D2134C">
        <w:t xml:space="preserve"> open complaints. In 2021</w:t>
      </w:r>
      <w:r w:rsidR="00465AFC">
        <w:t>–</w:t>
      </w:r>
      <w:r w:rsidRPr="00D2134C">
        <w:t>22</w:t>
      </w:r>
      <w:r w:rsidR="00DB663B" w:rsidRPr="00D2134C">
        <w:t>,</w:t>
      </w:r>
      <w:r w:rsidRPr="00D2134C">
        <w:t xml:space="preserve"> the </w:t>
      </w:r>
      <w:r w:rsidR="00DB663B" w:rsidRPr="00D2134C">
        <w:t>NDIA</w:t>
      </w:r>
      <w:r w:rsidRPr="00D2134C">
        <w:t xml:space="preserve"> received</w:t>
      </w:r>
      <w:r w:rsidRPr="00D2134C">
        <w:rPr>
          <w:bCs/>
        </w:rPr>
        <w:t xml:space="preserve"> </w:t>
      </w:r>
      <w:r w:rsidR="003051F1" w:rsidRPr="00D2134C">
        <w:rPr>
          <w:bCs/>
        </w:rPr>
        <w:t xml:space="preserve">208 </w:t>
      </w:r>
      <w:r w:rsidRPr="00D2134C">
        <w:t xml:space="preserve">complaint transfers from the OCO, of which </w:t>
      </w:r>
      <w:r w:rsidR="003F171C" w:rsidRPr="00D2134C">
        <w:rPr>
          <w:bCs/>
        </w:rPr>
        <w:t>15</w:t>
      </w:r>
      <w:r w:rsidRPr="00D2134C">
        <w:rPr>
          <w:bCs/>
        </w:rPr>
        <w:t xml:space="preserve"> </w:t>
      </w:r>
      <w:r w:rsidRPr="00D2134C">
        <w:t>were open at the end of the year.</w:t>
      </w:r>
    </w:p>
    <w:p w14:paraId="4CBEDC9A" w14:textId="0F7F91BC" w:rsidR="00677C63" w:rsidRPr="00D2134C" w:rsidRDefault="00677C63" w:rsidP="00780639">
      <w:pPr>
        <w:pStyle w:val="FGCHEADING43"/>
      </w:pPr>
      <w:r w:rsidRPr="00D2134C">
        <w:lastRenderedPageBreak/>
        <w:t xml:space="preserve">Fair Work Commission </w:t>
      </w:r>
    </w:p>
    <w:p w14:paraId="5121E16D" w14:textId="6E9F52CA" w:rsidR="00677C63" w:rsidRPr="00D2134C" w:rsidRDefault="00677C63" w:rsidP="00677C63">
      <w:pPr>
        <w:pStyle w:val="FGCNORMAL"/>
      </w:pPr>
      <w:r w:rsidRPr="00D2134C">
        <w:t xml:space="preserve">The </w:t>
      </w:r>
      <w:r w:rsidR="00DB663B" w:rsidRPr="00D2134C">
        <w:t>Fair Work Commission (</w:t>
      </w:r>
      <w:r w:rsidRPr="00D2134C">
        <w:t>FWC</w:t>
      </w:r>
      <w:r w:rsidR="00DB663B" w:rsidRPr="00D2134C">
        <w:t>)</w:t>
      </w:r>
      <w:r w:rsidRPr="00D2134C">
        <w:t xml:space="preserve"> is Australia’s national workplace relations tribunal. It was established by the </w:t>
      </w:r>
      <w:r w:rsidRPr="00D2134C">
        <w:rPr>
          <w:i/>
          <w:iCs/>
        </w:rPr>
        <w:t>Fair Work Act 2009</w:t>
      </w:r>
      <w:r w:rsidRPr="00D2134C">
        <w:t xml:space="preserve"> and is responsible for administering the provisions of the Fair Work Act. </w:t>
      </w:r>
    </w:p>
    <w:p w14:paraId="1BD1F881" w14:textId="2C06923E" w:rsidR="00677C63" w:rsidRPr="00D2134C" w:rsidRDefault="00677C63" w:rsidP="00677C63">
      <w:pPr>
        <w:pStyle w:val="FGCNORMAL"/>
      </w:pPr>
      <w:r w:rsidRPr="00D2134C">
        <w:t>In 2021–22</w:t>
      </w:r>
      <w:r w:rsidR="00DB663B" w:rsidRPr="00D2134C">
        <w:t>,</w:t>
      </w:r>
      <w:r w:rsidRPr="00D2134C">
        <w:t xml:space="preserve"> the </w:t>
      </w:r>
      <w:r w:rsidR="00DB663B" w:rsidRPr="00D2134C">
        <w:t>NDIA</w:t>
      </w:r>
      <w:r w:rsidRPr="00D2134C">
        <w:t xml:space="preserve"> received 6 applications to the FWC. One of the applications was discontinued and 2 were settled. Three are still open.</w:t>
      </w:r>
    </w:p>
    <w:p w14:paraId="61372189" w14:textId="1325302A" w:rsidR="00677C63" w:rsidRPr="00D2134C" w:rsidRDefault="00677C63" w:rsidP="00780639">
      <w:pPr>
        <w:pStyle w:val="FGCHEADING43"/>
      </w:pPr>
      <w:r w:rsidRPr="00D2134C">
        <w:t xml:space="preserve">Federal Circuit Court </w:t>
      </w:r>
    </w:p>
    <w:p w14:paraId="1B0E7936" w14:textId="14B5745B" w:rsidR="00677C63" w:rsidRPr="00D2134C" w:rsidRDefault="00677C63" w:rsidP="00677C63">
      <w:pPr>
        <w:pStyle w:val="FGCNORMAL"/>
      </w:pPr>
      <w:r w:rsidRPr="00D2134C">
        <w:t>The</w:t>
      </w:r>
      <w:r w:rsidR="00737C81" w:rsidRPr="00D2134C">
        <w:t xml:space="preserve"> Federal Circuit Court</w:t>
      </w:r>
      <w:r w:rsidRPr="00D2134C">
        <w:t xml:space="preserve"> </w:t>
      </w:r>
      <w:r w:rsidR="00DB663B" w:rsidRPr="00D2134C">
        <w:t>(</w:t>
      </w:r>
      <w:r w:rsidRPr="00D2134C">
        <w:t>FCC</w:t>
      </w:r>
      <w:r w:rsidR="00AA498F" w:rsidRPr="00D2134C">
        <w:t>)</w:t>
      </w:r>
      <w:r w:rsidRPr="00D2134C">
        <w:t xml:space="preserve"> was established to provide a simple and accessible alternative to litigation in the Federal Court of Australia and the Family Court of Australia and to relieve the workload of those courts. The FCC Act directs the </w:t>
      </w:r>
      <w:r w:rsidR="00737C81" w:rsidRPr="00D2134C">
        <w:t>FCC</w:t>
      </w:r>
      <w:r w:rsidRPr="00D2134C">
        <w:t xml:space="preserve"> to operate informally and to use streamlined procedures. This complements the Parliament’s initiatives to encourage people to engage in a range of dispute resolution processes.</w:t>
      </w:r>
    </w:p>
    <w:p w14:paraId="154CCA70" w14:textId="612DCAD3" w:rsidR="00677C63" w:rsidRPr="00D2134C" w:rsidRDefault="00677C63" w:rsidP="00677C63">
      <w:pPr>
        <w:pStyle w:val="FGCNORMAL"/>
      </w:pPr>
      <w:r w:rsidRPr="00D2134C">
        <w:t>In 2021–22</w:t>
      </w:r>
      <w:r w:rsidR="00737C81" w:rsidRPr="00D2134C">
        <w:t>,</w:t>
      </w:r>
      <w:r w:rsidRPr="00D2134C">
        <w:t xml:space="preserve"> </w:t>
      </w:r>
      <w:r w:rsidR="00597B20">
        <w:t xml:space="preserve">the </w:t>
      </w:r>
      <w:r w:rsidR="008D282B" w:rsidRPr="00D2134C">
        <w:t>NDIA</w:t>
      </w:r>
      <w:r w:rsidRPr="00D2134C">
        <w:t xml:space="preserve"> received no applications to the FCC.</w:t>
      </w:r>
    </w:p>
    <w:p w14:paraId="3DFED88B" w14:textId="77777777" w:rsidR="00677C63" w:rsidRPr="00D2134C" w:rsidRDefault="00677C63" w:rsidP="00780639">
      <w:pPr>
        <w:pStyle w:val="FGCHEADING43"/>
      </w:pPr>
      <w:r w:rsidRPr="00D2134C">
        <w:t xml:space="preserve">Freedom of information </w:t>
      </w:r>
    </w:p>
    <w:p w14:paraId="74C62CA0" w14:textId="7C632308" w:rsidR="00677C63" w:rsidRPr="00D2134C" w:rsidRDefault="00677C63" w:rsidP="00677C63">
      <w:pPr>
        <w:pStyle w:val="FGCNORMAL"/>
        <w:rPr>
          <w:rFonts w:ascii="Calibri" w:eastAsiaTheme="minorHAnsi" w:hAnsi="Calibri" w:cs="Calibri"/>
          <w:lang w:eastAsia="en-US"/>
        </w:rPr>
      </w:pPr>
      <w:r w:rsidRPr="00D2134C">
        <w:t xml:space="preserve">Under the </w:t>
      </w:r>
      <w:r w:rsidRPr="00D2134C">
        <w:rPr>
          <w:i/>
          <w:iCs/>
        </w:rPr>
        <w:t>Freedom of Information Act 1982</w:t>
      </w:r>
      <w:r w:rsidRPr="00D2134C">
        <w:t xml:space="preserve"> (FOI Act), a person may request access to information that is held by the </w:t>
      </w:r>
      <w:r w:rsidR="008D282B" w:rsidRPr="00D2134C">
        <w:t>NDIA</w:t>
      </w:r>
      <w:r w:rsidRPr="00D2134C">
        <w:t xml:space="preserve">. In 2021–22 the </w:t>
      </w:r>
      <w:r w:rsidR="008D282B" w:rsidRPr="00D2134C">
        <w:t>NDIA</w:t>
      </w:r>
      <w:r w:rsidRPr="00D2134C">
        <w:t xml:space="preserve"> received 1,901 primary requests under the FOI Act. There were 39 requests for internal review of an access decision. The </w:t>
      </w:r>
      <w:r w:rsidR="008D282B" w:rsidRPr="00D2134C">
        <w:t>NDIA</w:t>
      </w:r>
      <w:r w:rsidRPr="00D2134C">
        <w:t xml:space="preserve"> received notification that 18 requests were subject to a review by the Office of the Australian Information Commissioner.</w:t>
      </w:r>
    </w:p>
    <w:p w14:paraId="71AAF80C" w14:textId="0195F011" w:rsidR="00677C63" w:rsidRPr="00D2134C" w:rsidRDefault="00677C63" w:rsidP="00780639">
      <w:pPr>
        <w:pStyle w:val="FGCHEADING43"/>
      </w:pPr>
      <w:r w:rsidRPr="00D2134C">
        <w:t xml:space="preserve">Participant Information Access </w:t>
      </w:r>
      <w:r w:rsidR="008D1A20" w:rsidRPr="00D2134C">
        <w:t>scheme</w:t>
      </w:r>
    </w:p>
    <w:p w14:paraId="46FAE35D" w14:textId="7B2E1F04" w:rsidR="00677C63" w:rsidRPr="00D2134C" w:rsidRDefault="00677C63" w:rsidP="00677C63">
      <w:pPr>
        <w:pStyle w:val="FGCNORMAL"/>
      </w:pPr>
      <w:r w:rsidRPr="00D2134C">
        <w:t>In 2021–22</w:t>
      </w:r>
      <w:r w:rsidR="008D282B" w:rsidRPr="00D2134C">
        <w:t>,</w:t>
      </w:r>
      <w:r w:rsidRPr="00D2134C">
        <w:t xml:space="preserve"> the </w:t>
      </w:r>
      <w:r w:rsidR="008D282B" w:rsidRPr="00D2134C">
        <w:t>NDIA</w:t>
      </w:r>
      <w:r w:rsidRPr="00D2134C">
        <w:t xml:space="preserve"> continued processing requests for information under the </w:t>
      </w:r>
      <w:r w:rsidR="008D282B" w:rsidRPr="00D2134C">
        <w:t>Public Information Access scheme (</w:t>
      </w:r>
      <w:r w:rsidRPr="00D2134C">
        <w:t>PIA</w:t>
      </w:r>
      <w:r w:rsidR="008D282B" w:rsidRPr="00D2134C">
        <w:t>)</w:t>
      </w:r>
      <w:r w:rsidRPr="00D2134C">
        <w:t xml:space="preserve"> as an administrative release function outside of the FOI Act. </w:t>
      </w:r>
      <w:r w:rsidR="00F107C8" w:rsidRPr="00D2134C">
        <w:t>The PIA</w:t>
      </w:r>
      <w:r w:rsidRPr="00D2134C">
        <w:t xml:space="preserve"> allows current and prospective participants, as well as nominated representatives, to request personal information held by the </w:t>
      </w:r>
      <w:r w:rsidR="00725A86" w:rsidRPr="00D2134C">
        <w:t>NDIA</w:t>
      </w:r>
      <w:r w:rsidRPr="00D2134C">
        <w:t xml:space="preserve">. The </w:t>
      </w:r>
      <w:r w:rsidR="00F107C8" w:rsidRPr="00D2134C">
        <w:t xml:space="preserve">PIA </w:t>
      </w:r>
      <w:r w:rsidRPr="00D2134C">
        <w:t xml:space="preserve">continues to be well used by participants, with the </w:t>
      </w:r>
      <w:r w:rsidR="00725A86" w:rsidRPr="00D2134C">
        <w:t>NDIA</w:t>
      </w:r>
      <w:r w:rsidRPr="00D2134C">
        <w:t xml:space="preserve"> receiving 3,334 PIA requests in </w:t>
      </w:r>
      <w:r w:rsidR="00D16D18">
        <w:br/>
      </w:r>
      <w:r w:rsidRPr="00D2134C">
        <w:t>2021–22.</w:t>
      </w:r>
    </w:p>
    <w:p w14:paraId="21F13C21" w14:textId="6F78BAD0" w:rsidR="00677C63" w:rsidRPr="00D2134C" w:rsidRDefault="00677C63" w:rsidP="00780639">
      <w:pPr>
        <w:pStyle w:val="FGCHEADING43"/>
      </w:pPr>
      <w:r w:rsidRPr="00D2134C">
        <w:t>Merit Protection Commission</w:t>
      </w:r>
    </w:p>
    <w:p w14:paraId="3E9C938F" w14:textId="4417D7CD" w:rsidR="00677C63" w:rsidRPr="00D2134C" w:rsidRDefault="00677C63" w:rsidP="00677C63">
      <w:pPr>
        <w:pStyle w:val="FGCNORMAL"/>
      </w:pPr>
      <w:r w:rsidRPr="00D2134C">
        <w:t>The</w:t>
      </w:r>
      <w:r w:rsidR="00725A86" w:rsidRPr="00D2134C">
        <w:t xml:space="preserve"> </w:t>
      </w:r>
      <w:r w:rsidR="00E23836" w:rsidRPr="00D2134C">
        <w:t>Merit Protection Commission</w:t>
      </w:r>
      <w:r w:rsidRPr="00D2134C">
        <w:t xml:space="preserve"> </w:t>
      </w:r>
      <w:r w:rsidR="00725A86" w:rsidRPr="00D2134C">
        <w:t>(</w:t>
      </w:r>
      <w:r w:rsidRPr="00D2134C">
        <w:t>MPC</w:t>
      </w:r>
      <w:r w:rsidR="00725A86" w:rsidRPr="00D2134C">
        <w:t>)</w:t>
      </w:r>
      <w:r w:rsidRPr="00D2134C">
        <w:t xml:space="preserve"> is an independent statutory office providing employment services to the </w:t>
      </w:r>
      <w:r w:rsidR="005C087D" w:rsidRPr="00D2134C">
        <w:t>APS</w:t>
      </w:r>
      <w:r w:rsidRPr="00D2134C">
        <w:t xml:space="preserve"> and the Parliamentary Service. The MPC reviews employees’ concerns about matters affecting their employment, such as recruitment, discipline (misconduct) and performance management. It also provides recruitment and inquiry services to agencies.</w:t>
      </w:r>
    </w:p>
    <w:p w14:paraId="17D59910" w14:textId="68BA6580" w:rsidR="00677C63" w:rsidRPr="00D2134C" w:rsidRDefault="00677C63" w:rsidP="00677C63">
      <w:pPr>
        <w:pStyle w:val="FGCNORMAL"/>
      </w:pPr>
      <w:r w:rsidRPr="00D2134C">
        <w:t xml:space="preserve">In 2021–22 the </w:t>
      </w:r>
      <w:r w:rsidR="00725A86" w:rsidRPr="00D2134C">
        <w:t>NDIA</w:t>
      </w:r>
      <w:r w:rsidRPr="00D2134C">
        <w:t xml:space="preserve"> had 5 applications to the MPC accepted. One of the Agency’s original decisions was </w:t>
      </w:r>
      <w:proofErr w:type="gramStart"/>
      <w:r w:rsidRPr="00D2134C">
        <w:t>upheld</w:t>
      </w:r>
      <w:proofErr w:type="gramEnd"/>
      <w:r w:rsidRPr="00D2134C">
        <w:t xml:space="preserve"> and one decision was set aside and substituted. Two were not reviewable. One matter is ongoing.</w:t>
      </w:r>
    </w:p>
    <w:p w14:paraId="785DB28E" w14:textId="67CFF951" w:rsidR="00677C63" w:rsidRPr="00D2134C" w:rsidRDefault="00677C63" w:rsidP="00780639">
      <w:pPr>
        <w:pStyle w:val="FGCHEADING43"/>
      </w:pPr>
      <w:bookmarkStart w:id="628" w:name="_Hlk114141757"/>
      <w:r w:rsidRPr="00D2134C">
        <w:t>NDIS Quality and Safeguards Commission</w:t>
      </w:r>
    </w:p>
    <w:p w14:paraId="3D97F72F" w14:textId="35FE1666" w:rsidR="00677C63" w:rsidRPr="00D2134C" w:rsidRDefault="00677C63" w:rsidP="00677C63">
      <w:pPr>
        <w:pStyle w:val="FGCNORMAL"/>
      </w:pPr>
      <w:r w:rsidRPr="00D2134C">
        <w:t>The</w:t>
      </w:r>
      <w:r w:rsidR="001E1DC4" w:rsidRPr="00D2134C">
        <w:t xml:space="preserve"> NDIS </w:t>
      </w:r>
      <w:r w:rsidR="00FB5043" w:rsidRPr="00D2134C">
        <w:t>Quality and Safeguards Commission</w:t>
      </w:r>
      <w:r w:rsidRPr="00D2134C">
        <w:t xml:space="preserve"> </w:t>
      </w:r>
      <w:r w:rsidR="00D64624" w:rsidRPr="00D2134C">
        <w:t>(</w:t>
      </w:r>
      <w:r w:rsidR="00124BF7" w:rsidRPr="00D2134C">
        <w:t>NDIS Commission</w:t>
      </w:r>
      <w:r w:rsidR="00D64624" w:rsidRPr="00D2134C">
        <w:t>)</w:t>
      </w:r>
      <w:r w:rsidRPr="00D2134C">
        <w:t xml:space="preserve"> is an independent agency established to improve the quality and safety of NDIS supports and services, regulate NDIS providers, provide national consistency, promote safety and quality services, resolve </w:t>
      </w:r>
      <w:proofErr w:type="gramStart"/>
      <w:r w:rsidRPr="00D2134C">
        <w:t>problems</w:t>
      </w:r>
      <w:proofErr w:type="gramEnd"/>
      <w:r w:rsidRPr="00D2134C">
        <w:t xml:space="preserve"> and identify areas for improvement. </w:t>
      </w:r>
    </w:p>
    <w:p w14:paraId="3B2A2E79" w14:textId="309C94E2" w:rsidR="00677C63" w:rsidRPr="00D2134C" w:rsidRDefault="00677C63" w:rsidP="00677C63">
      <w:pPr>
        <w:pStyle w:val="FGCNORMAL"/>
      </w:pPr>
      <w:r w:rsidRPr="00D2134C">
        <w:t>In 2021–22</w:t>
      </w:r>
      <w:r w:rsidR="00825D43" w:rsidRPr="00D2134C">
        <w:t>,</w:t>
      </w:r>
      <w:r w:rsidRPr="00D2134C">
        <w:t xml:space="preserve"> the </w:t>
      </w:r>
      <w:r w:rsidR="00825D43" w:rsidRPr="00D2134C">
        <w:t>NDIA</w:t>
      </w:r>
      <w:r w:rsidRPr="00D2134C">
        <w:t xml:space="preserve"> received </w:t>
      </w:r>
      <w:r w:rsidR="00565AFD" w:rsidRPr="00D2134C">
        <w:rPr>
          <w:bCs/>
        </w:rPr>
        <w:t>678</w:t>
      </w:r>
      <w:r w:rsidRPr="00D2134C">
        <w:rPr>
          <w:bCs/>
        </w:rPr>
        <w:t xml:space="preserve"> </w:t>
      </w:r>
      <w:r w:rsidR="00565AFD" w:rsidRPr="00D2134C">
        <w:rPr>
          <w:bCs/>
        </w:rPr>
        <w:t>complaints</w:t>
      </w:r>
      <w:r w:rsidRPr="00D2134C">
        <w:t xml:space="preserve"> from the </w:t>
      </w:r>
      <w:r w:rsidR="00124BF7" w:rsidRPr="00D2134C">
        <w:t>NDIS Commission</w:t>
      </w:r>
      <w:r w:rsidRPr="00D2134C">
        <w:t>.</w:t>
      </w:r>
    </w:p>
    <w:p w14:paraId="5C45BD09" w14:textId="6BA9C09E" w:rsidR="00677C63" w:rsidRPr="00D2134C" w:rsidRDefault="00677C63" w:rsidP="00677C63">
      <w:pPr>
        <w:pStyle w:val="FGCNORMAL"/>
      </w:pPr>
      <w:r w:rsidRPr="00D2134C">
        <w:lastRenderedPageBreak/>
        <w:t xml:space="preserve">The </w:t>
      </w:r>
      <w:r w:rsidR="00825D43" w:rsidRPr="00D2134C">
        <w:t>NDIA</w:t>
      </w:r>
      <w:r w:rsidRPr="00D2134C">
        <w:t xml:space="preserve"> works collaboratively with the </w:t>
      </w:r>
      <w:r w:rsidR="00124BF7" w:rsidRPr="00D2134C">
        <w:t>NDIS Commission</w:t>
      </w:r>
      <w:r w:rsidRPr="00D2134C">
        <w:t xml:space="preserve"> to resolve critical incidents involving participants and providers. A protocol has been established for the </w:t>
      </w:r>
      <w:r w:rsidR="00D30046" w:rsidRPr="00D2134C">
        <w:t>P</w:t>
      </w:r>
      <w:r w:rsidRPr="00D2134C">
        <w:t xml:space="preserve">articipant </w:t>
      </w:r>
      <w:r w:rsidR="00D30046" w:rsidRPr="00D2134C">
        <w:t>C</w:t>
      </w:r>
      <w:r w:rsidRPr="00D2134C">
        <w:t xml:space="preserve">ritical </w:t>
      </w:r>
      <w:r w:rsidR="00D30046" w:rsidRPr="00D2134C">
        <w:t>I</w:t>
      </w:r>
      <w:r w:rsidRPr="00D2134C">
        <w:t xml:space="preserve">ncident team to accept referrals of participant critical incidents from the </w:t>
      </w:r>
      <w:r w:rsidR="00124BF7" w:rsidRPr="00D2134C">
        <w:t>NDIS Commission</w:t>
      </w:r>
      <w:r w:rsidRPr="00D2134C">
        <w:t>. In 2021</w:t>
      </w:r>
      <w:r w:rsidR="00465AFC">
        <w:t>–</w:t>
      </w:r>
      <w:r w:rsidRPr="00D2134C">
        <w:t>22,</w:t>
      </w:r>
      <w:r w:rsidRPr="00D2134C">
        <w:rPr>
          <w:bCs/>
        </w:rPr>
        <w:t xml:space="preserve"> </w:t>
      </w:r>
      <w:r w:rsidR="001A4D61" w:rsidRPr="00D2134C">
        <w:rPr>
          <w:bCs/>
        </w:rPr>
        <w:t xml:space="preserve">208 </w:t>
      </w:r>
      <w:r w:rsidR="00181104" w:rsidRPr="00D2134C">
        <w:rPr>
          <w:bCs/>
        </w:rPr>
        <w:t>p</w:t>
      </w:r>
      <w:r w:rsidR="00B64720" w:rsidRPr="00D2134C">
        <w:rPr>
          <w:bCs/>
        </w:rPr>
        <w:t xml:space="preserve">articipant </w:t>
      </w:r>
      <w:r w:rsidR="00181104" w:rsidRPr="00D2134C">
        <w:rPr>
          <w:bCs/>
        </w:rPr>
        <w:t>c</w:t>
      </w:r>
      <w:r w:rsidR="00B64720" w:rsidRPr="00D2134C">
        <w:rPr>
          <w:bCs/>
        </w:rPr>
        <w:t xml:space="preserve">ritical </w:t>
      </w:r>
      <w:r w:rsidR="00181104" w:rsidRPr="00D2134C">
        <w:rPr>
          <w:bCs/>
        </w:rPr>
        <w:t>i</w:t>
      </w:r>
      <w:r w:rsidR="00B64720" w:rsidRPr="00D2134C">
        <w:rPr>
          <w:bCs/>
        </w:rPr>
        <w:t xml:space="preserve">ncidents </w:t>
      </w:r>
      <w:r w:rsidRPr="00D2134C">
        <w:t xml:space="preserve">were received from the </w:t>
      </w:r>
      <w:r w:rsidR="00124BF7" w:rsidRPr="00D2134C">
        <w:t>NDIS Commission</w:t>
      </w:r>
      <w:r w:rsidRPr="00D2134C">
        <w:t xml:space="preserve">. During the same period </w:t>
      </w:r>
      <w:r w:rsidR="00B64720" w:rsidRPr="00D2134C">
        <w:t>632 complaints</w:t>
      </w:r>
      <w:r w:rsidRPr="00D2134C">
        <w:t xml:space="preserve"> were sent by the </w:t>
      </w:r>
      <w:r w:rsidR="00825D43" w:rsidRPr="00D2134C">
        <w:t>NDIA</w:t>
      </w:r>
      <w:r w:rsidRPr="00D2134C">
        <w:t xml:space="preserve"> to the </w:t>
      </w:r>
      <w:r w:rsidR="00124BF7" w:rsidRPr="00D2134C">
        <w:t>NDIS Commission</w:t>
      </w:r>
      <w:r w:rsidRPr="00D2134C">
        <w:t xml:space="preserve">. In addition, the </w:t>
      </w:r>
      <w:r w:rsidR="00825D43" w:rsidRPr="00D2134C">
        <w:t>NDIA</w:t>
      </w:r>
      <w:r w:rsidRPr="00D2134C">
        <w:t xml:space="preserve"> referred</w:t>
      </w:r>
      <w:r w:rsidR="00181104" w:rsidRPr="00D2134C">
        <w:t xml:space="preserve"> 207</w:t>
      </w:r>
      <w:r w:rsidRPr="00D2134C">
        <w:t xml:space="preserve"> participant critical incidents to the </w:t>
      </w:r>
      <w:r w:rsidR="00124BF7" w:rsidRPr="00D2134C">
        <w:t>NDIS Commission</w:t>
      </w:r>
      <w:r w:rsidRPr="00D2134C">
        <w:t>.</w:t>
      </w:r>
    </w:p>
    <w:bookmarkEnd w:id="628"/>
    <w:p w14:paraId="7A71DD61" w14:textId="02CBB7B2" w:rsidR="00677C63" w:rsidRPr="00D2134C" w:rsidRDefault="00677C63" w:rsidP="00780639">
      <w:pPr>
        <w:pStyle w:val="FGCHEADING43"/>
      </w:pPr>
      <w:r w:rsidRPr="00D2134C">
        <w:t>New South Wales Ageing and Disability Commission</w:t>
      </w:r>
    </w:p>
    <w:p w14:paraId="7D46CDA4" w14:textId="06E22C43" w:rsidR="00677C63" w:rsidRPr="00D2134C" w:rsidRDefault="00677C63" w:rsidP="00677C63">
      <w:pPr>
        <w:pStyle w:val="FGCNORMAL"/>
      </w:pPr>
      <w:r w:rsidRPr="00D2134C">
        <w:t>From July 2016, the New South Wales Ombudsman’s office has had a standing inquiry into allegations of abuse and neglect of adults with disability in the community, such as in the family home. The</w:t>
      </w:r>
      <w:r w:rsidR="00825D43" w:rsidRPr="00D2134C">
        <w:t xml:space="preserve"> New South Wales Ageing and Disability Commission</w:t>
      </w:r>
      <w:r w:rsidRPr="00D2134C">
        <w:t xml:space="preserve"> </w:t>
      </w:r>
      <w:r w:rsidR="00825D43" w:rsidRPr="00D2134C">
        <w:t>(</w:t>
      </w:r>
      <w:r w:rsidRPr="00D2134C">
        <w:t>NSW ADC</w:t>
      </w:r>
      <w:r w:rsidR="00825D43" w:rsidRPr="00D2134C">
        <w:t>)</w:t>
      </w:r>
      <w:r w:rsidRPr="00D2134C">
        <w:t xml:space="preserve"> has now been established, and from 1 July 2019 </w:t>
      </w:r>
      <w:r w:rsidR="00825D43" w:rsidRPr="00D2134C">
        <w:t xml:space="preserve">it </w:t>
      </w:r>
      <w:r w:rsidRPr="00D2134C">
        <w:t xml:space="preserve">has been the appropriate oversight body to better protect adults with disability and older people from abuse, neglect and exploitation in home and community settings. </w:t>
      </w:r>
    </w:p>
    <w:p w14:paraId="204C1314" w14:textId="5C52E507" w:rsidR="00677C63" w:rsidRPr="00D2134C" w:rsidRDefault="00677C63" w:rsidP="00677C63">
      <w:pPr>
        <w:pStyle w:val="FGCNORMAL"/>
      </w:pPr>
      <w:r w:rsidRPr="00D2134C">
        <w:t>In 2021‒22</w:t>
      </w:r>
      <w:r w:rsidR="00825D43" w:rsidRPr="00D2134C">
        <w:t>,</w:t>
      </w:r>
      <w:r w:rsidRPr="00D2134C">
        <w:t xml:space="preserve"> the </w:t>
      </w:r>
      <w:r w:rsidR="00825D43" w:rsidRPr="00D2134C">
        <w:t>NDIA</w:t>
      </w:r>
      <w:r w:rsidRPr="00D2134C">
        <w:t xml:space="preserve"> received </w:t>
      </w:r>
      <w:r w:rsidR="00324489" w:rsidRPr="00D2134C">
        <w:rPr>
          <w:bCs/>
        </w:rPr>
        <w:t>137 complaints</w:t>
      </w:r>
      <w:r w:rsidRPr="00D2134C">
        <w:t xml:space="preserve"> from the NSW ADC. </w:t>
      </w:r>
    </w:p>
    <w:p w14:paraId="21849B8B" w14:textId="6A4F70AC" w:rsidR="00677C63" w:rsidRPr="00D2134C" w:rsidRDefault="00677C63" w:rsidP="00677C63">
      <w:pPr>
        <w:pStyle w:val="FGCNORMAL"/>
      </w:pPr>
      <w:r w:rsidRPr="00D2134C">
        <w:t xml:space="preserve">The </w:t>
      </w:r>
      <w:r w:rsidR="005D7E8D" w:rsidRPr="00D2134C">
        <w:t>P</w:t>
      </w:r>
      <w:r w:rsidRPr="00D2134C">
        <w:t xml:space="preserve">articipant </w:t>
      </w:r>
      <w:r w:rsidR="005D7E8D" w:rsidRPr="00D2134C">
        <w:t>C</w:t>
      </w:r>
      <w:r w:rsidRPr="00D2134C">
        <w:t xml:space="preserve">ritical </w:t>
      </w:r>
      <w:r w:rsidR="005D7E8D" w:rsidRPr="00D2134C">
        <w:t>I</w:t>
      </w:r>
      <w:r w:rsidRPr="00D2134C">
        <w:t>ncident team received</w:t>
      </w:r>
      <w:r w:rsidR="00321D81" w:rsidRPr="00D2134C">
        <w:t xml:space="preserve"> 31</w:t>
      </w:r>
      <w:r w:rsidRPr="00D2134C">
        <w:t xml:space="preserve"> participant critical incidents from the NSW ADC in 2021</w:t>
      </w:r>
      <w:r w:rsidR="008E0F38">
        <w:t>-</w:t>
      </w:r>
      <w:r w:rsidRPr="00D2134C">
        <w:t>22. There are not equivalent bodies to the NSW ADC in other jurisdictions, and the NDIA does not have a formal information-sharing memorandum of understanding in place with an equivalent body.</w:t>
      </w:r>
    </w:p>
    <w:p w14:paraId="774FDC97" w14:textId="3FEEC3A4" w:rsidR="00677C63" w:rsidRPr="00D2134C" w:rsidRDefault="00677C63" w:rsidP="00677C63">
      <w:pPr>
        <w:pStyle w:val="FGCHEADING2"/>
      </w:pPr>
      <w:bookmarkStart w:id="629" w:name="_Toc23603200"/>
      <w:bookmarkStart w:id="630" w:name="_Toc51068012"/>
      <w:bookmarkStart w:id="631" w:name="_Toc110532565"/>
      <w:bookmarkStart w:id="632" w:name="_Toc114477564"/>
      <w:bookmarkStart w:id="633" w:name="_Toc116473934"/>
      <w:bookmarkEnd w:id="627"/>
      <w:r w:rsidRPr="00D2134C">
        <w:t>Other PGPA reportable items</w:t>
      </w:r>
      <w:bookmarkEnd w:id="629"/>
      <w:bookmarkEnd w:id="630"/>
      <w:bookmarkEnd w:id="631"/>
      <w:bookmarkEnd w:id="632"/>
      <w:bookmarkEnd w:id="633"/>
    </w:p>
    <w:p w14:paraId="4DCE766E" w14:textId="77777777" w:rsidR="00677C63" w:rsidRPr="00D2134C" w:rsidRDefault="00677C63" w:rsidP="00780639">
      <w:pPr>
        <w:pStyle w:val="FGCHEADING43"/>
      </w:pPr>
      <w:bookmarkStart w:id="634" w:name="_Toc23603201"/>
      <w:r w:rsidRPr="00D2134C">
        <w:t>Ministerial directions and government policy orders</w:t>
      </w:r>
    </w:p>
    <w:p w14:paraId="04A23142" w14:textId="732934AE" w:rsidR="00677C63" w:rsidRPr="00D2134C" w:rsidRDefault="00677C63" w:rsidP="00677C63">
      <w:pPr>
        <w:pStyle w:val="FGCNORMAL"/>
      </w:pPr>
      <w:r w:rsidRPr="00D2134C">
        <w:t>The NDIA did not receive any government policy orders or ministerial directions from the Minister for the NDIS in 2021–22. No instances of significant noncompliance with finance law were reported to the responsible Minister under paragraph 19(1)(e) of the PGPA Act in 2021–22.</w:t>
      </w:r>
    </w:p>
    <w:p w14:paraId="5D48558A" w14:textId="77777777" w:rsidR="00677C63" w:rsidRPr="00D2134C" w:rsidRDefault="00677C63" w:rsidP="00780639">
      <w:pPr>
        <w:pStyle w:val="FGCHEADING43"/>
      </w:pPr>
      <w:r w:rsidRPr="00D2134C">
        <w:t>17BE (l) – Outline of the location of major activities or facilities</w:t>
      </w:r>
    </w:p>
    <w:p w14:paraId="3B06818D" w14:textId="0ED6E0B7" w:rsidR="00677C63" w:rsidRPr="00D2134C" w:rsidRDefault="00677C63" w:rsidP="00677C63">
      <w:pPr>
        <w:pStyle w:val="FGCNORMAL"/>
        <w:rPr>
          <w:lang w:eastAsia="en-AU"/>
        </w:rPr>
      </w:pPr>
      <w:r w:rsidRPr="00D2134C">
        <w:t xml:space="preserve">As </w:t>
      </w:r>
      <w:proofErr w:type="gramStart"/>
      <w:r w:rsidRPr="00D2134C">
        <w:t>at</w:t>
      </w:r>
      <w:proofErr w:type="gramEnd"/>
      <w:r w:rsidRPr="00D2134C">
        <w:t xml:space="preserve"> 30 June 2022, the </w:t>
      </w:r>
      <w:r w:rsidR="00825D43" w:rsidRPr="00D2134C">
        <w:t>NDIA</w:t>
      </w:r>
      <w:r w:rsidRPr="00D2134C">
        <w:t xml:space="preserve"> had staff at over 160 locations across Australia. Approximately 63</w:t>
      </w:r>
      <w:r w:rsidR="00C650EB" w:rsidRPr="00D2134C">
        <w:t>%</w:t>
      </w:r>
      <w:r w:rsidRPr="00D2134C">
        <w:t xml:space="preserve"> of these sites are shared with other agencies to efficiently deliver Australian Government services. We continue to work with other agencies to consolidate into shared sites, where appropriate.</w:t>
      </w:r>
    </w:p>
    <w:p w14:paraId="03A4BFB7" w14:textId="77777777" w:rsidR="00677C63" w:rsidRPr="00D2134C" w:rsidRDefault="00677C63" w:rsidP="00780639">
      <w:pPr>
        <w:pStyle w:val="FGCHEADING43"/>
      </w:pPr>
      <w:r w:rsidRPr="00D2134C">
        <w:t>Related entity transactions</w:t>
      </w:r>
    </w:p>
    <w:p w14:paraId="625B7983" w14:textId="77777777" w:rsidR="00677C63" w:rsidRPr="00D2134C" w:rsidRDefault="00677C63" w:rsidP="00677C63">
      <w:r w:rsidRPr="00D2134C">
        <w:t xml:space="preserve">Related entity transactions are addressed in the NDIA Financial Statements. </w:t>
      </w:r>
    </w:p>
    <w:p w14:paraId="6A5192F8" w14:textId="77777777" w:rsidR="00677C63" w:rsidRPr="00D2134C" w:rsidRDefault="00677C63" w:rsidP="00780639">
      <w:pPr>
        <w:pStyle w:val="FGCHEADING43"/>
      </w:pPr>
      <w:r w:rsidRPr="00D2134C">
        <w:t>Obtaining information from subsidiaries</w:t>
      </w:r>
    </w:p>
    <w:p w14:paraId="56802203" w14:textId="6477765D" w:rsidR="00677C63" w:rsidRPr="00D2134C" w:rsidRDefault="00677C63" w:rsidP="00677C63">
      <w:pPr>
        <w:pStyle w:val="FGCNORMAL"/>
      </w:pPr>
      <w:r w:rsidRPr="00D2134C">
        <w:t xml:space="preserve">Not applicable – the </w:t>
      </w:r>
      <w:r w:rsidR="00825D43" w:rsidRPr="00D2134C">
        <w:t>NDIA</w:t>
      </w:r>
      <w:r w:rsidRPr="00D2134C">
        <w:t xml:space="preserve"> has no subsidiaries.</w:t>
      </w:r>
    </w:p>
    <w:p w14:paraId="0CA5B8D7" w14:textId="77777777" w:rsidR="00677C63" w:rsidRPr="00D2134C" w:rsidRDefault="00677C63" w:rsidP="00780639">
      <w:pPr>
        <w:pStyle w:val="FGCHEADING43"/>
      </w:pPr>
      <w:r w:rsidRPr="00D2134C">
        <w:t>Indemnities and insurance premiums</w:t>
      </w:r>
    </w:p>
    <w:p w14:paraId="4CB0CB39" w14:textId="0EB5F33C" w:rsidR="00677C63" w:rsidRPr="00D2134C" w:rsidRDefault="00677C63" w:rsidP="00677C63">
      <w:pPr>
        <w:pStyle w:val="FGCNORMAL"/>
      </w:pPr>
      <w:r w:rsidRPr="00D2134C">
        <w:t xml:space="preserve">The </w:t>
      </w:r>
      <w:r w:rsidR="00825D43" w:rsidRPr="00D2134C">
        <w:t>NDIA</w:t>
      </w:r>
      <w:r w:rsidRPr="00D2134C">
        <w:t xml:space="preserve"> purchased directors’ and officers’ liability cover from </w:t>
      </w:r>
      <w:proofErr w:type="spellStart"/>
      <w:r w:rsidRPr="00D2134C">
        <w:t>Comcover</w:t>
      </w:r>
      <w:proofErr w:type="spellEnd"/>
      <w:r w:rsidRPr="00D2134C">
        <w:t xml:space="preserve"> (the Commonwealth’s self-insurance fund). The premium paid in 2021–22 for this cover was $</w:t>
      </w:r>
      <w:r w:rsidR="00F7185E" w:rsidRPr="00D2134C">
        <w:t>742,</w:t>
      </w:r>
      <w:r w:rsidR="003E2192">
        <w:t>4</w:t>
      </w:r>
      <w:r w:rsidR="00F7185E" w:rsidRPr="00D2134C">
        <w:t>90.45 (GST inclusive).</w:t>
      </w:r>
    </w:p>
    <w:p w14:paraId="35712F9C" w14:textId="77777777" w:rsidR="00677C63" w:rsidRPr="00D2134C" w:rsidRDefault="00677C63" w:rsidP="00677C63">
      <w:pPr>
        <w:pStyle w:val="FGCHEADING2"/>
      </w:pPr>
      <w:bookmarkStart w:id="635" w:name="_Toc51068013"/>
      <w:bookmarkStart w:id="636" w:name="_Toc110532566"/>
      <w:bookmarkStart w:id="637" w:name="_Toc114477565"/>
      <w:bookmarkStart w:id="638" w:name="_Toc116473935"/>
      <w:bookmarkStart w:id="639" w:name="_Toc23603203"/>
      <w:bookmarkEnd w:id="634"/>
      <w:r w:rsidRPr="00D2134C">
        <w:lastRenderedPageBreak/>
        <w:t>Advertising and market research</w:t>
      </w:r>
      <w:bookmarkEnd w:id="635"/>
      <w:bookmarkEnd w:id="636"/>
      <w:bookmarkEnd w:id="637"/>
      <w:bookmarkEnd w:id="638"/>
    </w:p>
    <w:p w14:paraId="523C4EB5" w14:textId="7541096E" w:rsidR="00677C63" w:rsidRPr="00D2134C" w:rsidRDefault="00677C63" w:rsidP="00677C63">
      <w:pPr>
        <w:pStyle w:val="FGCNORMAL"/>
      </w:pPr>
      <w:bookmarkStart w:id="640" w:name="_Toc23603204"/>
      <w:bookmarkEnd w:id="639"/>
      <w:r w:rsidRPr="00D2134C">
        <w:t xml:space="preserve">The following information is provided in accordance with section 311A of the </w:t>
      </w:r>
      <w:r w:rsidRPr="00D2134C">
        <w:rPr>
          <w:i/>
        </w:rPr>
        <w:t>Commonwealth Electoral Act 1918</w:t>
      </w:r>
      <w:r w:rsidRPr="00D2134C">
        <w:t xml:space="preserve"> and discloses payments above $14,500.00 (including GST), as specified by the Australian Electoral Commission, to advertising, market research, polling, direct </w:t>
      </w:r>
      <w:proofErr w:type="gramStart"/>
      <w:r w:rsidRPr="00D2134C">
        <w:t>mail</w:t>
      </w:r>
      <w:proofErr w:type="gramEnd"/>
      <w:r w:rsidRPr="00D2134C">
        <w:t xml:space="preserve"> and media advertising organisations.</w:t>
      </w:r>
    </w:p>
    <w:p w14:paraId="6EA46A31" w14:textId="77777777" w:rsidR="00677C63" w:rsidRPr="00D2134C" w:rsidRDefault="00677C63" w:rsidP="00677C63">
      <w:pPr>
        <w:pStyle w:val="FGCNORMAL"/>
        <w:keepNext/>
      </w:pPr>
      <w:r w:rsidRPr="00D2134C">
        <w:rPr>
          <w:b/>
        </w:rPr>
        <w:t>Table 5.10A:</w:t>
      </w:r>
      <w:r w:rsidRPr="00D2134C">
        <w:t xml:space="preserve"> Payments to advertising organisations: 1 July 2021 to 30 June 2022</w:t>
      </w:r>
    </w:p>
    <w:tbl>
      <w:tblPr>
        <w:tblStyle w:val="GridTable2-Accent3"/>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FB51F2" w:rsidRPr="00D2134C" w14:paraId="10585CB7" w14:textId="77777777" w:rsidTr="00EE2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left w:val="nil"/>
            </w:tcBorders>
            <w:shd w:val="clear" w:color="auto" w:fill="6B2976"/>
            <w:vAlign w:val="bottom"/>
            <w:hideMark/>
          </w:tcPr>
          <w:p w14:paraId="348ABDFB" w14:textId="77777777" w:rsidR="00677C63" w:rsidRPr="00D2134C" w:rsidRDefault="00677C63" w:rsidP="00E665B7">
            <w:pPr>
              <w:pStyle w:val="FGCTabhead"/>
            </w:pPr>
            <w:r w:rsidRPr="00D2134C">
              <w:t>Organisation</w:t>
            </w:r>
          </w:p>
        </w:tc>
        <w:tc>
          <w:tcPr>
            <w:tcW w:w="3402" w:type="dxa"/>
            <w:shd w:val="clear" w:color="auto" w:fill="6B2976"/>
            <w:vAlign w:val="bottom"/>
            <w:hideMark/>
          </w:tcPr>
          <w:p w14:paraId="49A71A7A"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Service provided</w:t>
            </w:r>
          </w:p>
        </w:tc>
        <w:tc>
          <w:tcPr>
            <w:tcW w:w="1984" w:type="dxa"/>
            <w:tcBorders>
              <w:right w:val="nil"/>
            </w:tcBorders>
            <w:shd w:val="clear" w:color="auto" w:fill="6B2976"/>
            <w:vAlign w:val="bottom"/>
            <w:hideMark/>
          </w:tcPr>
          <w:p w14:paraId="2AAFA16C"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Amount paid</w:t>
            </w:r>
          </w:p>
          <w:p w14:paraId="2ED083AD"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(including GST)</w:t>
            </w:r>
          </w:p>
        </w:tc>
      </w:tr>
      <w:tr w:rsidR="00257ECE" w:rsidRPr="00D2134C" w14:paraId="3DFFAB97" w14:textId="77777777" w:rsidTr="00257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28E99C4B" w14:textId="77777777" w:rsidR="00677C63" w:rsidRPr="00D2134C" w:rsidRDefault="00677C63" w:rsidP="00E665B7">
            <w:pPr>
              <w:pStyle w:val="NoSpacing"/>
              <w:rPr>
                <w:b w:val="0"/>
              </w:rPr>
            </w:pPr>
            <w:r w:rsidRPr="00D2134C">
              <w:rPr>
                <w:b w:val="0"/>
              </w:rPr>
              <w:t>Brio Group Pty Ltd</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hideMark/>
          </w:tcPr>
          <w:p w14:paraId="251DAB7C"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pPr>
            <w:r w:rsidRPr="00D2134C">
              <w:t xml:space="preserve">Participant, </w:t>
            </w:r>
            <w:proofErr w:type="gramStart"/>
            <w:r w:rsidRPr="00D2134C">
              <w:t>family</w:t>
            </w:r>
            <w:proofErr w:type="gramEnd"/>
            <w:r w:rsidRPr="00D2134C">
              <w:t xml:space="preserve"> and carers outcomes report</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7E487D66"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rPr>
                <w:highlight w:val="yellow"/>
              </w:rPr>
            </w:pPr>
            <w:r w:rsidRPr="00D2134C">
              <w:t>$49,854</w:t>
            </w:r>
          </w:p>
        </w:tc>
      </w:tr>
      <w:tr w:rsidR="00FB51F2" w:rsidRPr="00D2134C" w14:paraId="70BB2525" w14:textId="77777777" w:rsidTr="00EE2D88">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14668B50" w14:textId="77777777" w:rsidR="00677C63" w:rsidRPr="00D2134C" w:rsidRDefault="00677C63" w:rsidP="00E665B7">
            <w:pPr>
              <w:pStyle w:val="NoSpacing"/>
              <w:rPr>
                <w:b w:val="0"/>
                <w:bCs w:val="0"/>
              </w:rPr>
            </w:pPr>
            <w:r w:rsidRPr="00D2134C">
              <w:rPr>
                <w:b w:val="0"/>
                <w:bCs w:val="0"/>
              </w:rPr>
              <w:t>Hootsuite Inc</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hideMark/>
          </w:tcPr>
          <w:p w14:paraId="3CFB2C2B" w14:textId="77777777" w:rsidR="00677C63" w:rsidRPr="00D2134C" w:rsidRDefault="00677C63" w:rsidP="00E665B7">
            <w:pPr>
              <w:pStyle w:val="NoSpacing"/>
              <w:cnfStyle w:val="000000000000" w:firstRow="0" w:lastRow="0" w:firstColumn="0" w:lastColumn="0" w:oddVBand="0" w:evenVBand="0" w:oddHBand="0" w:evenHBand="0" w:firstRowFirstColumn="0" w:firstRowLastColumn="0" w:lastRowFirstColumn="0" w:lastRowLastColumn="0"/>
            </w:pPr>
            <w:r w:rsidRPr="00D2134C">
              <w:t>Social media management</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0ADA38A1"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rPr>
                <w:highlight w:val="yellow"/>
              </w:rPr>
            </w:pPr>
            <w:r w:rsidRPr="00D2134C">
              <w:t>$20,135</w:t>
            </w:r>
          </w:p>
        </w:tc>
      </w:tr>
      <w:tr w:rsidR="00FB51F2" w:rsidRPr="00D2134C" w14:paraId="514638F9"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vAlign w:val="top"/>
          </w:tcPr>
          <w:p w14:paraId="6C564EAD" w14:textId="0ABAEC02" w:rsidR="00D105AE" w:rsidRPr="00D2134C" w:rsidRDefault="00D105AE" w:rsidP="00D105AE">
            <w:pPr>
              <w:pStyle w:val="NoSpacing"/>
              <w:rPr>
                <w:b w:val="0"/>
                <w:bCs w:val="0"/>
              </w:rPr>
            </w:pPr>
            <w:proofErr w:type="spellStart"/>
            <w:r w:rsidRPr="00D2134C">
              <w:rPr>
                <w:b w:val="0"/>
                <w:bCs w:val="0"/>
              </w:rPr>
              <w:t>Iconinc</w:t>
            </w:r>
            <w:proofErr w:type="spellEnd"/>
            <w:r w:rsidRPr="00D2134C">
              <w:rPr>
                <w:b w:val="0"/>
                <w:bCs w:val="0"/>
              </w:rPr>
              <w:t xml:space="preserve"> Pty Ltd</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tcPr>
          <w:p w14:paraId="46153138" w14:textId="5012DC10" w:rsidR="00D105AE" w:rsidRPr="00D2134C" w:rsidRDefault="00D105AE" w:rsidP="00D105AE">
            <w:pPr>
              <w:pStyle w:val="NoSpacing"/>
              <w:cnfStyle w:val="000000100000" w:firstRow="0" w:lastRow="0" w:firstColumn="0" w:lastColumn="0" w:oddVBand="0" w:evenVBand="0" w:oddHBand="1" w:evenHBand="0" w:firstRowFirstColumn="0" w:firstRowLastColumn="0" w:lastRowFirstColumn="0" w:lastRowLastColumn="0"/>
            </w:pPr>
            <w:r w:rsidRPr="00D2134C">
              <w:t>Website maintenance</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vAlign w:val="top"/>
          </w:tcPr>
          <w:p w14:paraId="360DFA40" w14:textId="7E912E7F" w:rsidR="00D105AE" w:rsidRPr="00D2134C" w:rsidRDefault="00D105AE" w:rsidP="00D105AE">
            <w:pPr>
              <w:pStyle w:val="NoSpacing"/>
              <w:jc w:val="right"/>
              <w:cnfStyle w:val="000000100000" w:firstRow="0" w:lastRow="0" w:firstColumn="0" w:lastColumn="0" w:oddVBand="0" w:evenVBand="0" w:oddHBand="1" w:evenHBand="0" w:firstRowFirstColumn="0" w:firstRowLastColumn="0" w:lastRowFirstColumn="0" w:lastRowLastColumn="0"/>
            </w:pPr>
            <w:r w:rsidRPr="00D2134C">
              <w:t xml:space="preserve">$262,454 </w:t>
            </w:r>
          </w:p>
        </w:tc>
      </w:tr>
      <w:tr w:rsidR="00FB51F2" w:rsidRPr="00D2134C" w14:paraId="2D4D6FD0" w14:textId="77777777" w:rsidTr="00EE2D88">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tcPr>
          <w:p w14:paraId="568CE02B" w14:textId="77777777" w:rsidR="00677C63" w:rsidRPr="00D2134C" w:rsidRDefault="00677C63" w:rsidP="00E665B7">
            <w:pPr>
              <w:pStyle w:val="NoSpacing"/>
              <w:rPr>
                <w:sz w:val="22"/>
                <w:szCs w:val="22"/>
              </w:rPr>
            </w:pP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7580C8D4"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rPr>
                <w:b/>
              </w:rPr>
            </w:pPr>
            <w:r w:rsidRPr="00D2134C">
              <w:rPr>
                <w:b/>
              </w:rPr>
              <w:t>Total:</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68A56CD7" w14:textId="22FA27D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rPr>
                <w:b/>
              </w:rPr>
            </w:pPr>
            <w:r w:rsidRPr="00D2134C">
              <w:rPr>
                <w:b/>
              </w:rPr>
              <w:fldChar w:fldCharType="begin"/>
            </w:r>
            <w:r w:rsidRPr="00D2134C">
              <w:rPr>
                <w:b/>
              </w:rPr>
              <w:instrText xml:space="preserve"> =SUM(ABOVE) </w:instrText>
            </w:r>
            <w:r w:rsidRPr="00D2134C">
              <w:rPr>
                <w:b/>
              </w:rPr>
              <w:fldChar w:fldCharType="separate"/>
            </w:r>
            <w:r w:rsidRPr="00D2134C">
              <w:rPr>
                <w:b/>
              </w:rPr>
              <w:t>$</w:t>
            </w:r>
            <w:r w:rsidR="00FF2F39" w:rsidRPr="00D2134C">
              <w:rPr>
                <w:b/>
              </w:rPr>
              <w:t>332,443</w:t>
            </w:r>
            <w:r w:rsidRPr="00D2134C">
              <w:rPr>
                <w:b/>
              </w:rPr>
              <w:fldChar w:fldCharType="end"/>
            </w:r>
          </w:p>
        </w:tc>
      </w:tr>
    </w:tbl>
    <w:p w14:paraId="0EC75422" w14:textId="77777777" w:rsidR="00677C63" w:rsidRPr="00D2134C" w:rsidRDefault="00677C63" w:rsidP="00677C63">
      <w:pPr>
        <w:pStyle w:val="FGCNORMAL"/>
      </w:pPr>
      <w:r w:rsidRPr="00D2134C">
        <w:rPr>
          <w:b/>
        </w:rPr>
        <w:t>Table 5.10B:</w:t>
      </w:r>
      <w:r w:rsidRPr="00D2134C">
        <w:t xml:space="preserve"> Payments to market research organisations: 1 July 2021 to 30 June 2022</w:t>
      </w:r>
    </w:p>
    <w:tbl>
      <w:tblPr>
        <w:tblStyle w:val="GridTable2-Accent3"/>
        <w:tblW w:w="8363" w:type="dxa"/>
        <w:tblInd w:w="709" w:type="dxa"/>
        <w:tblLook w:val="04A0" w:firstRow="1" w:lastRow="0" w:firstColumn="1" w:lastColumn="0" w:noHBand="0" w:noVBand="1"/>
        <w:tblCaption w:val="Table I2: Payment to market research organisations in 2017-18"/>
        <w:tblDescription w:val="This table provides that information on payments above $13,200 (including GST) to market research organisations in 2017-18. It includes the name of the organisation, the service that was provided and the amount that was paid."/>
      </w:tblPr>
      <w:tblGrid>
        <w:gridCol w:w="2977"/>
        <w:gridCol w:w="3402"/>
        <w:gridCol w:w="1984"/>
      </w:tblGrid>
      <w:tr w:rsidR="00FB51F2" w:rsidRPr="00D2134C" w14:paraId="0F118AB2" w14:textId="77777777" w:rsidTr="00EE2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left w:val="nil"/>
            </w:tcBorders>
            <w:shd w:val="clear" w:color="auto" w:fill="6B2976"/>
            <w:vAlign w:val="bottom"/>
            <w:hideMark/>
          </w:tcPr>
          <w:p w14:paraId="0FF36077" w14:textId="77777777" w:rsidR="00677C63" w:rsidRPr="00D2134C" w:rsidRDefault="00677C63" w:rsidP="00E665B7">
            <w:pPr>
              <w:pStyle w:val="FGCTabhead"/>
            </w:pPr>
            <w:r w:rsidRPr="00D2134C">
              <w:t>Organisation</w:t>
            </w:r>
          </w:p>
        </w:tc>
        <w:tc>
          <w:tcPr>
            <w:tcW w:w="3402" w:type="dxa"/>
            <w:shd w:val="clear" w:color="auto" w:fill="6B2976"/>
            <w:vAlign w:val="bottom"/>
            <w:hideMark/>
          </w:tcPr>
          <w:p w14:paraId="06C86CFB"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Service provided </w:t>
            </w:r>
          </w:p>
        </w:tc>
        <w:tc>
          <w:tcPr>
            <w:tcW w:w="1984" w:type="dxa"/>
            <w:tcBorders>
              <w:right w:val="nil"/>
            </w:tcBorders>
            <w:shd w:val="clear" w:color="auto" w:fill="6B2976"/>
            <w:hideMark/>
          </w:tcPr>
          <w:p w14:paraId="5209920E"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Amount paid </w:t>
            </w:r>
          </w:p>
          <w:p w14:paraId="5434F7C1"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(including GST)</w:t>
            </w:r>
          </w:p>
        </w:tc>
      </w:tr>
      <w:tr w:rsidR="00FB51F2" w:rsidRPr="00D2134C" w14:paraId="4EAE1FDF"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2F029180" w14:textId="77777777" w:rsidR="00677C63" w:rsidRPr="00D2134C" w:rsidRDefault="00677C63" w:rsidP="00E665B7">
            <w:pPr>
              <w:pStyle w:val="NoSpacing"/>
              <w:rPr>
                <w:b w:val="0"/>
              </w:rPr>
            </w:pPr>
            <w:r w:rsidRPr="00D2134C">
              <w:rPr>
                <w:b w:val="0"/>
              </w:rPr>
              <w:t xml:space="preserve">Hall and Partners Pty Ltd </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1094B63E"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pPr>
            <w:r w:rsidRPr="00D2134C">
              <w:t>Qualitative research</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34201ABA"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pPr>
            <w:r w:rsidRPr="00D2134C">
              <w:t>$325,600</w:t>
            </w:r>
          </w:p>
        </w:tc>
      </w:tr>
      <w:tr w:rsidR="00FB51F2" w:rsidRPr="00D2134C" w14:paraId="6CDB6F98" w14:textId="77777777" w:rsidTr="00EE2D88">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tcPr>
          <w:p w14:paraId="090980BC" w14:textId="77777777" w:rsidR="00677C63" w:rsidRPr="00D2134C" w:rsidRDefault="00677C63" w:rsidP="00E665B7">
            <w:pPr>
              <w:pStyle w:val="NoSpacing"/>
              <w:rPr>
                <w:sz w:val="22"/>
                <w:szCs w:val="22"/>
              </w:rPr>
            </w:pP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4C9C7427"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rPr>
                <w:b/>
              </w:rPr>
            </w:pPr>
            <w:r w:rsidRPr="00D2134C">
              <w:rPr>
                <w:b/>
              </w:rPr>
              <w:t>Total:</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2920DD6D"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rPr>
                <w:b/>
              </w:rPr>
            </w:pPr>
            <w:r w:rsidRPr="00D2134C">
              <w:rPr>
                <w:b/>
              </w:rPr>
              <w:fldChar w:fldCharType="begin"/>
            </w:r>
            <w:r w:rsidRPr="00D2134C">
              <w:rPr>
                <w:b/>
              </w:rPr>
              <w:instrText xml:space="preserve"> =SUM(ABOVE) </w:instrText>
            </w:r>
            <w:r w:rsidRPr="00D2134C">
              <w:rPr>
                <w:b/>
              </w:rPr>
              <w:fldChar w:fldCharType="separate"/>
            </w:r>
            <w:r w:rsidRPr="00D2134C">
              <w:rPr>
                <w:b/>
              </w:rPr>
              <w:t>$325,600</w:t>
            </w:r>
            <w:r w:rsidRPr="00D2134C">
              <w:rPr>
                <w:b/>
              </w:rPr>
              <w:fldChar w:fldCharType="end"/>
            </w:r>
          </w:p>
        </w:tc>
      </w:tr>
    </w:tbl>
    <w:p w14:paraId="3955019F" w14:textId="77777777" w:rsidR="00677C63" w:rsidRPr="00D2134C" w:rsidRDefault="00677C63" w:rsidP="00677C63">
      <w:pPr>
        <w:pStyle w:val="FGCNORMAL"/>
      </w:pPr>
      <w:r w:rsidRPr="00D2134C">
        <w:rPr>
          <w:b/>
        </w:rPr>
        <w:t>Table 5.10C:</w:t>
      </w:r>
      <w:r w:rsidRPr="00D2134C">
        <w:t xml:space="preserve"> Payments to polling organisations: 1 July 2021 to 30 June 2022</w:t>
      </w:r>
    </w:p>
    <w:tbl>
      <w:tblPr>
        <w:tblStyle w:val="GridTable2-Accent3"/>
        <w:tblW w:w="8363" w:type="dxa"/>
        <w:tblInd w:w="709" w:type="dxa"/>
        <w:tblLook w:val="04A0" w:firstRow="1" w:lastRow="0" w:firstColumn="1" w:lastColumn="0" w:noHBand="0" w:noVBand="1"/>
        <w:tblCaption w:val="Table I3: Payments to polling organisations in 2017-18 "/>
        <w:tblDescription w:val="This table provides the information on payments above $13,200 (including GST) to polling organisations in 2017-18."/>
      </w:tblPr>
      <w:tblGrid>
        <w:gridCol w:w="2977"/>
        <w:gridCol w:w="3402"/>
        <w:gridCol w:w="1984"/>
      </w:tblGrid>
      <w:tr w:rsidR="00677C63" w:rsidRPr="00D2134C" w14:paraId="35BF18D4" w14:textId="77777777" w:rsidTr="00EE2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left w:val="nil"/>
            </w:tcBorders>
            <w:shd w:val="clear" w:color="auto" w:fill="6B2976"/>
            <w:hideMark/>
          </w:tcPr>
          <w:p w14:paraId="0D2BFDB7" w14:textId="77777777" w:rsidR="00677C63" w:rsidRPr="00D2134C" w:rsidRDefault="00677C63" w:rsidP="00E665B7">
            <w:pPr>
              <w:pStyle w:val="FGCTabhead"/>
            </w:pPr>
            <w:r w:rsidRPr="00D2134C">
              <w:t>Organisation</w:t>
            </w:r>
          </w:p>
        </w:tc>
        <w:tc>
          <w:tcPr>
            <w:tcW w:w="3402" w:type="dxa"/>
            <w:shd w:val="clear" w:color="auto" w:fill="6B2976"/>
            <w:hideMark/>
          </w:tcPr>
          <w:p w14:paraId="6BB11DDC"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Service provided </w:t>
            </w:r>
          </w:p>
        </w:tc>
        <w:tc>
          <w:tcPr>
            <w:tcW w:w="1984" w:type="dxa"/>
            <w:tcBorders>
              <w:right w:val="nil"/>
            </w:tcBorders>
            <w:shd w:val="clear" w:color="auto" w:fill="6B2976"/>
            <w:hideMark/>
          </w:tcPr>
          <w:p w14:paraId="04D36C99"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Amount paid </w:t>
            </w:r>
          </w:p>
          <w:p w14:paraId="3DF9DDCF"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(including GST)</w:t>
            </w:r>
          </w:p>
        </w:tc>
      </w:tr>
      <w:tr w:rsidR="00FB51F2" w:rsidRPr="00D2134C" w14:paraId="1F3AFCB3"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7F28538E" w14:textId="77777777" w:rsidR="00677C63" w:rsidRPr="00D2134C" w:rsidRDefault="00677C63" w:rsidP="00E665B7">
            <w:pPr>
              <w:pStyle w:val="NoSpacing"/>
              <w:rPr>
                <w:b w:val="0"/>
              </w:rPr>
            </w:pPr>
            <w:r w:rsidRPr="00D2134C">
              <w:rPr>
                <w:b w:val="0"/>
              </w:rPr>
              <w:t>Nil</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491A66EC"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tcPr>
          <w:p w14:paraId="14EB3AC9"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pPr>
          </w:p>
        </w:tc>
      </w:tr>
    </w:tbl>
    <w:p w14:paraId="34FD240A" w14:textId="77777777" w:rsidR="00677C63" w:rsidRPr="00D2134C" w:rsidRDefault="00677C63" w:rsidP="00677C63">
      <w:pPr>
        <w:pStyle w:val="FGCNORMAL"/>
      </w:pPr>
      <w:r w:rsidRPr="00D2134C">
        <w:rPr>
          <w:b/>
        </w:rPr>
        <w:t>Table 5.10D:</w:t>
      </w:r>
      <w:r w:rsidRPr="00D2134C">
        <w:t xml:space="preserve"> Payments to direct mail organisations: 1 July 2021 to 30 June 2022</w:t>
      </w:r>
    </w:p>
    <w:tbl>
      <w:tblPr>
        <w:tblStyle w:val="GridTable2-Accent3"/>
        <w:tblW w:w="8363" w:type="dxa"/>
        <w:tblInd w:w="709" w:type="dxa"/>
        <w:tblLook w:val="04A0" w:firstRow="1" w:lastRow="0" w:firstColumn="1" w:lastColumn="0" w:noHBand="0" w:noVBand="1"/>
        <w:tblCaption w:val="Table I4: Payments to direct mail organisations in 2017-18"/>
        <w:tblDescription w:val="This table provides that information on payments above $13,200 (including GST) to direct mail organisations in 2017-18. It includes the name of the organisation, the service that was provided and the amount that was paid."/>
      </w:tblPr>
      <w:tblGrid>
        <w:gridCol w:w="2977"/>
        <w:gridCol w:w="3402"/>
        <w:gridCol w:w="1984"/>
      </w:tblGrid>
      <w:tr w:rsidR="00FB51F2" w:rsidRPr="00D2134C" w14:paraId="35AA646E" w14:textId="77777777" w:rsidTr="00EE2D8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Borders>
              <w:left w:val="nil"/>
            </w:tcBorders>
            <w:shd w:val="clear" w:color="auto" w:fill="6B2976"/>
            <w:vAlign w:val="bottom"/>
            <w:hideMark/>
          </w:tcPr>
          <w:p w14:paraId="6E5C5245" w14:textId="77777777" w:rsidR="00677C63" w:rsidRPr="00D2134C" w:rsidRDefault="00677C63" w:rsidP="00E665B7">
            <w:pPr>
              <w:pStyle w:val="FGCTabhead"/>
            </w:pPr>
            <w:r w:rsidRPr="00D2134C">
              <w:t>Organisation</w:t>
            </w:r>
          </w:p>
        </w:tc>
        <w:tc>
          <w:tcPr>
            <w:tcW w:w="3402" w:type="dxa"/>
            <w:shd w:val="clear" w:color="auto" w:fill="6B2976"/>
            <w:vAlign w:val="bottom"/>
            <w:hideMark/>
          </w:tcPr>
          <w:p w14:paraId="66CD1B92"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Service provided </w:t>
            </w:r>
          </w:p>
        </w:tc>
        <w:tc>
          <w:tcPr>
            <w:tcW w:w="1984" w:type="dxa"/>
            <w:tcBorders>
              <w:right w:val="nil"/>
            </w:tcBorders>
            <w:shd w:val="clear" w:color="auto" w:fill="6B2976"/>
            <w:hideMark/>
          </w:tcPr>
          <w:p w14:paraId="65A7AFA4"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xml:space="preserve">Amount paid </w:t>
            </w:r>
          </w:p>
          <w:p w14:paraId="6D0A0D3A" w14:textId="77777777" w:rsidR="00677C63" w:rsidRPr="00D2134C" w:rsidRDefault="00677C63" w:rsidP="00E665B7">
            <w:pPr>
              <w:pStyle w:val="FGCTabhead"/>
              <w:cnfStyle w:val="100000000000" w:firstRow="1" w:lastRow="0" w:firstColumn="0" w:lastColumn="0" w:oddVBand="0" w:evenVBand="0" w:oddHBand="0" w:evenHBand="0" w:firstRowFirstColumn="0" w:firstRowLastColumn="0" w:lastRowFirstColumn="0" w:lastRowLastColumn="0"/>
            </w:pPr>
            <w:r w:rsidRPr="00D2134C">
              <w:t>$ (including GST)</w:t>
            </w:r>
          </w:p>
        </w:tc>
      </w:tr>
      <w:tr w:rsidR="00257ECE" w:rsidRPr="00D2134C" w14:paraId="7B41ED44" w14:textId="77777777" w:rsidTr="00257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vAlign w:val="top"/>
            <w:hideMark/>
          </w:tcPr>
          <w:p w14:paraId="64DB9B43" w14:textId="77777777" w:rsidR="00677C63" w:rsidRPr="00D2134C" w:rsidRDefault="00677C63" w:rsidP="00E665B7">
            <w:pPr>
              <w:pStyle w:val="NoSpacing"/>
              <w:rPr>
                <w:b w:val="0"/>
                <w:bCs w:val="0"/>
              </w:rPr>
            </w:pPr>
            <w:r w:rsidRPr="00D2134C">
              <w:t>E-</w:t>
            </w:r>
            <w:proofErr w:type="spellStart"/>
            <w:r w:rsidRPr="00D2134C">
              <w:t>Bisglobal</w:t>
            </w:r>
            <w:proofErr w:type="spellEnd"/>
            <w:r w:rsidRPr="00D2134C">
              <w:t xml:space="preserve"> Pty Ltd</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hideMark/>
          </w:tcPr>
          <w:p w14:paraId="57E0483C"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pPr>
            <w:r w:rsidRPr="00D2134C">
              <w:t>Printing management services</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vAlign w:val="top"/>
            <w:hideMark/>
          </w:tcPr>
          <w:p w14:paraId="523FF90B"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pPr>
            <w:r w:rsidRPr="00D2134C">
              <w:t xml:space="preserve">$375,035 </w:t>
            </w:r>
          </w:p>
        </w:tc>
      </w:tr>
      <w:tr w:rsidR="00FB51F2" w:rsidRPr="00D2134C" w14:paraId="3140BD08" w14:textId="77777777" w:rsidTr="00EE2D88">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vAlign w:val="top"/>
            <w:hideMark/>
          </w:tcPr>
          <w:p w14:paraId="2B38347A" w14:textId="77777777" w:rsidR="00677C63" w:rsidRPr="00D2134C" w:rsidRDefault="00677C63" w:rsidP="00E665B7">
            <w:pPr>
              <w:pStyle w:val="NoSpacing"/>
              <w:rPr>
                <w:b w:val="0"/>
                <w:bCs w:val="0"/>
              </w:rPr>
            </w:pPr>
            <w:r w:rsidRPr="00D2134C">
              <w:t>National Mailing and Marketing Pty Ltd</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hideMark/>
          </w:tcPr>
          <w:p w14:paraId="26420004" w14:textId="77777777" w:rsidR="00677C63" w:rsidRPr="00D2134C" w:rsidRDefault="00677C63" w:rsidP="00E665B7">
            <w:pPr>
              <w:pStyle w:val="NoSpacing"/>
              <w:cnfStyle w:val="000000000000" w:firstRow="0" w:lastRow="0" w:firstColumn="0" w:lastColumn="0" w:oddVBand="0" w:evenVBand="0" w:oddHBand="0" w:evenHBand="0" w:firstRowFirstColumn="0" w:firstRowLastColumn="0" w:lastRowFirstColumn="0" w:lastRowLastColumn="0"/>
            </w:pPr>
            <w:r w:rsidRPr="00D2134C">
              <w:t>Warehousing and distribution</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vAlign w:val="top"/>
            <w:hideMark/>
          </w:tcPr>
          <w:p w14:paraId="4D076F2C"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pPr>
            <w:r w:rsidRPr="00D2134C">
              <w:t xml:space="preserve">$110,318 </w:t>
            </w:r>
          </w:p>
        </w:tc>
      </w:tr>
      <w:tr w:rsidR="00257ECE" w:rsidRPr="00D2134C" w14:paraId="7FEE6595" w14:textId="77777777" w:rsidTr="00257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vAlign w:val="top"/>
            <w:hideMark/>
          </w:tcPr>
          <w:p w14:paraId="1BA0B1C7" w14:textId="77777777" w:rsidR="00677C63" w:rsidRPr="00D2134C" w:rsidRDefault="00677C63" w:rsidP="00E665B7">
            <w:pPr>
              <w:pStyle w:val="NoSpacing"/>
              <w:rPr>
                <w:b w:val="0"/>
              </w:rPr>
            </w:pPr>
            <w:proofErr w:type="spellStart"/>
            <w:r w:rsidRPr="00D2134C">
              <w:t>Directsms</w:t>
            </w:r>
            <w:proofErr w:type="spellEnd"/>
            <w:r w:rsidRPr="00D2134C">
              <w:t xml:space="preserve"> Pty Ltd</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hideMark/>
          </w:tcPr>
          <w:p w14:paraId="7ED0D8E9"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pPr>
            <w:r w:rsidRPr="00D2134C">
              <w:t>Outbound SMS</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vAlign w:val="top"/>
            <w:hideMark/>
          </w:tcPr>
          <w:p w14:paraId="2D1E56A3"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pPr>
            <w:r w:rsidRPr="00D2134C">
              <w:t xml:space="preserve">$16,067 </w:t>
            </w:r>
          </w:p>
        </w:tc>
      </w:tr>
      <w:tr w:rsidR="00FB51F2" w:rsidRPr="00D2134C" w14:paraId="4838AB77" w14:textId="77777777" w:rsidTr="00EE2D88">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vAlign w:val="top"/>
          </w:tcPr>
          <w:p w14:paraId="4412E4AB" w14:textId="3BCF674E" w:rsidR="00A77090" w:rsidRPr="00D2134C" w:rsidRDefault="00A77090" w:rsidP="00A77090">
            <w:pPr>
              <w:pStyle w:val="NoSpacing"/>
            </w:pPr>
            <w:r w:rsidRPr="00D2134C">
              <w:t>Mailchimp</w:t>
            </w: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vAlign w:val="top"/>
          </w:tcPr>
          <w:p w14:paraId="23DB5741" w14:textId="2B52724B" w:rsidR="00A77090" w:rsidRPr="00D2134C" w:rsidRDefault="00A77090" w:rsidP="00A77090">
            <w:pPr>
              <w:pStyle w:val="NoSpacing"/>
              <w:cnfStyle w:val="000000000000" w:firstRow="0" w:lastRow="0" w:firstColumn="0" w:lastColumn="0" w:oddVBand="0" w:evenVBand="0" w:oddHBand="0" w:evenHBand="0" w:firstRowFirstColumn="0" w:firstRowLastColumn="0" w:lastRowFirstColumn="0" w:lastRowLastColumn="0"/>
            </w:pPr>
            <w:r w:rsidRPr="00D2134C">
              <w:t>Participant newsletter</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vAlign w:val="top"/>
          </w:tcPr>
          <w:p w14:paraId="30AF1801" w14:textId="14F761EB" w:rsidR="00A77090" w:rsidRPr="00D2134C" w:rsidRDefault="00A77090" w:rsidP="00A77090">
            <w:pPr>
              <w:pStyle w:val="NoSpacing"/>
              <w:jc w:val="right"/>
              <w:cnfStyle w:val="000000000000" w:firstRow="0" w:lastRow="0" w:firstColumn="0" w:lastColumn="0" w:oddVBand="0" w:evenVBand="0" w:oddHBand="0" w:evenHBand="0" w:firstRowFirstColumn="0" w:firstRowLastColumn="0" w:lastRowFirstColumn="0" w:lastRowLastColumn="0"/>
            </w:pPr>
            <w:r w:rsidRPr="00D2134C">
              <w:t xml:space="preserve">$36,835 </w:t>
            </w:r>
          </w:p>
        </w:tc>
      </w:tr>
      <w:tr w:rsidR="00FB51F2" w:rsidRPr="00D2134C" w14:paraId="7F05EDCD" w14:textId="77777777" w:rsidTr="00EE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2" w:space="0" w:color="C9C9C9" w:themeColor="accent3" w:themeTint="99"/>
              <w:left w:val="nil"/>
              <w:bottom w:val="single" w:sz="2" w:space="0" w:color="C9C9C9" w:themeColor="accent3" w:themeTint="99"/>
              <w:right w:val="single" w:sz="2" w:space="0" w:color="C9C9C9" w:themeColor="accent3" w:themeTint="99"/>
            </w:tcBorders>
          </w:tcPr>
          <w:p w14:paraId="77BBF212" w14:textId="77777777" w:rsidR="00A77090" w:rsidRPr="00D2134C" w:rsidRDefault="00A77090" w:rsidP="00A77090">
            <w:pPr>
              <w:pStyle w:val="NoSpacing"/>
              <w:rPr>
                <w:sz w:val="22"/>
                <w:szCs w:val="22"/>
              </w:rPr>
            </w:pPr>
          </w:p>
        </w:tc>
        <w:tc>
          <w:tcPr>
            <w:tcW w:w="340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hideMark/>
          </w:tcPr>
          <w:p w14:paraId="0042A0F1" w14:textId="77777777" w:rsidR="00A77090" w:rsidRPr="00D2134C" w:rsidRDefault="00A77090" w:rsidP="00A77090">
            <w:pPr>
              <w:pStyle w:val="NoSpacing"/>
              <w:jc w:val="right"/>
              <w:cnfStyle w:val="000000100000" w:firstRow="0" w:lastRow="0" w:firstColumn="0" w:lastColumn="0" w:oddVBand="0" w:evenVBand="0" w:oddHBand="1" w:evenHBand="0" w:firstRowFirstColumn="0" w:firstRowLastColumn="0" w:lastRowFirstColumn="0" w:lastRowLastColumn="0"/>
              <w:rPr>
                <w:b/>
              </w:rPr>
            </w:pPr>
            <w:r w:rsidRPr="00D2134C">
              <w:rPr>
                <w:b/>
              </w:rPr>
              <w:t>Total:</w:t>
            </w:r>
          </w:p>
        </w:tc>
        <w:tc>
          <w:tcPr>
            <w:tcW w:w="1984" w:type="dxa"/>
            <w:tcBorders>
              <w:top w:val="single" w:sz="2" w:space="0" w:color="C9C9C9" w:themeColor="accent3" w:themeTint="99"/>
              <w:left w:val="single" w:sz="2" w:space="0" w:color="C9C9C9" w:themeColor="accent3" w:themeTint="99"/>
              <w:bottom w:val="single" w:sz="2" w:space="0" w:color="C9C9C9" w:themeColor="accent3" w:themeTint="99"/>
              <w:right w:val="nil"/>
            </w:tcBorders>
            <w:hideMark/>
          </w:tcPr>
          <w:p w14:paraId="1724EF88" w14:textId="7CFEFC03" w:rsidR="00A77090" w:rsidRPr="00D2134C" w:rsidRDefault="00A77090" w:rsidP="00A77090">
            <w:pPr>
              <w:pStyle w:val="NoSpacing"/>
              <w:jc w:val="right"/>
              <w:cnfStyle w:val="000000100000" w:firstRow="0" w:lastRow="0" w:firstColumn="0" w:lastColumn="0" w:oddVBand="0" w:evenVBand="0" w:oddHBand="1" w:evenHBand="0" w:firstRowFirstColumn="0" w:firstRowLastColumn="0" w:lastRowFirstColumn="0" w:lastRowLastColumn="0"/>
              <w:rPr>
                <w:b/>
              </w:rPr>
            </w:pPr>
            <w:r w:rsidRPr="00D2134C">
              <w:rPr>
                <w:b/>
              </w:rPr>
              <w:fldChar w:fldCharType="begin"/>
            </w:r>
            <w:r w:rsidRPr="00D2134C">
              <w:rPr>
                <w:b/>
              </w:rPr>
              <w:instrText xml:space="preserve"> =SUM(ABOVE) </w:instrText>
            </w:r>
            <w:r w:rsidRPr="00D2134C">
              <w:rPr>
                <w:b/>
              </w:rPr>
              <w:fldChar w:fldCharType="separate"/>
            </w:r>
            <w:r w:rsidRPr="00D2134C">
              <w:rPr>
                <w:b/>
              </w:rPr>
              <w:t>$5</w:t>
            </w:r>
            <w:r w:rsidR="007166B9" w:rsidRPr="00D2134C">
              <w:rPr>
                <w:b/>
              </w:rPr>
              <w:t>38,255</w:t>
            </w:r>
            <w:r w:rsidRPr="00D2134C">
              <w:rPr>
                <w:b/>
              </w:rPr>
              <w:fldChar w:fldCharType="end"/>
            </w:r>
          </w:p>
        </w:tc>
      </w:tr>
    </w:tbl>
    <w:p w14:paraId="2180BEED" w14:textId="77777777" w:rsidR="00677C63" w:rsidRPr="00D2134C" w:rsidRDefault="00677C63" w:rsidP="00677C63">
      <w:pPr>
        <w:keepNext/>
      </w:pPr>
      <w:r w:rsidRPr="00D2134C">
        <w:rPr>
          <w:b/>
        </w:rPr>
        <w:t>Table 5.10E:</w:t>
      </w:r>
      <w:r w:rsidRPr="00D2134C">
        <w:t xml:space="preserve"> Payments to media advertising organisations: 1 July 2021 to 30 June 2022</w:t>
      </w:r>
    </w:p>
    <w:tbl>
      <w:tblPr>
        <w:tblStyle w:val="GridTable2-Accent31"/>
        <w:tblW w:w="8363" w:type="dxa"/>
        <w:tblInd w:w="709" w:type="dxa"/>
        <w:tblLook w:val="04A0" w:firstRow="1" w:lastRow="0" w:firstColumn="1" w:lastColumn="0" w:noHBand="0" w:noVBand="1"/>
        <w:tblCaption w:val="Table I5: Payments to direct media advertising organisations in 2017-18"/>
        <w:tblDescription w:val="This table provides that information on payments above $13,200 (including GST) to direct media advertising organisations in 2017-18. It includes the name of the organisation, the service that was provided and the amount that was paid."/>
      </w:tblPr>
      <w:tblGrid>
        <w:gridCol w:w="2977"/>
        <w:gridCol w:w="3397"/>
        <w:gridCol w:w="1989"/>
      </w:tblGrid>
      <w:tr w:rsidR="00846A39" w:rsidRPr="00D2134C" w14:paraId="27E06CAC" w14:textId="77777777" w:rsidTr="00EE2D8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7" w:type="dxa"/>
            <w:vAlign w:val="bottom"/>
          </w:tcPr>
          <w:p w14:paraId="632953E6" w14:textId="79996321" w:rsidR="00846A39" w:rsidRPr="00D2134C" w:rsidRDefault="00846A39" w:rsidP="00846A39">
            <w:pPr>
              <w:pStyle w:val="FGCTabhead"/>
            </w:pPr>
            <w:r w:rsidRPr="00D2134C">
              <w:t>Organisation</w:t>
            </w:r>
          </w:p>
        </w:tc>
        <w:tc>
          <w:tcPr>
            <w:tcW w:w="3397" w:type="dxa"/>
            <w:vAlign w:val="bottom"/>
          </w:tcPr>
          <w:p w14:paraId="43849B89" w14:textId="0C7CD3FD" w:rsidR="00846A39" w:rsidRPr="00D2134C" w:rsidRDefault="00846A39" w:rsidP="00846A39">
            <w:pPr>
              <w:pStyle w:val="FGCTabhead"/>
              <w:cnfStyle w:val="100000000000" w:firstRow="1" w:lastRow="0" w:firstColumn="0" w:lastColumn="0" w:oddVBand="0" w:evenVBand="0" w:oddHBand="0" w:evenHBand="0" w:firstRowFirstColumn="0" w:firstRowLastColumn="0" w:lastRowFirstColumn="0" w:lastRowLastColumn="0"/>
            </w:pPr>
            <w:r w:rsidRPr="00D2134C">
              <w:t xml:space="preserve">Service provided </w:t>
            </w:r>
          </w:p>
        </w:tc>
        <w:tc>
          <w:tcPr>
            <w:tcW w:w="1989" w:type="dxa"/>
            <w:vAlign w:val="center"/>
          </w:tcPr>
          <w:p w14:paraId="2BDD5313" w14:textId="77777777" w:rsidR="00846A39" w:rsidRPr="00D2134C" w:rsidRDefault="00846A39" w:rsidP="00846A39">
            <w:pPr>
              <w:pStyle w:val="FGCTabhead"/>
              <w:cnfStyle w:val="100000000000" w:firstRow="1" w:lastRow="0" w:firstColumn="0" w:lastColumn="0" w:oddVBand="0" w:evenVBand="0" w:oddHBand="0" w:evenHBand="0" w:firstRowFirstColumn="0" w:firstRowLastColumn="0" w:lastRowFirstColumn="0" w:lastRowLastColumn="0"/>
            </w:pPr>
            <w:r w:rsidRPr="00D2134C">
              <w:t xml:space="preserve">Amount paid </w:t>
            </w:r>
          </w:p>
          <w:p w14:paraId="7914A3E4" w14:textId="64C8C249" w:rsidR="00846A39" w:rsidRPr="00D2134C" w:rsidRDefault="00846A39" w:rsidP="00846A39">
            <w:pPr>
              <w:pStyle w:val="FGCTabhead"/>
              <w:cnfStyle w:val="100000000000" w:firstRow="1" w:lastRow="0" w:firstColumn="0" w:lastColumn="0" w:oddVBand="0" w:evenVBand="0" w:oddHBand="0" w:evenHBand="0" w:firstRowFirstColumn="0" w:firstRowLastColumn="0" w:lastRowFirstColumn="0" w:lastRowLastColumn="0"/>
            </w:pPr>
            <w:r w:rsidRPr="00D2134C">
              <w:t>$ (including GST)</w:t>
            </w:r>
          </w:p>
        </w:tc>
      </w:tr>
      <w:tr w:rsidR="00677C63" w:rsidRPr="00D2134C" w14:paraId="40D72A74" w14:textId="77777777" w:rsidTr="00EE2D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977" w:type="dxa"/>
            <w:hideMark/>
          </w:tcPr>
          <w:p w14:paraId="618343E3" w14:textId="77777777" w:rsidR="00677C63" w:rsidRPr="00D2134C" w:rsidRDefault="00677C63" w:rsidP="00E665B7">
            <w:pPr>
              <w:pStyle w:val="NoSpacing"/>
              <w:rPr>
                <w:b w:val="0"/>
              </w:rPr>
            </w:pPr>
            <w:r w:rsidRPr="00D2134C">
              <w:t>Universal McCann</w:t>
            </w:r>
          </w:p>
        </w:tc>
        <w:tc>
          <w:tcPr>
            <w:tcW w:w="3397" w:type="dxa"/>
            <w:hideMark/>
          </w:tcPr>
          <w:p w14:paraId="03D04378" w14:textId="77777777" w:rsidR="00677C63" w:rsidRPr="00D2134C" w:rsidRDefault="00677C63" w:rsidP="00E665B7">
            <w:pPr>
              <w:pStyle w:val="NoSpacing"/>
              <w:cnfStyle w:val="000000100000" w:firstRow="0" w:lastRow="0" w:firstColumn="0" w:lastColumn="0" w:oddVBand="0" w:evenVBand="0" w:oddHBand="1" w:evenHBand="0" w:firstRowFirstColumn="0" w:firstRowLastColumn="0" w:lastRowFirstColumn="0" w:lastRowLastColumn="0"/>
            </w:pPr>
            <w:r w:rsidRPr="00D2134C">
              <w:t>Recruitment advertising</w:t>
            </w:r>
          </w:p>
        </w:tc>
        <w:tc>
          <w:tcPr>
            <w:tcW w:w="1989" w:type="dxa"/>
            <w:hideMark/>
          </w:tcPr>
          <w:p w14:paraId="67B90A90" w14:textId="77777777" w:rsidR="00677C63" w:rsidRPr="00D2134C" w:rsidRDefault="00677C63" w:rsidP="00E665B7">
            <w:pPr>
              <w:pStyle w:val="NoSpacing"/>
              <w:jc w:val="right"/>
              <w:cnfStyle w:val="000000100000" w:firstRow="0" w:lastRow="0" w:firstColumn="0" w:lastColumn="0" w:oddVBand="0" w:evenVBand="0" w:oddHBand="1" w:evenHBand="0" w:firstRowFirstColumn="0" w:firstRowLastColumn="0" w:lastRowFirstColumn="0" w:lastRowLastColumn="0"/>
            </w:pPr>
            <w:r w:rsidRPr="00D2134C">
              <w:t xml:space="preserve">$231,052 </w:t>
            </w:r>
          </w:p>
        </w:tc>
      </w:tr>
      <w:tr w:rsidR="00677C63" w:rsidRPr="00D2134C" w14:paraId="6E4F7A0D" w14:textId="77777777" w:rsidTr="00EE2D88">
        <w:trPr>
          <w:cantSplit/>
        </w:trPr>
        <w:tc>
          <w:tcPr>
            <w:cnfStyle w:val="001000000000" w:firstRow="0" w:lastRow="0" w:firstColumn="1" w:lastColumn="0" w:oddVBand="0" w:evenVBand="0" w:oddHBand="0" w:evenHBand="0" w:firstRowFirstColumn="0" w:firstRowLastColumn="0" w:lastRowFirstColumn="0" w:lastRowLastColumn="0"/>
            <w:tcW w:w="2977" w:type="dxa"/>
          </w:tcPr>
          <w:p w14:paraId="19846C73" w14:textId="77777777" w:rsidR="00677C63" w:rsidRPr="00D2134C" w:rsidRDefault="00677C63" w:rsidP="00E665B7">
            <w:pPr>
              <w:pStyle w:val="NoSpacing"/>
              <w:rPr>
                <w:sz w:val="22"/>
                <w:szCs w:val="22"/>
              </w:rPr>
            </w:pPr>
          </w:p>
        </w:tc>
        <w:tc>
          <w:tcPr>
            <w:tcW w:w="3397" w:type="dxa"/>
            <w:hideMark/>
          </w:tcPr>
          <w:p w14:paraId="0841361F" w14:textId="77777777"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pPr>
            <w:r w:rsidRPr="00D2134C">
              <w:rPr>
                <w:b/>
              </w:rPr>
              <w:t>Total:</w:t>
            </w:r>
          </w:p>
        </w:tc>
        <w:tc>
          <w:tcPr>
            <w:tcW w:w="1989" w:type="dxa"/>
            <w:hideMark/>
          </w:tcPr>
          <w:p w14:paraId="48C5FB88" w14:textId="063751ED" w:rsidR="00677C63" w:rsidRPr="00D2134C" w:rsidRDefault="00677C63" w:rsidP="00E665B7">
            <w:pPr>
              <w:pStyle w:val="NoSpacing"/>
              <w:jc w:val="right"/>
              <w:cnfStyle w:val="000000000000" w:firstRow="0" w:lastRow="0" w:firstColumn="0" w:lastColumn="0" w:oddVBand="0" w:evenVBand="0" w:oddHBand="0" w:evenHBand="0" w:firstRowFirstColumn="0" w:firstRowLastColumn="0" w:lastRowFirstColumn="0" w:lastRowLastColumn="0"/>
            </w:pPr>
            <w:r w:rsidRPr="00D2134C">
              <w:rPr>
                <w:b/>
              </w:rPr>
              <w:fldChar w:fldCharType="begin"/>
            </w:r>
            <w:r w:rsidRPr="00D2134C">
              <w:rPr>
                <w:b/>
              </w:rPr>
              <w:instrText xml:space="preserve"> =SUM(ABOVE) </w:instrText>
            </w:r>
            <w:r w:rsidRPr="00D2134C">
              <w:rPr>
                <w:b/>
              </w:rPr>
              <w:fldChar w:fldCharType="separate"/>
            </w:r>
            <w:r w:rsidRPr="00D2134C">
              <w:rPr>
                <w:b/>
              </w:rPr>
              <w:t>$</w:t>
            </w:r>
            <w:r w:rsidR="004E6878" w:rsidRPr="00D2134C">
              <w:rPr>
                <w:b/>
              </w:rPr>
              <w:t>231,052</w:t>
            </w:r>
            <w:r w:rsidRPr="00D2134C">
              <w:rPr>
                <w:b/>
              </w:rPr>
              <w:fldChar w:fldCharType="end"/>
            </w:r>
          </w:p>
        </w:tc>
      </w:tr>
    </w:tbl>
    <w:p w14:paraId="7A0A4945" w14:textId="3C0349C5" w:rsidR="00677C63" w:rsidRPr="00D2134C" w:rsidRDefault="00677C63" w:rsidP="00677C63">
      <w:pPr>
        <w:pStyle w:val="FGCHEADING2"/>
      </w:pPr>
      <w:bookmarkStart w:id="641" w:name="_Toc51068014"/>
      <w:bookmarkStart w:id="642" w:name="_Toc110532567"/>
      <w:bookmarkStart w:id="643" w:name="_Toc114477566"/>
      <w:bookmarkStart w:id="644" w:name="_Toc116473936"/>
      <w:r w:rsidRPr="00D2134C">
        <w:lastRenderedPageBreak/>
        <w:t>Ecologically sustainable development and environmental performance</w:t>
      </w:r>
      <w:bookmarkEnd w:id="640"/>
      <w:bookmarkEnd w:id="641"/>
      <w:bookmarkEnd w:id="642"/>
      <w:bookmarkEnd w:id="643"/>
      <w:bookmarkEnd w:id="644"/>
      <w:r w:rsidRPr="00D2134C">
        <w:t xml:space="preserve"> </w:t>
      </w:r>
    </w:p>
    <w:p w14:paraId="77A9C257" w14:textId="77777777" w:rsidR="00677C63" w:rsidRPr="00D2134C" w:rsidRDefault="00677C63" w:rsidP="00780639">
      <w:pPr>
        <w:pStyle w:val="FGCHEADING63"/>
        <w:rPr>
          <w:lang w:eastAsia="en-AU"/>
        </w:rPr>
      </w:pPr>
      <w:bookmarkStart w:id="645" w:name="_Toc23603205"/>
      <w:r w:rsidRPr="00D2134C">
        <w:t>Fleet vehicle and fuel usage</w:t>
      </w:r>
    </w:p>
    <w:p w14:paraId="4691818F" w14:textId="5B13A97C" w:rsidR="00677C63" w:rsidRPr="00D2134C" w:rsidRDefault="00677C63" w:rsidP="00677C63">
      <w:pPr>
        <w:pStyle w:val="FGCNORMAL"/>
        <w:rPr>
          <w:lang w:eastAsia="en-AU"/>
        </w:rPr>
      </w:pPr>
      <w:r w:rsidRPr="00D2134C">
        <w:t>During 2021–22</w:t>
      </w:r>
      <w:r w:rsidR="00825D43" w:rsidRPr="00D2134C">
        <w:t>,</w:t>
      </w:r>
      <w:r w:rsidRPr="00D2134C">
        <w:t xml:space="preserve"> the NDIA reduced its vehicle fleet by 82, from 189 to 107. Approximately 60</w:t>
      </w:r>
      <w:r w:rsidR="00C650EB" w:rsidRPr="00D2134C">
        <w:t>%</w:t>
      </w:r>
      <w:r w:rsidRPr="00D2134C">
        <w:t xml:space="preserve"> of the NDIA fleet are hybrids, and the use of e10 fuel is encouraged to reduce our environmental impact. A hybrid is a combination petrol and electric driven vehicle, where the vehicle uses an internal combustion engine with a battery, </w:t>
      </w:r>
      <w:proofErr w:type="gramStart"/>
      <w:r w:rsidRPr="00D2134C">
        <w:t>generator</w:t>
      </w:r>
      <w:proofErr w:type="gramEnd"/>
      <w:r w:rsidRPr="00D2134C">
        <w:t xml:space="preserve"> and electric motor to reduce vehicle emissions. The </w:t>
      </w:r>
      <w:r w:rsidR="00825D43" w:rsidRPr="00D2134C">
        <w:t>NDIA</w:t>
      </w:r>
      <w:r w:rsidRPr="00D2134C">
        <w:t xml:space="preserve"> leases hybrid models as these contribute towards a green fleet and maintain their value within the second-hand market.</w:t>
      </w:r>
    </w:p>
    <w:p w14:paraId="572431D3" w14:textId="77777777" w:rsidR="00677C63" w:rsidRPr="00D2134C" w:rsidRDefault="00677C63" w:rsidP="00780639">
      <w:pPr>
        <w:pStyle w:val="FGCHEADING63"/>
      </w:pPr>
      <w:r w:rsidRPr="00D2134C">
        <w:t>Property</w:t>
      </w:r>
    </w:p>
    <w:p w14:paraId="2298548E" w14:textId="77777777" w:rsidR="00677C63" w:rsidRPr="00D2134C" w:rsidRDefault="00677C63" w:rsidP="00677C63">
      <w:pPr>
        <w:pStyle w:val="FGCNORMAL"/>
      </w:pPr>
      <w:r w:rsidRPr="00D2134C">
        <w:t>The NDIA is committed to sustainable development and environmental performance. Through our property activities, we seek a minimum 5 Star Green Star Design and 4.5 Star NABERS Energy Base Building Office Rating, wherever possible.</w:t>
      </w:r>
    </w:p>
    <w:p w14:paraId="48F08A73" w14:textId="71E93C8F" w:rsidR="00677C63" w:rsidRPr="00D2134C" w:rsidRDefault="00677C63" w:rsidP="00677C63">
      <w:pPr>
        <w:pStyle w:val="FGCHEADING2"/>
      </w:pPr>
      <w:bookmarkStart w:id="646" w:name="_Toc51068015"/>
      <w:bookmarkStart w:id="647" w:name="_Toc110532568"/>
      <w:bookmarkStart w:id="648" w:name="_Toc114477567"/>
      <w:bookmarkStart w:id="649" w:name="_Toc116473937"/>
      <w:r w:rsidRPr="00D2134C">
        <w:t>Compliance with Carer Recognition Act</w:t>
      </w:r>
      <w:bookmarkEnd w:id="645"/>
      <w:bookmarkEnd w:id="646"/>
      <w:bookmarkEnd w:id="647"/>
      <w:bookmarkEnd w:id="648"/>
      <w:bookmarkEnd w:id="649"/>
      <w:r w:rsidRPr="00D2134C">
        <w:t xml:space="preserve"> </w:t>
      </w:r>
    </w:p>
    <w:p w14:paraId="4EFC46D4" w14:textId="77777777" w:rsidR="00677C63" w:rsidRPr="00D2134C" w:rsidRDefault="00677C63" w:rsidP="00677C63">
      <w:pPr>
        <w:pStyle w:val="FGCNORMAL"/>
      </w:pPr>
      <w:bookmarkStart w:id="650" w:name="_Toc23603206"/>
      <w:bookmarkStart w:id="651" w:name="_Toc51068016"/>
      <w:r w:rsidRPr="00D2134C">
        <w:t xml:space="preserve">Through the </w:t>
      </w:r>
      <w:r w:rsidRPr="00D2134C">
        <w:rPr>
          <w:i/>
        </w:rPr>
        <w:t>Carer Recognition Act 2010</w:t>
      </w:r>
      <w:r w:rsidRPr="00D2134C">
        <w:t xml:space="preserve">, the Australian Government recognises the exceptional contribution made by unpaid carers. The </w:t>
      </w:r>
      <w:r w:rsidRPr="00D2134C">
        <w:rPr>
          <w:i/>
        </w:rPr>
        <w:t>Carer Recognition Act 2010</w:t>
      </w:r>
      <w:r w:rsidRPr="00D2134C">
        <w:t xml:space="preserve"> stipulates that carers should have the same rights, </w:t>
      </w:r>
      <w:proofErr w:type="gramStart"/>
      <w:r w:rsidRPr="00D2134C">
        <w:t>choices</w:t>
      </w:r>
      <w:proofErr w:type="gramEnd"/>
      <w:r w:rsidRPr="00D2134C">
        <w:t xml:space="preserve"> and opportunities as other Australians.</w:t>
      </w:r>
    </w:p>
    <w:p w14:paraId="3F35FFD1" w14:textId="3F616346" w:rsidR="00677C63" w:rsidRPr="00D2134C" w:rsidRDefault="00677C63" w:rsidP="00677C63">
      <w:pPr>
        <w:pStyle w:val="FGCNORMAL"/>
        <w:rPr>
          <w:rFonts w:ascii="Calibri" w:eastAsiaTheme="minorHAnsi" w:hAnsi="Calibri" w:cs="Calibri"/>
          <w:lang w:eastAsia="en-AU"/>
        </w:rPr>
      </w:pPr>
      <w:r w:rsidRPr="00D2134C">
        <w:t xml:space="preserve">The NDIA strives to be an inclusive organisation that supports staff who have caring responsibilities. The </w:t>
      </w:r>
      <w:r w:rsidR="00825D43" w:rsidRPr="00D2134C">
        <w:t>NDIA</w:t>
      </w:r>
      <w:r w:rsidRPr="00D2134C">
        <w:t xml:space="preserve"> implements initiatives to align with celebrations of Carers Week. The </w:t>
      </w:r>
      <w:r w:rsidR="00825D43" w:rsidRPr="00D2134C">
        <w:t>NDIA</w:t>
      </w:r>
      <w:r w:rsidRPr="00D2134C">
        <w:t xml:space="preserve"> provides a range of resources for staff who are carers, including information about flexible working arrangements and wellbeing supports.</w:t>
      </w:r>
    </w:p>
    <w:p w14:paraId="15A3D5BC" w14:textId="162A3B3D" w:rsidR="00677C63" w:rsidRPr="00D2134C" w:rsidRDefault="00677C63" w:rsidP="00677C63">
      <w:pPr>
        <w:pStyle w:val="FGCNORMAL"/>
      </w:pPr>
      <w:r w:rsidRPr="00D2134C">
        <w:t xml:space="preserve">The </w:t>
      </w:r>
      <w:r w:rsidR="00825D43" w:rsidRPr="00D2134C">
        <w:t>NDIA</w:t>
      </w:r>
      <w:r w:rsidRPr="00D2134C">
        <w:t xml:space="preserve"> consults with carer organisations to develop support mechanisms and implement reforms. Consultation ensures programs and services continue to consider the needs of carers in addition to those of people with disability and meet the requirements of the </w:t>
      </w:r>
      <w:r w:rsidRPr="00D2134C">
        <w:rPr>
          <w:i/>
          <w:iCs/>
        </w:rPr>
        <w:t>Carer Recognition Act 2010</w:t>
      </w:r>
      <w:r w:rsidRPr="00D2134C">
        <w:t>.</w:t>
      </w:r>
    </w:p>
    <w:p w14:paraId="494B5AD9" w14:textId="77777777" w:rsidR="00677C63" w:rsidRPr="00D2134C" w:rsidRDefault="00677C63" w:rsidP="00677C63">
      <w:pPr>
        <w:rPr>
          <w:rStyle w:val="FGCEMPHASIS"/>
        </w:rPr>
      </w:pPr>
      <w:r w:rsidRPr="00D2134C">
        <w:rPr>
          <w:rStyle w:val="FGCEMPHASIS"/>
        </w:rPr>
        <w:t>Subsection 7(1) – each public service agency is to take all practicable measures to ensure that its employees and agents have an awareness and understanding of the Statement for Australia’s Carers.</w:t>
      </w:r>
    </w:p>
    <w:p w14:paraId="6AE91098" w14:textId="6D2F5F96" w:rsidR="00677C63" w:rsidRPr="00D2134C" w:rsidRDefault="00677C63" w:rsidP="00677C63">
      <w:pPr>
        <w:pStyle w:val="FGCNORMAL"/>
      </w:pPr>
      <w:r w:rsidRPr="00D2134C">
        <w:t xml:space="preserve">The </w:t>
      </w:r>
      <w:r w:rsidR="00825D43" w:rsidRPr="00D2134C">
        <w:t>NDIA</w:t>
      </w:r>
      <w:r w:rsidRPr="00D2134C">
        <w:t xml:space="preserve"> promotes staff awareness and understanding of the principles contained within the </w:t>
      </w:r>
      <w:r w:rsidRPr="00D2134C">
        <w:rPr>
          <w:i/>
          <w:iCs/>
        </w:rPr>
        <w:t>Carer Recognition Act 2010</w:t>
      </w:r>
      <w:r w:rsidRPr="00D2134C">
        <w:t xml:space="preserve"> and the Statement for Australia’s Carers through online tools and resources, including guides on the support available to employees with caring responsibilities and also those who support people with caring responsibilities.</w:t>
      </w:r>
    </w:p>
    <w:p w14:paraId="0A2E884A" w14:textId="77777777" w:rsidR="00677C63" w:rsidRPr="00D2134C" w:rsidRDefault="00677C63" w:rsidP="00677C63">
      <w:pPr>
        <w:rPr>
          <w:rStyle w:val="FGCEMPHASIS"/>
        </w:rPr>
      </w:pPr>
      <w:r w:rsidRPr="00D2134C">
        <w:rPr>
          <w:rStyle w:val="FGCEMPHASIS"/>
        </w:rPr>
        <w:t>Subsection 7(2) – each public service agency’s internal human resources policies, so far as they may significantly affect an employee’s caring role, are to be developed having due regard to the Statement for Australia’s Carers.</w:t>
      </w:r>
    </w:p>
    <w:p w14:paraId="362F361B" w14:textId="4B4E1785" w:rsidR="00677C63" w:rsidRPr="00D2134C" w:rsidRDefault="00677C63" w:rsidP="00677C63">
      <w:pPr>
        <w:pStyle w:val="FGCNORMAL"/>
      </w:pPr>
      <w:r w:rsidRPr="00D2134C">
        <w:t xml:space="preserve">The </w:t>
      </w:r>
      <w:r w:rsidR="00825D43" w:rsidRPr="00D2134C">
        <w:t>NDIA</w:t>
      </w:r>
      <w:r w:rsidRPr="00D2134C">
        <w:t xml:space="preserve"> complies with its obligations under the </w:t>
      </w:r>
      <w:r w:rsidRPr="00D2134C">
        <w:rPr>
          <w:i/>
          <w:iCs/>
        </w:rPr>
        <w:t>Carer Recognition Act 2010</w:t>
      </w:r>
      <w:r w:rsidRPr="00D2134C">
        <w:t xml:space="preserve"> and adheres to the principles of the Statement for Australia’s Carers. The </w:t>
      </w:r>
      <w:r w:rsidR="00825D43" w:rsidRPr="00D2134C">
        <w:t>NDIA</w:t>
      </w:r>
      <w:r w:rsidRPr="00D2134C">
        <w:t xml:space="preserve">’s Enterprise Agreement 2020–2023 and internal human resources policies are also developed with due regard to the Statement for Australia’s Carers, in areas that may significantly affect an employee’s caring role. </w:t>
      </w:r>
    </w:p>
    <w:p w14:paraId="4C3B7EA1" w14:textId="44B71E8A" w:rsidR="00677C63" w:rsidRPr="00D2134C" w:rsidRDefault="00677C63" w:rsidP="00677C63">
      <w:pPr>
        <w:pStyle w:val="FGCNORMAL"/>
      </w:pPr>
      <w:r w:rsidRPr="00D2134C">
        <w:lastRenderedPageBreak/>
        <w:t xml:space="preserve">The </w:t>
      </w:r>
      <w:r w:rsidR="00825D43" w:rsidRPr="00D2134C">
        <w:t>NDIA</w:t>
      </w:r>
      <w:r w:rsidRPr="00D2134C">
        <w:t xml:space="preserve"> supports carers in the workplace through its employment policies, including flexible working arrangements and access to carers leave. The types of flexible working arrangements available to </w:t>
      </w:r>
      <w:r w:rsidR="00825D43" w:rsidRPr="00D2134C">
        <w:t>NDIA</w:t>
      </w:r>
      <w:r w:rsidRPr="00D2134C">
        <w:t xml:space="preserve"> staff to support carers include: </w:t>
      </w:r>
    </w:p>
    <w:p w14:paraId="2175B1A5" w14:textId="77777777" w:rsidR="00677C63" w:rsidRPr="00D2134C" w:rsidRDefault="00677C63" w:rsidP="00677C63">
      <w:pPr>
        <w:pStyle w:val="FGCBULLET1"/>
      </w:pPr>
      <w:r w:rsidRPr="00D2134C">
        <w:t>part-time work agreements</w:t>
      </w:r>
    </w:p>
    <w:p w14:paraId="3B2CC189" w14:textId="77777777" w:rsidR="00677C63" w:rsidRPr="00D2134C" w:rsidRDefault="00677C63" w:rsidP="00677C63">
      <w:pPr>
        <w:pStyle w:val="FGCBULLET1"/>
      </w:pPr>
      <w:r w:rsidRPr="00D2134C">
        <w:t xml:space="preserve">agreed work patterns </w:t>
      </w:r>
    </w:p>
    <w:p w14:paraId="3F098042" w14:textId="55632131" w:rsidR="00677C63" w:rsidRPr="00D2134C" w:rsidRDefault="00677C63" w:rsidP="00677C63">
      <w:pPr>
        <w:pStyle w:val="FGCBULLET1"/>
      </w:pPr>
      <w:r w:rsidRPr="00D2134C">
        <w:t>work from home</w:t>
      </w:r>
      <w:r w:rsidR="00825D43" w:rsidRPr="00D2134C">
        <w:t xml:space="preserve"> </w:t>
      </w:r>
      <w:r w:rsidRPr="00D2134C">
        <w:t>/</w:t>
      </w:r>
      <w:r w:rsidR="00825D43" w:rsidRPr="00D2134C">
        <w:t xml:space="preserve"> </w:t>
      </w:r>
      <w:r w:rsidRPr="00D2134C">
        <w:t xml:space="preserve">remote work arrangements </w:t>
      </w:r>
    </w:p>
    <w:p w14:paraId="6A8A357F" w14:textId="77777777" w:rsidR="00677C63" w:rsidRPr="00D2134C" w:rsidRDefault="00677C63" w:rsidP="00677C63">
      <w:pPr>
        <w:pStyle w:val="FGCBULLET1"/>
      </w:pPr>
      <w:r w:rsidRPr="00D2134C">
        <w:t>job share arrangements</w:t>
      </w:r>
    </w:p>
    <w:p w14:paraId="53333AF4" w14:textId="77777777" w:rsidR="00677C63" w:rsidRPr="00D2134C" w:rsidRDefault="00677C63" w:rsidP="00677C63">
      <w:pPr>
        <w:pStyle w:val="FGCBULLET1"/>
      </w:pPr>
      <w:r w:rsidRPr="00D2134C">
        <w:t xml:space="preserve">individual flexibility arrangements </w:t>
      </w:r>
    </w:p>
    <w:p w14:paraId="6F69791B" w14:textId="77777777" w:rsidR="00677C63" w:rsidRPr="00D2134C" w:rsidRDefault="00677C63" w:rsidP="00677C63">
      <w:pPr>
        <w:pStyle w:val="FGCBULLET1"/>
      </w:pPr>
      <w:r w:rsidRPr="00D2134C">
        <w:t xml:space="preserve">purchased leave schemes </w:t>
      </w:r>
    </w:p>
    <w:p w14:paraId="3C57F22D" w14:textId="77777777" w:rsidR="00677C63" w:rsidRPr="00D2134C" w:rsidRDefault="00677C63" w:rsidP="00677C63">
      <w:pPr>
        <w:pStyle w:val="FGCBULLET1"/>
      </w:pPr>
      <w:r w:rsidRPr="00D2134C">
        <w:t>flex leave.</w:t>
      </w:r>
    </w:p>
    <w:p w14:paraId="14F27B72" w14:textId="77777777" w:rsidR="00677C63" w:rsidRPr="00D2134C" w:rsidRDefault="00677C63" w:rsidP="00677C63">
      <w:pPr>
        <w:rPr>
          <w:rStyle w:val="FGCEMPHASIS"/>
        </w:rPr>
      </w:pPr>
      <w:r w:rsidRPr="00D2134C">
        <w:rPr>
          <w:rStyle w:val="FGCEMPHASIS"/>
        </w:rPr>
        <w:t>Subsection 8(1) – each public service care agency is to take all practicable measures to ensure that it, and its employees and agents, take action to reflect the principles of the Statement for Australia’s Carers in developing, implementing, providing or evaluating care supports.</w:t>
      </w:r>
    </w:p>
    <w:p w14:paraId="357688C0" w14:textId="3DF886D4" w:rsidR="00677C63" w:rsidRPr="00D2134C" w:rsidRDefault="00677C63" w:rsidP="00677C63">
      <w:pPr>
        <w:pStyle w:val="FGCNORMAL"/>
        <w:rPr>
          <w:rFonts w:ascii="Calibri" w:eastAsiaTheme="minorHAnsi" w:hAnsi="Calibri" w:cs="Calibri"/>
          <w:lang w:eastAsia="en-AU"/>
        </w:rPr>
      </w:pPr>
      <w:r w:rsidRPr="00D2134C">
        <w:t xml:space="preserve">The role of carers is recognised by the </w:t>
      </w:r>
      <w:r w:rsidR="00B6131E" w:rsidRPr="00D2134C">
        <w:t>NDIA</w:t>
      </w:r>
      <w:r w:rsidRPr="00D2134C">
        <w:t xml:space="preserve"> as a highly relevant factor when developing participants’ NDIS plans. Carers are included in the planning process and are recognised in the ‘informal care’ sections of participant plans. Participant plans are developed with a focus on </w:t>
      </w:r>
      <w:r w:rsidR="00632EA6">
        <w:t>capacity-building</w:t>
      </w:r>
      <w:r w:rsidRPr="00D2134C">
        <w:t xml:space="preserve"> and social and economic inclusion for participants. At the request of the person they care for, carers can help with goal setting, assessment and the planning process. Carers can include a carer statement as part of the participant’s plan development, and this statement is recorded in the plan. </w:t>
      </w:r>
    </w:p>
    <w:p w14:paraId="1F68FA67" w14:textId="02595699" w:rsidR="00677C63" w:rsidRPr="00D2134C" w:rsidRDefault="00677C63" w:rsidP="00EA7046">
      <w:pPr>
        <w:pStyle w:val="FGCNORMAL"/>
      </w:pPr>
      <w:r w:rsidRPr="00D2134C">
        <w:t xml:space="preserve">Increasing the capacity of the community to help people with </w:t>
      </w:r>
      <w:r w:rsidR="009B3CF8" w:rsidRPr="009B3CF8">
        <w:t>disability, and increasing the community and workforce participation of people with disability,</w:t>
      </w:r>
      <w:r w:rsidR="00EA7046">
        <w:t xml:space="preserve"> </w:t>
      </w:r>
      <w:r w:rsidRPr="00D2134C">
        <w:t xml:space="preserve">improves the situation of carers. The </w:t>
      </w:r>
      <w:r w:rsidR="00B6131E" w:rsidRPr="00D2134C">
        <w:t>NDIA</w:t>
      </w:r>
      <w:r w:rsidRPr="00D2134C">
        <w:t xml:space="preserve"> encourages feedback from carers to inform improvements to the way the Scheme supports their needs.</w:t>
      </w:r>
    </w:p>
    <w:p w14:paraId="195B144B" w14:textId="77777777" w:rsidR="00677C63" w:rsidRPr="00D2134C" w:rsidRDefault="00677C63" w:rsidP="00677C63">
      <w:pPr>
        <w:rPr>
          <w:rStyle w:val="FGCEMPHASIS"/>
        </w:rPr>
      </w:pPr>
      <w:r w:rsidRPr="00D2134C">
        <w:rPr>
          <w:rStyle w:val="FGCEMPHASIS"/>
        </w:rPr>
        <w:t>Subsection 8(2) – each public service care agency is to consult carers, or bodies that represent carers, when developing or evaluating care supports.</w:t>
      </w:r>
    </w:p>
    <w:p w14:paraId="562630AD" w14:textId="5B2A252E" w:rsidR="00677C63" w:rsidRPr="00D2134C" w:rsidRDefault="00677C63" w:rsidP="00677C63">
      <w:pPr>
        <w:pStyle w:val="FGCNORMAL"/>
        <w:rPr>
          <w:rFonts w:ascii="Calibri" w:eastAsiaTheme="minorHAnsi" w:hAnsi="Calibri" w:cs="Calibri"/>
          <w:lang w:eastAsia="en-AU"/>
        </w:rPr>
      </w:pPr>
      <w:r w:rsidRPr="00D2134C">
        <w:t xml:space="preserve">As a respected stakeholder of the </w:t>
      </w:r>
      <w:r w:rsidR="00B6131E" w:rsidRPr="00D2134C">
        <w:t>NDIA</w:t>
      </w:r>
      <w:r w:rsidRPr="00D2134C">
        <w:t xml:space="preserve">, Carers Australia is consulted and engaged through the </w:t>
      </w:r>
      <w:r w:rsidR="00B6131E" w:rsidRPr="00D2134C">
        <w:t>NDIA</w:t>
      </w:r>
      <w:r w:rsidRPr="00D2134C">
        <w:t xml:space="preserve">’s Stakeholder Engagement Management model, the </w:t>
      </w:r>
      <w:r w:rsidR="00B6131E" w:rsidRPr="00D2134C">
        <w:t>NDIA</w:t>
      </w:r>
      <w:r w:rsidRPr="00D2134C">
        <w:t xml:space="preserve">’s Disability Representative and Carer Organisations (DRCO) Forum, and a variety of key projects as a trusted expert. Recently the National Mental Health Consumer and Carer Forum has been added to the </w:t>
      </w:r>
      <w:r w:rsidR="00B6131E" w:rsidRPr="00D2134C">
        <w:t>NDIA</w:t>
      </w:r>
      <w:r w:rsidRPr="00D2134C">
        <w:t xml:space="preserve">’s list of Disability Representative and Carer Organisations and as a member of the </w:t>
      </w:r>
      <w:r w:rsidR="00B6131E" w:rsidRPr="00D2134C">
        <w:t>NDIA</w:t>
      </w:r>
      <w:r w:rsidRPr="00D2134C">
        <w:t>’s DRCO Forum.</w:t>
      </w:r>
    </w:p>
    <w:p w14:paraId="122635DE" w14:textId="4D5B6B5E" w:rsidR="00677C63" w:rsidRPr="00D2134C" w:rsidRDefault="00677C63" w:rsidP="00677C63">
      <w:pPr>
        <w:pStyle w:val="FGCNORMAL"/>
      </w:pPr>
      <w:r w:rsidRPr="00D2134C">
        <w:t xml:space="preserve">The </w:t>
      </w:r>
      <w:r w:rsidR="00B6131E" w:rsidRPr="00D2134C">
        <w:t>NDIA</w:t>
      </w:r>
      <w:r w:rsidRPr="00D2134C">
        <w:t xml:space="preserve"> acknowledges the right of carers to take a break from their caring role and continues to work with Carers Australia to ensure this is reflected when developing </w:t>
      </w:r>
      <w:r w:rsidR="00B6131E" w:rsidRPr="00D2134C">
        <w:t>NDIA</w:t>
      </w:r>
      <w:r w:rsidRPr="00D2134C">
        <w:t xml:space="preserve"> policy. The </w:t>
      </w:r>
      <w:r w:rsidR="00B6131E" w:rsidRPr="00D2134C">
        <w:t>NDIA</w:t>
      </w:r>
      <w:r w:rsidRPr="00D2134C">
        <w:t xml:space="preserve"> has worked closely with the Department of Social Services to ensure the Carer Gateway information portal has up-to-date information regarding support available for carers through the NDIS, including guides and links to relevant content on the NDIS website, often located on carer-specific pages.</w:t>
      </w:r>
    </w:p>
    <w:p w14:paraId="71A1C1C0" w14:textId="77777777" w:rsidR="00083D2F" w:rsidRDefault="00083D2F" w:rsidP="00677C63">
      <w:pPr>
        <w:pStyle w:val="FGCHEADING2"/>
        <w:sectPr w:rsidR="00083D2F">
          <w:headerReference w:type="default" r:id="rId117"/>
          <w:footerReference w:type="default" r:id="rId118"/>
          <w:pgSz w:w="11906" w:h="16838"/>
          <w:pgMar w:top="1440" w:right="1440" w:bottom="1440" w:left="1440" w:header="708" w:footer="708" w:gutter="0"/>
          <w:cols w:space="708"/>
          <w:docGrid w:linePitch="360"/>
        </w:sectPr>
      </w:pPr>
      <w:bookmarkStart w:id="652" w:name="_Toc110532569"/>
      <w:bookmarkStart w:id="653" w:name="_Toc114477568"/>
    </w:p>
    <w:p w14:paraId="5EED3108" w14:textId="0C786AD5" w:rsidR="00677C63" w:rsidRPr="00D2134C" w:rsidRDefault="00677C63" w:rsidP="00677C63">
      <w:pPr>
        <w:pStyle w:val="FGCHEADING2"/>
      </w:pPr>
      <w:bookmarkStart w:id="654" w:name="_Toc116473938"/>
      <w:r w:rsidRPr="00D2134C">
        <w:lastRenderedPageBreak/>
        <w:t>Information on other specific statutory provisions</w:t>
      </w:r>
      <w:bookmarkEnd w:id="650"/>
      <w:bookmarkEnd w:id="651"/>
      <w:bookmarkEnd w:id="652"/>
      <w:bookmarkEnd w:id="653"/>
      <w:bookmarkEnd w:id="654"/>
    </w:p>
    <w:p w14:paraId="4C7EE043" w14:textId="77777777" w:rsidR="00677C63" w:rsidRPr="00D2134C" w:rsidRDefault="00677C63" w:rsidP="00677C63">
      <w:pPr>
        <w:pStyle w:val="FGCNORMAL"/>
      </w:pPr>
      <w:bookmarkStart w:id="655" w:name="_Toc23603207"/>
      <w:bookmarkStart w:id="656" w:name="_Toc51068017"/>
      <w:r w:rsidRPr="00D2134C">
        <w:t>The following information addresses other reportable items required by specific statutory provisions.</w:t>
      </w:r>
    </w:p>
    <w:p w14:paraId="3A6E5ACF" w14:textId="77777777" w:rsidR="00677C63" w:rsidRPr="00D2134C" w:rsidRDefault="00677C63" w:rsidP="00780639">
      <w:pPr>
        <w:pStyle w:val="FGCHEADING43"/>
      </w:pPr>
      <w:bookmarkStart w:id="657" w:name="_Toc83907195"/>
      <w:bookmarkStart w:id="658" w:name="_Toc84258426"/>
      <w:bookmarkStart w:id="659" w:name="_Toc84258580"/>
      <w:bookmarkStart w:id="660" w:name="_Toc84270329"/>
      <w:bookmarkStart w:id="661" w:name="_Toc85122189"/>
      <w:bookmarkStart w:id="662" w:name="_Toc85462286"/>
      <w:r w:rsidRPr="00D2134C">
        <w:t>National Disability Insurance Scheme Act 2013</w:t>
      </w:r>
      <w:bookmarkEnd w:id="657"/>
      <w:bookmarkEnd w:id="658"/>
      <w:bookmarkEnd w:id="659"/>
      <w:bookmarkEnd w:id="660"/>
      <w:bookmarkEnd w:id="661"/>
      <w:bookmarkEnd w:id="662"/>
      <w:r w:rsidRPr="00D2134C">
        <w:t xml:space="preserve"> </w:t>
      </w:r>
    </w:p>
    <w:p w14:paraId="369E8354" w14:textId="6CCE5BE7" w:rsidR="00677C63" w:rsidRPr="00D2134C" w:rsidRDefault="00677C63" w:rsidP="00677C63">
      <w:pPr>
        <w:pStyle w:val="FGCNORMAL"/>
      </w:pPr>
      <w:bookmarkStart w:id="663" w:name="_Toc83907196"/>
      <w:bookmarkStart w:id="664" w:name="_Toc84258427"/>
      <w:bookmarkStart w:id="665" w:name="_Toc84258581"/>
      <w:bookmarkStart w:id="666" w:name="_Toc84270330"/>
      <w:bookmarkStart w:id="667" w:name="_Toc85122190"/>
      <w:bookmarkStart w:id="668" w:name="_Toc85462287"/>
      <w:r w:rsidRPr="00D2134C">
        <w:t>No directions or ministerial statements were given to the NDIA under sections 121 and 125 of the NDIS Act, and no legislative instruments were made during 2021</w:t>
      </w:r>
      <w:r w:rsidR="00465AFC">
        <w:t>–</w:t>
      </w:r>
      <w:r w:rsidRPr="00D2134C">
        <w:t>22.</w:t>
      </w:r>
    </w:p>
    <w:p w14:paraId="7A20F5F8" w14:textId="77777777" w:rsidR="00677C63" w:rsidRPr="00D2134C" w:rsidRDefault="00677C63" w:rsidP="00780639">
      <w:pPr>
        <w:pStyle w:val="FGCHEADING43"/>
      </w:pPr>
      <w:r w:rsidRPr="00D2134C">
        <w:t>Privacy Act 1988</w:t>
      </w:r>
      <w:bookmarkEnd w:id="663"/>
      <w:bookmarkEnd w:id="664"/>
      <w:bookmarkEnd w:id="665"/>
      <w:bookmarkEnd w:id="666"/>
      <w:bookmarkEnd w:id="667"/>
      <w:bookmarkEnd w:id="668"/>
    </w:p>
    <w:p w14:paraId="5D891DBC" w14:textId="4732CD1D" w:rsidR="00677C63" w:rsidRPr="00D2134C" w:rsidRDefault="00677C63" w:rsidP="00677C63">
      <w:pPr>
        <w:pStyle w:val="FGCNORMAL"/>
      </w:pPr>
      <w:bookmarkStart w:id="669" w:name="_Toc83907197"/>
      <w:bookmarkStart w:id="670" w:name="_Toc84258428"/>
      <w:bookmarkStart w:id="671" w:name="_Toc84258582"/>
      <w:bookmarkStart w:id="672" w:name="_Toc84270331"/>
      <w:bookmarkStart w:id="673" w:name="_Toc85122191"/>
      <w:bookmarkStart w:id="674" w:name="_Toc85462288"/>
      <w:r w:rsidRPr="00D2134C">
        <w:t xml:space="preserve">The </w:t>
      </w:r>
      <w:r w:rsidR="00B6131E" w:rsidRPr="00D2134C">
        <w:t>NDIA</w:t>
      </w:r>
      <w:r w:rsidRPr="00D2134C">
        <w:t xml:space="preserve"> complies with its privacy obligations as required under both the </w:t>
      </w:r>
      <w:r w:rsidRPr="00D2134C">
        <w:rPr>
          <w:i/>
          <w:iCs/>
        </w:rPr>
        <w:t>Privacy Act 1988</w:t>
      </w:r>
      <w:r w:rsidRPr="00D2134C">
        <w:t xml:space="preserve"> and the NDIS Act. </w:t>
      </w:r>
    </w:p>
    <w:p w14:paraId="70468BD6" w14:textId="02F3B4D2" w:rsidR="00677C63" w:rsidRPr="00D2134C" w:rsidRDefault="00677C63" w:rsidP="00677C63">
      <w:pPr>
        <w:pStyle w:val="FGCNORMAL"/>
      </w:pPr>
      <w:r w:rsidRPr="00D2134C">
        <w:t xml:space="preserve">Compliance includes the </w:t>
      </w:r>
      <w:r w:rsidR="00B6131E" w:rsidRPr="00D2134C">
        <w:t>NDIA</w:t>
      </w:r>
      <w:r w:rsidRPr="00D2134C">
        <w:t xml:space="preserve"> ensuring its practices and procedures are consistent with requirements under the Australian Privacy Principles, the Notifiable Data Breaches Scheme</w:t>
      </w:r>
      <w:r w:rsidR="00756BAB" w:rsidRPr="00D2134C">
        <w:t>,</w:t>
      </w:r>
      <w:r w:rsidRPr="00D2134C">
        <w:t xml:space="preserve"> and the Australian Government Agencies Privacy Code, such as having an established privacy policy and privacy management plan and maintaining privacy incident and privacy impact assessment registers. </w:t>
      </w:r>
    </w:p>
    <w:p w14:paraId="5D6F8913" w14:textId="22822507" w:rsidR="00677C63" w:rsidRPr="00D2134C" w:rsidRDefault="00677C63" w:rsidP="00677C63">
      <w:pPr>
        <w:pStyle w:val="FGCNORMAL"/>
      </w:pPr>
      <w:r w:rsidRPr="00D2134C">
        <w:t xml:space="preserve">The </w:t>
      </w:r>
      <w:r w:rsidR="00B6131E" w:rsidRPr="00D2134C">
        <w:t>NDIA</w:t>
      </w:r>
      <w:r w:rsidRPr="00D2134C">
        <w:t xml:space="preserve"> actively promotes privacy awareness through the appointment of a Privacy Champion and Privacy Officer, and through the ongoing development of training materials for </w:t>
      </w:r>
      <w:r w:rsidR="00B6131E" w:rsidRPr="00D2134C">
        <w:t>NDIA</w:t>
      </w:r>
      <w:r w:rsidRPr="00D2134C">
        <w:t xml:space="preserve"> staff. Advice is also provided to staff regarding the </w:t>
      </w:r>
      <w:r w:rsidR="00B6131E" w:rsidRPr="00D2134C">
        <w:t>NDIA</w:t>
      </w:r>
      <w:r w:rsidRPr="00D2134C">
        <w:t xml:space="preserve">’s privacy obligations under law, particularly as it relates to ensuring promotion of one of the general principles guiding actions under the NDIS Act, which is to ensure that people with disability have their privacy and dignity respected. </w:t>
      </w:r>
    </w:p>
    <w:p w14:paraId="1AEA9351" w14:textId="43A8AB9F" w:rsidR="00677C63" w:rsidRPr="00D2134C" w:rsidRDefault="00677C63" w:rsidP="00677C63">
      <w:pPr>
        <w:pStyle w:val="FGCNORMAL"/>
      </w:pPr>
      <w:r w:rsidRPr="00D2134C">
        <w:t xml:space="preserve">As </w:t>
      </w:r>
      <w:proofErr w:type="gramStart"/>
      <w:r w:rsidRPr="00D2134C">
        <w:t>at</w:t>
      </w:r>
      <w:proofErr w:type="gramEnd"/>
      <w:r w:rsidRPr="00D2134C">
        <w:t xml:space="preserve"> 1 July 2021</w:t>
      </w:r>
      <w:r w:rsidR="005C2633" w:rsidRPr="00D2134C">
        <w:t>,</w:t>
      </w:r>
      <w:r w:rsidRPr="00D2134C">
        <w:t xml:space="preserve"> the </w:t>
      </w:r>
      <w:r w:rsidR="00B6131E" w:rsidRPr="00D2134C">
        <w:t>NDIA</w:t>
      </w:r>
      <w:r w:rsidRPr="00D2134C">
        <w:t xml:space="preserve"> had 5 privacy complaints open from the Office of the Australian Information Commissioner. During 2021</w:t>
      </w:r>
      <w:r w:rsidR="008E0F38">
        <w:t>-</w:t>
      </w:r>
      <w:r w:rsidRPr="00D2134C">
        <w:t>22 an additional 94 complaints were received. Seven complaints were resolved during that period.</w:t>
      </w:r>
    </w:p>
    <w:p w14:paraId="3422561B" w14:textId="38CCD299" w:rsidR="00677C63" w:rsidRPr="00D2134C" w:rsidRDefault="00677C63" w:rsidP="00780639">
      <w:pPr>
        <w:pStyle w:val="FGCHEADING43"/>
      </w:pPr>
      <w:r w:rsidRPr="00D2134C">
        <w:t>Freedom of Information Act 1982</w:t>
      </w:r>
      <w:bookmarkEnd w:id="669"/>
      <w:bookmarkEnd w:id="670"/>
      <w:bookmarkEnd w:id="671"/>
      <w:bookmarkEnd w:id="672"/>
      <w:bookmarkEnd w:id="673"/>
      <w:bookmarkEnd w:id="674"/>
    </w:p>
    <w:p w14:paraId="244E0ED2" w14:textId="351DFE50" w:rsidR="00677C63" w:rsidRPr="00D2134C" w:rsidRDefault="00677C63" w:rsidP="00677C63">
      <w:pPr>
        <w:pStyle w:val="FGCNORMAL"/>
      </w:pPr>
      <w:r w:rsidRPr="00D2134C">
        <w:t xml:space="preserve">The NDIA is subject to the FOI Act and required to make information publicly available as part of the Information Publication Scheme. Consistent with the FOI Act, the NDIA displays a plan showing what information it publishes in accordance with the Information Publication Scheme requirements on its website. To see the </w:t>
      </w:r>
      <w:r w:rsidR="00B6131E" w:rsidRPr="00D2134C">
        <w:t>NDIA</w:t>
      </w:r>
      <w:r w:rsidRPr="00D2134C">
        <w:t xml:space="preserve">’s plan, go to </w:t>
      </w:r>
      <w:hyperlink r:id="rId119" w:history="1">
        <w:r w:rsidRPr="00D2134C">
          <w:rPr>
            <w:rStyle w:val="Hyperlink"/>
          </w:rPr>
          <w:t>www.ndis.gov.au</w:t>
        </w:r>
      </w:hyperlink>
      <w:r w:rsidRPr="00D2134C">
        <w:t>.</w:t>
      </w:r>
    </w:p>
    <w:p w14:paraId="4351FB85" w14:textId="77777777" w:rsidR="00C63AD7" w:rsidRDefault="00C63AD7" w:rsidP="00677C63">
      <w:pPr>
        <w:pStyle w:val="FGCHEADING2"/>
        <w:sectPr w:rsidR="00C63AD7">
          <w:pgSz w:w="11906" w:h="16838"/>
          <w:pgMar w:top="1440" w:right="1440" w:bottom="1440" w:left="1440" w:header="708" w:footer="708" w:gutter="0"/>
          <w:cols w:space="708"/>
          <w:docGrid w:linePitch="360"/>
        </w:sectPr>
      </w:pPr>
      <w:bookmarkStart w:id="675" w:name="_Toc110532570"/>
      <w:bookmarkStart w:id="676" w:name="_Toc114477569"/>
    </w:p>
    <w:p w14:paraId="0916808C" w14:textId="374C1BE4" w:rsidR="00662564" w:rsidRPr="00D2134C" w:rsidRDefault="00677C63" w:rsidP="00677C63">
      <w:pPr>
        <w:pStyle w:val="FGCHEADING2"/>
      </w:pPr>
      <w:bookmarkStart w:id="677" w:name="_Toc116473939"/>
      <w:r w:rsidRPr="00D2134C">
        <w:lastRenderedPageBreak/>
        <w:t>Glossary</w:t>
      </w:r>
      <w:bookmarkEnd w:id="655"/>
      <w:bookmarkEnd w:id="656"/>
      <w:bookmarkEnd w:id="675"/>
      <w:bookmarkEnd w:id="676"/>
      <w:bookmarkEnd w:id="677"/>
    </w:p>
    <w:p w14:paraId="528013A0" w14:textId="4D54D008" w:rsidR="0065258E" w:rsidRPr="00D2134C" w:rsidRDefault="00677C63" w:rsidP="003E0850">
      <w:pPr>
        <w:pStyle w:val="FGCHEADING3"/>
        <w:numPr>
          <w:ilvl w:val="2"/>
          <w:numId w:val="76"/>
        </w:numPr>
      </w:pPr>
      <w:bookmarkStart w:id="678" w:name="_Toc51068018"/>
      <w:bookmarkStart w:id="679" w:name="_Toc110532571"/>
      <w:bookmarkStart w:id="680" w:name="_Toc114477570"/>
      <w:bookmarkStart w:id="681" w:name="_Toc116473940"/>
      <w:r w:rsidRPr="00662564">
        <w:t>Definitions</w:t>
      </w:r>
      <w:bookmarkEnd w:id="678"/>
      <w:bookmarkEnd w:id="679"/>
      <w:bookmarkEnd w:id="680"/>
      <w:bookmarkEnd w:id="681"/>
    </w:p>
    <w:tbl>
      <w:tblPr>
        <w:tblStyle w:val="GridTable2-Accent31"/>
        <w:tblW w:w="8789" w:type="dxa"/>
        <w:tblLayout w:type="fixed"/>
        <w:tblLook w:val="04A0" w:firstRow="1" w:lastRow="0" w:firstColumn="1" w:lastColumn="0" w:noHBand="0" w:noVBand="1"/>
      </w:tblPr>
      <w:tblGrid>
        <w:gridCol w:w="2547"/>
        <w:gridCol w:w="6242"/>
      </w:tblGrid>
      <w:tr w:rsidR="00677C63" w:rsidRPr="00D2134C" w14:paraId="1DA835B2" w14:textId="77777777" w:rsidTr="002002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2C80857A" w14:textId="77777777" w:rsidR="00677C63" w:rsidRPr="00D2134C" w:rsidRDefault="00677C63" w:rsidP="00E665B7">
            <w:pPr>
              <w:pStyle w:val="Tableformat"/>
              <w:rPr>
                <w:b w:val="0"/>
                <w:bCs w:val="0"/>
              </w:rPr>
            </w:pPr>
            <w:r w:rsidRPr="00D2134C">
              <w:t>Term</w:t>
            </w:r>
          </w:p>
        </w:tc>
        <w:tc>
          <w:tcPr>
            <w:tcW w:w="6242" w:type="dxa"/>
          </w:tcPr>
          <w:p w14:paraId="598D52A4"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Definition</w:t>
            </w:r>
          </w:p>
        </w:tc>
      </w:tr>
      <w:tr w:rsidR="00677C63" w:rsidRPr="00D2134C" w14:paraId="3B17B407"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920B884" w14:textId="77777777" w:rsidR="00677C63" w:rsidRPr="00D2134C" w:rsidRDefault="00677C63" w:rsidP="00E665B7">
            <w:pPr>
              <w:pStyle w:val="Tableformat"/>
            </w:pPr>
            <w:r w:rsidRPr="00D2134C">
              <w:t xml:space="preserve">Administrative Appeals Tribunal (AAT) </w:t>
            </w:r>
          </w:p>
        </w:tc>
        <w:tc>
          <w:tcPr>
            <w:tcW w:w="6242" w:type="dxa"/>
          </w:tcPr>
          <w:p w14:paraId="57538B6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An independent body that conducts reviews of administrative decisions made under Commonwealth laws.</w:t>
            </w:r>
          </w:p>
        </w:tc>
      </w:tr>
      <w:tr w:rsidR="00677C63" w:rsidRPr="00D2134C" w14:paraId="6983343F" w14:textId="77777777" w:rsidTr="00E665B7">
        <w:tc>
          <w:tcPr>
            <w:cnfStyle w:val="001000000000" w:firstRow="0" w:lastRow="0" w:firstColumn="1" w:lastColumn="0" w:oddVBand="0" w:evenVBand="0" w:oddHBand="0" w:evenHBand="0" w:firstRowFirstColumn="0" w:firstRowLastColumn="0" w:lastRowFirstColumn="0" w:lastRowLastColumn="0"/>
            <w:tcW w:w="2547" w:type="dxa"/>
          </w:tcPr>
          <w:p w14:paraId="13EF0885" w14:textId="77777777" w:rsidR="00677C63" w:rsidRPr="00D2134C" w:rsidRDefault="00677C63" w:rsidP="00E665B7">
            <w:pPr>
              <w:pStyle w:val="Tableformat"/>
            </w:pPr>
            <w:r w:rsidRPr="00D2134C">
              <w:t>Disability sector</w:t>
            </w:r>
          </w:p>
        </w:tc>
        <w:tc>
          <w:tcPr>
            <w:tcW w:w="6242" w:type="dxa"/>
          </w:tcPr>
          <w:p w14:paraId="5426A48A"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Refers to organisations and sole traders who deliver disability support services and the peak bodies that represent them.</w:t>
            </w:r>
          </w:p>
        </w:tc>
      </w:tr>
      <w:tr w:rsidR="00677C63" w:rsidRPr="00D2134C" w14:paraId="3A67D129"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978473A" w14:textId="5A737F54" w:rsidR="00677C63" w:rsidRPr="00D2134C" w:rsidRDefault="00677C63" w:rsidP="00E665B7">
            <w:pPr>
              <w:pStyle w:val="Tableformat"/>
            </w:pPr>
            <w:r w:rsidRPr="00D2134C">
              <w:t xml:space="preserve">Early </w:t>
            </w:r>
            <w:r w:rsidR="00083D2F">
              <w:t>c</w:t>
            </w:r>
            <w:r w:rsidRPr="00D2134C">
              <w:t xml:space="preserve">hildhood </w:t>
            </w:r>
            <w:r w:rsidR="00083D2F">
              <w:t>e</w:t>
            </w:r>
            <w:r w:rsidRPr="00D2134C">
              <w:t xml:space="preserve">arly </w:t>
            </w:r>
            <w:r w:rsidR="00083D2F">
              <w:t>i</w:t>
            </w:r>
            <w:r w:rsidRPr="00D2134C">
              <w:t xml:space="preserve">ntervention (ECEI) </w:t>
            </w:r>
            <w:r w:rsidR="00083D2F">
              <w:t>a</w:t>
            </w:r>
            <w:r w:rsidRPr="00D2134C">
              <w:t>pproach</w:t>
            </w:r>
          </w:p>
        </w:tc>
        <w:tc>
          <w:tcPr>
            <w:tcW w:w="6242" w:type="dxa"/>
          </w:tcPr>
          <w:p w14:paraId="46515CF4" w14:textId="1BE8AEB5"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xml:space="preserve">This is the approach delivered by the NDIS to support children aged under 7 years with developmental delay or disability and their families/carers to achieve better long-term outcomes through support services in their local community, regardless of diagnosis. The ECEI </w:t>
            </w:r>
            <w:r w:rsidR="00231238">
              <w:t>a</w:t>
            </w:r>
            <w:r w:rsidRPr="00D2134C">
              <w:t xml:space="preserve">pproach is based on the principles of best practice in early childhood intervention and allows for access to timely, </w:t>
            </w:r>
            <w:proofErr w:type="gramStart"/>
            <w:r w:rsidRPr="00D2134C">
              <w:t>targeted</w:t>
            </w:r>
            <w:proofErr w:type="gramEnd"/>
            <w:r w:rsidRPr="00D2134C">
              <w:t xml:space="preserve"> and individualised early childhood intervention supports for children.</w:t>
            </w:r>
          </w:p>
        </w:tc>
      </w:tr>
      <w:tr w:rsidR="00677C63" w:rsidRPr="00D2134C" w14:paraId="3AFB459B" w14:textId="77777777" w:rsidTr="00E665B7">
        <w:tc>
          <w:tcPr>
            <w:cnfStyle w:val="001000000000" w:firstRow="0" w:lastRow="0" w:firstColumn="1" w:lastColumn="0" w:oddVBand="0" w:evenVBand="0" w:oddHBand="0" w:evenHBand="0" w:firstRowFirstColumn="0" w:firstRowLastColumn="0" w:lastRowFirstColumn="0" w:lastRowLastColumn="0"/>
            <w:tcW w:w="2547" w:type="dxa"/>
          </w:tcPr>
          <w:p w14:paraId="3BCFE78A" w14:textId="77777777" w:rsidR="00677C63" w:rsidRPr="00D2134C" w:rsidRDefault="00677C63" w:rsidP="00E665B7">
            <w:pPr>
              <w:pStyle w:val="Tableformat"/>
            </w:pPr>
            <w:r w:rsidRPr="00D2134C">
              <w:t>Individual living options (ILOs)</w:t>
            </w:r>
          </w:p>
        </w:tc>
        <w:tc>
          <w:tcPr>
            <w:tcW w:w="6242" w:type="dxa"/>
          </w:tcPr>
          <w:p w14:paraId="31F26436"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Living arrangements that focus on the individual. They include living alone, co-residency, host arrangements and living together options. They are an alternative to group home services.</w:t>
            </w:r>
          </w:p>
        </w:tc>
      </w:tr>
      <w:tr w:rsidR="00677C63" w:rsidRPr="00D2134C" w14:paraId="0D609F4B"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4AA2AEB" w14:textId="77777777" w:rsidR="00677C63" w:rsidRPr="00D2134C" w:rsidRDefault="00677C63" w:rsidP="00E665B7">
            <w:pPr>
              <w:pStyle w:val="Tableformat"/>
            </w:pPr>
            <w:r w:rsidRPr="00D2134C">
              <w:t>Insurance approach</w:t>
            </w:r>
          </w:p>
        </w:tc>
        <w:tc>
          <w:tcPr>
            <w:tcW w:w="6242" w:type="dxa"/>
          </w:tcPr>
          <w:p w14:paraId="1F3D4A85" w14:textId="3E6C1EBF"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xml:space="preserve">Sharing the </w:t>
            </w:r>
            <w:r w:rsidR="00156989">
              <w:t xml:space="preserve">financial </w:t>
            </w:r>
            <w:r w:rsidR="002476AB">
              <w:t>investment</w:t>
            </w:r>
            <w:r w:rsidR="00156989" w:rsidRPr="00D2134C">
              <w:t xml:space="preserve"> </w:t>
            </w:r>
            <w:r w:rsidR="002476AB">
              <w:t>in</w:t>
            </w:r>
            <w:r w:rsidRPr="00D2134C">
              <w:t xml:space="preserve"> disability services and supports across the community. Placing emphasis on making up-front investments that reduce participants’ calls on the Scheme into the future, including investments in measuring lifetime costs, research and innovation, and community capability development.</w:t>
            </w:r>
          </w:p>
        </w:tc>
      </w:tr>
      <w:tr w:rsidR="00677C63" w:rsidRPr="00D2134C" w14:paraId="5EBE60FB" w14:textId="77777777" w:rsidTr="00E665B7">
        <w:tc>
          <w:tcPr>
            <w:cnfStyle w:val="001000000000" w:firstRow="0" w:lastRow="0" w:firstColumn="1" w:lastColumn="0" w:oddVBand="0" w:evenVBand="0" w:oddHBand="0" w:evenHBand="0" w:firstRowFirstColumn="0" w:firstRowLastColumn="0" w:lastRowFirstColumn="0" w:lastRowLastColumn="0"/>
            <w:tcW w:w="2547" w:type="dxa"/>
          </w:tcPr>
          <w:p w14:paraId="4ECBC4F4" w14:textId="00A68E64" w:rsidR="00677C63" w:rsidRPr="00D2134C" w:rsidRDefault="00677C63" w:rsidP="00E665B7">
            <w:pPr>
              <w:pStyle w:val="Tableformat"/>
            </w:pPr>
            <w:r w:rsidRPr="00D2134C">
              <w:t xml:space="preserve">Local </w:t>
            </w:r>
            <w:r w:rsidR="00A7235E">
              <w:t>a</w:t>
            </w:r>
            <w:r w:rsidRPr="00D2134C">
              <w:t xml:space="preserve">rea </w:t>
            </w:r>
            <w:r w:rsidR="00A7235E">
              <w:t>c</w:t>
            </w:r>
            <w:r w:rsidRPr="00D2134C">
              <w:t>oordinators/</w:t>
            </w:r>
            <w:r w:rsidR="00A7235E">
              <w:br/>
              <w:t>c</w:t>
            </w:r>
            <w:r w:rsidRPr="00D2134C">
              <w:t xml:space="preserve">oordination (LACs/LAC) </w:t>
            </w:r>
          </w:p>
        </w:tc>
        <w:tc>
          <w:tcPr>
            <w:tcW w:w="6242" w:type="dxa"/>
          </w:tcPr>
          <w:p w14:paraId="7A4FB421"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Local organisations working in partnership with the Agency, to help participants, their families and carers access the NDIS.</w:t>
            </w:r>
          </w:p>
        </w:tc>
      </w:tr>
      <w:tr w:rsidR="00677C63" w:rsidRPr="00D2134C" w14:paraId="02D1B9A6"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89B54ED" w14:textId="10B14AAD" w:rsidR="00677C63" w:rsidRPr="00D2134C" w:rsidRDefault="00677C63" w:rsidP="00E665B7">
            <w:pPr>
              <w:pStyle w:val="Tableformat"/>
            </w:pPr>
            <w:r w:rsidRPr="00D2134C">
              <w:t xml:space="preserve">Partners in the </w:t>
            </w:r>
            <w:r w:rsidR="00A7235E">
              <w:t>c</w:t>
            </w:r>
            <w:r w:rsidRPr="00D2134C">
              <w:t>ommunity (PITC)</w:t>
            </w:r>
          </w:p>
        </w:tc>
        <w:tc>
          <w:tcPr>
            <w:tcW w:w="6242" w:type="dxa"/>
          </w:tcPr>
          <w:p w14:paraId="0A15D67A"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Community-based organisations who work with the NDIA to deliver the NDIS. People between the ages of 7 and 64 years of age will work with the LAC partner in their local government area. Children under 7 years of age who have a developmental delay or disability will work with the early childhood partner in their local government area.</w:t>
            </w:r>
          </w:p>
        </w:tc>
      </w:tr>
      <w:tr w:rsidR="00677C63" w:rsidRPr="00D2134C" w14:paraId="69F8B32E" w14:textId="77777777" w:rsidTr="00E665B7">
        <w:tc>
          <w:tcPr>
            <w:cnfStyle w:val="001000000000" w:firstRow="0" w:lastRow="0" w:firstColumn="1" w:lastColumn="0" w:oddVBand="0" w:evenVBand="0" w:oddHBand="0" w:evenHBand="0" w:firstRowFirstColumn="0" w:firstRowLastColumn="0" w:lastRowFirstColumn="0" w:lastRowLastColumn="0"/>
            <w:tcW w:w="2547" w:type="dxa"/>
          </w:tcPr>
          <w:p w14:paraId="42CBD90A" w14:textId="77777777" w:rsidR="00677C63" w:rsidRPr="00D2134C" w:rsidRDefault="00677C63" w:rsidP="00E665B7">
            <w:pPr>
              <w:pStyle w:val="Tableformat"/>
            </w:pPr>
            <w:r w:rsidRPr="00D2134C">
              <w:t>Plan</w:t>
            </w:r>
          </w:p>
        </w:tc>
        <w:tc>
          <w:tcPr>
            <w:tcW w:w="6242" w:type="dxa"/>
          </w:tcPr>
          <w:p w14:paraId="21523645"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xml:space="preserve">A written agreement worked out with the participant, stating their goals and needs, and the reasonable and necessary supports the NDIS will fund for them. Each participant has their own individual plan. </w:t>
            </w:r>
          </w:p>
        </w:tc>
      </w:tr>
      <w:tr w:rsidR="00677C63" w:rsidRPr="00D2134C" w14:paraId="6E9A9B1B"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4FEDBCF" w14:textId="77777777" w:rsidR="00677C63" w:rsidRPr="00D2134C" w:rsidRDefault="00677C63" w:rsidP="00E665B7">
            <w:pPr>
              <w:pStyle w:val="Tableformat"/>
            </w:pPr>
            <w:r w:rsidRPr="00D2134C">
              <w:t>Specialist disability accommodation (SDA)</w:t>
            </w:r>
          </w:p>
        </w:tc>
        <w:tc>
          <w:tcPr>
            <w:tcW w:w="6242" w:type="dxa"/>
          </w:tcPr>
          <w:p w14:paraId="40433D7C"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 range of housing designed for people with extreme functional impairment or very high needs.</w:t>
            </w:r>
          </w:p>
        </w:tc>
      </w:tr>
      <w:tr w:rsidR="00677C63" w:rsidRPr="00D2134C" w14:paraId="27C8E3A0" w14:textId="77777777" w:rsidTr="00E665B7">
        <w:tc>
          <w:tcPr>
            <w:cnfStyle w:val="001000000000" w:firstRow="0" w:lastRow="0" w:firstColumn="1" w:lastColumn="0" w:oddVBand="0" w:evenVBand="0" w:oddHBand="0" w:evenHBand="0" w:firstRowFirstColumn="0" w:firstRowLastColumn="0" w:lastRowFirstColumn="0" w:lastRowLastColumn="0"/>
            <w:tcW w:w="2547" w:type="dxa"/>
          </w:tcPr>
          <w:p w14:paraId="3C3D4B94" w14:textId="77777777" w:rsidR="00677C63" w:rsidRPr="00D2134C" w:rsidRDefault="00677C63" w:rsidP="00E665B7">
            <w:pPr>
              <w:pStyle w:val="Tableformat"/>
            </w:pPr>
            <w:r w:rsidRPr="00D2134C">
              <w:t>Supported independent living (SIL)</w:t>
            </w:r>
          </w:p>
        </w:tc>
        <w:tc>
          <w:tcPr>
            <w:tcW w:w="6242" w:type="dxa"/>
          </w:tcPr>
          <w:p w14:paraId="16892E7B"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One type of help or supervision with daily tasks to help participants live as independently as possible, while building their skills.</w:t>
            </w:r>
          </w:p>
        </w:tc>
      </w:tr>
    </w:tbl>
    <w:p w14:paraId="598167D6" w14:textId="77777777" w:rsidR="00760744" w:rsidRDefault="00760744" w:rsidP="00677C63">
      <w:pPr>
        <w:pStyle w:val="FGCHEADING3"/>
      </w:pPr>
      <w:bookmarkStart w:id="682" w:name="_Toc110532572"/>
      <w:bookmarkStart w:id="683" w:name="_Toc114477571"/>
      <w:bookmarkStart w:id="684" w:name="_Toc116473941"/>
      <w:r>
        <w:br w:type="page"/>
      </w:r>
    </w:p>
    <w:p w14:paraId="60D13AC7" w14:textId="00F531BA" w:rsidR="00677C63" w:rsidRPr="00D2134C" w:rsidRDefault="00677C63" w:rsidP="003E0850">
      <w:pPr>
        <w:pStyle w:val="FGCHEADING3"/>
        <w:numPr>
          <w:ilvl w:val="2"/>
          <w:numId w:val="77"/>
        </w:numPr>
      </w:pPr>
      <w:r w:rsidRPr="00D2134C">
        <w:lastRenderedPageBreak/>
        <w:t>Acronyms</w:t>
      </w:r>
      <w:bookmarkEnd w:id="682"/>
      <w:bookmarkEnd w:id="683"/>
      <w:bookmarkEnd w:id="684"/>
    </w:p>
    <w:p w14:paraId="58FC6DED" w14:textId="77777777" w:rsidR="00A56C6F" w:rsidRPr="00331384" w:rsidRDefault="00A56C6F" w:rsidP="00EE2D88">
      <w:pPr>
        <w:pStyle w:val="FGCNORMAL"/>
        <w:ind w:left="1440"/>
      </w:pPr>
      <w:bookmarkStart w:id="685" w:name="_Toc23603209"/>
      <w:r>
        <w:t xml:space="preserve">AAG ‒ </w:t>
      </w:r>
      <w:r w:rsidRPr="00331384">
        <w:t>Autism Advisory Group</w:t>
      </w:r>
    </w:p>
    <w:p w14:paraId="6711F2D0" w14:textId="311021FE" w:rsidR="00A56C6F" w:rsidRPr="00331384" w:rsidRDefault="00A56C6F" w:rsidP="00EE2D88">
      <w:pPr>
        <w:pStyle w:val="FGCNORMAL"/>
        <w:ind w:left="1440"/>
      </w:pPr>
      <w:r>
        <w:t xml:space="preserve">ACE ‒ </w:t>
      </w:r>
      <w:r w:rsidR="001007AC">
        <w:t>A</w:t>
      </w:r>
      <w:r w:rsidRPr="00331384">
        <w:t xml:space="preserve">lternative </w:t>
      </w:r>
      <w:r w:rsidR="001007AC">
        <w:t>C</w:t>
      </w:r>
      <w:r w:rsidRPr="00331384">
        <w:t xml:space="preserve">loud </w:t>
      </w:r>
      <w:r w:rsidR="001007AC">
        <w:t>E</w:t>
      </w:r>
      <w:r w:rsidRPr="00331384">
        <w:t>nvironment</w:t>
      </w:r>
    </w:p>
    <w:p w14:paraId="369D0DF9" w14:textId="77777777" w:rsidR="00A56C6F" w:rsidRPr="00331384" w:rsidRDefault="00A56C6F" w:rsidP="00EE2D88">
      <w:pPr>
        <w:pStyle w:val="FGCNORMAL"/>
        <w:ind w:left="1440"/>
      </w:pPr>
      <w:r>
        <w:t xml:space="preserve">ADLOs ‒ </w:t>
      </w:r>
      <w:r w:rsidRPr="00331384">
        <w:t>Aboriginal Disability Liaison Officers</w:t>
      </w:r>
    </w:p>
    <w:p w14:paraId="422DDF53" w14:textId="77777777" w:rsidR="00A56C6F" w:rsidRPr="00331384" w:rsidRDefault="00A56C6F" w:rsidP="00EE2D88">
      <w:pPr>
        <w:pStyle w:val="FGCNORMAL"/>
        <w:ind w:left="1440"/>
      </w:pPr>
      <w:r>
        <w:t xml:space="preserve">AFDO ‒ </w:t>
      </w:r>
      <w:r w:rsidRPr="00331384">
        <w:t>Australian Federation of Disability Organisations</w:t>
      </w:r>
    </w:p>
    <w:p w14:paraId="74DD5322" w14:textId="50EE3B55" w:rsidR="00A56C6F" w:rsidRPr="00331384" w:rsidRDefault="00A56C6F" w:rsidP="00EE2D88">
      <w:pPr>
        <w:pStyle w:val="FGCNORMAL"/>
        <w:ind w:left="1440"/>
      </w:pPr>
      <w:r>
        <w:t xml:space="preserve">AFSR ‒ </w:t>
      </w:r>
      <w:r w:rsidR="008E0F38">
        <w:t>A</w:t>
      </w:r>
      <w:r w:rsidRPr="00331384">
        <w:t xml:space="preserve">nnual </w:t>
      </w:r>
      <w:r w:rsidR="008E0F38">
        <w:t>F</w:t>
      </w:r>
      <w:r w:rsidRPr="00331384">
        <w:t xml:space="preserve">inancial </w:t>
      </w:r>
      <w:r w:rsidR="008E0F38">
        <w:t>S</w:t>
      </w:r>
      <w:r w:rsidRPr="00331384">
        <w:t xml:space="preserve">ustainability </w:t>
      </w:r>
      <w:r w:rsidR="008E0F38">
        <w:t>R</w:t>
      </w:r>
      <w:r w:rsidRPr="00331384">
        <w:t>eport</w:t>
      </w:r>
    </w:p>
    <w:p w14:paraId="69CB3357" w14:textId="77777777" w:rsidR="00A56C6F" w:rsidRPr="00331384" w:rsidRDefault="00A56C6F" w:rsidP="00EE2D88">
      <w:pPr>
        <w:pStyle w:val="FGCNORMAL"/>
        <w:ind w:left="1440"/>
      </w:pPr>
      <w:r>
        <w:t xml:space="preserve">AHRC ‒ </w:t>
      </w:r>
      <w:r w:rsidRPr="00331384">
        <w:t>Australian Human Rights Commission</w:t>
      </w:r>
    </w:p>
    <w:p w14:paraId="337D7157" w14:textId="77777777" w:rsidR="00A56C6F" w:rsidRDefault="00A56C6F" w:rsidP="00EE2D88">
      <w:pPr>
        <w:pStyle w:val="FGCNORMAL"/>
        <w:ind w:left="1440"/>
      </w:pPr>
      <w:r>
        <w:t>AM ‒ Member of the Order of Australia</w:t>
      </w:r>
    </w:p>
    <w:p w14:paraId="6E71DD2F" w14:textId="77777777" w:rsidR="00A56C6F" w:rsidRPr="00331384" w:rsidRDefault="00A56C6F" w:rsidP="00EE2D88">
      <w:pPr>
        <w:pStyle w:val="FGCNORMAL"/>
        <w:ind w:left="1440"/>
      </w:pPr>
      <w:r>
        <w:t xml:space="preserve">ANAO ‒ </w:t>
      </w:r>
      <w:r w:rsidRPr="00331384">
        <w:t>Australian National Audit Office</w:t>
      </w:r>
    </w:p>
    <w:p w14:paraId="213F5853" w14:textId="77777777" w:rsidR="00A56C6F" w:rsidRDefault="00A56C6F" w:rsidP="00EE2D88">
      <w:pPr>
        <w:pStyle w:val="FGCNORMAL"/>
        <w:ind w:left="1440"/>
        <w:rPr>
          <w:rFonts w:eastAsia="Calibri"/>
        </w:rPr>
      </w:pPr>
      <w:r>
        <w:rPr>
          <w:rFonts w:eastAsia="Calibri"/>
        </w:rPr>
        <w:t>AO ‒ Order of Australia, Officer in the General Division</w:t>
      </w:r>
    </w:p>
    <w:p w14:paraId="162C328F" w14:textId="77777777" w:rsidR="00A56C6F" w:rsidRPr="00331384" w:rsidRDefault="00A56C6F" w:rsidP="00EE2D88">
      <w:pPr>
        <w:pStyle w:val="FGCNORMAL"/>
        <w:ind w:left="1440"/>
        <w:rPr>
          <w:rFonts w:eastAsia="Calibri"/>
        </w:rPr>
      </w:pPr>
      <w:r>
        <w:rPr>
          <w:rFonts w:eastAsia="Calibri"/>
        </w:rPr>
        <w:t xml:space="preserve">APS ‒ </w:t>
      </w:r>
      <w:r w:rsidRPr="00331384">
        <w:rPr>
          <w:rFonts w:eastAsia="Calibri"/>
        </w:rPr>
        <w:t>Australian Public Service</w:t>
      </w:r>
    </w:p>
    <w:p w14:paraId="389C5996" w14:textId="77777777" w:rsidR="00A56C6F" w:rsidRPr="006D5E5C" w:rsidRDefault="00A56C6F" w:rsidP="00EE2D88">
      <w:pPr>
        <w:pStyle w:val="FGCNORMAL"/>
        <w:ind w:left="1440"/>
        <w:rPr>
          <w:rFonts w:eastAsia="Calibri"/>
        </w:rPr>
      </w:pPr>
      <w:r>
        <w:rPr>
          <w:rFonts w:eastAsia="Calibri"/>
        </w:rPr>
        <w:t xml:space="preserve">ASL ‒ </w:t>
      </w:r>
      <w:r w:rsidRPr="006D5E5C">
        <w:rPr>
          <w:rFonts w:eastAsia="Calibri"/>
        </w:rPr>
        <w:t>average staffing level</w:t>
      </w:r>
    </w:p>
    <w:p w14:paraId="6125ADD3" w14:textId="7A99D547" w:rsidR="00A56C6F" w:rsidRPr="00331384" w:rsidRDefault="00A56C6F" w:rsidP="00EE2D88">
      <w:pPr>
        <w:pStyle w:val="FGCNORMAL"/>
        <w:ind w:left="1440"/>
      </w:pPr>
      <w:r>
        <w:t xml:space="preserve">CALD ‒ </w:t>
      </w:r>
      <w:r w:rsidRPr="00331384">
        <w:t>culturally and linguistically diverse</w:t>
      </w:r>
    </w:p>
    <w:p w14:paraId="7D8A6BCA" w14:textId="77777777" w:rsidR="00A56C6F" w:rsidRPr="00331384" w:rsidRDefault="00A56C6F" w:rsidP="00EE2D88">
      <w:pPr>
        <w:pStyle w:val="FGCNORMAL"/>
        <w:ind w:left="1440"/>
      </w:pPr>
      <w:r>
        <w:t xml:space="preserve">CCE ‒ </w:t>
      </w:r>
      <w:r w:rsidRPr="00331384">
        <w:t>Corporate Commonwealth Entity</w:t>
      </w:r>
    </w:p>
    <w:p w14:paraId="4256130D" w14:textId="77777777" w:rsidR="00A56C6F" w:rsidRPr="006D5E5C" w:rsidRDefault="00A56C6F" w:rsidP="00EE2D88">
      <w:pPr>
        <w:pStyle w:val="FGCNORMAL"/>
        <w:ind w:left="1440"/>
        <w:rPr>
          <w:rFonts w:eastAsia="Calibri"/>
        </w:rPr>
      </w:pPr>
      <w:r>
        <w:rPr>
          <w:rFonts w:eastAsia="Calibri"/>
        </w:rPr>
        <w:t xml:space="preserve">CEO ‒ </w:t>
      </w:r>
      <w:r w:rsidRPr="006D5E5C">
        <w:rPr>
          <w:rFonts w:eastAsia="Calibri"/>
        </w:rPr>
        <w:t>Chief Executive Officer</w:t>
      </w:r>
    </w:p>
    <w:p w14:paraId="7B25BE7F" w14:textId="214570B5" w:rsidR="00A56C6F" w:rsidRPr="00331384" w:rsidRDefault="00A56C6F" w:rsidP="00EE2D88">
      <w:pPr>
        <w:pStyle w:val="FGCNORMAL"/>
        <w:ind w:left="1440"/>
      </w:pPr>
      <w:r>
        <w:t xml:space="preserve">CRM ‒ </w:t>
      </w:r>
      <w:r w:rsidRPr="00331384">
        <w:t>customer relationship management</w:t>
      </w:r>
    </w:p>
    <w:p w14:paraId="720A1A1A" w14:textId="7532CBE9" w:rsidR="00A56C6F" w:rsidRPr="00331384" w:rsidRDefault="00A56C6F" w:rsidP="00EE2D88">
      <w:pPr>
        <w:pStyle w:val="FGCNORMAL"/>
        <w:ind w:left="1440"/>
      </w:pPr>
      <w:r>
        <w:t>DRC</w:t>
      </w:r>
      <w:r w:rsidR="00AF2A75">
        <w:t xml:space="preserve"> ‒ </w:t>
      </w:r>
      <w:r w:rsidRPr="00331384">
        <w:t>Royal Commission into Violence, Abuse, Neglect and Exploitation of People with Disability</w:t>
      </w:r>
    </w:p>
    <w:p w14:paraId="08983CFA" w14:textId="77777777" w:rsidR="00A56C6F" w:rsidRPr="00331384" w:rsidRDefault="00A56C6F" w:rsidP="00EE2D88">
      <w:pPr>
        <w:pStyle w:val="FGCNORMAL"/>
        <w:ind w:left="1440"/>
      </w:pPr>
      <w:r>
        <w:t xml:space="preserve">DRCO Forum ‒ </w:t>
      </w:r>
      <w:r w:rsidRPr="00331384">
        <w:t>Disability Representative and Carers Organisation Forum</w:t>
      </w:r>
    </w:p>
    <w:p w14:paraId="5367FB17" w14:textId="77777777" w:rsidR="00A56C6F" w:rsidRPr="00331384" w:rsidRDefault="00A56C6F" w:rsidP="00EE2D88">
      <w:pPr>
        <w:pStyle w:val="FGCNORMAL"/>
        <w:ind w:left="1440"/>
      </w:pPr>
      <w:r>
        <w:t xml:space="preserve">DSS ‒ </w:t>
      </w:r>
      <w:r w:rsidRPr="00331384">
        <w:t>Department of Social Services</w:t>
      </w:r>
    </w:p>
    <w:p w14:paraId="57188B01" w14:textId="77777777" w:rsidR="00A56C6F" w:rsidRPr="00331384" w:rsidRDefault="00A56C6F" w:rsidP="00EE2D88">
      <w:pPr>
        <w:pStyle w:val="FGCNORMAL"/>
        <w:ind w:left="1440"/>
      </w:pPr>
      <w:r>
        <w:t xml:space="preserve">EC ‒ </w:t>
      </w:r>
      <w:r w:rsidRPr="00331384">
        <w:t>early childhood</w:t>
      </w:r>
    </w:p>
    <w:p w14:paraId="6399838C" w14:textId="1F457050" w:rsidR="00A56C6F" w:rsidRPr="00331384" w:rsidRDefault="00A56C6F" w:rsidP="00EE2D88">
      <w:pPr>
        <w:pStyle w:val="FGCNORMAL"/>
        <w:ind w:left="1440"/>
      </w:pPr>
      <w:r>
        <w:t xml:space="preserve">ECEI ‒ </w:t>
      </w:r>
      <w:r w:rsidRPr="00331384">
        <w:t xml:space="preserve">Early </w:t>
      </w:r>
      <w:r w:rsidR="00EE753E">
        <w:t>c</w:t>
      </w:r>
      <w:r w:rsidRPr="00331384">
        <w:t xml:space="preserve">hildhood </w:t>
      </w:r>
      <w:r w:rsidR="00EE753E">
        <w:t>e</w:t>
      </w:r>
      <w:r w:rsidRPr="00331384">
        <w:t xml:space="preserve">arly </w:t>
      </w:r>
      <w:r w:rsidR="00EE753E">
        <w:t>i</w:t>
      </w:r>
      <w:r w:rsidRPr="00331384">
        <w:t>ntervention</w:t>
      </w:r>
    </w:p>
    <w:p w14:paraId="13587811" w14:textId="77777777" w:rsidR="00A56C6F" w:rsidRPr="000B5470" w:rsidRDefault="00A56C6F" w:rsidP="00EE2D88">
      <w:pPr>
        <w:pStyle w:val="FGCNORMAL"/>
        <w:ind w:left="1440"/>
      </w:pPr>
      <w:r>
        <w:t xml:space="preserve">ELT ‒ </w:t>
      </w:r>
      <w:r w:rsidRPr="00331384">
        <w:t>Executive Leadership Team</w:t>
      </w:r>
    </w:p>
    <w:p w14:paraId="4402CE5C" w14:textId="77777777" w:rsidR="00A56C6F" w:rsidRPr="00331384" w:rsidRDefault="00A56C6F" w:rsidP="00EE2D88">
      <w:pPr>
        <w:pStyle w:val="FGCNORMAL"/>
        <w:ind w:left="1440"/>
      </w:pPr>
      <w:r>
        <w:t xml:space="preserve">FCC ‒ </w:t>
      </w:r>
      <w:r w:rsidRPr="00331384">
        <w:t>Federal Circuit Court</w:t>
      </w:r>
    </w:p>
    <w:p w14:paraId="3AB38360" w14:textId="77777777" w:rsidR="00A56C6F" w:rsidRPr="00331384" w:rsidRDefault="00A56C6F" w:rsidP="00EE2D88">
      <w:pPr>
        <w:pStyle w:val="FGCNORMAL"/>
        <w:ind w:left="1440"/>
      </w:pPr>
      <w:r>
        <w:t xml:space="preserve">FOI Act ‒ </w:t>
      </w:r>
      <w:r w:rsidRPr="00331384">
        <w:rPr>
          <w:i/>
          <w:iCs/>
        </w:rPr>
        <w:t>Freedom of Information Act 1982</w:t>
      </w:r>
    </w:p>
    <w:p w14:paraId="5C6410B8" w14:textId="77777777" w:rsidR="00A56C6F" w:rsidRPr="00331384" w:rsidRDefault="00A56C6F" w:rsidP="00EE2D88">
      <w:pPr>
        <w:pStyle w:val="FGCNORMAL"/>
        <w:ind w:left="1440"/>
      </w:pPr>
      <w:r>
        <w:t xml:space="preserve">FWC ‒ </w:t>
      </w:r>
      <w:r w:rsidRPr="00331384">
        <w:t>Fair Work Commission</w:t>
      </w:r>
    </w:p>
    <w:p w14:paraId="05E23D49" w14:textId="77777777" w:rsidR="00A56C6F" w:rsidRDefault="00A56C6F" w:rsidP="00EE2D88">
      <w:pPr>
        <w:pStyle w:val="FGCNORMAL"/>
        <w:ind w:left="1440"/>
      </w:pPr>
      <w:r>
        <w:t>GST ‒ Goods and Services Tax</w:t>
      </w:r>
    </w:p>
    <w:p w14:paraId="5355D636" w14:textId="77777777" w:rsidR="00A56C6F" w:rsidRPr="00331384" w:rsidRDefault="00A56C6F" w:rsidP="00EE2D88">
      <w:pPr>
        <w:pStyle w:val="FGCNORMAL"/>
        <w:ind w:left="1440"/>
      </w:pPr>
      <w:r>
        <w:t xml:space="preserve">IAC ‒ </w:t>
      </w:r>
      <w:r w:rsidRPr="00331384">
        <w:t>Independent Advisory Council</w:t>
      </w:r>
    </w:p>
    <w:p w14:paraId="1F07B467" w14:textId="77777777" w:rsidR="00A56C6F" w:rsidRPr="00331384" w:rsidRDefault="00A56C6F" w:rsidP="00EE2D88">
      <w:pPr>
        <w:pStyle w:val="FGCNORMAL"/>
        <w:ind w:left="1440"/>
      </w:pPr>
      <w:r>
        <w:t xml:space="preserve">ICE Forum ‒ </w:t>
      </w:r>
      <w:r w:rsidRPr="00331384">
        <w:t>Industry Chief Executive</w:t>
      </w:r>
      <w:r>
        <w:t xml:space="preserve"> </w:t>
      </w:r>
      <w:r w:rsidRPr="00331384">
        <w:t>Forum</w:t>
      </w:r>
    </w:p>
    <w:p w14:paraId="05A0A4A5" w14:textId="77777777" w:rsidR="00A56C6F" w:rsidRPr="00331384" w:rsidRDefault="00A56C6F" w:rsidP="00EE2D88">
      <w:pPr>
        <w:pStyle w:val="FGCNORMAL"/>
        <w:ind w:left="1440"/>
      </w:pPr>
      <w:r>
        <w:t xml:space="preserve">ICT ‒ </w:t>
      </w:r>
      <w:r w:rsidRPr="00331384">
        <w:t>information and communications technology</w:t>
      </w:r>
    </w:p>
    <w:p w14:paraId="7ED8FD84" w14:textId="77777777" w:rsidR="00A56C6F" w:rsidRPr="00331384" w:rsidRDefault="00A56C6F" w:rsidP="00EE2D88">
      <w:pPr>
        <w:pStyle w:val="FGCNORMAL"/>
        <w:ind w:left="1440"/>
      </w:pPr>
      <w:r>
        <w:t xml:space="preserve">ILOs ‒ </w:t>
      </w:r>
      <w:r w:rsidRPr="00331384">
        <w:t>individualised living options</w:t>
      </w:r>
    </w:p>
    <w:p w14:paraId="6582BE44" w14:textId="77777777" w:rsidR="00A56C6F" w:rsidRDefault="00A56C6F" w:rsidP="00EE2D88">
      <w:pPr>
        <w:pStyle w:val="FGCNORMAL"/>
        <w:ind w:left="1440"/>
      </w:pPr>
      <w:r>
        <w:t>KMP ‒ key management personnel</w:t>
      </w:r>
    </w:p>
    <w:p w14:paraId="63CA26B8" w14:textId="77777777" w:rsidR="00A56C6F" w:rsidRPr="00331384" w:rsidRDefault="00A56C6F" w:rsidP="00EE2D88">
      <w:pPr>
        <w:pStyle w:val="FGCNORMAL"/>
        <w:ind w:left="1440"/>
      </w:pPr>
      <w:r>
        <w:t xml:space="preserve">JSC ‒ </w:t>
      </w:r>
      <w:r w:rsidRPr="00331384">
        <w:t>Joint Standing Committee on the National Disability Insurance Scheme</w:t>
      </w:r>
    </w:p>
    <w:p w14:paraId="5D3C4FE3" w14:textId="31E71C04" w:rsidR="00A56C6F" w:rsidRPr="00331384" w:rsidRDefault="00A56C6F" w:rsidP="00EE2D88">
      <w:pPr>
        <w:pStyle w:val="FGCNORMAL"/>
        <w:ind w:left="1440"/>
      </w:pPr>
      <w:r>
        <w:t xml:space="preserve">LAC ‒ </w:t>
      </w:r>
      <w:r w:rsidRPr="00331384">
        <w:t xml:space="preserve">Local </w:t>
      </w:r>
      <w:r w:rsidR="00DD094A">
        <w:t>a</w:t>
      </w:r>
      <w:r w:rsidRPr="00331384">
        <w:t xml:space="preserve">rea </w:t>
      </w:r>
      <w:r w:rsidR="00DD094A">
        <w:t>c</w:t>
      </w:r>
      <w:r w:rsidRPr="00331384">
        <w:t>oordinator</w:t>
      </w:r>
    </w:p>
    <w:p w14:paraId="6DD198A5" w14:textId="77777777" w:rsidR="00A56C6F" w:rsidRPr="00331384" w:rsidRDefault="00A56C6F" w:rsidP="00EE2D88">
      <w:pPr>
        <w:pStyle w:val="FGCNORMAL"/>
        <w:ind w:left="1440"/>
      </w:pPr>
      <w:r>
        <w:t xml:space="preserve">MPC ‒ </w:t>
      </w:r>
      <w:r w:rsidRPr="00331384">
        <w:t>Merit Protection Commission</w:t>
      </w:r>
    </w:p>
    <w:p w14:paraId="634AB5FE" w14:textId="77777777" w:rsidR="00A56C6F" w:rsidRPr="00331384" w:rsidRDefault="00A56C6F" w:rsidP="00EE2D88">
      <w:pPr>
        <w:pStyle w:val="FGCNORMAL"/>
        <w:ind w:left="1440"/>
      </w:pPr>
      <w:r>
        <w:t xml:space="preserve">NCC ‒ </w:t>
      </w:r>
      <w:r w:rsidRPr="00331384">
        <w:t>National Contact Centre</w:t>
      </w:r>
    </w:p>
    <w:p w14:paraId="4434C3B0" w14:textId="77777777" w:rsidR="00A56C6F" w:rsidRDefault="00A56C6F" w:rsidP="00EE2D88">
      <w:pPr>
        <w:pStyle w:val="FGCNORMAL"/>
        <w:ind w:left="1440"/>
        <w:rPr>
          <w:rFonts w:eastAsia="DengXian"/>
          <w:iCs/>
        </w:rPr>
      </w:pPr>
      <w:r>
        <w:rPr>
          <w:rFonts w:eastAsia="DengXian"/>
          <w:iCs/>
        </w:rPr>
        <w:lastRenderedPageBreak/>
        <w:t>NDIA</w:t>
      </w:r>
      <w:r>
        <w:t xml:space="preserve"> ‒ </w:t>
      </w:r>
      <w:r>
        <w:rPr>
          <w:rFonts w:eastAsia="DengXian"/>
          <w:iCs/>
        </w:rPr>
        <w:t>National Disability Insurance Agency</w:t>
      </w:r>
    </w:p>
    <w:p w14:paraId="37441ECA" w14:textId="77777777" w:rsidR="00A56C6F" w:rsidRDefault="00A56C6F" w:rsidP="00EE2D88">
      <w:pPr>
        <w:pStyle w:val="FGCNORMAL"/>
        <w:ind w:left="1440"/>
        <w:rPr>
          <w:rFonts w:eastAsia="DengXian"/>
          <w:iCs/>
        </w:rPr>
      </w:pPr>
      <w:r>
        <w:rPr>
          <w:rFonts w:eastAsia="DengXian"/>
          <w:iCs/>
        </w:rPr>
        <w:t>NDIS</w:t>
      </w:r>
      <w:r>
        <w:t xml:space="preserve"> ‒ </w:t>
      </w:r>
      <w:r>
        <w:rPr>
          <w:rFonts w:eastAsia="DengXian"/>
          <w:iCs/>
        </w:rPr>
        <w:t>National Disability Insurance Scheme</w:t>
      </w:r>
    </w:p>
    <w:p w14:paraId="4B5DFBC8" w14:textId="77777777" w:rsidR="00A56C6F" w:rsidRPr="00331384" w:rsidRDefault="00A56C6F" w:rsidP="00EE2D88">
      <w:pPr>
        <w:pStyle w:val="FGCNORMAL"/>
        <w:ind w:left="1440"/>
      </w:pPr>
      <w:r>
        <w:rPr>
          <w:rFonts w:eastAsia="DengXian"/>
          <w:iCs/>
        </w:rPr>
        <w:t>NDIS Act</w:t>
      </w:r>
      <w:r>
        <w:t xml:space="preserve"> ‒ </w:t>
      </w:r>
      <w:r w:rsidRPr="00331384">
        <w:rPr>
          <w:rFonts w:eastAsia="DengXian"/>
          <w:i/>
        </w:rPr>
        <w:t>National Disability Insurance Scheme Act 2013</w:t>
      </w:r>
    </w:p>
    <w:p w14:paraId="6F90FDAC" w14:textId="77777777" w:rsidR="00A56C6F" w:rsidRPr="00331384" w:rsidRDefault="00A56C6F" w:rsidP="00EE2D88">
      <w:pPr>
        <w:pStyle w:val="FGCNORMAL"/>
        <w:ind w:left="1440"/>
      </w:pPr>
      <w:r>
        <w:t xml:space="preserve">NDIS Commission ‒ </w:t>
      </w:r>
      <w:r w:rsidRPr="00331384">
        <w:t>NDIS Quality and Safeguards Commission</w:t>
      </w:r>
    </w:p>
    <w:p w14:paraId="28609D68" w14:textId="77777777" w:rsidR="00A56C6F" w:rsidRPr="00331384" w:rsidRDefault="00A56C6F" w:rsidP="00EE2D88">
      <w:pPr>
        <w:pStyle w:val="FGCNORMAL"/>
        <w:ind w:left="1440"/>
      </w:pPr>
      <w:r>
        <w:t xml:space="preserve">NDIS or the Scheme ‒ </w:t>
      </w:r>
      <w:r w:rsidRPr="00331384">
        <w:t>National Disability Insurance Scheme</w:t>
      </w:r>
    </w:p>
    <w:p w14:paraId="54A9609C" w14:textId="77777777" w:rsidR="00A56C6F" w:rsidRPr="00331384" w:rsidRDefault="00A56C6F" w:rsidP="00EE2D88">
      <w:pPr>
        <w:pStyle w:val="FGCNORMAL"/>
        <w:ind w:left="1440"/>
      </w:pPr>
      <w:r>
        <w:t xml:space="preserve">NMHSRG ‒ </w:t>
      </w:r>
      <w:r w:rsidRPr="00331384">
        <w:t xml:space="preserve">NDIS Mental Health Sector Reference Group </w:t>
      </w:r>
    </w:p>
    <w:p w14:paraId="7DF2978D" w14:textId="77777777" w:rsidR="00A56C6F" w:rsidRPr="00331384" w:rsidRDefault="00A56C6F" w:rsidP="00EE2D88">
      <w:pPr>
        <w:pStyle w:val="FGCNORMAL"/>
        <w:ind w:left="1440"/>
      </w:pPr>
      <w:r>
        <w:t xml:space="preserve">NSW ADC ‒ </w:t>
      </w:r>
      <w:r w:rsidRPr="00331384">
        <w:t xml:space="preserve">New South Wales Ageing and Disability Commission </w:t>
      </w:r>
    </w:p>
    <w:p w14:paraId="5EACED24" w14:textId="77777777" w:rsidR="00A56C6F" w:rsidRPr="00331384" w:rsidRDefault="00A56C6F" w:rsidP="00EE2D88">
      <w:pPr>
        <w:pStyle w:val="FGCNORMAL"/>
        <w:ind w:left="1440"/>
      </w:pPr>
      <w:r>
        <w:t xml:space="preserve">OCO ‒ </w:t>
      </w:r>
      <w:r w:rsidRPr="00331384">
        <w:t>Office of the Commonwealth Ombudsman</w:t>
      </w:r>
    </w:p>
    <w:p w14:paraId="2B125944" w14:textId="77777777" w:rsidR="00A56C6F" w:rsidRPr="00AF2A75" w:rsidRDefault="00A56C6F" w:rsidP="00EE2D88">
      <w:pPr>
        <w:pStyle w:val="FGCNORMAL"/>
        <w:ind w:left="1440"/>
        <w:rPr>
          <w:rStyle w:val="FGCEMPHASIS"/>
          <w:b w:val="0"/>
          <w:bCs w:val="0"/>
        </w:rPr>
      </w:pPr>
      <w:r w:rsidRPr="00295C5E">
        <w:rPr>
          <w:rStyle w:val="FGCEMPHASIS"/>
          <w:b w:val="0"/>
          <w:bCs w:val="0"/>
        </w:rPr>
        <w:t>PBS</w:t>
      </w:r>
      <w:r w:rsidRPr="00295C5E">
        <w:rPr>
          <w:b/>
        </w:rPr>
        <w:t xml:space="preserve"> ‒ </w:t>
      </w:r>
      <w:r w:rsidRPr="00295C5E">
        <w:rPr>
          <w:rStyle w:val="FGCEMPHASIS"/>
          <w:b w:val="0"/>
          <w:bCs w:val="0"/>
        </w:rPr>
        <w:t>NDIA Portfolio Budget Statements 2021–22</w:t>
      </w:r>
    </w:p>
    <w:p w14:paraId="79F761B6" w14:textId="77777777" w:rsidR="00A56C6F" w:rsidRPr="00331384" w:rsidRDefault="00A56C6F" w:rsidP="00EE2D88">
      <w:pPr>
        <w:pStyle w:val="FGCNORMAL"/>
        <w:ind w:left="1440"/>
      </w:pPr>
      <w:r>
        <w:t xml:space="preserve">PEP ‒ </w:t>
      </w:r>
      <w:r w:rsidRPr="00331384">
        <w:t>Participant Engagement Panel</w:t>
      </w:r>
    </w:p>
    <w:p w14:paraId="226C856B" w14:textId="77777777" w:rsidR="00A56C6F" w:rsidRPr="00331384" w:rsidRDefault="00A56C6F" w:rsidP="00EE2D88">
      <w:pPr>
        <w:pStyle w:val="FGCNORMAL"/>
        <w:ind w:left="1440"/>
      </w:pPr>
      <w:r>
        <w:t xml:space="preserve">PGPA Act ‒ </w:t>
      </w:r>
      <w:r w:rsidRPr="00331384">
        <w:rPr>
          <w:i/>
          <w:iCs/>
        </w:rPr>
        <w:t>Public Governance, Performance and Accountability Act 2013</w:t>
      </w:r>
    </w:p>
    <w:p w14:paraId="38472EEA" w14:textId="77777777" w:rsidR="00A56C6F" w:rsidRDefault="00A56C6F" w:rsidP="00EE2D88">
      <w:pPr>
        <w:pStyle w:val="FGCNORMAL"/>
        <w:ind w:left="1440"/>
      </w:pPr>
      <w:r w:rsidRPr="00DF3454">
        <w:t xml:space="preserve">PGPA Rule </w:t>
      </w:r>
      <w:r>
        <w:t xml:space="preserve">‒ </w:t>
      </w:r>
      <w:r w:rsidRPr="00DF3454">
        <w:t>Public Governance, Performance and Accountability Rule 2014</w:t>
      </w:r>
    </w:p>
    <w:p w14:paraId="1DDFA711" w14:textId="77777777" w:rsidR="00A56C6F" w:rsidRPr="00331384" w:rsidRDefault="00A56C6F" w:rsidP="00EE2D88">
      <w:pPr>
        <w:pStyle w:val="FGCNORMAL"/>
        <w:ind w:left="1440"/>
      </w:pPr>
      <w:r>
        <w:t xml:space="preserve">PIA ‒ </w:t>
      </w:r>
      <w:r w:rsidRPr="00331384">
        <w:t>Public Information Access scheme</w:t>
      </w:r>
    </w:p>
    <w:p w14:paraId="28190BC6" w14:textId="0CD33CBA" w:rsidR="00A56C6F" w:rsidRPr="00331384" w:rsidRDefault="00A56C6F" w:rsidP="00EE2D88">
      <w:pPr>
        <w:pStyle w:val="FGCNORMAL"/>
        <w:ind w:left="1440"/>
      </w:pPr>
      <w:r>
        <w:rPr>
          <w:rStyle w:val="normaltextrun"/>
          <w:bCs/>
          <w:shd w:val="clear" w:color="auto" w:fill="FFFFFF"/>
        </w:rPr>
        <w:t>PITC</w:t>
      </w:r>
      <w:r>
        <w:t xml:space="preserve"> ‒ </w:t>
      </w:r>
      <w:r w:rsidRPr="00331384">
        <w:rPr>
          <w:rStyle w:val="normaltextrun"/>
          <w:bCs/>
          <w:shd w:val="clear" w:color="auto" w:fill="FFFFFF"/>
        </w:rPr>
        <w:t xml:space="preserve">Partners in the </w:t>
      </w:r>
      <w:r w:rsidR="009A5DED">
        <w:rPr>
          <w:rStyle w:val="normaltextrun"/>
          <w:bCs/>
          <w:shd w:val="clear" w:color="auto" w:fill="FFFFFF"/>
        </w:rPr>
        <w:t>c</w:t>
      </w:r>
      <w:r w:rsidRPr="00331384">
        <w:rPr>
          <w:rStyle w:val="normaltextrun"/>
          <w:bCs/>
          <w:shd w:val="clear" w:color="auto" w:fill="FFFFFF"/>
        </w:rPr>
        <w:t>ommunity</w:t>
      </w:r>
    </w:p>
    <w:p w14:paraId="63E5612D" w14:textId="77777777" w:rsidR="00A56C6F" w:rsidRPr="00331384" w:rsidRDefault="00A56C6F" w:rsidP="00EE2D88">
      <w:pPr>
        <w:pStyle w:val="FGCNORMAL"/>
        <w:ind w:left="1440"/>
      </w:pPr>
      <w:r>
        <w:t xml:space="preserve">PRG ‒ </w:t>
      </w:r>
      <w:r w:rsidRPr="00331384">
        <w:t>Participant Reference Group</w:t>
      </w:r>
    </w:p>
    <w:p w14:paraId="71CDE8AA" w14:textId="77777777" w:rsidR="00A56C6F" w:rsidRPr="00331384" w:rsidRDefault="00A56C6F" w:rsidP="00EE2D88">
      <w:pPr>
        <w:pStyle w:val="FGCNORMAL"/>
        <w:ind w:left="1440"/>
      </w:pPr>
      <w:r>
        <w:t xml:space="preserve">PSG ‒ </w:t>
      </w:r>
      <w:r w:rsidRPr="00331384">
        <w:t>Participant Service Guarantee</w:t>
      </w:r>
    </w:p>
    <w:p w14:paraId="0363C27D" w14:textId="77777777" w:rsidR="00A56C6F" w:rsidRPr="00331384" w:rsidRDefault="00A56C6F" w:rsidP="00EE2D88">
      <w:pPr>
        <w:pStyle w:val="FGCNORMAL"/>
        <w:ind w:left="1440"/>
      </w:pPr>
      <w:r>
        <w:t xml:space="preserve">RAP ‒ </w:t>
      </w:r>
      <w:r w:rsidRPr="00331384">
        <w:t>Reconciliation Action Plan</w:t>
      </w:r>
    </w:p>
    <w:p w14:paraId="2528EB49" w14:textId="77777777" w:rsidR="00A56C6F" w:rsidRPr="00331384" w:rsidRDefault="00A56C6F" w:rsidP="00EE2D88">
      <w:pPr>
        <w:pStyle w:val="FGCNORMAL"/>
        <w:ind w:left="1440"/>
      </w:pPr>
      <w:r>
        <w:t xml:space="preserve">RAT ‒ </w:t>
      </w:r>
      <w:r w:rsidRPr="00331384">
        <w:t>rapid antigen test</w:t>
      </w:r>
    </w:p>
    <w:p w14:paraId="068E2687" w14:textId="77777777" w:rsidR="00A56C6F" w:rsidRDefault="00A56C6F" w:rsidP="00EE2D88">
      <w:pPr>
        <w:pStyle w:val="FGCNORMAL"/>
        <w:ind w:left="1440"/>
      </w:pPr>
      <w:r>
        <w:t xml:space="preserve">Scheme ‒ </w:t>
      </w:r>
      <w:r w:rsidRPr="00DF3454">
        <w:t>National Disability Insurance Scheme</w:t>
      </w:r>
    </w:p>
    <w:p w14:paraId="1668B0D5" w14:textId="77777777" w:rsidR="00A56C6F" w:rsidRPr="00331384" w:rsidRDefault="00A56C6F" w:rsidP="00EE2D88">
      <w:pPr>
        <w:pStyle w:val="FGCNORMAL"/>
        <w:ind w:left="1440"/>
      </w:pPr>
      <w:r>
        <w:t>SDA ‒ s</w:t>
      </w:r>
      <w:r w:rsidRPr="00331384">
        <w:t xml:space="preserve">pecialist </w:t>
      </w:r>
      <w:r>
        <w:t>d</w:t>
      </w:r>
      <w:r w:rsidRPr="00331384">
        <w:t xml:space="preserve">isability </w:t>
      </w:r>
      <w:r>
        <w:t>a</w:t>
      </w:r>
      <w:r w:rsidRPr="00331384">
        <w:t>ccommodation</w:t>
      </w:r>
    </w:p>
    <w:p w14:paraId="4954A02A" w14:textId="77777777" w:rsidR="00A56C6F" w:rsidRDefault="00A56C6F" w:rsidP="00EE2D88">
      <w:pPr>
        <w:pStyle w:val="FGCNORMAL"/>
        <w:ind w:left="1440"/>
      </w:pPr>
      <w:r>
        <w:t xml:space="preserve">SES ‒ </w:t>
      </w:r>
      <w:r w:rsidRPr="00DF3454">
        <w:t>Senior Executive Service</w:t>
      </w:r>
    </w:p>
    <w:p w14:paraId="4E913B5B" w14:textId="77777777" w:rsidR="00A56C6F" w:rsidRPr="00331384" w:rsidRDefault="00A56C6F" w:rsidP="00EE2D88">
      <w:pPr>
        <w:pStyle w:val="FGCNORMAL"/>
        <w:ind w:left="1440"/>
      </w:pPr>
      <w:r>
        <w:t xml:space="preserve">SIL ‒ </w:t>
      </w:r>
      <w:r w:rsidRPr="00331384">
        <w:t>supported independent living</w:t>
      </w:r>
    </w:p>
    <w:p w14:paraId="349EF291" w14:textId="77777777" w:rsidR="00A56C6F" w:rsidRPr="00331384" w:rsidRDefault="00A56C6F" w:rsidP="00EE2D88">
      <w:pPr>
        <w:pStyle w:val="FGCNORMAL"/>
        <w:ind w:left="1440"/>
      </w:pPr>
      <w:r>
        <w:t xml:space="preserve">SIP ‒ </w:t>
      </w:r>
      <w:r w:rsidRPr="00331384">
        <w:t>Participant Service Improvement Plan</w:t>
      </w:r>
    </w:p>
    <w:p w14:paraId="50CC7CB7" w14:textId="77777777" w:rsidR="00A56C6F" w:rsidRPr="00331384" w:rsidRDefault="00A56C6F" w:rsidP="00EE2D88">
      <w:pPr>
        <w:pStyle w:val="FGCNORMAL"/>
        <w:ind w:left="1440"/>
      </w:pPr>
      <w:r>
        <w:t xml:space="preserve">SLA ‒ </w:t>
      </w:r>
      <w:r w:rsidRPr="00331384">
        <w:t>service level agreement</w:t>
      </w:r>
    </w:p>
    <w:p w14:paraId="61AD6923" w14:textId="2D2950A7" w:rsidR="00A56C6F" w:rsidRDefault="00A56C6F" w:rsidP="00EE2D88">
      <w:pPr>
        <w:pStyle w:val="FGCNORMAL"/>
        <w:ind w:left="1440"/>
      </w:pPr>
      <w:r>
        <w:t xml:space="preserve">WHS ‒ </w:t>
      </w:r>
      <w:r w:rsidR="00F51BB5">
        <w:t xml:space="preserve">Work </w:t>
      </w:r>
      <w:r>
        <w:t>health and safety</w:t>
      </w:r>
    </w:p>
    <w:p w14:paraId="54A74F50" w14:textId="77777777" w:rsidR="00A56C6F" w:rsidRDefault="00A56C6F" w:rsidP="00EE2D88">
      <w:pPr>
        <w:pStyle w:val="FGCNORMAL"/>
        <w:ind w:left="1440"/>
      </w:pPr>
      <w:r>
        <w:t xml:space="preserve">WHS Act ‒ </w:t>
      </w:r>
      <w:r w:rsidRPr="00DF3454">
        <w:rPr>
          <w:i/>
          <w:iCs/>
        </w:rPr>
        <w:t>Work Health and Safety Act 2011</w:t>
      </w:r>
    </w:p>
    <w:p w14:paraId="319A839C" w14:textId="77777777" w:rsidR="00A56C6F" w:rsidRPr="00331384" w:rsidRDefault="00A56C6F" w:rsidP="00EE2D88">
      <w:pPr>
        <w:pStyle w:val="FGCNORMAL"/>
        <w:ind w:left="1440"/>
      </w:pPr>
      <w:r>
        <w:t xml:space="preserve">YPIRAC Strategy ‒ </w:t>
      </w:r>
      <w:r w:rsidRPr="00331384">
        <w:t>Younger People in Residential Aged Care Strategy 2020–25</w:t>
      </w:r>
    </w:p>
    <w:p w14:paraId="054EE492" w14:textId="77777777" w:rsidR="00677C63" w:rsidRPr="00D2134C" w:rsidRDefault="00677C63" w:rsidP="00677C63">
      <w:pPr>
        <w:pStyle w:val="FGCHEADING1"/>
      </w:pPr>
      <w:bookmarkStart w:id="686" w:name="_Toc51068020"/>
      <w:bookmarkStart w:id="687" w:name="_Toc110532573"/>
      <w:bookmarkStart w:id="688" w:name="_Toc114477572"/>
      <w:bookmarkStart w:id="689" w:name="_Toc116473942"/>
      <w:r w:rsidRPr="00D2134C">
        <w:lastRenderedPageBreak/>
        <w:t>Index</w:t>
      </w:r>
      <w:bookmarkEnd w:id="686"/>
      <w:r w:rsidRPr="00D2134C">
        <w:t>es</w:t>
      </w:r>
      <w:bookmarkEnd w:id="687"/>
      <w:bookmarkEnd w:id="688"/>
      <w:bookmarkEnd w:id="689"/>
    </w:p>
    <w:p w14:paraId="3EA359AE" w14:textId="4952B3E1" w:rsidR="00677C63" w:rsidRPr="00D2134C" w:rsidRDefault="00677C63" w:rsidP="00873C47">
      <w:pPr>
        <w:pStyle w:val="FGCHEADING2"/>
        <w:numPr>
          <w:ilvl w:val="1"/>
          <w:numId w:val="25"/>
        </w:numPr>
      </w:pPr>
      <w:bookmarkStart w:id="690" w:name="_Toc51068021"/>
      <w:bookmarkStart w:id="691" w:name="_Toc110532574"/>
      <w:bookmarkStart w:id="692" w:name="_Toc114477573"/>
      <w:bookmarkStart w:id="693" w:name="_Toc116473943"/>
      <w:r w:rsidRPr="00D2134C">
        <w:t>Compliance index</w:t>
      </w:r>
      <w:bookmarkEnd w:id="685"/>
      <w:bookmarkEnd w:id="690"/>
      <w:bookmarkEnd w:id="691"/>
      <w:bookmarkEnd w:id="692"/>
      <w:bookmarkEnd w:id="693"/>
      <w:r w:rsidRPr="00D2134C">
        <w:t xml:space="preserve"> </w:t>
      </w:r>
    </w:p>
    <w:p w14:paraId="1BB43B3C" w14:textId="77777777" w:rsidR="00677C63" w:rsidRPr="00D2134C" w:rsidRDefault="00677C63" w:rsidP="00677C63">
      <w:r w:rsidRPr="00D2134C">
        <w:t>Below is the table set out in Schedule 2A of the PGPA Rule. Section 17BE(u) requires this table be included in entities’ annual reports.</w:t>
      </w:r>
    </w:p>
    <w:tbl>
      <w:tblPr>
        <w:tblStyle w:val="GridTable2-Accent31"/>
        <w:tblW w:w="4735" w:type="pct"/>
        <w:tblInd w:w="567" w:type="dxa"/>
        <w:tblLook w:val="04A0" w:firstRow="1" w:lastRow="0" w:firstColumn="1" w:lastColumn="0" w:noHBand="0" w:noVBand="1"/>
      </w:tblPr>
      <w:tblGrid>
        <w:gridCol w:w="1701"/>
        <w:gridCol w:w="1701"/>
        <w:gridCol w:w="3546"/>
        <w:gridCol w:w="1600"/>
      </w:tblGrid>
      <w:tr w:rsidR="004471AA" w:rsidRPr="00D2134C" w14:paraId="35C7BDD6" w14:textId="77777777" w:rsidTr="00EE2D88">
        <w:trPr>
          <w:cnfStyle w:val="100000000000" w:firstRow="1" w:lastRow="0" w:firstColumn="0" w:lastColumn="0" w:oddVBand="0" w:evenVBand="0" w:oddHBand="0" w:evenHBand="0" w:firstRowFirstColumn="0" w:firstRowLastColumn="0" w:lastRowFirstColumn="0" w:lastRowLastColumn="0"/>
          <w:trHeight w:val="361"/>
          <w:tblHeader/>
        </w:trPr>
        <w:tc>
          <w:tcPr>
            <w:cnfStyle w:val="001000000000" w:firstRow="0" w:lastRow="0" w:firstColumn="1" w:lastColumn="0" w:oddVBand="0" w:evenVBand="0" w:oddHBand="0" w:evenHBand="0" w:firstRowFirstColumn="0" w:firstRowLastColumn="0" w:lastRowFirstColumn="0" w:lastRowLastColumn="0"/>
            <w:tcW w:w="995" w:type="pct"/>
            <w:hideMark/>
          </w:tcPr>
          <w:p w14:paraId="6C512A29" w14:textId="44EBC8A6" w:rsidR="004471AA" w:rsidRPr="00D2134C" w:rsidRDefault="004471AA" w:rsidP="004471AA">
            <w:pPr>
              <w:pStyle w:val="Tableformat"/>
              <w:rPr>
                <w:b w:val="0"/>
                <w:bCs w:val="0"/>
              </w:rPr>
            </w:pPr>
            <w:bookmarkStart w:id="694" w:name="_Hlk113477874"/>
            <w:r w:rsidRPr="00D2134C">
              <w:t xml:space="preserve">PGPA Rule </w:t>
            </w:r>
            <w:r w:rsidR="008330CF">
              <w:t>r</w:t>
            </w:r>
            <w:r w:rsidRPr="00D2134C">
              <w:t>eference</w:t>
            </w:r>
          </w:p>
        </w:tc>
        <w:tc>
          <w:tcPr>
            <w:tcW w:w="995" w:type="pct"/>
            <w:hideMark/>
          </w:tcPr>
          <w:p w14:paraId="00CB5E09" w14:textId="247D509D" w:rsidR="004471AA" w:rsidRPr="00D2134C" w:rsidRDefault="004471AA" w:rsidP="004471AA">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 xml:space="preserve">Part of </w:t>
            </w:r>
            <w:r w:rsidR="008330CF">
              <w:t>r</w:t>
            </w:r>
            <w:r w:rsidRPr="00D2134C">
              <w:t>eport</w:t>
            </w:r>
          </w:p>
        </w:tc>
        <w:tc>
          <w:tcPr>
            <w:tcW w:w="2074" w:type="pct"/>
            <w:hideMark/>
          </w:tcPr>
          <w:p w14:paraId="14E32B8E" w14:textId="0BE942B9" w:rsidR="004471AA" w:rsidRPr="00D2134C" w:rsidRDefault="004471AA" w:rsidP="004471AA">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Description</w:t>
            </w:r>
          </w:p>
        </w:tc>
        <w:tc>
          <w:tcPr>
            <w:tcW w:w="936" w:type="pct"/>
            <w:hideMark/>
          </w:tcPr>
          <w:p w14:paraId="6A0AA779" w14:textId="4580E779" w:rsidR="004471AA" w:rsidRPr="00D2134C" w:rsidRDefault="004471AA" w:rsidP="004471AA">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Requirement</w:t>
            </w:r>
          </w:p>
        </w:tc>
      </w:tr>
      <w:tr w:rsidR="00677C63" w:rsidRPr="00D2134C" w14:paraId="73C8694F"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4ACA9A0D" w14:textId="77777777" w:rsidR="00677C63" w:rsidRPr="00D2134C" w:rsidRDefault="00677C63" w:rsidP="00E665B7">
            <w:pPr>
              <w:pStyle w:val="Tableformat"/>
            </w:pPr>
            <w:r w:rsidRPr="00D2134C">
              <w:t>17BE</w:t>
            </w:r>
          </w:p>
        </w:tc>
        <w:tc>
          <w:tcPr>
            <w:tcW w:w="3069" w:type="pct"/>
            <w:gridSpan w:val="2"/>
            <w:hideMark/>
          </w:tcPr>
          <w:p w14:paraId="5984C05C"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Contents of annual report</w:t>
            </w:r>
          </w:p>
        </w:tc>
        <w:tc>
          <w:tcPr>
            <w:tcW w:w="936" w:type="pct"/>
            <w:hideMark/>
          </w:tcPr>
          <w:p w14:paraId="54D468E1"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w:t>
            </w:r>
          </w:p>
        </w:tc>
      </w:tr>
      <w:tr w:rsidR="00677C63" w:rsidRPr="00D2134C" w14:paraId="0A1A7560"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6A7CF947" w14:textId="77777777" w:rsidR="00677C63" w:rsidRPr="00D2134C" w:rsidRDefault="00677C63" w:rsidP="00E665B7">
            <w:pPr>
              <w:pStyle w:val="Tableformat"/>
            </w:pPr>
            <w:r w:rsidRPr="00D2134C">
              <w:t>17BE(a)</w:t>
            </w:r>
          </w:p>
        </w:tc>
        <w:tc>
          <w:tcPr>
            <w:tcW w:w="995" w:type="pct"/>
            <w:hideMark/>
          </w:tcPr>
          <w:p w14:paraId="5774031D"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xml:space="preserve"> 5.1 </w:t>
            </w:r>
          </w:p>
        </w:tc>
        <w:tc>
          <w:tcPr>
            <w:tcW w:w="2074" w:type="pct"/>
            <w:hideMark/>
          </w:tcPr>
          <w:p w14:paraId="18A86613"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Details of the legislation establishing the body</w:t>
            </w:r>
          </w:p>
        </w:tc>
        <w:tc>
          <w:tcPr>
            <w:tcW w:w="936" w:type="pct"/>
            <w:hideMark/>
          </w:tcPr>
          <w:p w14:paraId="0F60A805"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2AD687D5"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3415A823" w14:textId="77777777" w:rsidR="00677C63" w:rsidRPr="00D2134C" w:rsidRDefault="00677C63" w:rsidP="00E665B7">
            <w:pPr>
              <w:pStyle w:val="Tableformat"/>
            </w:pPr>
            <w:r w:rsidRPr="00D2134C">
              <w:t>17BE(b)(i)</w:t>
            </w:r>
          </w:p>
        </w:tc>
        <w:tc>
          <w:tcPr>
            <w:tcW w:w="995" w:type="pct"/>
            <w:hideMark/>
          </w:tcPr>
          <w:p w14:paraId="3DE00C6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3.3, 5.1</w:t>
            </w:r>
          </w:p>
        </w:tc>
        <w:tc>
          <w:tcPr>
            <w:tcW w:w="2074" w:type="pct"/>
            <w:hideMark/>
          </w:tcPr>
          <w:p w14:paraId="57487C0C"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 summary of the objects and functions of the entity as set out in legislation</w:t>
            </w:r>
          </w:p>
        </w:tc>
        <w:tc>
          <w:tcPr>
            <w:tcW w:w="936" w:type="pct"/>
            <w:hideMark/>
          </w:tcPr>
          <w:p w14:paraId="12CBADC8"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60AA0E69"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0325B65F" w14:textId="77777777" w:rsidR="00677C63" w:rsidRPr="00D2134C" w:rsidRDefault="00677C63" w:rsidP="00E665B7">
            <w:pPr>
              <w:pStyle w:val="Tableformat"/>
            </w:pPr>
            <w:r w:rsidRPr="00D2134C">
              <w:t>17BE(b)(ii)</w:t>
            </w:r>
          </w:p>
        </w:tc>
        <w:tc>
          <w:tcPr>
            <w:tcW w:w="995" w:type="pct"/>
            <w:hideMark/>
          </w:tcPr>
          <w:p w14:paraId="58D212A2" w14:textId="3C1136EA" w:rsidR="00677C63" w:rsidRPr="00D2134C" w:rsidRDefault="004D6515" w:rsidP="00E665B7">
            <w:pPr>
              <w:pStyle w:val="Tableformat"/>
              <w:cnfStyle w:val="000000000000" w:firstRow="0" w:lastRow="0" w:firstColumn="0" w:lastColumn="0" w:oddVBand="0" w:evenVBand="0" w:oddHBand="0" w:evenHBand="0" w:firstRowFirstColumn="0" w:firstRowLastColumn="0" w:lastRowFirstColumn="0" w:lastRowLastColumn="0"/>
            </w:pPr>
            <w:r>
              <w:t>2.2.1,</w:t>
            </w:r>
            <w:r w:rsidR="00210A3C">
              <w:t xml:space="preserve"> </w:t>
            </w:r>
            <w:r w:rsidR="00E3620B">
              <w:t>5.1</w:t>
            </w:r>
            <w:r w:rsidR="00677C63" w:rsidRPr="00D2134C">
              <w:t xml:space="preserve"> </w:t>
            </w:r>
          </w:p>
        </w:tc>
        <w:tc>
          <w:tcPr>
            <w:tcW w:w="2074" w:type="pct"/>
            <w:hideMark/>
          </w:tcPr>
          <w:p w14:paraId="0E21AC92"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The purposes of the entity as included in the entity’s corporate plan for the reporting period</w:t>
            </w:r>
          </w:p>
        </w:tc>
        <w:tc>
          <w:tcPr>
            <w:tcW w:w="936" w:type="pct"/>
            <w:hideMark/>
          </w:tcPr>
          <w:p w14:paraId="3CE60DBE"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7490894F"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76F7AA8F" w14:textId="77777777" w:rsidR="00677C63" w:rsidRPr="00D2134C" w:rsidRDefault="00677C63" w:rsidP="00E665B7">
            <w:pPr>
              <w:pStyle w:val="Tableformat"/>
            </w:pPr>
            <w:r w:rsidRPr="00D2134C">
              <w:t>17BE(c)</w:t>
            </w:r>
          </w:p>
        </w:tc>
        <w:tc>
          <w:tcPr>
            <w:tcW w:w="995" w:type="pct"/>
            <w:hideMark/>
          </w:tcPr>
          <w:p w14:paraId="165716AE"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4.1.1</w:t>
            </w:r>
          </w:p>
        </w:tc>
        <w:tc>
          <w:tcPr>
            <w:tcW w:w="2074" w:type="pct"/>
            <w:hideMark/>
          </w:tcPr>
          <w:p w14:paraId="260DC5E3"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The names of the persons holding the position of responsible Minister or responsible Ministers during the reporting period, and the titles of those responsible Ministers</w:t>
            </w:r>
          </w:p>
        </w:tc>
        <w:tc>
          <w:tcPr>
            <w:tcW w:w="936" w:type="pct"/>
            <w:hideMark/>
          </w:tcPr>
          <w:p w14:paraId="796D6389"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7BAB962E"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67F0965B" w14:textId="77777777" w:rsidR="00677C63" w:rsidRPr="00D2134C" w:rsidRDefault="00677C63" w:rsidP="00E665B7">
            <w:pPr>
              <w:pStyle w:val="Tableformat"/>
            </w:pPr>
            <w:r w:rsidRPr="00D2134C">
              <w:t>17BE(d)</w:t>
            </w:r>
          </w:p>
        </w:tc>
        <w:tc>
          <w:tcPr>
            <w:tcW w:w="995" w:type="pct"/>
            <w:hideMark/>
          </w:tcPr>
          <w:p w14:paraId="13C5083D" w14:textId="3ED18B76"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5.</w:t>
            </w:r>
            <w:r w:rsidR="00173DE2">
              <w:t>9</w:t>
            </w:r>
          </w:p>
        </w:tc>
        <w:tc>
          <w:tcPr>
            <w:tcW w:w="2074" w:type="pct"/>
            <w:hideMark/>
          </w:tcPr>
          <w:p w14:paraId="08D9C436"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Directions given to the entity by the Minister under an Act or instrument during the reporting period</w:t>
            </w:r>
          </w:p>
        </w:tc>
        <w:tc>
          <w:tcPr>
            <w:tcW w:w="936" w:type="pct"/>
            <w:hideMark/>
          </w:tcPr>
          <w:p w14:paraId="2548FA00"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If applicable, mandatory</w:t>
            </w:r>
          </w:p>
        </w:tc>
      </w:tr>
      <w:tr w:rsidR="00677C63" w:rsidRPr="00D2134C" w14:paraId="1A31F37A"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00AD6E28" w14:textId="77777777" w:rsidR="00677C63" w:rsidRPr="00D2134C" w:rsidRDefault="00677C63" w:rsidP="00E665B7">
            <w:pPr>
              <w:pStyle w:val="Tableformat"/>
            </w:pPr>
            <w:r w:rsidRPr="00D2134C">
              <w:t>17BE(e)</w:t>
            </w:r>
          </w:p>
        </w:tc>
        <w:tc>
          <w:tcPr>
            <w:tcW w:w="995" w:type="pct"/>
            <w:hideMark/>
          </w:tcPr>
          <w:p w14:paraId="1867A95C" w14:textId="4F3DA0AD"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5.</w:t>
            </w:r>
            <w:r w:rsidR="003E5FC5">
              <w:t>9</w:t>
            </w:r>
          </w:p>
        </w:tc>
        <w:tc>
          <w:tcPr>
            <w:tcW w:w="2074" w:type="pct"/>
            <w:hideMark/>
          </w:tcPr>
          <w:p w14:paraId="5BD8E412"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Any government policy order that applied in relation to the entity during the reporting period under section 22 of the Act</w:t>
            </w:r>
          </w:p>
        </w:tc>
        <w:tc>
          <w:tcPr>
            <w:tcW w:w="936" w:type="pct"/>
            <w:hideMark/>
          </w:tcPr>
          <w:p w14:paraId="2AB26DFB"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If applicable, mandatory</w:t>
            </w:r>
          </w:p>
        </w:tc>
      </w:tr>
      <w:tr w:rsidR="00677C63" w:rsidRPr="00D2134C" w14:paraId="35A8FC32"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09565921" w14:textId="77777777" w:rsidR="00677C63" w:rsidRPr="00D2134C" w:rsidRDefault="00677C63" w:rsidP="00E665B7">
            <w:pPr>
              <w:pStyle w:val="Tableformat"/>
            </w:pPr>
            <w:r w:rsidRPr="00D2134C">
              <w:t>17BE(f)</w:t>
            </w:r>
          </w:p>
        </w:tc>
        <w:tc>
          <w:tcPr>
            <w:tcW w:w="995" w:type="pct"/>
            <w:hideMark/>
          </w:tcPr>
          <w:p w14:paraId="50A5F73E" w14:textId="7B4CDBE8"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5.</w:t>
            </w:r>
            <w:r w:rsidR="003E5FC5">
              <w:t>9</w:t>
            </w:r>
          </w:p>
        </w:tc>
        <w:tc>
          <w:tcPr>
            <w:tcW w:w="2074" w:type="pct"/>
            <w:hideMark/>
          </w:tcPr>
          <w:p w14:paraId="0A0ADE78" w14:textId="768A555F"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proofErr w:type="gramStart"/>
            <w:r w:rsidRPr="00D2134C">
              <w:t>Particulars of</w:t>
            </w:r>
            <w:proofErr w:type="gramEnd"/>
            <w:r w:rsidRPr="00D2134C">
              <w:t xml:space="preserve"> </w:t>
            </w:r>
            <w:r w:rsidR="00465AFC">
              <w:t>noncompliance</w:t>
            </w:r>
            <w:r w:rsidRPr="00D2134C">
              <w:t xml:space="preserve"> with:</w:t>
            </w:r>
          </w:p>
          <w:p w14:paraId="5E054602"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(a) a direction given to the entity by the Minister under an Act or instrument during the reporting period, or</w:t>
            </w:r>
          </w:p>
          <w:p w14:paraId="0B5B9F35"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(b) a government policy order that applied in relation to the entity during the reporting period under section 22 of the Act</w:t>
            </w:r>
          </w:p>
        </w:tc>
        <w:tc>
          <w:tcPr>
            <w:tcW w:w="936" w:type="pct"/>
            <w:hideMark/>
          </w:tcPr>
          <w:p w14:paraId="54F77DFB"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If applicable, mandatory</w:t>
            </w:r>
          </w:p>
        </w:tc>
      </w:tr>
      <w:tr w:rsidR="00677C63" w:rsidRPr="00D2134C" w14:paraId="2F7E0762"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2EDFE73A" w14:textId="77777777" w:rsidR="00677C63" w:rsidRPr="00D2134C" w:rsidRDefault="00677C63" w:rsidP="00E665B7">
            <w:pPr>
              <w:pStyle w:val="Tableformat"/>
            </w:pPr>
            <w:r w:rsidRPr="00D2134C">
              <w:t>17BE(g)</w:t>
            </w:r>
          </w:p>
        </w:tc>
        <w:tc>
          <w:tcPr>
            <w:tcW w:w="995" w:type="pct"/>
            <w:hideMark/>
          </w:tcPr>
          <w:p w14:paraId="5EB66679"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3.3</w:t>
            </w:r>
          </w:p>
        </w:tc>
        <w:tc>
          <w:tcPr>
            <w:tcW w:w="2074" w:type="pct"/>
            <w:hideMark/>
          </w:tcPr>
          <w:p w14:paraId="168617F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Annual performance statements in accordance with paragraph 39(1)(b) of the Act and section 16F of the rule</w:t>
            </w:r>
          </w:p>
        </w:tc>
        <w:tc>
          <w:tcPr>
            <w:tcW w:w="936" w:type="pct"/>
            <w:hideMark/>
          </w:tcPr>
          <w:p w14:paraId="3151F057"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0C87999C"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10EE02E9" w14:textId="77777777" w:rsidR="00677C63" w:rsidRPr="00D2134C" w:rsidRDefault="00677C63" w:rsidP="00E665B7">
            <w:pPr>
              <w:pStyle w:val="Tableformat"/>
            </w:pPr>
            <w:r w:rsidRPr="00D2134C">
              <w:t>17BE(h), 17BE(i)</w:t>
            </w:r>
          </w:p>
        </w:tc>
        <w:tc>
          <w:tcPr>
            <w:tcW w:w="995" w:type="pct"/>
            <w:hideMark/>
          </w:tcPr>
          <w:p w14:paraId="15F262FD" w14:textId="6E9D67C0"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5.</w:t>
            </w:r>
            <w:r w:rsidR="003E5FC5">
              <w:t>9</w:t>
            </w:r>
          </w:p>
        </w:tc>
        <w:tc>
          <w:tcPr>
            <w:tcW w:w="2074" w:type="pct"/>
            <w:hideMark/>
          </w:tcPr>
          <w:p w14:paraId="0ECC3C2F" w14:textId="1E0ABEF4"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xml:space="preserve">A statement of significant issues reported to the Minister under paragraph 19(1)(e) of the Act that relates to </w:t>
            </w:r>
            <w:r w:rsidR="00465AFC">
              <w:t>noncompliance</w:t>
            </w:r>
            <w:r w:rsidRPr="00D2134C">
              <w:t xml:space="preserve"> with </w:t>
            </w:r>
            <w:r w:rsidRPr="00D2134C">
              <w:lastRenderedPageBreak/>
              <w:t xml:space="preserve">finance law and action taken to remedy </w:t>
            </w:r>
            <w:r w:rsidR="00465AFC">
              <w:t>noncompliance</w:t>
            </w:r>
          </w:p>
        </w:tc>
        <w:tc>
          <w:tcPr>
            <w:tcW w:w="936" w:type="pct"/>
            <w:hideMark/>
          </w:tcPr>
          <w:p w14:paraId="4C2D9A5C"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lastRenderedPageBreak/>
              <w:t>If applicable, mandatory</w:t>
            </w:r>
          </w:p>
        </w:tc>
      </w:tr>
      <w:tr w:rsidR="00677C63" w:rsidRPr="00D2134C" w14:paraId="6639406B"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491CB583" w14:textId="77777777" w:rsidR="00677C63" w:rsidRPr="00D2134C" w:rsidRDefault="00677C63" w:rsidP="00E665B7">
            <w:pPr>
              <w:pStyle w:val="Tableformat"/>
            </w:pPr>
            <w:r w:rsidRPr="00D2134C">
              <w:t>17BE(j)</w:t>
            </w:r>
          </w:p>
        </w:tc>
        <w:tc>
          <w:tcPr>
            <w:tcW w:w="995" w:type="pct"/>
            <w:hideMark/>
          </w:tcPr>
          <w:p w14:paraId="6D6C3323" w14:textId="2F0B75D4"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4.</w:t>
            </w:r>
            <w:r w:rsidR="00A56177">
              <w:t>2</w:t>
            </w:r>
          </w:p>
        </w:tc>
        <w:tc>
          <w:tcPr>
            <w:tcW w:w="2074" w:type="pct"/>
            <w:hideMark/>
          </w:tcPr>
          <w:p w14:paraId="6AF2A9AB"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Information on the accountable authority, or each member of the accountable authority, of the entity during the reporting period</w:t>
            </w:r>
          </w:p>
        </w:tc>
        <w:tc>
          <w:tcPr>
            <w:tcW w:w="936" w:type="pct"/>
            <w:hideMark/>
          </w:tcPr>
          <w:p w14:paraId="7A63EAF2"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5E88E142"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3D694879" w14:textId="77777777" w:rsidR="00677C63" w:rsidRPr="00D2134C" w:rsidRDefault="00677C63" w:rsidP="00E665B7">
            <w:pPr>
              <w:pStyle w:val="Tableformat"/>
            </w:pPr>
            <w:r w:rsidRPr="00D2134C">
              <w:t>17BE(k)</w:t>
            </w:r>
          </w:p>
        </w:tc>
        <w:tc>
          <w:tcPr>
            <w:tcW w:w="995" w:type="pct"/>
            <w:hideMark/>
          </w:tcPr>
          <w:p w14:paraId="0B0E309D" w14:textId="41590B86"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4</w:t>
            </w:r>
            <w:r w:rsidR="00A56177">
              <w:t>.4</w:t>
            </w:r>
            <w:r w:rsidRPr="00D2134C">
              <w:t>.</w:t>
            </w:r>
            <w:r w:rsidR="00A56177">
              <w:t>2</w:t>
            </w:r>
          </w:p>
        </w:tc>
        <w:tc>
          <w:tcPr>
            <w:tcW w:w="2074" w:type="pct"/>
            <w:hideMark/>
          </w:tcPr>
          <w:p w14:paraId="3A6BA4AB"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Outline of the organisational structure of the entity (including any subsidiaries of the entity)</w:t>
            </w:r>
          </w:p>
        </w:tc>
        <w:tc>
          <w:tcPr>
            <w:tcW w:w="936" w:type="pct"/>
            <w:hideMark/>
          </w:tcPr>
          <w:p w14:paraId="4E98FF59"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299DBA8A"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44367858" w14:textId="77777777" w:rsidR="00677C63" w:rsidRPr="00D2134C" w:rsidRDefault="00677C63" w:rsidP="00E665B7">
            <w:pPr>
              <w:pStyle w:val="Tableformat"/>
            </w:pPr>
            <w:r w:rsidRPr="00D2134C">
              <w:t>17</w:t>
            </w:r>
            <w:proofErr w:type="gramStart"/>
            <w:r w:rsidRPr="00D2134C">
              <w:t>BE(</w:t>
            </w:r>
            <w:proofErr w:type="gramEnd"/>
            <w:r w:rsidRPr="00D2134C">
              <w:t>ka)</w:t>
            </w:r>
          </w:p>
        </w:tc>
        <w:tc>
          <w:tcPr>
            <w:tcW w:w="995" w:type="pct"/>
            <w:hideMark/>
          </w:tcPr>
          <w:p w14:paraId="78B399DD"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5.4</w:t>
            </w:r>
          </w:p>
        </w:tc>
        <w:tc>
          <w:tcPr>
            <w:tcW w:w="2074" w:type="pct"/>
            <w:hideMark/>
          </w:tcPr>
          <w:p w14:paraId="1D22A195"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Statistics on the entity’s employees on an ongoing and non</w:t>
            </w:r>
            <w:r w:rsidRPr="00D2134C">
              <w:noBreakHyphen/>
              <w:t>ongoing basis, including the following:</w:t>
            </w:r>
          </w:p>
          <w:p w14:paraId="549D92FD"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 statistics on full time employees</w:t>
            </w:r>
          </w:p>
          <w:p w14:paraId="3C1CE727"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(b) statistics on part time employees</w:t>
            </w:r>
          </w:p>
          <w:p w14:paraId="3BDC8495"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(c) statistics on gender</w:t>
            </w:r>
          </w:p>
          <w:p w14:paraId="15D71190"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(d) statistics on staff location</w:t>
            </w:r>
          </w:p>
        </w:tc>
        <w:tc>
          <w:tcPr>
            <w:tcW w:w="936" w:type="pct"/>
            <w:hideMark/>
          </w:tcPr>
          <w:p w14:paraId="76C9751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12EA3F55"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230A0931" w14:textId="77777777" w:rsidR="00677C63" w:rsidRPr="00D2134C" w:rsidRDefault="00677C63" w:rsidP="00E665B7">
            <w:pPr>
              <w:pStyle w:val="Tableformat"/>
            </w:pPr>
            <w:r w:rsidRPr="00D2134C">
              <w:t>17BE(l)</w:t>
            </w:r>
          </w:p>
        </w:tc>
        <w:tc>
          <w:tcPr>
            <w:tcW w:w="995" w:type="pct"/>
            <w:hideMark/>
          </w:tcPr>
          <w:p w14:paraId="530F5419" w14:textId="75685999"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5.</w:t>
            </w:r>
            <w:r w:rsidR="00A56177">
              <w:t>9</w:t>
            </w:r>
          </w:p>
        </w:tc>
        <w:tc>
          <w:tcPr>
            <w:tcW w:w="2074" w:type="pct"/>
            <w:hideMark/>
          </w:tcPr>
          <w:p w14:paraId="0E1A1EDF"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Outline of the location (</w:t>
            </w:r>
            <w:proofErr w:type="gramStart"/>
            <w:r w:rsidRPr="00D2134C">
              <w:t>whether or not</w:t>
            </w:r>
            <w:proofErr w:type="gramEnd"/>
            <w:r w:rsidRPr="00D2134C">
              <w:t xml:space="preserve"> in Australia) of major activities or facilities of the entity</w:t>
            </w:r>
          </w:p>
        </w:tc>
        <w:tc>
          <w:tcPr>
            <w:tcW w:w="936" w:type="pct"/>
            <w:hideMark/>
          </w:tcPr>
          <w:p w14:paraId="1B1F180C"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7298F0C3"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3F8C517B" w14:textId="77777777" w:rsidR="00677C63" w:rsidRPr="00D2134C" w:rsidRDefault="00677C63" w:rsidP="00E665B7">
            <w:pPr>
              <w:pStyle w:val="Tableformat"/>
            </w:pPr>
            <w:r w:rsidRPr="00D2134C">
              <w:t>17BE(m)</w:t>
            </w:r>
          </w:p>
        </w:tc>
        <w:tc>
          <w:tcPr>
            <w:tcW w:w="995" w:type="pct"/>
            <w:hideMark/>
          </w:tcPr>
          <w:p w14:paraId="051EBEF8"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4.1, 4.2.3, 4.6</w:t>
            </w:r>
          </w:p>
        </w:tc>
        <w:tc>
          <w:tcPr>
            <w:tcW w:w="2074" w:type="pct"/>
            <w:hideMark/>
          </w:tcPr>
          <w:p w14:paraId="0790D70F"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Information relating to the main corporate governance practices used by the entity during the reporting period</w:t>
            </w:r>
          </w:p>
        </w:tc>
        <w:tc>
          <w:tcPr>
            <w:tcW w:w="936" w:type="pct"/>
            <w:hideMark/>
          </w:tcPr>
          <w:p w14:paraId="5A971F4F"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4866D9D9"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70596B96" w14:textId="77777777" w:rsidR="00677C63" w:rsidRPr="00D2134C" w:rsidRDefault="00677C63" w:rsidP="00E665B7">
            <w:pPr>
              <w:pStyle w:val="Tableformat"/>
            </w:pPr>
            <w:r w:rsidRPr="00D2134C">
              <w:t>17BE(n), 17BE(o)</w:t>
            </w:r>
          </w:p>
        </w:tc>
        <w:tc>
          <w:tcPr>
            <w:tcW w:w="995" w:type="pct"/>
            <w:hideMark/>
          </w:tcPr>
          <w:p w14:paraId="31815859"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3.1</w:t>
            </w:r>
          </w:p>
        </w:tc>
        <w:tc>
          <w:tcPr>
            <w:tcW w:w="2074" w:type="pct"/>
            <w:hideMark/>
          </w:tcPr>
          <w:p w14:paraId="4A2715BD"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For transactions with a related Commonwealth entity or related company where the value of the transaction, or if there is more than one transaction, the aggregate of those transactions, is more than $10,000 (inclusive of GST):</w:t>
            </w:r>
          </w:p>
          <w:p w14:paraId="5879D178"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(a) the decision</w:t>
            </w:r>
            <w:r w:rsidRPr="00D2134C">
              <w:noBreakHyphen/>
              <w:t>making process undertaken by the accountable authority to approve the entity paying for a good or service from, or providing a grant to, the related Commonwealth entity or related company, and</w:t>
            </w:r>
          </w:p>
          <w:p w14:paraId="5465D251"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(b) the value of the transaction, or if there is more than one transaction, the number of transactions and the aggregate of value of the transactions</w:t>
            </w:r>
          </w:p>
        </w:tc>
        <w:tc>
          <w:tcPr>
            <w:tcW w:w="936" w:type="pct"/>
            <w:hideMark/>
          </w:tcPr>
          <w:p w14:paraId="61425294"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If applicable, mandatory</w:t>
            </w:r>
          </w:p>
        </w:tc>
      </w:tr>
      <w:tr w:rsidR="00677C63" w:rsidRPr="00D2134C" w14:paraId="54C49535"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2CC02AC2" w14:textId="77777777" w:rsidR="00677C63" w:rsidRPr="00D2134C" w:rsidRDefault="00677C63" w:rsidP="00E665B7">
            <w:pPr>
              <w:pStyle w:val="Tableformat"/>
            </w:pPr>
            <w:r w:rsidRPr="00D2134C">
              <w:t>17BE(p)</w:t>
            </w:r>
          </w:p>
        </w:tc>
        <w:tc>
          <w:tcPr>
            <w:tcW w:w="995" w:type="pct"/>
            <w:hideMark/>
          </w:tcPr>
          <w:p w14:paraId="63350E8B" w14:textId="3EF56A9D" w:rsidR="00677C63" w:rsidRPr="00D2134C" w:rsidRDefault="00D225F0" w:rsidP="00E665B7">
            <w:pPr>
              <w:pStyle w:val="Tableformat"/>
              <w:cnfStyle w:val="000000100000" w:firstRow="0" w:lastRow="0" w:firstColumn="0" w:lastColumn="0" w:oddVBand="0" w:evenVBand="0" w:oddHBand="1" w:evenHBand="0" w:firstRowFirstColumn="0" w:firstRowLastColumn="0" w:lastRowFirstColumn="0" w:lastRowLastColumn="0"/>
            </w:pPr>
            <w:r>
              <w:t xml:space="preserve">4.2.4, </w:t>
            </w:r>
            <w:r w:rsidR="00677C63" w:rsidRPr="00D2134C">
              <w:t>4.4</w:t>
            </w:r>
            <w:r>
              <w:t>.1</w:t>
            </w:r>
          </w:p>
        </w:tc>
        <w:tc>
          <w:tcPr>
            <w:tcW w:w="2074" w:type="pct"/>
            <w:hideMark/>
          </w:tcPr>
          <w:p w14:paraId="057BE1F0"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xml:space="preserve">Any significant activities and changes that affected the operation or </w:t>
            </w:r>
            <w:r w:rsidRPr="00D2134C">
              <w:lastRenderedPageBreak/>
              <w:t>structure of the entity during the reporting period</w:t>
            </w:r>
          </w:p>
        </w:tc>
        <w:tc>
          <w:tcPr>
            <w:tcW w:w="936" w:type="pct"/>
            <w:hideMark/>
          </w:tcPr>
          <w:p w14:paraId="7C9755D4"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lastRenderedPageBreak/>
              <w:t>If applicable, mandatory</w:t>
            </w:r>
          </w:p>
        </w:tc>
      </w:tr>
      <w:tr w:rsidR="00677C63" w:rsidRPr="00D2134C" w14:paraId="40DDA316"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149D0160" w14:textId="77777777" w:rsidR="00677C63" w:rsidRPr="00D2134C" w:rsidRDefault="00677C63" w:rsidP="00E665B7">
            <w:pPr>
              <w:pStyle w:val="Tableformat"/>
            </w:pPr>
            <w:r w:rsidRPr="00D2134C">
              <w:t>17BE(q)</w:t>
            </w:r>
          </w:p>
        </w:tc>
        <w:tc>
          <w:tcPr>
            <w:tcW w:w="995" w:type="pct"/>
            <w:hideMark/>
          </w:tcPr>
          <w:p w14:paraId="664A81A9" w14:textId="5F449761"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5.8</w:t>
            </w:r>
          </w:p>
        </w:tc>
        <w:tc>
          <w:tcPr>
            <w:tcW w:w="2074" w:type="pct"/>
            <w:hideMark/>
          </w:tcPr>
          <w:p w14:paraId="535D1CAA"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proofErr w:type="gramStart"/>
            <w:r w:rsidRPr="00D2134C">
              <w:t>Particulars of</w:t>
            </w:r>
            <w:proofErr w:type="gramEnd"/>
            <w:r w:rsidRPr="00D2134C">
              <w:t xml:space="preserve"> judicial decisions or decisions of administrative tribunals that may have a significant effect on the operations of the entity</w:t>
            </w:r>
          </w:p>
        </w:tc>
        <w:tc>
          <w:tcPr>
            <w:tcW w:w="936" w:type="pct"/>
            <w:hideMark/>
          </w:tcPr>
          <w:p w14:paraId="362191A8"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If applicable, mandatory</w:t>
            </w:r>
          </w:p>
        </w:tc>
      </w:tr>
      <w:tr w:rsidR="00677C63" w:rsidRPr="00D2134C" w14:paraId="588FEC5A"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11C660A8" w14:textId="77777777" w:rsidR="00677C63" w:rsidRPr="00D2134C" w:rsidRDefault="00677C63" w:rsidP="00E665B7">
            <w:pPr>
              <w:pStyle w:val="Tableformat"/>
            </w:pPr>
            <w:r w:rsidRPr="00D2134C">
              <w:t>17BE(r)</w:t>
            </w:r>
          </w:p>
        </w:tc>
        <w:tc>
          <w:tcPr>
            <w:tcW w:w="995" w:type="pct"/>
            <w:hideMark/>
          </w:tcPr>
          <w:p w14:paraId="0276C276" w14:textId="5A070093"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5.7, 5.8</w:t>
            </w:r>
            <w:r w:rsidR="00E5092D">
              <w:t>, 5.13</w:t>
            </w:r>
          </w:p>
        </w:tc>
        <w:tc>
          <w:tcPr>
            <w:tcW w:w="2074" w:type="pct"/>
            <w:hideMark/>
          </w:tcPr>
          <w:p w14:paraId="210EC98A"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proofErr w:type="gramStart"/>
            <w:r w:rsidRPr="00D2134C">
              <w:t>Particulars of</w:t>
            </w:r>
            <w:proofErr w:type="gramEnd"/>
            <w:r w:rsidRPr="00D2134C">
              <w:t xml:space="preserve"> any reports on the entity given by:</w:t>
            </w:r>
          </w:p>
          <w:p w14:paraId="4F566E1A"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(a) the Auditor</w:t>
            </w:r>
            <w:r w:rsidRPr="00D2134C">
              <w:noBreakHyphen/>
              <w:t>General (other than a report under section 43 of the Act), or</w:t>
            </w:r>
          </w:p>
          <w:p w14:paraId="41CACA6A"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(b) a Parliamentary Committee, or</w:t>
            </w:r>
          </w:p>
          <w:p w14:paraId="1BC41EB9"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(c) the Commonwealth Ombudsman, or</w:t>
            </w:r>
          </w:p>
          <w:p w14:paraId="4DDB6D5B"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(d) the Office of the Australian Information Commissioner</w:t>
            </w:r>
          </w:p>
        </w:tc>
        <w:tc>
          <w:tcPr>
            <w:tcW w:w="936" w:type="pct"/>
            <w:hideMark/>
          </w:tcPr>
          <w:p w14:paraId="75FF2734"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If applicable, mandatory</w:t>
            </w:r>
          </w:p>
        </w:tc>
      </w:tr>
      <w:tr w:rsidR="00677C63" w:rsidRPr="00D2134C" w14:paraId="325F46C2"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246B1948" w14:textId="77777777" w:rsidR="00677C63" w:rsidRPr="00D2134C" w:rsidRDefault="00677C63" w:rsidP="00E665B7">
            <w:pPr>
              <w:pStyle w:val="Tableformat"/>
            </w:pPr>
            <w:r w:rsidRPr="00D2134C">
              <w:t>17BE(s)</w:t>
            </w:r>
          </w:p>
        </w:tc>
        <w:tc>
          <w:tcPr>
            <w:tcW w:w="995" w:type="pct"/>
            <w:hideMark/>
          </w:tcPr>
          <w:p w14:paraId="3BB597CD" w14:textId="3DD9F7C6"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5.</w:t>
            </w:r>
            <w:r w:rsidR="00134BBE">
              <w:t>9</w:t>
            </w:r>
          </w:p>
        </w:tc>
        <w:tc>
          <w:tcPr>
            <w:tcW w:w="2074" w:type="pct"/>
            <w:hideMark/>
          </w:tcPr>
          <w:p w14:paraId="408D799A"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An explanation of information not obtained from a subsidiary of the entity and the effect of not having the information on the annual report</w:t>
            </w:r>
          </w:p>
        </w:tc>
        <w:tc>
          <w:tcPr>
            <w:tcW w:w="936" w:type="pct"/>
            <w:hideMark/>
          </w:tcPr>
          <w:p w14:paraId="0E7ED287"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If applicable, mandatory</w:t>
            </w:r>
          </w:p>
        </w:tc>
      </w:tr>
      <w:tr w:rsidR="00677C63" w:rsidRPr="00D2134C" w14:paraId="58509C6E" w14:textId="77777777" w:rsidTr="00EE2D88">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0C2A3F6B" w14:textId="77777777" w:rsidR="00677C63" w:rsidRPr="00D2134C" w:rsidRDefault="00677C63" w:rsidP="00E665B7">
            <w:pPr>
              <w:pStyle w:val="Tableformat"/>
            </w:pPr>
            <w:r w:rsidRPr="00D2134C">
              <w:t>17BE(t)</w:t>
            </w:r>
          </w:p>
        </w:tc>
        <w:tc>
          <w:tcPr>
            <w:tcW w:w="995" w:type="pct"/>
            <w:hideMark/>
          </w:tcPr>
          <w:p w14:paraId="4BCFB586" w14:textId="0479A4AD"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5.</w:t>
            </w:r>
            <w:r w:rsidR="00134BBE">
              <w:t>9</w:t>
            </w:r>
          </w:p>
        </w:tc>
        <w:tc>
          <w:tcPr>
            <w:tcW w:w="2074" w:type="pct"/>
            <w:hideMark/>
          </w:tcPr>
          <w:p w14:paraId="7A73C4B8"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 xml:space="preserve">Details of any indemnity that applied during the reporting period to the accountable authority, any member of the accountable authority or officer of the entity against a liability (including premiums paid, or agreed to be paid, for insurance against the authority, </w:t>
            </w:r>
            <w:proofErr w:type="gramStart"/>
            <w:r w:rsidRPr="00D2134C">
              <w:t>member</w:t>
            </w:r>
            <w:proofErr w:type="gramEnd"/>
            <w:r w:rsidRPr="00D2134C">
              <w:t xml:space="preserve"> or officer’s liability for legal costs)</w:t>
            </w:r>
          </w:p>
        </w:tc>
        <w:tc>
          <w:tcPr>
            <w:tcW w:w="936" w:type="pct"/>
            <w:hideMark/>
          </w:tcPr>
          <w:p w14:paraId="464ECE64"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If applicable, mandatory</w:t>
            </w:r>
          </w:p>
        </w:tc>
      </w:tr>
      <w:tr w:rsidR="00677C63" w:rsidRPr="00D2134C" w14:paraId="6AD20A75" w14:textId="77777777" w:rsidTr="00EE2D88">
        <w:trPr>
          <w:trHeight w:val="50"/>
        </w:trPr>
        <w:tc>
          <w:tcPr>
            <w:cnfStyle w:val="001000000000" w:firstRow="0" w:lastRow="0" w:firstColumn="1" w:lastColumn="0" w:oddVBand="0" w:evenVBand="0" w:oddHBand="0" w:evenHBand="0" w:firstRowFirstColumn="0" w:firstRowLastColumn="0" w:lastRowFirstColumn="0" w:lastRowLastColumn="0"/>
            <w:tcW w:w="995" w:type="pct"/>
            <w:hideMark/>
          </w:tcPr>
          <w:p w14:paraId="278E1A74" w14:textId="77777777" w:rsidR="00677C63" w:rsidRPr="00D2134C" w:rsidRDefault="00677C63" w:rsidP="00E665B7">
            <w:pPr>
              <w:pStyle w:val="Tableformat"/>
            </w:pPr>
            <w:r w:rsidRPr="00D2134C">
              <w:t>17</w:t>
            </w:r>
            <w:proofErr w:type="gramStart"/>
            <w:r w:rsidRPr="00D2134C">
              <w:t>BE(</w:t>
            </w:r>
            <w:proofErr w:type="gramEnd"/>
            <w:r w:rsidRPr="00D2134C">
              <w:t>ta)</w:t>
            </w:r>
          </w:p>
        </w:tc>
        <w:tc>
          <w:tcPr>
            <w:tcW w:w="995" w:type="pct"/>
            <w:hideMark/>
          </w:tcPr>
          <w:p w14:paraId="11999C99"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5.6</w:t>
            </w:r>
          </w:p>
        </w:tc>
        <w:tc>
          <w:tcPr>
            <w:tcW w:w="2074" w:type="pct"/>
            <w:hideMark/>
          </w:tcPr>
          <w:p w14:paraId="4D1965DC"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Information about executive remuneration</w:t>
            </w:r>
          </w:p>
        </w:tc>
        <w:tc>
          <w:tcPr>
            <w:tcW w:w="936" w:type="pct"/>
            <w:hideMark/>
          </w:tcPr>
          <w:p w14:paraId="62657F50"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bl>
    <w:p w14:paraId="16E82803" w14:textId="77777777" w:rsidR="00677C63" w:rsidRPr="00D2134C" w:rsidRDefault="00677C63" w:rsidP="00780639">
      <w:pPr>
        <w:pStyle w:val="FGCHEADING43"/>
      </w:pPr>
      <w:bookmarkStart w:id="695" w:name="_Hlk113477932"/>
      <w:bookmarkEnd w:id="694"/>
      <w:r w:rsidRPr="00D2134C">
        <w:t>The NDIS Act </w:t>
      </w:r>
      <w:bookmarkStart w:id="696" w:name="_Toc6318354"/>
    </w:p>
    <w:tbl>
      <w:tblPr>
        <w:tblStyle w:val="GridTable2-Accent31"/>
        <w:tblW w:w="4686" w:type="pct"/>
        <w:tblInd w:w="567" w:type="dxa"/>
        <w:tblLayout w:type="fixed"/>
        <w:tblLook w:val="04A0" w:firstRow="1"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701"/>
        <w:gridCol w:w="1701"/>
        <w:gridCol w:w="3545"/>
        <w:gridCol w:w="1512"/>
      </w:tblGrid>
      <w:tr w:rsidR="00677C63" w:rsidRPr="00D2134C" w14:paraId="65EDD94E" w14:textId="77777777" w:rsidTr="00A906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5" w:type="pct"/>
            <w:hideMark/>
          </w:tcPr>
          <w:p w14:paraId="6353B828" w14:textId="1D4C556F" w:rsidR="00677C63" w:rsidRPr="00D2134C" w:rsidRDefault="00677C63" w:rsidP="00E665B7">
            <w:pPr>
              <w:pStyle w:val="Tableformat"/>
              <w:rPr>
                <w:b w:val="0"/>
                <w:bCs w:val="0"/>
              </w:rPr>
            </w:pPr>
            <w:r w:rsidRPr="00D2134C">
              <w:t xml:space="preserve">NDIS Act </w:t>
            </w:r>
            <w:r w:rsidRPr="00D2134C">
              <w:br/>
              <w:t>Chapter 6,</w:t>
            </w:r>
            <w:r w:rsidR="00A7429D">
              <w:br/>
            </w:r>
            <w:r w:rsidRPr="00D2134C">
              <w:t>Part 5, subsection 172</w:t>
            </w:r>
          </w:p>
        </w:tc>
        <w:tc>
          <w:tcPr>
            <w:tcW w:w="1005" w:type="pct"/>
          </w:tcPr>
          <w:p w14:paraId="1DCCB1CC" w14:textId="14763F0C"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 xml:space="preserve">Part of </w:t>
            </w:r>
            <w:r w:rsidR="00A7429D">
              <w:t>r</w:t>
            </w:r>
            <w:r w:rsidRPr="00D2134C">
              <w:t>eport</w:t>
            </w:r>
          </w:p>
        </w:tc>
        <w:tc>
          <w:tcPr>
            <w:tcW w:w="2095" w:type="pct"/>
          </w:tcPr>
          <w:p w14:paraId="50CD9BBA"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Description</w:t>
            </w:r>
          </w:p>
        </w:tc>
        <w:tc>
          <w:tcPr>
            <w:tcW w:w="894" w:type="pct"/>
          </w:tcPr>
          <w:p w14:paraId="7ADC0662"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Requirement</w:t>
            </w:r>
          </w:p>
        </w:tc>
      </w:tr>
      <w:tr w:rsidR="00677C63" w:rsidRPr="00D2134C" w14:paraId="64AF917A"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70B68157" w14:textId="77777777" w:rsidR="00677C63" w:rsidRPr="00D2134C" w:rsidRDefault="00677C63" w:rsidP="00E665B7">
            <w:pPr>
              <w:pStyle w:val="Tableformat"/>
            </w:pPr>
            <w:r w:rsidRPr="00D2134C">
              <w:t>(2)(a)</w:t>
            </w:r>
          </w:p>
        </w:tc>
        <w:tc>
          <w:tcPr>
            <w:tcW w:w="1005" w:type="pct"/>
          </w:tcPr>
          <w:p w14:paraId="248CD80D" w14:textId="77809BCE"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5.1</w:t>
            </w:r>
            <w:r w:rsidR="00F040AD">
              <w:t>3</w:t>
            </w:r>
          </w:p>
        </w:tc>
        <w:tc>
          <w:tcPr>
            <w:tcW w:w="2095" w:type="pct"/>
          </w:tcPr>
          <w:p w14:paraId="4A491E7F"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Details of any directions given under section 121 in the period</w:t>
            </w:r>
          </w:p>
        </w:tc>
        <w:tc>
          <w:tcPr>
            <w:tcW w:w="894" w:type="pct"/>
          </w:tcPr>
          <w:p w14:paraId="7223DBAE"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79A3CF85"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3E6CEB7C" w14:textId="77777777" w:rsidR="00677C63" w:rsidRPr="00D2134C" w:rsidRDefault="00677C63" w:rsidP="00E665B7">
            <w:pPr>
              <w:pStyle w:val="Tableformat"/>
            </w:pPr>
            <w:r w:rsidRPr="00D2134C">
              <w:t>(2)(b)</w:t>
            </w:r>
          </w:p>
        </w:tc>
        <w:tc>
          <w:tcPr>
            <w:tcW w:w="1005" w:type="pct"/>
          </w:tcPr>
          <w:p w14:paraId="7392B8AE" w14:textId="32203833"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5.1</w:t>
            </w:r>
            <w:r w:rsidR="00D77628">
              <w:t>3</w:t>
            </w:r>
          </w:p>
        </w:tc>
        <w:tc>
          <w:tcPr>
            <w:tcW w:w="2095" w:type="pct"/>
          </w:tcPr>
          <w:p w14:paraId="5EC3D3BC"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Details of any statements given under section 125 in the period</w:t>
            </w:r>
          </w:p>
        </w:tc>
        <w:tc>
          <w:tcPr>
            <w:tcW w:w="894" w:type="pct"/>
          </w:tcPr>
          <w:p w14:paraId="199EBC20"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1BAFCFC3"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C5D0E7D" w14:textId="77777777" w:rsidR="00677C63" w:rsidRPr="00D2134C" w:rsidRDefault="00677C63" w:rsidP="00E665B7">
            <w:pPr>
              <w:pStyle w:val="Tableformat"/>
            </w:pPr>
            <w:r w:rsidRPr="00D2134C">
              <w:t>(2)(c)</w:t>
            </w:r>
          </w:p>
        </w:tc>
        <w:tc>
          <w:tcPr>
            <w:tcW w:w="1005" w:type="pct"/>
          </w:tcPr>
          <w:p w14:paraId="39019DEA"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3.3</w:t>
            </w:r>
          </w:p>
        </w:tc>
        <w:tc>
          <w:tcPr>
            <w:tcW w:w="2095" w:type="pct"/>
          </w:tcPr>
          <w:p w14:paraId="0E13DEF2"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Information (including statistics) and analysis that relates to either or both of the following in the period:</w:t>
            </w:r>
            <w:r w:rsidRPr="00D2134C">
              <w:br/>
            </w:r>
            <w:r w:rsidRPr="00D2134C">
              <w:lastRenderedPageBreak/>
              <w:t xml:space="preserve"> (i) participants;</w:t>
            </w:r>
            <w:r w:rsidRPr="00D2134C">
              <w:br/>
              <w:t xml:space="preserve"> (ii) funding or provision of supports by the Agency.</w:t>
            </w:r>
          </w:p>
        </w:tc>
        <w:tc>
          <w:tcPr>
            <w:tcW w:w="894" w:type="pct"/>
          </w:tcPr>
          <w:p w14:paraId="2B5CA19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lastRenderedPageBreak/>
              <w:t>Mandatory</w:t>
            </w:r>
          </w:p>
        </w:tc>
      </w:tr>
      <w:tr w:rsidR="00677C63" w:rsidRPr="00D2134C" w14:paraId="093DAFD0"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42C21E44" w14:textId="77777777" w:rsidR="00677C63" w:rsidRPr="00D2134C" w:rsidRDefault="00677C63" w:rsidP="00E665B7">
            <w:pPr>
              <w:pStyle w:val="Tableformat"/>
            </w:pPr>
            <w:r w:rsidRPr="00D2134C">
              <w:t>(3)</w:t>
            </w:r>
          </w:p>
        </w:tc>
        <w:tc>
          <w:tcPr>
            <w:tcW w:w="1005" w:type="pct"/>
          </w:tcPr>
          <w:p w14:paraId="2C0FF9E9" w14:textId="2AEF683E"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5.1</w:t>
            </w:r>
            <w:r w:rsidR="00D77628">
              <w:t>3</w:t>
            </w:r>
          </w:p>
        </w:tc>
        <w:tc>
          <w:tcPr>
            <w:tcW w:w="2095" w:type="pct"/>
          </w:tcPr>
          <w:p w14:paraId="7BF32600"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 xml:space="preserve">Any </w:t>
            </w:r>
            <w:proofErr w:type="gramStart"/>
            <w:r w:rsidRPr="00D2134C">
              <w:t>particular information</w:t>
            </w:r>
            <w:proofErr w:type="gramEnd"/>
            <w:r w:rsidRPr="00D2134C">
              <w:t xml:space="preserve"> or analysis to be included in the annual report as prescribed by the Minister in legislative instruments</w:t>
            </w:r>
          </w:p>
        </w:tc>
        <w:tc>
          <w:tcPr>
            <w:tcW w:w="894" w:type="pct"/>
          </w:tcPr>
          <w:p w14:paraId="3A05BD58"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677C63" w:rsidRPr="00D2134C" w14:paraId="02820E63"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1E8E860C" w14:textId="77777777" w:rsidR="00677C63" w:rsidRPr="00D2134C" w:rsidRDefault="00677C63" w:rsidP="00E665B7">
            <w:pPr>
              <w:pStyle w:val="Tableformat"/>
            </w:pPr>
            <w:r w:rsidRPr="00D2134C">
              <w:t>(4)(a)</w:t>
            </w:r>
          </w:p>
        </w:tc>
        <w:tc>
          <w:tcPr>
            <w:tcW w:w="1005" w:type="pct"/>
          </w:tcPr>
          <w:p w14:paraId="5CB938C6"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3.2</w:t>
            </w:r>
          </w:p>
        </w:tc>
        <w:tc>
          <w:tcPr>
            <w:tcW w:w="2095" w:type="pct"/>
          </w:tcPr>
          <w:p w14:paraId="48C3E988"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The summary, that was prepared under section 180B when the annual report was being prepared, of the annual financial sustainability report</w:t>
            </w:r>
          </w:p>
        </w:tc>
        <w:tc>
          <w:tcPr>
            <w:tcW w:w="894" w:type="pct"/>
          </w:tcPr>
          <w:p w14:paraId="1EE2EBF0" w14:textId="77777777" w:rsidR="00677C63" w:rsidRPr="00D2134C" w:rsidRDefault="00677C63" w:rsidP="00E665B7">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677C63" w:rsidRPr="00D2134C" w14:paraId="7A04F2AA"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526EA848" w14:textId="77777777" w:rsidR="00677C63" w:rsidRPr="00D2134C" w:rsidRDefault="00677C63" w:rsidP="00E665B7">
            <w:pPr>
              <w:pStyle w:val="Tableformat"/>
            </w:pPr>
            <w:r w:rsidRPr="00D2134C">
              <w:t>(4)(b)</w:t>
            </w:r>
          </w:p>
        </w:tc>
        <w:tc>
          <w:tcPr>
            <w:tcW w:w="1005" w:type="pct"/>
          </w:tcPr>
          <w:p w14:paraId="7A3AB476"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3.2</w:t>
            </w:r>
          </w:p>
        </w:tc>
        <w:tc>
          <w:tcPr>
            <w:tcW w:w="2095" w:type="pct"/>
          </w:tcPr>
          <w:p w14:paraId="392A0FB3"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The report of the reviewing actuary’s review under subsection 180</w:t>
            </w:r>
            <w:proofErr w:type="gramStart"/>
            <w:r w:rsidRPr="00D2134C">
              <w:t>E(</w:t>
            </w:r>
            <w:proofErr w:type="gramEnd"/>
            <w:r w:rsidRPr="00D2134C">
              <w:t>2) of the summary mentioned in paragraph (4)(a).</w:t>
            </w:r>
          </w:p>
        </w:tc>
        <w:tc>
          <w:tcPr>
            <w:tcW w:w="894" w:type="pct"/>
          </w:tcPr>
          <w:p w14:paraId="1DA9112F" w14:textId="77777777" w:rsidR="00677C63" w:rsidRPr="00D2134C" w:rsidRDefault="00677C63" w:rsidP="00E665B7">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bl>
    <w:p w14:paraId="2ADE659C" w14:textId="11B23269" w:rsidR="00677C63" w:rsidRPr="00D2134C" w:rsidRDefault="00677C63" w:rsidP="00780639">
      <w:pPr>
        <w:pStyle w:val="FGCHEADING43"/>
      </w:pPr>
      <w:r w:rsidRPr="00D2134C">
        <w:t xml:space="preserve">Information provided in compliance with other statutory provisions </w:t>
      </w:r>
    </w:p>
    <w:tbl>
      <w:tblPr>
        <w:tblStyle w:val="GridTable2-Accent31"/>
        <w:tblW w:w="4686" w:type="pct"/>
        <w:tblInd w:w="567" w:type="dxa"/>
        <w:tblLayout w:type="fixed"/>
        <w:tblLook w:val="04A0" w:firstRow="1"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701"/>
        <w:gridCol w:w="1701"/>
        <w:gridCol w:w="3545"/>
        <w:gridCol w:w="1512"/>
      </w:tblGrid>
      <w:tr w:rsidR="002C67C1" w:rsidRPr="00D2134C" w14:paraId="57FC44D3" w14:textId="77777777" w:rsidTr="00A906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5" w:type="pct"/>
          </w:tcPr>
          <w:p w14:paraId="4A0E3F27" w14:textId="370179A0" w:rsidR="002C67C1" w:rsidRPr="00D2134C" w:rsidRDefault="002C67C1" w:rsidP="002C67C1">
            <w:pPr>
              <w:pStyle w:val="Tableformat"/>
              <w:rPr>
                <w:b w:val="0"/>
                <w:bCs w:val="0"/>
              </w:rPr>
            </w:pPr>
            <w:r w:rsidRPr="00D2134C">
              <w:t>Act</w:t>
            </w:r>
          </w:p>
        </w:tc>
        <w:tc>
          <w:tcPr>
            <w:tcW w:w="1005" w:type="pct"/>
          </w:tcPr>
          <w:p w14:paraId="1F998F2A" w14:textId="4EA3AFA3" w:rsidR="002C67C1" w:rsidRPr="00D2134C" w:rsidRDefault="002C67C1" w:rsidP="002C67C1">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Part of report</w:t>
            </w:r>
          </w:p>
        </w:tc>
        <w:tc>
          <w:tcPr>
            <w:tcW w:w="2095" w:type="pct"/>
          </w:tcPr>
          <w:p w14:paraId="6116097C" w14:textId="7895E91C" w:rsidR="002C67C1" w:rsidRPr="00D2134C" w:rsidRDefault="002C67C1" w:rsidP="002C67C1">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Reference and description</w:t>
            </w:r>
          </w:p>
        </w:tc>
        <w:tc>
          <w:tcPr>
            <w:tcW w:w="894" w:type="pct"/>
          </w:tcPr>
          <w:p w14:paraId="2576C1F9" w14:textId="2A1CE2C4" w:rsidR="002C67C1" w:rsidRPr="00D2134C" w:rsidRDefault="002C67C1" w:rsidP="002C67C1">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Requirement</w:t>
            </w:r>
          </w:p>
        </w:tc>
      </w:tr>
      <w:tr w:rsidR="002C67C1" w:rsidRPr="00D2134C" w14:paraId="02BF2675"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3E9248E" w14:textId="4D82B415" w:rsidR="002C67C1" w:rsidRPr="00EE2D88" w:rsidRDefault="002C67C1" w:rsidP="002C67C1">
            <w:pPr>
              <w:pStyle w:val="Tableformat"/>
              <w:rPr>
                <w:i/>
                <w:iCs/>
              </w:rPr>
            </w:pPr>
            <w:r w:rsidRPr="00EE2D88">
              <w:rPr>
                <w:i/>
                <w:iCs/>
              </w:rPr>
              <w:t>Work Health and Safety Act 2011</w:t>
            </w:r>
            <w:r w:rsidRPr="00EE2D88">
              <w:rPr>
                <w:i/>
                <w:iCs/>
              </w:rPr>
              <w:br/>
              <w:t>Schedule 2</w:t>
            </w:r>
          </w:p>
        </w:tc>
        <w:tc>
          <w:tcPr>
            <w:tcW w:w="1005" w:type="pct"/>
          </w:tcPr>
          <w:p w14:paraId="222BFD28" w14:textId="2A437B12"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5.3</w:t>
            </w:r>
          </w:p>
        </w:tc>
        <w:tc>
          <w:tcPr>
            <w:tcW w:w="2095" w:type="pct"/>
          </w:tcPr>
          <w:p w14:paraId="79D53B86" w14:textId="77777777"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4(1) — Work Health and Safety</w:t>
            </w:r>
          </w:p>
          <w:p w14:paraId="0C9BA966" w14:textId="045989A8"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4(2) — Summary of incidents pursuant to section 38 of the WHS Act</w:t>
            </w:r>
          </w:p>
        </w:tc>
        <w:tc>
          <w:tcPr>
            <w:tcW w:w="894" w:type="pct"/>
          </w:tcPr>
          <w:p w14:paraId="4ABE5491" w14:textId="7A029CD0"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2C67C1" w:rsidRPr="00D2134C" w14:paraId="44BC303D"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7A32F991" w14:textId="5146CCE6" w:rsidR="002C67C1" w:rsidRPr="00EE2D88" w:rsidRDefault="002C67C1" w:rsidP="002C67C1">
            <w:pPr>
              <w:pStyle w:val="Tableformat"/>
              <w:rPr>
                <w:i/>
                <w:iCs/>
              </w:rPr>
            </w:pPr>
            <w:r w:rsidRPr="00EE2D88">
              <w:rPr>
                <w:i/>
                <w:iCs/>
              </w:rPr>
              <w:t>Commonwealth Electoral Act 1918</w:t>
            </w:r>
          </w:p>
        </w:tc>
        <w:tc>
          <w:tcPr>
            <w:tcW w:w="1005" w:type="pct"/>
          </w:tcPr>
          <w:p w14:paraId="109D302F" w14:textId="1390C1AA"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5.1</w:t>
            </w:r>
            <w:r w:rsidR="00D77628">
              <w:t>0</w:t>
            </w:r>
          </w:p>
        </w:tc>
        <w:tc>
          <w:tcPr>
            <w:tcW w:w="2095" w:type="pct"/>
          </w:tcPr>
          <w:p w14:paraId="794E32E5" w14:textId="175D59EC"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 xml:space="preserve">311A </w:t>
            </w:r>
            <w:r w:rsidR="005569FC">
              <w:t>–</w:t>
            </w:r>
            <w:r w:rsidRPr="00D2134C">
              <w:t xml:space="preserve"> Advertising and Market Research</w:t>
            </w:r>
          </w:p>
        </w:tc>
        <w:tc>
          <w:tcPr>
            <w:tcW w:w="894" w:type="pct"/>
          </w:tcPr>
          <w:p w14:paraId="48036165" w14:textId="49FFF8CF"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2C67C1" w:rsidRPr="00D2134C" w14:paraId="4E3A07C1"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0293781E" w14:textId="7BF8F59C" w:rsidR="002C67C1" w:rsidRPr="00EE2D88" w:rsidRDefault="002C67C1" w:rsidP="002C67C1">
            <w:pPr>
              <w:pStyle w:val="Tableformat"/>
              <w:rPr>
                <w:i/>
                <w:iCs/>
              </w:rPr>
            </w:pPr>
            <w:r w:rsidRPr="00EE2D88">
              <w:rPr>
                <w:i/>
                <w:iCs/>
              </w:rPr>
              <w:t xml:space="preserve">Environment Protection and Biodiversity Conservation Act 1999 </w:t>
            </w:r>
          </w:p>
        </w:tc>
        <w:tc>
          <w:tcPr>
            <w:tcW w:w="1005" w:type="pct"/>
          </w:tcPr>
          <w:p w14:paraId="6E73D636" w14:textId="10E7F84C"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5.1</w:t>
            </w:r>
            <w:r w:rsidR="00AB79D8">
              <w:t>1</w:t>
            </w:r>
          </w:p>
        </w:tc>
        <w:tc>
          <w:tcPr>
            <w:tcW w:w="2095" w:type="pct"/>
          </w:tcPr>
          <w:p w14:paraId="6CEDC21D" w14:textId="734F6CCD"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 xml:space="preserve">516A </w:t>
            </w:r>
            <w:r w:rsidR="005569FC">
              <w:t>–</w:t>
            </w:r>
            <w:r w:rsidRPr="00D2134C">
              <w:t xml:space="preserve"> Ecologically sustainable development and environmental performance</w:t>
            </w:r>
          </w:p>
        </w:tc>
        <w:tc>
          <w:tcPr>
            <w:tcW w:w="894" w:type="pct"/>
          </w:tcPr>
          <w:p w14:paraId="783CC40C" w14:textId="19A0CAD1"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2C67C1" w:rsidRPr="00D2134C" w14:paraId="005228B5"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234859A5" w14:textId="489171BE" w:rsidR="002C67C1" w:rsidRPr="00EE2D88" w:rsidRDefault="002C67C1" w:rsidP="002C67C1">
            <w:pPr>
              <w:pStyle w:val="Tableformat"/>
              <w:rPr>
                <w:i/>
                <w:iCs/>
              </w:rPr>
            </w:pPr>
            <w:r w:rsidRPr="00EE2D88">
              <w:rPr>
                <w:i/>
                <w:iCs/>
              </w:rPr>
              <w:t>Carer Recognition Act 2010</w:t>
            </w:r>
          </w:p>
        </w:tc>
        <w:tc>
          <w:tcPr>
            <w:tcW w:w="1005" w:type="pct"/>
          </w:tcPr>
          <w:p w14:paraId="29A3E350" w14:textId="5257F2FA"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5.1</w:t>
            </w:r>
            <w:r w:rsidR="00AB79D8">
              <w:t>2</w:t>
            </w:r>
          </w:p>
        </w:tc>
        <w:tc>
          <w:tcPr>
            <w:tcW w:w="2095" w:type="pct"/>
          </w:tcPr>
          <w:p w14:paraId="0F543BC6" w14:textId="490DEBE8"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 xml:space="preserve">4 </w:t>
            </w:r>
            <w:r w:rsidR="005569FC">
              <w:t>–</w:t>
            </w:r>
            <w:r w:rsidRPr="00D2134C">
              <w:t xml:space="preserve"> Statement of compliance with Carer Recognition Act</w:t>
            </w:r>
          </w:p>
        </w:tc>
        <w:tc>
          <w:tcPr>
            <w:tcW w:w="894" w:type="pct"/>
          </w:tcPr>
          <w:p w14:paraId="2D85C7E3" w14:textId="2ED4F498"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tr w:rsidR="002C67C1" w:rsidRPr="00D2134C" w14:paraId="40A937DD" w14:textId="77777777" w:rsidTr="00A906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5" w:type="pct"/>
          </w:tcPr>
          <w:p w14:paraId="6AF0680A" w14:textId="3AB843B6" w:rsidR="002C67C1" w:rsidRPr="00EE2D88" w:rsidRDefault="002C67C1" w:rsidP="002C67C1">
            <w:pPr>
              <w:pStyle w:val="Tableformat"/>
              <w:rPr>
                <w:i/>
                <w:iCs/>
              </w:rPr>
            </w:pPr>
            <w:r w:rsidRPr="00EE2D88">
              <w:rPr>
                <w:i/>
                <w:iCs/>
              </w:rPr>
              <w:t>Freedom of Information Act 1982</w:t>
            </w:r>
          </w:p>
        </w:tc>
        <w:tc>
          <w:tcPr>
            <w:tcW w:w="1005" w:type="pct"/>
          </w:tcPr>
          <w:p w14:paraId="23D441FF" w14:textId="20D75D1B"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5.1</w:t>
            </w:r>
            <w:r w:rsidR="00AB79D8">
              <w:t>3</w:t>
            </w:r>
          </w:p>
        </w:tc>
        <w:tc>
          <w:tcPr>
            <w:tcW w:w="2095" w:type="pct"/>
          </w:tcPr>
          <w:p w14:paraId="20F486F7" w14:textId="362011CD"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 xml:space="preserve">8 </w:t>
            </w:r>
            <w:r w:rsidR="005569FC">
              <w:t xml:space="preserve">– </w:t>
            </w:r>
            <w:r w:rsidRPr="00D2134C">
              <w:t>Information Publication Scheme Statement</w:t>
            </w:r>
          </w:p>
        </w:tc>
        <w:tc>
          <w:tcPr>
            <w:tcW w:w="894" w:type="pct"/>
          </w:tcPr>
          <w:p w14:paraId="5FEA7577" w14:textId="55B9A93E" w:rsidR="002C67C1" w:rsidRPr="00D2134C" w:rsidRDefault="002C67C1" w:rsidP="002C67C1">
            <w:pPr>
              <w:pStyle w:val="Tableformat"/>
              <w:cnfStyle w:val="000000100000" w:firstRow="0" w:lastRow="0" w:firstColumn="0" w:lastColumn="0" w:oddVBand="0" w:evenVBand="0" w:oddHBand="1" w:evenHBand="0" w:firstRowFirstColumn="0" w:firstRowLastColumn="0" w:lastRowFirstColumn="0" w:lastRowLastColumn="0"/>
            </w:pPr>
            <w:r w:rsidRPr="00D2134C">
              <w:t>Mandatory</w:t>
            </w:r>
          </w:p>
        </w:tc>
      </w:tr>
      <w:tr w:rsidR="002C67C1" w:rsidRPr="00D2134C" w14:paraId="2111DBF1" w14:textId="77777777" w:rsidTr="00A90616">
        <w:tc>
          <w:tcPr>
            <w:cnfStyle w:val="001000000000" w:firstRow="0" w:lastRow="0" w:firstColumn="1" w:lastColumn="0" w:oddVBand="0" w:evenVBand="0" w:oddHBand="0" w:evenHBand="0" w:firstRowFirstColumn="0" w:firstRowLastColumn="0" w:lastRowFirstColumn="0" w:lastRowLastColumn="0"/>
            <w:tcW w:w="1005" w:type="pct"/>
          </w:tcPr>
          <w:p w14:paraId="36D0E6C3" w14:textId="4E9E944D" w:rsidR="002C67C1" w:rsidRPr="00EE2D88" w:rsidRDefault="002C67C1" w:rsidP="002C67C1">
            <w:pPr>
              <w:pStyle w:val="Tableformat"/>
              <w:rPr>
                <w:i/>
                <w:iCs/>
              </w:rPr>
            </w:pPr>
            <w:r w:rsidRPr="00EE2D88">
              <w:rPr>
                <w:i/>
                <w:iCs/>
              </w:rPr>
              <w:t>Privacy Act 1988</w:t>
            </w:r>
          </w:p>
        </w:tc>
        <w:tc>
          <w:tcPr>
            <w:tcW w:w="1005" w:type="pct"/>
          </w:tcPr>
          <w:p w14:paraId="073199A4" w14:textId="5A8917BD"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5.1</w:t>
            </w:r>
            <w:r w:rsidR="00AB79D8">
              <w:t>3</w:t>
            </w:r>
          </w:p>
        </w:tc>
        <w:tc>
          <w:tcPr>
            <w:tcW w:w="2095" w:type="pct"/>
          </w:tcPr>
          <w:p w14:paraId="14DFD10B" w14:textId="4D4373EE"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Statement of Compliance</w:t>
            </w:r>
          </w:p>
        </w:tc>
        <w:tc>
          <w:tcPr>
            <w:tcW w:w="894" w:type="pct"/>
          </w:tcPr>
          <w:p w14:paraId="696349C4" w14:textId="2FC35006" w:rsidR="002C67C1" w:rsidRPr="00D2134C" w:rsidRDefault="002C67C1" w:rsidP="002C67C1">
            <w:pPr>
              <w:pStyle w:val="Tableformat"/>
              <w:cnfStyle w:val="000000000000" w:firstRow="0" w:lastRow="0" w:firstColumn="0" w:lastColumn="0" w:oddVBand="0" w:evenVBand="0" w:oddHBand="0" w:evenHBand="0" w:firstRowFirstColumn="0" w:firstRowLastColumn="0" w:lastRowFirstColumn="0" w:lastRowLastColumn="0"/>
            </w:pPr>
            <w:r w:rsidRPr="00D2134C">
              <w:t>Mandatory</w:t>
            </w:r>
          </w:p>
        </w:tc>
      </w:tr>
      <w:bookmarkEnd w:id="695"/>
    </w:tbl>
    <w:p w14:paraId="7C44A0F6" w14:textId="2B6DD960" w:rsidR="002C67C1" w:rsidRPr="00D2134C" w:rsidRDefault="002C67C1" w:rsidP="002C67C1">
      <w:pPr>
        <w:rPr>
          <w:lang w:eastAsia="en-US"/>
        </w:rPr>
      </w:pPr>
    </w:p>
    <w:p w14:paraId="4931E9F6" w14:textId="13D930B4" w:rsidR="00677C63" w:rsidRPr="00D2134C" w:rsidRDefault="00677C63" w:rsidP="00677C63">
      <w:pPr>
        <w:pStyle w:val="FGCHEADING2"/>
      </w:pPr>
      <w:bookmarkStart w:id="697" w:name="_Toc23603210"/>
      <w:bookmarkStart w:id="698" w:name="_Toc51068022"/>
      <w:bookmarkStart w:id="699" w:name="_Toc110532575"/>
      <w:bookmarkStart w:id="700" w:name="_Toc114477574"/>
      <w:bookmarkStart w:id="701" w:name="_Toc116473944"/>
      <w:bookmarkEnd w:id="696"/>
      <w:r w:rsidRPr="00D2134C">
        <w:lastRenderedPageBreak/>
        <w:t>Tables index</w:t>
      </w:r>
      <w:bookmarkEnd w:id="697"/>
      <w:bookmarkEnd w:id="698"/>
      <w:bookmarkEnd w:id="699"/>
      <w:bookmarkEnd w:id="700"/>
      <w:bookmarkEnd w:id="701"/>
    </w:p>
    <w:tbl>
      <w:tblPr>
        <w:tblStyle w:val="GridTable2-Accent31"/>
        <w:tblW w:w="0" w:type="auto"/>
        <w:tblLook w:val="04A0" w:firstRow="1" w:lastRow="0" w:firstColumn="1" w:lastColumn="0" w:noHBand="0" w:noVBand="1"/>
        <w:tblCaption w:val="Tables (index)"/>
        <w:tblDescription w:val="This is an index of tables that are included in the annual report with the relevant page number."/>
      </w:tblPr>
      <w:tblGrid>
        <w:gridCol w:w="1418"/>
        <w:gridCol w:w="6662"/>
        <w:gridCol w:w="936"/>
      </w:tblGrid>
      <w:tr w:rsidR="00677C63" w:rsidRPr="00D2134C" w14:paraId="111C8594" w14:textId="77777777" w:rsidTr="004471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80" w:type="dxa"/>
            <w:gridSpan w:val="2"/>
          </w:tcPr>
          <w:p w14:paraId="1AE94D13" w14:textId="77777777" w:rsidR="00677C63" w:rsidRPr="00D2134C" w:rsidRDefault="00677C63" w:rsidP="00E665B7">
            <w:pPr>
              <w:pStyle w:val="Tableformat"/>
              <w:rPr>
                <w:b w:val="0"/>
                <w:bCs w:val="0"/>
              </w:rPr>
            </w:pPr>
            <w:bookmarkStart w:id="702" w:name="_Toc23603211"/>
            <w:r w:rsidRPr="00D2134C">
              <w:t>Tables</w:t>
            </w:r>
          </w:p>
        </w:tc>
        <w:tc>
          <w:tcPr>
            <w:tcW w:w="936" w:type="dxa"/>
          </w:tcPr>
          <w:p w14:paraId="033E890E"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Page</w:t>
            </w:r>
          </w:p>
        </w:tc>
      </w:tr>
      <w:tr w:rsidR="00C00F0D" w:rsidRPr="00D2134C" w14:paraId="36B69FD4"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42ED489" w14:textId="73916156" w:rsidR="00C00F0D" w:rsidRPr="00C00F0D" w:rsidRDefault="00C00F0D" w:rsidP="00C00F0D">
            <w:pPr>
              <w:pStyle w:val="Tableformat"/>
            </w:pPr>
            <w:r w:rsidRPr="00C00F0D">
              <w:rPr>
                <w:rFonts w:eastAsia="DengXian"/>
              </w:rPr>
              <w:t>3.2.1A</w:t>
            </w:r>
          </w:p>
        </w:tc>
        <w:tc>
          <w:tcPr>
            <w:tcW w:w="6662" w:type="dxa"/>
          </w:tcPr>
          <w:p w14:paraId="739C6CE0" w14:textId="2B5009F8" w:rsidR="00C00F0D" w:rsidRPr="00D2134C" w:rsidRDefault="00C00F0D" w:rsidP="00C00F0D">
            <w:pPr>
              <w:pStyle w:val="Tableformat"/>
              <w:cnfStyle w:val="000000100000" w:firstRow="0" w:lastRow="0" w:firstColumn="0" w:lastColumn="0" w:oddVBand="0" w:evenVBand="0" w:oddHBand="1" w:evenHBand="0" w:firstRowFirstColumn="0" w:firstRowLastColumn="0" w:lastRowFirstColumn="0" w:lastRowLastColumn="0"/>
            </w:pPr>
            <w:r>
              <w:rPr>
                <w:rFonts w:eastAsia="DengXian"/>
              </w:rPr>
              <w:t>Baseline projection of Scheme expenses</w:t>
            </w:r>
          </w:p>
        </w:tc>
        <w:tc>
          <w:tcPr>
            <w:tcW w:w="936" w:type="dxa"/>
          </w:tcPr>
          <w:p w14:paraId="5309B6CC" w14:textId="389B2DF6" w:rsidR="00C00F0D" w:rsidRPr="00D2134C" w:rsidRDefault="00C00F0D" w:rsidP="00C00F0D">
            <w:pPr>
              <w:pStyle w:val="Tableformat"/>
              <w:cnfStyle w:val="000000100000" w:firstRow="0" w:lastRow="0" w:firstColumn="0" w:lastColumn="0" w:oddVBand="0" w:evenVBand="0" w:oddHBand="1" w:evenHBand="0" w:firstRowFirstColumn="0" w:firstRowLastColumn="0" w:lastRowFirstColumn="0" w:lastRowLastColumn="0"/>
            </w:pPr>
            <w:r>
              <w:rPr>
                <w:rFonts w:eastAsia="DengXian"/>
              </w:rPr>
              <w:t>82</w:t>
            </w:r>
          </w:p>
        </w:tc>
      </w:tr>
      <w:tr w:rsidR="00C00F0D" w:rsidRPr="00D2134C" w14:paraId="4C315AD5"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171E5B30" w14:textId="343EF90E" w:rsidR="00C00F0D" w:rsidRPr="00C00F0D" w:rsidRDefault="00C00F0D" w:rsidP="00C00F0D">
            <w:pPr>
              <w:pStyle w:val="Tableformat"/>
            </w:pPr>
            <w:r w:rsidRPr="00C00F0D">
              <w:rPr>
                <w:rFonts w:eastAsia="DengXian"/>
              </w:rPr>
              <w:t>3.2.1B</w:t>
            </w:r>
          </w:p>
        </w:tc>
        <w:tc>
          <w:tcPr>
            <w:tcW w:w="6662" w:type="dxa"/>
          </w:tcPr>
          <w:p w14:paraId="029D0BBF" w14:textId="6EE55AE3" w:rsidR="00C00F0D" w:rsidRPr="00D2134C" w:rsidRDefault="00C00F0D" w:rsidP="00C00F0D">
            <w:pPr>
              <w:pStyle w:val="Tableformat"/>
              <w:cnfStyle w:val="000000000000" w:firstRow="0" w:lastRow="0" w:firstColumn="0" w:lastColumn="0" w:oddVBand="0" w:evenVBand="0" w:oddHBand="0" w:evenHBand="0" w:firstRowFirstColumn="0" w:firstRowLastColumn="0" w:lastRowFirstColumn="0" w:lastRowLastColumn="0"/>
            </w:pPr>
            <w:r>
              <w:rPr>
                <w:rFonts w:eastAsia="DengXian"/>
              </w:rPr>
              <w:t xml:space="preserve">Range of plausible outcomes of Scheme experiences </w:t>
            </w:r>
          </w:p>
        </w:tc>
        <w:tc>
          <w:tcPr>
            <w:tcW w:w="936" w:type="dxa"/>
          </w:tcPr>
          <w:p w14:paraId="5DD8408D" w14:textId="6FDC9745" w:rsidR="00C00F0D" w:rsidRPr="00D2134C" w:rsidRDefault="00C00F0D" w:rsidP="00C00F0D">
            <w:pPr>
              <w:pStyle w:val="Tableformat"/>
              <w:cnfStyle w:val="000000000000" w:firstRow="0" w:lastRow="0" w:firstColumn="0" w:lastColumn="0" w:oddVBand="0" w:evenVBand="0" w:oddHBand="0" w:evenHBand="0" w:firstRowFirstColumn="0" w:firstRowLastColumn="0" w:lastRowFirstColumn="0" w:lastRowLastColumn="0"/>
            </w:pPr>
            <w:r>
              <w:rPr>
                <w:rFonts w:eastAsia="DengXian"/>
              </w:rPr>
              <w:t>83</w:t>
            </w:r>
          </w:p>
        </w:tc>
      </w:tr>
      <w:tr w:rsidR="00C00F0D" w:rsidRPr="00D2134C" w14:paraId="504901ED"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8ED0776" w14:textId="1BDBD3BE" w:rsidR="00C00F0D" w:rsidRPr="00C00F0D" w:rsidRDefault="00C00F0D" w:rsidP="00C00F0D">
            <w:pPr>
              <w:pStyle w:val="Tableformat"/>
              <w:rPr>
                <w:rFonts w:eastAsia="DengXian"/>
              </w:rPr>
            </w:pPr>
            <w:r w:rsidRPr="00C00F0D">
              <w:rPr>
                <w:rFonts w:eastAsia="DengXian"/>
              </w:rPr>
              <w:t>3.2.1C</w:t>
            </w:r>
          </w:p>
        </w:tc>
        <w:tc>
          <w:tcPr>
            <w:tcW w:w="6662" w:type="dxa"/>
          </w:tcPr>
          <w:p w14:paraId="0843DD9D" w14:textId="5B56D00D"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Comparison of 2021-22 AFSR with 2020-21 AFSR</w:t>
            </w:r>
          </w:p>
        </w:tc>
        <w:tc>
          <w:tcPr>
            <w:tcW w:w="936" w:type="dxa"/>
          </w:tcPr>
          <w:p w14:paraId="2E9975CD" w14:textId="2C786D1F"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83</w:t>
            </w:r>
          </w:p>
        </w:tc>
      </w:tr>
      <w:tr w:rsidR="00C00F0D" w:rsidRPr="00D2134C" w14:paraId="48EB5D18"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6EAFBCCE" w14:textId="085F4634" w:rsidR="00C00F0D" w:rsidRPr="00C00F0D" w:rsidRDefault="00C00F0D" w:rsidP="00C00F0D">
            <w:pPr>
              <w:pStyle w:val="Tableformat"/>
              <w:rPr>
                <w:rFonts w:eastAsia="DengXian"/>
              </w:rPr>
            </w:pPr>
            <w:r w:rsidRPr="00C00F0D">
              <w:rPr>
                <w:rFonts w:eastAsia="DengXian"/>
              </w:rPr>
              <w:t>3.2.1D</w:t>
            </w:r>
          </w:p>
        </w:tc>
        <w:tc>
          <w:tcPr>
            <w:tcW w:w="6662" w:type="dxa"/>
          </w:tcPr>
          <w:p w14:paraId="66EB28A3" w14:textId="4A14DC42"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 xml:space="preserve">Movements in Scheme expenses wince previous review due to experience and updated assumptions </w:t>
            </w:r>
          </w:p>
        </w:tc>
        <w:tc>
          <w:tcPr>
            <w:tcW w:w="936" w:type="dxa"/>
          </w:tcPr>
          <w:p w14:paraId="6682F484" w14:textId="1D529FA1"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84</w:t>
            </w:r>
          </w:p>
        </w:tc>
      </w:tr>
      <w:tr w:rsidR="00C00F0D" w:rsidRPr="00D2134C" w14:paraId="4773482A"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8519F26" w14:textId="2CA45E2F" w:rsidR="00C00F0D" w:rsidRPr="00C00F0D" w:rsidRDefault="00C00F0D" w:rsidP="00C00F0D">
            <w:pPr>
              <w:pStyle w:val="Tableformat"/>
              <w:rPr>
                <w:rFonts w:eastAsia="DengXian"/>
              </w:rPr>
            </w:pPr>
            <w:r w:rsidRPr="00C00F0D">
              <w:rPr>
                <w:rFonts w:eastAsia="DengXian"/>
              </w:rPr>
              <w:t>3.2.1E</w:t>
            </w:r>
          </w:p>
        </w:tc>
        <w:tc>
          <w:tcPr>
            <w:tcW w:w="6662" w:type="dxa"/>
          </w:tcPr>
          <w:p w14:paraId="3E531C38" w14:textId="38BDEC45"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Summary of data utilised for actuarial analysis</w:t>
            </w:r>
          </w:p>
        </w:tc>
        <w:tc>
          <w:tcPr>
            <w:tcW w:w="936" w:type="dxa"/>
          </w:tcPr>
          <w:p w14:paraId="156E6708" w14:textId="691DD992"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85</w:t>
            </w:r>
          </w:p>
        </w:tc>
      </w:tr>
      <w:tr w:rsidR="00C00F0D" w:rsidRPr="00D2134C" w14:paraId="2BB3EE47"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1EFB02E8" w14:textId="30C8EA7E" w:rsidR="00C00F0D" w:rsidRPr="00C00F0D" w:rsidRDefault="00C00F0D" w:rsidP="00C00F0D">
            <w:pPr>
              <w:pStyle w:val="Tableformat"/>
              <w:rPr>
                <w:rFonts w:eastAsia="DengXian"/>
              </w:rPr>
            </w:pPr>
            <w:r w:rsidRPr="00C00F0D">
              <w:rPr>
                <w:rFonts w:eastAsia="DengXian"/>
              </w:rPr>
              <w:t>3.2.1F</w:t>
            </w:r>
          </w:p>
        </w:tc>
        <w:tc>
          <w:tcPr>
            <w:tcW w:w="6662" w:type="dxa"/>
          </w:tcPr>
          <w:p w14:paraId="1EAB39ED" w14:textId="26D8AF4E"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Estimated drivers of variation in Scheme expenses in 2021-22</w:t>
            </w:r>
          </w:p>
        </w:tc>
        <w:tc>
          <w:tcPr>
            <w:tcW w:w="936" w:type="dxa"/>
          </w:tcPr>
          <w:p w14:paraId="29DA030E" w14:textId="61C9FA68"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90</w:t>
            </w:r>
          </w:p>
        </w:tc>
      </w:tr>
      <w:tr w:rsidR="00C00F0D" w:rsidRPr="00D2134C" w14:paraId="7D9C08C6"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8ACE039" w14:textId="66099388" w:rsidR="00C00F0D" w:rsidRPr="00C00F0D" w:rsidRDefault="00C00F0D" w:rsidP="00C00F0D">
            <w:pPr>
              <w:pStyle w:val="Tableformat"/>
              <w:rPr>
                <w:rFonts w:eastAsia="DengXian"/>
              </w:rPr>
            </w:pPr>
            <w:r w:rsidRPr="00C00F0D">
              <w:rPr>
                <w:rFonts w:eastAsia="DengXian"/>
              </w:rPr>
              <w:t>3.2.1G</w:t>
            </w:r>
          </w:p>
        </w:tc>
        <w:tc>
          <w:tcPr>
            <w:tcW w:w="6662" w:type="dxa"/>
          </w:tcPr>
          <w:p w14:paraId="5B22BF13" w14:textId="186DAF23"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Breakdown of past observed inflation</w:t>
            </w:r>
          </w:p>
        </w:tc>
        <w:tc>
          <w:tcPr>
            <w:tcW w:w="936" w:type="dxa"/>
          </w:tcPr>
          <w:p w14:paraId="5F0929F8" w14:textId="42E48651"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92</w:t>
            </w:r>
          </w:p>
        </w:tc>
      </w:tr>
      <w:tr w:rsidR="00C00F0D" w:rsidRPr="00D2134C" w14:paraId="0FC12F0E"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6888613C" w14:textId="0136F79E" w:rsidR="00C00F0D" w:rsidRPr="00C00F0D" w:rsidRDefault="00C00F0D" w:rsidP="00C00F0D">
            <w:pPr>
              <w:pStyle w:val="Tableformat"/>
              <w:rPr>
                <w:rFonts w:eastAsia="DengXian"/>
              </w:rPr>
            </w:pPr>
            <w:r w:rsidRPr="00C00F0D">
              <w:rPr>
                <w:rFonts w:eastAsia="DengXian"/>
              </w:rPr>
              <w:t>3.2.1H</w:t>
            </w:r>
          </w:p>
        </w:tc>
        <w:tc>
          <w:tcPr>
            <w:tcW w:w="6662" w:type="dxa"/>
          </w:tcPr>
          <w:p w14:paraId="53072B1D" w14:textId="34C61F79"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Comparison of historic inflation experience and adopted total inflation</w:t>
            </w:r>
          </w:p>
        </w:tc>
        <w:tc>
          <w:tcPr>
            <w:tcW w:w="936" w:type="dxa"/>
          </w:tcPr>
          <w:p w14:paraId="550DDC17" w14:textId="2FB22BD7"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94</w:t>
            </w:r>
          </w:p>
        </w:tc>
      </w:tr>
      <w:tr w:rsidR="00C00F0D" w:rsidRPr="00D2134C" w14:paraId="72132E9E"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4E97614" w14:textId="64F0561D" w:rsidR="00C00F0D" w:rsidRPr="00C00F0D" w:rsidRDefault="00C00F0D" w:rsidP="00C00F0D">
            <w:pPr>
              <w:pStyle w:val="Tableformat"/>
              <w:rPr>
                <w:rFonts w:eastAsia="DengXian"/>
              </w:rPr>
            </w:pPr>
            <w:r w:rsidRPr="00C00F0D">
              <w:rPr>
                <w:rFonts w:eastAsia="DengXian"/>
              </w:rPr>
              <w:t>3.2.1I</w:t>
            </w:r>
          </w:p>
        </w:tc>
        <w:tc>
          <w:tcPr>
            <w:tcW w:w="6662" w:type="dxa"/>
          </w:tcPr>
          <w:p w14:paraId="1B63B6BC" w14:textId="732473F8"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Actual operating expenses compared to expectations for 2021-22</w:t>
            </w:r>
          </w:p>
        </w:tc>
        <w:tc>
          <w:tcPr>
            <w:tcW w:w="936" w:type="dxa"/>
          </w:tcPr>
          <w:p w14:paraId="5B65F920" w14:textId="5881DE57"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96</w:t>
            </w:r>
          </w:p>
        </w:tc>
      </w:tr>
      <w:tr w:rsidR="00C00F0D" w:rsidRPr="00D2134C" w14:paraId="4FBB0767"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13A3A9CC" w14:textId="5517E437" w:rsidR="00C00F0D" w:rsidRPr="00C00F0D" w:rsidRDefault="00C00F0D" w:rsidP="00C00F0D">
            <w:pPr>
              <w:pStyle w:val="Tableformat"/>
              <w:rPr>
                <w:rFonts w:eastAsia="DengXian"/>
              </w:rPr>
            </w:pPr>
            <w:r w:rsidRPr="00C00F0D">
              <w:rPr>
                <w:rFonts w:eastAsia="DengXian"/>
              </w:rPr>
              <w:t>3.3A</w:t>
            </w:r>
          </w:p>
        </w:tc>
        <w:tc>
          <w:tcPr>
            <w:tcW w:w="6662" w:type="dxa"/>
          </w:tcPr>
          <w:p w14:paraId="08B5B7C7" w14:textId="109AFE1B"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Participant and Scheme outcomes</w:t>
            </w:r>
          </w:p>
        </w:tc>
        <w:tc>
          <w:tcPr>
            <w:tcW w:w="936" w:type="dxa"/>
          </w:tcPr>
          <w:p w14:paraId="3E57F767" w14:textId="25130968"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118</w:t>
            </w:r>
          </w:p>
        </w:tc>
      </w:tr>
      <w:tr w:rsidR="00C00F0D" w:rsidRPr="00D2134C" w14:paraId="38FF4A2A"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E2A4398" w14:textId="34CD0E37" w:rsidR="00C00F0D" w:rsidRPr="00C00F0D" w:rsidRDefault="00C00F0D" w:rsidP="00C00F0D">
            <w:pPr>
              <w:pStyle w:val="Tableformat"/>
              <w:rPr>
                <w:rFonts w:eastAsia="DengXian"/>
              </w:rPr>
            </w:pPr>
            <w:r w:rsidRPr="00C00F0D">
              <w:rPr>
                <w:rFonts w:eastAsia="DengXian"/>
              </w:rPr>
              <w:t xml:space="preserve">3.3B </w:t>
            </w:r>
          </w:p>
        </w:tc>
        <w:tc>
          <w:tcPr>
            <w:tcW w:w="6662" w:type="dxa"/>
          </w:tcPr>
          <w:p w14:paraId="566FD571" w14:textId="39A72F78"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 xml:space="preserve">Participants and stakeholder sentiment </w:t>
            </w:r>
          </w:p>
        </w:tc>
        <w:tc>
          <w:tcPr>
            <w:tcW w:w="936" w:type="dxa"/>
          </w:tcPr>
          <w:p w14:paraId="1B5C24DF" w14:textId="5DD4E01D"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120</w:t>
            </w:r>
          </w:p>
        </w:tc>
      </w:tr>
      <w:tr w:rsidR="00C00F0D" w:rsidRPr="00D2134C" w14:paraId="3621D540"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324D5870" w14:textId="4AFECE0B" w:rsidR="00C00F0D" w:rsidRPr="00C00F0D" w:rsidRDefault="00C00F0D" w:rsidP="00C00F0D">
            <w:pPr>
              <w:pStyle w:val="Tableformat"/>
              <w:rPr>
                <w:rFonts w:eastAsia="DengXian"/>
              </w:rPr>
            </w:pPr>
            <w:r w:rsidRPr="00C00F0D">
              <w:rPr>
                <w:rFonts w:eastAsia="DengXian"/>
              </w:rPr>
              <w:t>3.3C</w:t>
            </w:r>
          </w:p>
        </w:tc>
        <w:tc>
          <w:tcPr>
            <w:tcW w:w="6662" w:type="dxa"/>
          </w:tcPr>
          <w:p w14:paraId="5C468505" w14:textId="2C335503"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Scheme financial sustainability and integrity</w:t>
            </w:r>
          </w:p>
        </w:tc>
        <w:tc>
          <w:tcPr>
            <w:tcW w:w="936" w:type="dxa"/>
          </w:tcPr>
          <w:p w14:paraId="186A03D6" w14:textId="485125D6"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122</w:t>
            </w:r>
          </w:p>
        </w:tc>
      </w:tr>
      <w:tr w:rsidR="00C00F0D" w:rsidRPr="00D2134C" w14:paraId="4A1597E1"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CFD941A" w14:textId="39707F16" w:rsidR="00C00F0D" w:rsidRPr="00C00F0D" w:rsidRDefault="00C00F0D" w:rsidP="00C00F0D">
            <w:pPr>
              <w:pStyle w:val="Tableformat"/>
              <w:rPr>
                <w:rFonts w:eastAsia="DengXian"/>
              </w:rPr>
            </w:pPr>
            <w:r w:rsidRPr="00C00F0D">
              <w:rPr>
                <w:rFonts w:eastAsia="DengXian"/>
              </w:rPr>
              <w:t>3.3D</w:t>
            </w:r>
          </w:p>
        </w:tc>
        <w:tc>
          <w:tcPr>
            <w:tcW w:w="6662" w:type="dxa"/>
          </w:tcPr>
          <w:p w14:paraId="77275234" w14:textId="2BC83B7F"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 xml:space="preserve">NDIS operating performance </w:t>
            </w:r>
          </w:p>
        </w:tc>
        <w:tc>
          <w:tcPr>
            <w:tcW w:w="936" w:type="dxa"/>
          </w:tcPr>
          <w:p w14:paraId="3A898DE7" w14:textId="3B9F3C12"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123</w:t>
            </w:r>
          </w:p>
        </w:tc>
      </w:tr>
      <w:tr w:rsidR="00C00F0D" w:rsidRPr="00D2134C" w14:paraId="20E9825F"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39EF48DA" w14:textId="393B300F" w:rsidR="00C00F0D" w:rsidRPr="00C00F0D" w:rsidRDefault="00C00F0D" w:rsidP="00C00F0D">
            <w:pPr>
              <w:pStyle w:val="Tableformat"/>
              <w:rPr>
                <w:rFonts w:eastAsia="DengXian"/>
              </w:rPr>
            </w:pPr>
            <w:r w:rsidRPr="00C00F0D">
              <w:rPr>
                <w:rFonts w:eastAsia="DengXian"/>
              </w:rPr>
              <w:t>3.3E</w:t>
            </w:r>
          </w:p>
        </w:tc>
        <w:tc>
          <w:tcPr>
            <w:tcW w:w="6662" w:type="dxa"/>
          </w:tcPr>
          <w:p w14:paraId="2BCA998E" w14:textId="2EAF761C"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Market performance</w:t>
            </w:r>
          </w:p>
        </w:tc>
        <w:tc>
          <w:tcPr>
            <w:tcW w:w="936" w:type="dxa"/>
          </w:tcPr>
          <w:p w14:paraId="1671A592" w14:textId="1C52CEAA"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124</w:t>
            </w:r>
          </w:p>
        </w:tc>
      </w:tr>
      <w:tr w:rsidR="00C00F0D" w:rsidRPr="00D2134C" w14:paraId="16A79381"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2B97E77" w14:textId="35D27483" w:rsidR="00C00F0D" w:rsidRPr="00C00F0D" w:rsidRDefault="00C00F0D" w:rsidP="00C00F0D">
            <w:pPr>
              <w:pStyle w:val="Tableformat"/>
              <w:rPr>
                <w:rFonts w:eastAsia="DengXian"/>
              </w:rPr>
            </w:pPr>
            <w:r w:rsidRPr="00C00F0D">
              <w:rPr>
                <w:rFonts w:eastAsia="DengXian"/>
              </w:rPr>
              <w:t>3.3F</w:t>
            </w:r>
          </w:p>
        </w:tc>
        <w:tc>
          <w:tcPr>
            <w:tcW w:w="6662" w:type="dxa"/>
          </w:tcPr>
          <w:p w14:paraId="11356916" w14:textId="65CC855A"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 xml:space="preserve">NDIA operating performance </w:t>
            </w:r>
          </w:p>
        </w:tc>
        <w:tc>
          <w:tcPr>
            <w:tcW w:w="936" w:type="dxa"/>
          </w:tcPr>
          <w:p w14:paraId="490D19E7" w14:textId="7224BDA3"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125</w:t>
            </w:r>
          </w:p>
        </w:tc>
      </w:tr>
      <w:tr w:rsidR="00C00F0D" w:rsidRPr="00D2134C" w14:paraId="070E322B"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2EE7CC4B" w14:textId="46A74488" w:rsidR="00C00F0D" w:rsidRPr="00C00F0D" w:rsidRDefault="00C00F0D" w:rsidP="00C00F0D">
            <w:pPr>
              <w:pStyle w:val="Tableformat"/>
              <w:rPr>
                <w:rFonts w:eastAsia="DengXian"/>
              </w:rPr>
            </w:pPr>
            <w:r w:rsidRPr="00C00F0D">
              <w:rPr>
                <w:rFonts w:eastAsia="DengXian"/>
              </w:rPr>
              <w:t>4.2.2A</w:t>
            </w:r>
          </w:p>
        </w:tc>
        <w:tc>
          <w:tcPr>
            <w:tcW w:w="6662" w:type="dxa"/>
          </w:tcPr>
          <w:p w14:paraId="0D951472" w14:textId="19FCF5FE"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 xml:space="preserve">Board committees and members as </w:t>
            </w:r>
            <w:proofErr w:type="gramStart"/>
            <w:r>
              <w:rPr>
                <w:rFonts w:eastAsia="DengXian"/>
              </w:rPr>
              <w:t>at</w:t>
            </w:r>
            <w:proofErr w:type="gramEnd"/>
            <w:r>
              <w:rPr>
                <w:rFonts w:eastAsia="DengXian"/>
              </w:rPr>
              <w:t xml:space="preserve"> 30 June 2022</w:t>
            </w:r>
          </w:p>
        </w:tc>
        <w:tc>
          <w:tcPr>
            <w:tcW w:w="936" w:type="dxa"/>
          </w:tcPr>
          <w:p w14:paraId="2B3E1090" w14:textId="1875C9EC"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133</w:t>
            </w:r>
          </w:p>
        </w:tc>
      </w:tr>
      <w:tr w:rsidR="00C00F0D" w:rsidRPr="00D2134C" w14:paraId="1BCBDB97"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C02FBA7" w14:textId="76B3F709" w:rsidR="00C00F0D" w:rsidRPr="00C00F0D" w:rsidRDefault="00C00F0D" w:rsidP="00C00F0D">
            <w:pPr>
              <w:pStyle w:val="Tableformat"/>
              <w:rPr>
                <w:rFonts w:eastAsia="DengXian"/>
              </w:rPr>
            </w:pPr>
            <w:r w:rsidRPr="00C00F0D">
              <w:rPr>
                <w:rFonts w:eastAsia="DengXian"/>
              </w:rPr>
              <w:t>4.2.3A</w:t>
            </w:r>
          </w:p>
        </w:tc>
        <w:tc>
          <w:tcPr>
            <w:tcW w:w="6662" w:type="dxa"/>
          </w:tcPr>
          <w:p w14:paraId="597CF714" w14:textId="71190389"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Number of meetings attended by Board members in 2021-22</w:t>
            </w:r>
          </w:p>
        </w:tc>
        <w:tc>
          <w:tcPr>
            <w:tcW w:w="936" w:type="dxa"/>
          </w:tcPr>
          <w:p w14:paraId="2A1FAA0F" w14:textId="67A994EE"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134</w:t>
            </w:r>
          </w:p>
        </w:tc>
      </w:tr>
      <w:tr w:rsidR="00C00F0D" w:rsidRPr="00D2134C" w14:paraId="41494B4A"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3F80DBBE" w14:textId="33DA3B1D" w:rsidR="00C00F0D" w:rsidRPr="00C00F0D" w:rsidRDefault="00C00F0D" w:rsidP="00C00F0D">
            <w:pPr>
              <w:pStyle w:val="Tableformat"/>
              <w:rPr>
                <w:rFonts w:eastAsia="DengXian"/>
              </w:rPr>
            </w:pPr>
            <w:r w:rsidRPr="00C00F0D">
              <w:rPr>
                <w:rFonts w:eastAsia="DengXian"/>
              </w:rPr>
              <w:t>5.2A</w:t>
            </w:r>
          </w:p>
        </w:tc>
        <w:tc>
          <w:tcPr>
            <w:tcW w:w="6662" w:type="dxa"/>
          </w:tcPr>
          <w:p w14:paraId="4D7ACF6E" w14:textId="561A8A38"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Audit Committee renumeration</w:t>
            </w:r>
          </w:p>
        </w:tc>
        <w:tc>
          <w:tcPr>
            <w:tcW w:w="936" w:type="dxa"/>
          </w:tcPr>
          <w:p w14:paraId="7B748CC5" w14:textId="53357982"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144</w:t>
            </w:r>
          </w:p>
        </w:tc>
      </w:tr>
      <w:tr w:rsidR="00C00F0D" w:rsidRPr="00D2134C" w14:paraId="4D784C29"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E5718CA" w14:textId="1B0EA1DB" w:rsidR="00C00F0D" w:rsidRPr="00C00F0D" w:rsidRDefault="00C00F0D" w:rsidP="00C00F0D">
            <w:pPr>
              <w:pStyle w:val="Tableformat"/>
              <w:rPr>
                <w:rFonts w:eastAsia="DengXian"/>
              </w:rPr>
            </w:pPr>
            <w:r w:rsidRPr="00C00F0D">
              <w:rPr>
                <w:rFonts w:eastAsia="DengXian"/>
              </w:rPr>
              <w:t>5.3A</w:t>
            </w:r>
          </w:p>
        </w:tc>
        <w:tc>
          <w:tcPr>
            <w:tcW w:w="6662" w:type="dxa"/>
          </w:tcPr>
          <w:p w14:paraId="7E5EDAF7" w14:textId="1B6403AF"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Summary of incidents pursuant to section 38 of the WHS Act, 2021-22</w:t>
            </w:r>
          </w:p>
        </w:tc>
        <w:tc>
          <w:tcPr>
            <w:tcW w:w="936" w:type="dxa"/>
          </w:tcPr>
          <w:p w14:paraId="180330EA" w14:textId="66EE2218"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145</w:t>
            </w:r>
          </w:p>
        </w:tc>
      </w:tr>
      <w:tr w:rsidR="00C00F0D" w:rsidRPr="00D2134C" w14:paraId="6DC463A2"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0E583348" w14:textId="222F3D88" w:rsidR="00C00F0D" w:rsidRPr="00C00F0D" w:rsidRDefault="00C00F0D" w:rsidP="00C00F0D">
            <w:pPr>
              <w:pStyle w:val="Tableformat"/>
              <w:rPr>
                <w:rFonts w:eastAsia="DengXian"/>
              </w:rPr>
            </w:pPr>
            <w:r w:rsidRPr="00C00F0D">
              <w:rPr>
                <w:rFonts w:eastAsia="DengXian"/>
              </w:rPr>
              <w:t>5.4A</w:t>
            </w:r>
          </w:p>
        </w:tc>
        <w:tc>
          <w:tcPr>
            <w:tcW w:w="6662" w:type="dxa"/>
          </w:tcPr>
          <w:p w14:paraId="68B40E85" w14:textId="095851AB"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All ongoing employees current reporting period (2021-22)</w:t>
            </w:r>
          </w:p>
        </w:tc>
        <w:tc>
          <w:tcPr>
            <w:tcW w:w="936" w:type="dxa"/>
          </w:tcPr>
          <w:p w14:paraId="5E9DFB73" w14:textId="1C41B6A2"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146</w:t>
            </w:r>
          </w:p>
        </w:tc>
      </w:tr>
      <w:tr w:rsidR="00C00F0D" w:rsidRPr="00D2134C" w14:paraId="35B4F439"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C90369B" w14:textId="7A0A0ADE" w:rsidR="00C00F0D" w:rsidRPr="00C00F0D" w:rsidRDefault="00C00F0D" w:rsidP="00C00F0D">
            <w:pPr>
              <w:pStyle w:val="Tableformat"/>
              <w:rPr>
                <w:rFonts w:eastAsia="DengXian"/>
              </w:rPr>
            </w:pPr>
            <w:r w:rsidRPr="00C00F0D">
              <w:rPr>
                <w:rFonts w:eastAsia="DengXian"/>
              </w:rPr>
              <w:t>5.4B</w:t>
            </w:r>
          </w:p>
        </w:tc>
        <w:tc>
          <w:tcPr>
            <w:tcW w:w="6662" w:type="dxa"/>
          </w:tcPr>
          <w:p w14:paraId="738BBC09" w14:textId="6E4FD085"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All non-ongoing employees current reporting period (2021-22)</w:t>
            </w:r>
          </w:p>
        </w:tc>
        <w:tc>
          <w:tcPr>
            <w:tcW w:w="936" w:type="dxa"/>
          </w:tcPr>
          <w:p w14:paraId="52B99C7B" w14:textId="06FF717C"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146</w:t>
            </w:r>
          </w:p>
        </w:tc>
      </w:tr>
      <w:tr w:rsidR="00C00F0D" w:rsidRPr="00D2134C" w14:paraId="4E2A210D"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2FEC0A5B" w14:textId="4142E18A" w:rsidR="00C00F0D" w:rsidRPr="00C00F0D" w:rsidRDefault="00C00F0D" w:rsidP="00C00F0D">
            <w:pPr>
              <w:pStyle w:val="Tableformat"/>
              <w:rPr>
                <w:rFonts w:eastAsia="DengXian"/>
              </w:rPr>
            </w:pPr>
            <w:r w:rsidRPr="00C00F0D">
              <w:rPr>
                <w:rFonts w:eastAsia="DengXian"/>
              </w:rPr>
              <w:t>5.4C</w:t>
            </w:r>
          </w:p>
        </w:tc>
        <w:tc>
          <w:tcPr>
            <w:tcW w:w="6662" w:type="dxa"/>
          </w:tcPr>
          <w:p w14:paraId="0D55FFA8" w14:textId="3DD3419A"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All ongoing employees previous reporting period (2020-2021)</w:t>
            </w:r>
          </w:p>
        </w:tc>
        <w:tc>
          <w:tcPr>
            <w:tcW w:w="936" w:type="dxa"/>
          </w:tcPr>
          <w:p w14:paraId="373D8528" w14:textId="6C887BF2"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147</w:t>
            </w:r>
          </w:p>
        </w:tc>
      </w:tr>
      <w:tr w:rsidR="00C00F0D" w:rsidRPr="00D2134C" w14:paraId="6B57D831"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0DDE8BD" w14:textId="240DC8BD" w:rsidR="00C00F0D" w:rsidRPr="00C00F0D" w:rsidRDefault="00C00F0D" w:rsidP="00C00F0D">
            <w:pPr>
              <w:pStyle w:val="Tableformat"/>
              <w:rPr>
                <w:rFonts w:eastAsia="DengXian"/>
              </w:rPr>
            </w:pPr>
            <w:r w:rsidRPr="00C00F0D">
              <w:rPr>
                <w:rFonts w:eastAsia="DengXian"/>
              </w:rPr>
              <w:t>5.4D</w:t>
            </w:r>
          </w:p>
        </w:tc>
        <w:tc>
          <w:tcPr>
            <w:tcW w:w="6662" w:type="dxa"/>
          </w:tcPr>
          <w:p w14:paraId="7C364D9C" w14:textId="3FDAB4BB"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All non-ongoing employees previous reporting period (2020-21)</w:t>
            </w:r>
          </w:p>
        </w:tc>
        <w:tc>
          <w:tcPr>
            <w:tcW w:w="936" w:type="dxa"/>
          </w:tcPr>
          <w:p w14:paraId="4A4C474B" w14:textId="44543B02"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148</w:t>
            </w:r>
          </w:p>
        </w:tc>
      </w:tr>
      <w:tr w:rsidR="00C00F0D" w:rsidRPr="00D2134C" w14:paraId="4099CEA5"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34A1DF2D" w14:textId="67996D9A" w:rsidR="00C00F0D" w:rsidRPr="00C00F0D" w:rsidRDefault="00C00F0D" w:rsidP="00C00F0D">
            <w:pPr>
              <w:pStyle w:val="Tableformat"/>
              <w:rPr>
                <w:rFonts w:eastAsia="DengXian"/>
              </w:rPr>
            </w:pPr>
            <w:r w:rsidRPr="00C00F0D">
              <w:rPr>
                <w:rFonts w:eastAsia="DengXian"/>
              </w:rPr>
              <w:t>5.6.1A</w:t>
            </w:r>
          </w:p>
        </w:tc>
        <w:tc>
          <w:tcPr>
            <w:tcW w:w="6662" w:type="dxa"/>
          </w:tcPr>
          <w:p w14:paraId="40FB8742" w14:textId="040E88BD"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Key management personnel</w:t>
            </w:r>
          </w:p>
        </w:tc>
        <w:tc>
          <w:tcPr>
            <w:tcW w:w="936" w:type="dxa"/>
          </w:tcPr>
          <w:p w14:paraId="0C80B483" w14:textId="3CA05B54"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149</w:t>
            </w:r>
          </w:p>
        </w:tc>
      </w:tr>
      <w:tr w:rsidR="00C00F0D" w:rsidRPr="00D2134C" w14:paraId="76792650"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9D0E465" w14:textId="20BFC6FF" w:rsidR="00C00F0D" w:rsidRPr="00C00F0D" w:rsidRDefault="00C00F0D" w:rsidP="00C00F0D">
            <w:pPr>
              <w:pStyle w:val="Tableformat"/>
              <w:rPr>
                <w:rFonts w:eastAsia="DengXian"/>
              </w:rPr>
            </w:pPr>
            <w:r w:rsidRPr="00C00F0D">
              <w:rPr>
                <w:rFonts w:eastAsia="DengXian"/>
              </w:rPr>
              <w:t>5.6.2A</w:t>
            </w:r>
          </w:p>
        </w:tc>
        <w:tc>
          <w:tcPr>
            <w:tcW w:w="6662" w:type="dxa"/>
          </w:tcPr>
          <w:p w14:paraId="6DD6D9AB" w14:textId="7841E8E5"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 xml:space="preserve">Key management personnel renumeration </w:t>
            </w:r>
          </w:p>
        </w:tc>
        <w:tc>
          <w:tcPr>
            <w:tcW w:w="936" w:type="dxa"/>
          </w:tcPr>
          <w:p w14:paraId="6669734C" w14:textId="1390853E"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151</w:t>
            </w:r>
          </w:p>
        </w:tc>
      </w:tr>
      <w:tr w:rsidR="00C00F0D" w:rsidRPr="00D2134C" w14:paraId="0DA009E4"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2DCF7F60" w14:textId="4FA82E8B" w:rsidR="00C00F0D" w:rsidRPr="00C00F0D" w:rsidRDefault="00C00F0D" w:rsidP="00C00F0D">
            <w:pPr>
              <w:pStyle w:val="Tableformat"/>
              <w:rPr>
                <w:rFonts w:eastAsia="DengXian"/>
              </w:rPr>
            </w:pPr>
            <w:r w:rsidRPr="00C00F0D">
              <w:rPr>
                <w:rFonts w:eastAsia="DengXian"/>
              </w:rPr>
              <w:lastRenderedPageBreak/>
              <w:t>5.6.3A</w:t>
            </w:r>
          </w:p>
        </w:tc>
        <w:tc>
          <w:tcPr>
            <w:tcW w:w="6662" w:type="dxa"/>
          </w:tcPr>
          <w:p w14:paraId="0C56644A" w14:textId="020E659D"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Average renumeration for senior executives who are not key management personnel</w:t>
            </w:r>
          </w:p>
        </w:tc>
        <w:tc>
          <w:tcPr>
            <w:tcW w:w="936" w:type="dxa"/>
          </w:tcPr>
          <w:p w14:paraId="69521943" w14:textId="7D5CE6B6"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154</w:t>
            </w:r>
          </w:p>
        </w:tc>
      </w:tr>
      <w:tr w:rsidR="00C00F0D" w:rsidRPr="00D2134C" w14:paraId="697B07A0"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A56B83A" w14:textId="2FE0693B" w:rsidR="00C00F0D" w:rsidRPr="00C00F0D" w:rsidRDefault="00C00F0D" w:rsidP="00C00F0D">
            <w:pPr>
              <w:pStyle w:val="Tableformat"/>
              <w:rPr>
                <w:rFonts w:eastAsia="DengXian"/>
              </w:rPr>
            </w:pPr>
            <w:r w:rsidRPr="00C00F0D">
              <w:rPr>
                <w:rFonts w:eastAsia="DengXian"/>
              </w:rPr>
              <w:t>5.6.4A</w:t>
            </w:r>
          </w:p>
        </w:tc>
        <w:tc>
          <w:tcPr>
            <w:tcW w:w="6662" w:type="dxa"/>
          </w:tcPr>
          <w:p w14:paraId="4BE65F9D" w14:textId="4F31C9AF"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Average renumeration for other highly paid staff</w:t>
            </w:r>
          </w:p>
        </w:tc>
        <w:tc>
          <w:tcPr>
            <w:tcW w:w="936" w:type="dxa"/>
          </w:tcPr>
          <w:p w14:paraId="5FEEDC01" w14:textId="441322D4"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155</w:t>
            </w:r>
          </w:p>
        </w:tc>
      </w:tr>
      <w:tr w:rsidR="00C00F0D" w:rsidRPr="00D2134C" w14:paraId="21199C32"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2E52D387" w14:textId="6E89F564" w:rsidR="00C00F0D" w:rsidRPr="00C00F0D" w:rsidRDefault="00C00F0D" w:rsidP="00C00F0D">
            <w:pPr>
              <w:pStyle w:val="Tableformat"/>
              <w:rPr>
                <w:rFonts w:eastAsia="DengXian"/>
              </w:rPr>
            </w:pPr>
            <w:r w:rsidRPr="00C00F0D">
              <w:rPr>
                <w:rFonts w:eastAsia="DengXian"/>
              </w:rPr>
              <w:t>5.10A</w:t>
            </w:r>
          </w:p>
        </w:tc>
        <w:tc>
          <w:tcPr>
            <w:tcW w:w="6662" w:type="dxa"/>
          </w:tcPr>
          <w:p w14:paraId="3A89BB49" w14:textId="3D97E541"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Payments to advertising organisations: 1 July 2021 to 30 June 2022</w:t>
            </w:r>
          </w:p>
        </w:tc>
        <w:tc>
          <w:tcPr>
            <w:tcW w:w="936" w:type="dxa"/>
          </w:tcPr>
          <w:p w14:paraId="50E29FCF" w14:textId="0742C60F"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161</w:t>
            </w:r>
          </w:p>
        </w:tc>
      </w:tr>
      <w:tr w:rsidR="00C00F0D" w:rsidRPr="00D2134C" w14:paraId="7A50CD61"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0E5B598" w14:textId="08E3FBDA" w:rsidR="00C00F0D" w:rsidRPr="00C00F0D" w:rsidRDefault="00C00F0D" w:rsidP="00C00F0D">
            <w:pPr>
              <w:pStyle w:val="Tableformat"/>
              <w:rPr>
                <w:rFonts w:eastAsia="DengXian"/>
              </w:rPr>
            </w:pPr>
            <w:r w:rsidRPr="00C00F0D">
              <w:rPr>
                <w:rFonts w:eastAsia="DengXian"/>
              </w:rPr>
              <w:t>5.10B</w:t>
            </w:r>
          </w:p>
        </w:tc>
        <w:tc>
          <w:tcPr>
            <w:tcW w:w="6662" w:type="dxa"/>
          </w:tcPr>
          <w:p w14:paraId="47745B64" w14:textId="2D41862E"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 xml:space="preserve">Payments to market research organisations: </w:t>
            </w:r>
            <w:r w:rsidRPr="00AB5975">
              <w:rPr>
                <w:rFonts w:eastAsia="DengXian"/>
              </w:rPr>
              <w:t>1 July 2021 to 30 June 2022</w:t>
            </w:r>
          </w:p>
        </w:tc>
        <w:tc>
          <w:tcPr>
            <w:tcW w:w="936" w:type="dxa"/>
          </w:tcPr>
          <w:p w14:paraId="55E2D6A1" w14:textId="45C55E17"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161</w:t>
            </w:r>
          </w:p>
        </w:tc>
      </w:tr>
      <w:tr w:rsidR="00C00F0D" w:rsidRPr="00D2134C" w14:paraId="479C8A17"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160C4AAC" w14:textId="5B6A795C" w:rsidR="00C00F0D" w:rsidRPr="00C00F0D" w:rsidRDefault="00C00F0D" w:rsidP="00C00F0D">
            <w:pPr>
              <w:pStyle w:val="Tableformat"/>
              <w:rPr>
                <w:rFonts w:eastAsia="DengXian"/>
              </w:rPr>
            </w:pPr>
            <w:r w:rsidRPr="00C00F0D">
              <w:rPr>
                <w:rFonts w:eastAsia="DengXian"/>
              </w:rPr>
              <w:t>5.10C</w:t>
            </w:r>
          </w:p>
        </w:tc>
        <w:tc>
          <w:tcPr>
            <w:tcW w:w="6662" w:type="dxa"/>
          </w:tcPr>
          <w:p w14:paraId="70996E77" w14:textId="1EBE9292"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Payments to polling organisations: 1 July 2021 to 30 June 2022</w:t>
            </w:r>
          </w:p>
        </w:tc>
        <w:tc>
          <w:tcPr>
            <w:tcW w:w="936" w:type="dxa"/>
          </w:tcPr>
          <w:p w14:paraId="492FBE18" w14:textId="10099DD8"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161</w:t>
            </w:r>
          </w:p>
        </w:tc>
      </w:tr>
      <w:tr w:rsidR="00C00F0D" w:rsidRPr="00D2134C" w14:paraId="68642634" w14:textId="77777777" w:rsidTr="00E665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DCE4238" w14:textId="651A787F" w:rsidR="00C00F0D" w:rsidRPr="00C00F0D" w:rsidRDefault="00C00F0D" w:rsidP="00C00F0D">
            <w:pPr>
              <w:pStyle w:val="Tableformat"/>
              <w:rPr>
                <w:rFonts w:eastAsia="DengXian"/>
              </w:rPr>
            </w:pPr>
            <w:r w:rsidRPr="00C00F0D">
              <w:rPr>
                <w:rFonts w:eastAsia="DengXian"/>
              </w:rPr>
              <w:t>5.10D</w:t>
            </w:r>
          </w:p>
        </w:tc>
        <w:tc>
          <w:tcPr>
            <w:tcW w:w="6662" w:type="dxa"/>
          </w:tcPr>
          <w:p w14:paraId="7CCF2AEB" w14:textId="438D97A6"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Payments to direct mail organisations: 1 July 2021 to 30 June 2022</w:t>
            </w:r>
          </w:p>
        </w:tc>
        <w:tc>
          <w:tcPr>
            <w:tcW w:w="936" w:type="dxa"/>
          </w:tcPr>
          <w:p w14:paraId="32AE6BA3" w14:textId="29FF8A48" w:rsidR="00C00F0D" w:rsidRDefault="00C00F0D" w:rsidP="00C00F0D">
            <w:pPr>
              <w:pStyle w:val="Tableformat"/>
              <w:cnfStyle w:val="000000100000" w:firstRow="0" w:lastRow="0" w:firstColumn="0" w:lastColumn="0" w:oddVBand="0" w:evenVBand="0" w:oddHBand="1" w:evenHBand="0" w:firstRowFirstColumn="0" w:firstRowLastColumn="0" w:lastRowFirstColumn="0" w:lastRowLastColumn="0"/>
              <w:rPr>
                <w:rFonts w:eastAsia="DengXian"/>
              </w:rPr>
            </w:pPr>
            <w:r>
              <w:rPr>
                <w:rFonts w:eastAsia="DengXian"/>
              </w:rPr>
              <w:t>161</w:t>
            </w:r>
          </w:p>
        </w:tc>
      </w:tr>
      <w:tr w:rsidR="00C00F0D" w:rsidRPr="00D2134C" w14:paraId="268CE298" w14:textId="77777777" w:rsidTr="00E665B7">
        <w:tc>
          <w:tcPr>
            <w:cnfStyle w:val="001000000000" w:firstRow="0" w:lastRow="0" w:firstColumn="1" w:lastColumn="0" w:oddVBand="0" w:evenVBand="0" w:oddHBand="0" w:evenHBand="0" w:firstRowFirstColumn="0" w:firstRowLastColumn="0" w:lastRowFirstColumn="0" w:lastRowLastColumn="0"/>
            <w:tcW w:w="1418" w:type="dxa"/>
          </w:tcPr>
          <w:p w14:paraId="2D04F867" w14:textId="05DDA003" w:rsidR="00C00F0D" w:rsidRPr="00C00F0D" w:rsidRDefault="00C00F0D" w:rsidP="00C00F0D">
            <w:pPr>
              <w:pStyle w:val="Tableformat"/>
              <w:rPr>
                <w:rFonts w:eastAsia="DengXian"/>
              </w:rPr>
            </w:pPr>
            <w:r w:rsidRPr="00C00F0D">
              <w:rPr>
                <w:rFonts w:eastAsia="DengXian"/>
              </w:rPr>
              <w:t>5.10E</w:t>
            </w:r>
          </w:p>
        </w:tc>
        <w:tc>
          <w:tcPr>
            <w:tcW w:w="6662" w:type="dxa"/>
          </w:tcPr>
          <w:p w14:paraId="32BA4ED3" w14:textId="22504ECF"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Payments to media advertising organisations: 1 July 2021 to 30 June 2022</w:t>
            </w:r>
          </w:p>
        </w:tc>
        <w:tc>
          <w:tcPr>
            <w:tcW w:w="936" w:type="dxa"/>
          </w:tcPr>
          <w:p w14:paraId="306ED277" w14:textId="7DEC2C1E" w:rsidR="00C00F0D" w:rsidRDefault="00C00F0D" w:rsidP="00C00F0D">
            <w:pPr>
              <w:pStyle w:val="Tableformat"/>
              <w:cnfStyle w:val="000000000000" w:firstRow="0" w:lastRow="0" w:firstColumn="0" w:lastColumn="0" w:oddVBand="0" w:evenVBand="0" w:oddHBand="0" w:evenHBand="0" w:firstRowFirstColumn="0" w:firstRowLastColumn="0" w:lastRowFirstColumn="0" w:lastRowLastColumn="0"/>
              <w:rPr>
                <w:rFonts w:eastAsia="DengXian"/>
              </w:rPr>
            </w:pPr>
            <w:r>
              <w:rPr>
                <w:rFonts w:eastAsia="DengXian"/>
              </w:rPr>
              <w:t>161</w:t>
            </w:r>
          </w:p>
        </w:tc>
      </w:tr>
    </w:tbl>
    <w:p w14:paraId="1C7686A8" w14:textId="77777777" w:rsidR="00677C63" w:rsidRPr="00D2134C" w:rsidRDefault="00677C63" w:rsidP="00677C63">
      <w:pPr>
        <w:pStyle w:val="FGCHEADING2"/>
      </w:pPr>
      <w:bookmarkStart w:id="703" w:name="_Toc51068023"/>
      <w:bookmarkStart w:id="704" w:name="_Toc110532576"/>
      <w:bookmarkStart w:id="705" w:name="_Toc114477575"/>
      <w:bookmarkStart w:id="706" w:name="_Toc116473945"/>
      <w:r w:rsidRPr="00D2134C">
        <w:t>Figures index</w:t>
      </w:r>
      <w:bookmarkEnd w:id="703"/>
      <w:bookmarkEnd w:id="704"/>
      <w:bookmarkEnd w:id="705"/>
      <w:bookmarkEnd w:id="706"/>
    </w:p>
    <w:tbl>
      <w:tblPr>
        <w:tblStyle w:val="GridTable2-Accent31"/>
        <w:tblW w:w="0" w:type="auto"/>
        <w:tblLook w:val="04A0" w:firstRow="1" w:lastRow="0" w:firstColumn="1" w:lastColumn="0" w:noHBand="0" w:noVBand="1"/>
        <w:tblCaption w:val="Figures (index)"/>
        <w:tblDescription w:val="This is an index of figures that are included in the annual report with the relevant page number."/>
      </w:tblPr>
      <w:tblGrid>
        <w:gridCol w:w="1529"/>
        <w:gridCol w:w="6261"/>
        <w:gridCol w:w="1236"/>
      </w:tblGrid>
      <w:tr w:rsidR="00677C63" w:rsidRPr="00D2134C" w14:paraId="7C31D976" w14:textId="77777777" w:rsidTr="00C00F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790" w:type="dxa"/>
            <w:gridSpan w:val="2"/>
          </w:tcPr>
          <w:p w14:paraId="0A189661" w14:textId="77777777" w:rsidR="00677C63" w:rsidRPr="00D2134C" w:rsidRDefault="00677C63" w:rsidP="00E665B7">
            <w:pPr>
              <w:pStyle w:val="Tableformat"/>
              <w:rPr>
                <w:b w:val="0"/>
                <w:bCs w:val="0"/>
              </w:rPr>
            </w:pPr>
            <w:r w:rsidRPr="00D2134C">
              <w:t>Figures</w:t>
            </w:r>
          </w:p>
        </w:tc>
        <w:tc>
          <w:tcPr>
            <w:tcW w:w="1236" w:type="dxa"/>
          </w:tcPr>
          <w:p w14:paraId="6C4DB551" w14:textId="77777777" w:rsidR="00677C63" w:rsidRPr="00D2134C" w:rsidRDefault="00677C63" w:rsidP="00E665B7">
            <w:pPr>
              <w:pStyle w:val="Tableformat"/>
              <w:cnfStyle w:val="100000000000" w:firstRow="1" w:lastRow="0" w:firstColumn="0" w:lastColumn="0" w:oddVBand="0" w:evenVBand="0" w:oddHBand="0" w:evenHBand="0" w:firstRowFirstColumn="0" w:firstRowLastColumn="0" w:lastRowFirstColumn="0" w:lastRowLastColumn="0"/>
              <w:rPr>
                <w:b w:val="0"/>
                <w:bCs w:val="0"/>
              </w:rPr>
            </w:pPr>
            <w:r w:rsidRPr="00D2134C">
              <w:t>Page</w:t>
            </w:r>
          </w:p>
        </w:tc>
      </w:tr>
      <w:bookmarkEnd w:id="702"/>
      <w:tr w:rsidR="00C00F0D" w:rsidRPr="00C00F0D" w14:paraId="29A4B41D"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5D7AC356" w14:textId="77777777" w:rsidR="00C00F0D" w:rsidRPr="00C00F0D" w:rsidRDefault="00C00F0D" w:rsidP="00C00F0D">
            <w:pPr>
              <w:ind w:left="0"/>
              <w:rPr>
                <w:rFonts w:eastAsia="DengXian"/>
                <w:sz w:val="20"/>
                <w:szCs w:val="20"/>
              </w:rPr>
            </w:pPr>
            <w:r w:rsidRPr="00C00F0D">
              <w:rPr>
                <w:rFonts w:eastAsia="DengXian"/>
                <w:sz w:val="20"/>
                <w:szCs w:val="20"/>
              </w:rPr>
              <w:t>2.1A</w:t>
            </w:r>
          </w:p>
        </w:tc>
        <w:tc>
          <w:tcPr>
            <w:tcW w:w="6261" w:type="dxa"/>
          </w:tcPr>
          <w:p w14:paraId="49A492E2"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Growth in participant numbers</w:t>
            </w:r>
          </w:p>
        </w:tc>
        <w:tc>
          <w:tcPr>
            <w:tcW w:w="1236" w:type="dxa"/>
          </w:tcPr>
          <w:p w14:paraId="49A3BD5F"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12</w:t>
            </w:r>
          </w:p>
        </w:tc>
      </w:tr>
      <w:tr w:rsidR="00C00F0D" w:rsidRPr="00C00F0D" w14:paraId="0ED38BD4"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2E9E84C4" w14:textId="77777777" w:rsidR="00C00F0D" w:rsidRPr="00690470" w:rsidRDefault="00C00F0D" w:rsidP="00C00F0D">
            <w:pPr>
              <w:ind w:left="0"/>
              <w:rPr>
                <w:rFonts w:eastAsia="DengXian"/>
                <w:sz w:val="20"/>
                <w:szCs w:val="20"/>
              </w:rPr>
            </w:pPr>
            <w:r w:rsidRPr="00C00F0D">
              <w:rPr>
                <w:rFonts w:eastAsia="DengXian"/>
                <w:sz w:val="20"/>
                <w:szCs w:val="20"/>
              </w:rPr>
              <w:t>2.1B</w:t>
            </w:r>
          </w:p>
        </w:tc>
        <w:tc>
          <w:tcPr>
            <w:tcW w:w="6261" w:type="dxa"/>
          </w:tcPr>
          <w:p w14:paraId="125830F1"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Growth in participant support payments </w:t>
            </w:r>
          </w:p>
        </w:tc>
        <w:tc>
          <w:tcPr>
            <w:tcW w:w="1236" w:type="dxa"/>
          </w:tcPr>
          <w:p w14:paraId="5C5A49F1"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12</w:t>
            </w:r>
          </w:p>
        </w:tc>
      </w:tr>
      <w:tr w:rsidR="00C00F0D" w:rsidRPr="00C00F0D" w14:paraId="45F6665A"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64A7FF5B" w14:textId="77777777" w:rsidR="00C00F0D" w:rsidRPr="00690470" w:rsidRDefault="00C00F0D" w:rsidP="00C00F0D">
            <w:pPr>
              <w:ind w:left="0"/>
              <w:rPr>
                <w:rFonts w:eastAsia="DengXian"/>
                <w:sz w:val="20"/>
                <w:szCs w:val="20"/>
              </w:rPr>
            </w:pPr>
            <w:r w:rsidRPr="00C00F0D">
              <w:rPr>
                <w:rFonts w:eastAsia="DengXian"/>
                <w:sz w:val="20"/>
                <w:szCs w:val="20"/>
              </w:rPr>
              <w:t>2.1C</w:t>
            </w:r>
          </w:p>
        </w:tc>
        <w:tc>
          <w:tcPr>
            <w:tcW w:w="6261" w:type="dxa"/>
          </w:tcPr>
          <w:p w14:paraId="1BFC40DE"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 xml:space="preserve">Average payment per participant </w:t>
            </w:r>
          </w:p>
        </w:tc>
        <w:tc>
          <w:tcPr>
            <w:tcW w:w="1236" w:type="dxa"/>
          </w:tcPr>
          <w:p w14:paraId="37515353"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13</w:t>
            </w:r>
          </w:p>
        </w:tc>
      </w:tr>
      <w:tr w:rsidR="00C00F0D" w:rsidRPr="00C00F0D" w14:paraId="278549AB"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18C16450" w14:textId="77777777" w:rsidR="00C00F0D" w:rsidRPr="00690470" w:rsidRDefault="00C00F0D" w:rsidP="00C00F0D">
            <w:pPr>
              <w:ind w:left="0"/>
              <w:rPr>
                <w:rFonts w:eastAsia="DengXian"/>
                <w:sz w:val="20"/>
                <w:szCs w:val="20"/>
              </w:rPr>
            </w:pPr>
            <w:r w:rsidRPr="00C00F0D">
              <w:rPr>
                <w:rFonts w:eastAsia="DengXian"/>
                <w:sz w:val="20"/>
                <w:szCs w:val="20"/>
              </w:rPr>
              <w:t>2.1D</w:t>
            </w:r>
          </w:p>
        </w:tc>
        <w:tc>
          <w:tcPr>
            <w:tcW w:w="6261" w:type="dxa"/>
          </w:tcPr>
          <w:p w14:paraId="4E320DD4"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Average and median payments for years ending 30 June – all participants </w:t>
            </w:r>
          </w:p>
        </w:tc>
        <w:tc>
          <w:tcPr>
            <w:tcW w:w="1236" w:type="dxa"/>
          </w:tcPr>
          <w:p w14:paraId="714963C4"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13</w:t>
            </w:r>
          </w:p>
        </w:tc>
      </w:tr>
      <w:tr w:rsidR="00C00F0D" w:rsidRPr="00C00F0D" w14:paraId="6770FD13"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3F67FB84" w14:textId="77777777" w:rsidR="00C00F0D" w:rsidRPr="00C00F0D" w:rsidRDefault="00C00F0D" w:rsidP="00C00F0D">
            <w:pPr>
              <w:ind w:left="0"/>
              <w:rPr>
                <w:rFonts w:eastAsia="DengXian"/>
                <w:sz w:val="20"/>
                <w:szCs w:val="20"/>
              </w:rPr>
            </w:pPr>
            <w:r w:rsidRPr="00C00F0D">
              <w:rPr>
                <w:rFonts w:eastAsia="DengXian"/>
                <w:sz w:val="20"/>
                <w:szCs w:val="20"/>
              </w:rPr>
              <w:t>2.1E</w:t>
            </w:r>
          </w:p>
        </w:tc>
        <w:tc>
          <w:tcPr>
            <w:tcW w:w="6261" w:type="dxa"/>
          </w:tcPr>
          <w:p w14:paraId="1328BAFE"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Average and median payments for years ending 30 June – participants in SIL</w:t>
            </w:r>
          </w:p>
        </w:tc>
        <w:tc>
          <w:tcPr>
            <w:tcW w:w="1236" w:type="dxa"/>
          </w:tcPr>
          <w:p w14:paraId="1C9A530E"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14</w:t>
            </w:r>
          </w:p>
        </w:tc>
      </w:tr>
      <w:tr w:rsidR="00C00F0D" w:rsidRPr="00C00F0D" w14:paraId="0954EF20"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74A9BC8F" w14:textId="77777777" w:rsidR="00C00F0D" w:rsidRPr="00690470" w:rsidRDefault="00C00F0D" w:rsidP="00C00F0D">
            <w:pPr>
              <w:ind w:left="0"/>
              <w:rPr>
                <w:rFonts w:eastAsia="DengXian"/>
                <w:sz w:val="20"/>
                <w:szCs w:val="20"/>
              </w:rPr>
            </w:pPr>
            <w:r w:rsidRPr="00C00F0D">
              <w:rPr>
                <w:rFonts w:eastAsia="DengXian"/>
                <w:sz w:val="20"/>
                <w:szCs w:val="20"/>
              </w:rPr>
              <w:t>2.1F</w:t>
            </w:r>
          </w:p>
        </w:tc>
        <w:tc>
          <w:tcPr>
            <w:tcW w:w="6261" w:type="dxa"/>
          </w:tcPr>
          <w:p w14:paraId="2EB3A10D"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Average and median payments years ending 30 June – participants not in SIL</w:t>
            </w:r>
          </w:p>
        </w:tc>
        <w:tc>
          <w:tcPr>
            <w:tcW w:w="1236" w:type="dxa"/>
          </w:tcPr>
          <w:p w14:paraId="3C36472A"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14</w:t>
            </w:r>
          </w:p>
        </w:tc>
      </w:tr>
      <w:tr w:rsidR="00C00F0D" w:rsidRPr="00C00F0D" w14:paraId="7CBB724F"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1A666270" w14:textId="77777777" w:rsidR="00C00F0D" w:rsidRPr="00690470" w:rsidRDefault="00C00F0D" w:rsidP="00C00F0D">
            <w:pPr>
              <w:ind w:left="0"/>
              <w:rPr>
                <w:rFonts w:eastAsia="DengXian"/>
                <w:sz w:val="20"/>
                <w:szCs w:val="20"/>
              </w:rPr>
            </w:pPr>
            <w:r w:rsidRPr="00C00F0D">
              <w:rPr>
                <w:rFonts w:eastAsia="DengXian"/>
                <w:sz w:val="20"/>
                <w:szCs w:val="20"/>
              </w:rPr>
              <w:t>2.1G</w:t>
            </w:r>
          </w:p>
        </w:tc>
        <w:tc>
          <w:tcPr>
            <w:tcW w:w="6261" w:type="dxa"/>
          </w:tcPr>
          <w:p w14:paraId="64DB24EC"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Average and median payments per year – by age group (participants not in SIL)</w:t>
            </w:r>
          </w:p>
        </w:tc>
        <w:tc>
          <w:tcPr>
            <w:tcW w:w="1236" w:type="dxa"/>
          </w:tcPr>
          <w:p w14:paraId="46246174"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15</w:t>
            </w:r>
          </w:p>
        </w:tc>
      </w:tr>
      <w:tr w:rsidR="00C00F0D" w:rsidRPr="00C00F0D" w14:paraId="284A9AAB"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3E1D325E" w14:textId="77777777" w:rsidR="00C00F0D" w:rsidRPr="00690470" w:rsidRDefault="00C00F0D" w:rsidP="00C00F0D">
            <w:pPr>
              <w:ind w:left="0"/>
              <w:rPr>
                <w:rFonts w:eastAsia="DengXian"/>
                <w:sz w:val="20"/>
                <w:szCs w:val="20"/>
              </w:rPr>
            </w:pPr>
            <w:r w:rsidRPr="00C00F0D">
              <w:rPr>
                <w:rFonts w:eastAsia="DengXian"/>
                <w:sz w:val="20"/>
                <w:szCs w:val="20"/>
              </w:rPr>
              <w:t>2.1H</w:t>
            </w:r>
          </w:p>
        </w:tc>
        <w:tc>
          <w:tcPr>
            <w:tcW w:w="6261" w:type="dxa"/>
          </w:tcPr>
          <w:p w14:paraId="012208C2"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Plan budgets </w:t>
            </w:r>
          </w:p>
        </w:tc>
        <w:tc>
          <w:tcPr>
            <w:tcW w:w="1236" w:type="dxa"/>
          </w:tcPr>
          <w:p w14:paraId="11B6AE55"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16</w:t>
            </w:r>
          </w:p>
        </w:tc>
      </w:tr>
      <w:tr w:rsidR="00C00F0D" w:rsidRPr="00C00F0D" w14:paraId="3F55057D"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511C6268" w14:textId="77777777" w:rsidR="00C00F0D" w:rsidRPr="00C00F0D" w:rsidRDefault="00C00F0D" w:rsidP="00C00F0D">
            <w:pPr>
              <w:ind w:left="0"/>
              <w:rPr>
                <w:rFonts w:eastAsia="DengXian"/>
                <w:sz w:val="20"/>
                <w:szCs w:val="20"/>
              </w:rPr>
            </w:pPr>
            <w:r w:rsidRPr="00C00F0D">
              <w:rPr>
                <w:rFonts w:eastAsia="DengXian"/>
                <w:sz w:val="20"/>
                <w:szCs w:val="20"/>
              </w:rPr>
              <w:t>2.1I</w:t>
            </w:r>
          </w:p>
        </w:tc>
        <w:tc>
          <w:tcPr>
            <w:tcW w:w="6261" w:type="dxa"/>
          </w:tcPr>
          <w:p w14:paraId="48F80E87"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Change in number of providers registered to support participants since 2017</w:t>
            </w:r>
          </w:p>
        </w:tc>
        <w:tc>
          <w:tcPr>
            <w:tcW w:w="1236" w:type="dxa"/>
          </w:tcPr>
          <w:p w14:paraId="6F5231FF"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16</w:t>
            </w:r>
          </w:p>
        </w:tc>
      </w:tr>
      <w:tr w:rsidR="00C00F0D" w:rsidRPr="00C00F0D" w14:paraId="2CC6C48C"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3BC05E02" w14:textId="77777777" w:rsidR="00C00F0D" w:rsidRPr="00690470" w:rsidRDefault="00C00F0D" w:rsidP="00C00F0D">
            <w:pPr>
              <w:ind w:left="0"/>
              <w:rPr>
                <w:rFonts w:eastAsia="DengXian"/>
                <w:sz w:val="20"/>
                <w:szCs w:val="20"/>
              </w:rPr>
            </w:pPr>
            <w:r w:rsidRPr="00C00F0D">
              <w:rPr>
                <w:rFonts w:eastAsia="DengXian"/>
                <w:sz w:val="20"/>
                <w:szCs w:val="20"/>
              </w:rPr>
              <w:t>2.1J</w:t>
            </w:r>
          </w:p>
        </w:tc>
        <w:tc>
          <w:tcPr>
            <w:tcW w:w="6261" w:type="dxa"/>
          </w:tcPr>
          <w:p w14:paraId="5DE34525"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Children younger than 7 years old in the NDIS as </w:t>
            </w:r>
            <w:proofErr w:type="gramStart"/>
            <w:r w:rsidRPr="00C00F0D">
              <w:rPr>
                <w:rFonts w:eastAsia="DengXian"/>
                <w:sz w:val="20"/>
                <w:szCs w:val="20"/>
              </w:rPr>
              <w:t>at</w:t>
            </w:r>
            <w:proofErr w:type="gramEnd"/>
            <w:r w:rsidRPr="00C00F0D">
              <w:rPr>
                <w:rFonts w:eastAsia="DengXian"/>
                <w:sz w:val="20"/>
                <w:szCs w:val="20"/>
              </w:rPr>
              <w:t xml:space="preserve"> 30 June 2022</w:t>
            </w:r>
          </w:p>
        </w:tc>
        <w:tc>
          <w:tcPr>
            <w:tcW w:w="1236" w:type="dxa"/>
          </w:tcPr>
          <w:p w14:paraId="72E09526"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17</w:t>
            </w:r>
          </w:p>
        </w:tc>
      </w:tr>
      <w:tr w:rsidR="00C00F0D" w:rsidRPr="00C00F0D" w14:paraId="4622A385"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606EFE82" w14:textId="77777777" w:rsidR="00C00F0D" w:rsidRPr="00690470" w:rsidRDefault="00C00F0D" w:rsidP="00C00F0D">
            <w:pPr>
              <w:ind w:left="0"/>
              <w:rPr>
                <w:rFonts w:eastAsia="DengXian"/>
                <w:sz w:val="20"/>
                <w:szCs w:val="20"/>
              </w:rPr>
            </w:pPr>
            <w:r w:rsidRPr="00C00F0D">
              <w:rPr>
                <w:rFonts w:eastAsia="DengXian"/>
                <w:sz w:val="20"/>
                <w:szCs w:val="20"/>
              </w:rPr>
              <w:t>2.1K</w:t>
            </w:r>
          </w:p>
        </w:tc>
        <w:tc>
          <w:tcPr>
            <w:tcW w:w="6261" w:type="dxa"/>
          </w:tcPr>
          <w:p w14:paraId="1D269E4A"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sz w:val="20"/>
                <w:szCs w:val="20"/>
              </w:rPr>
            </w:pPr>
            <w:r w:rsidRPr="00C00F0D">
              <w:rPr>
                <w:sz w:val="20"/>
                <w:szCs w:val="20"/>
              </w:rPr>
              <w:t>Change in the percentage of participants engaging in social activities who have been in the Scheme for 2, 3, 4 or 5 years (participants aged 15 years and over)</w:t>
            </w:r>
          </w:p>
        </w:tc>
        <w:tc>
          <w:tcPr>
            <w:tcW w:w="1236" w:type="dxa"/>
          </w:tcPr>
          <w:p w14:paraId="6D934749"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19</w:t>
            </w:r>
          </w:p>
        </w:tc>
      </w:tr>
      <w:tr w:rsidR="00C00F0D" w:rsidRPr="00C00F0D" w14:paraId="2AE7438D"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39E803A7" w14:textId="77777777" w:rsidR="00C00F0D" w:rsidRPr="00690470" w:rsidRDefault="00C00F0D" w:rsidP="00C00F0D">
            <w:pPr>
              <w:ind w:left="0"/>
              <w:rPr>
                <w:rFonts w:eastAsia="DengXian"/>
                <w:sz w:val="20"/>
                <w:szCs w:val="20"/>
              </w:rPr>
            </w:pPr>
            <w:r w:rsidRPr="00C00F0D">
              <w:rPr>
                <w:rFonts w:eastAsia="DengXian"/>
                <w:sz w:val="20"/>
                <w:szCs w:val="20"/>
              </w:rPr>
              <w:t>2.1L</w:t>
            </w:r>
          </w:p>
        </w:tc>
        <w:tc>
          <w:tcPr>
            <w:tcW w:w="6261" w:type="dxa"/>
          </w:tcPr>
          <w:p w14:paraId="14E0EB72" w14:textId="77777777" w:rsidR="00C00F0D" w:rsidRPr="00690470" w:rsidRDefault="00C00F0D" w:rsidP="00C879BF">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C00F0D">
              <w:rPr>
                <w:sz w:val="20"/>
                <w:szCs w:val="20"/>
              </w:rPr>
              <w:t>Change in the percentage of participants in work who have been in the Scheme for 2, 3, 4 or 5 years (participants aged 15 to 64 years)</w:t>
            </w:r>
          </w:p>
        </w:tc>
        <w:tc>
          <w:tcPr>
            <w:tcW w:w="1236" w:type="dxa"/>
          </w:tcPr>
          <w:p w14:paraId="13B53CB9"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19</w:t>
            </w:r>
          </w:p>
        </w:tc>
      </w:tr>
      <w:tr w:rsidR="00C00F0D" w:rsidRPr="00C00F0D" w14:paraId="4561FB13"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0517307F" w14:textId="77777777" w:rsidR="00C00F0D" w:rsidRPr="00C00F0D" w:rsidRDefault="00C00F0D" w:rsidP="00C00F0D">
            <w:pPr>
              <w:ind w:left="0"/>
              <w:rPr>
                <w:rFonts w:eastAsia="DengXian"/>
                <w:sz w:val="20"/>
                <w:szCs w:val="20"/>
              </w:rPr>
            </w:pPr>
            <w:r w:rsidRPr="00C00F0D">
              <w:rPr>
                <w:rFonts w:eastAsia="DengXian"/>
                <w:sz w:val="20"/>
                <w:szCs w:val="20"/>
              </w:rPr>
              <w:lastRenderedPageBreak/>
              <w:t>2.1M</w:t>
            </w:r>
          </w:p>
        </w:tc>
        <w:tc>
          <w:tcPr>
            <w:tcW w:w="6261" w:type="dxa"/>
          </w:tcPr>
          <w:p w14:paraId="65AC3B6C" w14:textId="77777777" w:rsidR="00C00F0D" w:rsidRPr="00C00F0D" w:rsidRDefault="00C00F0D" w:rsidP="00C879BF">
            <w:pPr>
              <w:pStyle w:val="FGCNORMAL"/>
              <w:keepNext/>
              <w:ind w:left="0"/>
              <w:cnfStyle w:val="000000100000" w:firstRow="0" w:lastRow="0" w:firstColumn="0" w:lastColumn="0" w:oddVBand="0" w:evenVBand="0" w:oddHBand="1" w:evenHBand="0" w:firstRowFirstColumn="0" w:firstRowLastColumn="0" w:lastRowFirstColumn="0" w:lastRowLastColumn="0"/>
              <w:rPr>
                <w:sz w:val="20"/>
                <w:szCs w:val="20"/>
              </w:rPr>
            </w:pPr>
            <w:r w:rsidRPr="00C00F0D">
              <w:rPr>
                <w:sz w:val="20"/>
                <w:szCs w:val="20"/>
              </w:rPr>
              <w:t>Has the NDIS improved how your child fits into community life? (</w:t>
            </w:r>
            <w:proofErr w:type="gramStart"/>
            <w:r w:rsidRPr="00C00F0D">
              <w:rPr>
                <w:sz w:val="20"/>
                <w:szCs w:val="20"/>
              </w:rPr>
              <w:t>aged</w:t>
            </w:r>
            <w:proofErr w:type="gramEnd"/>
            <w:r w:rsidRPr="00C00F0D">
              <w:rPr>
                <w:sz w:val="20"/>
                <w:szCs w:val="20"/>
              </w:rPr>
              <w:t xml:space="preserve"> 0 to before starting school) </w:t>
            </w:r>
          </w:p>
        </w:tc>
        <w:tc>
          <w:tcPr>
            <w:tcW w:w="1236" w:type="dxa"/>
          </w:tcPr>
          <w:p w14:paraId="1B707C6C"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20</w:t>
            </w:r>
          </w:p>
        </w:tc>
      </w:tr>
      <w:tr w:rsidR="00C00F0D" w:rsidRPr="00C00F0D" w14:paraId="33BE3B2B"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5AE9D873" w14:textId="77777777" w:rsidR="00C00F0D" w:rsidRPr="00690470" w:rsidRDefault="00C00F0D" w:rsidP="00C00F0D">
            <w:pPr>
              <w:ind w:left="0"/>
              <w:rPr>
                <w:rFonts w:eastAsia="DengXian"/>
                <w:sz w:val="20"/>
                <w:szCs w:val="20"/>
              </w:rPr>
            </w:pPr>
            <w:r w:rsidRPr="00C00F0D">
              <w:rPr>
                <w:rFonts w:eastAsia="DengXian"/>
                <w:sz w:val="20"/>
                <w:szCs w:val="20"/>
              </w:rPr>
              <w:t>2.1N</w:t>
            </w:r>
          </w:p>
        </w:tc>
        <w:tc>
          <w:tcPr>
            <w:tcW w:w="6261" w:type="dxa"/>
          </w:tcPr>
          <w:p w14:paraId="582197BB" w14:textId="77777777" w:rsidR="00C00F0D" w:rsidRPr="00690470" w:rsidRDefault="00C00F0D" w:rsidP="00C879BF">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C00F0D">
              <w:rPr>
                <w:sz w:val="20"/>
                <w:szCs w:val="20"/>
              </w:rPr>
              <w:t>Has the NDIS helped your child to become more independent? (</w:t>
            </w:r>
            <w:proofErr w:type="gramStart"/>
            <w:r w:rsidRPr="00C00F0D">
              <w:rPr>
                <w:sz w:val="20"/>
                <w:szCs w:val="20"/>
              </w:rPr>
              <w:t>children</w:t>
            </w:r>
            <w:proofErr w:type="gramEnd"/>
            <w:r w:rsidRPr="00C00F0D">
              <w:rPr>
                <w:sz w:val="20"/>
                <w:szCs w:val="20"/>
              </w:rPr>
              <w:t xml:space="preserve"> aged from starting school to 14 years) </w:t>
            </w:r>
          </w:p>
        </w:tc>
        <w:tc>
          <w:tcPr>
            <w:tcW w:w="1236" w:type="dxa"/>
          </w:tcPr>
          <w:p w14:paraId="1BC6C69D"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20</w:t>
            </w:r>
          </w:p>
        </w:tc>
      </w:tr>
      <w:tr w:rsidR="00C00F0D" w:rsidRPr="00C00F0D" w14:paraId="6D319186"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23F0BB10" w14:textId="77777777" w:rsidR="00C00F0D" w:rsidRPr="00690470" w:rsidRDefault="00C00F0D" w:rsidP="00C00F0D">
            <w:pPr>
              <w:ind w:left="0"/>
              <w:rPr>
                <w:rFonts w:eastAsia="DengXian"/>
                <w:sz w:val="20"/>
                <w:szCs w:val="20"/>
              </w:rPr>
            </w:pPr>
            <w:r w:rsidRPr="00C00F0D">
              <w:rPr>
                <w:rFonts w:eastAsia="DengXian"/>
                <w:sz w:val="20"/>
                <w:szCs w:val="20"/>
              </w:rPr>
              <w:t>2.1O</w:t>
            </w:r>
          </w:p>
        </w:tc>
        <w:tc>
          <w:tcPr>
            <w:tcW w:w="6261" w:type="dxa"/>
          </w:tcPr>
          <w:p w14:paraId="65451181"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bCs/>
                <w:sz w:val="20"/>
                <w:szCs w:val="20"/>
              </w:rPr>
              <w:t xml:space="preserve">Has the NDIS helped you with daily living activities? </w:t>
            </w:r>
            <w:r w:rsidRPr="00C00F0D">
              <w:rPr>
                <w:sz w:val="20"/>
                <w:szCs w:val="20"/>
              </w:rPr>
              <w:t>(</w:t>
            </w:r>
            <w:proofErr w:type="gramStart"/>
            <w:r w:rsidRPr="00C00F0D">
              <w:rPr>
                <w:sz w:val="20"/>
                <w:szCs w:val="20"/>
              </w:rPr>
              <w:t>young</w:t>
            </w:r>
            <w:proofErr w:type="gramEnd"/>
            <w:r w:rsidRPr="00C00F0D">
              <w:rPr>
                <w:sz w:val="20"/>
                <w:szCs w:val="20"/>
              </w:rPr>
              <w:t xml:space="preserve"> adults aged 15 to 24 years)</w:t>
            </w:r>
          </w:p>
        </w:tc>
        <w:tc>
          <w:tcPr>
            <w:tcW w:w="1236" w:type="dxa"/>
          </w:tcPr>
          <w:p w14:paraId="25BD60A6"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21</w:t>
            </w:r>
          </w:p>
        </w:tc>
      </w:tr>
      <w:tr w:rsidR="00C00F0D" w:rsidRPr="00C00F0D" w14:paraId="7DFDB45C"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21A8BDFD" w14:textId="77777777" w:rsidR="00C00F0D" w:rsidRPr="00690470" w:rsidRDefault="00C00F0D" w:rsidP="00C00F0D">
            <w:pPr>
              <w:ind w:left="0"/>
              <w:rPr>
                <w:rFonts w:eastAsia="DengXian"/>
                <w:sz w:val="20"/>
                <w:szCs w:val="20"/>
              </w:rPr>
            </w:pPr>
            <w:r w:rsidRPr="00C00F0D">
              <w:rPr>
                <w:rFonts w:eastAsia="DengXian"/>
                <w:sz w:val="20"/>
                <w:szCs w:val="20"/>
              </w:rPr>
              <w:t>2.1P</w:t>
            </w:r>
          </w:p>
        </w:tc>
        <w:tc>
          <w:tcPr>
            <w:tcW w:w="6261" w:type="dxa"/>
          </w:tcPr>
          <w:p w14:paraId="618D5392" w14:textId="77777777" w:rsidR="00C00F0D" w:rsidRPr="00C00F0D" w:rsidRDefault="00C00F0D" w:rsidP="00C00F0D">
            <w:pPr>
              <w:ind w:left="0"/>
              <w:cnfStyle w:val="000000000000" w:firstRow="0" w:lastRow="0" w:firstColumn="0" w:lastColumn="0" w:oddVBand="0" w:evenVBand="0" w:oddHBand="0" w:evenHBand="0" w:firstRowFirstColumn="0" w:firstRowLastColumn="0" w:lastRowFirstColumn="0" w:lastRowLastColumn="0"/>
              <w:rPr>
                <w:sz w:val="20"/>
                <w:szCs w:val="20"/>
              </w:rPr>
            </w:pPr>
            <w:r w:rsidRPr="00C00F0D">
              <w:rPr>
                <w:sz w:val="20"/>
                <w:szCs w:val="20"/>
              </w:rPr>
              <w:t>Has your involvement with the NDIS improved your health and wellbeing? (</w:t>
            </w:r>
            <w:proofErr w:type="gramStart"/>
            <w:r w:rsidRPr="00C00F0D">
              <w:rPr>
                <w:sz w:val="20"/>
                <w:szCs w:val="20"/>
              </w:rPr>
              <w:t>adults</w:t>
            </w:r>
            <w:proofErr w:type="gramEnd"/>
            <w:r w:rsidRPr="00C00F0D">
              <w:rPr>
                <w:sz w:val="20"/>
                <w:szCs w:val="20"/>
              </w:rPr>
              <w:t xml:space="preserve"> aged 25+ years)</w:t>
            </w:r>
          </w:p>
        </w:tc>
        <w:tc>
          <w:tcPr>
            <w:tcW w:w="1236" w:type="dxa"/>
          </w:tcPr>
          <w:p w14:paraId="05CBFEE1"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21</w:t>
            </w:r>
          </w:p>
        </w:tc>
      </w:tr>
      <w:tr w:rsidR="00C00F0D" w:rsidRPr="00C00F0D" w14:paraId="0F827340"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08FD1739" w14:textId="77777777" w:rsidR="00C00F0D" w:rsidRPr="00C00F0D" w:rsidRDefault="00C00F0D" w:rsidP="00C00F0D">
            <w:pPr>
              <w:ind w:left="0"/>
              <w:rPr>
                <w:rFonts w:eastAsia="DengXian"/>
                <w:sz w:val="20"/>
                <w:szCs w:val="20"/>
              </w:rPr>
            </w:pPr>
            <w:r w:rsidRPr="00C00F0D">
              <w:rPr>
                <w:rFonts w:eastAsia="DengXian"/>
                <w:sz w:val="20"/>
                <w:szCs w:val="20"/>
              </w:rPr>
              <w:t>2.2.1A</w:t>
            </w:r>
          </w:p>
        </w:tc>
        <w:tc>
          <w:tcPr>
            <w:tcW w:w="6261" w:type="dxa"/>
          </w:tcPr>
          <w:p w14:paraId="7070AB76"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National Disability Insurance Agency Purpose and Aspirations (2021-2025)</w:t>
            </w:r>
          </w:p>
        </w:tc>
        <w:tc>
          <w:tcPr>
            <w:tcW w:w="1236" w:type="dxa"/>
          </w:tcPr>
          <w:p w14:paraId="2D6ED231"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23</w:t>
            </w:r>
          </w:p>
        </w:tc>
      </w:tr>
      <w:tr w:rsidR="00C00F0D" w:rsidRPr="00C00F0D" w14:paraId="09BC0244"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1A8C22BD" w14:textId="77777777" w:rsidR="00C00F0D" w:rsidRPr="00690470" w:rsidRDefault="00C00F0D" w:rsidP="00C00F0D">
            <w:pPr>
              <w:ind w:left="0"/>
              <w:rPr>
                <w:rFonts w:eastAsia="DengXian"/>
                <w:sz w:val="20"/>
                <w:szCs w:val="20"/>
              </w:rPr>
            </w:pPr>
            <w:r w:rsidRPr="00C00F0D">
              <w:rPr>
                <w:rFonts w:eastAsia="DengXian"/>
                <w:sz w:val="20"/>
                <w:szCs w:val="20"/>
              </w:rPr>
              <w:t>2.2.2A</w:t>
            </w:r>
          </w:p>
        </w:tc>
        <w:tc>
          <w:tcPr>
            <w:tcW w:w="6261" w:type="dxa"/>
          </w:tcPr>
          <w:p w14:paraId="0D1D60E3"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National Disability Agency Values </w:t>
            </w:r>
          </w:p>
        </w:tc>
        <w:tc>
          <w:tcPr>
            <w:tcW w:w="1236" w:type="dxa"/>
          </w:tcPr>
          <w:p w14:paraId="3B1AAF18"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24</w:t>
            </w:r>
          </w:p>
        </w:tc>
      </w:tr>
      <w:tr w:rsidR="00C00F0D" w:rsidRPr="00C00F0D" w14:paraId="76CC5D35"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0CAF9651" w14:textId="77777777" w:rsidR="00C00F0D" w:rsidRPr="00690470" w:rsidRDefault="00C00F0D" w:rsidP="00C00F0D">
            <w:pPr>
              <w:ind w:left="0"/>
              <w:rPr>
                <w:rFonts w:eastAsia="DengXian"/>
                <w:sz w:val="20"/>
                <w:szCs w:val="20"/>
              </w:rPr>
            </w:pPr>
            <w:r w:rsidRPr="00C00F0D">
              <w:rPr>
                <w:rFonts w:eastAsia="DengXian"/>
                <w:sz w:val="20"/>
                <w:szCs w:val="20"/>
              </w:rPr>
              <w:t>2.2.3A</w:t>
            </w:r>
          </w:p>
        </w:tc>
        <w:tc>
          <w:tcPr>
            <w:tcW w:w="6261" w:type="dxa"/>
          </w:tcPr>
          <w:p w14:paraId="472649F6"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 xml:space="preserve">Rating of experience with the NDIS as </w:t>
            </w:r>
            <w:proofErr w:type="gramStart"/>
            <w:r w:rsidRPr="00C00F0D">
              <w:rPr>
                <w:rFonts w:eastAsia="DengXian"/>
                <w:sz w:val="20"/>
                <w:szCs w:val="20"/>
              </w:rPr>
              <w:t>at</w:t>
            </w:r>
            <w:proofErr w:type="gramEnd"/>
            <w:r w:rsidRPr="00C00F0D">
              <w:rPr>
                <w:rFonts w:eastAsia="DengXian"/>
                <w:sz w:val="20"/>
                <w:szCs w:val="20"/>
              </w:rPr>
              <w:t xml:space="preserve"> 30 June 2022</w:t>
            </w:r>
          </w:p>
        </w:tc>
        <w:tc>
          <w:tcPr>
            <w:tcW w:w="1236" w:type="dxa"/>
          </w:tcPr>
          <w:p w14:paraId="22F04679"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28</w:t>
            </w:r>
          </w:p>
        </w:tc>
      </w:tr>
      <w:tr w:rsidR="00C00F0D" w:rsidRPr="00C00F0D" w14:paraId="1E47400A"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19209E83" w14:textId="77777777" w:rsidR="00C00F0D" w:rsidRPr="00690470" w:rsidRDefault="00C00F0D" w:rsidP="00C00F0D">
            <w:pPr>
              <w:ind w:left="0"/>
              <w:rPr>
                <w:rFonts w:eastAsia="DengXian"/>
                <w:sz w:val="20"/>
                <w:szCs w:val="20"/>
              </w:rPr>
            </w:pPr>
            <w:r w:rsidRPr="00C00F0D">
              <w:rPr>
                <w:rFonts w:eastAsia="DengXian"/>
                <w:sz w:val="20"/>
                <w:szCs w:val="20"/>
              </w:rPr>
              <w:t>2.2.3B</w:t>
            </w:r>
          </w:p>
        </w:tc>
        <w:tc>
          <w:tcPr>
            <w:tcW w:w="6261" w:type="dxa"/>
          </w:tcPr>
          <w:p w14:paraId="136DBC91"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Trend of satisfaction across the pathway (%very good/good)</w:t>
            </w:r>
          </w:p>
        </w:tc>
        <w:tc>
          <w:tcPr>
            <w:tcW w:w="1236" w:type="dxa"/>
          </w:tcPr>
          <w:p w14:paraId="73E7CA42"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29</w:t>
            </w:r>
          </w:p>
        </w:tc>
      </w:tr>
      <w:tr w:rsidR="00C00F0D" w:rsidRPr="00C00F0D" w14:paraId="16487033"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2E706F10" w14:textId="77777777" w:rsidR="00C00F0D" w:rsidRPr="00C00F0D" w:rsidRDefault="00C00F0D" w:rsidP="00C00F0D">
            <w:pPr>
              <w:ind w:left="0"/>
              <w:rPr>
                <w:rFonts w:eastAsia="DengXian"/>
                <w:sz w:val="20"/>
                <w:szCs w:val="20"/>
              </w:rPr>
            </w:pPr>
            <w:r w:rsidRPr="00C00F0D">
              <w:rPr>
                <w:rFonts w:eastAsia="DengXian"/>
                <w:sz w:val="20"/>
                <w:szCs w:val="20"/>
              </w:rPr>
              <w:t>2.2.3C</w:t>
            </w:r>
          </w:p>
        </w:tc>
        <w:tc>
          <w:tcPr>
            <w:tcW w:w="6261" w:type="dxa"/>
          </w:tcPr>
          <w:p w14:paraId="2A6191D4"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Open complaints and percentage that have been open for more than 21days</w:t>
            </w:r>
          </w:p>
        </w:tc>
        <w:tc>
          <w:tcPr>
            <w:tcW w:w="1236" w:type="dxa"/>
          </w:tcPr>
          <w:p w14:paraId="7C2443C2"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30</w:t>
            </w:r>
          </w:p>
        </w:tc>
      </w:tr>
      <w:tr w:rsidR="00C00F0D" w:rsidRPr="00C00F0D" w14:paraId="17FF2901"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74051EC7" w14:textId="77777777" w:rsidR="00C00F0D" w:rsidRPr="00690470" w:rsidRDefault="00C00F0D" w:rsidP="00C00F0D">
            <w:pPr>
              <w:ind w:left="0"/>
              <w:rPr>
                <w:rFonts w:eastAsia="DengXian"/>
                <w:sz w:val="20"/>
                <w:szCs w:val="20"/>
              </w:rPr>
            </w:pPr>
            <w:r w:rsidRPr="00C00F0D">
              <w:rPr>
                <w:rFonts w:eastAsia="DengXian"/>
                <w:sz w:val="20"/>
                <w:szCs w:val="20"/>
              </w:rPr>
              <w:t>2.2.3D</w:t>
            </w:r>
          </w:p>
        </w:tc>
        <w:tc>
          <w:tcPr>
            <w:tcW w:w="6261" w:type="dxa"/>
          </w:tcPr>
          <w:p w14:paraId="037AB8B9"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Closed complaints and percentage completed within 21-day timeframe</w:t>
            </w:r>
          </w:p>
        </w:tc>
        <w:tc>
          <w:tcPr>
            <w:tcW w:w="1236" w:type="dxa"/>
          </w:tcPr>
          <w:p w14:paraId="160D5193"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30</w:t>
            </w:r>
          </w:p>
        </w:tc>
      </w:tr>
      <w:tr w:rsidR="00C00F0D" w:rsidRPr="00C00F0D" w14:paraId="48BC02ED"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32D4D279" w14:textId="77777777" w:rsidR="00C00F0D" w:rsidRPr="00690470" w:rsidRDefault="00C00F0D" w:rsidP="00C00F0D">
            <w:pPr>
              <w:ind w:left="0"/>
              <w:rPr>
                <w:rFonts w:eastAsia="DengXian"/>
                <w:sz w:val="20"/>
                <w:szCs w:val="20"/>
              </w:rPr>
            </w:pPr>
            <w:r w:rsidRPr="00C00F0D">
              <w:rPr>
                <w:rFonts w:eastAsia="DengXian"/>
                <w:sz w:val="20"/>
                <w:szCs w:val="20"/>
              </w:rPr>
              <w:t>2.2.3E</w:t>
            </w:r>
          </w:p>
        </w:tc>
        <w:tc>
          <w:tcPr>
            <w:tcW w:w="6261" w:type="dxa"/>
          </w:tcPr>
          <w:p w14:paraId="299B2DE5"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National Contact Centre telephony performance 2021-22</w:t>
            </w:r>
          </w:p>
        </w:tc>
        <w:tc>
          <w:tcPr>
            <w:tcW w:w="1236" w:type="dxa"/>
          </w:tcPr>
          <w:p w14:paraId="413C7E09"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44</w:t>
            </w:r>
          </w:p>
        </w:tc>
      </w:tr>
      <w:tr w:rsidR="00C00F0D" w:rsidRPr="00C00F0D" w14:paraId="58D327E5"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6FC907E6" w14:textId="77777777" w:rsidR="00C00F0D" w:rsidRPr="00690470" w:rsidRDefault="00C00F0D" w:rsidP="00C00F0D">
            <w:pPr>
              <w:ind w:left="0"/>
              <w:rPr>
                <w:rFonts w:eastAsia="DengXian"/>
                <w:sz w:val="20"/>
                <w:szCs w:val="20"/>
              </w:rPr>
            </w:pPr>
            <w:r w:rsidRPr="00C00F0D">
              <w:rPr>
                <w:rFonts w:eastAsia="DengXian"/>
                <w:sz w:val="20"/>
                <w:szCs w:val="20"/>
              </w:rPr>
              <w:t>2.2.3F</w:t>
            </w:r>
          </w:p>
        </w:tc>
        <w:tc>
          <w:tcPr>
            <w:tcW w:w="6261" w:type="dxa"/>
          </w:tcPr>
          <w:p w14:paraId="0E40FF8A"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National Contact Centre volume of work completed 2021-22</w:t>
            </w:r>
          </w:p>
        </w:tc>
        <w:tc>
          <w:tcPr>
            <w:tcW w:w="1236" w:type="dxa"/>
          </w:tcPr>
          <w:p w14:paraId="6E9803B5"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44</w:t>
            </w:r>
          </w:p>
        </w:tc>
      </w:tr>
      <w:tr w:rsidR="00C00F0D" w:rsidRPr="00C00F0D" w14:paraId="435046F4"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37AE60D2" w14:textId="77777777" w:rsidR="00C00F0D" w:rsidRPr="00690470" w:rsidRDefault="00C00F0D" w:rsidP="00C00F0D">
            <w:pPr>
              <w:ind w:left="0"/>
              <w:rPr>
                <w:rFonts w:eastAsia="DengXian"/>
                <w:sz w:val="20"/>
                <w:szCs w:val="20"/>
              </w:rPr>
            </w:pPr>
            <w:r w:rsidRPr="00C00F0D">
              <w:rPr>
                <w:rFonts w:eastAsia="DengXian"/>
                <w:sz w:val="20"/>
                <w:szCs w:val="20"/>
              </w:rPr>
              <w:t xml:space="preserve">3.2.1A </w:t>
            </w:r>
          </w:p>
        </w:tc>
        <w:tc>
          <w:tcPr>
            <w:tcW w:w="6261" w:type="dxa"/>
          </w:tcPr>
          <w:p w14:paraId="37C52FF5"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 xml:space="preserve">Comparison of participant numbers to previous review </w:t>
            </w:r>
          </w:p>
        </w:tc>
        <w:tc>
          <w:tcPr>
            <w:tcW w:w="1236" w:type="dxa"/>
          </w:tcPr>
          <w:p w14:paraId="22CD916A"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86</w:t>
            </w:r>
          </w:p>
        </w:tc>
      </w:tr>
      <w:tr w:rsidR="00C00F0D" w:rsidRPr="00C00F0D" w14:paraId="3CA0B8BB"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79BEE85C" w14:textId="77777777" w:rsidR="00C00F0D" w:rsidRPr="00690470" w:rsidRDefault="00C00F0D" w:rsidP="00C00F0D">
            <w:pPr>
              <w:ind w:left="0"/>
              <w:rPr>
                <w:rFonts w:eastAsia="DengXian"/>
                <w:sz w:val="20"/>
                <w:szCs w:val="20"/>
              </w:rPr>
            </w:pPr>
            <w:r w:rsidRPr="00C00F0D">
              <w:rPr>
                <w:rFonts w:eastAsia="DengXian"/>
                <w:sz w:val="20"/>
                <w:szCs w:val="20"/>
              </w:rPr>
              <w:t>3.2.1B</w:t>
            </w:r>
          </w:p>
        </w:tc>
        <w:tc>
          <w:tcPr>
            <w:tcW w:w="6261" w:type="dxa"/>
          </w:tcPr>
          <w:p w14:paraId="2BE51CF1"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Expected new entrant rate together with observed experience for the year ended 31 March 2022 by financial phasing year </w:t>
            </w:r>
          </w:p>
        </w:tc>
        <w:tc>
          <w:tcPr>
            <w:tcW w:w="1236" w:type="dxa"/>
          </w:tcPr>
          <w:p w14:paraId="0F94056C"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88</w:t>
            </w:r>
          </w:p>
        </w:tc>
      </w:tr>
      <w:tr w:rsidR="00C00F0D" w:rsidRPr="00C00F0D" w14:paraId="65AD9E01"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7CDBB61F" w14:textId="77777777" w:rsidR="00C00F0D" w:rsidRPr="00C00F0D" w:rsidRDefault="00C00F0D" w:rsidP="00C00F0D">
            <w:pPr>
              <w:ind w:left="0"/>
              <w:rPr>
                <w:rFonts w:eastAsia="DengXian"/>
                <w:sz w:val="20"/>
                <w:szCs w:val="20"/>
              </w:rPr>
            </w:pPr>
            <w:r w:rsidRPr="00C00F0D">
              <w:rPr>
                <w:rFonts w:eastAsia="DengXian"/>
                <w:sz w:val="20"/>
                <w:szCs w:val="20"/>
              </w:rPr>
              <w:t>3.2.1C</w:t>
            </w:r>
          </w:p>
        </w:tc>
        <w:tc>
          <w:tcPr>
            <w:tcW w:w="6261" w:type="dxa"/>
          </w:tcPr>
          <w:p w14:paraId="13E6BB73"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Experience to date and projections of participants new to SIL</w:t>
            </w:r>
          </w:p>
        </w:tc>
        <w:tc>
          <w:tcPr>
            <w:tcW w:w="1236" w:type="dxa"/>
          </w:tcPr>
          <w:p w14:paraId="15B1EBBE"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89</w:t>
            </w:r>
          </w:p>
        </w:tc>
      </w:tr>
      <w:tr w:rsidR="00C00F0D" w:rsidRPr="00C00F0D" w14:paraId="0B537E58"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50937F3A" w14:textId="77777777" w:rsidR="00C00F0D" w:rsidRPr="00690470" w:rsidRDefault="00C00F0D" w:rsidP="00C00F0D">
            <w:pPr>
              <w:ind w:left="0"/>
              <w:rPr>
                <w:rFonts w:eastAsia="DengXian"/>
                <w:sz w:val="20"/>
                <w:szCs w:val="20"/>
              </w:rPr>
            </w:pPr>
            <w:r w:rsidRPr="00C00F0D">
              <w:rPr>
                <w:rFonts w:eastAsia="DengXian"/>
                <w:sz w:val="20"/>
                <w:szCs w:val="20"/>
              </w:rPr>
              <w:t>3.2.1D</w:t>
            </w:r>
          </w:p>
        </w:tc>
        <w:tc>
          <w:tcPr>
            <w:tcW w:w="6261" w:type="dxa"/>
          </w:tcPr>
          <w:p w14:paraId="4584BF5E"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Average annualised payments overtime ($)</w:t>
            </w:r>
          </w:p>
        </w:tc>
        <w:tc>
          <w:tcPr>
            <w:tcW w:w="1236" w:type="dxa"/>
          </w:tcPr>
          <w:p w14:paraId="10AE5730"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91</w:t>
            </w:r>
          </w:p>
        </w:tc>
      </w:tr>
      <w:tr w:rsidR="00C00F0D" w:rsidRPr="00C00F0D" w14:paraId="4F0537FD"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1D22A866" w14:textId="77777777" w:rsidR="00C00F0D" w:rsidRPr="00690470" w:rsidRDefault="00C00F0D" w:rsidP="00C00F0D">
            <w:pPr>
              <w:ind w:left="0"/>
              <w:rPr>
                <w:rFonts w:eastAsia="DengXian"/>
                <w:sz w:val="20"/>
                <w:szCs w:val="20"/>
              </w:rPr>
            </w:pPr>
            <w:r w:rsidRPr="00C00F0D">
              <w:rPr>
                <w:rFonts w:eastAsia="DengXian"/>
                <w:sz w:val="20"/>
                <w:szCs w:val="20"/>
              </w:rPr>
              <w:t>3.2.1E</w:t>
            </w:r>
          </w:p>
        </w:tc>
        <w:tc>
          <w:tcPr>
            <w:tcW w:w="6261" w:type="dxa"/>
          </w:tcPr>
          <w:p w14:paraId="55A30DE5"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Average annualised payments over time by SIL Status ($)</w:t>
            </w:r>
          </w:p>
        </w:tc>
        <w:tc>
          <w:tcPr>
            <w:tcW w:w="1236" w:type="dxa"/>
          </w:tcPr>
          <w:p w14:paraId="6B58F6E9"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91</w:t>
            </w:r>
          </w:p>
        </w:tc>
      </w:tr>
      <w:tr w:rsidR="00C00F0D" w:rsidRPr="00C00F0D" w14:paraId="56CF6D50"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1641BBC1" w14:textId="77777777" w:rsidR="00C00F0D" w:rsidRPr="00690470" w:rsidRDefault="00C00F0D" w:rsidP="00C00F0D">
            <w:pPr>
              <w:ind w:left="0"/>
              <w:rPr>
                <w:rFonts w:eastAsia="DengXian"/>
                <w:sz w:val="20"/>
                <w:szCs w:val="20"/>
              </w:rPr>
            </w:pPr>
            <w:r w:rsidRPr="00C00F0D">
              <w:rPr>
                <w:rFonts w:eastAsia="DengXian"/>
                <w:sz w:val="20"/>
                <w:szCs w:val="20"/>
              </w:rPr>
              <w:t>3.2.1F</w:t>
            </w:r>
          </w:p>
        </w:tc>
        <w:tc>
          <w:tcPr>
            <w:tcW w:w="6261" w:type="dxa"/>
          </w:tcPr>
          <w:p w14:paraId="72CCA298"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Average annualised payments overtime for participants without SIL by age band ($)</w:t>
            </w:r>
          </w:p>
        </w:tc>
        <w:tc>
          <w:tcPr>
            <w:tcW w:w="1236" w:type="dxa"/>
          </w:tcPr>
          <w:p w14:paraId="2F868600"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92</w:t>
            </w:r>
          </w:p>
        </w:tc>
      </w:tr>
      <w:tr w:rsidR="00C00F0D" w:rsidRPr="00C00F0D" w14:paraId="6362C578"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6EA1828E" w14:textId="77777777" w:rsidR="00C00F0D" w:rsidRPr="00690470" w:rsidRDefault="00C00F0D" w:rsidP="00C00F0D">
            <w:pPr>
              <w:ind w:left="0"/>
              <w:rPr>
                <w:rFonts w:eastAsia="DengXian"/>
                <w:sz w:val="20"/>
                <w:szCs w:val="20"/>
              </w:rPr>
            </w:pPr>
            <w:r w:rsidRPr="00C00F0D">
              <w:rPr>
                <w:rFonts w:eastAsia="DengXian"/>
                <w:sz w:val="20"/>
                <w:szCs w:val="20"/>
              </w:rPr>
              <w:t>3.2.1G</w:t>
            </w:r>
          </w:p>
        </w:tc>
        <w:tc>
          <w:tcPr>
            <w:tcW w:w="6261" w:type="dxa"/>
          </w:tcPr>
          <w:p w14:paraId="451A8263"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Plan inflation for active participants</w:t>
            </w:r>
          </w:p>
        </w:tc>
        <w:tc>
          <w:tcPr>
            <w:tcW w:w="1236" w:type="dxa"/>
          </w:tcPr>
          <w:p w14:paraId="2508F319"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93</w:t>
            </w:r>
          </w:p>
        </w:tc>
      </w:tr>
      <w:tr w:rsidR="00C00F0D" w:rsidRPr="00C00F0D" w14:paraId="7BDC1930"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5F3E800F" w14:textId="77777777" w:rsidR="00C00F0D" w:rsidRPr="00690470" w:rsidRDefault="00C00F0D" w:rsidP="00C00F0D">
            <w:pPr>
              <w:ind w:left="0"/>
              <w:rPr>
                <w:rFonts w:eastAsia="DengXian"/>
                <w:sz w:val="20"/>
                <w:szCs w:val="20"/>
              </w:rPr>
            </w:pPr>
            <w:r w:rsidRPr="00C00F0D">
              <w:rPr>
                <w:rFonts w:eastAsia="DengXian"/>
                <w:sz w:val="20"/>
                <w:szCs w:val="20"/>
              </w:rPr>
              <w:t>3.2.1H</w:t>
            </w:r>
          </w:p>
        </w:tc>
        <w:tc>
          <w:tcPr>
            <w:tcW w:w="6261" w:type="dxa"/>
          </w:tcPr>
          <w:p w14:paraId="7BC395C3" w14:textId="5772D515"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Comparison of adopted total inflation with previous review</w:t>
            </w:r>
          </w:p>
        </w:tc>
        <w:tc>
          <w:tcPr>
            <w:tcW w:w="1236" w:type="dxa"/>
          </w:tcPr>
          <w:p w14:paraId="195563A3"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94</w:t>
            </w:r>
          </w:p>
        </w:tc>
      </w:tr>
      <w:tr w:rsidR="00C00F0D" w:rsidRPr="00C00F0D" w14:paraId="1449845E"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45BF3063" w14:textId="77777777" w:rsidR="00C00F0D" w:rsidRPr="00C00F0D" w:rsidRDefault="00C00F0D" w:rsidP="00C00F0D">
            <w:pPr>
              <w:ind w:left="0"/>
              <w:rPr>
                <w:rFonts w:eastAsia="DengXian"/>
                <w:sz w:val="20"/>
                <w:szCs w:val="20"/>
              </w:rPr>
            </w:pPr>
            <w:r w:rsidRPr="00C00F0D">
              <w:rPr>
                <w:rFonts w:eastAsia="DengXian"/>
                <w:sz w:val="20"/>
                <w:szCs w:val="20"/>
              </w:rPr>
              <w:t>3.2.1I</w:t>
            </w:r>
          </w:p>
        </w:tc>
        <w:tc>
          <w:tcPr>
            <w:tcW w:w="6261" w:type="dxa"/>
          </w:tcPr>
          <w:p w14:paraId="52B019CF"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Projected total annualised Scheme expenses ($m) with uncertainty bands</w:t>
            </w:r>
          </w:p>
        </w:tc>
        <w:tc>
          <w:tcPr>
            <w:tcW w:w="1236" w:type="dxa"/>
          </w:tcPr>
          <w:p w14:paraId="48DAFDDB" w14:textId="77777777" w:rsidR="00C00F0D" w:rsidRPr="00C00F0D"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97</w:t>
            </w:r>
          </w:p>
        </w:tc>
      </w:tr>
      <w:tr w:rsidR="00C00F0D" w:rsidRPr="00C00F0D" w14:paraId="10677702"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6367BA67" w14:textId="77777777" w:rsidR="00C00F0D" w:rsidRPr="00690470" w:rsidRDefault="00C00F0D" w:rsidP="00C00F0D">
            <w:pPr>
              <w:ind w:left="0"/>
              <w:rPr>
                <w:rFonts w:eastAsia="DengXian"/>
                <w:sz w:val="20"/>
                <w:szCs w:val="20"/>
              </w:rPr>
            </w:pPr>
            <w:r w:rsidRPr="00C00F0D">
              <w:rPr>
                <w:rFonts w:eastAsia="DengXian"/>
                <w:sz w:val="20"/>
                <w:szCs w:val="20"/>
              </w:rPr>
              <w:t>3.3A</w:t>
            </w:r>
          </w:p>
        </w:tc>
        <w:tc>
          <w:tcPr>
            <w:tcW w:w="6261" w:type="dxa"/>
          </w:tcPr>
          <w:p w14:paraId="1D66DA5C"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Commonwealth Performance Framework </w:t>
            </w:r>
          </w:p>
        </w:tc>
        <w:tc>
          <w:tcPr>
            <w:tcW w:w="1236" w:type="dxa"/>
          </w:tcPr>
          <w:p w14:paraId="0DD3C634"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117</w:t>
            </w:r>
          </w:p>
        </w:tc>
      </w:tr>
      <w:tr w:rsidR="00C00F0D" w:rsidRPr="00C00F0D" w14:paraId="5957EFC8" w14:textId="77777777" w:rsidTr="00C00F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9" w:type="dxa"/>
          </w:tcPr>
          <w:p w14:paraId="6C4D5174" w14:textId="77777777" w:rsidR="00C00F0D" w:rsidRPr="00690470" w:rsidRDefault="00C00F0D" w:rsidP="00C00F0D">
            <w:pPr>
              <w:ind w:left="0"/>
              <w:rPr>
                <w:rFonts w:eastAsia="DengXian"/>
                <w:sz w:val="20"/>
                <w:szCs w:val="20"/>
              </w:rPr>
            </w:pPr>
            <w:r w:rsidRPr="00C00F0D">
              <w:rPr>
                <w:rFonts w:eastAsia="DengXian"/>
                <w:sz w:val="20"/>
                <w:szCs w:val="20"/>
              </w:rPr>
              <w:lastRenderedPageBreak/>
              <w:t>4.1A</w:t>
            </w:r>
          </w:p>
        </w:tc>
        <w:tc>
          <w:tcPr>
            <w:tcW w:w="6261" w:type="dxa"/>
          </w:tcPr>
          <w:p w14:paraId="6D3AC526"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Agency governance diagram</w:t>
            </w:r>
          </w:p>
        </w:tc>
        <w:tc>
          <w:tcPr>
            <w:tcW w:w="1236" w:type="dxa"/>
          </w:tcPr>
          <w:p w14:paraId="02AA464F" w14:textId="77777777" w:rsidR="00C00F0D" w:rsidRPr="00690470" w:rsidRDefault="00C00F0D" w:rsidP="00C00F0D">
            <w:pPr>
              <w:ind w:left="0"/>
              <w:cnfStyle w:val="000000100000" w:firstRow="0" w:lastRow="0" w:firstColumn="0" w:lastColumn="0" w:oddVBand="0" w:evenVBand="0" w:oddHBand="1" w:evenHBand="0" w:firstRowFirstColumn="0" w:firstRowLastColumn="0" w:lastRowFirstColumn="0" w:lastRowLastColumn="0"/>
              <w:rPr>
                <w:rFonts w:eastAsia="DengXian"/>
                <w:sz w:val="20"/>
                <w:szCs w:val="20"/>
              </w:rPr>
            </w:pPr>
            <w:r w:rsidRPr="00C00F0D">
              <w:rPr>
                <w:rFonts w:eastAsia="DengXian"/>
                <w:sz w:val="20"/>
                <w:szCs w:val="20"/>
              </w:rPr>
              <w:t>128</w:t>
            </w:r>
          </w:p>
        </w:tc>
      </w:tr>
      <w:tr w:rsidR="00C00F0D" w:rsidRPr="00C00F0D" w14:paraId="2232C98B" w14:textId="77777777" w:rsidTr="00C00F0D">
        <w:tc>
          <w:tcPr>
            <w:cnfStyle w:val="001000000000" w:firstRow="0" w:lastRow="0" w:firstColumn="1" w:lastColumn="0" w:oddVBand="0" w:evenVBand="0" w:oddHBand="0" w:evenHBand="0" w:firstRowFirstColumn="0" w:firstRowLastColumn="0" w:lastRowFirstColumn="0" w:lastRowLastColumn="0"/>
            <w:tcW w:w="1529" w:type="dxa"/>
          </w:tcPr>
          <w:p w14:paraId="1D96B682" w14:textId="77777777" w:rsidR="00C00F0D" w:rsidRPr="00690470" w:rsidRDefault="00C00F0D" w:rsidP="00C00F0D">
            <w:pPr>
              <w:ind w:left="0"/>
              <w:rPr>
                <w:rFonts w:eastAsia="DengXian"/>
                <w:sz w:val="20"/>
                <w:szCs w:val="20"/>
              </w:rPr>
            </w:pPr>
            <w:r w:rsidRPr="00C00F0D">
              <w:rPr>
                <w:rFonts w:eastAsia="DengXian"/>
                <w:sz w:val="20"/>
                <w:szCs w:val="20"/>
              </w:rPr>
              <w:t>4.4.1A</w:t>
            </w:r>
          </w:p>
        </w:tc>
        <w:tc>
          <w:tcPr>
            <w:tcW w:w="6261" w:type="dxa"/>
          </w:tcPr>
          <w:p w14:paraId="39E46475"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 xml:space="preserve">Agency organisational structure as </w:t>
            </w:r>
            <w:proofErr w:type="gramStart"/>
            <w:r w:rsidRPr="00C00F0D">
              <w:rPr>
                <w:rFonts w:eastAsia="DengXian"/>
                <w:sz w:val="20"/>
                <w:szCs w:val="20"/>
              </w:rPr>
              <w:t>at</w:t>
            </w:r>
            <w:proofErr w:type="gramEnd"/>
            <w:r w:rsidRPr="00C00F0D">
              <w:rPr>
                <w:rFonts w:eastAsia="DengXian"/>
                <w:sz w:val="20"/>
                <w:szCs w:val="20"/>
              </w:rPr>
              <w:t xml:space="preserve"> 30 June 2022</w:t>
            </w:r>
          </w:p>
        </w:tc>
        <w:tc>
          <w:tcPr>
            <w:tcW w:w="1236" w:type="dxa"/>
          </w:tcPr>
          <w:p w14:paraId="09EE9E12" w14:textId="77777777" w:rsidR="00C00F0D" w:rsidRPr="00690470" w:rsidRDefault="00C00F0D" w:rsidP="00C00F0D">
            <w:pPr>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C00F0D">
              <w:rPr>
                <w:rFonts w:eastAsia="DengXian"/>
                <w:sz w:val="20"/>
                <w:szCs w:val="20"/>
              </w:rPr>
              <w:t>136</w:t>
            </w:r>
          </w:p>
        </w:tc>
      </w:tr>
    </w:tbl>
    <w:p w14:paraId="5E181758" w14:textId="77777777" w:rsidR="00677C63" w:rsidRPr="00D2134C" w:rsidRDefault="00677C63" w:rsidP="00677C63">
      <w:r w:rsidRPr="00D2134C">
        <w:br w:type="page"/>
      </w:r>
    </w:p>
    <w:p w14:paraId="2F5C06DE" w14:textId="77777777" w:rsidR="001D739F" w:rsidRPr="00D2134C" w:rsidRDefault="007D299F" w:rsidP="00780639">
      <w:pPr>
        <w:pStyle w:val="Heading43"/>
        <w:ind w:left="562"/>
      </w:pPr>
      <w:r w:rsidRPr="00D2134C">
        <w:lastRenderedPageBreak/>
        <w:t>Back cover</w:t>
      </w:r>
    </w:p>
    <w:p w14:paraId="78802F6A" w14:textId="7D02414B" w:rsidR="001D739F" w:rsidRPr="00D2134C" w:rsidRDefault="001D739F" w:rsidP="00561B3B">
      <w:r w:rsidRPr="00D2134C">
        <w:t xml:space="preserve">The material in this document, </w:t>
      </w:r>
      <w:proofErr w:type="gramStart"/>
      <w:r w:rsidRPr="00D2134C">
        <w:t>wit</w:t>
      </w:r>
      <w:r w:rsidR="00A42F23" w:rsidRPr="00D2134C">
        <w:t>h the exception of</w:t>
      </w:r>
      <w:proofErr w:type="gramEnd"/>
      <w:r w:rsidR="00A42F23" w:rsidRPr="00D2134C">
        <w:t xml:space="preserve"> logos, trade</w:t>
      </w:r>
      <w:r w:rsidRPr="00D2134C">
        <w:t xml:space="preserve">marks, third party materials and other content as specified is licensed under Creative Commons CC-BY-NC-ND licence, </w:t>
      </w:r>
      <w:r w:rsidRPr="00293489">
        <w:t>version 4.0</w:t>
      </w:r>
      <w:r w:rsidRPr="00D2134C">
        <w:t xml:space="preserve"> International. You may share, </w:t>
      </w:r>
      <w:proofErr w:type="gramStart"/>
      <w:r w:rsidRPr="00D2134C">
        <w:t>copy</w:t>
      </w:r>
      <w:proofErr w:type="gramEnd"/>
      <w:r w:rsidRPr="00D2134C">
        <w:t xml:space="preserve"> and redistribute the document in any format. You must acknowledge the National Disability Insurance Agency as the owner of all intellectual property rights in the reproduced material by using ‘© National Disability Insurance </w:t>
      </w:r>
      <w:proofErr w:type="gramStart"/>
      <w:r w:rsidRPr="00D2134C">
        <w:t>Agency ’</w:t>
      </w:r>
      <w:proofErr w:type="gramEnd"/>
      <w:r w:rsidRPr="00D2134C">
        <w:t xml:space="preserve"> and you must not use the material for commercial purposes. </w:t>
      </w:r>
    </w:p>
    <w:p w14:paraId="68A7DB42" w14:textId="77777777" w:rsidR="001D739F" w:rsidRPr="00D2134C" w:rsidRDefault="001D739F" w:rsidP="00561B3B">
      <w:r w:rsidRPr="00D2134C">
        <w:t xml:space="preserve">If you remix, </w:t>
      </w:r>
      <w:proofErr w:type="gramStart"/>
      <w:r w:rsidRPr="00D2134C">
        <w:t>transform</w:t>
      </w:r>
      <w:proofErr w:type="gramEnd"/>
      <w:r w:rsidRPr="00D2134C">
        <w:t xml:space="preserve"> or build upon the material contained in this document, you must not distribute the modified material.</w:t>
      </w:r>
    </w:p>
    <w:p w14:paraId="0A936698" w14:textId="0F20A54A" w:rsidR="001D739F" w:rsidRPr="00D2134C" w:rsidRDefault="001D739F" w:rsidP="00780639">
      <w:pPr>
        <w:pStyle w:val="Heading43"/>
        <w:ind w:left="562"/>
      </w:pPr>
      <w:bookmarkStart w:id="707" w:name="_Toc23603212"/>
      <w:r w:rsidRPr="00D2134C">
        <w:t>For more information about this report, please contact:</w:t>
      </w:r>
      <w:bookmarkEnd w:id="707"/>
    </w:p>
    <w:p w14:paraId="53D3931C" w14:textId="77777777" w:rsidR="001D739F" w:rsidRPr="00D2134C" w:rsidRDefault="001D739F" w:rsidP="00561B3B">
      <w:r w:rsidRPr="00D2134C">
        <w:t>National Disability Insurance Agency:</w:t>
      </w:r>
    </w:p>
    <w:p w14:paraId="76BF745B" w14:textId="77777777" w:rsidR="001D739F" w:rsidRPr="00D2134C" w:rsidRDefault="001D739F" w:rsidP="009A3851">
      <w:pPr>
        <w:pStyle w:val="ListParagraph"/>
        <w:numPr>
          <w:ilvl w:val="0"/>
          <w:numId w:val="2"/>
        </w:numPr>
      </w:pPr>
      <w:r w:rsidRPr="00D2134C">
        <w:t>telephone 1800 800 110</w:t>
      </w:r>
    </w:p>
    <w:p w14:paraId="29DFC96F" w14:textId="77777777" w:rsidR="001D739F" w:rsidRPr="00D2134C" w:rsidRDefault="001D739F" w:rsidP="00561B3B">
      <w:r w:rsidRPr="00D2134C">
        <w:t>For people with hearing or speech loss:</w:t>
      </w:r>
    </w:p>
    <w:p w14:paraId="093F8344" w14:textId="77777777" w:rsidR="00A42F23" w:rsidRPr="00D2134C" w:rsidRDefault="001D739F" w:rsidP="009A3851">
      <w:pPr>
        <w:pStyle w:val="ListParagraph"/>
        <w:numPr>
          <w:ilvl w:val="0"/>
          <w:numId w:val="2"/>
        </w:numPr>
      </w:pPr>
      <w:r w:rsidRPr="00D2134C">
        <w:t>TTY 1800 555 677</w:t>
      </w:r>
    </w:p>
    <w:p w14:paraId="649B764E" w14:textId="77777777" w:rsidR="001D739F" w:rsidRPr="00D2134C" w:rsidRDefault="001D739F" w:rsidP="00A42F23">
      <w:pPr>
        <w:ind w:left="720"/>
      </w:pPr>
      <w:r w:rsidRPr="00D2134C">
        <w:t>For speak and listen:</w:t>
      </w:r>
    </w:p>
    <w:p w14:paraId="3B168DCA" w14:textId="77777777" w:rsidR="001D739F" w:rsidRPr="00D2134C" w:rsidRDefault="001D739F" w:rsidP="009A3851">
      <w:pPr>
        <w:pStyle w:val="ListParagraph"/>
        <w:numPr>
          <w:ilvl w:val="0"/>
          <w:numId w:val="2"/>
        </w:numPr>
      </w:pPr>
      <w:r w:rsidRPr="00D2134C">
        <w:t>telephone 1800 555 727 then ask for 1800 800 110</w:t>
      </w:r>
    </w:p>
    <w:p w14:paraId="6B4A5718" w14:textId="77777777" w:rsidR="001D739F" w:rsidRPr="00D2134C" w:rsidRDefault="001D739F" w:rsidP="00561B3B">
      <w:r w:rsidRPr="00D2134C">
        <w:t>For people who need help with English:</w:t>
      </w:r>
    </w:p>
    <w:p w14:paraId="1DFC3652" w14:textId="77777777" w:rsidR="001D739F" w:rsidRPr="00D2134C" w:rsidRDefault="001D739F" w:rsidP="009A3851">
      <w:pPr>
        <w:pStyle w:val="ListParagraph"/>
        <w:numPr>
          <w:ilvl w:val="0"/>
          <w:numId w:val="2"/>
        </w:numPr>
      </w:pPr>
      <w:r w:rsidRPr="00D2134C">
        <w:t>for a free-of-charge translator, interpreter or other assistance, phone 1800 800 110</w:t>
      </w:r>
    </w:p>
    <w:p w14:paraId="6FBCB257" w14:textId="77777777" w:rsidR="001D739F" w:rsidRPr="00D2134C" w:rsidRDefault="001D739F" w:rsidP="00561B3B">
      <w:r w:rsidRPr="00D2134C">
        <w:t>If you are an internet relay user:</w:t>
      </w:r>
    </w:p>
    <w:p w14:paraId="3512A98B" w14:textId="77777777" w:rsidR="001D739F" w:rsidRPr="00D2134C" w:rsidRDefault="001D739F" w:rsidP="009A3851">
      <w:pPr>
        <w:pStyle w:val="ListParagraph"/>
        <w:numPr>
          <w:ilvl w:val="0"/>
          <w:numId w:val="2"/>
        </w:numPr>
      </w:pPr>
      <w:r w:rsidRPr="00D2134C">
        <w:t>visit the National Relay Service website (external) and ask for 1800 800 110</w:t>
      </w:r>
    </w:p>
    <w:p w14:paraId="27FF0FBE" w14:textId="77777777" w:rsidR="001D739F" w:rsidRPr="00D2134C" w:rsidRDefault="001D739F" w:rsidP="00561B3B">
      <w:r w:rsidRPr="00D2134C">
        <w:t>This report can be accessed online at NDIS website</w:t>
      </w:r>
    </w:p>
    <w:p w14:paraId="7F0BA21E" w14:textId="77777777" w:rsidR="001D739F" w:rsidRPr="00D2134C" w:rsidRDefault="001D739F" w:rsidP="00561B3B">
      <w:r w:rsidRPr="00D2134C">
        <w:t>Find us on Facebook/</w:t>
      </w:r>
      <w:proofErr w:type="spellStart"/>
      <w:r w:rsidRPr="00D2134C">
        <w:t>NDISAus</w:t>
      </w:r>
      <w:proofErr w:type="spellEnd"/>
    </w:p>
    <w:p w14:paraId="4FF53024" w14:textId="1C7980B7" w:rsidR="00274D08" w:rsidRPr="00570265" w:rsidRDefault="001D739F" w:rsidP="00570265">
      <w:r w:rsidRPr="00D2134C">
        <w:t xml:space="preserve">Follow us on </w:t>
      </w:r>
      <w:proofErr w:type="spellStart"/>
      <w:r w:rsidRPr="00D2134C">
        <w:t>Twitter@NDIS</w:t>
      </w:r>
      <w:proofErr w:type="spellEnd"/>
    </w:p>
    <w:sectPr w:rsidR="00274D08" w:rsidRPr="005702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B1678" w14:textId="77777777" w:rsidR="00A10440" w:rsidRDefault="00A10440" w:rsidP="00561B3B">
      <w:r>
        <w:separator/>
      </w:r>
    </w:p>
  </w:endnote>
  <w:endnote w:type="continuationSeparator" w:id="0">
    <w:p w14:paraId="2401FEF3" w14:textId="77777777" w:rsidR="00A10440" w:rsidRDefault="00A10440" w:rsidP="00561B3B">
      <w:r>
        <w:continuationSeparator/>
      </w:r>
    </w:p>
  </w:endnote>
  <w:endnote w:type="continuationNotice" w:id="1">
    <w:p w14:paraId="0B4AFC67" w14:textId="77777777" w:rsidR="00A10440" w:rsidRDefault="00A1044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FS Me Pro Light">
    <w:altName w:val="Calibri"/>
    <w:panose1 w:val="02000506030000020004"/>
    <w:charset w:val="00"/>
    <w:family w:val="auto"/>
    <w:pitch w:val="variable"/>
    <w:sig w:usb0="A00002EF" w:usb1="40006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FS Me Pro">
    <w:altName w:val="Calibri"/>
    <w:panose1 w:val="02000506040000020004"/>
    <w:charset w:val="00"/>
    <w:family w:val="auto"/>
    <w:pitch w:val="variable"/>
    <w:sig w:usb0="A00002EF" w:usb1="4000606A" w:usb2="00000000" w:usb3="00000000" w:csb0="0000009F" w:csb1="00000000"/>
  </w:font>
  <w:font w:name="FS Me">
    <w:altName w:val="Calibri"/>
    <w:panose1 w:val="02000506040000020004"/>
    <w:charset w:val="00"/>
    <w:family w:val="auto"/>
    <w:pitch w:val="variable"/>
    <w:sig w:usb0="800000AF" w:usb1="4000204A" w:usb2="00000000" w:usb3="00000000" w:csb0="0000009B" w:csb1="00000000"/>
  </w:font>
  <w:font w:name="FS Me Light">
    <w:altName w:val="Franklin Gothic Medium Cond"/>
    <w:panose1 w:val="02000506040000020004"/>
    <w:charset w:val="00"/>
    <w:family w:val="modern"/>
    <w:notTrueType/>
    <w:pitch w:val="variable"/>
    <w:sig w:usb0="A00000AF" w:usb1="4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Times New Roman"/>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8872"/>
      <w:docPartObj>
        <w:docPartGallery w:val="Page Numbers (Bottom of Page)"/>
        <w:docPartUnique/>
      </w:docPartObj>
    </w:sdtPr>
    <w:sdtEndPr>
      <w:rPr>
        <w:noProof/>
      </w:rPr>
    </w:sdtEndPr>
    <w:sdtContent>
      <w:p w14:paraId="3E908A7C" w14:textId="063A23FB" w:rsidR="0076754D" w:rsidRDefault="007675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CE284C" w14:textId="77777777" w:rsidR="0076754D" w:rsidRDefault="007675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655504"/>
      <w:docPartObj>
        <w:docPartGallery w:val="Page Numbers (Bottom of Page)"/>
        <w:docPartUnique/>
      </w:docPartObj>
    </w:sdtPr>
    <w:sdtEndPr>
      <w:rPr>
        <w:noProof/>
      </w:rPr>
    </w:sdtEndPr>
    <w:sdtContent>
      <w:p w14:paraId="3D99A8F0" w14:textId="566E4265" w:rsidR="00C9369D" w:rsidRDefault="00C936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80FA2E" w14:textId="1D93E9B2" w:rsidR="00873C47" w:rsidRDefault="00873C47" w:rsidP="00873C4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979655"/>
      <w:docPartObj>
        <w:docPartGallery w:val="Page Numbers (Bottom of Page)"/>
        <w:docPartUnique/>
      </w:docPartObj>
    </w:sdtPr>
    <w:sdtEndPr>
      <w:rPr>
        <w:noProof/>
      </w:rPr>
    </w:sdtEndPr>
    <w:sdtContent>
      <w:p w14:paraId="4012855B" w14:textId="77777777" w:rsidR="00FD06ED" w:rsidRPr="00A53D7D" w:rsidRDefault="00FD06ED" w:rsidP="00A53D7D">
        <w:pPr>
          <w:pStyle w:val="Footer"/>
          <w:jc w:val="right"/>
        </w:pPr>
        <w:r w:rsidRPr="00A53D7D">
          <w:fldChar w:fldCharType="begin"/>
        </w:r>
        <w:r w:rsidRPr="00A53D7D">
          <w:instrText xml:space="preserve"> PAGE   \* MERGEFORMAT </w:instrText>
        </w:r>
        <w:r w:rsidRPr="00A53D7D">
          <w:fldChar w:fldCharType="separate"/>
        </w:r>
        <w:r w:rsidRPr="00A53D7D">
          <w:rPr>
            <w:noProof/>
          </w:rPr>
          <w:t>30</w:t>
        </w:r>
        <w:r w:rsidRPr="00A53D7D">
          <w:rPr>
            <w:noProof/>
          </w:rPr>
          <w:fldChar w:fldCharType="end"/>
        </w:r>
      </w:p>
    </w:sdtContent>
  </w:sdt>
  <w:p w14:paraId="2192D013" w14:textId="77777777" w:rsidR="00FD06ED" w:rsidRPr="00D609CD" w:rsidRDefault="00FD06ED" w:rsidP="00D609CD">
    <w:pPr>
      <w:pStyle w:val="Footer"/>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468659"/>
      <w:docPartObj>
        <w:docPartGallery w:val="Page Numbers (Bottom of Page)"/>
        <w:docPartUnique/>
      </w:docPartObj>
    </w:sdtPr>
    <w:sdtEndPr>
      <w:rPr>
        <w:noProof/>
      </w:rPr>
    </w:sdtEndPr>
    <w:sdtContent>
      <w:p w14:paraId="0421FE72" w14:textId="39E152C2" w:rsidR="002629CE" w:rsidRDefault="002629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868104" w14:textId="77777777" w:rsidR="002629CE" w:rsidRDefault="002629CE">
    <w:pPr>
      <w:pStyle w:val="Footer"/>
    </w:pPr>
  </w:p>
  <w:p w14:paraId="3B244E9A" w14:textId="77777777" w:rsidR="00640196" w:rsidRDefault="006401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44C77" w14:textId="77777777" w:rsidR="00A10440" w:rsidRDefault="00A10440" w:rsidP="00561B3B">
      <w:r>
        <w:separator/>
      </w:r>
    </w:p>
  </w:footnote>
  <w:footnote w:type="continuationSeparator" w:id="0">
    <w:p w14:paraId="3F117775" w14:textId="77777777" w:rsidR="00A10440" w:rsidRDefault="00A10440" w:rsidP="00561B3B">
      <w:r>
        <w:continuationSeparator/>
      </w:r>
    </w:p>
  </w:footnote>
  <w:footnote w:type="continuationNotice" w:id="1">
    <w:p w14:paraId="2C7A3109" w14:textId="77777777" w:rsidR="00A10440" w:rsidRDefault="00A10440">
      <w:pPr>
        <w:spacing w:before="0" w:after="0"/>
      </w:pPr>
    </w:p>
  </w:footnote>
  <w:footnote w:id="2">
    <w:p w14:paraId="6BDF6792" w14:textId="77777777" w:rsidR="00970846" w:rsidRDefault="00970846" w:rsidP="00970846">
      <w:pPr>
        <w:pStyle w:val="FootnoteText"/>
      </w:pPr>
      <w:r w:rsidRPr="001278F9">
        <w:rPr>
          <w:rStyle w:val="FootnoteReference"/>
        </w:rPr>
        <w:footnoteRef/>
      </w:r>
      <w:r>
        <w:t xml:space="preserve"> </w:t>
      </w:r>
      <w:r w:rsidRPr="002C1441">
        <w:t xml:space="preserve">This section compares </w:t>
      </w:r>
      <w:r>
        <w:t>b</w:t>
      </w:r>
      <w:r w:rsidRPr="002C1441">
        <w:t xml:space="preserve">aseline indicator results when participants entered the Scheme, with results measured at the most recent participant plan review for each respondent. </w:t>
      </w:r>
      <w:r w:rsidRPr="00486D86">
        <w:t>Trial</w:t>
      </w:r>
      <w:r w:rsidRPr="002C1441">
        <w:t xml:space="preserve"> participants are excluded</w:t>
      </w:r>
      <w:r>
        <w:t>.</w:t>
      </w:r>
    </w:p>
  </w:footnote>
  <w:footnote w:id="3">
    <w:p w14:paraId="74952AD2" w14:textId="77777777" w:rsidR="00970846" w:rsidRDefault="00970846" w:rsidP="00970846">
      <w:pPr>
        <w:pStyle w:val="FootnoteText"/>
      </w:pPr>
      <w:r w:rsidRPr="00BB5988">
        <w:rPr>
          <w:rStyle w:val="FootnoteReference"/>
        </w:rPr>
        <w:footnoteRef/>
      </w:r>
      <w:r w:rsidRPr="00BB5988">
        <w:rPr>
          <w:rStyle w:val="FootnoteReference"/>
        </w:rPr>
        <w:t xml:space="preserve"> </w:t>
      </w:r>
      <w:r>
        <w:t xml:space="preserve">Participant satisfaction results for prior quarters have been restated using data as </w:t>
      </w:r>
      <w:proofErr w:type="gramStart"/>
      <w:r>
        <w:t>at</w:t>
      </w:r>
      <w:proofErr w:type="gramEnd"/>
      <w:r>
        <w:t xml:space="preserve"> 30 June 2022 due to retrospective changes in the underlying data. These changes mainly arise from lags in data collection.</w:t>
      </w:r>
    </w:p>
  </w:footnote>
  <w:footnote w:id="4">
    <w:p w14:paraId="1998B1F4" w14:textId="26A48E56" w:rsidR="00970846" w:rsidRDefault="00970846" w:rsidP="00970846">
      <w:pPr>
        <w:pStyle w:val="FootnoteText"/>
      </w:pPr>
      <w:r>
        <w:rPr>
          <w:rStyle w:val="FootnoteReference"/>
        </w:rPr>
        <w:footnoteRef/>
      </w:r>
      <w:r w:rsidR="00BB5988">
        <w:t xml:space="preserve"> </w:t>
      </w:r>
      <w:r>
        <w:t>The numbers of complaints reported for the most recent quarter may still increase, as there is a lag in data collection. However, any increase is not expected to have a material impact on the results.</w:t>
      </w:r>
    </w:p>
  </w:footnote>
  <w:footnote w:id="5">
    <w:p w14:paraId="11EF9444" w14:textId="23760563" w:rsidR="00970846" w:rsidRDefault="00970846" w:rsidP="00970846">
      <w:pPr>
        <w:pStyle w:val="FootnoteText"/>
      </w:pPr>
      <w:r>
        <w:rPr>
          <w:rStyle w:val="FootnoteReference"/>
        </w:rPr>
        <w:footnoteRef/>
      </w:r>
      <w:r>
        <w:t xml:space="preserve"> </w:t>
      </w:r>
      <w:r w:rsidRPr="00083687">
        <w:t>There were a further 2,006 participants aged 65 years or over in residential aged care with an approved NDIS plan</w:t>
      </w:r>
      <w:r w:rsidR="00C74516">
        <w:t>.</w:t>
      </w:r>
    </w:p>
  </w:footnote>
  <w:footnote w:id="6">
    <w:p w14:paraId="2F17B824" w14:textId="22356C01" w:rsidR="00970846" w:rsidRDefault="00970846" w:rsidP="00970846">
      <w:pPr>
        <w:pStyle w:val="FootnoteText"/>
      </w:pPr>
      <w:r>
        <w:rPr>
          <w:rStyle w:val="FootnoteReference"/>
        </w:rPr>
        <w:footnoteRef/>
      </w:r>
      <w:r>
        <w:t xml:space="preserve"> SDA provider payments have not been handled in a timely fashion, due to issues with service bookings. This has resulted in a large backlog of payments. To address the problem, the NDIA is introduc</w:t>
      </w:r>
      <w:r w:rsidR="00794798">
        <w:t>ed</w:t>
      </w:r>
      <w:r>
        <w:t xml:space="preserve"> a new SDA line item from 1 July 2022 to ensure providers have an easier way to claim for services delivered to participants. The NDIA has also addressed historic outstanding SDA payments by making off-system payments to providers directly. The $186 million total SDA payments made in 2022 includes off-system payments of $10.5 million made in June 2022.</w:t>
      </w:r>
    </w:p>
  </w:footnote>
  <w:footnote w:id="7">
    <w:p w14:paraId="3C0002D6" w14:textId="77777777" w:rsidR="00970846" w:rsidRDefault="00970846" w:rsidP="00970846">
      <w:pPr>
        <w:pStyle w:val="FootnoteText"/>
      </w:pPr>
      <w:r>
        <w:rPr>
          <w:rStyle w:val="FootnoteReference"/>
        </w:rPr>
        <w:footnoteRef/>
      </w:r>
      <w:r>
        <w:t xml:space="preserve"> </w:t>
      </w:r>
      <w:r w:rsidRPr="00197C4F">
        <w:t xml:space="preserve">The Australian Government Actuary </w:t>
      </w:r>
      <w:r>
        <w:t xml:space="preserve">is </w:t>
      </w:r>
      <w:r w:rsidRPr="00197C4F">
        <w:t>currently the Peer Review Actuary as per the NDIS Act (</w:t>
      </w:r>
      <w:r>
        <w:t>s</w:t>
      </w:r>
      <w:r w:rsidRPr="00197C4F">
        <w:t>ection 180D)</w:t>
      </w:r>
      <w:r>
        <w:t>.</w:t>
      </w:r>
    </w:p>
  </w:footnote>
  <w:footnote w:id="8">
    <w:p w14:paraId="1698A105" w14:textId="77777777" w:rsidR="00747F39" w:rsidRPr="001D1213" w:rsidRDefault="00747F39" w:rsidP="00747F39">
      <w:pPr>
        <w:pStyle w:val="FootnoteText"/>
        <w:rPr>
          <w:szCs w:val="16"/>
        </w:rPr>
      </w:pPr>
      <w:r w:rsidRPr="001D1213">
        <w:rPr>
          <w:rStyle w:val="FootnoteReference"/>
          <w:szCs w:val="16"/>
        </w:rPr>
        <w:footnoteRef/>
      </w:r>
      <w:r w:rsidRPr="001D1213">
        <w:rPr>
          <w:szCs w:val="16"/>
        </w:rPr>
        <w:t xml:space="preserve"> </w:t>
      </w:r>
      <w:hyperlink r:id="rId1" w:history="1">
        <w:r w:rsidRPr="007615EB">
          <w:rPr>
            <w:rStyle w:val="Hyperlink"/>
            <w:sz w:val="16"/>
            <w:szCs w:val="16"/>
          </w:rPr>
          <w:t>Insurance Principles and Financial Sustainability Manual (PDF Download)</w:t>
        </w:r>
      </w:hyperlink>
    </w:p>
  </w:footnote>
  <w:footnote w:id="9">
    <w:p w14:paraId="7865F768" w14:textId="05BE65BF" w:rsidR="00747F39" w:rsidRDefault="00747F39" w:rsidP="00747F39">
      <w:pPr>
        <w:pStyle w:val="FootnoteText"/>
      </w:pPr>
      <w:r>
        <w:rPr>
          <w:rStyle w:val="FootnoteReference"/>
        </w:rPr>
        <w:footnoteRef/>
      </w:r>
      <w:r>
        <w:t xml:space="preserve"> Scheme expenses relate</w:t>
      </w:r>
      <w:r w:rsidR="00061235">
        <w:t>s</w:t>
      </w:r>
      <w:r>
        <w:t xml:space="preserve"> to the payments made for participant supports and does not include operating expenses. It</w:t>
      </w:r>
      <w:r w:rsidRPr="00921CFB">
        <w:t xml:space="preserve"> is based on when the service was provided to the participant</w:t>
      </w:r>
      <w:r w:rsidR="00061235">
        <w:t>,</w:t>
      </w:r>
      <w:r w:rsidRPr="00921CFB">
        <w:t xml:space="preserve"> recognising some services are paid f</w:t>
      </w:r>
      <w:r>
        <w:t>or after the end of the period.</w:t>
      </w:r>
    </w:p>
  </w:footnote>
  <w:footnote w:id="10">
    <w:p w14:paraId="7AD152A1" w14:textId="77777777" w:rsidR="00747F39" w:rsidRDefault="00747F39" w:rsidP="00747F39">
      <w:pPr>
        <w:pStyle w:val="FootnoteText"/>
      </w:pPr>
      <w:r>
        <w:rPr>
          <w:rStyle w:val="FootnoteReference"/>
        </w:rPr>
        <w:footnoteRef/>
      </w:r>
      <w:r>
        <w:t xml:space="preserve"> The projected Scheme expenses for 2029-30 on an accrual basis are projected to be $</w:t>
      </w:r>
      <w:r w:rsidRPr="00AB02C2">
        <w:t>74.</w:t>
      </w:r>
      <w:r>
        <w:t>1 billion, in comparison with $59.3 billion reported in the 2020-21 AFSR.</w:t>
      </w:r>
    </w:p>
  </w:footnote>
  <w:footnote w:id="11">
    <w:p w14:paraId="4B5BE273" w14:textId="77777777" w:rsidR="00747F39" w:rsidRDefault="00747F39" w:rsidP="00747F39">
      <w:pPr>
        <w:pStyle w:val="FootnoteText"/>
      </w:pPr>
      <w:r>
        <w:rPr>
          <w:rStyle w:val="FootnoteReference"/>
        </w:rPr>
        <w:footnoteRef/>
      </w:r>
      <w:r>
        <w:t xml:space="preserve"> </w:t>
      </w:r>
      <w:r w:rsidRPr="001715DB">
        <w:t>The 2020-21 AFSR was adopted in the 2022-23 P</w:t>
      </w:r>
      <w:r>
        <w:t xml:space="preserve">ortfolio </w:t>
      </w:r>
      <w:r w:rsidRPr="001715DB">
        <w:t>B</w:t>
      </w:r>
      <w:r>
        <w:t xml:space="preserve">udget </w:t>
      </w:r>
      <w:r w:rsidRPr="001715DB">
        <w:t>S</w:t>
      </w:r>
      <w:r>
        <w:t>tatement</w:t>
      </w:r>
      <w:r w:rsidRPr="001715DB">
        <w:t xml:space="preserve"> estimates</w:t>
      </w:r>
      <w:r>
        <w:t xml:space="preserve"> (PBS)</w:t>
      </w:r>
      <w:r w:rsidRPr="001715DB">
        <w:t xml:space="preserve"> and therefore reflects the most recent budget estimates. Hence, no separate comparison with the PBS is shown.</w:t>
      </w:r>
    </w:p>
  </w:footnote>
  <w:footnote w:id="12">
    <w:p w14:paraId="1F0B2847" w14:textId="3A64EC21" w:rsidR="00747F39" w:rsidRDefault="00747F39" w:rsidP="00747F39">
      <w:pPr>
        <w:pStyle w:val="FootnoteText"/>
      </w:pPr>
      <w:r>
        <w:rPr>
          <w:rStyle w:val="FootnoteReference"/>
        </w:rPr>
        <w:footnoteRef/>
      </w:r>
      <w:r>
        <w:t xml:space="preserve">At the previous review, additional inflation was referred to as </w:t>
      </w:r>
      <w:r w:rsidR="00EF6A14">
        <w:t>‘</w:t>
      </w:r>
      <w:r>
        <w:t>superimposed inflation</w:t>
      </w:r>
      <w:r w:rsidR="00EF6A14">
        <w:t>’</w:t>
      </w:r>
      <w:r>
        <w:t>.</w:t>
      </w:r>
    </w:p>
  </w:footnote>
  <w:footnote w:id="13">
    <w:p w14:paraId="570C1167" w14:textId="7189E275" w:rsidR="00146677" w:rsidRDefault="00146677">
      <w:pPr>
        <w:pStyle w:val="FootnoteText"/>
      </w:pPr>
      <w:r>
        <w:rPr>
          <w:rStyle w:val="FootnoteReference"/>
        </w:rPr>
        <w:footnoteRef/>
      </w:r>
      <w:r>
        <w:t xml:space="preserve"> </w:t>
      </w:r>
      <w:r w:rsidRPr="00146677">
        <w:t>SAP is a software company that makes enterprise software. Also known as Systems, Applications and Products in Data Processing.</w:t>
      </w:r>
    </w:p>
  </w:footnote>
  <w:footnote w:id="14">
    <w:p w14:paraId="129BE5D1" w14:textId="4A7ED862" w:rsidR="00747F39" w:rsidRPr="006309AA" w:rsidRDefault="00747F39" w:rsidP="00747F39">
      <w:pPr>
        <w:pStyle w:val="FootnoteText"/>
        <w:rPr>
          <w:sz w:val="19"/>
          <w:szCs w:val="19"/>
        </w:rPr>
      </w:pPr>
      <w:r w:rsidRPr="006309AA">
        <w:rPr>
          <w:rStyle w:val="FootnoteReference"/>
          <w:sz w:val="19"/>
          <w:szCs w:val="19"/>
        </w:rPr>
        <w:footnoteRef/>
      </w:r>
      <w:r w:rsidRPr="006309AA">
        <w:rPr>
          <w:sz w:val="19"/>
          <w:szCs w:val="19"/>
        </w:rPr>
        <w:t xml:space="preserve"> </w:t>
      </w:r>
      <w:r w:rsidRPr="00C53CDC">
        <w:t xml:space="preserve">Participant cohorts </w:t>
      </w:r>
      <w:r>
        <w:t xml:space="preserve">are </w:t>
      </w:r>
      <w:r w:rsidRPr="00C53CDC">
        <w:t>based on age, primary disability type, recorded level of function, gender</w:t>
      </w:r>
      <w:r w:rsidR="00551D1E">
        <w:t xml:space="preserve"> identity</w:t>
      </w:r>
      <w:r w:rsidRPr="00C53CDC">
        <w:t>, whether a participant is in supported independent living arrangements, and duration in the Scheme.</w:t>
      </w:r>
    </w:p>
  </w:footnote>
  <w:footnote w:id="15">
    <w:p w14:paraId="01CC4E88" w14:textId="77777777" w:rsidR="00747F39" w:rsidRDefault="00747F39" w:rsidP="00747F39">
      <w:pPr>
        <w:pStyle w:val="FootnoteText"/>
      </w:pPr>
      <w:r>
        <w:rPr>
          <w:rStyle w:val="FootnoteReference"/>
        </w:rPr>
        <w:footnoteRef/>
      </w:r>
      <w:r>
        <w:t xml:space="preserve"> </w:t>
      </w:r>
      <w:r>
        <w:rPr>
          <w:color w:val="202124"/>
          <w:shd w:val="clear" w:color="auto" w:fill="FFFFFF"/>
        </w:rPr>
        <w:t>A stochastic model is </w:t>
      </w:r>
      <w:r>
        <w:rPr>
          <w:bCs/>
          <w:color w:val="202124"/>
          <w:shd w:val="clear" w:color="auto" w:fill="FFFFFF"/>
        </w:rPr>
        <w:t>used to</w:t>
      </w:r>
      <w:r w:rsidRPr="0065210D">
        <w:rPr>
          <w:bCs/>
          <w:color w:val="202124"/>
          <w:shd w:val="clear" w:color="auto" w:fill="FFFFFF"/>
        </w:rPr>
        <w:t xml:space="preserve"> estimat</w:t>
      </w:r>
      <w:r>
        <w:rPr>
          <w:bCs/>
          <w:color w:val="202124"/>
          <w:shd w:val="clear" w:color="auto" w:fill="FFFFFF"/>
        </w:rPr>
        <w:t>e</w:t>
      </w:r>
      <w:r w:rsidRPr="0065210D">
        <w:rPr>
          <w:bCs/>
          <w:color w:val="202124"/>
          <w:shd w:val="clear" w:color="auto" w:fill="FFFFFF"/>
        </w:rPr>
        <w:t xml:space="preserve"> probability distributions of potential outcomes by allowing for random variation in one or more inputs over time</w:t>
      </w:r>
      <w:r>
        <w:rPr>
          <w:color w:val="202124"/>
          <w:shd w:val="clear" w:color="auto" w:fill="FFFFFF"/>
        </w:rPr>
        <w:t xml:space="preserve">. In this case, the inputs which are varied are the assumptions and risks which are most uncertain in the projection of Scheme expenses. </w:t>
      </w:r>
    </w:p>
  </w:footnote>
  <w:footnote w:id="16">
    <w:p w14:paraId="15ED7573" w14:textId="77777777" w:rsidR="00747F39" w:rsidRPr="000F7384" w:rsidRDefault="00747F39" w:rsidP="00747F39">
      <w:pPr>
        <w:pStyle w:val="FootnoteText"/>
      </w:pPr>
      <w:r>
        <w:rPr>
          <w:rStyle w:val="FootnoteReference"/>
        </w:rPr>
        <w:footnoteRef/>
      </w:r>
      <w:r>
        <w:t xml:space="preserve"> </w:t>
      </w:r>
      <w:r w:rsidRPr="008A5B71">
        <w:rPr>
          <w:rFonts w:eastAsia="Calibri"/>
        </w:rPr>
        <w:t xml:space="preserve">No new </w:t>
      </w:r>
      <w:r>
        <w:rPr>
          <w:rFonts w:eastAsia="Calibri"/>
        </w:rPr>
        <w:t>entrant</w:t>
      </w:r>
      <w:r w:rsidRPr="008A5B71">
        <w:rPr>
          <w:rFonts w:eastAsia="Calibri"/>
        </w:rPr>
        <w:t xml:space="preserve"> rate is shown for the 2016 year as no geographic region phased into the Scheme in that year.</w:t>
      </w:r>
    </w:p>
  </w:footnote>
  <w:footnote w:id="17">
    <w:p w14:paraId="51BF7F8A" w14:textId="0D508BFD" w:rsidR="00747F39" w:rsidRDefault="00747F39" w:rsidP="00747F39">
      <w:pPr>
        <w:pStyle w:val="FootnoteText"/>
      </w:pPr>
      <w:r>
        <w:rPr>
          <w:rStyle w:val="FootnoteReference"/>
        </w:rPr>
        <w:footnoteRef/>
      </w:r>
      <w:r>
        <w:t xml:space="preserve"> </w:t>
      </w:r>
      <w:r w:rsidRPr="003A191D">
        <w:t xml:space="preserve">The ongoing process of reviewing participant eligibility </w:t>
      </w:r>
      <w:r w:rsidR="00F772F2">
        <w:t>for</w:t>
      </w:r>
      <w:r w:rsidRPr="003A191D">
        <w:t xml:space="preserve"> the Scheme</w:t>
      </w:r>
      <w:r w:rsidR="000C2F89">
        <w:t>.</w:t>
      </w:r>
    </w:p>
  </w:footnote>
  <w:footnote w:id="18">
    <w:p w14:paraId="3A8CBBE8" w14:textId="77777777" w:rsidR="00747F39" w:rsidRDefault="00747F39" w:rsidP="00747F39">
      <w:pPr>
        <w:pStyle w:val="FootnoteText"/>
      </w:pPr>
      <w:r>
        <w:rPr>
          <w:rStyle w:val="FootnoteReference"/>
        </w:rPr>
        <w:footnoteRef/>
      </w:r>
      <w:r>
        <w:t xml:space="preserve"> </w:t>
      </w:r>
      <w:r w:rsidRPr="003A191D">
        <w:t xml:space="preserve">Due to operational changes since July 2020, there has been a known issue with identifying participants with SIL. From May 2022 onwards, an automated and a more accurate method has been applied in identifying participants with SIL, leading to restatement of both the actual and expected number of participants with SIL from July 2020 to April 2022. This issue is now resolved; </w:t>
      </w:r>
      <w:proofErr w:type="gramStart"/>
      <w:r w:rsidRPr="003A191D">
        <w:t>therefore</w:t>
      </w:r>
      <w:proofErr w:type="gramEnd"/>
      <w:r w:rsidRPr="003A191D">
        <w:t xml:space="preserve"> no further restatement is expected going forward.</w:t>
      </w:r>
    </w:p>
  </w:footnote>
  <w:footnote w:id="19">
    <w:p w14:paraId="441186E7" w14:textId="0552A1B9" w:rsidR="00747F39" w:rsidRDefault="00747F39" w:rsidP="00747F39">
      <w:pPr>
        <w:pStyle w:val="FootnoteText"/>
      </w:pPr>
      <w:r>
        <w:rPr>
          <w:rStyle w:val="FootnoteReference"/>
        </w:rPr>
        <w:footnoteRef/>
      </w:r>
      <w:r>
        <w:t xml:space="preserve"> Participants new to SIL supports includes both new entrants to the Scheme with SIL supports and existing participants who transitioned to SIL arrangements during the period. The numbers of participants new to SIL supports up to 2020</w:t>
      </w:r>
      <w:r w:rsidR="002A787E">
        <w:t>–</w:t>
      </w:r>
      <w:r>
        <w:t xml:space="preserve">21 </w:t>
      </w:r>
      <w:proofErr w:type="gramStart"/>
      <w:r>
        <w:t>are</w:t>
      </w:r>
      <w:proofErr w:type="gramEnd"/>
      <w:r>
        <w:t xml:space="preserve"> based on the previous method </w:t>
      </w:r>
      <w:r w:rsidR="00B573DA">
        <w:t>of</w:t>
      </w:r>
      <w:r>
        <w:t xml:space="preserve"> identifying participants with SIL. The number for 2021</w:t>
      </w:r>
      <w:r w:rsidR="002A787E">
        <w:t>–</w:t>
      </w:r>
      <w:r>
        <w:t>22 is based on the new method used from May 2022 and so includes a restatement of the prior periods to 2021</w:t>
      </w:r>
      <w:r w:rsidR="002A787E">
        <w:t>–</w:t>
      </w:r>
      <w:r>
        <w:t xml:space="preserve">22. </w:t>
      </w:r>
    </w:p>
  </w:footnote>
  <w:footnote w:id="20">
    <w:p w14:paraId="6F711AAA" w14:textId="34F2CE96" w:rsidR="00747F39" w:rsidRDefault="00747F39" w:rsidP="00747F39">
      <w:pPr>
        <w:pStyle w:val="FootnoteText"/>
      </w:pPr>
      <w:r>
        <w:rPr>
          <w:rStyle w:val="FootnoteReference"/>
        </w:rPr>
        <w:footnoteRef/>
      </w:r>
      <w:r>
        <w:t xml:space="preserve"> Payments on an accrual basis include an expense of $476</w:t>
      </w:r>
      <w:r w:rsidR="00623020">
        <w:t xml:space="preserve"> </w:t>
      </w:r>
      <w:r>
        <w:t>m</w:t>
      </w:r>
      <w:r w:rsidR="00623020">
        <w:t>illion</w:t>
      </w:r>
      <w:r>
        <w:t xml:space="preserve"> for one-off provider payments and $91</w:t>
      </w:r>
      <w:r w:rsidR="00787F6C">
        <w:t xml:space="preserve"> </w:t>
      </w:r>
      <w:r>
        <w:t>m</w:t>
      </w:r>
      <w:r w:rsidR="00787F6C">
        <w:t>illion</w:t>
      </w:r>
      <w:r>
        <w:t xml:space="preserve"> for the cost of residential aged care.</w:t>
      </w:r>
    </w:p>
  </w:footnote>
  <w:footnote w:id="21">
    <w:p w14:paraId="6118E849" w14:textId="61E0BED5" w:rsidR="00747F39" w:rsidRDefault="00747F39" w:rsidP="00747F39">
      <w:pPr>
        <w:pStyle w:val="FootnoteText"/>
      </w:pPr>
      <w:r>
        <w:rPr>
          <w:rStyle w:val="FootnoteReference"/>
        </w:rPr>
        <w:footnoteRef/>
      </w:r>
      <w:r>
        <w:t xml:space="preserve"> Calculated as $126</w:t>
      </w:r>
      <w:r w:rsidR="006723BC">
        <w:t xml:space="preserve"> </w:t>
      </w:r>
      <w:r>
        <w:t>m</w:t>
      </w:r>
      <w:r w:rsidR="006723BC">
        <w:t>illion</w:t>
      </w:r>
      <w:r>
        <w:t xml:space="preserve"> minus $15</w:t>
      </w:r>
      <w:r w:rsidR="006723BC">
        <w:t xml:space="preserve"> </w:t>
      </w:r>
      <w:r>
        <w:t>m</w:t>
      </w:r>
      <w:r w:rsidR="006723BC">
        <w:t>illion</w:t>
      </w:r>
      <w:r>
        <w:t xml:space="preserve"> or 10% minus 1%</w:t>
      </w:r>
    </w:p>
  </w:footnote>
  <w:footnote w:id="22">
    <w:p w14:paraId="13943487" w14:textId="77777777" w:rsidR="00747F39" w:rsidRDefault="00747F39" w:rsidP="00747F39">
      <w:pPr>
        <w:pStyle w:val="FootnoteText"/>
      </w:pPr>
      <w:r>
        <w:rPr>
          <w:rStyle w:val="FootnoteReference"/>
        </w:rPr>
        <w:footnoteRef/>
      </w:r>
      <w:r>
        <w:t xml:space="preserve"> Average annualised payments have been calculated on a cash basis using the 12 months over each year ending 30 June.</w:t>
      </w:r>
    </w:p>
  </w:footnote>
  <w:footnote w:id="23">
    <w:p w14:paraId="72B5813F" w14:textId="4E12E6E9" w:rsidR="00747F39" w:rsidRDefault="00747F39" w:rsidP="00747F39">
      <w:pPr>
        <w:pStyle w:val="FootnoteText"/>
      </w:pPr>
      <w:r>
        <w:rPr>
          <w:rStyle w:val="FootnoteReference"/>
        </w:rPr>
        <w:footnoteRef/>
      </w:r>
      <w:r>
        <w:t xml:space="preserve"> The result for additional inflation in 2018</w:t>
      </w:r>
      <w:r w:rsidR="007463BD">
        <w:t>–</w:t>
      </w:r>
      <w:r>
        <w:t>19 may be impacted by the high number of new entrants in the Scheme during transition.</w:t>
      </w:r>
    </w:p>
  </w:footnote>
  <w:footnote w:id="24">
    <w:p w14:paraId="382C53DC" w14:textId="4099DE32" w:rsidR="00747F39" w:rsidRDefault="00747F39" w:rsidP="00747F39">
      <w:pPr>
        <w:pStyle w:val="FootnoteText"/>
      </w:pPr>
      <w:r>
        <w:rPr>
          <w:rStyle w:val="FootnoteReference"/>
        </w:rPr>
        <w:footnoteRef/>
      </w:r>
      <w:r>
        <w:t xml:space="preserve"> Change in mix refers to the impact on inflation of changes in the profile of the participant population (</w:t>
      </w:r>
      <w:proofErr w:type="spellStart"/>
      <w:r>
        <w:t>i.e</w:t>
      </w:r>
      <w:proofErr w:type="spellEnd"/>
      <w:r>
        <w:t>,</w:t>
      </w:r>
      <w:r w:rsidR="00CB028F">
        <w:t xml:space="preserve"> </w:t>
      </w:r>
      <w:r>
        <w:t xml:space="preserve">more new entrants in cohorts with a </w:t>
      </w:r>
      <w:proofErr w:type="gramStart"/>
      <w:r>
        <w:t>lower than average</w:t>
      </w:r>
      <w:proofErr w:type="gramEnd"/>
      <w:r>
        <w:t xml:space="preserve"> payment per participant would lead to a negative impact) rather than changes in the average payment per participant within specific cohorts. This is excluded from additional inflation as it is explicitly modelled in the AFSR. In this table, change in mix excludes the inflation impact of change in reported level of function over time. This impact is included in additional inflation.</w:t>
      </w:r>
    </w:p>
  </w:footnote>
  <w:footnote w:id="25">
    <w:p w14:paraId="1799F012" w14:textId="46315508" w:rsidR="00747F39" w:rsidRDefault="00747F39" w:rsidP="00747F39">
      <w:pPr>
        <w:pStyle w:val="FootnoteText"/>
      </w:pPr>
      <w:r>
        <w:rPr>
          <w:rStyle w:val="FootnoteReference"/>
        </w:rPr>
        <w:footnoteRef/>
      </w:r>
      <w:r>
        <w:t xml:space="preserve"> Additional inflation in 2021</w:t>
      </w:r>
      <w:r w:rsidR="007463BD">
        <w:t>–</w:t>
      </w:r>
      <w:r>
        <w:t>22 has been impacted by COVID-19 and by workforce shortages and the supply of disability support workers.</w:t>
      </w:r>
    </w:p>
  </w:footnote>
  <w:footnote w:id="26">
    <w:p w14:paraId="079BB184" w14:textId="79EB5EFD" w:rsidR="00747F39" w:rsidRDefault="00747F39" w:rsidP="00747F39">
      <w:pPr>
        <w:pStyle w:val="FootnoteText"/>
      </w:pPr>
      <w:r>
        <w:rPr>
          <w:rStyle w:val="FootnoteReference"/>
        </w:rPr>
        <w:footnoteRef/>
      </w:r>
      <w:r>
        <w:t xml:space="preserve"> </w:t>
      </w:r>
      <w:r w:rsidRPr="50E79919">
        <w:rPr>
          <w:rFonts w:eastAsia="Yu Mincho"/>
        </w:rPr>
        <w:t>Under the NDIS legislation amendments, from 1 July 2022</w:t>
      </w:r>
      <w:r w:rsidR="004B1A4D">
        <w:rPr>
          <w:rFonts w:eastAsia="Yu Mincho"/>
        </w:rPr>
        <w:t>’ ‘</w:t>
      </w:r>
      <w:r w:rsidRPr="50E79919">
        <w:rPr>
          <w:rFonts w:eastAsia="Yu Mincho"/>
        </w:rPr>
        <w:t xml:space="preserve">plan review’ will be referred to as </w:t>
      </w:r>
      <w:r w:rsidR="00EF0AC5">
        <w:rPr>
          <w:rFonts w:eastAsia="Yu Mincho"/>
        </w:rPr>
        <w:t>‘</w:t>
      </w:r>
      <w:r w:rsidRPr="50E79919">
        <w:rPr>
          <w:rFonts w:eastAsia="Yu Mincho"/>
        </w:rPr>
        <w:t xml:space="preserve">plan reassessment’. An internal review of decisions at the request of a participant will continue to use the word </w:t>
      </w:r>
      <w:r w:rsidR="004B1A4D">
        <w:rPr>
          <w:rFonts w:eastAsia="Yu Mincho"/>
        </w:rPr>
        <w:t>‘</w:t>
      </w:r>
      <w:r w:rsidRPr="50E79919">
        <w:rPr>
          <w:rFonts w:eastAsia="Yu Mincho"/>
        </w:rPr>
        <w:t xml:space="preserve">review’. The terminology as it applied up until </w:t>
      </w:r>
      <w:r w:rsidR="005112C5">
        <w:rPr>
          <w:rFonts w:eastAsia="Yu Mincho"/>
        </w:rPr>
        <w:br/>
      </w:r>
      <w:r w:rsidRPr="50E79919">
        <w:rPr>
          <w:rFonts w:eastAsia="Yu Mincho"/>
        </w:rPr>
        <w:t>30 June 2022 is used in this report.</w:t>
      </w:r>
    </w:p>
  </w:footnote>
  <w:footnote w:id="27">
    <w:p w14:paraId="7AF5D9A9" w14:textId="55A8046C" w:rsidR="00747F39" w:rsidRDefault="00747F39" w:rsidP="00747F39">
      <w:pPr>
        <w:pStyle w:val="FootnoteText"/>
      </w:pPr>
      <w:r>
        <w:rPr>
          <w:rStyle w:val="FootnoteReference"/>
        </w:rPr>
        <w:footnoteRef/>
      </w:r>
      <w:r>
        <w:t xml:space="preserve"> </w:t>
      </w:r>
      <w:proofErr w:type="spellStart"/>
      <w:r>
        <w:t>Intraplan</w:t>
      </w:r>
      <w:proofErr w:type="spellEnd"/>
      <w:r>
        <w:t xml:space="preserve"> inflation tends to occur when a participant’s </w:t>
      </w:r>
      <w:proofErr w:type="gramStart"/>
      <w:r>
        <w:t>needs</w:t>
      </w:r>
      <w:proofErr w:type="gramEnd"/>
      <w:r>
        <w:t xml:space="preserve"> and situation change before a plan is due to be renewed. Often the plan is ended </w:t>
      </w:r>
      <w:proofErr w:type="gramStart"/>
      <w:r>
        <w:t>early</w:t>
      </w:r>
      <w:proofErr w:type="gramEnd"/>
      <w:r>
        <w:t xml:space="preserve"> and a new plan is put in place, and if the participant has spent more than expected, the value of the first plan is adjusted retrospectively. </w:t>
      </w:r>
      <w:proofErr w:type="spellStart"/>
      <w:r>
        <w:t>Intraplan</w:t>
      </w:r>
      <w:proofErr w:type="spellEnd"/>
      <w:r>
        <w:t xml:space="preserve"> inflation can also occur when the expected cost of a high</w:t>
      </w:r>
      <w:r w:rsidR="00EF0AC5">
        <w:t>-</w:t>
      </w:r>
      <w:r>
        <w:t>value capital item is used in a plan but is then updated with an actual quoted cost.</w:t>
      </w:r>
    </w:p>
  </w:footnote>
  <w:footnote w:id="28">
    <w:p w14:paraId="44AC17E3" w14:textId="77777777" w:rsidR="00747F39" w:rsidRDefault="00747F39" w:rsidP="00747F39">
      <w:pPr>
        <w:pStyle w:val="FootnoteText"/>
      </w:pPr>
      <w:r>
        <w:rPr>
          <w:rStyle w:val="FootnoteReference"/>
        </w:rPr>
        <w:footnoteRef/>
      </w:r>
      <w:r>
        <w:t xml:space="preserve"> This result was partly driven by plan indexation of approximately 11.9% applied in July 2019 to reflect NDIS price increases.</w:t>
      </w:r>
    </w:p>
  </w:footnote>
  <w:footnote w:id="29">
    <w:p w14:paraId="191D4419" w14:textId="77777777" w:rsidR="00747F39" w:rsidRDefault="00747F39" w:rsidP="00747F39">
      <w:pPr>
        <w:pStyle w:val="FootnoteText"/>
      </w:pPr>
      <w:r>
        <w:rPr>
          <w:rStyle w:val="FootnoteReference"/>
        </w:rPr>
        <w:footnoteRef/>
      </w:r>
      <w:r>
        <w:t xml:space="preserve"> An example is the ACC (Accident Compensation Corporation) in New Zealand (</w:t>
      </w:r>
      <w:r w:rsidRPr="008D3E69">
        <w:t>https://www.acc.co.nz/assets/corporate-documents/3360178450/financial-condition-report-2012.pdf</w:t>
      </w:r>
      <w:r>
        <w:t>).</w:t>
      </w:r>
    </w:p>
  </w:footnote>
  <w:footnote w:id="30">
    <w:p w14:paraId="12CA2463" w14:textId="77777777" w:rsidR="00747F39" w:rsidRPr="00DB700B" w:rsidRDefault="00747F39" w:rsidP="00747F39">
      <w:pPr>
        <w:pStyle w:val="FootnoteText"/>
        <w:rPr>
          <w:szCs w:val="16"/>
        </w:rPr>
      </w:pPr>
      <w:r w:rsidRPr="00DB700B">
        <w:rPr>
          <w:rStyle w:val="FootnoteReference"/>
          <w:szCs w:val="16"/>
        </w:rPr>
        <w:footnoteRef/>
      </w:r>
      <w:r w:rsidRPr="00DB700B">
        <w:rPr>
          <w:szCs w:val="16"/>
        </w:rPr>
        <w:t xml:space="preserve"> </w:t>
      </w:r>
      <w:hyperlink r:id="rId2" w:history="1">
        <w:r w:rsidRPr="00DB700B">
          <w:rPr>
            <w:rStyle w:val="Hyperlink"/>
            <w:sz w:val="16"/>
            <w:szCs w:val="16"/>
          </w:rPr>
          <w:t>https://www.rba.gov.au/publications/smp/2022/aug/economic-outlook.html</w:t>
        </w:r>
      </w:hyperlink>
    </w:p>
  </w:footnote>
  <w:footnote w:id="31">
    <w:p w14:paraId="6FE2B15E" w14:textId="77777777" w:rsidR="00747F39" w:rsidRDefault="00747F39" w:rsidP="00747F39">
      <w:pPr>
        <w:pStyle w:val="FootnoteText"/>
      </w:pPr>
      <w:r>
        <w:rPr>
          <w:rStyle w:val="FootnoteReference"/>
        </w:rPr>
        <w:footnoteRef/>
      </w:r>
      <w:r>
        <w:t xml:space="preserve"> Total expected inflation shown is lower than normal inflation plus additional inflation because the change in mix of participants is expected to lead to reductions in average payment per participant (before allowing for normal inflation and additional inflation)</w:t>
      </w:r>
      <w:r w:rsidRPr="004D5319">
        <w:t>.</w:t>
      </w:r>
      <w:r>
        <w:t xml:space="preserve"> The historic average shown implicitly includes change in mix, and so the most appropriate comparison to experience is the total including change in mix.</w:t>
      </w:r>
    </w:p>
  </w:footnote>
  <w:footnote w:id="32">
    <w:p w14:paraId="66BB6752" w14:textId="77777777" w:rsidR="00747F39" w:rsidRPr="00DB700B" w:rsidRDefault="00747F39" w:rsidP="00747F39">
      <w:pPr>
        <w:pStyle w:val="FootnoteText"/>
        <w:rPr>
          <w:szCs w:val="16"/>
        </w:rPr>
      </w:pPr>
      <w:r>
        <w:rPr>
          <w:rStyle w:val="FootnoteReference"/>
        </w:rPr>
        <w:footnoteRef/>
      </w:r>
      <w:r>
        <w:t xml:space="preserve"> </w:t>
      </w:r>
      <w:hyperlink r:id="rId3" w:history="1">
        <w:r w:rsidRPr="00DB700B">
          <w:rPr>
            <w:rStyle w:val="Hyperlink"/>
            <w:sz w:val="16"/>
            <w:szCs w:val="16"/>
          </w:rPr>
          <w:t>https://www.dss.gov.au/sites/default/files/documents/01_2022/review-ndia-actuarial-forecast-model-and-drivers-scheme-costs.pdf</w:t>
        </w:r>
      </w:hyperlink>
    </w:p>
    <w:p w14:paraId="3E779E83" w14:textId="77777777" w:rsidR="00747F39" w:rsidRDefault="00747F39" w:rsidP="00747F39">
      <w:pPr>
        <w:pStyle w:val="FootnoteText"/>
      </w:pPr>
    </w:p>
  </w:footnote>
  <w:footnote w:id="33">
    <w:p w14:paraId="0E08ECBF" w14:textId="77777777" w:rsidR="00747F39" w:rsidRDefault="00747F39" w:rsidP="00747F39">
      <w:pPr>
        <w:pStyle w:val="FootnoteText"/>
      </w:pPr>
      <w:r>
        <w:rPr>
          <w:rStyle w:val="FootnoteReference"/>
        </w:rPr>
        <w:footnoteRef/>
      </w:r>
      <w:r>
        <w:t xml:space="preserve"> Productivity Commission 2017, </w:t>
      </w:r>
      <w:r>
        <w:rPr>
          <w:i/>
        </w:rPr>
        <w:t xml:space="preserve">National Disability Insurance Scheme (NDIS) Costs, Study Report, </w:t>
      </w:r>
      <w:r w:rsidRPr="00550448">
        <w:t>Canberra (page 412).</w:t>
      </w:r>
    </w:p>
  </w:footnote>
  <w:footnote w:id="34">
    <w:p w14:paraId="076F171C" w14:textId="77777777" w:rsidR="00747F39" w:rsidRDefault="00747F39" w:rsidP="00747F39">
      <w:pPr>
        <w:pStyle w:val="FootnoteText"/>
      </w:pPr>
      <w:r>
        <w:rPr>
          <w:rStyle w:val="FootnoteReference"/>
        </w:rPr>
        <w:footnoteRef/>
      </w:r>
      <w:r>
        <w:t xml:space="preserve"> Model specification risk is the risk that the inputs and parameters of the model used to estimate future experience is not a true representation of Scheme processes or participant behaviour, and that this leads to biases in the projections.</w:t>
      </w:r>
      <w:r w:rsidRPr="00346E54">
        <w:t xml:space="preserve"> </w:t>
      </w:r>
      <w:r w:rsidRPr="003F6C39">
        <w:t>This risk is high at this review, given the NDIS cost processes are still evolving, meaning a limited history for assumption setting, as well as some limitations in the data available for analysis. </w:t>
      </w:r>
    </w:p>
  </w:footnote>
  <w:footnote w:id="35">
    <w:p w14:paraId="4BD637BB" w14:textId="592655F6" w:rsidR="00747F39" w:rsidRDefault="00747F39" w:rsidP="00747F39">
      <w:pPr>
        <w:pStyle w:val="FootnoteText"/>
      </w:pPr>
      <w:r>
        <w:rPr>
          <w:rStyle w:val="FootnoteReference"/>
        </w:rPr>
        <w:footnoteRef/>
      </w:r>
      <w:r>
        <w:t xml:space="preserve"> </w:t>
      </w:r>
      <w:r w:rsidRPr="00295C5E">
        <w:t>The NDI</w:t>
      </w:r>
      <w:r w:rsidR="0079467C">
        <w:t>A</w:t>
      </w:r>
      <w:r w:rsidRPr="00295C5E">
        <w:t xml:space="preserve"> Corporate Plan 2022</w:t>
      </w:r>
      <w:r w:rsidR="0079467C">
        <w:t>–</w:t>
      </w:r>
      <w:r w:rsidRPr="00295C5E">
        <w:t>26 has also been released and includes the same Aspiration 1. However, the 2021</w:t>
      </w:r>
      <w:r w:rsidR="0079467C">
        <w:t>–</w:t>
      </w:r>
      <w:r w:rsidRPr="00295C5E">
        <w:t>25 version is referenced in this report, as it includes targets for 2021</w:t>
      </w:r>
      <w:r w:rsidR="0079467C">
        <w:t>–</w:t>
      </w:r>
      <w:r w:rsidRPr="00295C5E">
        <w:t>22 on outcomes-based performance metrics against which experience for the 2021-22 year can be measured.</w:t>
      </w:r>
    </w:p>
  </w:footnote>
  <w:footnote w:id="36">
    <w:p w14:paraId="51D6B663" w14:textId="77777777" w:rsidR="003E76AB" w:rsidRPr="00DE7658" w:rsidRDefault="003E76AB" w:rsidP="003E76AB">
      <w:pPr>
        <w:pStyle w:val="FootnoteText"/>
        <w:rPr>
          <w:szCs w:val="16"/>
        </w:rPr>
      </w:pPr>
      <w:r w:rsidRPr="00DE7658">
        <w:rPr>
          <w:rStyle w:val="FootnoteReference"/>
          <w:szCs w:val="16"/>
        </w:rPr>
        <w:footnoteRef/>
      </w:r>
      <w:r w:rsidRPr="00DE7658">
        <w:rPr>
          <w:szCs w:val="16"/>
        </w:rPr>
        <w:t xml:space="preserve"> NDIA Corporate Plan 202</w:t>
      </w:r>
      <w:r>
        <w:rPr>
          <w:szCs w:val="16"/>
        </w:rPr>
        <w:t>1–25</w:t>
      </w:r>
      <w:r w:rsidRPr="00DE7658">
        <w:rPr>
          <w:szCs w:val="16"/>
        </w:rPr>
        <w:t xml:space="preserve">. </w:t>
      </w:r>
    </w:p>
  </w:footnote>
  <w:footnote w:id="37">
    <w:p w14:paraId="351FDFCA" w14:textId="1709FB0A" w:rsidR="003E76AB" w:rsidRDefault="003E76AB" w:rsidP="003E76AB">
      <w:pPr>
        <w:pStyle w:val="FootnoteText"/>
      </w:pPr>
      <w:r>
        <w:rPr>
          <w:rStyle w:val="FootnoteReference"/>
        </w:rPr>
        <w:footnoteRef/>
      </w:r>
      <w:r>
        <w:t xml:space="preserve"> The NDIS outcomes framework questionnaires measure the medium</w:t>
      </w:r>
      <w:r w:rsidR="009310FB">
        <w:t>-term</w:t>
      </w:r>
      <w:r>
        <w:t xml:space="preserve"> and long-term benefits of the Scheme on participants across </w:t>
      </w:r>
      <w:r w:rsidR="009310FB">
        <w:t xml:space="preserve">the </w:t>
      </w:r>
      <w:r>
        <w:t xml:space="preserve">eight domains of choice and control, relationships, health and wellbeing, work, daily living activities, lifelong learning and social, community and civic participation. </w:t>
      </w:r>
    </w:p>
  </w:footnote>
  <w:footnote w:id="38">
    <w:p w14:paraId="22D90A79" w14:textId="18246D05" w:rsidR="003E76AB" w:rsidRDefault="003E76AB" w:rsidP="003E76AB">
      <w:pPr>
        <w:pStyle w:val="FootnoteText"/>
      </w:pPr>
      <w:r>
        <w:rPr>
          <w:rStyle w:val="FootnoteReference"/>
        </w:rPr>
        <w:footnoteRef/>
      </w:r>
      <w:r>
        <w:t xml:space="preserve"> The </w:t>
      </w:r>
      <w:r w:rsidR="009310FB">
        <w:t>‘</w:t>
      </w:r>
      <w:r>
        <w:t>baseline</w:t>
      </w:r>
      <w:r w:rsidR="009310FB">
        <w:t>’</w:t>
      </w:r>
      <w:r>
        <w:t xml:space="preserve"> is the metric when participants enter the Scheme – that is, before the NDIS can influence the result.</w:t>
      </w:r>
    </w:p>
  </w:footnote>
  <w:footnote w:id="39">
    <w:p w14:paraId="7B737F5F" w14:textId="1947D49F" w:rsidR="003E76AB" w:rsidRPr="00EE2D88" w:rsidRDefault="003E76AB" w:rsidP="003E76AB">
      <w:pPr>
        <w:rPr>
          <w:sz w:val="16"/>
          <w:szCs w:val="16"/>
        </w:rPr>
      </w:pPr>
      <w:r w:rsidRPr="00EE2D88">
        <w:rPr>
          <w:rStyle w:val="FootnoteReference"/>
          <w:sz w:val="16"/>
          <w:szCs w:val="16"/>
        </w:rPr>
        <w:footnoteRef/>
      </w:r>
      <w:r w:rsidRPr="00EE2D88">
        <w:rPr>
          <w:sz w:val="16"/>
          <w:szCs w:val="16"/>
        </w:rPr>
        <w:t xml:space="preserve"> Both children who have received initial supports (but not an approved plan) and those who have had an approved plan are included in the measure. The </w:t>
      </w:r>
      <w:r w:rsidR="009310FB" w:rsidRPr="00EE2D88">
        <w:rPr>
          <w:sz w:val="16"/>
          <w:szCs w:val="16"/>
        </w:rPr>
        <w:t>‘</w:t>
      </w:r>
      <w:r w:rsidRPr="00EE2D88">
        <w:rPr>
          <w:sz w:val="16"/>
          <w:szCs w:val="16"/>
        </w:rPr>
        <w:t>exits</w:t>
      </w:r>
      <w:r w:rsidR="009310FB" w:rsidRPr="00EE2D88">
        <w:rPr>
          <w:sz w:val="16"/>
          <w:szCs w:val="16"/>
        </w:rPr>
        <w:t>’</w:t>
      </w:r>
      <w:r w:rsidRPr="00EE2D88">
        <w:rPr>
          <w:sz w:val="16"/>
          <w:szCs w:val="16"/>
        </w:rPr>
        <w:t xml:space="preserve"> in the period are expressed as an annualised percentage of exposure. Exposure is equal to the active participants aged 0 to 14 with approved plans and those receiving initial supports in the period.</w:t>
      </w:r>
    </w:p>
  </w:footnote>
  <w:footnote w:id="40">
    <w:p w14:paraId="18EA614A" w14:textId="73B48CF5" w:rsidR="003E76AB" w:rsidRDefault="003E76AB" w:rsidP="003E76AB">
      <w:pPr>
        <w:pStyle w:val="FootnoteText"/>
      </w:pPr>
      <w:r>
        <w:rPr>
          <w:rStyle w:val="FootnoteReference"/>
        </w:rPr>
        <w:footnoteRef/>
      </w:r>
      <w:r>
        <w:t xml:space="preserve"> This is calculated as </w:t>
      </w:r>
      <w:r w:rsidR="009310FB">
        <w:t>a</w:t>
      </w:r>
      <w:r>
        <w:t>verage annualised plan budgets of the top 2 deciles (top 20%) divided by the average annualised plan budget of the bottom 2 deciles (bottom 20%). Active participants aged 0 to 64 are included in the calculation.</w:t>
      </w:r>
    </w:p>
  </w:footnote>
  <w:footnote w:id="41">
    <w:p w14:paraId="72A31E6F" w14:textId="77777777" w:rsidR="003E76AB" w:rsidRDefault="003E76AB" w:rsidP="003E76AB">
      <w:pPr>
        <w:pStyle w:val="FootnoteText"/>
      </w:pPr>
      <w:r>
        <w:rPr>
          <w:rStyle w:val="FootnoteReference"/>
        </w:rPr>
        <w:footnoteRef/>
      </w:r>
      <w:r>
        <w:t xml:space="preserve"> The name of the metric has been amended in the 2021–25 Corporate Plan (pg. 43) and the calculation method has been simplified to include all payments.</w:t>
      </w:r>
    </w:p>
  </w:footnote>
  <w:footnote w:id="42">
    <w:p w14:paraId="76D37E42" w14:textId="7F9C29D1" w:rsidR="003E76AB" w:rsidRDefault="003E76AB" w:rsidP="003E76AB">
      <w:pPr>
        <w:pStyle w:val="FootnoteText"/>
      </w:pPr>
      <w:r>
        <w:rPr>
          <w:rStyle w:val="FootnoteReference"/>
        </w:rPr>
        <w:footnoteRef/>
      </w:r>
      <w:r>
        <w:t xml:space="preserve"> I</w:t>
      </w:r>
      <w:r w:rsidRPr="009E7A6F">
        <w:t xml:space="preserve">ncluded </w:t>
      </w:r>
      <w:r w:rsidR="002515F1">
        <w:t xml:space="preserve">in </w:t>
      </w:r>
      <w:r w:rsidRPr="009E7A6F">
        <w:t xml:space="preserve">the </w:t>
      </w:r>
      <w:r w:rsidR="003522AD">
        <w:t>a</w:t>
      </w:r>
      <w:r w:rsidRPr="009E7A6F">
        <w:t>nnual</w:t>
      </w:r>
      <w:r w:rsidR="003522AD">
        <w:t xml:space="preserve"> f</w:t>
      </w:r>
      <w:r w:rsidRPr="009E7A6F">
        <w:t xml:space="preserve">inancial </w:t>
      </w:r>
      <w:r w:rsidR="003522AD">
        <w:t>s</w:t>
      </w:r>
      <w:r w:rsidRPr="009E7A6F">
        <w:t>tatements</w:t>
      </w:r>
      <w:r>
        <w:t>.</w:t>
      </w:r>
    </w:p>
  </w:footnote>
  <w:footnote w:id="43">
    <w:p w14:paraId="2A9FA695" w14:textId="02F36020" w:rsidR="003E76AB" w:rsidRDefault="003E76AB" w:rsidP="003E76AB">
      <w:pPr>
        <w:pStyle w:val="FootnoteText"/>
      </w:pPr>
      <w:r>
        <w:rPr>
          <w:rStyle w:val="FootnoteReference"/>
        </w:rPr>
        <w:footnoteRef/>
      </w:r>
      <w:r>
        <w:t xml:space="preserve"> </w:t>
      </w:r>
      <w:r w:rsidR="00404A66">
        <w:t>In June 2022</w:t>
      </w:r>
      <w:r>
        <w:t xml:space="preserve"> 16 of the metrics were reported against due to insufficient data for one of the PSG metrics. From August 2022, reporting has resumed for 17 metrics.</w:t>
      </w:r>
    </w:p>
  </w:footnote>
  <w:footnote w:id="44">
    <w:p w14:paraId="49C67EAA" w14:textId="733FAB35" w:rsidR="003E76AB" w:rsidRDefault="003E76AB" w:rsidP="003E76AB">
      <w:pPr>
        <w:pStyle w:val="FootnoteText"/>
      </w:pPr>
      <w:r>
        <w:rPr>
          <w:rStyle w:val="FootnoteReference"/>
        </w:rPr>
        <w:footnoteRef/>
      </w:r>
      <w:r>
        <w:t xml:space="preserve"> In July 2021, 6 of 17 metrics (35%) were on track, and in June 2022</w:t>
      </w:r>
      <w:r w:rsidR="000D2F62">
        <w:t>,</w:t>
      </w:r>
      <w:r>
        <w:t xml:space="preserve"> 12 of 16 metrics (75%) were on track.</w:t>
      </w:r>
    </w:p>
  </w:footnote>
  <w:footnote w:id="45">
    <w:p w14:paraId="5EF6261C" w14:textId="77777777" w:rsidR="003E76AB" w:rsidRDefault="003E76AB" w:rsidP="003E76AB">
      <w:pPr>
        <w:pStyle w:val="FootnoteText"/>
      </w:pPr>
      <w:r>
        <w:rPr>
          <w:rStyle w:val="FootnoteReference"/>
        </w:rPr>
        <w:footnoteRef/>
      </w:r>
      <w:r>
        <w:t xml:space="preserve"> Percentage of regions where plan utilisation is more than 10% below the benchmark.</w:t>
      </w:r>
    </w:p>
  </w:footnote>
  <w:footnote w:id="46">
    <w:p w14:paraId="2420DEA9" w14:textId="72710B80" w:rsidR="003E76AB" w:rsidRDefault="003E76AB" w:rsidP="003E76AB">
      <w:pPr>
        <w:pStyle w:val="FootnoteText"/>
      </w:pPr>
      <w:r>
        <w:rPr>
          <w:rStyle w:val="FootnoteReference"/>
        </w:rPr>
        <w:footnoteRef/>
      </w:r>
      <w:r>
        <w:t xml:space="preserve"> Percentage of regions where the top 10 providers supply more than 85% of the supports</w:t>
      </w:r>
      <w:r w:rsidR="00CA6E5A">
        <w:t>.</w:t>
      </w:r>
    </w:p>
  </w:footnote>
  <w:footnote w:id="47">
    <w:p w14:paraId="1C0AAEBF" w14:textId="259B9862" w:rsidR="003E76AB" w:rsidRDefault="003E76AB" w:rsidP="003E76AB">
      <w:pPr>
        <w:pStyle w:val="FootnoteText"/>
      </w:pPr>
      <w:r>
        <w:rPr>
          <w:rStyle w:val="FootnoteReference"/>
        </w:rPr>
        <w:footnoteRef/>
      </w:r>
      <w:r>
        <w:t xml:space="preserve"> Percentage of payments that are below the price limit stipulated in the</w:t>
      </w:r>
      <w:r w:rsidR="00D72964">
        <w:t xml:space="preserve"> NDIS Pricing Arrangement and Price Limits.</w:t>
      </w:r>
    </w:p>
  </w:footnote>
  <w:footnote w:id="48">
    <w:p w14:paraId="60DE9573" w14:textId="093C8904" w:rsidR="003E76AB" w:rsidRDefault="003E76AB" w:rsidP="003E76AB">
      <w:pPr>
        <w:pStyle w:val="FootnoteText"/>
      </w:pPr>
      <w:r>
        <w:rPr>
          <w:rStyle w:val="FootnoteReference"/>
        </w:rPr>
        <w:footnoteRef/>
      </w:r>
      <w:r>
        <w:t xml:space="preserve"> I</w:t>
      </w:r>
      <w:r w:rsidRPr="009E7A6F">
        <w:t>ncluded</w:t>
      </w:r>
      <w:r w:rsidR="00F267FD">
        <w:t xml:space="preserve"> in</w:t>
      </w:r>
      <w:r w:rsidRPr="009E7A6F">
        <w:t xml:space="preserve"> the </w:t>
      </w:r>
      <w:r w:rsidR="00B1128D">
        <w:t>a</w:t>
      </w:r>
      <w:r w:rsidRPr="009E7A6F">
        <w:t xml:space="preserve">nnual </w:t>
      </w:r>
      <w:r w:rsidR="00B1128D">
        <w:t>f</w:t>
      </w:r>
      <w:r w:rsidRPr="009E7A6F">
        <w:t xml:space="preserve">inancial </w:t>
      </w:r>
      <w:r w:rsidR="00B1128D">
        <w:t>s</w:t>
      </w:r>
      <w:r w:rsidRPr="009E7A6F">
        <w:t>tatements</w:t>
      </w:r>
      <w:r>
        <w:t>.</w:t>
      </w:r>
    </w:p>
  </w:footnote>
  <w:footnote w:id="49">
    <w:p w14:paraId="5618423B" w14:textId="77777777" w:rsidR="003E76AB" w:rsidRDefault="003E76AB" w:rsidP="003E76AB">
      <w:pPr>
        <w:pStyle w:val="FootnoteText"/>
        <w:tabs>
          <w:tab w:val="left" w:pos="1277"/>
        </w:tabs>
      </w:pPr>
      <w:r>
        <w:rPr>
          <w:rStyle w:val="FootnoteReference"/>
        </w:rPr>
        <w:footnoteRef/>
      </w:r>
      <w:r>
        <w:t xml:space="preserve"> Payment errors relate to either fraud, </w:t>
      </w:r>
      <w:proofErr w:type="gramStart"/>
      <w:r>
        <w:t>misuse</w:t>
      </w:r>
      <w:proofErr w:type="gramEnd"/>
      <w:r>
        <w:t xml:space="preserve"> or material payment error in the provision of payment for supports.</w:t>
      </w:r>
    </w:p>
  </w:footnote>
  <w:footnote w:id="50">
    <w:p w14:paraId="7BB1A905" w14:textId="72611E37" w:rsidR="003E76AB" w:rsidRDefault="003E76AB" w:rsidP="003E76AB">
      <w:pPr>
        <w:pStyle w:val="FootnoteText"/>
      </w:pPr>
      <w:r>
        <w:rPr>
          <w:rStyle w:val="FootnoteReference"/>
        </w:rPr>
        <w:footnoteRef/>
      </w:r>
      <w:r>
        <w:t xml:space="preserve"> </w:t>
      </w:r>
      <w:r w:rsidRPr="00712709">
        <w:rPr>
          <w:color w:val="242424"/>
          <w:shd w:val="clear" w:color="auto" w:fill="FFFFFF"/>
        </w:rPr>
        <w:t>The 2020</w:t>
      </w:r>
      <w:r w:rsidR="00920031">
        <w:rPr>
          <w:color w:val="242424"/>
          <w:shd w:val="clear" w:color="auto" w:fill="FFFFFF"/>
        </w:rPr>
        <w:t>–</w:t>
      </w:r>
      <w:r w:rsidRPr="00712709">
        <w:rPr>
          <w:color w:val="242424"/>
          <w:shd w:val="clear" w:color="auto" w:fill="FFFFFF"/>
        </w:rPr>
        <w:t xml:space="preserve">21 result </w:t>
      </w:r>
      <w:r>
        <w:rPr>
          <w:color w:val="242424"/>
          <w:shd w:val="clear" w:color="auto" w:fill="FFFFFF"/>
        </w:rPr>
        <w:t xml:space="preserve">of 77% </w:t>
      </w:r>
      <w:r w:rsidRPr="00712709">
        <w:rPr>
          <w:color w:val="242424"/>
          <w:shd w:val="clear" w:color="auto" w:fill="FFFFFF"/>
        </w:rPr>
        <w:t xml:space="preserve">was taken from the </w:t>
      </w:r>
      <w:r w:rsidRPr="00C957A2">
        <w:t xml:space="preserve">APS Census conducted in November 2020 and </w:t>
      </w:r>
      <w:r w:rsidRPr="00712709">
        <w:rPr>
          <w:color w:val="242424"/>
          <w:shd w:val="clear" w:color="auto" w:fill="FFFFFF"/>
        </w:rPr>
        <w:t>has been updated to reflect the census produced in July 2021</w:t>
      </w:r>
      <w:r>
        <w:rPr>
          <w:color w:val="242424"/>
          <w:shd w:val="clear" w:color="auto" w:fill="FFFFFF"/>
        </w:rPr>
        <w:t xml:space="preserve"> to be in line with ongoing census timings</w:t>
      </w:r>
      <w:r w:rsidRPr="00712709">
        <w:rPr>
          <w:color w:val="242424"/>
          <w:shd w:val="clear" w:color="auto" w:fill="FFFFFF"/>
        </w:rPr>
        <w:t>.</w:t>
      </w:r>
    </w:p>
  </w:footnote>
  <w:footnote w:id="51">
    <w:p w14:paraId="69AE31FB" w14:textId="12D113ED" w:rsidR="003E76AB" w:rsidRDefault="003E76AB" w:rsidP="003E76AB">
      <w:pPr>
        <w:pStyle w:val="FootnoteText"/>
      </w:pPr>
      <w:r>
        <w:rPr>
          <w:rStyle w:val="FootnoteReference"/>
        </w:rPr>
        <w:footnoteRef/>
      </w:r>
      <w:r>
        <w:t xml:space="preserve"> </w:t>
      </w:r>
      <w:r w:rsidRPr="00641949">
        <w:rPr>
          <w:color w:val="242424"/>
          <w:shd w:val="clear" w:color="auto" w:fill="FFFFFF"/>
        </w:rPr>
        <w:t>The 2020</w:t>
      </w:r>
      <w:r w:rsidR="00920031">
        <w:rPr>
          <w:color w:val="242424"/>
          <w:shd w:val="clear" w:color="auto" w:fill="FFFFFF"/>
        </w:rPr>
        <w:t>–</w:t>
      </w:r>
      <w:r w:rsidRPr="00641949">
        <w:rPr>
          <w:color w:val="242424"/>
          <w:shd w:val="clear" w:color="auto" w:fill="FFFFFF"/>
        </w:rPr>
        <w:t xml:space="preserve">21 result </w:t>
      </w:r>
      <w:r>
        <w:rPr>
          <w:color w:val="242424"/>
          <w:shd w:val="clear" w:color="auto" w:fill="FFFFFF"/>
        </w:rPr>
        <w:t xml:space="preserve">of 70% </w:t>
      </w:r>
      <w:r w:rsidRPr="00641949">
        <w:rPr>
          <w:color w:val="242424"/>
          <w:shd w:val="clear" w:color="auto" w:fill="FFFFFF"/>
        </w:rPr>
        <w:t xml:space="preserve">was taken from the </w:t>
      </w:r>
      <w:r w:rsidRPr="00C957A2">
        <w:t xml:space="preserve">APS Census conducted in November 2020 and </w:t>
      </w:r>
      <w:r w:rsidRPr="00641949">
        <w:rPr>
          <w:color w:val="242424"/>
          <w:shd w:val="clear" w:color="auto" w:fill="FFFFFF"/>
        </w:rPr>
        <w:t>has been updated to reflect the census produced in July 2021</w:t>
      </w:r>
      <w:r>
        <w:rPr>
          <w:color w:val="242424"/>
          <w:shd w:val="clear" w:color="auto" w:fill="FFFFFF"/>
        </w:rPr>
        <w:t xml:space="preserve"> to be in line with ongoing census </w:t>
      </w:r>
      <w:proofErr w:type="gramStart"/>
      <w:r>
        <w:rPr>
          <w:color w:val="242424"/>
          <w:shd w:val="clear" w:color="auto" w:fill="FFFFFF"/>
        </w:rPr>
        <w:t>timings</w:t>
      </w:r>
      <w:r w:rsidRPr="00641949">
        <w:rPr>
          <w:color w:val="242424"/>
          <w:shd w:val="clear" w:color="auto" w:fill="FFFFFF"/>
        </w:rPr>
        <w:t>.</w:t>
      </w:r>
      <w:r>
        <w:t>.</w:t>
      </w:r>
      <w:proofErr w:type="gramEnd"/>
    </w:p>
  </w:footnote>
  <w:footnote w:id="52">
    <w:p w14:paraId="07F5C89E" w14:textId="7D46D62D" w:rsidR="00E121BA" w:rsidRPr="00EE2D88" w:rsidRDefault="00E121BA" w:rsidP="00E121BA">
      <w:pPr>
        <w:pStyle w:val="FootnoteText"/>
        <w:rPr>
          <w:szCs w:val="16"/>
        </w:rPr>
      </w:pPr>
      <w:r w:rsidRPr="00EE2D88">
        <w:rPr>
          <w:rStyle w:val="FootnoteReference"/>
          <w:szCs w:val="16"/>
        </w:rPr>
        <w:footnoteRef/>
      </w:r>
      <w:r w:rsidRPr="00EE2D88">
        <w:rPr>
          <w:szCs w:val="16"/>
        </w:rPr>
        <w:t xml:space="preserve"> </w:t>
      </w:r>
      <w:r w:rsidR="00BE0F00" w:rsidRPr="00EE2D88">
        <w:rPr>
          <w:szCs w:val="16"/>
        </w:rPr>
        <w:t>Chair</w:t>
      </w:r>
      <w:r w:rsidRPr="00EE2D88">
        <w:rPr>
          <w:szCs w:val="16"/>
        </w:rPr>
        <w:t xml:space="preserve"> of the NDIA Board.</w:t>
      </w:r>
    </w:p>
  </w:footnote>
  <w:footnote w:id="53">
    <w:p w14:paraId="7B1E15CC" w14:textId="219366E6" w:rsidR="00E121BA" w:rsidRPr="00EE2D88" w:rsidRDefault="00E121BA" w:rsidP="00E121BA">
      <w:pPr>
        <w:pStyle w:val="FootnoteText"/>
        <w:rPr>
          <w:szCs w:val="16"/>
        </w:rPr>
      </w:pPr>
      <w:r w:rsidRPr="00EE2D88">
        <w:rPr>
          <w:rStyle w:val="FootnoteReference"/>
          <w:szCs w:val="16"/>
        </w:rPr>
        <w:footnoteRef/>
      </w:r>
      <w:r w:rsidRPr="00EE2D88">
        <w:rPr>
          <w:szCs w:val="16"/>
        </w:rPr>
        <w:t xml:space="preserve"> </w:t>
      </w:r>
      <w:r w:rsidR="00BE0F00" w:rsidRPr="00EE2D88">
        <w:rPr>
          <w:szCs w:val="16"/>
        </w:rPr>
        <w:t>Chair</w:t>
      </w:r>
      <w:r w:rsidRPr="00EE2D88">
        <w:rPr>
          <w:szCs w:val="16"/>
        </w:rPr>
        <w:t xml:space="preserve"> of the Risk Committee.</w:t>
      </w:r>
    </w:p>
  </w:footnote>
  <w:footnote w:id="54">
    <w:p w14:paraId="23C8F56B" w14:textId="77777777" w:rsidR="00622439" w:rsidRDefault="00622439" w:rsidP="00622439">
      <w:pPr>
        <w:pStyle w:val="FootnoteText"/>
      </w:pPr>
      <w:r w:rsidRPr="00EE2D88">
        <w:rPr>
          <w:rStyle w:val="FootnoteReference"/>
          <w:szCs w:val="16"/>
        </w:rPr>
        <w:footnoteRef/>
      </w:r>
      <w:r w:rsidRPr="00EE2D88">
        <w:rPr>
          <w:szCs w:val="16"/>
        </w:rPr>
        <w:t xml:space="preserve"> Chair of the Audit Committee.</w:t>
      </w:r>
    </w:p>
  </w:footnote>
  <w:footnote w:id="55">
    <w:p w14:paraId="03D61F3C" w14:textId="1D869D7B" w:rsidR="00DD2374" w:rsidRDefault="00DD2374">
      <w:pPr>
        <w:pStyle w:val="FootnoteText"/>
      </w:pPr>
      <w:r>
        <w:rPr>
          <w:rStyle w:val="FootnoteReference"/>
        </w:rPr>
        <w:footnoteRef/>
      </w:r>
      <w:r>
        <w:t xml:space="preserve"> </w:t>
      </w:r>
      <w:r w:rsidRPr="00DD2374">
        <w:t xml:space="preserve">The Engagement Index measures the emotional connection and commitment employees </w:t>
      </w:r>
      <w:proofErr w:type="gramStart"/>
      <w:r w:rsidRPr="00DD2374">
        <w:t>have to</w:t>
      </w:r>
      <w:proofErr w:type="gramEnd"/>
      <w:r w:rsidRPr="00DD2374">
        <w:t xml:space="preserve"> working for their organisation. It comprises 3 elements:</w:t>
      </w:r>
      <w:r w:rsidR="007668DE">
        <w:br/>
      </w:r>
      <w:r w:rsidRPr="00DD2374">
        <w:t>Say</w:t>
      </w:r>
      <w:r w:rsidR="0022776D">
        <w:t xml:space="preserve"> - </w:t>
      </w:r>
      <w:r w:rsidRPr="00DD2374">
        <w:t>the extent to which team members are advocates of the organisation.</w:t>
      </w:r>
      <w:r w:rsidR="007668DE">
        <w:br/>
      </w:r>
      <w:r w:rsidRPr="00DD2374">
        <w:t>Stay</w:t>
      </w:r>
      <w:r w:rsidR="0022776D">
        <w:t xml:space="preserve"> - </w:t>
      </w:r>
      <w:r w:rsidRPr="00DD2374">
        <w:t>the extent to which team members are committed to the organisation and want to stay</w:t>
      </w:r>
      <w:r w:rsidR="00FC794E">
        <w:t>.</w:t>
      </w:r>
      <w:r w:rsidR="007668DE">
        <w:br/>
      </w:r>
      <w:r w:rsidRPr="00DD2374">
        <w:t>Strive</w:t>
      </w:r>
      <w:r w:rsidR="0022776D">
        <w:t xml:space="preserve"> -</w:t>
      </w:r>
      <w:r w:rsidR="00736BB6">
        <w:t xml:space="preserve"> </w:t>
      </w:r>
      <w:r w:rsidRPr="00DD2374">
        <w:t>the extent to which team members are willing to put in discretionary effort to excel in their jobs and help the organisation succeed. The Wellbeing Index measures the wellbeing of employees within an organisation; it measures both the practical and cultural elements that allow for a sustainable and health</w:t>
      </w:r>
      <w:r w:rsidR="0072462C">
        <w:t>y</w:t>
      </w:r>
      <w:r w:rsidRPr="00DD2374">
        <w:t xml:space="preserve"> working environment.</w:t>
      </w:r>
    </w:p>
  </w:footnote>
  <w:footnote w:id="56">
    <w:p w14:paraId="16721318" w14:textId="10499339" w:rsidR="00677C63" w:rsidRPr="00675DEC" w:rsidRDefault="00677C63" w:rsidP="00677C63">
      <w:pPr>
        <w:pStyle w:val="FootnoteText"/>
        <w:rPr>
          <w:lang w:val="en-GB"/>
        </w:rPr>
      </w:pPr>
      <w:r>
        <w:rPr>
          <w:rStyle w:val="FootnoteReference"/>
        </w:rPr>
        <w:footnoteRef/>
      </w:r>
      <w:r>
        <w:t xml:space="preserve"> </w:t>
      </w:r>
      <w:r w:rsidRPr="00E952DB">
        <w:rPr>
          <w:sz w:val="20"/>
          <w:szCs w:val="20"/>
        </w:rPr>
        <w:t xml:space="preserve">An </w:t>
      </w:r>
      <w:r w:rsidR="00B22E2B">
        <w:rPr>
          <w:sz w:val="20"/>
          <w:szCs w:val="20"/>
        </w:rPr>
        <w:t>i</w:t>
      </w:r>
      <w:r w:rsidRPr="00E952DB">
        <w:rPr>
          <w:sz w:val="20"/>
          <w:szCs w:val="20"/>
        </w:rPr>
        <w:t xml:space="preserve">mprovement </w:t>
      </w:r>
      <w:r w:rsidR="00B22E2B">
        <w:rPr>
          <w:sz w:val="20"/>
          <w:szCs w:val="20"/>
        </w:rPr>
        <w:t>n</w:t>
      </w:r>
      <w:r w:rsidRPr="00E952DB">
        <w:rPr>
          <w:sz w:val="20"/>
          <w:szCs w:val="20"/>
        </w:rPr>
        <w:t xml:space="preserve">otice under section 191 of the WHS Act was issued </w:t>
      </w:r>
      <w:proofErr w:type="gramStart"/>
      <w:r w:rsidRPr="00E952DB">
        <w:rPr>
          <w:sz w:val="20"/>
          <w:szCs w:val="20"/>
        </w:rPr>
        <w:t>as a result of</w:t>
      </w:r>
      <w:proofErr w:type="gramEnd"/>
      <w:r w:rsidRPr="00E952DB">
        <w:rPr>
          <w:sz w:val="20"/>
          <w:szCs w:val="20"/>
        </w:rPr>
        <w:t xml:space="preserve"> a site inspection in April 2021. Comcare deemed the </w:t>
      </w:r>
      <w:r w:rsidR="00272FCF">
        <w:rPr>
          <w:sz w:val="20"/>
          <w:szCs w:val="20"/>
        </w:rPr>
        <w:t>NDIA</w:t>
      </w:r>
      <w:r w:rsidR="00272FCF" w:rsidRPr="00E952DB">
        <w:rPr>
          <w:sz w:val="20"/>
          <w:szCs w:val="20"/>
        </w:rPr>
        <w:t xml:space="preserve"> </w:t>
      </w:r>
      <w:r w:rsidRPr="00E952DB">
        <w:rPr>
          <w:sz w:val="20"/>
          <w:szCs w:val="20"/>
        </w:rPr>
        <w:t xml:space="preserve">had contravened WHS Act </w:t>
      </w:r>
      <w:r>
        <w:rPr>
          <w:sz w:val="20"/>
          <w:szCs w:val="20"/>
        </w:rPr>
        <w:t>s</w:t>
      </w:r>
      <w:r w:rsidRPr="00E952DB">
        <w:rPr>
          <w:sz w:val="20"/>
          <w:szCs w:val="20"/>
        </w:rPr>
        <w:t>ection 19</w:t>
      </w:r>
      <w:r>
        <w:rPr>
          <w:sz w:val="20"/>
          <w:szCs w:val="20"/>
        </w:rPr>
        <w:t>(</w:t>
      </w:r>
      <w:r w:rsidRPr="00E952DB">
        <w:rPr>
          <w:sz w:val="20"/>
          <w:szCs w:val="20"/>
        </w:rPr>
        <w:t>3</w:t>
      </w:r>
      <w:r>
        <w:rPr>
          <w:sz w:val="20"/>
          <w:szCs w:val="20"/>
        </w:rPr>
        <w:t>)</w:t>
      </w:r>
      <w:r w:rsidRPr="00E952DB">
        <w:rPr>
          <w:sz w:val="20"/>
          <w:szCs w:val="20"/>
        </w:rPr>
        <w:t xml:space="preserve">(e), WHS Regulation 42 – Duty to </w:t>
      </w:r>
      <w:r w:rsidR="00272FCF">
        <w:rPr>
          <w:sz w:val="20"/>
          <w:szCs w:val="20"/>
        </w:rPr>
        <w:t>P</w:t>
      </w:r>
      <w:r w:rsidRPr="00E952DB">
        <w:rPr>
          <w:sz w:val="20"/>
          <w:szCs w:val="20"/>
        </w:rPr>
        <w:t xml:space="preserve">rovide First Aid, due to inadequate </w:t>
      </w:r>
      <w:r>
        <w:rPr>
          <w:sz w:val="20"/>
          <w:szCs w:val="20"/>
        </w:rPr>
        <w:t>f</w:t>
      </w:r>
      <w:r w:rsidRPr="00E952DB">
        <w:rPr>
          <w:sz w:val="20"/>
          <w:szCs w:val="20"/>
        </w:rPr>
        <w:t xml:space="preserve">irst </w:t>
      </w:r>
      <w:r>
        <w:rPr>
          <w:sz w:val="20"/>
          <w:szCs w:val="20"/>
        </w:rPr>
        <w:t>a</w:t>
      </w:r>
      <w:r w:rsidRPr="00E952DB">
        <w:rPr>
          <w:sz w:val="20"/>
          <w:szCs w:val="20"/>
        </w:rPr>
        <w:t xml:space="preserve">id facilities at the Wollongong site. The </w:t>
      </w:r>
      <w:r w:rsidR="00272FCF">
        <w:rPr>
          <w:sz w:val="20"/>
          <w:szCs w:val="20"/>
        </w:rPr>
        <w:t xml:space="preserve">NDIA </w:t>
      </w:r>
      <w:r w:rsidRPr="00E952DB">
        <w:rPr>
          <w:sz w:val="20"/>
          <w:szCs w:val="20"/>
        </w:rPr>
        <w:t>responded within the set timeframes and Comcare has closed this matter, noting compliance.</w:t>
      </w:r>
    </w:p>
  </w:footnote>
  <w:footnote w:id="57">
    <w:p w14:paraId="6FC39E15" w14:textId="431ED0D7" w:rsidR="00187A95" w:rsidRPr="00144DE1" w:rsidRDefault="00187A95">
      <w:pPr>
        <w:pStyle w:val="FootnoteText"/>
        <w:rPr>
          <w:lang w:val="en-GB"/>
        </w:rPr>
      </w:pPr>
      <w:r>
        <w:rPr>
          <w:rStyle w:val="FootnoteReference"/>
        </w:rPr>
        <w:footnoteRef/>
      </w:r>
      <w:r>
        <w:t xml:space="preserve"> </w:t>
      </w:r>
      <w:r w:rsidRPr="00187A95">
        <w:t>All data is calculated on an accrual basis</w:t>
      </w:r>
    </w:p>
  </w:footnote>
  <w:footnote w:id="58">
    <w:p w14:paraId="64778F9E" w14:textId="71A1A435" w:rsidR="00F940CB" w:rsidRPr="00144DE1" w:rsidRDefault="00F940CB">
      <w:pPr>
        <w:pStyle w:val="FootnoteText"/>
        <w:rPr>
          <w:lang w:val="en-GB"/>
        </w:rPr>
      </w:pPr>
      <w:r>
        <w:rPr>
          <w:rStyle w:val="FootnoteReference"/>
        </w:rPr>
        <w:footnoteRef/>
      </w:r>
      <w:r>
        <w:t xml:space="preserve"> </w:t>
      </w:r>
      <w:r w:rsidRPr="005C78F1">
        <w:t xml:space="preserve">The NDIA engaged some senior executives through contract arrangements that may include superannuation and long service leave </w:t>
      </w:r>
      <w:r w:rsidRPr="00F940CB">
        <w:t>entitlement</w:t>
      </w:r>
      <w:r>
        <w:t>s</w:t>
      </w:r>
      <w:r w:rsidRPr="005C78F1">
        <w:t>. All other contract</w:t>
      </w:r>
      <w:r w:rsidR="00FE4990">
        <w:t>-</w:t>
      </w:r>
      <w:r w:rsidRPr="005C78F1">
        <w:t>engaged senior executives’ total contract costs are included as short</w:t>
      </w:r>
      <w:r>
        <w:t>-</w:t>
      </w:r>
      <w:r w:rsidRPr="005C78F1">
        <w:t>term employee benefits</w:t>
      </w:r>
    </w:p>
  </w:footnote>
  <w:footnote w:id="59">
    <w:p w14:paraId="5C6F1949" w14:textId="61256F6D" w:rsidR="0074381C" w:rsidRPr="007847FA" w:rsidRDefault="0074381C" w:rsidP="0074381C">
      <w:pPr>
        <w:pStyle w:val="FootnoteText"/>
        <w:rPr>
          <w:lang w:val="en-GB"/>
        </w:rPr>
      </w:pPr>
      <w:r>
        <w:rPr>
          <w:rStyle w:val="FootnoteReference"/>
        </w:rPr>
        <w:footnoteRef/>
      </w:r>
      <w:r>
        <w:t xml:space="preserve"> </w:t>
      </w:r>
      <w:r>
        <w:rPr>
          <w:lang w:val="en-GB"/>
        </w:rPr>
        <w:t>Remuneration for acting key management personnel is reported only for the period in which they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9AA18" w14:textId="77777777" w:rsidR="00FD06ED" w:rsidRDefault="00FD06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034A" w14:textId="77777777" w:rsidR="00FD06ED" w:rsidRDefault="00FD06E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572D" w14:textId="77777777" w:rsidR="00FD06ED" w:rsidRDefault="00FD06E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C82F" w14:textId="77777777" w:rsidR="00FD06ED" w:rsidRDefault="00FD06ED" w:rsidP="00C864EE">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F74A08">
      <w:t xml:space="preserve"> Agency</w:t>
    </w:r>
    <w:r>
      <w:fldChar w:fldCharType="end"/>
    </w:r>
  </w:p>
  <w:p w14:paraId="324BA20B" w14:textId="77777777" w:rsidR="00FD06ED" w:rsidRDefault="00FD06ED" w:rsidP="00990DB5">
    <w:pPr>
      <w:pStyle w:val="StatementHeading"/>
      <w:rPr>
        <w:rFonts w:cs="Arial"/>
        <w:szCs w:val="24"/>
      </w:rPr>
    </w:pPr>
    <w:r>
      <w:rPr>
        <w:szCs w:val="24"/>
      </w:rPr>
      <w:t>CASH FLOW STATEMENT</w:t>
    </w:r>
  </w:p>
  <w:p w14:paraId="1A945A4A" w14:textId="77777777" w:rsidR="00FD06ED" w:rsidRPr="00990DB5" w:rsidRDefault="00FD06ED" w:rsidP="00990DB5">
    <w:pPr>
      <w:pStyle w:val="StatementDateHeader"/>
    </w:pPr>
    <w:r>
      <w:rPr>
        <w:szCs w:val="24"/>
      </w:rPr>
      <w:t xml:space="preserve">for the year ended </w:t>
    </w:r>
    <w:fldSimple w:instr=" DOCPROPERTY  pEnd  \* MERGEFORMAT ">
      <w:r>
        <w:t>30 June</w:t>
      </w:r>
    </w:fldSimple>
    <w:r>
      <w:t xml:space="preserve"> </w:t>
    </w:r>
    <w:r>
      <w:rPr>
        <w:szCs w:val="24"/>
      </w:rPr>
      <w:fldChar w:fldCharType="begin"/>
    </w:r>
    <w:r>
      <w:rPr>
        <w:szCs w:val="24"/>
      </w:rPr>
      <w:instrText xml:space="preserve"> DOCPROPERTY  crYear  \* MERGEFORMAT </w:instrText>
    </w:r>
    <w:r>
      <w:rPr>
        <w:szCs w:val="24"/>
      </w:rPr>
      <w:fldChar w:fldCharType="separate"/>
    </w:r>
    <w:r>
      <w:rPr>
        <w:szCs w:val="24"/>
      </w:rPr>
      <w:t>2022</w:t>
    </w:r>
    <w:r>
      <w:rPr>
        <w:szCs w:val="24"/>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0DFF" w14:textId="77777777" w:rsidR="00FD06ED" w:rsidRDefault="00FD06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D991" w14:textId="77777777" w:rsidR="00FD06ED" w:rsidRDefault="00FD06E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A380" w14:textId="77777777" w:rsidR="00FD06ED" w:rsidRDefault="00FD06ED" w:rsidP="00125DE8">
    <w:pPr>
      <w:pStyle w:val="StatementName"/>
    </w:pPr>
    <w:r>
      <w:t>National Disability Insurance Agency</w:t>
    </w:r>
  </w:p>
  <w:p w14:paraId="08B74DCE" w14:textId="77777777" w:rsidR="00FD06ED" w:rsidRDefault="00FD06ED" w:rsidP="00125DE8">
    <w:pPr>
      <w:pStyle w:val="StatementName"/>
    </w:pPr>
    <w:r w:rsidRPr="00990DB5">
      <w:t>NOTES TO AND FORMING PART OF THE FINANCIAL STATEMENTS</w:t>
    </w:r>
  </w:p>
  <w:p w14:paraId="19045DC3" w14:textId="77777777" w:rsidR="00FD06ED" w:rsidRDefault="00FD06E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AE795" w14:textId="77777777" w:rsidR="00FD06ED" w:rsidRDefault="00FD06E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676B" w14:textId="77777777" w:rsidR="00FD06ED" w:rsidRDefault="00FD06E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3E41" w14:textId="77777777" w:rsidR="00FD06ED" w:rsidRPr="00990DB5" w:rsidRDefault="00FD06ED" w:rsidP="005050F3">
    <w:pPr>
      <w:pStyle w:val="StatementHeading"/>
      <w:rPr>
        <w:szCs w:val="24"/>
      </w:rPr>
    </w:pPr>
    <w:r>
      <w:rPr>
        <w:szCs w:val="24"/>
      </w:rPr>
      <w:fldChar w:fldCharType="begin"/>
    </w:r>
    <w:r>
      <w:rPr>
        <w:szCs w:val="24"/>
      </w:rPr>
      <w:instrText xml:space="preserve"> DOCPROPERTY  longName  \* MERGEFORMAT </w:instrText>
    </w:r>
    <w:r>
      <w:rPr>
        <w:szCs w:val="24"/>
      </w:rPr>
      <w:fldChar w:fldCharType="separate"/>
    </w:r>
    <w:r>
      <w:rPr>
        <w:szCs w:val="24"/>
      </w:rPr>
      <w:t>National Disability Insurance Agency</w:t>
    </w:r>
    <w:r>
      <w:fldChar w:fldCharType="end"/>
    </w:r>
  </w:p>
  <w:p w14:paraId="496D2A44" w14:textId="77777777" w:rsidR="00FD06ED" w:rsidRPr="00990DB5" w:rsidRDefault="00FD06ED" w:rsidP="005050F3">
    <w:pPr>
      <w:pStyle w:val="StatementName"/>
    </w:pPr>
    <w:r w:rsidRPr="00990DB5">
      <w:t>NOTES TO AND FORMING PART OF THE FINANCIAL STATEMENTS</w:t>
    </w:r>
  </w:p>
  <w:p w14:paraId="7BFB46B2" w14:textId="77777777" w:rsidR="00FD06ED" w:rsidRPr="00F02C4F" w:rsidRDefault="00FD06ED" w:rsidP="005050F3">
    <w:pPr>
      <w:rPr>
        <w:b/>
        <w:sz w:val="14"/>
        <w:szCs w:val="1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70189" w14:textId="77777777" w:rsidR="00FD06ED" w:rsidRDefault="00FD06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52CD2" w14:textId="77777777" w:rsidR="00FD06ED" w:rsidRDefault="00FD06ED" w:rsidP="00985DF0">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F74A08">
      <w:t xml:space="preserve"> Agency</w:t>
    </w:r>
    <w:r>
      <w:fldChar w:fldCharType="end"/>
    </w:r>
  </w:p>
  <w:p w14:paraId="3DF54609" w14:textId="77777777" w:rsidR="00FD06ED" w:rsidRDefault="00FD06ED" w:rsidP="00990DB5">
    <w:pPr>
      <w:pStyle w:val="StatementHeading"/>
    </w:pPr>
    <w:r>
      <w:t xml:space="preserve">STATEMENT BY THE ACTING CHAIRMAN OF THE BOARD, ACTING CHIEF EXECUTIVE OFFICER, CHIEF FINANCIAL </w:t>
    </w:r>
    <w:proofErr w:type="gramStart"/>
    <w:r>
      <w:t>OFFICER</w:t>
    </w:r>
    <w:proofErr w:type="gramEnd"/>
    <w:r>
      <w:t xml:space="preserve"> AND CHAIR OF THE AUDIT COMMITTEE</w:t>
    </w:r>
  </w:p>
  <w:p w14:paraId="058CA7A2" w14:textId="77777777" w:rsidR="00FD06ED" w:rsidRDefault="00FD06E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BA6" w14:textId="77777777" w:rsidR="009853D4" w:rsidRPr="00F02C4F" w:rsidRDefault="009853D4" w:rsidP="005050F3">
    <w:pPr>
      <w:rPr>
        <w:b/>
        <w:sz w:val="14"/>
        <w:szCs w:val="1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78F2" w14:textId="77777777" w:rsidR="009853D4" w:rsidRPr="00F02C4F" w:rsidRDefault="009853D4" w:rsidP="005050F3">
    <w:pPr>
      <w:rPr>
        <w:b/>
        <w:sz w:val="14"/>
        <w:szCs w:val="1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449C" w14:textId="77777777" w:rsidR="00F966CD" w:rsidRPr="00F02C4F" w:rsidRDefault="00F966CD" w:rsidP="00A322F6">
    <w:pPr>
      <w:ind w:left="0"/>
      <w:rPr>
        <w:b/>
        <w:sz w:val="14"/>
        <w:szCs w:val="14"/>
      </w:rPr>
    </w:pPr>
  </w:p>
  <w:p w14:paraId="66AEED74" w14:textId="77777777" w:rsidR="00640196" w:rsidRDefault="006401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F594C" w14:textId="77777777" w:rsidR="00FD06ED" w:rsidRDefault="00FD06E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1985" w14:textId="77777777" w:rsidR="00FD06ED" w:rsidRDefault="00FD06E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F810" w14:textId="77777777" w:rsidR="00FD06ED" w:rsidRDefault="00FD06ED" w:rsidP="00C864EE">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F74A08">
      <w:t xml:space="preserve"> Agency</w:t>
    </w:r>
    <w:r>
      <w:fldChar w:fldCharType="end"/>
    </w:r>
  </w:p>
  <w:p w14:paraId="0AC379E6" w14:textId="77777777" w:rsidR="00FD06ED" w:rsidRDefault="00FD06ED" w:rsidP="00990DB5">
    <w:pPr>
      <w:pStyle w:val="StatementHeading"/>
      <w:rPr>
        <w:rFonts w:cs="Arial"/>
        <w:szCs w:val="24"/>
      </w:rPr>
    </w:pPr>
    <w:r>
      <w:rPr>
        <w:rFonts w:cs="Arial"/>
        <w:szCs w:val="24"/>
      </w:rPr>
      <w:t>STATEMENT OF COMPREHENSIVE INCOME</w:t>
    </w:r>
  </w:p>
  <w:p w14:paraId="0828183E" w14:textId="77777777" w:rsidR="00FD06ED" w:rsidRDefault="00FD06ED" w:rsidP="00990DB5">
    <w:pPr>
      <w:pStyle w:val="StatementDateHeader"/>
    </w:pPr>
    <w:r>
      <w:rPr>
        <w:rFonts w:cs="Arial"/>
        <w:szCs w:val="24"/>
      </w:rPr>
      <w:t xml:space="preserve">for </w:t>
    </w:r>
    <w:r w:rsidRPr="001C0439">
      <w:rPr>
        <w:rFonts w:cs="Arial"/>
        <w:szCs w:val="24"/>
      </w:rPr>
      <w:t xml:space="preserve">the </w:t>
    </w:r>
    <w:r>
      <w:rPr>
        <w:rFonts w:cs="Arial"/>
        <w:szCs w:val="24"/>
      </w:rPr>
      <w:t>year</w:t>
    </w:r>
    <w:r w:rsidRPr="001C0439">
      <w:rPr>
        <w:rFonts w:cs="Arial"/>
        <w:szCs w:val="24"/>
      </w:rPr>
      <w:t xml:space="preserve"> ended </w:t>
    </w:r>
    <w:fldSimple w:instr=" DOCPROPERTY  pEnd  \* MERGEFORMAT ">
      <w:r>
        <w:t>30 June</w:t>
      </w:r>
    </w:fldSimple>
    <w:r>
      <w:t xml:space="preserve"> </w:t>
    </w:r>
    <w:r w:rsidRPr="001C0439">
      <w:rPr>
        <w:rFonts w:cs="Arial"/>
        <w:szCs w:val="24"/>
      </w:rPr>
      <w:fldChar w:fldCharType="begin"/>
    </w:r>
    <w:r w:rsidRPr="001C0439">
      <w:rPr>
        <w:rFonts w:cs="Arial"/>
        <w:szCs w:val="24"/>
      </w:rPr>
      <w:instrText xml:space="preserve"> DOCPROPERTY  crYear  \* MERGEFORMAT </w:instrText>
    </w:r>
    <w:r w:rsidRPr="001C0439">
      <w:rPr>
        <w:rFonts w:cs="Arial"/>
        <w:szCs w:val="24"/>
      </w:rPr>
      <w:fldChar w:fldCharType="separate"/>
    </w:r>
    <w:r>
      <w:rPr>
        <w:rFonts w:cs="Arial"/>
        <w:szCs w:val="24"/>
      </w:rPr>
      <w:t>2022</w:t>
    </w:r>
    <w:r w:rsidRPr="001C0439">
      <w:rPr>
        <w:rFonts w:cs="Arial"/>
        <w:szCs w:val="24"/>
      </w:rPr>
      <w:fldChar w:fldCharType="end"/>
    </w:r>
  </w:p>
  <w:p w14:paraId="0536B208" w14:textId="77777777" w:rsidR="00FD06ED" w:rsidRPr="00245204" w:rsidRDefault="00FD06ED" w:rsidP="00911D5A">
    <w:pPr>
      <w:rPr>
        <w:i/>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386AB" w14:textId="77777777" w:rsidR="00FD06ED" w:rsidRDefault="00FD06E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4E24" w14:textId="77777777" w:rsidR="00FD06ED" w:rsidRDefault="00FD06ED" w:rsidP="00C864EE">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F74A08">
      <w:t xml:space="preserve"> Agency</w:t>
    </w:r>
    <w:r>
      <w:fldChar w:fldCharType="end"/>
    </w:r>
  </w:p>
  <w:p w14:paraId="157E98F8" w14:textId="77777777" w:rsidR="00FD06ED" w:rsidRPr="001C0439" w:rsidRDefault="00FD06ED" w:rsidP="00990DB5">
    <w:pPr>
      <w:pStyle w:val="StatementHeading"/>
      <w:rPr>
        <w:rFonts w:cs="Arial"/>
        <w:szCs w:val="24"/>
      </w:rPr>
    </w:pPr>
    <w:r w:rsidRPr="001C0439">
      <w:rPr>
        <w:rFonts w:cs="Arial"/>
        <w:szCs w:val="24"/>
      </w:rPr>
      <w:t>STATEMENT OF FINANCIAL POSITION</w:t>
    </w:r>
  </w:p>
  <w:p w14:paraId="34BF1186" w14:textId="77777777" w:rsidR="00FD06ED" w:rsidRDefault="00FD06ED" w:rsidP="00990DB5">
    <w:pPr>
      <w:pStyle w:val="StatementDateHeader"/>
    </w:pPr>
    <w:r w:rsidRPr="001C0439">
      <w:rPr>
        <w:rFonts w:cs="Arial"/>
        <w:szCs w:val="24"/>
      </w:rPr>
      <w:t xml:space="preserve">as at </w:t>
    </w:r>
    <w:r>
      <w:rPr>
        <w:rFonts w:cs="Arial"/>
        <w:szCs w:val="24"/>
      </w:rPr>
      <w:fldChar w:fldCharType="begin"/>
    </w:r>
    <w:r>
      <w:rPr>
        <w:rFonts w:cs="Arial"/>
        <w:szCs w:val="24"/>
      </w:rPr>
      <w:instrText xml:space="preserve"> DOCPROPERTY  pEnd  \* MERGEFORMAT </w:instrText>
    </w:r>
    <w:r>
      <w:rPr>
        <w:rFonts w:cs="Arial"/>
        <w:szCs w:val="24"/>
      </w:rPr>
      <w:fldChar w:fldCharType="separate"/>
    </w:r>
    <w:r>
      <w:rPr>
        <w:rFonts w:cs="Arial"/>
        <w:szCs w:val="24"/>
      </w:rPr>
      <w:t>30 June</w:t>
    </w:r>
    <w:r>
      <w:rPr>
        <w:rFonts w:cs="Arial"/>
        <w:szCs w:val="24"/>
      </w:rPr>
      <w:fldChar w:fldCharType="end"/>
    </w:r>
    <w:r>
      <w:rPr>
        <w:rFonts w:cs="Arial"/>
        <w:szCs w:val="24"/>
      </w:rPr>
      <w:t xml:space="preserv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2022</w:t>
    </w:r>
    <w:r>
      <w:rPr>
        <w:rFonts w:cs="Arial"/>
        <w:szCs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CC81" w14:textId="77777777" w:rsidR="00FD06ED" w:rsidRDefault="00FD06E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1F38" w14:textId="77777777" w:rsidR="00FD06ED" w:rsidRDefault="00FD06ED" w:rsidP="00125DE8">
    <w:pPr>
      <w:pStyle w:val="StatementHeading"/>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F74A08">
      <w:t xml:space="preserve"> Agency</w:t>
    </w:r>
    <w:r>
      <w:fldChar w:fldCharType="end"/>
    </w:r>
  </w:p>
  <w:p w14:paraId="2DEEB376" w14:textId="77777777" w:rsidR="00FD06ED" w:rsidRDefault="00FD06ED" w:rsidP="00125DE8">
    <w:pPr>
      <w:pStyle w:val="StatementHeading"/>
      <w:rPr>
        <w:rFonts w:cs="Arial"/>
        <w:szCs w:val="24"/>
      </w:rPr>
    </w:pPr>
    <w:r>
      <w:rPr>
        <w:rFonts w:cs="Arial"/>
        <w:szCs w:val="24"/>
      </w:rPr>
      <w:t>STATEMENT OF CHANGES IN EQUITY</w:t>
    </w:r>
  </w:p>
  <w:p w14:paraId="3967831E" w14:textId="77777777" w:rsidR="00FD06ED" w:rsidRPr="004454A5" w:rsidRDefault="00FD06ED" w:rsidP="004454A5">
    <w:pPr>
      <w:pStyle w:val="StatementDateHeader"/>
    </w:pPr>
    <w:r>
      <w:rPr>
        <w:rFonts w:cs="Arial"/>
        <w:szCs w:val="24"/>
      </w:rPr>
      <w:t xml:space="preserve">as at </w:t>
    </w:r>
    <w:fldSimple w:instr=" DOCPROPERTY  pEnd  \* MERGEFORMAT ">
      <w:r>
        <w:t>30 June</w:t>
      </w:r>
    </w:fldSimple>
    <w:r>
      <w:t xml:space="preserv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2022</w:t>
    </w:r>
    <w:r>
      <w:rPr>
        <w:rFonts w:cs="Arial"/>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4882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0E19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2A7D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00B1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70EF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D4D8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2AC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221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285E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9868F0"/>
    <w:lvl w:ilvl="0">
      <w:start w:val="1"/>
      <w:numFmt w:val="bullet"/>
      <w:pStyle w:val="ListBullet"/>
      <w:lvlText w:val=""/>
      <w:lvlJc w:val="left"/>
      <w:pPr>
        <w:tabs>
          <w:tab w:val="num" w:pos="717"/>
        </w:tabs>
        <w:ind w:left="717" w:hanging="360"/>
      </w:pPr>
      <w:rPr>
        <w:rFonts w:ascii="Symbol" w:hAnsi="Symbol" w:hint="default"/>
      </w:rPr>
    </w:lvl>
  </w:abstractNum>
  <w:abstractNum w:abstractNumId="10" w15:restartNumberingAfterBreak="0">
    <w:nsid w:val="00CD73A8"/>
    <w:multiLevelType w:val="hybridMultilevel"/>
    <w:tmpl w:val="7C926C24"/>
    <w:lvl w:ilvl="0" w:tplc="0C090001">
      <w:start w:val="1"/>
      <w:numFmt w:val="bullet"/>
      <w:lvlText w:val=""/>
      <w:lvlJc w:val="left"/>
      <w:pPr>
        <w:ind w:left="1372" w:hanging="360"/>
      </w:pPr>
      <w:rPr>
        <w:rFonts w:ascii="Symbol" w:hAnsi="Symbol" w:hint="default"/>
      </w:rPr>
    </w:lvl>
    <w:lvl w:ilvl="1" w:tplc="0C090003" w:tentative="1">
      <w:start w:val="1"/>
      <w:numFmt w:val="bullet"/>
      <w:lvlText w:val="o"/>
      <w:lvlJc w:val="left"/>
      <w:pPr>
        <w:ind w:left="2092" w:hanging="360"/>
      </w:pPr>
      <w:rPr>
        <w:rFonts w:ascii="Courier New" w:hAnsi="Courier New" w:cs="Courier New" w:hint="default"/>
      </w:rPr>
    </w:lvl>
    <w:lvl w:ilvl="2" w:tplc="0C090005" w:tentative="1">
      <w:start w:val="1"/>
      <w:numFmt w:val="bullet"/>
      <w:lvlText w:val=""/>
      <w:lvlJc w:val="left"/>
      <w:pPr>
        <w:ind w:left="2812" w:hanging="360"/>
      </w:pPr>
      <w:rPr>
        <w:rFonts w:ascii="Wingdings" w:hAnsi="Wingdings" w:hint="default"/>
      </w:rPr>
    </w:lvl>
    <w:lvl w:ilvl="3" w:tplc="0C090001" w:tentative="1">
      <w:start w:val="1"/>
      <w:numFmt w:val="bullet"/>
      <w:lvlText w:val=""/>
      <w:lvlJc w:val="left"/>
      <w:pPr>
        <w:ind w:left="3532" w:hanging="360"/>
      </w:pPr>
      <w:rPr>
        <w:rFonts w:ascii="Symbol" w:hAnsi="Symbol" w:hint="default"/>
      </w:rPr>
    </w:lvl>
    <w:lvl w:ilvl="4" w:tplc="0C090003" w:tentative="1">
      <w:start w:val="1"/>
      <w:numFmt w:val="bullet"/>
      <w:lvlText w:val="o"/>
      <w:lvlJc w:val="left"/>
      <w:pPr>
        <w:ind w:left="4252" w:hanging="360"/>
      </w:pPr>
      <w:rPr>
        <w:rFonts w:ascii="Courier New" w:hAnsi="Courier New" w:cs="Courier New" w:hint="default"/>
      </w:rPr>
    </w:lvl>
    <w:lvl w:ilvl="5" w:tplc="0C090005" w:tentative="1">
      <w:start w:val="1"/>
      <w:numFmt w:val="bullet"/>
      <w:lvlText w:val=""/>
      <w:lvlJc w:val="left"/>
      <w:pPr>
        <w:ind w:left="4972" w:hanging="360"/>
      </w:pPr>
      <w:rPr>
        <w:rFonts w:ascii="Wingdings" w:hAnsi="Wingdings" w:hint="default"/>
      </w:rPr>
    </w:lvl>
    <w:lvl w:ilvl="6" w:tplc="0C090001" w:tentative="1">
      <w:start w:val="1"/>
      <w:numFmt w:val="bullet"/>
      <w:lvlText w:val=""/>
      <w:lvlJc w:val="left"/>
      <w:pPr>
        <w:ind w:left="5692" w:hanging="360"/>
      </w:pPr>
      <w:rPr>
        <w:rFonts w:ascii="Symbol" w:hAnsi="Symbol" w:hint="default"/>
      </w:rPr>
    </w:lvl>
    <w:lvl w:ilvl="7" w:tplc="0C090003" w:tentative="1">
      <w:start w:val="1"/>
      <w:numFmt w:val="bullet"/>
      <w:lvlText w:val="o"/>
      <w:lvlJc w:val="left"/>
      <w:pPr>
        <w:ind w:left="6412" w:hanging="360"/>
      </w:pPr>
      <w:rPr>
        <w:rFonts w:ascii="Courier New" w:hAnsi="Courier New" w:cs="Courier New" w:hint="default"/>
      </w:rPr>
    </w:lvl>
    <w:lvl w:ilvl="8" w:tplc="0C090005" w:tentative="1">
      <w:start w:val="1"/>
      <w:numFmt w:val="bullet"/>
      <w:lvlText w:val=""/>
      <w:lvlJc w:val="left"/>
      <w:pPr>
        <w:ind w:left="7132" w:hanging="360"/>
      </w:pPr>
      <w:rPr>
        <w:rFonts w:ascii="Wingdings" w:hAnsi="Wingdings" w:hint="default"/>
      </w:rPr>
    </w:lvl>
  </w:abstractNum>
  <w:abstractNum w:abstractNumId="11" w15:restartNumberingAfterBreak="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B8A6DFA"/>
    <w:multiLevelType w:val="hybridMultilevel"/>
    <w:tmpl w:val="C2D87E4C"/>
    <w:lvl w:ilvl="0" w:tplc="EAD225F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29E6E43"/>
    <w:multiLevelType w:val="hybridMultilevel"/>
    <w:tmpl w:val="FE70A7A6"/>
    <w:lvl w:ilvl="0" w:tplc="C8E81A80">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944E98"/>
    <w:multiLevelType w:val="hybridMultilevel"/>
    <w:tmpl w:val="41E2D5A8"/>
    <w:lvl w:ilvl="0" w:tplc="1848031C">
      <w:start w:val="1"/>
      <w:numFmt w:val="bullet"/>
      <w:pStyle w:val="FGCBULLET1"/>
      <w:lvlText w:val=""/>
      <w:lvlJc w:val="left"/>
      <w:pPr>
        <w:ind w:left="1372" w:hanging="360"/>
      </w:pPr>
      <w:rPr>
        <w:rFonts w:ascii="Symbol" w:hAnsi="Symbol" w:hint="default"/>
      </w:rPr>
    </w:lvl>
    <w:lvl w:ilvl="1" w:tplc="0C090003">
      <w:start w:val="1"/>
      <w:numFmt w:val="bullet"/>
      <w:lvlText w:val="o"/>
      <w:lvlJc w:val="left"/>
      <w:pPr>
        <w:ind w:left="2092" w:hanging="360"/>
      </w:pPr>
      <w:rPr>
        <w:rFonts w:ascii="Courier New" w:hAnsi="Courier New" w:cs="Courier New" w:hint="default"/>
      </w:rPr>
    </w:lvl>
    <w:lvl w:ilvl="2" w:tplc="0C090005" w:tentative="1">
      <w:start w:val="1"/>
      <w:numFmt w:val="bullet"/>
      <w:lvlText w:val=""/>
      <w:lvlJc w:val="left"/>
      <w:pPr>
        <w:ind w:left="2812" w:hanging="360"/>
      </w:pPr>
      <w:rPr>
        <w:rFonts w:ascii="Wingdings" w:hAnsi="Wingdings" w:hint="default"/>
      </w:rPr>
    </w:lvl>
    <w:lvl w:ilvl="3" w:tplc="0C090001" w:tentative="1">
      <w:start w:val="1"/>
      <w:numFmt w:val="bullet"/>
      <w:lvlText w:val=""/>
      <w:lvlJc w:val="left"/>
      <w:pPr>
        <w:ind w:left="3532" w:hanging="360"/>
      </w:pPr>
      <w:rPr>
        <w:rFonts w:ascii="Symbol" w:hAnsi="Symbol" w:hint="default"/>
      </w:rPr>
    </w:lvl>
    <w:lvl w:ilvl="4" w:tplc="0C090003" w:tentative="1">
      <w:start w:val="1"/>
      <w:numFmt w:val="bullet"/>
      <w:lvlText w:val="o"/>
      <w:lvlJc w:val="left"/>
      <w:pPr>
        <w:ind w:left="4252" w:hanging="360"/>
      </w:pPr>
      <w:rPr>
        <w:rFonts w:ascii="Courier New" w:hAnsi="Courier New" w:cs="Courier New" w:hint="default"/>
      </w:rPr>
    </w:lvl>
    <w:lvl w:ilvl="5" w:tplc="0C090005" w:tentative="1">
      <w:start w:val="1"/>
      <w:numFmt w:val="bullet"/>
      <w:lvlText w:val=""/>
      <w:lvlJc w:val="left"/>
      <w:pPr>
        <w:ind w:left="4972" w:hanging="360"/>
      </w:pPr>
      <w:rPr>
        <w:rFonts w:ascii="Wingdings" w:hAnsi="Wingdings" w:hint="default"/>
      </w:rPr>
    </w:lvl>
    <w:lvl w:ilvl="6" w:tplc="0C090001" w:tentative="1">
      <w:start w:val="1"/>
      <w:numFmt w:val="bullet"/>
      <w:lvlText w:val=""/>
      <w:lvlJc w:val="left"/>
      <w:pPr>
        <w:ind w:left="5692" w:hanging="360"/>
      </w:pPr>
      <w:rPr>
        <w:rFonts w:ascii="Symbol" w:hAnsi="Symbol" w:hint="default"/>
      </w:rPr>
    </w:lvl>
    <w:lvl w:ilvl="7" w:tplc="0C090003" w:tentative="1">
      <w:start w:val="1"/>
      <w:numFmt w:val="bullet"/>
      <w:lvlText w:val="o"/>
      <w:lvlJc w:val="left"/>
      <w:pPr>
        <w:ind w:left="6412" w:hanging="360"/>
      </w:pPr>
      <w:rPr>
        <w:rFonts w:ascii="Courier New" w:hAnsi="Courier New" w:cs="Courier New" w:hint="default"/>
      </w:rPr>
    </w:lvl>
    <w:lvl w:ilvl="8" w:tplc="0C090005" w:tentative="1">
      <w:start w:val="1"/>
      <w:numFmt w:val="bullet"/>
      <w:lvlText w:val=""/>
      <w:lvlJc w:val="left"/>
      <w:pPr>
        <w:ind w:left="7132" w:hanging="360"/>
      </w:pPr>
      <w:rPr>
        <w:rFonts w:ascii="Wingdings" w:hAnsi="Wingdings" w:hint="default"/>
      </w:rPr>
    </w:lvl>
  </w:abstractNum>
  <w:abstractNum w:abstractNumId="16" w15:restartNumberingAfterBreak="0">
    <w:nsid w:val="1AD87B2A"/>
    <w:multiLevelType w:val="multilevel"/>
    <w:tmpl w:val="55D4F7A2"/>
    <w:lvl w:ilvl="0">
      <w:start w:val="1"/>
      <w:numFmt w:val="decimal"/>
      <w:lvlText w:val="%1."/>
      <w:lvlJc w:val="left"/>
      <w:pPr>
        <w:ind w:left="360" w:hanging="360"/>
      </w:pPr>
      <w:rPr>
        <w:rFonts w:hint="default"/>
        <w:color w:val="auto"/>
      </w:rPr>
    </w:lvl>
    <w:lvl w:ilvl="1">
      <w:numFmt w:val="none"/>
      <w:pStyle w:val="SubHeading"/>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Courier New" w:hAnsi="Courier New" w:cs="Courier New" w:hint="default"/>
        <w:b/>
        <w:bCs w:val="0"/>
        <w:i w:val="0"/>
        <w:iCs w:val="0"/>
        <w:caps w:val="0"/>
        <w:smallCaps w:val="0"/>
        <w:strike w:val="0"/>
        <w:dstrike w:val="0"/>
        <w:noProof w:val="0"/>
        <w:vanish w:val="0"/>
        <w:color w:val="auto"/>
        <w:spacing w:val="0"/>
        <w:kern w:val="0"/>
        <w:position w:val="0"/>
        <w:sz w:val="20"/>
        <w:szCs w:val="20"/>
        <w:u w:val="none"/>
        <w:vertAlign w:val="baseline"/>
        <w14:glow w14:rad="0">
          <w14:srgbClr w14:val="000000"/>
        </w14:glow>
        <w14:scene3d>
          <w14:camera w14:prst="orthographicFront"/>
          <w14:lightRig w14:rig="threePt" w14:dir="t">
            <w14:rot w14:lat="0" w14:lon="0" w14:rev="0"/>
          </w14:lightRig>
        </w14:scene3d>
      </w:rPr>
    </w:lvl>
  </w:abstractNum>
  <w:abstractNum w:abstractNumId="17" w15:restartNumberingAfterBreak="0">
    <w:nsid w:val="1C396D04"/>
    <w:multiLevelType w:val="hybridMultilevel"/>
    <w:tmpl w:val="303823BE"/>
    <w:lvl w:ilvl="0" w:tplc="2D14B188">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D95887"/>
    <w:multiLevelType w:val="multilevel"/>
    <w:tmpl w:val="4A2C09A0"/>
    <w:styleLink w:val="Style2"/>
    <w:lvl w:ilvl="0">
      <w:numFmt w:val="decimal"/>
      <w:lvlText w:val=""/>
      <w:lvlJc w:val="left"/>
    </w:lvl>
    <w:lvl w:ilvl="1">
      <w:numFmt w:val="decimal"/>
      <w:lvlText w:val=""/>
      <w:lvlJc w:val="left"/>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none"/>
      <w:lvlText w:val=""/>
      <w:lvlJc w:val="left"/>
      <w:pPr>
        <w:tabs>
          <w:tab w:val="num" w:pos="360"/>
        </w:tabs>
      </w:pPr>
    </w:lvl>
    <w:lvl w:ilvl="7">
      <w:numFmt w:val="decimal"/>
      <w:lvlText w:val=""/>
      <w:lvlJc w:val="left"/>
    </w:lvl>
    <w:lvl w:ilvl="8">
      <w:numFmt w:val="none"/>
      <w:lvlText w:val=""/>
      <w:lvlJc w:val="left"/>
      <w:pPr>
        <w:tabs>
          <w:tab w:val="num" w:pos="360"/>
        </w:tabs>
      </w:pPr>
    </w:lvl>
  </w:abstractNum>
  <w:abstractNum w:abstractNumId="19" w15:restartNumberingAfterBreak="0">
    <w:nsid w:val="1D7D025D"/>
    <w:multiLevelType w:val="hybridMultilevel"/>
    <w:tmpl w:val="C3CCDB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2CFC0897"/>
    <w:multiLevelType w:val="hybridMultilevel"/>
    <w:tmpl w:val="21262A5E"/>
    <w:lvl w:ilvl="0" w:tplc="0F8CD45A">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AD612D"/>
    <w:multiLevelType w:val="hybridMultilevel"/>
    <w:tmpl w:val="8FC64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4142179"/>
    <w:multiLevelType w:val="hybridMultilevel"/>
    <w:tmpl w:val="6428B0A6"/>
    <w:lvl w:ilvl="0" w:tplc="920C78AE">
      <w:start w:val="1"/>
      <w:numFmt w:val="bullet"/>
      <w:pStyle w:val="FSR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pStyle w:val="FSRHeading2"/>
      <w:lvlText w:val="o"/>
      <w:lvlJc w:val="left"/>
      <w:pPr>
        <w:ind w:left="1440" w:hanging="360"/>
      </w:pPr>
      <w:rPr>
        <w:rFonts w:ascii="Courier New" w:hAnsi="Courier New" w:cs="Courier New" w:hint="default"/>
      </w:rPr>
    </w:lvl>
    <w:lvl w:ilvl="2" w:tplc="0C090005">
      <w:start w:val="1"/>
      <w:numFmt w:val="bullet"/>
      <w:pStyle w:val="FSRHeading3"/>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AB1D61"/>
    <w:multiLevelType w:val="multilevel"/>
    <w:tmpl w:val="7A408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367B26"/>
    <w:multiLevelType w:val="hybridMultilevel"/>
    <w:tmpl w:val="32E285AA"/>
    <w:lvl w:ilvl="0" w:tplc="4948AB7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A4C43EC"/>
    <w:multiLevelType w:val="hybridMultilevel"/>
    <w:tmpl w:val="04FEC1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D0D5D51"/>
    <w:multiLevelType w:val="hybridMultilevel"/>
    <w:tmpl w:val="3F9228A0"/>
    <w:styleLink w:val="CurrentList11"/>
    <w:lvl w:ilvl="0" w:tplc="8BD600A0">
      <w:numFmt w:val="decimal"/>
      <w:pStyle w:val="FGCCommentItalicbul"/>
      <w:lvlText w:val=""/>
      <w:lvlJc w:val="left"/>
      <w:rPr>
        <w:rFonts w:hint="default"/>
        <w:b w:val="0"/>
        <w:bCs/>
      </w:rPr>
    </w:lvl>
    <w:lvl w:ilvl="1" w:tplc="0C090003">
      <w:numFmt w:val="none"/>
      <w:lvlText w:val=""/>
      <w:lvlJc w:val="left"/>
      <w:pPr>
        <w:tabs>
          <w:tab w:val="num" w:pos="360"/>
        </w:tabs>
      </w:pPr>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1" w15:restartNumberingAfterBreak="0">
    <w:nsid w:val="3F57266A"/>
    <w:multiLevelType w:val="multilevel"/>
    <w:tmpl w:val="A89AA206"/>
    <w:lvl w:ilvl="0">
      <w:start w:val="1"/>
      <w:numFmt w:val="decimal"/>
      <w:pStyle w:val="FGCHEADING1"/>
      <w:lvlText w:val="%1"/>
      <w:lvlJc w:val="left"/>
      <w:pPr>
        <w:ind w:left="635" w:hanging="635"/>
      </w:pPr>
      <w:rPr>
        <w:rFonts w:hint="default"/>
      </w:rPr>
    </w:lvl>
    <w:lvl w:ilvl="1">
      <w:start w:val="3"/>
      <w:numFmt w:val="decimal"/>
      <w:pStyle w:val="FGCHEADING2"/>
      <w:lvlText w:val="%1.%2"/>
      <w:lvlJc w:val="left"/>
      <w:pPr>
        <w:ind w:left="680" w:hanging="680"/>
      </w:pPr>
      <w:rPr>
        <w:rFonts w:hint="default"/>
      </w:rPr>
    </w:lvl>
    <w:lvl w:ilvl="2">
      <w:start w:val="4"/>
      <w:numFmt w:val="decimal"/>
      <w:pStyle w:val="FGCHEADING3"/>
      <w:lvlText w:val="%1.%2.%3"/>
      <w:lvlJc w:val="left"/>
      <w:pPr>
        <w:ind w:left="0" w:firstLine="0"/>
      </w:pPr>
      <w:rPr>
        <w:rFonts w:hint="default"/>
      </w:rPr>
    </w:lvl>
    <w:lvl w:ilvl="3">
      <w:start w:val="1"/>
      <w:numFmt w:val="decimal"/>
      <w:pStyle w:val="FGCHEADING5"/>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pStyle w:val="FGCNUMBERED"/>
      <w:lvlText w:val="%6"/>
      <w:lvlJc w:val="left"/>
      <w:pPr>
        <w:ind w:left="1134" w:hanging="499"/>
      </w:pPr>
      <w:rPr>
        <w:rFonts w:hint="default"/>
      </w:rPr>
    </w:lvl>
    <w:lvl w:ilvl="6">
      <w:numFmt w:val="decimal"/>
      <w:pStyle w:val="Heading7"/>
      <w:lvlText w:val=""/>
      <w:lvlJc w:val="left"/>
      <w:pPr>
        <w:ind w:left="0" w:firstLine="0"/>
      </w:pPr>
      <w:rPr>
        <w:rFonts w:hint="default"/>
      </w:rPr>
    </w:lvl>
    <w:lvl w:ilvl="7">
      <w:numFmt w:val="decimal"/>
      <w:pStyle w:val="Heading8"/>
      <w:lvlText w:val=""/>
      <w:lvlJc w:val="left"/>
      <w:pPr>
        <w:ind w:left="0" w:firstLine="0"/>
      </w:pPr>
      <w:rPr>
        <w:rFonts w:hint="default"/>
      </w:rPr>
    </w:lvl>
    <w:lvl w:ilvl="8">
      <w:numFmt w:val="decimal"/>
      <w:pStyle w:val="Heading9"/>
      <w:lvlText w:val=""/>
      <w:lvlJc w:val="left"/>
      <w:pPr>
        <w:ind w:left="0" w:firstLine="0"/>
      </w:pPr>
      <w:rPr>
        <w:rFonts w:hint="default"/>
      </w:rPr>
    </w:lvl>
  </w:abstractNum>
  <w:abstractNum w:abstractNumId="32" w15:restartNumberingAfterBreak="0">
    <w:nsid w:val="41593EEB"/>
    <w:multiLevelType w:val="hybridMultilevel"/>
    <w:tmpl w:val="6150ADB8"/>
    <w:lvl w:ilvl="0" w:tplc="9A12298C">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ADC2C89"/>
    <w:multiLevelType w:val="multilevel"/>
    <w:tmpl w:val="EDAA5206"/>
    <w:styleLink w:val="Style21"/>
    <w:lvl w:ilvl="0">
      <w:numFmt w:val="decimal"/>
      <w:pStyle w:val="01square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134884"/>
    <w:multiLevelType w:val="multilevel"/>
    <w:tmpl w:val="37A8BB22"/>
    <w:lvl w:ilvl="0">
      <w:numFmt w:val="decimal"/>
      <w:pStyle w:val="Section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D84D4E"/>
    <w:multiLevelType w:val="hybridMultilevel"/>
    <w:tmpl w:val="154C711A"/>
    <w:lvl w:ilvl="0" w:tplc="5FD26004">
      <w:numFmt w:val="bullet"/>
      <w:lvlText w:val="•"/>
      <w:lvlJc w:val="left"/>
      <w:pPr>
        <w:ind w:left="1012" w:hanging="360"/>
      </w:pPr>
      <w:rPr>
        <w:rFonts w:ascii="Arial" w:eastAsiaTheme="minorEastAsia" w:hAnsi="Arial" w:cs="Aria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37" w15:restartNumberingAfterBreak="0">
    <w:nsid w:val="585F6A5F"/>
    <w:multiLevelType w:val="multilevel"/>
    <w:tmpl w:val="4A2C09A0"/>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1440B3"/>
    <w:multiLevelType w:val="hybridMultilevel"/>
    <w:tmpl w:val="8FECBB8A"/>
    <w:lvl w:ilvl="0" w:tplc="A14A005E">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295273D"/>
    <w:multiLevelType w:val="multilevel"/>
    <w:tmpl w:val="36420E9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A01767D"/>
    <w:multiLevelType w:val="multilevel"/>
    <w:tmpl w:val="74427506"/>
    <w:lvl w:ilvl="0">
      <w:numFmt w:val="decimal"/>
      <w:lvlText w:val=""/>
      <w:lvlJc w:val="left"/>
    </w:lvl>
    <w:lvl w:ilvl="1">
      <w:numFmt w:val="decimal"/>
      <w:pStyle w:val="StyleNotesHeaderLeftLeft-008cm"/>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613097"/>
    <w:multiLevelType w:val="hybridMultilevel"/>
    <w:tmpl w:val="7F6CE61A"/>
    <w:lvl w:ilvl="0" w:tplc="A6582AF6">
      <w:start w:val="2"/>
      <w:numFmt w:val="bullet"/>
      <w:lvlText w:val="-"/>
      <w:lvlJc w:val="left"/>
      <w:pPr>
        <w:ind w:left="1012" w:hanging="360"/>
      </w:pPr>
      <w:rPr>
        <w:rFonts w:ascii="Arial" w:eastAsiaTheme="minorEastAsia" w:hAnsi="Arial" w:cs="Arial" w:hint="default"/>
      </w:rPr>
    </w:lvl>
    <w:lvl w:ilvl="1" w:tplc="0C090003" w:tentative="1">
      <w:start w:val="1"/>
      <w:numFmt w:val="bullet"/>
      <w:lvlText w:val="o"/>
      <w:lvlJc w:val="left"/>
      <w:pPr>
        <w:ind w:left="1732" w:hanging="360"/>
      </w:pPr>
      <w:rPr>
        <w:rFonts w:ascii="Courier New" w:hAnsi="Courier New" w:cs="Courier New" w:hint="default"/>
      </w:rPr>
    </w:lvl>
    <w:lvl w:ilvl="2" w:tplc="0C090005" w:tentative="1">
      <w:start w:val="1"/>
      <w:numFmt w:val="bullet"/>
      <w:lvlText w:val=""/>
      <w:lvlJc w:val="left"/>
      <w:pPr>
        <w:ind w:left="2452" w:hanging="360"/>
      </w:pPr>
      <w:rPr>
        <w:rFonts w:ascii="Wingdings" w:hAnsi="Wingdings" w:hint="default"/>
      </w:rPr>
    </w:lvl>
    <w:lvl w:ilvl="3" w:tplc="0C090001" w:tentative="1">
      <w:start w:val="1"/>
      <w:numFmt w:val="bullet"/>
      <w:lvlText w:val=""/>
      <w:lvlJc w:val="left"/>
      <w:pPr>
        <w:ind w:left="3172" w:hanging="360"/>
      </w:pPr>
      <w:rPr>
        <w:rFonts w:ascii="Symbol" w:hAnsi="Symbol" w:hint="default"/>
      </w:rPr>
    </w:lvl>
    <w:lvl w:ilvl="4" w:tplc="0C090003" w:tentative="1">
      <w:start w:val="1"/>
      <w:numFmt w:val="bullet"/>
      <w:lvlText w:val="o"/>
      <w:lvlJc w:val="left"/>
      <w:pPr>
        <w:ind w:left="3892" w:hanging="360"/>
      </w:pPr>
      <w:rPr>
        <w:rFonts w:ascii="Courier New" w:hAnsi="Courier New" w:cs="Courier New" w:hint="default"/>
      </w:rPr>
    </w:lvl>
    <w:lvl w:ilvl="5" w:tplc="0C090005" w:tentative="1">
      <w:start w:val="1"/>
      <w:numFmt w:val="bullet"/>
      <w:lvlText w:val=""/>
      <w:lvlJc w:val="left"/>
      <w:pPr>
        <w:ind w:left="4612" w:hanging="360"/>
      </w:pPr>
      <w:rPr>
        <w:rFonts w:ascii="Wingdings" w:hAnsi="Wingdings" w:hint="default"/>
      </w:rPr>
    </w:lvl>
    <w:lvl w:ilvl="6" w:tplc="0C090001" w:tentative="1">
      <w:start w:val="1"/>
      <w:numFmt w:val="bullet"/>
      <w:lvlText w:val=""/>
      <w:lvlJc w:val="left"/>
      <w:pPr>
        <w:ind w:left="5332" w:hanging="360"/>
      </w:pPr>
      <w:rPr>
        <w:rFonts w:ascii="Symbol" w:hAnsi="Symbol" w:hint="default"/>
      </w:rPr>
    </w:lvl>
    <w:lvl w:ilvl="7" w:tplc="0C090003" w:tentative="1">
      <w:start w:val="1"/>
      <w:numFmt w:val="bullet"/>
      <w:lvlText w:val="o"/>
      <w:lvlJc w:val="left"/>
      <w:pPr>
        <w:ind w:left="6052" w:hanging="360"/>
      </w:pPr>
      <w:rPr>
        <w:rFonts w:ascii="Courier New" w:hAnsi="Courier New" w:cs="Courier New" w:hint="default"/>
      </w:rPr>
    </w:lvl>
    <w:lvl w:ilvl="8" w:tplc="0C090005" w:tentative="1">
      <w:start w:val="1"/>
      <w:numFmt w:val="bullet"/>
      <w:lvlText w:val=""/>
      <w:lvlJc w:val="left"/>
      <w:pPr>
        <w:ind w:left="6772" w:hanging="360"/>
      </w:pPr>
      <w:rPr>
        <w:rFonts w:ascii="Wingdings" w:hAnsi="Wingdings" w:hint="default"/>
      </w:rPr>
    </w:lvl>
  </w:abstractNum>
  <w:abstractNum w:abstractNumId="43" w15:restartNumberingAfterBreak="0">
    <w:nsid w:val="72E921FA"/>
    <w:multiLevelType w:val="multilevel"/>
    <w:tmpl w:val="D7FEEA16"/>
    <w:styleLink w:val="CurrentList21"/>
    <w:lvl w:ilvl="0">
      <w:numFmt w:val="decimal"/>
      <w:pStyle w:val="NotesHeading-Level1"/>
      <w:lvlText w:val=""/>
      <w:lvlJc w:val="left"/>
    </w:lvl>
    <w:lvl w:ilvl="1">
      <w:numFmt w:val="decimal"/>
      <w:pStyle w:val="NotesHeading-Lev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B7D2D2E"/>
    <w:multiLevelType w:val="hybridMultilevel"/>
    <w:tmpl w:val="E46EF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7C0D5033"/>
    <w:multiLevelType w:val="hybridMultilevel"/>
    <w:tmpl w:val="FC248F0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32789629">
    <w:abstractNumId w:val="9"/>
  </w:num>
  <w:num w:numId="2" w16cid:durableId="1110704710">
    <w:abstractNumId w:val="30"/>
  </w:num>
  <w:num w:numId="3" w16cid:durableId="925384782">
    <w:abstractNumId w:val="34"/>
  </w:num>
  <w:num w:numId="4" w16cid:durableId="171071629">
    <w:abstractNumId w:val="43"/>
  </w:num>
  <w:num w:numId="5" w16cid:durableId="651447553">
    <w:abstractNumId w:val="37"/>
  </w:num>
  <w:num w:numId="6" w16cid:durableId="712462835">
    <w:abstractNumId w:val="18"/>
  </w:num>
  <w:num w:numId="7" w16cid:durableId="175535857">
    <w:abstractNumId w:val="11"/>
  </w:num>
  <w:num w:numId="8" w16cid:durableId="551119699">
    <w:abstractNumId w:val="40"/>
  </w:num>
  <w:num w:numId="9" w16cid:durableId="417217784">
    <w:abstractNumId w:val="35"/>
  </w:num>
  <w:num w:numId="10" w16cid:durableId="660235651">
    <w:abstractNumId w:val="16"/>
  </w:num>
  <w:num w:numId="11" w16cid:durableId="191383266">
    <w:abstractNumId w:val="15"/>
  </w:num>
  <w:num w:numId="12" w16cid:durableId="1889953691">
    <w:abstractNumId w:val="3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13" w16cid:durableId="163521381">
    <w:abstractNumId w:val="31"/>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14" w16cid:durableId="656422311">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5" w16cid:durableId="1363046728">
    <w:abstractNumId w:val="31"/>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16" w16cid:durableId="832649049">
    <w:abstractNumId w:val="3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7" w16cid:durableId="1781490526">
    <w:abstractNumId w:val="31"/>
    <w:lvlOverride w:ilvl="0">
      <w:startOverride w:val="4"/>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18" w16cid:durableId="146299113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9" w16cid:durableId="1348950177">
    <w:abstractNumId w:val="3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0" w16cid:durableId="106627675">
    <w:abstractNumId w:val="3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1" w16cid:durableId="388311687">
    <w:abstractNumId w:val="31"/>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670372739">
    <w:abstractNumId w:val="31"/>
    <w:lvlOverride w:ilvl="0">
      <w:startOverride w:val="5"/>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23" w16cid:durableId="1006130839">
    <w:abstractNumId w:val="31"/>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4" w16cid:durableId="393046693">
    <w:abstractNumId w:val="31"/>
    <w:lvlOverride w:ilvl="0">
      <w:startOverride w:val="5"/>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5" w16cid:durableId="1518349145">
    <w:abstractNumId w:val="31"/>
    <w:lvlOverride w:ilvl="0">
      <w:startOverride w:val="6"/>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26" w16cid:durableId="60981008">
    <w:abstractNumId w:val="31"/>
    <w:lvlOverride w:ilvl="0">
      <w:lvl w:ilvl="0">
        <w:start w:val="1"/>
        <w:numFmt w:val="decimal"/>
        <w:pStyle w:val="FGCHEADING1"/>
        <w:lvlText w:val="%1"/>
        <w:lvlJc w:val="left"/>
        <w:pPr>
          <w:ind w:left="635" w:hanging="635"/>
        </w:pPr>
        <w:rPr>
          <w:rFonts w:hint="default"/>
        </w:rPr>
      </w:lvl>
    </w:lvlOverride>
    <w:lvlOverride w:ilvl="1">
      <w:lvl w:ilvl="1">
        <w:start w:val="3"/>
        <w:numFmt w:val="decimal"/>
        <w:pStyle w:val="FGCHEADING2"/>
        <w:lvlText w:val="%1.%2"/>
        <w:lvlJc w:val="left"/>
        <w:pPr>
          <w:ind w:left="822" w:hanging="680"/>
        </w:pPr>
        <w:rPr>
          <w:rFonts w:hint="default"/>
        </w:rPr>
      </w:lvl>
    </w:lvlOverride>
    <w:lvlOverride w:ilvl="2">
      <w:lvl w:ilvl="2">
        <w:start w:val="4"/>
        <w:numFmt w:val="decimal"/>
        <w:pStyle w:val="FGCHEADING3"/>
        <w:lvlText w:val="%1.%2.%3"/>
        <w:lvlJc w:val="left"/>
        <w:pPr>
          <w:ind w:left="0" w:firstLine="0"/>
        </w:pPr>
        <w:rPr>
          <w:rFonts w:hint="default"/>
        </w:rPr>
      </w:lvl>
    </w:lvlOverride>
    <w:lvlOverride w:ilvl="3">
      <w:lvl w:ilvl="3">
        <w:start w:val="1"/>
        <w:numFmt w:val="decimal"/>
        <w:pStyle w:val="FGCHEADING5"/>
        <w:lvlText w:val=""/>
        <w:lvlJc w:val="left"/>
        <w:pPr>
          <w:ind w:left="0" w:firstLine="0"/>
        </w:pPr>
        <w:rPr>
          <w:rFonts w:hint="default"/>
        </w:rPr>
      </w:lvl>
    </w:lvlOverride>
    <w:lvlOverride w:ilvl="4">
      <w:lvl w:ilvl="4">
        <w:start w:val="1"/>
        <w:numFmt w:val="decimal"/>
        <w:lvlText w:val=""/>
        <w:lvlJc w:val="left"/>
        <w:pPr>
          <w:ind w:left="0" w:firstLine="0"/>
        </w:pPr>
        <w:rPr>
          <w:rFonts w:hint="default"/>
        </w:rPr>
      </w:lvl>
    </w:lvlOverride>
    <w:lvlOverride w:ilvl="5">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27" w16cid:durableId="320817244">
    <w:abstractNumId w:val="25"/>
  </w:num>
  <w:num w:numId="28" w16cid:durableId="226651252">
    <w:abstractNumId w:val="12"/>
  </w:num>
  <w:num w:numId="29" w16cid:durableId="1245065431">
    <w:abstractNumId w:val="24"/>
  </w:num>
  <w:num w:numId="30" w16cid:durableId="294919718">
    <w:abstractNumId w:val="33"/>
  </w:num>
  <w:num w:numId="31" w16cid:durableId="931744036">
    <w:abstractNumId w:val="41"/>
  </w:num>
  <w:num w:numId="32" w16cid:durableId="2098862911">
    <w:abstractNumId w:val="46"/>
  </w:num>
  <w:num w:numId="33" w16cid:durableId="1847555536">
    <w:abstractNumId w:val="29"/>
  </w:num>
  <w:num w:numId="34" w16cid:durableId="1212494199">
    <w:abstractNumId w:val="31"/>
    <w:lvlOverride w:ilvl="0">
      <w:startOverride w:val="3"/>
      <w:lvl w:ilvl="0">
        <w:start w:val="3"/>
        <w:numFmt w:val="decimal"/>
        <w:pStyle w:val="FGCHEADING1"/>
        <w:lvlText w:val="%1"/>
        <w:lvlJc w:val="left"/>
        <w:pPr>
          <w:ind w:left="635" w:hanging="635"/>
        </w:pPr>
        <w:rPr>
          <w:rFonts w:hint="default"/>
        </w:rPr>
      </w:lvl>
    </w:lvlOverride>
    <w:lvlOverride w:ilvl="1">
      <w:startOverride w:val="2"/>
      <w:lvl w:ilvl="1">
        <w:start w:val="2"/>
        <w:numFmt w:val="decimal"/>
        <w:pStyle w:val="FGCHEADING2"/>
        <w:lvlText w:val="%1.%2"/>
        <w:lvlJc w:val="left"/>
        <w:pPr>
          <w:ind w:left="680" w:hanging="680"/>
        </w:pPr>
        <w:rPr>
          <w:rFonts w:hint="default"/>
        </w:rPr>
      </w:lvl>
    </w:lvlOverride>
    <w:lvlOverride w:ilvl="2">
      <w:startOverride w:val="1"/>
      <w:lvl w:ilvl="2">
        <w:start w:val="1"/>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35" w16cid:durableId="202863521">
    <w:abstractNumId w:val="22"/>
  </w:num>
  <w:num w:numId="36" w16cid:durableId="16005262">
    <w:abstractNumId w:val="36"/>
  </w:num>
  <w:num w:numId="37" w16cid:durableId="1960066074">
    <w:abstractNumId w:val="26"/>
  </w:num>
  <w:num w:numId="38" w16cid:durableId="156773960">
    <w:abstractNumId w:val="42"/>
  </w:num>
  <w:num w:numId="39" w16cid:durableId="3598234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29614558">
    <w:abstractNumId w:val="23"/>
  </w:num>
  <w:num w:numId="41" w16cid:durableId="109054094">
    <w:abstractNumId w:val="20"/>
  </w:num>
  <w:num w:numId="42" w16cid:durableId="442310933">
    <w:abstractNumId w:val="39"/>
  </w:num>
  <w:num w:numId="43" w16cid:durableId="1069308554">
    <w:abstractNumId w:val="45"/>
  </w:num>
  <w:num w:numId="44" w16cid:durableId="161118666">
    <w:abstractNumId w:val="44"/>
  </w:num>
  <w:num w:numId="45" w16cid:durableId="806439412">
    <w:abstractNumId w:val="28"/>
  </w:num>
  <w:num w:numId="46" w16cid:durableId="1162693379">
    <w:abstractNumId w:val="27"/>
  </w:num>
  <w:num w:numId="47" w16cid:durableId="1789084302">
    <w:abstractNumId w:val="21"/>
  </w:num>
  <w:num w:numId="48" w16cid:durableId="1972711950">
    <w:abstractNumId w:val="13"/>
  </w:num>
  <w:num w:numId="49" w16cid:durableId="505023365">
    <w:abstractNumId w:val="38"/>
  </w:num>
  <w:num w:numId="50" w16cid:durableId="1040319595">
    <w:abstractNumId w:val="31"/>
    <w:lvlOverride w:ilvl="0">
      <w:startOverride w:val="4"/>
    </w:lvlOverride>
    <w:lvlOverride w:ilvl="1">
      <w:startOverride w:val="1"/>
    </w:lvlOverride>
  </w:num>
  <w:num w:numId="51" w16cid:durableId="671447462">
    <w:abstractNumId w:val="31"/>
    <w:lvlOverride w:ilvl="0">
      <w:startOverride w:val="4"/>
    </w:lvlOverride>
    <w:lvlOverride w:ilvl="1">
      <w:startOverride w:val="1"/>
    </w:lvlOverride>
  </w:num>
  <w:num w:numId="52" w16cid:durableId="1644844364">
    <w:abstractNumId w:val="31"/>
    <w:lvlOverride w:ilvl="0">
      <w:startOverride w:val="4"/>
    </w:lvlOverride>
    <w:lvlOverride w:ilvl="1">
      <w:startOverride w:val="1"/>
    </w:lvlOverride>
  </w:num>
  <w:num w:numId="53" w16cid:durableId="1276673337">
    <w:abstractNumId w:val="31"/>
    <w:lvlOverride w:ilvl="0">
      <w:startOverride w:val="4"/>
    </w:lvlOverride>
    <w:lvlOverride w:ilvl="1">
      <w:startOverride w:val="1"/>
    </w:lvlOverride>
  </w:num>
  <w:num w:numId="54" w16cid:durableId="1361666070">
    <w:abstractNumId w:val="31"/>
    <w:lvlOverride w:ilvl="0">
      <w:startOverride w:val="4"/>
    </w:lvlOverride>
    <w:lvlOverride w:ilvl="1">
      <w:startOverride w:val="1"/>
    </w:lvlOverride>
  </w:num>
  <w:num w:numId="55" w16cid:durableId="1286892045">
    <w:abstractNumId w:val="31"/>
    <w:lvlOverride w:ilvl="0">
      <w:startOverride w:val="4"/>
    </w:lvlOverride>
    <w:lvlOverride w:ilvl="1">
      <w:startOverride w:val="1"/>
    </w:lvlOverride>
  </w:num>
  <w:num w:numId="56" w16cid:durableId="624193352">
    <w:abstractNumId w:val="31"/>
    <w:lvlOverride w:ilvl="0">
      <w:startOverride w:val="4"/>
    </w:lvlOverride>
    <w:lvlOverride w:ilvl="1">
      <w:startOverride w:val="1"/>
    </w:lvlOverride>
  </w:num>
  <w:num w:numId="57" w16cid:durableId="978147990">
    <w:abstractNumId w:val="31"/>
    <w:lvlOverride w:ilvl="0">
      <w:startOverride w:val="4"/>
    </w:lvlOverride>
    <w:lvlOverride w:ilvl="1">
      <w:startOverride w:val="1"/>
    </w:lvlOverride>
  </w:num>
  <w:num w:numId="58" w16cid:durableId="876627101">
    <w:abstractNumId w:val="17"/>
  </w:num>
  <w:num w:numId="59" w16cid:durableId="739206823">
    <w:abstractNumId w:val="32"/>
  </w:num>
  <w:num w:numId="60" w16cid:durableId="64841659">
    <w:abstractNumId w:val="14"/>
  </w:num>
  <w:num w:numId="61" w16cid:durableId="516120019">
    <w:abstractNumId w:val="7"/>
  </w:num>
  <w:num w:numId="62" w16cid:durableId="713848394">
    <w:abstractNumId w:val="6"/>
  </w:num>
  <w:num w:numId="63" w16cid:durableId="1508472881">
    <w:abstractNumId w:val="5"/>
  </w:num>
  <w:num w:numId="64" w16cid:durableId="405687307">
    <w:abstractNumId w:val="4"/>
  </w:num>
  <w:num w:numId="65" w16cid:durableId="1030453670">
    <w:abstractNumId w:val="8"/>
  </w:num>
  <w:num w:numId="66" w16cid:durableId="2071883501">
    <w:abstractNumId w:val="3"/>
  </w:num>
  <w:num w:numId="67" w16cid:durableId="1327170564">
    <w:abstractNumId w:val="2"/>
  </w:num>
  <w:num w:numId="68" w16cid:durableId="1142579444">
    <w:abstractNumId w:val="1"/>
  </w:num>
  <w:num w:numId="69" w16cid:durableId="507477216">
    <w:abstractNumId w:val="0"/>
  </w:num>
  <w:num w:numId="70" w16cid:durableId="1958826579">
    <w:abstractNumId w:val="31"/>
    <w:lvlOverride w:ilvl="0">
      <w:startOverride w:val="3"/>
      <w:lvl w:ilvl="0">
        <w:start w:val="3"/>
        <w:numFmt w:val="decimal"/>
        <w:pStyle w:val="FGCHEADING1"/>
        <w:lvlText w:val="%1"/>
        <w:lvlJc w:val="left"/>
        <w:pPr>
          <w:ind w:left="635" w:hanging="635"/>
        </w:pPr>
        <w:rPr>
          <w:rFonts w:hint="default"/>
        </w:rPr>
      </w:lvl>
    </w:lvlOverride>
    <w:lvlOverride w:ilvl="1">
      <w:startOverride w:val="3"/>
      <w:lvl w:ilvl="1">
        <w:start w:val="3"/>
        <w:numFmt w:val="decimal"/>
        <w:pStyle w:val="FGCHEADING2"/>
        <w:lvlText w:val="%1.%2"/>
        <w:lvlJc w:val="left"/>
        <w:pPr>
          <w:ind w:left="680" w:hanging="680"/>
        </w:pPr>
        <w:rPr>
          <w:rFonts w:hint="default"/>
        </w:rPr>
      </w:lvl>
    </w:lvlOverride>
    <w:lvlOverride w:ilvl="2">
      <w:startOverride w:val="1"/>
      <w:lvl w:ilvl="2">
        <w:start w:val="1"/>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1" w16cid:durableId="1375423773">
    <w:abstractNumId w:val="31"/>
    <w:lvlOverride w:ilvl="0">
      <w:startOverride w:val="4"/>
      <w:lvl w:ilvl="0">
        <w:start w:val="4"/>
        <w:numFmt w:val="decimal"/>
        <w:pStyle w:val="FGCHEADING1"/>
        <w:lvlText w:val="%1"/>
        <w:lvlJc w:val="left"/>
        <w:pPr>
          <w:ind w:left="635" w:hanging="635"/>
        </w:pPr>
        <w:rPr>
          <w:rFonts w:hint="default"/>
        </w:rPr>
      </w:lvl>
    </w:lvlOverride>
    <w:lvlOverride w:ilvl="1">
      <w:startOverride w:val="5"/>
      <w:lvl w:ilvl="1">
        <w:start w:val="5"/>
        <w:numFmt w:val="decimal"/>
        <w:pStyle w:val="FGCHEADING2"/>
        <w:lvlText w:val="%1.%2"/>
        <w:lvlJc w:val="left"/>
        <w:pPr>
          <w:ind w:left="680" w:hanging="680"/>
        </w:pPr>
        <w:rPr>
          <w:rFonts w:hint="default"/>
        </w:rPr>
      </w:lvl>
    </w:lvlOverride>
    <w:lvlOverride w:ilvl="2">
      <w:startOverride w:val="1"/>
      <w:lvl w:ilvl="2">
        <w:start w:val="1"/>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2" w16cid:durableId="1736394657">
    <w:abstractNumId w:val="31"/>
    <w:lvlOverride w:ilvl="0">
      <w:startOverride w:val="4"/>
      <w:lvl w:ilvl="0">
        <w:start w:val="4"/>
        <w:numFmt w:val="decimal"/>
        <w:pStyle w:val="FGCHEADING1"/>
        <w:lvlText w:val="%1"/>
        <w:lvlJc w:val="left"/>
        <w:pPr>
          <w:ind w:left="635" w:hanging="635"/>
        </w:pPr>
        <w:rPr>
          <w:rFonts w:hint="default"/>
        </w:rPr>
      </w:lvl>
    </w:lvlOverride>
    <w:lvlOverride w:ilvl="1">
      <w:startOverride w:val="6"/>
      <w:lvl w:ilvl="1">
        <w:start w:val="6"/>
        <w:numFmt w:val="decimal"/>
        <w:pStyle w:val="FGCHEADING2"/>
        <w:lvlText w:val="%1.%2"/>
        <w:lvlJc w:val="left"/>
        <w:pPr>
          <w:ind w:left="680" w:hanging="680"/>
        </w:pPr>
        <w:rPr>
          <w:rFonts w:hint="default"/>
        </w:rPr>
      </w:lvl>
    </w:lvlOverride>
    <w:lvlOverride w:ilvl="2">
      <w:startOverride w:val="1"/>
      <w:lvl w:ilvl="2">
        <w:start w:val="1"/>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3" w16cid:durableId="1036849671">
    <w:abstractNumId w:val="19"/>
  </w:num>
  <w:num w:numId="74" w16cid:durableId="1342077920">
    <w:abstractNumId w:val="31"/>
    <w:lvlOverride w:ilvl="0">
      <w:startOverride w:val="1"/>
      <w:lvl w:ilvl="0">
        <w:start w:val="1"/>
        <w:numFmt w:val="decimal"/>
        <w:pStyle w:val="FGCHEADING1"/>
        <w:lvlText w:val="%1"/>
        <w:lvlJc w:val="left"/>
        <w:pPr>
          <w:ind w:left="635" w:hanging="635"/>
        </w:pPr>
        <w:rPr>
          <w:rFonts w:hint="default"/>
        </w:rPr>
      </w:lvl>
    </w:lvlOverride>
    <w:lvlOverride w:ilvl="1">
      <w:startOverride w:val="1"/>
      <w:lvl w:ilvl="1">
        <w:start w:val="1"/>
        <w:numFmt w:val="decimal"/>
        <w:pStyle w:val="FGCHEADING2"/>
        <w:lvlText w:val="%1.%2"/>
        <w:lvlJc w:val="left"/>
        <w:pPr>
          <w:ind w:left="822" w:hanging="680"/>
        </w:pPr>
        <w:rPr>
          <w:rFonts w:hint="default"/>
        </w:rPr>
      </w:lvl>
    </w:lvlOverride>
    <w:lvlOverride w:ilvl="2">
      <w:startOverride w:val="4"/>
      <w:lvl w:ilvl="2">
        <w:start w:val="4"/>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5" w16cid:durableId="2140493113">
    <w:abstractNumId w:val="10"/>
  </w:num>
  <w:num w:numId="76" w16cid:durableId="1343242227">
    <w:abstractNumId w:val="31"/>
    <w:lvlOverride w:ilvl="0">
      <w:startOverride w:val="5"/>
      <w:lvl w:ilvl="0">
        <w:start w:val="5"/>
        <w:numFmt w:val="decimal"/>
        <w:pStyle w:val="FGCHEADING1"/>
        <w:lvlText w:val="%1"/>
        <w:lvlJc w:val="left"/>
        <w:pPr>
          <w:ind w:left="635" w:hanging="635"/>
        </w:pPr>
        <w:rPr>
          <w:rFonts w:hint="default"/>
        </w:rPr>
      </w:lvl>
    </w:lvlOverride>
    <w:lvlOverride w:ilvl="1">
      <w:startOverride w:val="14"/>
      <w:lvl w:ilvl="1">
        <w:start w:val="14"/>
        <w:numFmt w:val="decimal"/>
        <w:pStyle w:val="FGCHEADING2"/>
        <w:lvlText w:val="%1.%2"/>
        <w:lvlJc w:val="left"/>
        <w:pPr>
          <w:ind w:left="822" w:hanging="680"/>
        </w:pPr>
        <w:rPr>
          <w:rFonts w:hint="default"/>
        </w:rPr>
      </w:lvl>
    </w:lvlOverride>
    <w:lvlOverride w:ilvl="2">
      <w:startOverride w:val="1"/>
      <w:lvl w:ilvl="2">
        <w:start w:val="1"/>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77" w16cid:durableId="1784808227">
    <w:abstractNumId w:val="31"/>
    <w:lvlOverride w:ilvl="0">
      <w:startOverride w:val="5"/>
      <w:lvl w:ilvl="0">
        <w:start w:val="5"/>
        <w:numFmt w:val="decimal"/>
        <w:pStyle w:val="FGCHEADING1"/>
        <w:lvlText w:val="%1"/>
        <w:lvlJc w:val="left"/>
        <w:pPr>
          <w:ind w:left="635" w:hanging="635"/>
        </w:pPr>
        <w:rPr>
          <w:rFonts w:hint="default"/>
        </w:rPr>
      </w:lvl>
    </w:lvlOverride>
    <w:lvlOverride w:ilvl="1">
      <w:startOverride w:val="14"/>
      <w:lvl w:ilvl="1">
        <w:start w:val="14"/>
        <w:numFmt w:val="decimal"/>
        <w:pStyle w:val="FGCHEADING2"/>
        <w:lvlText w:val="%1.%2"/>
        <w:lvlJc w:val="left"/>
        <w:pPr>
          <w:ind w:left="822" w:hanging="680"/>
        </w:pPr>
        <w:rPr>
          <w:rFonts w:hint="default"/>
        </w:rPr>
      </w:lvl>
    </w:lvlOverride>
    <w:lvlOverride w:ilvl="2">
      <w:startOverride w:val="2"/>
      <w:lvl w:ilvl="2">
        <w:start w:val="2"/>
        <w:numFmt w:val="decimal"/>
        <w:pStyle w:val="FGCHEADING3"/>
        <w:lvlText w:val="%1.%2.%3"/>
        <w:lvlJc w:val="left"/>
        <w:pPr>
          <w:ind w:left="0" w:firstLine="0"/>
        </w:pPr>
        <w:rPr>
          <w:rFonts w:hint="default"/>
        </w:rPr>
      </w:lvl>
    </w:lvlOverride>
    <w:lvlOverride w:ilvl="3">
      <w:startOverride w:val="1"/>
      <w:lvl w:ilvl="3">
        <w:start w:val="1"/>
        <w:numFmt w:val="decimal"/>
        <w:pStyle w:val="FGCHEADING5"/>
        <w:lvlText w:val=""/>
        <w:lvlJc w:val="left"/>
        <w:pPr>
          <w:ind w:left="0" w:firstLine="0"/>
        </w:pPr>
        <w:rPr>
          <w:rFonts w:hint="default"/>
        </w:rPr>
      </w:lvl>
    </w:lvlOverride>
    <w:lvlOverride w:ilvl="4">
      <w:startOverride w:val="1"/>
      <w:lvl w:ilvl="4">
        <w:start w:val="1"/>
        <w:numFmt w:val="decimal"/>
        <w:lvlText w:val=""/>
        <w:lvlJc w:val="left"/>
        <w:pPr>
          <w:ind w:left="0" w:firstLine="0"/>
        </w:pPr>
        <w:rPr>
          <w:rFonts w:hint="default"/>
        </w:rPr>
      </w:lvl>
    </w:lvlOverride>
    <w:lvlOverride w:ilvl="5">
      <w:startOverride w:val="1"/>
      <w:lvl w:ilvl="5">
        <w:start w:val="1"/>
        <w:numFmt w:val="decimal"/>
        <w:pStyle w:val="FGCNUMBERED"/>
        <w:lvlText w:val="%6."/>
        <w:lvlJc w:val="left"/>
        <w:pPr>
          <w:ind w:left="1134" w:hanging="499"/>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720"/>
  <w:defaultTableStyle w:val="GridTable2-Accent3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FF2"/>
    <w:rsid w:val="0000059F"/>
    <w:rsid w:val="00000890"/>
    <w:rsid w:val="00000B36"/>
    <w:rsid w:val="000013D5"/>
    <w:rsid w:val="0000189E"/>
    <w:rsid w:val="000020E9"/>
    <w:rsid w:val="000021F0"/>
    <w:rsid w:val="000027F0"/>
    <w:rsid w:val="000032E7"/>
    <w:rsid w:val="00003654"/>
    <w:rsid w:val="00003DFD"/>
    <w:rsid w:val="00003FB0"/>
    <w:rsid w:val="000040ED"/>
    <w:rsid w:val="0000443E"/>
    <w:rsid w:val="00005460"/>
    <w:rsid w:val="0000699E"/>
    <w:rsid w:val="00006FC9"/>
    <w:rsid w:val="00010AE2"/>
    <w:rsid w:val="00010E2B"/>
    <w:rsid w:val="00012034"/>
    <w:rsid w:val="000122BC"/>
    <w:rsid w:val="00012639"/>
    <w:rsid w:val="00012AEB"/>
    <w:rsid w:val="000137CD"/>
    <w:rsid w:val="0001396C"/>
    <w:rsid w:val="00013BF6"/>
    <w:rsid w:val="000145A8"/>
    <w:rsid w:val="000151C8"/>
    <w:rsid w:val="00015301"/>
    <w:rsid w:val="00015583"/>
    <w:rsid w:val="00015729"/>
    <w:rsid w:val="000157F0"/>
    <w:rsid w:val="00015844"/>
    <w:rsid w:val="000158AC"/>
    <w:rsid w:val="00015F3C"/>
    <w:rsid w:val="0001603E"/>
    <w:rsid w:val="00016372"/>
    <w:rsid w:val="00016A91"/>
    <w:rsid w:val="0001717F"/>
    <w:rsid w:val="00017956"/>
    <w:rsid w:val="00017C32"/>
    <w:rsid w:val="00017F9E"/>
    <w:rsid w:val="000204F5"/>
    <w:rsid w:val="00020CAF"/>
    <w:rsid w:val="000218B3"/>
    <w:rsid w:val="0002207E"/>
    <w:rsid w:val="00022A31"/>
    <w:rsid w:val="00022CC5"/>
    <w:rsid w:val="00022D18"/>
    <w:rsid w:val="00023826"/>
    <w:rsid w:val="00023CD4"/>
    <w:rsid w:val="0002420E"/>
    <w:rsid w:val="00024324"/>
    <w:rsid w:val="00024A9C"/>
    <w:rsid w:val="00024D3D"/>
    <w:rsid w:val="00024EF6"/>
    <w:rsid w:val="00025463"/>
    <w:rsid w:val="0002619C"/>
    <w:rsid w:val="00026414"/>
    <w:rsid w:val="00026671"/>
    <w:rsid w:val="00026966"/>
    <w:rsid w:val="0002698B"/>
    <w:rsid w:val="00026FF0"/>
    <w:rsid w:val="000270C0"/>
    <w:rsid w:val="000273B0"/>
    <w:rsid w:val="00027521"/>
    <w:rsid w:val="00027F14"/>
    <w:rsid w:val="00030126"/>
    <w:rsid w:val="0003034F"/>
    <w:rsid w:val="00030804"/>
    <w:rsid w:val="0003085B"/>
    <w:rsid w:val="00030FE7"/>
    <w:rsid w:val="0003114E"/>
    <w:rsid w:val="000311EE"/>
    <w:rsid w:val="00031A6C"/>
    <w:rsid w:val="00031F04"/>
    <w:rsid w:val="00032078"/>
    <w:rsid w:val="0003217A"/>
    <w:rsid w:val="00032704"/>
    <w:rsid w:val="00032C84"/>
    <w:rsid w:val="00032F0D"/>
    <w:rsid w:val="000347DE"/>
    <w:rsid w:val="00034A63"/>
    <w:rsid w:val="00034EE3"/>
    <w:rsid w:val="0003559C"/>
    <w:rsid w:val="000355A7"/>
    <w:rsid w:val="00035A35"/>
    <w:rsid w:val="00036DB6"/>
    <w:rsid w:val="00036ECB"/>
    <w:rsid w:val="000377DE"/>
    <w:rsid w:val="00040A9B"/>
    <w:rsid w:val="0004135C"/>
    <w:rsid w:val="0004139F"/>
    <w:rsid w:val="00041520"/>
    <w:rsid w:val="000420BE"/>
    <w:rsid w:val="000422FF"/>
    <w:rsid w:val="00042808"/>
    <w:rsid w:val="000432FD"/>
    <w:rsid w:val="00043584"/>
    <w:rsid w:val="00043635"/>
    <w:rsid w:val="00043843"/>
    <w:rsid w:val="000439D4"/>
    <w:rsid w:val="00043BEE"/>
    <w:rsid w:val="00044186"/>
    <w:rsid w:val="000445AE"/>
    <w:rsid w:val="000445EA"/>
    <w:rsid w:val="00044C6D"/>
    <w:rsid w:val="00044C91"/>
    <w:rsid w:val="0004525E"/>
    <w:rsid w:val="0004564D"/>
    <w:rsid w:val="00046314"/>
    <w:rsid w:val="00046C58"/>
    <w:rsid w:val="000470CD"/>
    <w:rsid w:val="00047C5D"/>
    <w:rsid w:val="00047EBD"/>
    <w:rsid w:val="000501B7"/>
    <w:rsid w:val="0005088C"/>
    <w:rsid w:val="00050CA4"/>
    <w:rsid w:val="00050FCC"/>
    <w:rsid w:val="0005179C"/>
    <w:rsid w:val="00051FAD"/>
    <w:rsid w:val="00052A18"/>
    <w:rsid w:val="00052A29"/>
    <w:rsid w:val="00052AE7"/>
    <w:rsid w:val="00053665"/>
    <w:rsid w:val="00053F89"/>
    <w:rsid w:val="00054294"/>
    <w:rsid w:val="00054B11"/>
    <w:rsid w:val="000552A7"/>
    <w:rsid w:val="00056262"/>
    <w:rsid w:val="00057425"/>
    <w:rsid w:val="00057880"/>
    <w:rsid w:val="000578C9"/>
    <w:rsid w:val="00057F59"/>
    <w:rsid w:val="000600F9"/>
    <w:rsid w:val="00060546"/>
    <w:rsid w:val="00061235"/>
    <w:rsid w:val="00062026"/>
    <w:rsid w:val="00062D4A"/>
    <w:rsid w:val="00063D1A"/>
    <w:rsid w:val="00063F13"/>
    <w:rsid w:val="00065867"/>
    <w:rsid w:val="00065D9D"/>
    <w:rsid w:val="000660B7"/>
    <w:rsid w:val="0006642F"/>
    <w:rsid w:val="000665DD"/>
    <w:rsid w:val="00066AAA"/>
    <w:rsid w:val="000671B8"/>
    <w:rsid w:val="00070203"/>
    <w:rsid w:val="00070597"/>
    <w:rsid w:val="00070F3C"/>
    <w:rsid w:val="00071653"/>
    <w:rsid w:val="00071EE0"/>
    <w:rsid w:val="000720A0"/>
    <w:rsid w:val="000723FB"/>
    <w:rsid w:val="00072408"/>
    <w:rsid w:val="00073B6A"/>
    <w:rsid w:val="000741F8"/>
    <w:rsid w:val="00074B79"/>
    <w:rsid w:val="00074D5E"/>
    <w:rsid w:val="0007554B"/>
    <w:rsid w:val="00075B0B"/>
    <w:rsid w:val="000769EA"/>
    <w:rsid w:val="00076D47"/>
    <w:rsid w:val="00077234"/>
    <w:rsid w:val="00077450"/>
    <w:rsid w:val="0008061F"/>
    <w:rsid w:val="00080B05"/>
    <w:rsid w:val="00080D3F"/>
    <w:rsid w:val="00081555"/>
    <w:rsid w:val="0008278F"/>
    <w:rsid w:val="000835AF"/>
    <w:rsid w:val="00083831"/>
    <w:rsid w:val="00083D2F"/>
    <w:rsid w:val="0008491D"/>
    <w:rsid w:val="00084A73"/>
    <w:rsid w:val="00085343"/>
    <w:rsid w:val="0008570E"/>
    <w:rsid w:val="00085D7A"/>
    <w:rsid w:val="00086009"/>
    <w:rsid w:val="00086129"/>
    <w:rsid w:val="000861EF"/>
    <w:rsid w:val="000866FB"/>
    <w:rsid w:val="00087615"/>
    <w:rsid w:val="00087D14"/>
    <w:rsid w:val="0009001C"/>
    <w:rsid w:val="00090E90"/>
    <w:rsid w:val="00091385"/>
    <w:rsid w:val="00091E9A"/>
    <w:rsid w:val="00092130"/>
    <w:rsid w:val="000921B6"/>
    <w:rsid w:val="00092A43"/>
    <w:rsid w:val="00093311"/>
    <w:rsid w:val="00094A10"/>
    <w:rsid w:val="00095152"/>
    <w:rsid w:val="000958A0"/>
    <w:rsid w:val="00096D2C"/>
    <w:rsid w:val="000972D2"/>
    <w:rsid w:val="00097515"/>
    <w:rsid w:val="00097530"/>
    <w:rsid w:val="0009761D"/>
    <w:rsid w:val="00097708"/>
    <w:rsid w:val="00097752"/>
    <w:rsid w:val="00097ED6"/>
    <w:rsid w:val="000A017C"/>
    <w:rsid w:val="000A04E3"/>
    <w:rsid w:val="000A13DC"/>
    <w:rsid w:val="000A2A88"/>
    <w:rsid w:val="000A435A"/>
    <w:rsid w:val="000A50DE"/>
    <w:rsid w:val="000A590E"/>
    <w:rsid w:val="000A691E"/>
    <w:rsid w:val="000A6D5F"/>
    <w:rsid w:val="000B02D9"/>
    <w:rsid w:val="000B0D41"/>
    <w:rsid w:val="000B0F0E"/>
    <w:rsid w:val="000B1036"/>
    <w:rsid w:val="000B1585"/>
    <w:rsid w:val="000B2171"/>
    <w:rsid w:val="000B2299"/>
    <w:rsid w:val="000B22CF"/>
    <w:rsid w:val="000B23FB"/>
    <w:rsid w:val="000B25D2"/>
    <w:rsid w:val="000B27DD"/>
    <w:rsid w:val="000B2820"/>
    <w:rsid w:val="000B2CDE"/>
    <w:rsid w:val="000B34D3"/>
    <w:rsid w:val="000B38FB"/>
    <w:rsid w:val="000B4F1F"/>
    <w:rsid w:val="000B5470"/>
    <w:rsid w:val="000B58FC"/>
    <w:rsid w:val="000B5BB4"/>
    <w:rsid w:val="000B619D"/>
    <w:rsid w:val="000B723A"/>
    <w:rsid w:val="000B77BA"/>
    <w:rsid w:val="000B79F7"/>
    <w:rsid w:val="000C051C"/>
    <w:rsid w:val="000C1111"/>
    <w:rsid w:val="000C1BFD"/>
    <w:rsid w:val="000C1D64"/>
    <w:rsid w:val="000C2372"/>
    <w:rsid w:val="000C2497"/>
    <w:rsid w:val="000C2603"/>
    <w:rsid w:val="000C2F89"/>
    <w:rsid w:val="000C336B"/>
    <w:rsid w:val="000C445B"/>
    <w:rsid w:val="000C45AD"/>
    <w:rsid w:val="000C45C7"/>
    <w:rsid w:val="000C4694"/>
    <w:rsid w:val="000C4D77"/>
    <w:rsid w:val="000C4F17"/>
    <w:rsid w:val="000C522A"/>
    <w:rsid w:val="000C5452"/>
    <w:rsid w:val="000C54D0"/>
    <w:rsid w:val="000C5908"/>
    <w:rsid w:val="000C5F3C"/>
    <w:rsid w:val="000C6020"/>
    <w:rsid w:val="000C64DB"/>
    <w:rsid w:val="000C6715"/>
    <w:rsid w:val="000C6AF1"/>
    <w:rsid w:val="000C6C3E"/>
    <w:rsid w:val="000C6E7B"/>
    <w:rsid w:val="000C7999"/>
    <w:rsid w:val="000D0566"/>
    <w:rsid w:val="000D0746"/>
    <w:rsid w:val="000D0BD1"/>
    <w:rsid w:val="000D0E4C"/>
    <w:rsid w:val="000D11EA"/>
    <w:rsid w:val="000D1EBA"/>
    <w:rsid w:val="000D26A2"/>
    <w:rsid w:val="000D2954"/>
    <w:rsid w:val="000D2F62"/>
    <w:rsid w:val="000D3174"/>
    <w:rsid w:val="000D3A39"/>
    <w:rsid w:val="000D3D7A"/>
    <w:rsid w:val="000D3DDB"/>
    <w:rsid w:val="000D3E9C"/>
    <w:rsid w:val="000D3F80"/>
    <w:rsid w:val="000D454C"/>
    <w:rsid w:val="000D4784"/>
    <w:rsid w:val="000D5783"/>
    <w:rsid w:val="000D58DB"/>
    <w:rsid w:val="000D5969"/>
    <w:rsid w:val="000D5A41"/>
    <w:rsid w:val="000D6976"/>
    <w:rsid w:val="000D710B"/>
    <w:rsid w:val="000D732D"/>
    <w:rsid w:val="000D79E8"/>
    <w:rsid w:val="000E0DD5"/>
    <w:rsid w:val="000E10F2"/>
    <w:rsid w:val="000E12A8"/>
    <w:rsid w:val="000E1639"/>
    <w:rsid w:val="000E1CA8"/>
    <w:rsid w:val="000E232C"/>
    <w:rsid w:val="000E28E1"/>
    <w:rsid w:val="000E2CCC"/>
    <w:rsid w:val="000E302A"/>
    <w:rsid w:val="000E319A"/>
    <w:rsid w:val="000E32CB"/>
    <w:rsid w:val="000E3811"/>
    <w:rsid w:val="000E3910"/>
    <w:rsid w:val="000E42EE"/>
    <w:rsid w:val="000E5234"/>
    <w:rsid w:val="000E5B15"/>
    <w:rsid w:val="000E5B25"/>
    <w:rsid w:val="000E5BB4"/>
    <w:rsid w:val="000E5F0D"/>
    <w:rsid w:val="000E678F"/>
    <w:rsid w:val="000E6C46"/>
    <w:rsid w:val="000E6D5F"/>
    <w:rsid w:val="000E6D7A"/>
    <w:rsid w:val="000E74E4"/>
    <w:rsid w:val="000E7B50"/>
    <w:rsid w:val="000F01E7"/>
    <w:rsid w:val="000F09D1"/>
    <w:rsid w:val="000F0B21"/>
    <w:rsid w:val="000F10A3"/>
    <w:rsid w:val="000F10A6"/>
    <w:rsid w:val="000F1CE4"/>
    <w:rsid w:val="000F1F22"/>
    <w:rsid w:val="000F2FF2"/>
    <w:rsid w:val="000F33D4"/>
    <w:rsid w:val="000F3B19"/>
    <w:rsid w:val="000F3E58"/>
    <w:rsid w:val="000F40A6"/>
    <w:rsid w:val="000F4D44"/>
    <w:rsid w:val="000F53C2"/>
    <w:rsid w:val="000F540C"/>
    <w:rsid w:val="000F5867"/>
    <w:rsid w:val="000F5887"/>
    <w:rsid w:val="000F64E7"/>
    <w:rsid w:val="000F691F"/>
    <w:rsid w:val="000F6EBD"/>
    <w:rsid w:val="000F7550"/>
    <w:rsid w:val="000F7DDF"/>
    <w:rsid w:val="00100137"/>
    <w:rsid w:val="0010032D"/>
    <w:rsid w:val="0010038A"/>
    <w:rsid w:val="001007AC"/>
    <w:rsid w:val="001007B5"/>
    <w:rsid w:val="00100F91"/>
    <w:rsid w:val="001020BD"/>
    <w:rsid w:val="001020CC"/>
    <w:rsid w:val="00102514"/>
    <w:rsid w:val="0010323E"/>
    <w:rsid w:val="001043AA"/>
    <w:rsid w:val="001047F5"/>
    <w:rsid w:val="00104E10"/>
    <w:rsid w:val="00104E3F"/>
    <w:rsid w:val="00105064"/>
    <w:rsid w:val="0010508E"/>
    <w:rsid w:val="00105859"/>
    <w:rsid w:val="001060CC"/>
    <w:rsid w:val="00106582"/>
    <w:rsid w:val="00106776"/>
    <w:rsid w:val="0010678E"/>
    <w:rsid w:val="00107397"/>
    <w:rsid w:val="0010775F"/>
    <w:rsid w:val="0010790E"/>
    <w:rsid w:val="001079EE"/>
    <w:rsid w:val="00107EA9"/>
    <w:rsid w:val="00107EBA"/>
    <w:rsid w:val="00110063"/>
    <w:rsid w:val="00110212"/>
    <w:rsid w:val="00110BCB"/>
    <w:rsid w:val="0011110F"/>
    <w:rsid w:val="0011139E"/>
    <w:rsid w:val="00111647"/>
    <w:rsid w:val="00111A55"/>
    <w:rsid w:val="00112A3E"/>
    <w:rsid w:val="00112CB0"/>
    <w:rsid w:val="001132E8"/>
    <w:rsid w:val="00113DFB"/>
    <w:rsid w:val="00113FAC"/>
    <w:rsid w:val="001141F6"/>
    <w:rsid w:val="001144A4"/>
    <w:rsid w:val="00114563"/>
    <w:rsid w:val="001146AF"/>
    <w:rsid w:val="00114FC1"/>
    <w:rsid w:val="001152D5"/>
    <w:rsid w:val="0011558A"/>
    <w:rsid w:val="00115608"/>
    <w:rsid w:val="00115613"/>
    <w:rsid w:val="0011586B"/>
    <w:rsid w:val="00115A7A"/>
    <w:rsid w:val="0011621A"/>
    <w:rsid w:val="00116F49"/>
    <w:rsid w:val="00117AC1"/>
    <w:rsid w:val="00117B1C"/>
    <w:rsid w:val="00120337"/>
    <w:rsid w:val="001206A6"/>
    <w:rsid w:val="001206C8"/>
    <w:rsid w:val="00120953"/>
    <w:rsid w:val="001213AB"/>
    <w:rsid w:val="00121B31"/>
    <w:rsid w:val="00121CEE"/>
    <w:rsid w:val="00122956"/>
    <w:rsid w:val="00122CBE"/>
    <w:rsid w:val="00122EA8"/>
    <w:rsid w:val="001230BB"/>
    <w:rsid w:val="001233B3"/>
    <w:rsid w:val="001233BF"/>
    <w:rsid w:val="001234AD"/>
    <w:rsid w:val="001237C8"/>
    <w:rsid w:val="00123D8F"/>
    <w:rsid w:val="00124BF7"/>
    <w:rsid w:val="00125069"/>
    <w:rsid w:val="00125269"/>
    <w:rsid w:val="001253B6"/>
    <w:rsid w:val="00125777"/>
    <w:rsid w:val="001267BC"/>
    <w:rsid w:val="00126894"/>
    <w:rsid w:val="00126C4D"/>
    <w:rsid w:val="00126E48"/>
    <w:rsid w:val="00126EF6"/>
    <w:rsid w:val="00126F6F"/>
    <w:rsid w:val="00127721"/>
    <w:rsid w:val="001278F9"/>
    <w:rsid w:val="00127FCB"/>
    <w:rsid w:val="00127FEA"/>
    <w:rsid w:val="001300A5"/>
    <w:rsid w:val="001300ED"/>
    <w:rsid w:val="001304D0"/>
    <w:rsid w:val="001311EF"/>
    <w:rsid w:val="0013244B"/>
    <w:rsid w:val="001326D2"/>
    <w:rsid w:val="0013284A"/>
    <w:rsid w:val="00132D38"/>
    <w:rsid w:val="001334DF"/>
    <w:rsid w:val="001336A0"/>
    <w:rsid w:val="00133D93"/>
    <w:rsid w:val="001344F5"/>
    <w:rsid w:val="00134B00"/>
    <w:rsid w:val="00134B9F"/>
    <w:rsid w:val="00134BBE"/>
    <w:rsid w:val="00134D5D"/>
    <w:rsid w:val="00134EA3"/>
    <w:rsid w:val="00135BBB"/>
    <w:rsid w:val="00135EA8"/>
    <w:rsid w:val="00136381"/>
    <w:rsid w:val="00137986"/>
    <w:rsid w:val="00137C34"/>
    <w:rsid w:val="00137E68"/>
    <w:rsid w:val="00137E9A"/>
    <w:rsid w:val="0014009A"/>
    <w:rsid w:val="00140446"/>
    <w:rsid w:val="00140838"/>
    <w:rsid w:val="00140C64"/>
    <w:rsid w:val="00140E56"/>
    <w:rsid w:val="00141443"/>
    <w:rsid w:val="00141E85"/>
    <w:rsid w:val="001420A1"/>
    <w:rsid w:val="001422CD"/>
    <w:rsid w:val="00142727"/>
    <w:rsid w:val="00142E94"/>
    <w:rsid w:val="001437BE"/>
    <w:rsid w:val="0014400A"/>
    <w:rsid w:val="001443E3"/>
    <w:rsid w:val="0014496E"/>
    <w:rsid w:val="00144DE1"/>
    <w:rsid w:val="00144E9C"/>
    <w:rsid w:val="00145168"/>
    <w:rsid w:val="00145A63"/>
    <w:rsid w:val="00146677"/>
    <w:rsid w:val="00147158"/>
    <w:rsid w:val="001471F0"/>
    <w:rsid w:val="001472C3"/>
    <w:rsid w:val="00147799"/>
    <w:rsid w:val="00147D26"/>
    <w:rsid w:val="00150758"/>
    <w:rsid w:val="00151069"/>
    <w:rsid w:val="00151D4A"/>
    <w:rsid w:val="00152289"/>
    <w:rsid w:val="001528DA"/>
    <w:rsid w:val="00152B71"/>
    <w:rsid w:val="001532D9"/>
    <w:rsid w:val="001537C2"/>
    <w:rsid w:val="00154062"/>
    <w:rsid w:val="001541FC"/>
    <w:rsid w:val="00154795"/>
    <w:rsid w:val="001550B4"/>
    <w:rsid w:val="001554EA"/>
    <w:rsid w:val="001559C4"/>
    <w:rsid w:val="001567F3"/>
    <w:rsid w:val="00156989"/>
    <w:rsid w:val="00156A1D"/>
    <w:rsid w:val="00156AB1"/>
    <w:rsid w:val="0015751F"/>
    <w:rsid w:val="00157CE5"/>
    <w:rsid w:val="00157F0E"/>
    <w:rsid w:val="00160480"/>
    <w:rsid w:val="00160AA6"/>
    <w:rsid w:val="00160D03"/>
    <w:rsid w:val="00160FD5"/>
    <w:rsid w:val="00161121"/>
    <w:rsid w:val="0016175C"/>
    <w:rsid w:val="00161967"/>
    <w:rsid w:val="0016199B"/>
    <w:rsid w:val="00161A8A"/>
    <w:rsid w:val="00161ABE"/>
    <w:rsid w:val="00161C03"/>
    <w:rsid w:val="00162095"/>
    <w:rsid w:val="001624FC"/>
    <w:rsid w:val="001627F6"/>
    <w:rsid w:val="00162864"/>
    <w:rsid w:val="00162CBE"/>
    <w:rsid w:val="00162D68"/>
    <w:rsid w:val="00162D92"/>
    <w:rsid w:val="00162E61"/>
    <w:rsid w:val="001630DB"/>
    <w:rsid w:val="0016337B"/>
    <w:rsid w:val="001637AE"/>
    <w:rsid w:val="00164982"/>
    <w:rsid w:val="00164990"/>
    <w:rsid w:val="00164A5B"/>
    <w:rsid w:val="00164EFB"/>
    <w:rsid w:val="00165054"/>
    <w:rsid w:val="001654DA"/>
    <w:rsid w:val="00166262"/>
    <w:rsid w:val="0016675C"/>
    <w:rsid w:val="00166906"/>
    <w:rsid w:val="00166950"/>
    <w:rsid w:val="00166AA7"/>
    <w:rsid w:val="00166B2E"/>
    <w:rsid w:val="00166C54"/>
    <w:rsid w:val="00166D56"/>
    <w:rsid w:val="00166E33"/>
    <w:rsid w:val="00166EEE"/>
    <w:rsid w:val="001671DD"/>
    <w:rsid w:val="00167D27"/>
    <w:rsid w:val="00167EB9"/>
    <w:rsid w:val="00167FC7"/>
    <w:rsid w:val="00170005"/>
    <w:rsid w:val="0017015E"/>
    <w:rsid w:val="0017059E"/>
    <w:rsid w:val="00170B1F"/>
    <w:rsid w:val="00170D3F"/>
    <w:rsid w:val="001711B9"/>
    <w:rsid w:val="001714AB"/>
    <w:rsid w:val="001714F0"/>
    <w:rsid w:val="001716C9"/>
    <w:rsid w:val="001719FC"/>
    <w:rsid w:val="00171FBE"/>
    <w:rsid w:val="001722AD"/>
    <w:rsid w:val="001724E7"/>
    <w:rsid w:val="00172747"/>
    <w:rsid w:val="00172962"/>
    <w:rsid w:val="00173003"/>
    <w:rsid w:val="00173158"/>
    <w:rsid w:val="00173485"/>
    <w:rsid w:val="00173B33"/>
    <w:rsid w:val="00173DE2"/>
    <w:rsid w:val="00173F7D"/>
    <w:rsid w:val="00174352"/>
    <w:rsid w:val="0017461B"/>
    <w:rsid w:val="00174706"/>
    <w:rsid w:val="00174B98"/>
    <w:rsid w:val="00174C4F"/>
    <w:rsid w:val="00174F55"/>
    <w:rsid w:val="0017558A"/>
    <w:rsid w:val="0017579A"/>
    <w:rsid w:val="00175BB0"/>
    <w:rsid w:val="00175EDB"/>
    <w:rsid w:val="00175EEC"/>
    <w:rsid w:val="00176593"/>
    <w:rsid w:val="00176F62"/>
    <w:rsid w:val="0017740E"/>
    <w:rsid w:val="00177713"/>
    <w:rsid w:val="00177FB9"/>
    <w:rsid w:val="00181104"/>
    <w:rsid w:val="0018118B"/>
    <w:rsid w:val="00182513"/>
    <w:rsid w:val="0018278D"/>
    <w:rsid w:val="00182B84"/>
    <w:rsid w:val="00182F6F"/>
    <w:rsid w:val="0018318F"/>
    <w:rsid w:val="001832B7"/>
    <w:rsid w:val="0018336B"/>
    <w:rsid w:val="00183BC2"/>
    <w:rsid w:val="00183D1E"/>
    <w:rsid w:val="001848EE"/>
    <w:rsid w:val="00184D97"/>
    <w:rsid w:val="00185B2A"/>
    <w:rsid w:val="00185FC7"/>
    <w:rsid w:val="001862A5"/>
    <w:rsid w:val="00186D7E"/>
    <w:rsid w:val="00187534"/>
    <w:rsid w:val="0018764B"/>
    <w:rsid w:val="00187A95"/>
    <w:rsid w:val="00187AF0"/>
    <w:rsid w:val="00190959"/>
    <w:rsid w:val="00190E6F"/>
    <w:rsid w:val="001912BB"/>
    <w:rsid w:val="00191F8F"/>
    <w:rsid w:val="001923E4"/>
    <w:rsid w:val="00192E0B"/>
    <w:rsid w:val="00193859"/>
    <w:rsid w:val="00193C94"/>
    <w:rsid w:val="00194D01"/>
    <w:rsid w:val="00194E96"/>
    <w:rsid w:val="00195EC9"/>
    <w:rsid w:val="001963F8"/>
    <w:rsid w:val="001970FA"/>
    <w:rsid w:val="001975C0"/>
    <w:rsid w:val="001975DD"/>
    <w:rsid w:val="00197C4F"/>
    <w:rsid w:val="001A0302"/>
    <w:rsid w:val="001A076D"/>
    <w:rsid w:val="001A0B74"/>
    <w:rsid w:val="001A0D9F"/>
    <w:rsid w:val="001A123D"/>
    <w:rsid w:val="001A1568"/>
    <w:rsid w:val="001A1E5D"/>
    <w:rsid w:val="001A21BE"/>
    <w:rsid w:val="001A2809"/>
    <w:rsid w:val="001A31FA"/>
    <w:rsid w:val="001A3641"/>
    <w:rsid w:val="001A39C3"/>
    <w:rsid w:val="001A4D61"/>
    <w:rsid w:val="001A4E48"/>
    <w:rsid w:val="001A5135"/>
    <w:rsid w:val="001A52C2"/>
    <w:rsid w:val="001A5949"/>
    <w:rsid w:val="001A6FC0"/>
    <w:rsid w:val="001A7A46"/>
    <w:rsid w:val="001A7F53"/>
    <w:rsid w:val="001B026D"/>
    <w:rsid w:val="001B049B"/>
    <w:rsid w:val="001B0A3B"/>
    <w:rsid w:val="001B13A1"/>
    <w:rsid w:val="001B14B9"/>
    <w:rsid w:val="001B1BFF"/>
    <w:rsid w:val="001B26D7"/>
    <w:rsid w:val="001B29B6"/>
    <w:rsid w:val="001B2C35"/>
    <w:rsid w:val="001B2D55"/>
    <w:rsid w:val="001B2F24"/>
    <w:rsid w:val="001B399D"/>
    <w:rsid w:val="001B3D33"/>
    <w:rsid w:val="001B41F8"/>
    <w:rsid w:val="001B44B5"/>
    <w:rsid w:val="001B4A80"/>
    <w:rsid w:val="001B4D5A"/>
    <w:rsid w:val="001B5188"/>
    <w:rsid w:val="001B5EA3"/>
    <w:rsid w:val="001B6EF6"/>
    <w:rsid w:val="001B7050"/>
    <w:rsid w:val="001B7A2E"/>
    <w:rsid w:val="001B7B79"/>
    <w:rsid w:val="001C0A38"/>
    <w:rsid w:val="001C0F80"/>
    <w:rsid w:val="001C1173"/>
    <w:rsid w:val="001C12ED"/>
    <w:rsid w:val="001C28BB"/>
    <w:rsid w:val="001C2980"/>
    <w:rsid w:val="001C29B2"/>
    <w:rsid w:val="001C384E"/>
    <w:rsid w:val="001C3A39"/>
    <w:rsid w:val="001C4155"/>
    <w:rsid w:val="001C434B"/>
    <w:rsid w:val="001C459A"/>
    <w:rsid w:val="001C489C"/>
    <w:rsid w:val="001C491A"/>
    <w:rsid w:val="001C4971"/>
    <w:rsid w:val="001C4FB5"/>
    <w:rsid w:val="001C50D0"/>
    <w:rsid w:val="001C542F"/>
    <w:rsid w:val="001C67F2"/>
    <w:rsid w:val="001C71F8"/>
    <w:rsid w:val="001C77F7"/>
    <w:rsid w:val="001C77F8"/>
    <w:rsid w:val="001C78F3"/>
    <w:rsid w:val="001D073A"/>
    <w:rsid w:val="001D0849"/>
    <w:rsid w:val="001D091F"/>
    <w:rsid w:val="001D0C2D"/>
    <w:rsid w:val="001D1213"/>
    <w:rsid w:val="001D17C0"/>
    <w:rsid w:val="001D1E97"/>
    <w:rsid w:val="001D3724"/>
    <w:rsid w:val="001D4243"/>
    <w:rsid w:val="001D4281"/>
    <w:rsid w:val="001D47FE"/>
    <w:rsid w:val="001D49BA"/>
    <w:rsid w:val="001D4A1C"/>
    <w:rsid w:val="001D4B13"/>
    <w:rsid w:val="001D4D7E"/>
    <w:rsid w:val="001D5520"/>
    <w:rsid w:val="001D5ABB"/>
    <w:rsid w:val="001D5F1B"/>
    <w:rsid w:val="001D6005"/>
    <w:rsid w:val="001D655D"/>
    <w:rsid w:val="001D6EC2"/>
    <w:rsid w:val="001D739F"/>
    <w:rsid w:val="001D750B"/>
    <w:rsid w:val="001D7745"/>
    <w:rsid w:val="001E0568"/>
    <w:rsid w:val="001E1016"/>
    <w:rsid w:val="001E1A8A"/>
    <w:rsid w:val="001E1DC4"/>
    <w:rsid w:val="001E1DD5"/>
    <w:rsid w:val="001E258F"/>
    <w:rsid w:val="001E2845"/>
    <w:rsid w:val="001E285E"/>
    <w:rsid w:val="001E2AB6"/>
    <w:rsid w:val="001E3375"/>
    <w:rsid w:val="001E3EEB"/>
    <w:rsid w:val="001E4147"/>
    <w:rsid w:val="001E4304"/>
    <w:rsid w:val="001E47CC"/>
    <w:rsid w:val="001E47FB"/>
    <w:rsid w:val="001E4AE1"/>
    <w:rsid w:val="001E4CBB"/>
    <w:rsid w:val="001E5365"/>
    <w:rsid w:val="001E564B"/>
    <w:rsid w:val="001E642E"/>
    <w:rsid w:val="001E655B"/>
    <w:rsid w:val="001E65E4"/>
    <w:rsid w:val="001E6D27"/>
    <w:rsid w:val="001E7731"/>
    <w:rsid w:val="001E7875"/>
    <w:rsid w:val="001E7ACB"/>
    <w:rsid w:val="001F020E"/>
    <w:rsid w:val="001F064D"/>
    <w:rsid w:val="001F0C77"/>
    <w:rsid w:val="001F19AA"/>
    <w:rsid w:val="001F1CFF"/>
    <w:rsid w:val="001F2B4D"/>
    <w:rsid w:val="001F3B32"/>
    <w:rsid w:val="001F46C1"/>
    <w:rsid w:val="001F4D85"/>
    <w:rsid w:val="001F60F5"/>
    <w:rsid w:val="001F6E37"/>
    <w:rsid w:val="001F76FA"/>
    <w:rsid w:val="001F7D4D"/>
    <w:rsid w:val="001F7E80"/>
    <w:rsid w:val="001F7FAE"/>
    <w:rsid w:val="00200243"/>
    <w:rsid w:val="002003BF"/>
    <w:rsid w:val="0020057E"/>
    <w:rsid w:val="00200687"/>
    <w:rsid w:val="00200F27"/>
    <w:rsid w:val="0020151D"/>
    <w:rsid w:val="002015A0"/>
    <w:rsid w:val="00202613"/>
    <w:rsid w:val="002037A7"/>
    <w:rsid w:val="00203FD5"/>
    <w:rsid w:val="0020404F"/>
    <w:rsid w:val="0020486F"/>
    <w:rsid w:val="00204B66"/>
    <w:rsid w:val="00205005"/>
    <w:rsid w:val="002050F1"/>
    <w:rsid w:val="00206A6D"/>
    <w:rsid w:val="00207373"/>
    <w:rsid w:val="0020758E"/>
    <w:rsid w:val="00207BD3"/>
    <w:rsid w:val="00207F54"/>
    <w:rsid w:val="002100E8"/>
    <w:rsid w:val="002100E9"/>
    <w:rsid w:val="00210A3C"/>
    <w:rsid w:val="00210BB8"/>
    <w:rsid w:val="00210D12"/>
    <w:rsid w:val="00211048"/>
    <w:rsid w:val="00211406"/>
    <w:rsid w:val="0021182E"/>
    <w:rsid w:val="002118B8"/>
    <w:rsid w:val="00211962"/>
    <w:rsid w:val="00211A97"/>
    <w:rsid w:val="0021265E"/>
    <w:rsid w:val="002133A3"/>
    <w:rsid w:val="00213759"/>
    <w:rsid w:val="002138D4"/>
    <w:rsid w:val="0021409E"/>
    <w:rsid w:val="0021423E"/>
    <w:rsid w:val="002145DF"/>
    <w:rsid w:val="00214688"/>
    <w:rsid w:val="00214A47"/>
    <w:rsid w:val="002156FD"/>
    <w:rsid w:val="00215CEE"/>
    <w:rsid w:val="00215F8D"/>
    <w:rsid w:val="00216562"/>
    <w:rsid w:val="00216F8D"/>
    <w:rsid w:val="002172E8"/>
    <w:rsid w:val="00217928"/>
    <w:rsid w:val="00217FA1"/>
    <w:rsid w:val="0022089B"/>
    <w:rsid w:val="00220BF0"/>
    <w:rsid w:val="00220C67"/>
    <w:rsid w:val="0022282A"/>
    <w:rsid w:val="0022296C"/>
    <w:rsid w:val="00223C1C"/>
    <w:rsid w:val="00223E0F"/>
    <w:rsid w:val="00223EA9"/>
    <w:rsid w:val="00224166"/>
    <w:rsid w:val="00225745"/>
    <w:rsid w:val="00225C12"/>
    <w:rsid w:val="00226B69"/>
    <w:rsid w:val="002274AF"/>
    <w:rsid w:val="0022770B"/>
    <w:rsid w:val="0022776D"/>
    <w:rsid w:val="00227960"/>
    <w:rsid w:val="00227C23"/>
    <w:rsid w:val="002307D1"/>
    <w:rsid w:val="002309BC"/>
    <w:rsid w:val="00230D6E"/>
    <w:rsid w:val="00231238"/>
    <w:rsid w:val="00231298"/>
    <w:rsid w:val="00231B6B"/>
    <w:rsid w:val="002323E6"/>
    <w:rsid w:val="00232826"/>
    <w:rsid w:val="002330F9"/>
    <w:rsid w:val="00233C3C"/>
    <w:rsid w:val="0023405D"/>
    <w:rsid w:val="00234411"/>
    <w:rsid w:val="00234671"/>
    <w:rsid w:val="00234808"/>
    <w:rsid w:val="00234AC2"/>
    <w:rsid w:val="002354AF"/>
    <w:rsid w:val="002358FE"/>
    <w:rsid w:val="00235EB7"/>
    <w:rsid w:val="002366DD"/>
    <w:rsid w:val="00236842"/>
    <w:rsid w:val="002370B4"/>
    <w:rsid w:val="00237A80"/>
    <w:rsid w:val="00240690"/>
    <w:rsid w:val="002406A8"/>
    <w:rsid w:val="002406F5"/>
    <w:rsid w:val="0024106B"/>
    <w:rsid w:val="002417C6"/>
    <w:rsid w:val="00241E88"/>
    <w:rsid w:val="002425F3"/>
    <w:rsid w:val="0024286D"/>
    <w:rsid w:val="0024289C"/>
    <w:rsid w:val="00242DA6"/>
    <w:rsid w:val="002437B6"/>
    <w:rsid w:val="00243B92"/>
    <w:rsid w:val="00243E64"/>
    <w:rsid w:val="002441E2"/>
    <w:rsid w:val="00244434"/>
    <w:rsid w:val="002448B7"/>
    <w:rsid w:val="002453C1"/>
    <w:rsid w:val="00245FD9"/>
    <w:rsid w:val="00246743"/>
    <w:rsid w:val="00246884"/>
    <w:rsid w:val="00246B9C"/>
    <w:rsid w:val="00246CA5"/>
    <w:rsid w:val="002476AB"/>
    <w:rsid w:val="00247EA9"/>
    <w:rsid w:val="00250570"/>
    <w:rsid w:val="00250604"/>
    <w:rsid w:val="00250769"/>
    <w:rsid w:val="00250BAD"/>
    <w:rsid w:val="002510C3"/>
    <w:rsid w:val="00251137"/>
    <w:rsid w:val="002515F1"/>
    <w:rsid w:val="00251AF9"/>
    <w:rsid w:val="00251DEF"/>
    <w:rsid w:val="00252547"/>
    <w:rsid w:val="002527D7"/>
    <w:rsid w:val="00252DC1"/>
    <w:rsid w:val="00252FD4"/>
    <w:rsid w:val="00253518"/>
    <w:rsid w:val="00253D29"/>
    <w:rsid w:val="0025403A"/>
    <w:rsid w:val="0025430F"/>
    <w:rsid w:val="002545AD"/>
    <w:rsid w:val="002550D6"/>
    <w:rsid w:val="0025538B"/>
    <w:rsid w:val="002557A9"/>
    <w:rsid w:val="002557F9"/>
    <w:rsid w:val="0025606A"/>
    <w:rsid w:val="002562B2"/>
    <w:rsid w:val="0025660A"/>
    <w:rsid w:val="0025678B"/>
    <w:rsid w:val="0025768C"/>
    <w:rsid w:val="00257A1B"/>
    <w:rsid w:val="00257E4B"/>
    <w:rsid w:val="00257ECE"/>
    <w:rsid w:val="00257F1F"/>
    <w:rsid w:val="00257F8D"/>
    <w:rsid w:val="00260112"/>
    <w:rsid w:val="002611D8"/>
    <w:rsid w:val="002612A6"/>
    <w:rsid w:val="002613FD"/>
    <w:rsid w:val="00261EEA"/>
    <w:rsid w:val="00262577"/>
    <w:rsid w:val="0026265F"/>
    <w:rsid w:val="0026296B"/>
    <w:rsid w:val="002629CE"/>
    <w:rsid w:val="00262F3A"/>
    <w:rsid w:val="0026406F"/>
    <w:rsid w:val="00264089"/>
    <w:rsid w:val="00264387"/>
    <w:rsid w:val="00264846"/>
    <w:rsid w:val="00264B46"/>
    <w:rsid w:val="00264CB7"/>
    <w:rsid w:val="00264D89"/>
    <w:rsid w:val="00264EA4"/>
    <w:rsid w:val="002653B0"/>
    <w:rsid w:val="002654EA"/>
    <w:rsid w:val="0026564D"/>
    <w:rsid w:val="002658DD"/>
    <w:rsid w:val="00265C68"/>
    <w:rsid w:val="00266881"/>
    <w:rsid w:val="00266A42"/>
    <w:rsid w:val="00267FE1"/>
    <w:rsid w:val="0027013A"/>
    <w:rsid w:val="002709B4"/>
    <w:rsid w:val="00271422"/>
    <w:rsid w:val="002714D1"/>
    <w:rsid w:val="00272489"/>
    <w:rsid w:val="002724C5"/>
    <w:rsid w:val="002726B4"/>
    <w:rsid w:val="002727E7"/>
    <w:rsid w:val="00272A3E"/>
    <w:rsid w:val="00272B74"/>
    <w:rsid w:val="00272C47"/>
    <w:rsid w:val="00272E13"/>
    <w:rsid w:val="00272EF5"/>
    <w:rsid w:val="00272FCF"/>
    <w:rsid w:val="00273563"/>
    <w:rsid w:val="002736C7"/>
    <w:rsid w:val="00273A9C"/>
    <w:rsid w:val="00273CAF"/>
    <w:rsid w:val="00273F18"/>
    <w:rsid w:val="00274326"/>
    <w:rsid w:val="00274D08"/>
    <w:rsid w:val="00274FBC"/>
    <w:rsid w:val="00275017"/>
    <w:rsid w:val="0027578F"/>
    <w:rsid w:val="00275BC4"/>
    <w:rsid w:val="00275DBC"/>
    <w:rsid w:val="0027607E"/>
    <w:rsid w:val="00276349"/>
    <w:rsid w:val="00276578"/>
    <w:rsid w:val="00277640"/>
    <w:rsid w:val="00277BF5"/>
    <w:rsid w:val="0028048C"/>
    <w:rsid w:val="00280F0B"/>
    <w:rsid w:val="00280FBC"/>
    <w:rsid w:val="00281058"/>
    <w:rsid w:val="002811B4"/>
    <w:rsid w:val="002819E2"/>
    <w:rsid w:val="002825CF"/>
    <w:rsid w:val="00282BA2"/>
    <w:rsid w:val="00283748"/>
    <w:rsid w:val="00283B2D"/>
    <w:rsid w:val="00283D1C"/>
    <w:rsid w:val="00284370"/>
    <w:rsid w:val="002844BE"/>
    <w:rsid w:val="002845EC"/>
    <w:rsid w:val="00284B4C"/>
    <w:rsid w:val="00285B68"/>
    <w:rsid w:val="00286527"/>
    <w:rsid w:val="00286E8A"/>
    <w:rsid w:val="002906BB"/>
    <w:rsid w:val="0029082C"/>
    <w:rsid w:val="00290CAE"/>
    <w:rsid w:val="00291E72"/>
    <w:rsid w:val="00292215"/>
    <w:rsid w:val="00292A3F"/>
    <w:rsid w:val="002930C5"/>
    <w:rsid w:val="00293489"/>
    <w:rsid w:val="002935C4"/>
    <w:rsid w:val="002935D1"/>
    <w:rsid w:val="00293A85"/>
    <w:rsid w:val="00295648"/>
    <w:rsid w:val="002957F5"/>
    <w:rsid w:val="00295C5E"/>
    <w:rsid w:val="00295F94"/>
    <w:rsid w:val="002979A3"/>
    <w:rsid w:val="00297D7E"/>
    <w:rsid w:val="002A0428"/>
    <w:rsid w:val="002A05EC"/>
    <w:rsid w:val="002A0821"/>
    <w:rsid w:val="002A0923"/>
    <w:rsid w:val="002A0E3E"/>
    <w:rsid w:val="002A1B3B"/>
    <w:rsid w:val="002A1FCD"/>
    <w:rsid w:val="002A203D"/>
    <w:rsid w:val="002A234C"/>
    <w:rsid w:val="002A27E7"/>
    <w:rsid w:val="002A2960"/>
    <w:rsid w:val="002A2ED9"/>
    <w:rsid w:val="002A343F"/>
    <w:rsid w:val="002A3902"/>
    <w:rsid w:val="002A3DCD"/>
    <w:rsid w:val="002A4149"/>
    <w:rsid w:val="002A4670"/>
    <w:rsid w:val="002A4799"/>
    <w:rsid w:val="002A4938"/>
    <w:rsid w:val="002A4D7B"/>
    <w:rsid w:val="002A4E1E"/>
    <w:rsid w:val="002A56D0"/>
    <w:rsid w:val="002A68BA"/>
    <w:rsid w:val="002A68D0"/>
    <w:rsid w:val="002A70CE"/>
    <w:rsid w:val="002A75AE"/>
    <w:rsid w:val="002A7845"/>
    <w:rsid w:val="002A787E"/>
    <w:rsid w:val="002B110F"/>
    <w:rsid w:val="002B1A25"/>
    <w:rsid w:val="002B21D7"/>
    <w:rsid w:val="002B25E4"/>
    <w:rsid w:val="002B2C71"/>
    <w:rsid w:val="002B31A8"/>
    <w:rsid w:val="002B3CD4"/>
    <w:rsid w:val="002B4F6C"/>
    <w:rsid w:val="002B4F73"/>
    <w:rsid w:val="002B5103"/>
    <w:rsid w:val="002B5520"/>
    <w:rsid w:val="002B5795"/>
    <w:rsid w:val="002B5898"/>
    <w:rsid w:val="002B5A4C"/>
    <w:rsid w:val="002B615B"/>
    <w:rsid w:val="002B6278"/>
    <w:rsid w:val="002B642F"/>
    <w:rsid w:val="002B6EE7"/>
    <w:rsid w:val="002B7CD8"/>
    <w:rsid w:val="002C054D"/>
    <w:rsid w:val="002C0711"/>
    <w:rsid w:val="002C0B75"/>
    <w:rsid w:val="002C0C31"/>
    <w:rsid w:val="002C0C44"/>
    <w:rsid w:val="002C0D89"/>
    <w:rsid w:val="002C0FF4"/>
    <w:rsid w:val="002C11AA"/>
    <w:rsid w:val="002C1441"/>
    <w:rsid w:val="002C327D"/>
    <w:rsid w:val="002C3507"/>
    <w:rsid w:val="002C3786"/>
    <w:rsid w:val="002C3B8C"/>
    <w:rsid w:val="002C4335"/>
    <w:rsid w:val="002C43DE"/>
    <w:rsid w:val="002C4489"/>
    <w:rsid w:val="002C517C"/>
    <w:rsid w:val="002C54D0"/>
    <w:rsid w:val="002C6619"/>
    <w:rsid w:val="002C67C1"/>
    <w:rsid w:val="002C7214"/>
    <w:rsid w:val="002C724D"/>
    <w:rsid w:val="002C7811"/>
    <w:rsid w:val="002C7E07"/>
    <w:rsid w:val="002D039E"/>
    <w:rsid w:val="002D0507"/>
    <w:rsid w:val="002D099C"/>
    <w:rsid w:val="002D0DD7"/>
    <w:rsid w:val="002D11B9"/>
    <w:rsid w:val="002D1CE1"/>
    <w:rsid w:val="002D1CF9"/>
    <w:rsid w:val="002D1E61"/>
    <w:rsid w:val="002D21D4"/>
    <w:rsid w:val="002D22E1"/>
    <w:rsid w:val="002D28D1"/>
    <w:rsid w:val="002D2C99"/>
    <w:rsid w:val="002D2EFB"/>
    <w:rsid w:val="002D3A23"/>
    <w:rsid w:val="002D3B79"/>
    <w:rsid w:val="002D3BF2"/>
    <w:rsid w:val="002D3D67"/>
    <w:rsid w:val="002D3EB1"/>
    <w:rsid w:val="002D46B3"/>
    <w:rsid w:val="002D4EB5"/>
    <w:rsid w:val="002D4F82"/>
    <w:rsid w:val="002D54CD"/>
    <w:rsid w:val="002D58C9"/>
    <w:rsid w:val="002D6687"/>
    <w:rsid w:val="002D71C1"/>
    <w:rsid w:val="002D7B48"/>
    <w:rsid w:val="002E018B"/>
    <w:rsid w:val="002E0443"/>
    <w:rsid w:val="002E04E6"/>
    <w:rsid w:val="002E08C3"/>
    <w:rsid w:val="002E0F6C"/>
    <w:rsid w:val="002E21D4"/>
    <w:rsid w:val="002E2E84"/>
    <w:rsid w:val="002E3B0F"/>
    <w:rsid w:val="002E3CBC"/>
    <w:rsid w:val="002E3F0D"/>
    <w:rsid w:val="002E4971"/>
    <w:rsid w:val="002E49C0"/>
    <w:rsid w:val="002E4B74"/>
    <w:rsid w:val="002E5BDB"/>
    <w:rsid w:val="002E6772"/>
    <w:rsid w:val="002E681A"/>
    <w:rsid w:val="002E69B8"/>
    <w:rsid w:val="002E6E29"/>
    <w:rsid w:val="002E712E"/>
    <w:rsid w:val="002E748D"/>
    <w:rsid w:val="002E75CB"/>
    <w:rsid w:val="002E779B"/>
    <w:rsid w:val="002F08C5"/>
    <w:rsid w:val="002F1BAC"/>
    <w:rsid w:val="002F25F8"/>
    <w:rsid w:val="002F3E05"/>
    <w:rsid w:val="002F46BE"/>
    <w:rsid w:val="002F50EE"/>
    <w:rsid w:val="002F6942"/>
    <w:rsid w:val="002F6D3A"/>
    <w:rsid w:val="002F7BDA"/>
    <w:rsid w:val="003004E0"/>
    <w:rsid w:val="0030052C"/>
    <w:rsid w:val="0030054F"/>
    <w:rsid w:val="00300F17"/>
    <w:rsid w:val="00300FD1"/>
    <w:rsid w:val="0030115F"/>
    <w:rsid w:val="0030155E"/>
    <w:rsid w:val="00301A80"/>
    <w:rsid w:val="00301C44"/>
    <w:rsid w:val="00301C6C"/>
    <w:rsid w:val="00301CA2"/>
    <w:rsid w:val="00301EEA"/>
    <w:rsid w:val="00301F4C"/>
    <w:rsid w:val="00302510"/>
    <w:rsid w:val="003027A8"/>
    <w:rsid w:val="00302B36"/>
    <w:rsid w:val="00302E20"/>
    <w:rsid w:val="00302F3B"/>
    <w:rsid w:val="00303D7E"/>
    <w:rsid w:val="003051F1"/>
    <w:rsid w:val="003052B1"/>
    <w:rsid w:val="00305A79"/>
    <w:rsid w:val="003062ED"/>
    <w:rsid w:val="00306F9D"/>
    <w:rsid w:val="00306FB7"/>
    <w:rsid w:val="00307238"/>
    <w:rsid w:val="00307375"/>
    <w:rsid w:val="003078FB"/>
    <w:rsid w:val="00307E26"/>
    <w:rsid w:val="0031049E"/>
    <w:rsid w:val="0031139A"/>
    <w:rsid w:val="003119F2"/>
    <w:rsid w:val="00311A1F"/>
    <w:rsid w:val="00311BD1"/>
    <w:rsid w:val="00311BD4"/>
    <w:rsid w:val="00311F9C"/>
    <w:rsid w:val="0031339D"/>
    <w:rsid w:val="003138E3"/>
    <w:rsid w:val="00313DBD"/>
    <w:rsid w:val="003168D5"/>
    <w:rsid w:val="00317165"/>
    <w:rsid w:val="003171EE"/>
    <w:rsid w:val="00317837"/>
    <w:rsid w:val="00317EA0"/>
    <w:rsid w:val="003204B2"/>
    <w:rsid w:val="0032097B"/>
    <w:rsid w:val="00321185"/>
    <w:rsid w:val="00321D81"/>
    <w:rsid w:val="003220B0"/>
    <w:rsid w:val="003224E0"/>
    <w:rsid w:val="003225CE"/>
    <w:rsid w:val="0032260E"/>
    <w:rsid w:val="00322949"/>
    <w:rsid w:val="003234EE"/>
    <w:rsid w:val="00323C2D"/>
    <w:rsid w:val="00323E11"/>
    <w:rsid w:val="00324489"/>
    <w:rsid w:val="00325432"/>
    <w:rsid w:val="00325564"/>
    <w:rsid w:val="00325909"/>
    <w:rsid w:val="00325C95"/>
    <w:rsid w:val="00326011"/>
    <w:rsid w:val="0032607E"/>
    <w:rsid w:val="00326535"/>
    <w:rsid w:val="003272E2"/>
    <w:rsid w:val="00327845"/>
    <w:rsid w:val="0032787D"/>
    <w:rsid w:val="00327995"/>
    <w:rsid w:val="00327E33"/>
    <w:rsid w:val="00330504"/>
    <w:rsid w:val="00331DA4"/>
    <w:rsid w:val="00331DD7"/>
    <w:rsid w:val="003323C3"/>
    <w:rsid w:val="00332E7E"/>
    <w:rsid w:val="003332B6"/>
    <w:rsid w:val="003335F1"/>
    <w:rsid w:val="0033384C"/>
    <w:rsid w:val="00333FC6"/>
    <w:rsid w:val="00334148"/>
    <w:rsid w:val="0033425A"/>
    <w:rsid w:val="00334290"/>
    <w:rsid w:val="0033438A"/>
    <w:rsid w:val="003345C5"/>
    <w:rsid w:val="00334704"/>
    <w:rsid w:val="0033471C"/>
    <w:rsid w:val="00334B0C"/>
    <w:rsid w:val="00334ECE"/>
    <w:rsid w:val="003352D4"/>
    <w:rsid w:val="00335DCE"/>
    <w:rsid w:val="0033691B"/>
    <w:rsid w:val="00336E3B"/>
    <w:rsid w:val="00336EEA"/>
    <w:rsid w:val="00337009"/>
    <w:rsid w:val="003373E8"/>
    <w:rsid w:val="00340228"/>
    <w:rsid w:val="00340239"/>
    <w:rsid w:val="00340B6E"/>
    <w:rsid w:val="00341750"/>
    <w:rsid w:val="003426A3"/>
    <w:rsid w:val="0034396E"/>
    <w:rsid w:val="00343A1C"/>
    <w:rsid w:val="00343D14"/>
    <w:rsid w:val="003442CA"/>
    <w:rsid w:val="00344744"/>
    <w:rsid w:val="00344762"/>
    <w:rsid w:val="0034497C"/>
    <w:rsid w:val="0034532F"/>
    <w:rsid w:val="0034537C"/>
    <w:rsid w:val="00345474"/>
    <w:rsid w:val="00345C6B"/>
    <w:rsid w:val="00345F51"/>
    <w:rsid w:val="003466DC"/>
    <w:rsid w:val="00347745"/>
    <w:rsid w:val="00347AB9"/>
    <w:rsid w:val="00347C09"/>
    <w:rsid w:val="00350214"/>
    <w:rsid w:val="00351853"/>
    <w:rsid w:val="00351941"/>
    <w:rsid w:val="00351F5A"/>
    <w:rsid w:val="003522AD"/>
    <w:rsid w:val="003525E7"/>
    <w:rsid w:val="003532A7"/>
    <w:rsid w:val="0035330D"/>
    <w:rsid w:val="00353EEF"/>
    <w:rsid w:val="003548A1"/>
    <w:rsid w:val="00355419"/>
    <w:rsid w:val="00355F86"/>
    <w:rsid w:val="00356123"/>
    <w:rsid w:val="00356A1D"/>
    <w:rsid w:val="00357033"/>
    <w:rsid w:val="0035705F"/>
    <w:rsid w:val="00357B47"/>
    <w:rsid w:val="00357E68"/>
    <w:rsid w:val="00360281"/>
    <w:rsid w:val="0036035C"/>
    <w:rsid w:val="00360362"/>
    <w:rsid w:val="003604DB"/>
    <w:rsid w:val="003605E4"/>
    <w:rsid w:val="0036076E"/>
    <w:rsid w:val="00360A23"/>
    <w:rsid w:val="00361364"/>
    <w:rsid w:val="00361A62"/>
    <w:rsid w:val="00361B46"/>
    <w:rsid w:val="00361BA1"/>
    <w:rsid w:val="00362680"/>
    <w:rsid w:val="003638D2"/>
    <w:rsid w:val="003641D3"/>
    <w:rsid w:val="00364A13"/>
    <w:rsid w:val="00364B59"/>
    <w:rsid w:val="00364D36"/>
    <w:rsid w:val="003650B9"/>
    <w:rsid w:val="003650C2"/>
    <w:rsid w:val="003654A4"/>
    <w:rsid w:val="00365AE7"/>
    <w:rsid w:val="00365BA1"/>
    <w:rsid w:val="00365BD1"/>
    <w:rsid w:val="00365C6C"/>
    <w:rsid w:val="00365DA5"/>
    <w:rsid w:val="00365F18"/>
    <w:rsid w:val="00366690"/>
    <w:rsid w:val="00366C65"/>
    <w:rsid w:val="00370033"/>
    <w:rsid w:val="00370039"/>
    <w:rsid w:val="00370182"/>
    <w:rsid w:val="00370A28"/>
    <w:rsid w:val="00370F45"/>
    <w:rsid w:val="0037108D"/>
    <w:rsid w:val="003710F3"/>
    <w:rsid w:val="00371481"/>
    <w:rsid w:val="00371493"/>
    <w:rsid w:val="003715A4"/>
    <w:rsid w:val="003716D9"/>
    <w:rsid w:val="00371A20"/>
    <w:rsid w:val="003721C4"/>
    <w:rsid w:val="00372485"/>
    <w:rsid w:val="003726C4"/>
    <w:rsid w:val="00372E8E"/>
    <w:rsid w:val="00374699"/>
    <w:rsid w:val="00375181"/>
    <w:rsid w:val="00375D6D"/>
    <w:rsid w:val="00375E9A"/>
    <w:rsid w:val="00375F7E"/>
    <w:rsid w:val="00376592"/>
    <w:rsid w:val="003765DD"/>
    <w:rsid w:val="003770CD"/>
    <w:rsid w:val="0037714F"/>
    <w:rsid w:val="00377973"/>
    <w:rsid w:val="00377B8C"/>
    <w:rsid w:val="00377C62"/>
    <w:rsid w:val="0038036A"/>
    <w:rsid w:val="003805CD"/>
    <w:rsid w:val="00380AEC"/>
    <w:rsid w:val="0038121D"/>
    <w:rsid w:val="00381A16"/>
    <w:rsid w:val="003822FE"/>
    <w:rsid w:val="00382363"/>
    <w:rsid w:val="003826BF"/>
    <w:rsid w:val="003826DA"/>
    <w:rsid w:val="003835FB"/>
    <w:rsid w:val="0038389B"/>
    <w:rsid w:val="00383C96"/>
    <w:rsid w:val="00383EF7"/>
    <w:rsid w:val="00383F8A"/>
    <w:rsid w:val="003841F5"/>
    <w:rsid w:val="00385129"/>
    <w:rsid w:val="00385655"/>
    <w:rsid w:val="00385D3D"/>
    <w:rsid w:val="00385E35"/>
    <w:rsid w:val="0038611F"/>
    <w:rsid w:val="0038626C"/>
    <w:rsid w:val="0038642B"/>
    <w:rsid w:val="003866CE"/>
    <w:rsid w:val="00386788"/>
    <w:rsid w:val="00387321"/>
    <w:rsid w:val="00387572"/>
    <w:rsid w:val="0038790C"/>
    <w:rsid w:val="00387D93"/>
    <w:rsid w:val="00387EAA"/>
    <w:rsid w:val="00390888"/>
    <w:rsid w:val="0039145A"/>
    <w:rsid w:val="00391C47"/>
    <w:rsid w:val="0039209D"/>
    <w:rsid w:val="003926F3"/>
    <w:rsid w:val="00392AC9"/>
    <w:rsid w:val="00393D73"/>
    <w:rsid w:val="00394145"/>
    <w:rsid w:val="0039425D"/>
    <w:rsid w:val="00394386"/>
    <w:rsid w:val="00395ECD"/>
    <w:rsid w:val="00396B4F"/>
    <w:rsid w:val="00396EA6"/>
    <w:rsid w:val="0039712F"/>
    <w:rsid w:val="0039752C"/>
    <w:rsid w:val="00397BE7"/>
    <w:rsid w:val="00397C82"/>
    <w:rsid w:val="003A018C"/>
    <w:rsid w:val="003A0AE6"/>
    <w:rsid w:val="003A0FD5"/>
    <w:rsid w:val="003A1815"/>
    <w:rsid w:val="003A1881"/>
    <w:rsid w:val="003A1A4D"/>
    <w:rsid w:val="003A1B19"/>
    <w:rsid w:val="003A1EB6"/>
    <w:rsid w:val="003A207D"/>
    <w:rsid w:val="003A22E4"/>
    <w:rsid w:val="003A2966"/>
    <w:rsid w:val="003A2C29"/>
    <w:rsid w:val="003A340D"/>
    <w:rsid w:val="003A38D8"/>
    <w:rsid w:val="003A3E97"/>
    <w:rsid w:val="003A4428"/>
    <w:rsid w:val="003A455C"/>
    <w:rsid w:val="003A50DF"/>
    <w:rsid w:val="003A536A"/>
    <w:rsid w:val="003A58EF"/>
    <w:rsid w:val="003A5A98"/>
    <w:rsid w:val="003A67C9"/>
    <w:rsid w:val="003A6BA2"/>
    <w:rsid w:val="003A72D1"/>
    <w:rsid w:val="003A7539"/>
    <w:rsid w:val="003A760C"/>
    <w:rsid w:val="003A777A"/>
    <w:rsid w:val="003A7D10"/>
    <w:rsid w:val="003B0127"/>
    <w:rsid w:val="003B0741"/>
    <w:rsid w:val="003B093E"/>
    <w:rsid w:val="003B10FD"/>
    <w:rsid w:val="003B130C"/>
    <w:rsid w:val="003B1322"/>
    <w:rsid w:val="003B1D11"/>
    <w:rsid w:val="003B23EF"/>
    <w:rsid w:val="003B27BF"/>
    <w:rsid w:val="003B2CDE"/>
    <w:rsid w:val="003B3072"/>
    <w:rsid w:val="003B3E39"/>
    <w:rsid w:val="003B436E"/>
    <w:rsid w:val="003B4493"/>
    <w:rsid w:val="003B4A4C"/>
    <w:rsid w:val="003B4DA8"/>
    <w:rsid w:val="003B5371"/>
    <w:rsid w:val="003B6307"/>
    <w:rsid w:val="003B7017"/>
    <w:rsid w:val="003B77CB"/>
    <w:rsid w:val="003B7D09"/>
    <w:rsid w:val="003B7DBF"/>
    <w:rsid w:val="003C1DA9"/>
    <w:rsid w:val="003C1DDF"/>
    <w:rsid w:val="003C26D4"/>
    <w:rsid w:val="003C2A9F"/>
    <w:rsid w:val="003C3293"/>
    <w:rsid w:val="003C3BA4"/>
    <w:rsid w:val="003C3F4C"/>
    <w:rsid w:val="003C4402"/>
    <w:rsid w:val="003C4FB5"/>
    <w:rsid w:val="003C50A3"/>
    <w:rsid w:val="003C5A7A"/>
    <w:rsid w:val="003C5C38"/>
    <w:rsid w:val="003C5FE1"/>
    <w:rsid w:val="003C6A65"/>
    <w:rsid w:val="003C6B5C"/>
    <w:rsid w:val="003C6C0E"/>
    <w:rsid w:val="003C7D4D"/>
    <w:rsid w:val="003C7EC6"/>
    <w:rsid w:val="003C7ED2"/>
    <w:rsid w:val="003D0542"/>
    <w:rsid w:val="003D0832"/>
    <w:rsid w:val="003D08E5"/>
    <w:rsid w:val="003D091B"/>
    <w:rsid w:val="003D0DF7"/>
    <w:rsid w:val="003D0F64"/>
    <w:rsid w:val="003D1851"/>
    <w:rsid w:val="003D1EB8"/>
    <w:rsid w:val="003D1F4E"/>
    <w:rsid w:val="003D2C98"/>
    <w:rsid w:val="003D3341"/>
    <w:rsid w:val="003D36E6"/>
    <w:rsid w:val="003D3ABB"/>
    <w:rsid w:val="003D42DF"/>
    <w:rsid w:val="003D4975"/>
    <w:rsid w:val="003D4F6F"/>
    <w:rsid w:val="003D50F3"/>
    <w:rsid w:val="003D5808"/>
    <w:rsid w:val="003D5C51"/>
    <w:rsid w:val="003D62EE"/>
    <w:rsid w:val="003D673A"/>
    <w:rsid w:val="003D6AAD"/>
    <w:rsid w:val="003D6ACF"/>
    <w:rsid w:val="003D6F53"/>
    <w:rsid w:val="003D7271"/>
    <w:rsid w:val="003D77CA"/>
    <w:rsid w:val="003E0274"/>
    <w:rsid w:val="003E049E"/>
    <w:rsid w:val="003E0850"/>
    <w:rsid w:val="003E2192"/>
    <w:rsid w:val="003E33A5"/>
    <w:rsid w:val="003E38D9"/>
    <w:rsid w:val="003E3EFF"/>
    <w:rsid w:val="003E3F01"/>
    <w:rsid w:val="003E457D"/>
    <w:rsid w:val="003E58A2"/>
    <w:rsid w:val="003E59D1"/>
    <w:rsid w:val="003E5FC5"/>
    <w:rsid w:val="003E63C9"/>
    <w:rsid w:val="003E69DA"/>
    <w:rsid w:val="003E7421"/>
    <w:rsid w:val="003E75EE"/>
    <w:rsid w:val="003E76AB"/>
    <w:rsid w:val="003E7A8C"/>
    <w:rsid w:val="003F018E"/>
    <w:rsid w:val="003F11EB"/>
    <w:rsid w:val="003F14EC"/>
    <w:rsid w:val="003F171C"/>
    <w:rsid w:val="003F1A6A"/>
    <w:rsid w:val="003F2420"/>
    <w:rsid w:val="003F26C7"/>
    <w:rsid w:val="003F27E3"/>
    <w:rsid w:val="003F2A9F"/>
    <w:rsid w:val="003F36C2"/>
    <w:rsid w:val="003F4AD5"/>
    <w:rsid w:val="003F4E4F"/>
    <w:rsid w:val="003F6311"/>
    <w:rsid w:val="003F6430"/>
    <w:rsid w:val="003F69EE"/>
    <w:rsid w:val="003F73A4"/>
    <w:rsid w:val="003F7D1F"/>
    <w:rsid w:val="00400396"/>
    <w:rsid w:val="00400DF3"/>
    <w:rsid w:val="00400EDD"/>
    <w:rsid w:val="004014CA"/>
    <w:rsid w:val="00401DA9"/>
    <w:rsid w:val="00403E8B"/>
    <w:rsid w:val="00403FD0"/>
    <w:rsid w:val="00404A66"/>
    <w:rsid w:val="0040525C"/>
    <w:rsid w:val="0040572F"/>
    <w:rsid w:val="00405D51"/>
    <w:rsid w:val="00406365"/>
    <w:rsid w:val="00406A62"/>
    <w:rsid w:val="00406BB0"/>
    <w:rsid w:val="00407031"/>
    <w:rsid w:val="0040728A"/>
    <w:rsid w:val="00407456"/>
    <w:rsid w:val="004074F7"/>
    <w:rsid w:val="00407F42"/>
    <w:rsid w:val="00410840"/>
    <w:rsid w:val="00410DAE"/>
    <w:rsid w:val="00410EE9"/>
    <w:rsid w:val="00411160"/>
    <w:rsid w:val="00411467"/>
    <w:rsid w:val="00411E2E"/>
    <w:rsid w:val="0041231D"/>
    <w:rsid w:val="004128F2"/>
    <w:rsid w:val="004129FB"/>
    <w:rsid w:val="00412B4D"/>
    <w:rsid w:val="00412D3A"/>
    <w:rsid w:val="0041328B"/>
    <w:rsid w:val="00413A1D"/>
    <w:rsid w:val="00413A7A"/>
    <w:rsid w:val="00413EC3"/>
    <w:rsid w:val="004143DD"/>
    <w:rsid w:val="004149DB"/>
    <w:rsid w:val="00414A6C"/>
    <w:rsid w:val="00415090"/>
    <w:rsid w:val="004150FF"/>
    <w:rsid w:val="004153AC"/>
    <w:rsid w:val="00415815"/>
    <w:rsid w:val="00415969"/>
    <w:rsid w:val="004160F3"/>
    <w:rsid w:val="0041638C"/>
    <w:rsid w:val="0041672C"/>
    <w:rsid w:val="00417270"/>
    <w:rsid w:val="00417464"/>
    <w:rsid w:val="00417517"/>
    <w:rsid w:val="00417A14"/>
    <w:rsid w:val="00417F71"/>
    <w:rsid w:val="004206B9"/>
    <w:rsid w:val="0042084E"/>
    <w:rsid w:val="00420863"/>
    <w:rsid w:val="004208D0"/>
    <w:rsid w:val="004215EB"/>
    <w:rsid w:val="00422279"/>
    <w:rsid w:val="0042263A"/>
    <w:rsid w:val="0042283E"/>
    <w:rsid w:val="00422A69"/>
    <w:rsid w:val="00422F9F"/>
    <w:rsid w:val="0042372A"/>
    <w:rsid w:val="004239EA"/>
    <w:rsid w:val="00423A52"/>
    <w:rsid w:val="00424220"/>
    <w:rsid w:val="00424381"/>
    <w:rsid w:val="0042473F"/>
    <w:rsid w:val="004249A6"/>
    <w:rsid w:val="00424B8D"/>
    <w:rsid w:val="00424C7D"/>
    <w:rsid w:val="00425358"/>
    <w:rsid w:val="00425889"/>
    <w:rsid w:val="00425E3D"/>
    <w:rsid w:val="00426219"/>
    <w:rsid w:val="00426847"/>
    <w:rsid w:val="00426991"/>
    <w:rsid w:val="004270C7"/>
    <w:rsid w:val="004273C9"/>
    <w:rsid w:val="0042755D"/>
    <w:rsid w:val="0042794C"/>
    <w:rsid w:val="00427CFD"/>
    <w:rsid w:val="00427FDF"/>
    <w:rsid w:val="004300FB"/>
    <w:rsid w:val="0043092C"/>
    <w:rsid w:val="00430E99"/>
    <w:rsid w:val="0043117A"/>
    <w:rsid w:val="004311D9"/>
    <w:rsid w:val="0043124E"/>
    <w:rsid w:val="004318F7"/>
    <w:rsid w:val="00431E12"/>
    <w:rsid w:val="004325CA"/>
    <w:rsid w:val="00432C19"/>
    <w:rsid w:val="00432C59"/>
    <w:rsid w:val="004333E6"/>
    <w:rsid w:val="00433453"/>
    <w:rsid w:val="00433771"/>
    <w:rsid w:val="00433A8C"/>
    <w:rsid w:val="00433DC5"/>
    <w:rsid w:val="00433E27"/>
    <w:rsid w:val="00433EF8"/>
    <w:rsid w:val="00434153"/>
    <w:rsid w:val="00434855"/>
    <w:rsid w:val="00434907"/>
    <w:rsid w:val="00434C83"/>
    <w:rsid w:val="00434F59"/>
    <w:rsid w:val="00435828"/>
    <w:rsid w:val="004400E9"/>
    <w:rsid w:val="004406A7"/>
    <w:rsid w:val="00440958"/>
    <w:rsid w:val="004410DA"/>
    <w:rsid w:val="00441166"/>
    <w:rsid w:val="0044125D"/>
    <w:rsid w:val="0044199F"/>
    <w:rsid w:val="00443434"/>
    <w:rsid w:val="00443489"/>
    <w:rsid w:val="00443A4F"/>
    <w:rsid w:val="00443F92"/>
    <w:rsid w:val="0044468A"/>
    <w:rsid w:val="0044486E"/>
    <w:rsid w:val="00444ABA"/>
    <w:rsid w:val="00444B28"/>
    <w:rsid w:val="004451CA"/>
    <w:rsid w:val="004451F6"/>
    <w:rsid w:val="004454E0"/>
    <w:rsid w:val="00445A1D"/>
    <w:rsid w:val="00445C23"/>
    <w:rsid w:val="0044682B"/>
    <w:rsid w:val="00446A43"/>
    <w:rsid w:val="00447052"/>
    <w:rsid w:val="004471AA"/>
    <w:rsid w:val="004476AC"/>
    <w:rsid w:val="00447761"/>
    <w:rsid w:val="00447A62"/>
    <w:rsid w:val="00447D05"/>
    <w:rsid w:val="00447D4F"/>
    <w:rsid w:val="00450276"/>
    <w:rsid w:val="00450386"/>
    <w:rsid w:val="00450D5E"/>
    <w:rsid w:val="004516EC"/>
    <w:rsid w:val="004526C8"/>
    <w:rsid w:val="00452C23"/>
    <w:rsid w:val="0045318B"/>
    <w:rsid w:val="0045323E"/>
    <w:rsid w:val="00453416"/>
    <w:rsid w:val="004539D2"/>
    <w:rsid w:val="0045411A"/>
    <w:rsid w:val="00454A07"/>
    <w:rsid w:val="004550FF"/>
    <w:rsid w:val="004558AC"/>
    <w:rsid w:val="004559DB"/>
    <w:rsid w:val="00455EAD"/>
    <w:rsid w:val="0045660B"/>
    <w:rsid w:val="0045679B"/>
    <w:rsid w:val="00456C8E"/>
    <w:rsid w:val="00456D00"/>
    <w:rsid w:val="00457EF5"/>
    <w:rsid w:val="0046023E"/>
    <w:rsid w:val="00460790"/>
    <w:rsid w:val="004613AF"/>
    <w:rsid w:val="00461668"/>
    <w:rsid w:val="00461C6C"/>
    <w:rsid w:val="00461DAA"/>
    <w:rsid w:val="00462911"/>
    <w:rsid w:val="00462B48"/>
    <w:rsid w:val="00462BF1"/>
    <w:rsid w:val="00462CAA"/>
    <w:rsid w:val="00462E07"/>
    <w:rsid w:val="004633CC"/>
    <w:rsid w:val="00463E60"/>
    <w:rsid w:val="00463F33"/>
    <w:rsid w:val="004640FA"/>
    <w:rsid w:val="0046429C"/>
    <w:rsid w:val="00464B90"/>
    <w:rsid w:val="004659BB"/>
    <w:rsid w:val="00465A51"/>
    <w:rsid w:val="00465AFC"/>
    <w:rsid w:val="004665C3"/>
    <w:rsid w:val="0046664A"/>
    <w:rsid w:val="004666A6"/>
    <w:rsid w:val="0046680E"/>
    <w:rsid w:val="00467314"/>
    <w:rsid w:val="00467702"/>
    <w:rsid w:val="0046785A"/>
    <w:rsid w:val="00467AD1"/>
    <w:rsid w:val="004717BE"/>
    <w:rsid w:val="004717C8"/>
    <w:rsid w:val="0047189A"/>
    <w:rsid w:val="00471C38"/>
    <w:rsid w:val="00471FC4"/>
    <w:rsid w:val="00472D93"/>
    <w:rsid w:val="00473002"/>
    <w:rsid w:val="004735CF"/>
    <w:rsid w:val="00473870"/>
    <w:rsid w:val="00473C0D"/>
    <w:rsid w:val="00473F0E"/>
    <w:rsid w:val="004748CC"/>
    <w:rsid w:val="00475077"/>
    <w:rsid w:val="00475947"/>
    <w:rsid w:val="004761E0"/>
    <w:rsid w:val="004763FC"/>
    <w:rsid w:val="00476CED"/>
    <w:rsid w:val="00476DE3"/>
    <w:rsid w:val="00477272"/>
    <w:rsid w:val="00477B7F"/>
    <w:rsid w:val="00477C69"/>
    <w:rsid w:val="00480C22"/>
    <w:rsid w:val="00481596"/>
    <w:rsid w:val="0048177E"/>
    <w:rsid w:val="00481B1D"/>
    <w:rsid w:val="00481FA0"/>
    <w:rsid w:val="00481FB8"/>
    <w:rsid w:val="00481FD9"/>
    <w:rsid w:val="00482211"/>
    <w:rsid w:val="0048414A"/>
    <w:rsid w:val="0048477F"/>
    <w:rsid w:val="004847ED"/>
    <w:rsid w:val="00484ED4"/>
    <w:rsid w:val="00485002"/>
    <w:rsid w:val="004850D6"/>
    <w:rsid w:val="0048554D"/>
    <w:rsid w:val="0048576B"/>
    <w:rsid w:val="00485C73"/>
    <w:rsid w:val="004861AA"/>
    <w:rsid w:val="004861DE"/>
    <w:rsid w:val="0048663C"/>
    <w:rsid w:val="00487AA0"/>
    <w:rsid w:val="00487E06"/>
    <w:rsid w:val="00491726"/>
    <w:rsid w:val="0049187B"/>
    <w:rsid w:val="00491A6C"/>
    <w:rsid w:val="00491C93"/>
    <w:rsid w:val="00492622"/>
    <w:rsid w:val="0049448A"/>
    <w:rsid w:val="0049456E"/>
    <w:rsid w:val="00494D8C"/>
    <w:rsid w:val="00494E4A"/>
    <w:rsid w:val="004951A9"/>
    <w:rsid w:val="00495594"/>
    <w:rsid w:val="00495A15"/>
    <w:rsid w:val="0049637E"/>
    <w:rsid w:val="00496709"/>
    <w:rsid w:val="00496C8A"/>
    <w:rsid w:val="00496F67"/>
    <w:rsid w:val="00497269"/>
    <w:rsid w:val="0049736E"/>
    <w:rsid w:val="00497429"/>
    <w:rsid w:val="004A0D08"/>
    <w:rsid w:val="004A0F4C"/>
    <w:rsid w:val="004A1927"/>
    <w:rsid w:val="004A1FA6"/>
    <w:rsid w:val="004A2539"/>
    <w:rsid w:val="004A2757"/>
    <w:rsid w:val="004A2939"/>
    <w:rsid w:val="004A2CC1"/>
    <w:rsid w:val="004A3450"/>
    <w:rsid w:val="004A37F1"/>
    <w:rsid w:val="004A3CC8"/>
    <w:rsid w:val="004A3CF4"/>
    <w:rsid w:val="004A4067"/>
    <w:rsid w:val="004A46BE"/>
    <w:rsid w:val="004A4AF2"/>
    <w:rsid w:val="004A4F8B"/>
    <w:rsid w:val="004A5035"/>
    <w:rsid w:val="004A5D02"/>
    <w:rsid w:val="004A645E"/>
    <w:rsid w:val="004A68CE"/>
    <w:rsid w:val="004A6B13"/>
    <w:rsid w:val="004A7372"/>
    <w:rsid w:val="004A7844"/>
    <w:rsid w:val="004A7D3B"/>
    <w:rsid w:val="004A7F8C"/>
    <w:rsid w:val="004B00AD"/>
    <w:rsid w:val="004B065B"/>
    <w:rsid w:val="004B0A56"/>
    <w:rsid w:val="004B105B"/>
    <w:rsid w:val="004B1405"/>
    <w:rsid w:val="004B1A4D"/>
    <w:rsid w:val="004B1F58"/>
    <w:rsid w:val="004B205F"/>
    <w:rsid w:val="004B23AE"/>
    <w:rsid w:val="004B2A70"/>
    <w:rsid w:val="004B2F8B"/>
    <w:rsid w:val="004B3014"/>
    <w:rsid w:val="004B341C"/>
    <w:rsid w:val="004B3794"/>
    <w:rsid w:val="004B3A6C"/>
    <w:rsid w:val="004B454B"/>
    <w:rsid w:val="004B4C4E"/>
    <w:rsid w:val="004B4F91"/>
    <w:rsid w:val="004B542E"/>
    <w:rsid w:val="004B5D2E"/>
    <w:rsid w:val="004B669F"/>
    <w:rsid w:val="004B69D5"/>
    <w:rsid w:val="004B6D02"/>
    <w:rsid w:val="004B7CDA"/>
    <w:rsid w:val="004B7F69"/>
    <w:rsid w:val="004C0782"/>
    <w:rsid w:val="004C09AD"/>
    <w:rsid w:val="004C0A86"/>
    <w:rsid w:val="004C119D"/>
    <w:rsid w:val="004C1A6D"/>
    <w:rsid w:val="004C2C3E"/>
    <w:rsid w:val="004C3CD6"/>
    <w:rsid w:val="004C454C"/>
    <w:rsid w:val="004C4775"/>
    <w:rsid w:val="004C4803"/>
    <w:rsid w:val="004C56A3"/>
    <w:rsid w:val="004C61C3"/>
    <w:rsid w:val="004C63B8"/>
    <w:rsid w:val="004C6438"/>
    <w:rsid w:val="004C673B"/>
    <w:rsid w:val="004C6765"/>
    <w:rsid w:val="004C6A07"/>
    <w:rsid w:val="004C7432"/>
    <w:rsid w:val="004C7889"/>
    <w:rsid w:val="004C7A34"/>
    <w:rsid w:val="004D01BE"/>
    <w:rsid w:val="004D033A"/>
    <w:rsid w:val="004D090B"/>
    <w:rsid w:val="004D102E"/>
    <w:rsid w:val="004D11F8"/>
    <w:rsid w:val="004D1248"/>
    <w:rsid w:val="004D188E"/>
    <w:rsid w:val="004D1942"/>
    <w:rsid w:val="004D1B00"/>
    <w:rsid w:val="004D2218"/>
    <w:rsid w:val="004D2711"/>
    <w:rsid w:val="004D34ED"/>
    <w:rsid w:val="004D3810"/>
    <w:rsid w:val="004D384D"/>
    <w:rsid w:val="004D3E2A"/>
    <w:rsid w:val="004D508E"/>
    <w:rsid w:val="004D534A"/>
    <w:rsid w:val="004D5C8D"/>
    <w:rsid w:val="004D614B"/>
    <w:rsid w:val="004D64D5"/>
    <w:rsid w:val="004D6515"/>
    <w:rsid w:val="004D6952"/>
    <w:rsid w:val="004D6964"/>
    <w:rsid w:val="004D6998"/>
    <w:rsid w:val="004D6EAB"/>
    <w:rsid w:val="004D738C"/>
    <w:rsid w:val="004D7F75"/>
    <w:rsid w:val="004D7FCD"/>
    <w:rsid w:val="004E0B5B"/>
    <w:rsid w:val="004E1218"/>
    <w:rsid w:val="004E13A5"/>
    <w:rsid w:val="004E1A20"/>
    <w:rsid w:val="004E1EF2"/>
    <w:rsid w:val="004E2045"/>
    <w:rsid w:val="004E2070"/>
    <w:rsid w:val="004E2731"/>
    <w:rsid w:val="004E39E9"/>
    <w:rsid w:val="004E440A"/>
    <w:rsid w:val="004E48D4"/>
    <w:rsid w:val="004E4D47"/>
    <w:rsid w:val="004E5026"/>
    <w:rsid w:val="004E519F"/>
    <w:rsid w:val="004E56DC"/>
    <w:rsid w:val="004E633C"/>
    <w:rsid w:val="004E63E2"/>
    <w:rsid w:val="004E661A"/>
    <w:rsid w:val="004E6736"/>
    <w:rsid w:val="004E6878"/>
    <w:rsid w:val="004E6887"/>
    <w:rsid w:val="004E689C"/>
    <w:rsid w:val="004E6911"/>
    <w:rsid w:val="004E7467"/>
    <w:rsid w:val="004E78BE"/>
    <w:rsid w:val="004E7B50"/>
    <w:rsid w:val="004E7E9F"/>
    <w:rsid w:val="004F05FD"/>
    <w:rsid w:val="004F0890"/>
    <w:rsid w:val="004F0CA2"/>
    <w:rsid w:val="004F1117"/>
    <w:rsid w:val="004F1CD7"/>
    <w:rsid w:val="004F2101"/>
    <w:rsid w:val="004F2521"/>
    <w:rsid w:val="004F36E0"/>
    <w:rsid w:val="004F419C"/>
    <w:rsid w:val="004F4D47"/>
    <w:rsid w:val="004F5BCF"/>
    <w:rsid w:val="004F63A7"/>
    <w:rsid w:val="004F6491"/>
    <w:rsid w:val="004F6788"/>
    <w:rsid w:val="004F6FB8"/>
    <w:rsid w:val="004F704A"/>
    <w:rsid w:val="004F720B"/>
    <w:rsid w:val="004F78AF"/>
    <w:rsid w:val="004F7A49"/>
    <w:rsid w:val="00500463"/>
    <w:rsid w:val="00500815"/>
    <w:rsid w:val="00500AB2"/>
    <w:rsid w:val="00500CFF"/>
    <w:rsid w:val="00501531"/>
    <w:rsid w:val="0050171D"/>
    <w:rsid w:val="00503140"/>
    <w:rsid w:val="005034CE"/>
    <w:rsid w:val="005043BA"/>
    <w:rsid w:val="00504564"/>
    <w:rsid w:val="00504F2B"/>
    <w:rsid w:val="005050F9"/>
    <w:rsid w:val="005052D2"/>
    <w:rsid w:val="0050536B"/>
    <w:rsid w:val="00505C27"/>
    <w:rsid w:val="00506243"/>
    <w:rsid w:val="00506289"/>
    <w:rsid w:val="00507185"/>
    <w:rsid w:val="0050744D"/>
    <w:rsid w:val="00507A34"/>
    <w:rsid w:val="005107C4"/>
    <w:rsid w:val="005111AB"/>
    <w:rsid w:val="005112C5"/>
    <w:rsid w:val="00511868"/>
    <w:rsid w:val="00511913"/>
    <w:rsid w:val="00512997"/>
    <w:rsid w:val="0051356C"/>
    <w:rsid w:val="00513701"/>
    <w:rsid w:val="00513970"/>
    <w:rsid w:val="00513F80"/>
    <w:rsid w:val="00514F55"/>
    <w:rsid w:val="005156A4"/>
    <w:rsid w:val="005156F6"/>
    <w:rsid w:val="00515902"/>
    <w:rsid w:val="00516497"/>
    <w:rsid w:val="00516B33"/>
    <w:rsid w:val="00516F2E"/>
    <w:rsid w:val="00517002"/>
    <w:rsid w:val="00517B47"/>
    <w:rsid w:val="00517B73"/>
    <w:rsid w:val="00517B96"/>
    <w:rsid w:val="005203D1"/>
    <w:rsid w:val="005206D8"/>
    <w:rsid w:val="005209A3"/>
    <w:rsid w:val="0052177F"/>
    <w:rsid w:val="00521D52"/>
    <w:rsid w:val="00521E2C"/>
    <w:rsid w:val="00521EDF"/>
    <w:rsid w:val="00522834"/>
    <w:rsid w:val="00523669"/>
    <w:rsid w:val="00523ABA"/>
    <w:rsid w:val="00523C12"/>
    <w:rsid w:val="00523DED"/>
    <w:rsid w:val="0052476B"/>
    <w:rsid w:val="00524C8F"/>
    <w:rsid w:val="00524F5B"/>
    <w:rsid w:val="005251A0"/>
    <w:rsid w:val="00525840"/>
    <w:rsid w:val="00525B74"/>
    <w:rsid w:val="00525BE5"/>
    <w:rsid w:val="00525F58"/>
    <w:rsid w:val="00526103"/>
    <w:rsid w:val="005262FB"/>
    <w:rsid w:val="00526D9B"/>
    <w:rsid w:val="00526DCA"/>
    <w:rsid w:val="005304EA"/>
    <w:rsid w:val="00530ADF"/>
    <w:rsid w:val="005310D7"/>
    <w:rsid w:val="005312B9"/>
    <w:rsid w:val="0053192B"/>
    <w:rsid w:val="00532208"/>
    <w:rsid w:val="00532E45"/>
    <w:rsid w:val="00532F13"/>
    <w:rsid w:val="00533153"/>
    <w:rsid w:val="00533947"/>
    <w:rsid w:val="00533A03"/>
    <w:rsid w:val="00533DFF"/>
    <w:rsid w:val="005342E0"/>
    <w:rsid w:val="00535791"/>
    <w:rsid w:val="00535F2C"/>
    <w:rsid w:val="005365AE"/>
    <w:rsid w:val="00536B09"/>
    <w:rsid w:val="0053714B"/>
    <w:rsid w:val="005378D5"/>
    <w:rsid w:val="00537CF3"/>
    <w:rsid w:val="00537D17"/>
    <w:rsid w:val="005406F5"/>
    <w:rsid w:val="00540ACC"/>
    <w:rsid w:val="0054206A"/>
    <w:rsid w:val="00542074"/>
    <w:rsid w:val="0054215D"/>
    <w:rsid w:val="00542224"/>
    <w:rsid w:val="005425BD"/>
    <w:rsid w:val="00542A19"/>
    <w:rsid w:val="00542DA7"/>
    <w:rsid w:val="00543018"/>
    <w:rsid w:val="00543067"/>
    <w:rsid w:val="00543113"/>
    <w:rsid w:val="0054323C"/>
    <w:rsid w:val="00543AC4"/>
    <w:rsid w:val="005440F0"/>
    <w:rsid w:val="0054471B"/>
    <w:rsid w:val="00545C21"/>
    <w:rsid w:val="00545E4E"/>
    <w:rsid w:val="00546DAB"/>
    <w:rsid w:val="005474F1"/>
    <w:rsid w:val="0054791C"/>
    <w:rsid w:val="00550A11"/>
    <w:rsid w:val="00550E0E"/>
    <w:rsid w:val="00550F33"/>
    <w:rsid w:val="005510C1"/>
    <w:rsid w:val="00551626"/>
    <w:rsid w:val="00551967"/>
    <w:rsid w:val="00551D1E"/>
    <w:rsid w:val="00552078"/>
    <w:rsid w:val="0055215D"/>
    <w:rsid w:val="005524C2"/>
    <w:rsid w:val="00552FFD"/>
    <w:rsid w:val="00553964"/>
    <w:rsid w:val="005541AF"/>
    <w:rsid w:val="0055452A"/>
    <w:rsid w:val="005545C1"/>
    <w:rsid w:val="00554838"/>
    <w:rsid w:val="0055535D"/>
    <w:rsid w:val="00555FEC"/>
    <w:rsid w:val="0055625E"/>
    <w:rsid w:val="005569FC"/>
    <w:rsid w:val="00557185"/>
    <w:rsid w:val="00557961"/>
    <w:rsid w:val="00557FBD"/>
    <w:rsid w:val="00560179"/>
    <w:rsid w:val="00560691"/>
    <w:rsid w:val="00560E23"/>
    <w:rsid w:val="00560F82"/>
    <w:rsid w:val="00560FBD"/>
    <w:rsid w:val="005610A1"/>
    <w:rsid w:val="005610C8"/>
    <w:rsid w:val="005611C4"/>
    <w:rsid w:val="005619A3"/>
    <w:rsid w:val="00561B3B"/>
    <w:rsid w:val="0056256B"/>
    <w:rsid w:val="00562B30"/>
    <w:rsid w:val="00562E29"/>
    <w:rsid w:val="00562EAE"/>
    <w:rsid w:val="00563D9D"/>
    <w:rsid w:val="00564255"/>
    <w:rsid w:val="005652C0"/>
    <w:rsid w:val="00565468"/>
    <w:rsid w:val="005658B1"/>
    <w:rsid w:val="00565AFD"/>
    <w:rsid w:val="00565CD8"/>
    <w:rsid w:val="00565F9D"/>
    <w:rsid w:val="005663C3"/>
    <w:rsid w:val="00566B6C"/>
    <w:rsid w:val="00566E48"/>
    <w:rsid w:val="00567049"/>
    <w:rsid w:val="0056725C"/>
    <w:rsid w:val="005679A2"/>
    <w:rsid w:val="00567D51"/>
    <w:rsid w:val="00570265"/>
    <w:rsid w:val="005706EA"/>
    <w:rsid w:val="0057113D"/>
    <w:rsid w:val="0057144F"/>
    <w:rsid w:val="0057155B"/>
    <w:rsid w:val="005715FC"/>
    <w:rsid w:val="00571E40"/>
    <w:rsid w:val="00573329"/>
    <w:rsid w:val="005734DD"/>
    <w:rsid w:val="00573D16"/>
    <w:rsid w:val="005741A9"/>
    <w:rsid w:val="0057467D"/>
    <w:rsid w:val="00574AD0"/>
    <w:rsid w:val="00574D28"/>
    <w:rsid w:val="00574E70"/>
    <w:rsid w:val="00576282"/>
    <w:rsid w:val="00576389"/>
    <w:rsid w:val="005772E4"/>
    <w:rsid w:val="0057770E"/>
    <w:rsid w:val="00577731"/>
    <w:rsid w:val="005807B3"/>
    <w:rsid w:val="00580D8F"/>
    <w:rsid w:val="0058156B"/>
    <w:rsid w:val="00581B70"/>
    <w:rsid w:val="00581F34"/>
    <w:rsid w:val="005825CC"/>
    <w:rsid w:val="005828BD"/>
    <w:rsid w:val="00582AFE"/>
    <w:rsid w:val="00582CDD"/>
    <w:rsid w:val="00582D07"/>
    <w:rsid w:val="00582EFB"/>
    <w:rsid w:val="005834CE"/>
    <w:rsid w:val="0058392C"/>
    <w:rsid w:val="00583A07"/>
    <w:rsid w:val="00583CF3"/>
    <w:rsid w:val="00584D7D"/>
    <w:rsid w:val="00585725"/>
    <w:rsid w:val="00585C16"/>
    <w:rsid w:val="00586810"/>
    <w:rsid w:val="00587F15"/>
    <w:rsid w:val="00590185"/>
    <w:rsid w:val="005901DD"/>
    <w:rsid w:val="0059073E"/>
    <w:rsid w:val="00590E60"/>
    <w:rsid w:val="00591336"/>
    <w:rsid w:val="00591866"/>
    <w:rsid w:val="00591DC6"/>
    <w:rsid w:val="00591E06"/>
    <w:rsid w:val="0059213C"/>
    <w:rsid w:val="00593578"/>
    <w:rsid w:val="005938A7"/>
    <w:rsid w:val="0059392D"/>
    <w:rsid w:val="0059393F"/>
    <w:rsid w:val="00594393"/>
    <w:rsid w:val="005951D4"/>
    <w:rsid w:val="00595BE4"/>
    <w:rsid w:val="00595ECE"/>
    <w:rsid w:val="0059611B"/>
    <w:rsid w:val="0059794E"/>
    <w:rsid w:val="00597B20"/>
    <w:rsid w:val="00597B5E"/>
    <w:rsid w:val="00597C57"/>
    <w:rsid w:val="00597C7F"/>
    <w:rsid w:val="005A0FB1"/>
    <w:rsid w:val="005A1C23"/>
    <w:rsid w:val="005A2128"/>
    <w:rsid w:val="005A2AE3"/>
    <w:rsid w:val="005A37C9"/>
    <w:rsid w:val="005A3A4E"/>
    <w:rsid w:val="005A4784"/>
    <w:rsid w:val="005A4FC9"/>
    <w:rsid w:val="005A5504"/>
    <w:rsid w:val="005A58A7"/>
    <w:rsid w:val="005A65B1"/>
    <w:rsid w:val="005A6794"/>
    <w:rsid w:val="005A6924"/>
    <w:rsid w:val="005A6B50"/>
    <w:rsid w:val="005A6D52"/>
    <w:rsid w:val="005A6F5C"/>
    <w:rsid w:val="005A70D6"/>
    <w:rsid w:val="005A71D0"/>
    <w:rsid w:val="005A797A"/>
    <w:rsid w:val="005A7B6B"/>
    <w:rsid w:val="005A7D92"/>
    <w:rsid w:val="005B0548"/>
    <w:rsid w:val="005B07A6"/>
    <w:rsid w:val="005B0B49"/>
    <w:rsid w:val="005B1872"/>
    <w:rsid w:val="005B1EB3"/>
    <w:rsid w:val="005B1F6A"/>
    <w:rsid w:val="005B228B"/>
    <w:rsid w:val="005B299E"/>
    <w:rsid w:val="005B3063"/>
    <w:rsid w:val="005B32E8"/>
    <w:rsid w:val="005B357E"/>
    <w:rsid w:val="005B3891"/>
    <w:rsid w:val="005B3FA0"/>
    <w:rsid w:val="005B4228"/>
    <w:rsid w:val="005B49D1"/>
    <w:rsid w:val="005B4DDC"/>
    <w:rsid w:val="005B5007"/>
    <w:rsid w:val="005B5546"/>
    <w:rsid w:val="005B59AE"/>
    <w:rsid w:val="005B5FAA"/>
    <w:rsid w:val="005B65DD"/>
    <w:rsid w:val="005B733E"/>
    <w:rsid w:val="005C0338"/>
    <w:rsid w:val="005C084F"/>
    <w:rsid w:val="005C087D"/>
    <w:rsid w:val="005C092C"/>
    <w:rsid w:val="005C093B"/>
    <w:rsid w:val="005C0A8F"/>
    <w:rsid w:val="005C178B"/>
    <w:rsid w:val="005C241B"/>
    <w:rsid w:val="005C2633"/>
    <w:rsid w:val="005C2C07"/>
    <w:rsid w:val="005C3B9F"/>
    <w:rsid w:val="005C3F32"/>
    <w:rsid w:val="005C3F54"/>
    <w:rsid w:val="005C44A2"/>
    <w:rsid w:val="005C44E6"/>
    <w:rsid w:val="005C45A0"/>
    <w:rsid w:val="005C4E46"/>
    <w:rsid w:val="005C506F"/>
    <w:rsid w:val="005C52DA"/>
    <w:rsid w:val="005C55E0"/>
    <w:rsid w:val="005C5B49"/>
    <w:rsid w:val="005C60B7"/>
    <w:rsid w:val="005C61DF"/>
    <w:rsid w:val="005C631E"/>
    <w:rsid w:val="005C65A9"/>
    <w:rsid w:val="005C718B"/>
    <w:rsid w:val="005C726E"/>
    <w:rsid w:val="005C775B"/>
    <w:rsid w:val="005C7A11"/>
    <w:rsid w:val="005C7EAD"/>
    <w:rsid w:val="005D052D"/>
    <w:rsid w:val="005D2A27"/>
    <w:rsid w:val="005D3505"/>
    <w:rsid w:val="005D3D7A"/>
    <w:rsid w:val="005D3EE8"/>
    <w:rsid w:val="005D3FFC"/>
    <w:rsid w:val="005D46AE"/>
    <w:rsid w:val="005D4E06"/>
    <w:rsid w:val="005D5138"/>
    <w:rsid w:val="005D54AB"/>
    <w:rsid w:val="005D5766"/>
    <w:rsid w:val="005D5BCA"/>
    <w:rsid w:val="005D5FF2"/>
    <w:rsid w:val="005D600E"/>
    <w:rsid w:val="005D6546"/>
    <w:rsid w:val="005D6899"/>
    <w:rsid w:val="005D69C1"/>
    <w:rsid w:val="005D7395"/>
    <w:rsid w:val="005D78E1"/>
    <w:rsid w:val="005D78E7"/>
    <w:rsid w:val="005D79AA"/>
    <w:rsid w:val="005D7E8D"/>
    <w:rsid w:val="005E0382"/>
    <w:rsid w:val="005E0510"/>
    <w:rsid w:val="005E098A"/>
    <w:rsid w:val="005E0C2E"/>
    <w:rsid w:val="005E146D"/>
    <w:rsid w:val="005E16E0"/>
    <w:rsid w:val="005E177C"/>
    <w:rsid w:val="005E1EA0"/>
    <w:rsid w:val="005E20BC"/>
    <w:rsid w:val="005E2DD1"/>
    <w:rsid w:val="005E3081"/>
    <w:rsid w:val="005E32F3"/>
    <w:rsid w:val="005E39AD"/>
    <w:rsid w:val="005E51BF"/>
    <w:rsid w:val="005E5D9C"/>
    <w:rsid w:val="005E686F"/>
    <w:rsid w:val="005E6878"/>
    <w:rsid w:val="005E7C18"/>
    <w:rsid w:val="005F00E3"/>
    <w:rsid w:val="005F0CAA"/>
    <w:rsid w:val="005F0F41"/>
    <w:rsid w:val="005F2439"/>
    <w:rsid w:val="005F2858"/>
    <w:rsid w:val="005F29E3"/>
    <w:rsid w:val="005F2E46"/>
    <w:rsid w:val="005F3A7A"/>
    <w:rsid w:val="005F41E4"/>
    <w:rsid w:val="005F426C"/>
    <w:rsid w:val="005F4493"/>
    <w:rsid w:val="005F4694"/>
    <w:rsid w:val="005F484B"/>
    <w:rsid w:val="005F5120"/>
    <w:rsid w:val="005F5B3F"/>
    <w:rsid w:val="005F5C20"/>
    <w:rsid w:val="005F5F26"/>
    <w:rsid w:val="005F6F54"/>
    <w:rsid w:val="005F74B7"/>
    <w:rsid w:val="005F7AA1"/>
    <w:rsid w:val="005F7B58"/>
    <w:rsid w:val="005F7EDE"/>
    <w:rsid w:val="005F7FA5"/>
    <w:rsid w:val="00600695"/>
    <w:rsid w:val="00600CA1"/>
    <w:rsid w:val="00600D61"/>
    <w:rsid w:val="0060119E"/>
    <w:rsid w:val="00601BDE"/>
    <w:rsid w:val="00601CA7"/>
    <w:rsid w:val="0060244A"/>
    <w:rsid w:val="006024C9"/>
    <w:rsid w:val="006028CD"/>
    <w:rsid w:val="00602945"/>
    <w:rsid w:val="006029EA"/>
    <w:rsid w:val="00602E79"/>
    <w:rsid w:val="00603052"/>
    <w:rsid w:val="006034B8"/>
    <w:rsid w:val="00603702"/>
    <w:rsid w:val="0060508A"/>
    <w:rsid w:val="00605650"/>
    <w:rsid w:val="00605E5B"/>
    <w:rsid w:val="00606607"/>
    <w:rsid w:val="0060668D"/>
    <w:rsid w:val="00606EFB"/>
    <w:rsid w:val="00607135"/>
    <w:rsid w:val="006077AA"/>
    <w:rsid w:val="00607C88"/>
    <w:rsid w:val="0061067A"/>
    <w:rsid w:val="006115E0"/>
    <w:rsid w:val="00611785"/>
    <w:rsid w:val="00611A24"/>
    <w:rsid w:val="006122B8"/>
    <w:rsid w:val="006125AE"/>
    <w:rsid w:val="006126D9"/>
    <w:rsid w:val="00612AA6"/>
    <w:rsid w:val="00612D19"/>
    <w:rsid w:val="00613351"/>
    <w:rsid w:val="00613BEA"/>
    <w:rsid w:val="00613C8E"/>
    <w:rsid w:val="00614044"/>
    <w:rsid w:val="00614070"/>
    <w:rsid w:val="0061467C"/>
    <w:rsid w:val="00614A35"/>
    <w:rsid w:val="00615324"/>
    <w:rsid w:val="00615FFA"/>
    <w:rsid w:val="00616687"/>
    <w:rsid w:val="00616BB7"/>
    <w:rsid w:val="00616BEF"/>
    <w:rsid w:val="0061763A"/>
    <w:rsid w:val="0061798B"/>
    <w:rsid w:val="006179A8"/>
    <w:rsid w:val="00617CBA"/>
    <w:rsid w:val="00620A57"/>
    <w:rsid w:val="00620AAB"/>
    <w:rsid w:val="00620FEB"/>
    <w:rsid w:val="0062157D"/>
    <w:rsid w:val="006215AC"/>
    <w:rsid w:val="00621B4B"/>
    <w:rsid w:val="00621FD2"/>
    <w:rsid w:val="00622090"/>
    <w:rsid w:val="00622439"/>
    <w:rsid w:val="00623020"/>
    <w:rsid w:val="006234E3"/>
    <w:rsid w:val="00623772"/>
    <w:rsid w:val="00623A56"/>
    <w:rsid w:val="00623CD7"/>
    <w:rsid w:val="00623EF9"/>
    <w:rsid w:val="006240F1"/>
    <w:rsid w:val="00624364"/>
    <w:rsid w:val="00624873"/>
    <w:rsid w:val="00624EAD"/>
    <w:rsid w:val="006254F3"/>
    <w:rsid w:val="00625936"/>
    <w:rsid w:val="00625E3D"/>
    <w:rsid w:val="006268EE"/>
    <w:rsid w:val="00626A44"/>
    <w:rsid w:val="00626BD2"/>
    <w:rsid w:val="00626D5E"/>
    <w:rsid w:val="0062704C"/>
    <w:rsid w:val="00630C36"/>
    <w:rsid w:val="00631A2A"/>
    <w:rsid w:val="00631E76"/>
    <w:rsid w:val="00632885"/>
    <w:rsid w:val="00632B6D"/>
    <w:rsid w:val="00632EA6"/>
    <w:rsid w:val="00633C66"/>
    <w:rsid w:val="00633E94"/>
    <w:rsid w:val="00634E22"/>
    <w:rsid w:val="0063639F"/>
    <w:rsid w:val="00636AD0"/>
    <w:rsid w:val="00640196"/>
    <w:rsid w:val="0064099D"/>
    <w:rsid w:val="00640EE4"/>
    <w:rsid w:val="006410CD"/>
    <w:rsid w:val="006411CC"/>
    <w:rsid w:val="0064123B"/>
    <w:rsid w:val="0064166A"/>
    <w:rsid w:val="006420D4"/>
    <w:rsid w:val="0064255A"/>
    <w:rsid w:val="00642CAA"/>
    <w:rsid w:val="006437CA"/>
    <w:rsid w:val="006439B7"/>
    <w:rsid w:val="00643D67"/>
    <w:rsid w:val="00643F02"/>
    <w:rsid w:val="00643FBC"/>
    <w:rsid w:val="006444C7"/>
    <w:rsid w:val="00644C38"/>
    <w:rsid w:val="00644D38"/>
    <w:rsid w:val="00645478"/>
    <w:rsid w:val="006457DB"/>
    <w:rsid w:val="00646604"/>
    <w:rsid w:val="00647453"/>
    <w:rsid w:val="006474FD"/>
    <w:rsid w:val="00647F6E"/>
    <w:rsid w:val="0065002A"/>
    <w:rsid w:val="00650457"/>
    <w:rsid w:val="0065071E"/>
    <w:rsid w:val="00650B61"/>
    <w:rsid w:val="0065118B"/>
    <w:rsid w:val="006514DA"/>
    <w:rsid w:val="0065163A"/>
    <w:rsid w:val="00651B37"/>
    <w:rsid w:val="006524B2"/>
    <w:rsid w:val="0065258E"/>
    <w:rsid w:val="0065338F"/>
    <w:rsid w:val="00653560"/>
    <w:rsid w:val="00653618"/>
    <w:rsid w:val="006546B4"/>
    <w:rsid w:val="00655E0A"/>
    <w:rsid w:val="00655E16"/>
    <w:rsid w:val="006560A1"/>
    <w:rsid w:val="00656B41"/>
    <w:rsid w:val="006574D6"/>
    <w:rsid w:val="00657809"/>
    <w:rsid w:val="00657C54"/>
    <w:rsid w:val="006602A9"/>
    <w:rsid w:val="006604F2"/>
    <w:rsid w:val="006606D9"/>
    <w:rsid w:val="00660A9F"/>
    <w:rsid w:val="00661380"/>
    <w:rsid w:val="006624D9"/>
    <w:rsid w:val="00662564"/>
    <w:rsid w:val="00662983"/>
    <w:rsid w:val="00663804"/>
    <w:rsid w:val="00663B22"/>
    <w:rsid w:val="006640B3"/>
    <w:rsid w:val="006648E0"/>
    <w:rsid w:val="00665524"/>
    <w:rsid w:val="00666A3A"/>
    <w:rsid w:val="0066774C"/>
    <w:rsid w:val="00667877"/>
    <w:rsid w:val="006679D6"/>
    <w:rsid w:val="00667AAD"/>
    <w:rsid w:val="00667DE9"/>
    <w:rsid w:val="00670B70"/>
    <w:rsid w:val="00670BD4"/>
    <w:rsid w:val="00670F54"/>
    <w:rsid w:val="00671107"/>
    <w:rsid w:val="0067216B"/>
    <w:rsid w:val="006723BC"/>
    <w:rsid w:val="006728E4"/>
    <w:rsid w:val="00672C48"/>
    <w:rsid w:val="00673429"/>
    <w:rsid w:val="00673807"/>
    <w:rsid w:val="00673960"/>
    <w:rsid w:val="00673FDC"/>
    <w:rsid w:val="0067426D"/>
    <w:rsid w:val="00674C0E"/>
    <w:rsid w:val="00675265"/>
    <w:rsid w:val="0067533E"/>
    <w:rsid w:val="006757D5"/>
    <w:rsid w:val="00675885"/>
    <w:rsid w:val="00675DEC"/>
    <w:rsid w:val="00675F6A"/>
    <w:rsid w:val="00676062"/>
    <w:rsid w:val="00676FCA"/>
    <w:rsid w:val="0067705F"/>
    <w:rsid w:val="006772D6"/>
    <w:rsid w:val="00677C63"/>
    <w:rsid w:val="00680031"/>
    <w:rsid w:val="00680309"/>
    <w:rsid w:val="00680439"/>
    <w:rsid w:val="00681080"/>
    <w:rsid w:val="006810ED"/>
    <w:rsid w:val="0068119A"/>
    <w:rsid w:val="0068194E"/>
    <w:rsid w:val="00682A3D"/>
    <w:rsid w:val="00682F11"/>
    <w:rsid w:val="00683630"/>
    <w:rsid w:val="0068370B"/>
    <w:rsid w:val="00683E5B"/>
    <w:rsid w:val="006845A7"/>
    <w:rsid w:val="00684C10"/>
    <w:rsid w:val="00684F21"/>
    <w:rsid w:val="0068557A"/>
    <w:rsid w:val="0068622E"/>
    <w:rsid w:val="006863D4"/>
    <w:rsid w:val="00686891"/>
    <w:rsid w:val="00686B5A"/>
    <w:rsid w:val="00686C57"/>
    <w:rsid w:val="00686D6C"/>
    <w:rsid w:val="006873C7"/>
    <w:rsid w:val="00687648"/>
    <w:rsid w:val="006877D2"/>
    <w:rsid w:val="0069018E"/>
    <w:rsid w:val="0069065C"/>
    <w:rsid w:val="00691BFE"/>
    <w:rsid w:val="0069224A"/>
    <w:rsid w:val="00692486"/>
    <w:rsid w:val="00692AC0"/>
    <w:rsid w:val="0069317C"/>
    <w:rsid w:val="006932A5"/>
    <w:rsid w:val="00693302"/>
    <w:rsid w:val="006939DF"/>
    <w:rsid w:val="00693B78"/>
    <w:rsid w:val="0069455A"/>
    <w:rsid w:val="00694AFB"/>
    <w:rsid w:val="006950ED"/>
    <w:rsid w:val="006951BA"/>
    <w:rsid w:val="006953A4"/>
    <w:rsid w:val="0069558D"/>
    <w:rsid w:val="006959BE"/>
    <w:rsid w:val="006963B0"/>
    <w:rsid w:val="006964E0"/>
    <w:rsid w:val="00696601"/>
    <w:rsid w:val="0069692E"/>
    <w:rsid w:val="00696EFD"/>
    <w:rsid w:val="006972DB"/>
    <w:rsid w:val="006975D5"/>
    <w:rsid w:val="0069771D"/>
    <w:rsid w:val="00697742"/>
    <w:rsid w:val="00697D01"/>
    <w:rsid w:val="00697D8E"/>
    <w:rsid w:val="00697DD1"/>
    <w:rsid w:val="006A006C"/>
    <w:rsid w:val="006A086B"/>
    <w:rsid w:val="006A1165"/>
    <w:rsid w:val="006A180B"/>
    <w:rsid w:val="006A2A67"/>
    <w:rsid w:val="006A2CE1"/>
    <w:rsid w:val="006A3368"/>
    <w:rsid w:val="006A35DF"/>
    <w:rsid w:val="006A432E"/>
    <w:rsid w:val="006A444B"/>
    <w:rsid w:val="006A478A"/>
    <w:rsid w:val="006A50CF"/>
    <w:rsid w:val="006A5B3C"/>
    <w:rsid w:val="006A6621"/>
    <w:rsid w:val="006A67AF"/>
    <w:rsid w:val="006A6DA4"/>
    <w:rsid w:val="006A7132"/>
    <w:rsid w:val="006A76FE"/>
    <w:rsid w:val="006A7803"/>
    <w:rsid w:val="006A7ABC"/>
    <w:rsid w:val="006A7F52"/>
    <w:rsid w:val="006B0D6A"/>
    <w:rsid w:val="006B0E79"/>
    <w:rsid w:val="006B1FE8"/>
    <w:rsid w:val="006B261F"/>
    <w:rsid w:val="006B29BC"/>
    <w:rsid w:val="006B2CF4"/>
    <w:rsid w:val="006B3220"/>
    <w:rsid w:val="006B35D4"/>
    <w:rsid w:val="006B3A03"/>
    <w:rsid w:val="006B4822"/>
    <w:rsid w:val="006B4CBC"/>
    <w:rsid w:val="006B4E57"/>
    <w:rsid w:val="006B53B5"/>
    <w:rsid w:val="006B57AC"/>
    <w:rsid w:val="006B626D"/>
    <w:rsid w:val="006B62DC"/>
    <w:rsid w:val="006B6318"/>
    <w:rsid w:val="006B6471"/>
    <w:rsid w:val="006C0189"/>
    <w:rsid w:val="006C03CF"/>
    <w:rsid w:val="006C04AB"/>
    <w:rsid w:val="006C097C"/>
    <w:rsid w:val="006C0AEF"/>
    <w:rsid w:val="006C10A4"/>
    <w:rsid w:val="006C1A9B"/>
    <w:rsid w:val="006C1B7E"/>
    <w:rsid w:val="006C20C6"/>
    <w:rsid w:val="006C2365"/>
    <w:rsid w:val="006C3304"/>
    <w:rsid w:val="006C3442"/>
    <w:rsid w:val="006C3B3B"/>
    <w:rsid w:val="006C3D27"/>
    <w:rsid w:val="006C3E59"/>
    <w:rsid w:val="006C3F21"/>
    <w:rsid w:val="006C4408"/>
    <w:rsid w:val="006C46C9"/>
    <w:rsid w:val="006C4B32"/>
    <w:rsid w:val="006C5153"/>
    <w:rsid w:val="006C535A"/>
    <w:rsid w:val="006C55BB"/>
    <w:rsid w:val="006C60AE"/>
    <w:rsid w:val="006C6119"/>
    <w:rsid w:val="006C69A0"/>
    <w:rsid w:val="006C76DC"/>
    <w:rsid w:val="006C7DDB"/>
    <w:rsid w:val="006D014D"/>
    <w:rsid w:val="006D05F7"/>
    <w:rsid w:val="006D211E"/>
    <w:rsid w:val="006D24F4"/>
    <w:rsid w:val="006D2911"/>
    <w:rsid w:val="006D2C95"/>
    <w:rsid w:val="006D2FB4"/>
    <w:rsid w:val="006D3B30"/>
    <w:rsid w:val="006D3DD6"/>
    <w:rsid w:val="006D51C5"/>
    <w:rsid w:val="006D52B1"/>
    <w:rsid w:val="006D53C8"/>
    <w:rsid w:val="006D5709"/>
    <w:rsid w:val="006D5D33"/>
    <w:rsid w:val="006D5D8A"/>
    <w:rsid w:val="006D5EAE"/>
    <w:rsid w:val="006D60C8"/>
    <w:rsid w:val="006D6146"/>
    <w:rsid w:val="006D6A7A"/>
    <w:rsid w:val="006D703F"/>
    <w:rsid w:val="006D75BE"/>
    <w:rsid w:val="006D7673"/>
    <w:rsid w:val="006D79BE"/>
    <w:rsid w:val="006D7FCD"/>
    <w:rsid w:val="006E1168"/>
    <w:rsid w:val="006E16D5"/>
    <w:rsid w:val="006E17FD"/>
    <w:rsid w:val="006E1D91"/>
    <w:rsid w:val="006E2A57"/>
    <w:rsid w:val="006E3002"/>
    <w:rsid w:val="006E3387"/>
    <w:rsid w:val="006E3798"/>
    <w:rsid w:val="006E48EC"/>
    <w:rsid w:val="006E49F7"/>
    <w:rsid w:val="006E4F67"/>
    <w:rsid w:val="006E5085"/>
    <w:rsid w:val="006E546E"/>
    <w:rsid w:val="006E5C21"/>
    <w:rsid w:val="006E5D39"/>
    <w:rsid w:val="006E6177"/>
    <w:rsid w:val="006E6189"/>
    <w:rsid w:val="006E6225"/>
    <w:rsid w:val="006E6DF5"/>
    <w:rsid w:val="006E75EE"/>
    <w:rsid w:val="006E7777"/>
    <w:rsid w:val="006F0ABA"/>
    <w:rsid w:val="006F13BA"/>
    <w:rsid w:val="006F1669"/>
    <w:rsid w:val="006F1935"/>
    <w:rsid w:val="006F2018"/>
    <w:rsid w:val="006F248C"/>
    <w:rsid w:val="006F28F0"/>
    <w:rsid w:val="006F3AE4"/>
    <w:rsid w:val="006F3E2E"/>
    <w:rsid w:val="006F4378"/>
    <w:rsid w:val="006F47B4"/>
    <w:rsid w:val="006F4B7E"/>
    <w:rsid w:val="006F4E0F"/>
    <w:rsid w:val="006F5416"/>
    <w:rsid w:val="006F5B8D"/>
    <w:rsid w:val="006F6238"/>
    <w:rsid w:val="006F687A"/>
    <w:rsid w:val="006F6AB4"/>
    <w:rsid w:val="006F7084"/>
    <w:rsid w:val="006F73C3"/>
    <w:rsid w:val="006F759C"/>
    <w:rsid w:val="006F789B"/>
    <w:rsid w:val="00700214"/>
    <w:rsid w:val="007004F2"/>
    <w:rsid w:val="00700DFA"/>
    <w:rsid w:val="00701AE6"/>
    <w:rsid w:val="00701FAF"/>
    <w:rsid w:val="00702018"/>
    <w:rsid w:val="00702147"/>
    <w:rsid w:val="00702716"/>
    <w:rsid w:val="00702B5B"/>
    <w:rsid w:val="00702FF2"/>
    <w:rsid w:val="00703048"/>
    <w:rsid w:val="00703185"/>
    <w:rsid w:val="007037EE"/>
    <w:rsid w:val="00703A68"/>
    <w:rsid w:val="00703BF0"/>
    <w:rsid w:val="00703DC3"/>
    <w:rsid w:val="00703F3B"/>
    <w:rsid w:val="00704037"/>
    <w:rsid w:val="00704AA0"/>
    <w:rsid w:val="00704B1B"/>
    <w:rsid w:val="00705244"/>
    <w:rsid w:val="00705490"/>
    <w:rsid w:val="00706881"/>
    <w:rsid w:val="00707B6C"/>
    <w:rsid w:val="00710100"/>
    <w:rsid w:val="007103B2"/>
    <w:rsid w:val="00710BEA"/>
    <w:rsid w:val="00711033"/>
    <w:rsid w:val="007119AA"/>
    <w:rsid w:val="007121A6"/>
    <w:rsid w:val="0071239B"/>
    <w:rsid w:val="00712818"/>
    <w:rsid w:val="00712BB0"/>
    <w:rsid w:val="00713492"/>
    <w:rsid w:val="00713C01"/>
    <w:rsid w:val="00714602"/>
    <w:rsid w:val="00714DBE"/>
    <w:rsid w:val="00714F53"/>
    <w:rsid w:val="007151EB"/>
    <w:rsid w:val="00715B30"/>
    <w:rsid w:val="00715C57"/>
    <w:rsid w:val="00715D3D"/>
    <w:rsid w:val="0071616C"/>
    <w:rsid w:val="007161EB"/>
    <w:rsid w:val="007162CD"/>
    <w:rsid w:val="00716398"/>
    <w:rsid w:val="007166B9"/>
    <w:rsid w:val="00717399"/>
    <w:rsid w:val="00717570"/>
    <w:rsid w:val="00717989"/>
    <w:rsid w:val="00717A38"/>
    <w:rsid w:val="007200A2"/>
    <w:rsid w:val="00720107"/>
    <w:rsid w:val="007206B3"/>
    <w:rsid w:val="0072113D"/>
    <w:rsid w:val="00721779"/>
    <w:rsid w:val="007218E2"/>
    <w:rsid w:val="00722D44"/>
    <w:rsid w:val="00722EAD"/>
    <w:rsid w:val="0072462C"/>
    <w:rsid w:val="00724B56"/>
    <w:rsid w:val="00724BD8"/>
    <w:rsid w:val="00724C7C"/>
    <w:rsid w:val="00724F32"/>
    <w:rsid w:val="00725087"/>
    <w:rsid w:val="00725A86"/>
    <w:rsid w:val="00725AA7"/>
    <w:rsid w:val="007263AA"/>
    <w:rsid w:val="00726966"/>
    <w:rsid w:val="00726F4B"/>
    <w:rsid w:val="00727DDD"/>
    <w:rsid w:val="007304C7"/>
    <w:rsid w:val="00730EF1"/>
    <w:rsid w:val="0073105D"/>
    <w:rsid w:val="007312C5"/>
    <w:rsid w:val="00731335"/>
    <w:rsid w:val="00732D30"/>
    <w:rsid w:val="00732D95"/>
    <w:rsid w:val="00732F2B"/>
    <w:rsid w:val="00733021"/>
    <w:rsid w:val="007339E5"/>
    <w:rsid w:val="00734E8F"/>
    <w:rsid w:val="00734F03"/>
    <w:rsid w:val="00734FCB"/>
    <w:rsid w:val="0073550B"/>
    <w:rsid w:val="00735547"/>
    <w:rsid w:val="007362A5"/>
    <w:rsid w:val="00736A78"/>
    <w:rsid w:val="00736BB6"/>
    <w:rsid w:val="00737A7C"/>
    <w:rsid w:val="00737B1E"/>
    <w:rsid w:val="00737C81"/>
    <w:rsid w:val="00737D3F"/>
    <w:rsid w:val="00740034"/>
    <w:rsid w:val="00740C01"/>
    <w:rsid w:val="00740E83"/>
    <w:rsid w:val="007411C3"/>
    <w:rsid w:val="00741885"/>
    <w:rsid w:val="0074224E"/>
    <w:rsid w:val="007423E7"/>
    <w:rsid w:val="00742657"/>
    <w:rsid w:val="00742B72"/>
    <w:rsid w:val="00742BD0"/>
    <w:rsid w:val="0074313E"/>
    <w:rsid w:val="00743365"/>
    <w:rsid w:val="0074381C"/>
    <w:rsid w:val="00744648"/>
    <w:rsid w:val="007448CE"/>
    <w:rsid w:val="00745271"/>
    <w:rsid w:val="007452F1"/>
    <w:rsid w:val="007458E6"/>
    <w:rsid w:val="00745A16"/>
    <w:rsid w:val="00746293"/>
    <w:rsid w:val="007463BD"/>
    <w:rsid w:val="0074640D"/>
    <w:rsid w:val="00746CAC"/>
    <w:rsid w:val="00746E7F"/>
    <w:rsid w:val="00746F06"/>
    <w:rsid w:val="007477E3"/>
    <w:rsid w:val="00747DBC"/>
    <w:rsid w:val="00747F39"/>
    <w:rsid w:val="007502EE"/>
    <w:rsid w:val="0075041D"/>
    <w:rsid w:val="007511F2"/>
    <w:rsid w:val="00751C73"/>
    <w:rsid w:val="00752753"/>
    <w:rsid w:val="00753B8B"/>
    <w:rsid w:val="00753FA0"/>
    <w:rsid w:val="00754622"/>
    <w:rsid w:val="007549FE"/>
    <w:rsid w:val="00754C6F"/>
    <w:rsid w:val="00755279"/>
    <w:rsid w:val="00756BAB"/>
    <w:rsid w:val="007570E5"/>
    <w:rsid w:val="0075738E"/>
    <w:rsid w:val="007574B7"/>
    <w:rsid w:val="007578A8"/>
    <w:rsid w:val="00757B32"/>
    <w:rsid w:val="0076035F"/>
    <w:rsid w:val="00760744"/>
    <w:rsid w:val="00760A81"/>
    <w:rsid w:val="00760DB2"/>
    <w:rsid w:val="00761082"/>
    <w:rsid w:val="007615EB"/>
    <w:rsid w:val="00761839"/>
    <w:rsid w:val="00761B34"/>
    <w:rsid w:val="00761CCC"/>
    <w:rsid w:val="00761F83"/>
    <w:rsid w:val="007623D2"/>
    <w:rsid w:val="00762492"/>
    <w:rsid w:val="007631F5"/>
    <w:rsid w:val="00763B42"/>
    <w:rsid w:val="00764ABB"/>
    <w:rsid w:val="00765256"/>
    <w:rsid w:val="007652E2"/>
    <w:rsid w:val="00765D96"/>
    <w:rsid w:val="007661D9"/>
    <w:rsid w:val="00766637"/>
    <w:rsid w:val="007668DE"/>
    <w:rsid w:val="00766B75"/>
    <w:rsid w:val="00766ECE"/>
    <w:rsid w:val="00767043"/>
    <w:rsid w:val="007670B8"/>
    <w:rsid w:val="007674BB"/>
    <w:rsid w:val="0076754D"/>
    <w:rsid w:val="007709A2"/>
    <w:rsid w:val="007712A4"/>
    <w:rsid w:val="007713B0"/>
    <w:rsid w:val="0077173A"/>
    <w:rsid w:val="00771F2D"/>
    <w:rsid w:val="007734A0"/>
    <w:rsid w:val="0077371F"/>
    <w:rsid w:val="00773DDF"/>
    <w:rsid w:val="00774016"/>
    <w:rsid w:val="00775470"/>
    <w:rsid w:val="007755F8"/>
    <w:rsid w:val="00775B02"/>
    <w:rsid w:val="00776532"/>
    <w:rsid w:val="007765D9"/>
    <w:rsid w:val="00776B9A"/>
    <w:rsid w:val="00776BF7"/>
    <w:rsid w:val="00776F61"/>
    <w:rsid w:val="00777B47"/>
    <w:rsid w:val="00777DD2"/>
    <w:rsid w:val="00780164"/>
    <w:rsid w:val="00780639"/>
    <w:rsid w:val="007806BB"/>
    <w:rsid w:val="00780720"/>
    <w:rsid w:val="00780A02"/>
    <w:rsid w:val="00780BCC"/>
    <w:rsid w:val="00780D27"/>
    <w:rsid w:val="007812F1"/>
    <w:rsid w:val="0078238A"/>
    <w:rsid w:val="00782ACE"/>
    <w:rsid w:val="00782CE9"/>
    <w:rsid w:val="0078337F"/>
    <w:rsid w:val="007833A9"/>
    <w:rsid w:val="007833EF"/>
    <w:rsid w:val="00783476"/>
    <w:rsid w:val="00783606"/>
    <w:rsid w:val="00783D88"/>
    <w:rsid w:val="00783F6A"/>
    <w:rsid w:val="007847FA"/>
    <w:rsid w:val="00784A78"/>
    <w:rsid w:val="00784EF0"/>
    <w:rsid w:val="007850C9"/>
    <w:rsid w:val="00785555"/>
    <w:rsid w:val="00787183"/>
    <w:rsid w:val="0078739C"/>
    <w:rsid w:val="007875AB"/>
    <w:rsid w:val="007876B8"/>
    <w:rsid w:val="00787BBC"/>
    <w:rsid w:val="00787F6C"/>
    <w:rsid w:val="007906DF"/>
    <w:rsid w:val="00791137"/>
    <w:rsid w:val="00791F8E"/>
    <w:rsid w:val="00792184"/>
    <w:rsid w:val="00792467"/>
    <w:rsid w:val="00792A41"/>
    <w:rsid w:val="00792BEE"/>
    <w:rsid w:val="007930DF"/>
    <w:rsid w:val="0079312A"/>
    <w:rsid w:val="0079336B"/>
    <w:rsid w:val="0079339D"/>
    <w:rsid w:val="00793862"/>
    <w:rsid w:val="0079415A"/>
    <w:rsid w:val="0079467C"/>
    <w:rsid w:val="00794798"/>
    <w:rsid w:val="00794ACE"/>
    <w:rsid w:val="0079567F"/>
    <w:rsid w:val="00795876"/>
    <w:rsid w:val="007960B1"/>
    <w:rsid w:val="007962DF"/>
    <w:rsid w:val="00796883"/>
    <w:rsid w:val="007969D5"/>
    <w:rsid w:val="007973E2"/>
    <w:rsid w:val="00797444"/>
    <w:rsid w:val="007A06A2"/>
    <w:rsid w:val="007A06BA"/>
    <w:rsid w:val="007A074F"/>
    <w:rsid w:val="007A1979"/>
    <w:rsid w:val="007A2337"/>
    <w:rsid w:val="007A2822"/>
    <w:rsid w:val="007A32B9"/>
    <w:rsid w:val="007A3482"/>
    <w:rsid w:val="007A364C"/>
    <w:rsid w:val="007A3A73"/>
    <w:rsid w:val="007A42EA"/>
    <w:rsid w:val="007A4E61"/>
    <w:rsid w:val="007A4F02"/>
    <w:rsid w:val="007A501B"/>
    <w:rsid w:val="007A5065"/>
    <w:rsid w:val="007A5169"/>
    <w:rsid w:val="007A5F88"/>
    <w:rsid w:val="007A6497"/>
    <w:rsid w:val="007A6591"/>
    <w:rsid w:val="007A6628"/>
    <w:rsid w:val="007A66F1"/>
    <w:rsid w:val="007A6EB7"/>
    <w:rsid w:val="007A7894"/>
    <w:rsid w:val="007A794E"/>
    <w:rsid w:val="007A7B4B"/>
    <w:rsid w:val="007B006F"/>
    <w:rsid w:val="007B03DE"/>
    <w:rsid w:val="007B0675"/>
    <w:rsid w:val="007B07BD"/>
    <w:rsid w:val="007B0C8F"/>
    <w:rsid w:val="007B0F18"/>
    <w:rsid w:val="007B0F1F"/>
    <w:rsid w:val="007B1965"/>
    <w:rsid w:val="007B2272"/>
    <w:rsid w:val="007B2440"/>
    <w:rsid w:val="007B26D6"/>
    <w:rsid w:val="007B2BAE"/>
    <w:rsid w:val="007B2BE0"/>
    <w:rsid w:val="007B3524"/>
    <w:rsid w:val="007B3720"/>
    <w:rsid w:val="007B3F11"/>
    <w:rsid w:val="007B4742"/>
    <w:rsid w:val="007B4E4A"/>
    <w:rsid w:val="007B624E"/>
    <w:rsid w:val="007B6803"/>
    <w:rsid w:val="007B7099"/>
    <w:rsid w:val="007B73C0"/>
    <w:rsid w:val="007B7B57"/>
    <w:rsid w:val="007B7FAE"/>
    <w:rsid w:val="007C050C"/>
    <w:rsid w:val="007C06A4"/>
    <w:rsid w:val="007C174C"/>
    <w:rsid w:val="007C1BD1"/>
    <w:rsid w:val="007C2C40"/>
    <w:rsid w:val="007C3318"/>
    <w:rsid w:val="007C3347"/>
    <w:rsid w:val="007C37C5"/>
    <w:rsid w:val="007C38BD"/>
    <w:rsid w:val="007C4F8B"/>
    <w:rsid w:val="007C554F"/>
    <w:rsid w:val="007C5AD9"/>
    <w:rsid w:val="007C6BF0"/>
    <w:rsid w:val="007C6EBB"/>
    <w:rsid w:val="007C6F13"/>
    <w:rsid w:val="007C717F"/>
    <w:rsid w:val="007C7A6F"/>
    <w:rsid w:val="007D03CC"/>
    <w:rsid w:val="007D068F"/>
    <w:rsid w:val="007D0ED0"/>
    <w:rsid w:val="007D0F2C"/>
    <w:rsid w:val="007D0F72"/>
    <w:rsid w:val="007D14B3"/>
    <w:rsid w:val="007D1643"/>
    <w:rsid w:val="007D1B69"/>
    <w:rsid w:val="007D229D"/>
    <w:rsid w:val="007D23D1"/>
    <w:rsid w:val="007D240B"/>
    <w:rsid w:val="007D26F1"/>
    <w:rsid w:val="007D292A"/>
    <w:rsid w:val="007D299F"/>
    <w:rsid w:val="007D3053"/>
    <w:rsid w:val="007D30B1"/>
    <w:rsid w:val="007D35DD"/>
    <w:rsid w:val="007D3795"/>
    <w:rsid w:val="007D379F"/>
    <w:rsid w:val="007D392B"/>
    <w:rsid w:val="007D3A12"/>
    <w:rsid w:val="007D3B02"/>
    <w:rsid w:val="007D4E71"/>
    <w:rsid w:val="007D4FF2"/>
    <w:rsid w:val="007D513E"/>
    <w:rsid w:val="007D5796"/>
    <w:rsid w:val="007D58E2"/>
    <w:rsid w:val="007D5AAA"/>
    <w:rsid w:val="007D6401"/>
    <w:rsid w:val="007D6641"/>
    <w:rsid w:val="007D6755"/>
    <w:rsid w:val="007D67BF"/>
    <w:rsid w:val="007D6AB5"/>
    <w:rsid w:val="007D7543"/>
    <w:rsid w:val="007E01B8"/>
    <w:rsid w:val="007E020C"/>
    <w:rsid w:val="007E0852"/>
    <w:rsid w:val="007E0969"/>
    <w:rsid w:val="007E0DDC"/>
    <w:rsid w:val="007E11F2"/>
    <w:rsid w:val="007E15FD"/>
    <w:rsid w:val="007E1997"/>
    <w:rsid w:val="007E1D14"/>
    <w:rsid w:val="007E2CFF"/>
    <w:rsid w:val="007E2E45"/>
    <w:rsid w:val="007E3124"/>
    <w:rsid w:val="007E35B6"/>
    <w:rsid w:val="007E3613"/>
    <w:rsid w:val="007E3645"/>
    <w:rsid w:val="007E394D"/>
    <w:rsid w:val="007E396D"/>
    <w:rsid w:val="007E428D"/>
    <w:rsid w:val="007E42C1"/>
    <w:rsid w:val="007E44ED"/>
    <w:rsid w:val="007E4CE5"/>
    <w:rsid w:val="007E5238"/>
    <w:rsid w:val="007E5D3A"/>
    <w:rsid w:val="007E6003"/>
    <w:rsid w:val="007E6402"/>
    <w:rsid w:val="007E6986"/>
    <w:rsid w:val="007E69B1"/>
    <w:rsid w:val="007E7EE2"/>
    <w:rsid w:val="007F0807"/>
    <w:rsid w:val="007F080E"/>
    <w:rsid w:val="007F0EB1"/>
    <w:rsid w:val="007F15C7"/>
    <w:rsid w:val="007F1A17"/>
    <w:rsid w:val="007F22B9"/>
    <w:rsid w:val="007F2F74"/>
    <w:rsid w:val="007F3479"/>
    <w:rsid w:val="007F3639"/>
    <w:rsid w:val="007F3F50"/>
    <w:rsid w:val="007F41E5"/>
    <w:rsid w:val="007F49F8"/>
    <w:rsid w:val="007F4C8A"/>
    <w:rsid w:val="007F5AB1"/>
    <w:rsid w:val="007F5B59"/>
    <w:rsid w:val="007F624D"/>
    <w:rsid w:val="007F68B8"/>
    <w:rsid w:val="007F6B3C"/>
    <w:rsid w:val="007F701E"/>
    <w:rsid w:val="007F741C"/>
    <w:rsid w:val="007F75DB"/>
    <w:rsid w:val="007F79D2"/>
    <w:rsid w:val="007F7A5E"/>
    <w:rsid w:val="007F7CD3"/>
    <w:rsid w:val="00800126"/>
    <w:rsid w:val="008003DD"/>
    <w:rsid w:val="00800A7A"/>
    <w:rsid w:val="00801365"/>
    <w:rsid w:val="00801A8B"/>
    <w:rsid w:val="00802390"/>
    <w:rsid w:val="008025F0"/>
    <w:rsid w:val="00802918"/>
    <w:rsid w:val="00802C58"/>
    <w:rsid w:val="00803552"/>
    <w:rsid w:val="008039E0"/>
    <w:rsid w:val="00803CC4"/>
    <w:rsid w:val="008042A6"/>
    <w:rsid w:val="00804377"/>
    <w:rsid w:val="00805141"/>
    <w:rsid w:val="00805993"/>
    <w:rsid w:val="00805C8D"/>
    <w:rsid w:val="00805D8F"/>
    <w:rsid w:val="00805E37"/>
    <w:rsid w:val="008067D4"/>
    <w:rsid w:val="00806E36"/>
    <w:rsid w:val="008073E7"/>
    <w:rsid w:val="0080746D"/>
    <w:rsid w:val="008074EF"/>
    <w:rsid w:val="00807D1E"/>
    <w:rsid w:val="0081080F"/>
    <w:rsid w:val="00810952"/>
    <w:rsid w:val="00810DCC"/>
    <w:rsid w:val="00811509"/>
    <w:rsid w:val="00811AB9"/>
    <w:rsid w:val="00811E98"/>
    <w:rsid w:val="0081243E"/>
    <w:rsid w:val="00812643"/>
    <w:rsid w:val="00812ED6"/>
    <w:rsid w:val="00813793"/>
    <w:rsid w:val="00813AD3"/>
    <w:rsid w:val="00814248"/>
    <w:rsid w:val="008147C3"/>
    <w:rsid w:val="00814826"/>
    <w:rsid w:val="00814C31"/>
    <w:rsid w:val="008156D3"/>
    <w:rsid w:val="00815D62"/>
    <w:rsid w:val="00815EDF"/>
    <w:rsid w:val="008165B3"/>
    <w:rsid w:val="00817418"/>
    <w:rsid w:val="0081755D"/>
    <w:rsid w:val="00817D73"/>
    <w:rsid w:val="00820550"/>
    <w:rsid w:val="008208BE"/>
    <w:rsid w:val="00820A3E"/>
    <w:rsid w:val="00820A49"/>
    <w:rsid w:val="00820DDB"/>
    <w:rsid w:val="00820E69"/>
    <w:rsid w:val="008218BB"/>
    <w:rsid w:val="008224E0"/>
    <w:rsid w:val="008228B9"/>
    <w:rsid w:val="008231A8"/>
    <w:rsid w:val="00824B0E"/>
    <w:rsid w:val="00824B77"/>
    <w:rsid w:val="00824C96"/>
    <w:rsid w:val="00824F76"/>
    <w:rsid w:val="0082540E"/>
    <w:rsid w:val="00825D43"/>
    <w:rsid w:val="00825ECE"/>
    <w:rsid w:val="008267BF"/>
    <w:rsid w:val="00826DCB"/>
    <w:rsid w:val="0082768A"/>
    <w:rsid w:val="00827980"/>
    <w:rsid w:val="008279EF"/>
    <w:rsid w:val="00827B3F"/>
    <w:rsid w:val="00827C01"/>
    <w:rsid w:val="00827D21"/>
    <w:rsid w:val="008304E0"/>
    <w:rsid w:val="00830AEB"/>
    <w:rsid w:val="0083113C"/>
    <w:rsid w:val="00831B0C"/>
    <w:rsid w:val="00831BB4"/>
    <w:rsid w:val="00831BFA"/>
    <w:rsid w:val="0083251C"/>
    <w:rsid w:val="00832614"/>
    <w:rsid w:val="00832B78"/>
    <w:rsid w:val="008330CF"/>
    <w:rsid w:val="0083382A"/>
    <w:rsid w:val="00833F94"/>
    <w:rsid w:val="00834591"/>
    <w:rsid w:val="0083492F"/>
    <w:rsid w:val="00834B04"/>
    <w:rsid w:val="008355DF"/>
    <w:rsid w:val="00835A84"/>
    <w:rsid w:val="00835C9B"/>
    <w:rsid w:val="00836A99"/>
    <w:rsid w:val="00836FFE"/>
    <w:rsid w:val="00837380"/>
    <w:rsid w:val="008374F0"/>
    <w:rsid w:val="0084000A"/>
    <w:rsid w:val="00840583"/>
    <w:rsid w:val="00840585"/>
    <w:rsid w:val="00840620"/>
    <w:rsid w:val="00840FF2"/>
    <w:rsid w:val="00841159"/>
    <w:rsid w:val="00841290"/>
    <w:rsid w:val="00841FC3"/>
    <w:rsid w:val="00842024"/>
    <w:rsid w:val="00842510"/>
    <w:rsid w:val="008427CA"/>
    <w:rsid w:val="00842A70"/>
    <w:rsid w:val="00843740"/>
    <w:rsid w:val="0084478F"/>
    <w:rsid w:val="00844B02"/>
    <w:rsid w:val="00844C0E"/>
    <w:rsid w:val="00844CE9"/>
    <w:rsid w:val="00844F9B"/>
    <w:rsid w:val="00844FA4"/>
    <w:rsid w:val="00845B9E"/>
    <w:rsid w:val="0084647F"/>
    <w:rsid w:val="00846A39"/>
    <w:rsid w:val="00846B0E"/>
    <w:rsid w:val="00847543"/>
    <w:rsid w:val="008478FE"/>
    <w:rsid w:val="00847DDD"/>
    <w:rsid w:val="0085032C"/>
    <w:rsid w:val="00850A2C"/>
    <w:rsid w:val="00850BDB"/>
    <w:rsid w:val="00851509"/>
    <w:rsid w:val="00851A23"/>
    <w:rsid w:val="00851F3D"/>
    <w:rsid w:val="008520A6"/>
    <w:rsid w:val="008522EB"/>
    <w:rsid w:val="008525DC"/>
    <w:rsid w:val="00853B99"/>
    <w:rsid w:val="00853C14"/>
    <w:rsid w:val="00854592"/>
    <w:rsid w:val="00854637"/>
    <w:rsid w:val="008554AD"/>
    <w:rsid w:val="00855883"/>
    <w:rsid w:val="00855EBE"/>
    <w:rsid w:val="00856035"/>
    <w:rsid w:val="008564CE"/>
    <w:rsid w:val="008566C2"/>
    <w:rsid w:val="00856F7B"/>
    <w:rsid w:val="008573EB"/>
    <w:rsid w:val="0086041F"/>
    <w:rsid w:val="00860869"/>
    <w:rsid w:val="00860ADA"/>
    <w:rsid w:val="008611D7"/>
    <w:rsid w:val="00861E1C"/>
    <w:rsid w:val="008620A8"/>
    <w:rsid w:val="00862497"/>
    <w:rsid w:val="0086276B"/>
    <w:rsid w:val="008627F6"/>
    <w:rsid w:val="00862DA6"/>
    <w:rsid w:val="00862F64"/>
    <w:rsid w:val="00863165"/>
    <w:rsid w:val="008632A1"/>
    <w:rsid w:val="008635AE"/>
    <w:rsid w:val="008636BE"/>
    <w:rsid w:val="00864469"/>
    <w:rsid w:val="008651B5"/>
    <w:rsid w:val="008652B2"/>
    <w:rsid w:val="00866446"/>
    <w:rsid w:val="00866585"/>
    <w:rsid w:val="00866DBC"/>
    <w:rsid w:val="00867326"/>
    <w:rsid w:val="00870901"/>
    <w:rsid w:val="00871244"/>
    <w:rsid w:val="00871568"/>
    <w:rsid w:val="00871651"/>
    <w:rsid w:val="00872F1D"/>
    <w:rsid w:val="00872F3E"/>
    <w:rsid w:val="00872F9B"/>
    <w:rsid w:val="00873878"/>
    <w:rsid w:val="00873C47"/>
    <w:rsid w:val="00874276"/>
    <w:rsid w:val="00874785"/>
    <w:rsid w:val="00874FDA"/>
    <w:rsid w:val="008753E7"/>
    <w:rsid w:val="008755C9"/>
    <w:rsid w:val="0087593E"/>
    <w:rsid w:val="00876466"/>
    <w:rsid w:val="00876C0C"/>
    <w:rsid w:val="00876FE8"/>
    <w:rsid w:val="008777A6"/>
    <w:rsid w:val="008777B9"/>
    <w:rsid w:val="0087788C"/>
    <w:rsid w:val="00877A60"/>
    <w:rsid w:val="00877C33"/>
    <w:rsid w:val="00877F58"/>
    <w:rsid w:val="0088084A"/>
    <w:rsid w:val="00880C59"/>
    <w:rsid w:val="0088116F"/>
    <w:rsid w:val="00881376"/>
    <w:rsid w:val="008814D7"/>
    <w:rsid w:val="0088155A"/>
    <w:rsid w:val="00881CFE"/>
    <w:rsid w:val="00881EDA"/>
    <w:rsid w:val="008822EE"/>
    <w:rsid w:val="00882744"/>
    <w:rsid w:val="00883CBC"/>
    <w:rsid w:val="00883EA9"/>
    <w:rsid w:val="008849DA"/>
    <w:rsid w:val="00884ABC"/>
    <w:rsid w:val="00885D03"/>
    <w:rsid w:val="008862CF"/>
    <w:rsid w:val="00886AFE"/>
    <w:rsid w:val="00886B02"/>
    <w:rsid w:val="0088753D"/>
    <w:rsid w:val="00887CE0"/>
    <w:rsid w:val="00887EBB"/>
    <w:rsid w:val="00890008"/>
    <w:rsid w:val="00890286"/>
    <w:rsid w:val="00890361"/>
    <w:rsid w:val="008905E8"/>
    <w:rsid w:val="00890993"/>
    <w:rsid w:val="00890D09"/>
    <w:rsid w:val="0089142A"/>
    <w:rsid w:val="00891EA6"/>
    <w:rsid w:val="008923A4"/>
    <w:rsid w:val="00892CED"/>
    <w:rsid w:val="00892F57"/>
    <w:rsid w:val="00893520"/>
    <w:rsid w:val="0089353B"/>
    <w:rsid w:val="0089393E"/>
    <w:rsid w:val="0089478D"/>
    <w:rsid w:val="00894C8D"/>
    <w:rsid w:val="00894D72"/>
    <w:rsid w:val="008961C4"/>
    <w:rsid w:val="008970FD"/>
    <w:rsid w:val="00897565"/>
    <w:rsid w:val="00897D64"/>
    <w:rsid w:val="00897FCE"/>
    <w:rsid w:val="008A01ED"/>
    <w:rsid w:val="008A0542"/>
    <w:rsid w:val="008A062D"/>
    <w:rsid w:val="008A093F"/>
    <w:rsid w:val="008A152B"/>
    <w:rsid w:val="008A171B"/>
    <w:rsid w:val="008A1740"/>
    <w:rsid w:val="008A1952"/>
    <w:rsid w:val="008A259C"/>
    <w:rsid w:val="008A25E5"/>
    <w:rsid w:val="008A425A"/>
    <w:rsid w:val="008A458B"/>
    <w:rsid w:val="008A4ABE"/>
    <w:rsid w:val="008A4BD2"/>
    <w:rsid w:val="008A4E25"/>
    <w:rsid w:val="008A4FC4"/>
    <w:rsid w:val="008A55F2"/>
    <w:rsid w:val="008A5A8B"/>
    <w:rsid w:val="008A5F28"/>
    <w:rsid w:val="008A6013"/>
    <w:rsid w:val="008A6803"/>
    <w:rsid w:val="008A6834"/>
    <w:rsid w:val="008A68D8"/>
    <w:rsid w:val="008A6B7F"/>
    <w:rsid w:val="008A6F4E"/>
    <w:rsid w:val="008A741E"/>
    <w:rsid w:val="008A75A8"/>
    <w:rsid w:val="008B073E"/>
    <w:rsid w:val="008B0AE5"/>
    <w:rsid w:val="008B1164"/>
    <w:rsid w:val="008B1C1B"/>
    <w:rsid w:val="008B20BB"/>
    <w:rsid w:val="008B25AD"/>
    <w:rsid w:val="008B2AE8"/>
    <w:rsid w:val="008B340A"/>
    <w:rsid w:val="008B3830"/>
    <w:rsid w:val="008B438A"/>
    <w:rsid w:val="008B4485"/>
    <w:rsid w:val="008B44C9"/>
    <w:rsid w:val="008B4516"/>
    <w:rsid w:val="008B477E"/>
    <w:rsid w:val="008B484D"/>
    <w:rsid w:val="008B4904"/>
    <w:rsid w:val="008B51A3"/>
    <w:rsid w:val="008B5E18"/>
    <w:rsid w:val="008B6AE5"/>
    <w:rsid w:val="008B6E7D"/>
    <w:rsid w:val="008B6E85"/>
    <w:rsid w:val="008B6EB9"/>
    <w:rsid w:val="008B74AB"/>
    <w:rsid w:val="008C0011"/>
    <w:rsid w:val="008C093A"/>
    <w:rsid w:val="008C10D2"/>
    <w:rsid w:val="008C162C"/>
    <w:rsid w:val="008C23BC"/>
    <w:rsid w:val="008C2801"/>
    <w:rsid w:val="008C2BA9"/>
    <w:rsid w:val="008C2D8F"/>
    <w:rsid w:val="008C2FB8"/>
    <w:rsid w:val="008C30BB"/>
    <w:rsid w:val="008C35A4"/>
    <w:rsid w:val="008C45F1"/>
    <w:rsid w:val="008C54EA"/>
    <w:rsid w:val="008C5C8E"/>
    <w:rsid w:val="008C627C"/>
    <w:rsid w:val="008C68DA"/>
    <w:rsid w:val="008C6CF5"/>
    <w:rsid w:val="008C739A"/>
    <w:rsid w:val="008C789B"/>
    <w:rsid w:val="008C7C09"/>
    <w:rsid w:val="008C7C64"/>
    <w:rsid w:val="008D09B3"/>
    <w:rsid w:val="008D1398"/>
    <w:rsid w:val="008D176E"/>
    <w:rsid w:val="008D1A20"/>
    <w:rsid w:val="008D1E94"/>
    <w:rsid w:val="008D282B"/>
    <w:rsid w:val="008D2FAC"/>
    <w:rsid w:val="008D319A"/>
    <w:rsid w:val="008D38C0"/>
    <w:rsid w:val="008D3E48"/>
    <w:rsid w:val="008D3F01"/>
    <w:rsid w:val="008D400F"/>
    <w:rsid w:val="008D4B5D"/>
    <w:rsid w:val="008D4BE6"/>
    <w:rsid w:val="008D5435"/>
    <w:rsid w:val="008D56F5"/>
    <w:rsid w:val="008D58EB"/>
    <w:rsid w:val="008D5EDA"/>
    <w:rsid w:val="008D6200"/>
    <w:rsid w:val="008D62E4"/>
    <w:rsid w:val="008D7047"/>
    <w:rsid w:val="008D73C8"/>
    <w:rsid w:val="008D7438"/>
    <w:rsid w:val="008D7D15"/>
    <w:rsid w:val="008E04BA"/>
    <w:rsid w:val="008E0EE5"/>
    <w:rsid w:val="008E0F15"/>
    <w:rsid w:val="008E0F38"/>
    <w:rsid w:val="008E1554"/>
    <w:rsid w:val="008E1633"/>
    <w:rsid w:val="008E168A"/>
    <w:rsid w:val="008E173B"/>
    <w:rsid w:val="008E18C9"/>
    <w:rsid w:val="008E1F19"/>
    <w:rsid w:val="008E1F76"/>
    <w:rsid w:val="008E2211"/>
    <w:rsid w:val="008E2711"/>
    <w:rsid w:val="008E288E"/>
    <w:rsid w:val="008E292F"/>
    <w:rsid w:val="008E2EB3"/>
    <w:rsid w:val="008E33C2"/>
    <w:rsid w:val="008E3AA1"/>
    <w:rsid w:val="008E3CBC"/>
    <w:rsid w:val="008E3F31"/>
    <w:rsid w:val="008E40AB"/>
    <w:rsid w:val="008E43A3"/>
    <w:rsid w:val="008E4CB6"/>
    <w:rsid w:val="008E4DB1"/>
    <w:rsid w:val="008E5050"/>
    <w:rsid w:val="008E52A3"/>
    <w:rsid w:val="008E5362"/>
    <w:rsid w:val="008E5E59"/>
    <w:rsid w:val="008E62D3"/>
    <w:rsid w:val="008E6315"/>
    <w:rsid w:val="008E6649"/>
    <w:rsid w:val="008E6C28"/>
    <w:rsid w:val="008E6F0F"/>
    <w:rsid w:val="008F00D1"/>
    <w:rsid w:val="008F0127"/>
    <w:rsid w:val="008F0AEC"/>
    <w:rsid w:val="008F0AF9"/>
    <w:rsid w:val="008F1639"/>
    <w:rsid w:val="008F187D"/>
    <w:rsid w:val="008F3317"/>
    <w:rsid w:val="008F3987"/>
    <w:rsid w:val="008F3ECF"/>
    <w:rsid w:val="008F4959"/>
    <w:rsid w:val="008F4C59"/>
    <w:rsid w:val="008F4E89"/>
    <w:rsid w:val="008F5548"/>
    <w:rsid w:val="008F5811"/>
    <w:rsid w:val="008F5D8E"/>
    <w:rsid w:val="008F6960"/>
    <w:rsid w:val="008F6BBC"/>
    <w:rsid w:val="008F7962"/>
    <w:rsid w:val="008F7D27"/>
    <w:rsid w:val="00900C77"/>
    <w:rsid w:val="00901126"/>
    <w:rsid w:val="00901595"/>
    <w:rsid w:val="00901660"/>
    <w:rsid w:val="009017FF"/>
    <w:rsid w:val="009018BF"/>
    <w:rsid w:val="00901DB9"/>
    <w:rsid w:val="00901E41"/>
    <w:rsid w:val="009026AD"/>
    <w:rsid w:val="00902709"/>
    <w:rsid w:val="00902768"/>
    <w:rsid w:val="009028E8"/>
    <w:rsid w:val="00904003"/>
    <w:rsid w:val="00904B1B"/>
    <w:rsid w:val="00904DD9"/>
    <w:rsid w:val="009054AB"/>
    <w:rsid w:val="00906191"/>
    <w:rsid w:val="00906286"/>
    <w:rsid w:val="0090651B"/>
    <w:rsid w:val="00906901"/>
    <w:rsid w:val="00906AED"/>
    <w:rsid w:val="00906C9F"/>
    <w:rsid w:val="00907BF3"/>
    <w:rsid w:val="00907DEA"/>
    <w:rsid w:val="009103CD"/>
    <w:rsid w:val="00911088"/>
    <w:rsid w:val="009111BA"/>
    <w:rsid w:val="009114B8"/>
    <w:rsid w:val="009117D3"/>
    <w:rsid w:val="00911B30"/>
    <w:rsid w:val="00912415"/>
    <w:rsid w:val="00912569"/>
    <w:rsid w:val="00912D74"/>
    <w:rsid w:val="0091316C"/>
    <w:rsid w:val="00913581"/>
    <w:rsid w:val="009144CD"/>
    <w:rsid w:val="0091559E"/>
    <w:rsid w:val="0091587B"/>
    <w:rsid w:val="009159DB"/>
    <w:rsid w:val="0091614C"/>
    <w:rsid w:val="00917052"/>
    <w:rsid w:val="009179FD"/>
    <w:rsid w:val="00920031"/>
    <w:rsid w:val="00920210"/>
    <w:rsid w:val="009203E6"/>
    <w:rsid w:val="00920540"/>
    <w:rsid w:val="009209FF"/>
    <w:rsid w:val="00920C50"/>
    <w:rsid w:val="009214A1"/>
    <w:rsid w:val="00921C1B"/>
    <w:rsid w:val="00921C4A"/>
    <w:rsid w:val="00921D06"/>
    <w:rsid w:val="009224AB"/>
    <w:rsid w:val="00922E45"/>
    <w:rsid w:val="00923210"/>
    <w:rsid w:val="00923AFC"/>
    <w:rsid w:val="00923D0B"/>
    <w:rsid w:val="009243C5"/>
    <w:rsid w:val="009245C8"/>
    <w:rsid w:val="009246C6"/>
    <w:rsid w:val="00924B42"/>
    <w:rsid w:val="0092510A"/>
    <w:rsid w:val="009251EC"/>
    <w:rsid w:val="0092611F"/>
    <w:rsid w:val="009262BD"/>
    <w:rsid w:val="00926342"/>
    <w:rsid w:val="00926DA3"/>
    <w:rsid w:val="00926FA8"/>
    <w:rsid w:val="00927513"/>
    <w:rsid w:val="009276C3"/>
    <w:rsid w:val="00927DA7"/>
    <w:rsid w:val="00927F53"/>
    <w:rsid w:val="00930454"/>
    <w:rsid w:val="0093085E"/>
    <w:rsid w:val="00930FB8"/>
    <w:rsid w:val="009310FB"/>
    <w:rsid w:val="009315A4"/>
    <w:rsid w:val="0093318E"/>
    <w:rsid w:val="00933288"/>
    <w:rsid w:val="00933694"/>
    <w:rsid w:val="00933F6B"/>
    <w:rsid w:val="00934074"/>
    <w:rsid w:val="009348BF"/>
    <w:rsid w:val="0093490B"/>
    <w:rsid w:val="00934E24"/>
    <w:rsid w:val="00935C53"/>
    <w:rsid w:val="009365B6"/>
    <w:rsid w:val="0093713D"/>
    <w:rsid w:val="00937471"/>
    <w:rsid w:val="0093750E"/>
    <w:rsid w:val="00937EFC"/>
    <w:rsid w:val="00940085"/>
    <w:rsid w:val="00940386"/>
    <w:rsid w:val="00940C0F"/>
    <w:rsid w:val="00940FFD"/>
    <w:rsid w:val="009414CE"/>
    <w:rsid w:val="00941531"/>
    <w:rsid w:val="00941790"/>
    <w:rsid w:val="00941ADF"/>
    <w:rsid w:val="00941F62"/>
    <w:rsid w:val="0094228A"/>
    <w:rsid w:val="0094362C"/>
    <w:rsid w:val="00943C1F"/>
    <w:rsid w:val="009440CA"/>
    <w:rsid w:val="009442B2"/>
    <w:rsid w:val="00944436"/>
    <w:rsid w:val="009445C5"/>
    <w:rsid w:val="00944A4F"/>
    <w:rsid w:val="009456FD"/>
    <w:rsid w:val="00945E7D"/>
    <w:rsid w:val="00946118"/>
    <w:rsid w:val="009463A4"/>
    <w:rsid w:val="0094656E"/>
    <w:rsid w:val="009471E1"/>
    <w:rsid w:val="009473D3"/>
    <w:rsid w:val="0094785E"/>
    <w:rsid w:val="0095016C"/>
    <w:rsid w:val="00950526"/>
    <w:rsid w:val="00950E1B"/>
    <w:rsid w:val="00951A01"/>
    <w:rsid w:val="00951AF5"/>
    <w:rsid w:val="00951EB4"/>
    <w:rsid w:val="00952150"/>
    <w:rsid w:val="009529C0"/>
    <w:rsid w:val="00952A1D"/>
    <w:rsid w:val="00953692"/>
    <w:rsid w:val="00953BA2"/>
    <w:rsid w:val="00954081"/>
    <w:rsid w:val="00954182"/>
    <w:rsid w:val="00954FCB"/>
    <w:rsid w:val="009550C2"/>
    <w:rsid w:val="00955359"/>
    <w:rsid w:val="009553D8"/>
    <w:rsid w:val="00955B46"/>
    <w:rsid w:val="00955C7C"/>
    <w:rsid w:val="00955F56"/>
    <w:rsid w:val="009562B3"/>
    <w:rsid w:val="0095645F"/>
    <w:rsid w:val="009568ED"/>
    <w:rsid w:val="00957841"/>
    <w:rsid w:val="00957D69"/>
    <w:rsid w:val="009600F1"/>
    <w:rsid w:val="0096065F"/>
    <w:rsid w:val="0096066A"/>
    <w:rsid w:val="00960B4E"/>
    <w:rsid w:val="00960CBA"/>
    <w:rsid w:val="00961061"/>
    <w:rsid w:val="0096209B"/>
    <w:rsid w:val="009620A2"/>
    <w:rsid w:val="00962762"/>
    <w:rsid w:val="00962E78"/>
    <w:rsid w:val="009632FA"/>
    <w:rsid w:val="009632FC"/>
    <w:rsid w:val="0096331A"/>
    <w:rsid w:val="00963578"/>
    <w:rsid w:val="009637E5"/>
    <w:rsid w:val="009639B8"/>
    <w:rsid w:val="00963E03"/>
    <w:rsid w:val="00964C64"/>
    <w:rsid w:val="009655AC"/>
    <w:rsid w:val="009657E2"/>
    <w:rsid w:val="00965BAE"/>
    <w:rsid w:val="00965C8A"/>
    <w:rsid w:val="00965C97"/>
    <w:rsid w:val="0096664D"/>
    <w:rsid w:val="00966883"/>
    <w:rsid w:val="00966AAA"/>
    <w:rsid w:val="00966C7F"/>
    <w:rsid w:val="009671DF"/>
    <w:rsid w:val="009675BE"/>
    <w:rsid w:val="009676B3"/>
    <w:rsid w:val="009677B7"/>
    <w:rsid w:val="00967B6C"/>
    <w:rsid w:val="00967BA6"/>
    <w:rsid w:val="009700F8"/>
    <w:rsid w:val="00970218"/>
    <w:rsid w:val="009706BD"/>
    <w:rsid w:val="00970717"/>
    <w:rsid w:val="00970846"/>
    <w:rsid w:val="0097105F"/>
    <w:rsid w:val="0097122C"/>
    <w:rsid w:val="00971417"/>
    <w:rsid w:val="0097144D"/>
    <w:rsid w:val="0097187E"/>
    <w:rsid w:val="00971B5D"/>
    <w:rsid w:val="00971BCC"/>
    <w:rsid w:val="00972230"/>
    <w:rsid w:val="00972A10"/>
    <w:rsid w:val="00973052"/>
    <w:rsid w:val="00973069"/>
    <w:rsid w:val="0097407D"/>
    <w:rsid w:val="009748DB"/>
    <w:rsid w:val="009748FF"/>
    <w:rsid w:val="00974BC3"/>
    <w:rsid w:val="00975487"/>
    <w:rsid w:val="00976477"/>
    <w:rsid w:val="009776E7"/>
    <w:rsid w:val="00977BDC"/>
    <w:rsid w:val="009803D3"/>
    <w:rsid w:val="00981391"/>
    <w:rsid w:val="00981F72"/>
    <w:rsid w:val="00982224"/>
    <w:rsid w:val="009824D4"/>
    <w:rsid w:val="00982844"/>
    <w:rsid w:val="00982AC9"/>
    <w:rsid w:val="00982FC5"/>
    <w:rsid w:val="00983163"/>
    <w:rsid w:val="00983226"/>
    <w:rsid w:val="00984111"/>
    <w:rsid w:val="0098482B"/>
    <w:rsid w:val="00984E09"/>
    <w:rsid w:val="0098514E"/>
    <w:rsid w:val="009853D4"/>
    <w:rsid w:val="00985429"/>
    <w:rsid w:val="00986338"/>
    <w:rsid w:val="00986492"/>
    <w:rsid w:val="009864AA"/>
    <w:rsid w:val="009864FA"/>
    <w:rsid w:val="00987815"/>
    <w:rsid w:val="00987BEC"/>
    <w:rsid w:val="00987EFA"/>
    <w:rsid w:val="00990A99"/>
    <w:rsid w:val="00990D67"/>
    <w:rsid w:val="00991C55"/>
    <w:rsid w:val="00991E62"/>
    <w:rsid w:val="0099223C"/>
    <w:rsid w:val="00992568"/>
    <w:rsid w:val="00992B21"/>
    <w:rsid w:val="00992B7C"/>
    <w:rsid w:val="009933EA"/>
    <w:rsid w:val="009935B4"/>
    <w:rsid w:val="00993DAF"/>
    <w:rsid w:val="00994602"/>
    <w:rsid w:val="00994673"/>
    <w:rsid w:val="009952EA"/>
    <w:rsid w:val="009956B2"/>
    <w:rsid w:val="0099575F"/>
    <w:rsid w:val="00995F04"/>
    <w:rsid w:val="00996BF9"/>
    <w:rsid w:val="00996DD2"/>
    <w:rsid w:val="009970FB"/>
    <w:rsid w:val="00997951"/>
    <w:rsid w:val="00997970"/>
    <w:rsid w:val="00997989"/>
    <w:rsid w:val="009A0B90"/>
    <w:rsid w:val="009A1872"/>
    <w:rsid w:val="009A1924"/>
    <w:rsid w:val="009A1BD5"/>
    <w:rsid w:val="009A2AFE"/>
    <w:rsid w:val="009A341D"/>
    <w:rsid w:val="009A358C"/>
    <w:rsid w:val="009A36F7"/>
    <w:rsid w:val="009A3851"/>
    <w:rsid w:val="009A3C7F"/>
    <w:rsid w:val="009A3C9A"/>
    <w:rsid w:val="009A3FB7"/>
    <w:rsid w:val="009A45CC"/>
    <w:rsid w:val="009A49DC"/>
    <w:rsid w:val="009A4C9B"/>
    <w:rsid w:val="009A527D"/>
    <w:rsid w:val="009A5695"/>
    <w:rsid w:val="009A5704"/>
    <w:rsid w:val="009A580F"/>
    <w:rsid w:val="009A58C3"/>
    <w:rsid w:val="009A5A8F"/>
    <w:rsid w:val="009A5DED"/>
    <w:rsid w:val="009A60AD"/>
    <w:rsid w:val="009A60DE"/>
    <w:rsid w:val="009A6245"/>
    <w:rsid w:val="009B00D8"/>
    <w:rsid w:val="009B0937"/>
    <w:rsid w:val="009B15EC"/>
    <w:rsid w:val="009B2171"/>
    <w:rsid w:val="009B22F9"/>
    <w:rsid w:val="009B2543"/>
    <w:rsid w:val="009B3533"/>
    <w:rsid w:val="009B3565"/>
    <w:rsid w:val="009B382E"/>
    <w:rsid w:val="009B3991"/>
    <w:rsid w:val="009B39B7"/>
    <w:rsid w:val="009B3A94"/>
    <w:rsid w:val="009B3CF8"/>
    <w:rsid w:val="009B47FB"/>
    <w:rsid w:val="009B4BFF"/>
    <w:rsid w:val="009B51FF"/>
    <w:rsid w:val="009B567F"/>
    <w:rsid w:val="009B5815"/>
    <w:rsid w:val="009B5E10"/>
    <w:rsid w:val="009B671D"/>
    <w:rsid w:val="009B6983"/>
    <w:rsid w:val="009B6CF5"/>
    <w:rsid w:val="009B7CF7"/>
    <w:rsid w:val="009C0006"/>
    <w:rsid w:val="009C028D"/>
    <w:rsid w:val="009C02B4"/>
    <w:rsid w:val="009C0D46"/>
    <w:rsid w:val="009C121F"/>
    <w:rsid w:val="009C132B"/>
    <w:rsid w:val="009C166E"/>
    <w:rsid w:val="009C19ED"/>
    <w:rsid w:val="009C1ECA"/>
    <w:rsid w:val="009C222F"/>
    <w:rsid w:val="009C223A"/>
    <w:rsid w:val="009C287B"/>
    <w:rsid w:val="009C2CCE"/>
    <w:rsid w:val="009C2DE1"/>
    <w:rsid w:val="009C2E11"/>
    <w:rsid w:val="009C2EA5"/>
    <w:rsid w:val="009C349D"/>
    <w:rsid w:val="009C3FB7"/>
    <w:rsid w:val="009C49D3"/>
    <w:rsid w:val="009C4BB7"/>
    <w:rsid w:val="009C4BD7"/>
    <w:rsid w:val="009C561E"/>
    <w:rsid w:val="009C57A4"/>
    <w:rsid w:val="009C592F"/>
    <w:rsid w:val="009C6E31"/>
    <w:rsid w:val="009C7047"/>
    <w:rsid w:val="009C758E"/>
    <w:rsid w:val="009C76A5"/>
    <w:rsid w:val="009D01F9"/>
    <w:rsid w:val="009D030B"/>
    <w:rsid w:val="009D030C"/>
    <w:rsid w:val="009D0822"/>
    <w:rsid w:val="009D0D04"/>
    <w:rsid w:val="009D0E54"/>
    <w:rsid w:val="009D1472"/>
    <w:rsid w:val="009D16F7"/>
    <w:rsid w:val="009D1C09"/>
    <w:rsid w:val="009D1DF2"/>
    <w:rsid w:val="009D280B"/>
    <w:rsid w:val="009D2D20"/>
    <w:rsid w:val="009D32FE"/>
    <w:rsid w:val="009D4291"/>
    <w:rsid w:val="009D475F"/>
    <w:rsid w:val="009D47FB"/>
    <w:rsid w:val="009D4913"/>
    <w:rsid w:val="009D4D56"/>
    <w:rsid w:val="009D58DC"/>
    <w:rsid w:val="009D59B4"/>
    <w:rsid w:val="009D62BA"/>
    <w:rsid w:val="009D6F59"/>
    <w:rsid w:val="009D7005"/>
    <w:rsid w:val="009D75C6"/>
    <w:rsid w:val="009E0141"/>
    <w:rsid w:val="009E0600"/>
    <w:rsid w:val="009E0CBA"/>
    <w:rsid w:val="009E1556"/>
    <w:rsid w:val="009E22AB"/>
    <w:rsid w:val="009E2AC0"/>
    <w:rsid w:val="009E2E63"/>
    <w:rsid w:val="009E2F48"/>
    <w:rsid w:val="009E2F90"/>
    <w:rsid w:val="009E3095"/>
    <w:rsid w:val="009E33E6"/>
    <w:rsid w:val="009E3461"/>
    <w:rsid w:val="009E36F9"/>
    <w:rsid w:val="009E3770"/>
    <w:rsid w:val="009E3858"/>
    <w:rsid w:val="009E387A"/>
    <w:rsid w:val="009E38DF"/>
    <w:rsid w:val="009E3DDE"/>
    <w:rsid w:val="009E4195"/>
    <w:rsid w:val="009E4AA6"/>
    <w:rsid w:val="009E5067"/>
    <w:rsid w:val="009E5098"/>
    <w:rsid w:val="009E534F"/>
    <w:rsid w:val="009E5662"/>
    <w:rsid w:val="009E5F11"/>
    <w:rsid w:val="009E67FC"/>
    <w:rsid w:val="009E7AA1"/>
    <w:rsid w:val="009E7D00"/>
    <w:rsid w:val="009E7D63"/>
    <w:rsid w:val="009E7F32"/>
    <w:rsid w:val="009F1105"/>
    <w:rsid w:val="009F15FB"/>
    <w:rsid w:val="009F1941"/>
    <w:rsid w:val="009F1F0C"/>
    <w:rsid w:val="009F23C3"/>
    <w:rsid w:val="009F2698"/>
    <w:rsid w:val="009F31B3"/>
    <w:rsid w:val="009F3362"/>
    <w:rsid w:val="009F3BDE"/>
    <w:rsid w:val="009F3D6F"/>
    <w:rsid w:val="009F3DAA"/>
    <w:rsid w:val="009F3F44"/>
    <w:rsid w:val="009F4199"/>
    <w:rsid w:val="009F4BB3"/>
    <w:rsid w:val="009F4D6E"/>
    <w:rsid w:val="009F4EE5"/>
    <w:rsid w:val="009F5516"/>
    <w:rsid w:val="009F597D"/>
    <w:rsid w:val="009F5F67"/>
    <w:rsid w:val="009F640C"/>
    <w:rsid w:val="009F6D2E"/>
    <w:rsid w:val="009F6E59"/>
    <w:rsid w:val="009F7DAD"/>
    <w:rsid w:val="00A0089E"/>
    <w:rsid w:val="00A00CEF"/>
    <w:rsid w:val="00A00E40"/>
    <w:rsid w:val="00A01349"/>
    <w:rsid w:val="00A01AC2"/>
    <w:rsid w:val="00A02E5C"/>
    <w:rsid w:val="00A02ECF"/>
    <w:rsid w:val="00A03137"/>
    <w:rsid w:val="00A03C35"/>
    <w:rsid w:val="00A049F5"/>
    <w:rsid w:val="00A05CBC"/>
    <w:rsid w:val="00A05FC0"/>
    <w:rsid w:val="00A0642A"/>
    <w:rsid w:val="00A06E3B"/>
    <w:rsid w:val="00A06F27"/>
    <w:rsid w:val="00A07338"/>
    <w:rsid w:val="00A07E09"/>
    <w:rsid w:val="00A07E3D"/>
    <w:rsid w:val="00A10440"/>
    <w:rsid w:val="00A1087D"/>
    <w:rsid w:val="00A10D64"/>
    <w:rsid w:val="00A115E7"/>
    <w:rsid w:val="00A1167C"/>
    <w:rsid w:val="00A11768"/>
    <w:rsid w:val="00A11927"/>
    <w:rsid w:val="00A120A6"/>
    <w:rsid w:val="00A122CB"/>
    <w:rsid w:val="00A12518"/>
    <w:rsid w:val="00A127AA"/>
    <w:rsid w:val="00A127F5"/>
    <w:rsid w:val="00A1376A"/>
    <w:rsid w:val="00A14123"/>
    <w:rsid w:val="00A14571"/>
    <w:rsid w:val="00A146F5"/>
    <w:rsid w:val="00A15480"/>
    <w:rsid w:val="00A154C6"/>
    <w:rsid w:val="00A15A3C"/>
    <w:rsid w:val="00A15B3D"/>
    <w:rsid w:val="00A16412"/>
    <w:rsid w:val="00A16598"/>
    <w:rsid w:val="00A167C9"/>
    <w:rsid w:val="00A16EBA"/>
    <w:rsid w:val="00A17D6A"/>
    <w:rsid w:val="00A2096E"/>
    <w:rsid w:val="00A20D5D"/>
    <w:rsid w:val="00A2177E"/>
    <w:rsid w:val="00A21C59"/>
    <w:rsid w:val="00A22525"/>
    <w:rsid w:val="00A227BE"/>
    <w:rsid w:val="00A22CDD"/>
    <w:rsid w:val="00A22D3C"/>
    <w:rsid w:val="00A23494"/>
    <w:rsid w:val="00A2363F"/>
    <w:rsid w:val="00A2399D"/>
    <w:rsid w:val="00A23AB1"/>
    <w:rsid w:val="00A23AD5"/>
    <w:rsid w:val="00A250D5"/>
    <w:rsid w:val="00A25A4A"/>
    <w:rsid w:val="00A25E36"/>
    <w:rsid w:val="00A26550"/>
    <w:rsid w:val="00A26703"/>
    <w:rsid w:val="00A26A09"/>
    <w:rsid w:val="00A26A16"/>
    <w:rsid w:val="00A26D36"/>
    <w:rsid w:val="00A2731D"/>
    <w:rsid w:val="00A27515"/>
    <w:rsid w:val="00A27783"/>
    <w:rsid w:val="00A27B79"/>
    <w:rsid w:val="00A27BAD"/>
    <w:rsid w:val="00A30119"/>
    <w:rsid w:val="00A30354"/>
    <w:rsid w:val="00A306DA"/>
    <w:rsid w:val="00A30EE9"/>
    <w:rsid w:val="00A3100B"/>
    <w:rsid w:val="00A322F6"/>
    <w:rsid w:val="00A3235E"/>
    <w:rsid w:val="00A32686"/>
    <w:rsid w:val="00A330F2"/>
    <w:rsid w:val="00A332F9"/>
    <w:rsid w:val="00A3371E"/>
    <w:rsid w:val="00A346C7"/>
    <w:rsid w:val="00A34905"/>
    <w:rsid w:val="00A351CE"/>
    <w:rsid w:val="00A35271"/>
    <w:rsid w:val="00A356AF"/>
    <w:rsid w:val="00A368B5"/>
    <w:rsid w:val="00A37193"/>
    <w:rsid w:val="00A37547"/>
    <w:rsid w:val="00A37C0A"/>
    <w:rsid w:val="00A37D4C"/>
    <w:rsid w:val="00A4014A"/>
    <w:rsid w:val="00A401B6"/>
    <w:rsid w:val="00A4021A"/>
    <w:rsid w:val="00A405A9"/>
    <w:rsid w:val="00A4160F"/>
    <w:rsid w:val="00A41A34"/>
    <w:rsid w:val="00A41C54"/>
    <w:rsid w:val="00A42F23"/>
    <w:rsid w:val="00A433EE"/>
    <w:rsid w:val="00A43682"/>
    <w:rsid w:val="00A437EB"/>
    <w:rsid w:val="00A43A9A"/>
    <w:rsid w:val="00A44248"/>
    <w:rsid w:val="00A443B6"/>
    <w:rsid w:val="00A44B50"/>
    <w:rsid w:val="00A452AB"/>
    <w:rsid w:val="00A45326"/>
    <w:rsid w:val="00A45362"/>
    <w:rsid w:val="00A4540E"/>
    <w:rsid w:val="00A4563F"/>
    <w:rsid w:val="00A45B79"/>
    <w:rsid w:val="00A4600E"/>
    <w:rsid w:val="00A46166"/>
    <w:rsid w:val="00A465C6"/>
    <w:rsid w:val="00A46639"/>
    <w:rsid w:val="00A467DC"/>
    <w:rsid w:val="00A46994"/>
    <w:rsid w:val="00A46C82"/>
    <w:rsid w:val="00A46F75"/>
    <w:rsid w:val="00A4709E"/>
    <w:rsid w:val="00A47CBB"/>
    <w:rsid w:val="00A47DA2"/>
    <w:rsid w:val="00A50344"/>
    <w:rsid w:val="00A50475"/>
    <w:rsid w:val="00A50795"/>
    <w:rsid w:val="00A50EAA"/>
    <w:rsid w:val="00A51238"/>
    <w:rsid w:val="00A51539"/>
    <w:rsid w:val="00A5180D"/>
    <w:rsid w:val="00A52472"/>
    <w:rsid w:val="00A52508"/>
    <w:rsid w:val="00A528F9"/>
    <w:rsid w:val="00A52ACB"/>
    <w:rsid w:val="00A52B94"/>
    <w:rsid w:val="00A533B2"/>
    <w:rsid w:val="00A5379F"/>
    <w:rsid w:val="00A53D7D"/>
    <w:rsid w:val="00A53E03"/>
    <w:rsid w:val="00A53EE6"/>
    <w:rsid w:val="00A5468B"/>
    <w:rsid w:val="00A553A8"/>
    <w:rsid w:val="00A558D2"/>
    <w:rsid w:val="00A55E18"/>
    <w:rsid w:val="00A56177"/>
    <w:rsid w:val="00A56C6F"/>
    <w:rsid w:val="00A57C5F"/>
    <w:rsid w:val="00A605D5"/>
    <w:rsid w:val="00A60635"/>
    <w:rsid w:val="00A60ABD"/>
    <w:rsid w:val="00A60BED"/>
    <w:rsid w:val="00A61350"/>
    <w:rsid w:val="00A61CE8"/>
    <w:rsid w:val="00A62677"/>
    <w:rsid w:val="00A62C57"/>
    <w:rsid w:val="00A62DE4"/>
    <w:rsid w:val="00A635B2"/>
    <w:rsid w:val="00A640E9"/>
    <w:rsid w:val="00A642B4"/>
    <w:rsid w:val="00A642E9"/>
    <w:rsid w:val="00A642F9"/>
    <w:rsid w:val="00A64F65"/>
    <w:rsid w:val="00A656EF"/>
    <w:rsid w:val="00A65D1C"/>
    <w:rsid w:val="00A663C7"/>
    <w:rsid w:val="00A6682B"/>
    <w:rsid w:val="00A6690F"/>
    <w:rsid w:val="00A669A5"/>
    <w:rsid w:val="00A66ACC"/>
    <w:rsid w:val="00A66BA3"/>
    <w:rsid w:val="00A67130"/>
    <w:rsid w:val="00A67503"/>
    <w:rsid w:val="00A67616"/>
    <w:rsid w:val="00A67A8B"/>
    <w:rsid w:val="00A67B24"/>
    <w:rsid w:val="00A70025"/>
    <w:rsid w:val="00A700CA"/>
    <w:rsid w:val="00A701A3"/>
    <w:rsid w:val="00A703E1"/>
    <w:rsid w:val="00A706E7"/>
    <w:rsid w:val="00A70E3E"/>
    <w:rsid w:val="00A712F6"/>
    <w:rsid w:val="00A71AAA"/>
    <w:rsid w:val="00A7235E"/>
    <w:rsid w:val="00A7248E"/>
    <w:rsid w:val="00A72600"/>
    <w:rsid w:val="00A732EE"/>
    <w:rsid w:val="00A73380"/>
    <w:rsid w:val="00A7386A"/>
    <w:rsid w:val="00A73A6F"/>
    <w:rsid w:val="00A73C08"/>
    <w:rsid w:val="00A73DE3"/>
    <w:rsid w:val="00A73E75"/>
    <w:rsid w:val="00A73EF8"/>
    <w:rsid w:val="00A7429D"/>
    <w:rsid w:val="00A74415"/>
    <w:rsid w:val="00A74DE4"/>
    <w:rsid w:val="00A756F3"/>
    <w:rsid w:val="00A75AF3"/>
    <w:rsid w:val="00A75CB7"/>
    <w:rsid w:val="00A75E3F"/>
    <w:rsid w:val="00A766D4"/>
    <w:rsid w:val="00A77090"/>
    <w:rsid w:val="00A77212"/>
    <w:rsid w:val="00A80506"/>
    <w:rsid w:val="00A812DA"/>
    <w:rsid w:val="00A81617"/>
    <w:rsid w:val="00A8174F"/>
    <w:rsid w:val="00A8186C"/>
    <w:rsid w:val="00A81AE0"/>
    <w:rsid w:val="00A8223B"/>
    <w:rsid w:val="00A82B96"/>
    <w:rsid w:val="00A82C91"/>
    <w:rsid w:val="00A83E3E"/>
    <w:rsid w:val="00A8442E"/>
    <w:rsid w:val="00A84570"/>
    <w:rsid w:val="00A846EF"/>
    <w:rsid w:val="00A84782"/>
    <w:rsid w:val="00A84B2F"/>
    <w:rsid w:val="00A85B6B"/>
    <w:rsid w:val="00A86AB2"/>
    <w:rsid w:val="00A86C59"/>
    <w:rsid w:val="00A87123"/>
    <w:rsid w:val="00A87560"/>
    <w:rsid w:val="00A87853"/>
    <w:rsid w:val="00A87860"/>
    <w:rsid w:val="00A87950"/>
    <w:rsid w:val="00A879D0"/>
    <w:rsid w:val="00A9010C"/>
    <w:rsid w:val="00A90616"/>
    <w:rsid w:val="00A906DF"/>
    <w:rsid w:val="00A90F64"/>
    <w:rsid w:val="00A91B27"/>
    <w:rsid w:val="00A92286"/>
    <w:rsid w:val="00A9259C"/>
    <w:rsid w:val="00A92699"/>
    <w:rsid w:val="00A92A06"/>
    <w:rsid w:val="00A931E6"/>
    <w:rsid w:val="00A932E2"/>
    <w:rsid w:val="00A94006"/>
    <w:rsid w:val="00A94389"/>
    <w:rsid w:val="00A9438B"/>
    <w:rsid w:val="00A944BF"/>
    <w:rsid w:val="00A94BB5"/>
    <w:rsid w:val="00A94FAE"/>
    <w:rsid w:val="00A953A1"/>
    <w:rsid w:val="00A95797"/>
    <w:rsid w:val="00A95FA2"/>
    <w:rsid w:val="00A9630D"/>
    <w:rsid w:val="00A96A56"/>
    <w:rsid w:val="00A96BAB"/>
    <w:rsid w:val="00A96E3B"/>
    <w:rsid w:val="00A96EB3"/>
    <w:rsid w:val="00A9745A"/>
    <w:rsid w:val="00A97874"/>
    <w:rsid w:val="00A97C01"/>
    <w:rsid w:val="00AA0419"/>
    <w:rsid w:val="00AA13C0"/>
    <w:rsid w:val="00AA156B"/>
    <w:rsid w:val="00AA1F1F"/>
    <w:rsid w:val="00AA2164"/>
    <w:rsid w:val="00AA2251"/>
    <w:rsid w:val="00AA26AE"/>
    <w:rsid w:val="00AA3479"/>
    <w:rsid w:val="00AA36D8"/>
    <w:rsid w:val="00AA4755"/>
    <w:rsid w:val="00AA498F"/>
    <w:rsid w:val="00AA4BDF"/>
    <w:rsid w:val="00AA5389"/>
    <w:rsid w:val="00AA563D"/>
    <w:rsid w:val="00AA5B3D"/>
    <w:rsid w:val="00AA5E07"/>
    <w:rsid w:val="00AA5ED7"/>
    <w:rsid w:val="00AA60ED"/>
    <w:rsid w:val="00AA61FA"/>
    <w:rsid w:val="00AA698B"/>
    <w:rsid w:val="00AA6DCC"/>
    <w:rsid w:val="00AA6F55"/>
    <w:rsid w:val="00AA7494"/>
    <w:rsid w:val="00AA770B"/>
    <w:rsid w:val="00AA7B7C"/>
    <w:rsid w:val="00AB085B"/>
    <w:rsid w:val="00AB0DC1"/>
    <w:rsid w:val="00AB0E42"/>
    <w:rsid w:val="00AB11DA"/>
    <w:rsid w:val="00AB1375"/>
    <w:rsid w:val="00AB1553"/>
    <w:rsid w:val="00AB288B"/>
    <w:rsid w:val="00AB2A91"/>
    <w:rsid w:val="00AB398D"/>
    <w:rsid w:val="00AB39CA"/>
    <w:rsid w:val="00AB42B0"/>
    <w:rsid w:val="00AB434C"/>
    <w:rsid w:val="00AB4760"/>
    <w:rsid w:val="00AB4C71"/>
    <w:rsid w:val="00AB4F0E"/>
    <w:rsid w:val="00AB5308"/>
    <w:rsid w:val="00AB5B14"/>
    <w:rsid w:val="00AB5CAD"/>
    <w:rsid w:val="00AB6063"/>
    <w:rsid w:val="00AB63DA"/>
    <w:rsid w:val="00AB660A"/>
    <w:rsid w:val="00AB7021"/>
    <w:rsid w:val="00AB7740"/>
    <w:rsid w:val="00AB77D9"/>
    <w:rsid w:val="00AB77E0"/>
    <w:rsid w:val="00AB79D8"/>
    <w:rsid w:val="00AC0501"/>
    <w:rsid w:val="00AC1503"/>
    <w:rsid w:val="00AC1CBD"/>
    <w:rsid w:val="00AC1D36"/>
    <w:rsid w:val="00AC1E2D"/>
    <w:rsid w:val="00AC2347"/>
    <w:rsid w:val="00AC2A7C"/>
    <w:rsid w:val="00AC2FF1"/>
    <w:rsid w:val="00AC3FE9"/>
    <w:rsid w:val="00AC43F1"/>
    <w:rsid w:val="00AC482F"/>
    <w:rsid w:val="00AC4C9C"/>
    <w:rsid w:val="00AC51EB"/>
    <w:rsid w:val="00AC5860"/>
    <w:rsid w:val="00AC5DFC"/>
    <w:rsid w:val="00AC60F9"/>
    <w:rsid w:val="00AC625C"/>
    <w:rsid w:val="00AC6341"/>
    <w:rsid w:val="00AC6A8C"/>
    <w:rsid w:val="00AC6C5F"/>
    <w:rsid w:val="00AC6D61"/>
    <w:rsid w:val="00AC71B0"/>
    <w:rsid w:val="00AC7CA0"/>
    <w:rsid w:val="00AD0003"/>
    <w:rsid w:val="00AD0097"/>
    <w:rsid w:val="00AD0753"/>
    <w:rsid w:val="00AD0957"/>
    <w:rsid w:val="00AD0B4D"/>
    <w:rsid w:val="00AD126F"/>
    <w:rsid w:val="00AD1703"/>
    <w:rsid w:val="00AD1D03"/>
    <w:rsid w:val="00AD1FF5"/>
    <w:rsid w:val="00AD228A"/>
    <w:rsid w:val="00AD239D"/>
    <w:rsid w:val="00AD35B3"/>
    <w:rsid w:val="00AD38B7"/>
    <w:rsid w:val="00AD4528"/>
    <w:rsid w:val="00AD4EBC"/>
    <w:rsid w:val="00AD5A4C"/>
    <w:rsid w:val="00AD5B30"/>
    <w:rsid w:val="00AD5C40"/>
    <w:rsid w:val="00AD5CDA"/>
    <w:rsid w:val="00AD5D51"/>
    <w:rsid w:val="00AD660D"/>
    <w:rsid w:val="00AD6DCB"/>
    <w:rsid w:val="00AD6F4C"/>
    <w:rsid w:val="00AD7110"/>
    <w:rsid w:val="00AD7408"/>
    <w:rsid w:val="00AD7BDA"/>
    <w:rsid w:val="00AE0220"/>
    <w:rsid w:val="00AE126C"/>
    <w:rsid w:val="00AE1481"/>
    <w:rsid w:val="00AE189E"/>
    <w:rsid w:val="00AE1E1E"/>
    <w:rsid w:val="00AE2CBE"/>
    <w:rsid w:val="00AE39F7"/>
    <w:rsid w:val="00AE3A9A"/>
    <w:rsid w:val="00AE3C1E"/>
    <w:rsid w:val="00AE3D28"/>
    <w:rsid w:val="00AE42A1"/>
    <w:rsid w:val="00AE462D"/>
    <w:rsid w:val="00AE4A30"/>
    <w:rsid w:val="00AE4E6D"/>
    <w:rsid w:val="00AE4E7C"/>
    <w:rsid w:val="00AE4F6C"/>
    <w:rsid w:val="00AE5224"/>
    <w:rsid w:val="00AE5890"/>
    <w:rsid w:val="00AE6AE5"/>
    <w:rsid w:val="00AE6BB8"/>
    <w:rsid w:val="00AE7063"/>
    <w:rsid w:val="00AE79A0"/>
    <w:rsid w:val="00AF03CE"/>
    <w:rsid w:val="00AF051C"/>
    <w:rsid w:val="00AF094F"/>
    <w:rsid w:val="00AF0B90"/>
    <w:rsid w:val="00AF0B9B"/>
    <w:rsid w:val="00AF0F5E"/>
    <w:rsid w:val="00AF23AB"/>
    <w:rsid w:val="00AF2980"/>
    <w:rsid w:val="00AF2A24"/>
    <w:rsid w:val="00AF2A75"/>
    <w:rsid w:val="00AF3DDB"/>
    <w:rsid w:val="00AF3F16"/>
    <w:rsid w:val="00AF471E"/>
    <w:rsid w:val="00AF57FA"/>
    <w:rsid w:val="00AF5BE4"/>
    <w:rsid w:val="00AF616B"/>
    <w:rsid w:val="00AF62DD"/>
    <w:rsid w:val="00AF633D"/>
    <w:rsid w:val="00AF6A2F"/>
    <w:rsid w:val="00AF7057"/>
    <w:rsid w:val="00AF7B84"/>
    <w:rsid w:val="00B00373"/>
    <w:rsid w:val="00B0089D"/>
    <w:rsid w:val="00B009C5"/>
    <w:rsid w:val="00B01388"/>
    <w:rsid w:val="00B014B3"/>
    <w:rsid w:val="00B0200B"/>
    <w:rsid w:val="00B02DAF"/>
    <w:rsid w:val="00B03646"/>
    <w:rsid w:val="00B03A82"/>
    <w:rsid w:val="00B04D4F"/>
    <w:rsid w:val="00B0583C"/>
    <w:rsid w:val="00B06363"/>
    <w:rsid w:val="00B06394"/>
    <w:rsid w:val="00B065BE"/>
    <w:rsid w:val="00B067D7"/>
    <w:rsid w:val="00B067F7"/>
    <w:rsid w:val="00B06BA7"/>
    <w:rsid w:val="00B06EC3"/>
    <w:rsid w:val="00B078B7"/>
    <w:rsid w:val="00B10A7F"/>
    <w:rsid w:val="00B10C2D"/>
    <w:rsid w:val="00B10D64"/>
    <w:rsid w:val="00B1128D"/>
    <w:rsid w:val="00B11322"/>
    <w:rsid w:val="00B118F4"/>
    <w:rsid w:val="00B1211B"/>
    <w:rsid w:val="00B1218B"/>
    <w:rsid w:val="00B12351"/>
    <w:rsid w:val="00B14600"/>
    <w:rsid w:val="00B1491F"/>
    <w:rsid w:val="00B14A15"/>
    <w:rsid w:val="00B153AA"/>
    <w:rsid w:val="00B1597A"/>
    <w:rsid w:val="00B15A33"/>
    <w:rsid w:val="00B16D78"/>
    <w:rsid w:val="00B16FC1"/>
    <w:rsid w:val="00B178D2"/>
    <w:rsid w:val="00B216E6"/>
    <w:rsid w:val="00B21BC0"/>
    <w:rsid w:val="00B2269A"/>
    <w:rsid w:val="00B22994"/>
    <w:rsid w:val="00B22BCE"/>
    <w:rsid w:val="00B22E2B"/>
    <w:rsid w:val="00B231FA"/>
    <w:rsid w:val="00B23412"/>
    <w:rsid w:val="00B23607"/>
    <w:rsid w:val="00B2370C"/>
    <w:rsid w:val="00B23F2A"/>
    <w:rsid w:val="00B240DE"/>
    <w:rsid w:val="00B24196"/>
    <w:rsid w:val="00B245E9"/>
    <w:rsid w:val="00B251F3"/>
    <w:rsid w:val="00B25695"/>
    <w:rsid w:val="00B25D36"/>
    <w:rsid w:val="00B26FD2"/>
    <w:rsid w:val="00B279AF"/>
    <w:rsid w:val="00B27BF8"/>
    <w:rsid w:val="00B27CC8"/>
    <w:rsid w:val="00B27EEB"/>
    <w:rsid w:val="00B30E5D"/>
    <w:rsid w:val="00B3158B"/>
    <w:rsid w:val="00B316BE"/>
    <w:rsid w:val="00B31B53"/>
    <w:rsid w:val="00B32D4D"/>
    <w:rsid w:val="00B3300C"/>
    <w:rsid w:val="00B341F2"/>
    <w:rsid w:val="00B34B94"/>
    <w:rsid w:val="00B34FDC"/>
    <w:rsid w:val="00B3505C"/>
    <w:rsid w:val="00B35108"/>
    <w:rsid w:val="00B35C03"/>
    <w:rsid w:val="00B3660A"/>
    <w:rsid w:val="00B36DD9"/>
    <w:rsid w:val="00B37BE3"/>
    <w:rsid w:val="00B40818"/>
    <w:rsid w:val="00B40AA4"/>
    <w:rsid w:val="00B40D87"/>
    <w:rsid w:val="00B42B66"/>
    <w:rsid w:val="00B43026"/>
    <w:rsid w:val="00B4380C"/>
    <w:rsid w:val="00B43B81"/>
    <w:rsid w:val="00B43E03"/>
    <w:rsid w:val="00B4409C"/>
    <w:rsid w:val="00B442B0"/>
    <w:rsid w:val="00B4588C"/>
    <w:rsid w:val="00B4590D"/>
    <w:rsid w:val="00B461FD"/>
    <w:rsid w:val="00B46E8D"/>
    <w:rsid w:val="00B472C9"/>
    <w:rsid w:val="00B473A5"/>
    <w:rsid w:val="00B473E8"/>
    <w:rsid w:val="00B47636"/>
    <w:rsid w:val="00B47987"/>
    <w:rsid w:val="00B47BD1"/>
    <w:rsid w:val="00B50534"/>
    <w:rsid w:val="00B50F59"/>
    <w:rsid w:val="00B5137C"/>
    <w:rsid w:val="00B514B3"/>
    <w:rsid w:val="00B515D6"/>
    <w:rsid w:val="00B51A85"/>
    <w:rsid w:val="00B51C54"/>
    <w:rsid w:val="00B51C7B"/>
    <w:rsid w:val="00B521A2"/>
    <w:rsid w:val="00B522B0"/>
    <w:rsid w:val="00B52649"/>
    <w:rsid w:val="00B52BFB"/>
    <w:rsid w:val="00B52E9A"/>
    <w:rsid w:val="00B53151"/>
    <w:rsid w:val="00B53AFE"/>
    <w:rsid w:val="00B547ED"/>
    <w:rsid w:val="00B54BCB"/>
    <w:rsid w:val="00B552A3"/>
    <w:rsid w:val="00B5596E"/>
    <w:rsid w:val="00B560CF"/>
    <w:rsid w:val="00B56574"/>
    <w:rsid w:val="00B56889"/>
    <w:rsid w:val="00B56B68"/>
    <w:rsid w:val="00B56C5D"/>
    <w:rsid w:val="00B573DA"/>
    <w:rsid w:val="00B5770A"/>
    <w:rsid w:val="00B57868"/>
    <w:rsid w:val="00B57BD8"/>
    <w:rsid w:val="00B60A55"/>
    <w:rsid w:val="00B60B15"/>
    <w:rsid w:val="00B612D1"/>
    <w:rsid w:val="00B6131E"/>
    <w:rsid w:val="00B617AF"/>
    <w:rsid w:val="00B6283A"/>
    <w:rsid w:val="00B6287B"/>
    <w:rsid w:val="00B62D82"/>
    <w:rsid w:val="00B62DD8"/>
    <w:rsid w:val="00B62EE0"/>
    <w:rsid w:val="00B630D8"/>
    <w:rsid w:val="00B63CEB"/>
    <w:rsid w:val="00B63F3D"/>
    <w:rsid w:val="00B64720"/>
    <w:rsid w:val="00B651FB"/>
    <w:rsid w:val="00B652EC"/>
    <w:rsid w:val="00B65958"/>
    <w:rsid w:val="00B66920"/>
    <w:rsid w:val="00B67119"/>
    <w:rsid w:val="00B67556"/>
    <w:rsid w:val="00B677B1"/>
    <w:rsid w:val="00B67974"/>
    <w:rsid w:val="00B67F2D"/>
    <w:rsid w:val="00B70743"/>
    <w:rsid w:val="00B70B0D"/>
    <w:rsid w:val="00B718E3"/>
    <w:rsid w:val="00B72ECF"/>
    <w:rsid w:val="00B73080"/>
    <w:rsid w:val="00B73359"/>
    <w:rsid w:val="00B738CD"/>
    <w:rsid w:val="00B75376"/>
    <w:rsid w:val="00B75456"/>
    <w:rsid w:val="00B75AEF"/>
    <w:rsid w:val="00B75DA7"/>
    <w:rsid w:val="00B75E21"/>
    <w:rsid w:val="00B767A1"/>
    <w:rsid w:val="00B76B12"/>
    <w:rsid w:val="00B76CBA"/>
    <w:rsid w:val="00B76D2D"/>
    <w:rsid w:val="00B76FCC"/>
    <w:rsid w:val="00B76FF2"/>
    <w:rsid w:val="00B77483"/>
    <w:rsid w:val="00B77605"/>
    <w:rsid w:val="00B7761F"/>
    <w:rsid w:val="00B77D52"/>
    <w:rsid w:val="00B81B13"/>
    <w:rsid w:val="00B81BE2"/>
    <w:rsid w:val="00B82DBE"/>
    <w:rsid w:val="00B833AC"/>
    <w:rsid w:val="00B83834"/>
    <w:rsid w:val="00B83C4E"/>
    <w:rsid w:val="00B84055"/>
    <w:rsid w:val="00B84236"/>
    <w:rsid w:val="00B84A25"/>
    <w:rsid w:val="00B85A7A"/>
    <w:rsid w:val="00B86524"/>
    <w:rsid w:val="00B86730"/>
    <w:rsid w:val="00B8764B"/>
    <w:rsid w:val="00B877D4"/>
    <w:rsid w:val="00B8796A"/>
    <w:rsid w:val="00B90865"/>
    <w:rsid w:val="00B90A58"/>
    <w:rsid w:val="00B90B32"/>
    <w:rsid w:val="00B90E49"/>
    <w:rsid w:val="00B913B5"/>
    <w:rsid w:val="00B91611"/>
    <w:rsid w:val="00B919D9"/>
    <w:rsid w:val="00B91FAF"/>
    <w:rsid w:val="00B923F7"/>
    <w:rsid w:val="00B932F3"/>
    <w:rsid w:val="00B9382B"/>
    <w:rsid w:val="00B93B79"/>
    <w:rsid w:val="00B93EF8"/>
    <w:rsid w:val="00B93F18"/>
    <w:rsid w:val="00B944D5"/>
    <w:rsid w:val="00B947B9"/>
    <w:rsid w:val="00B95178"/>
    <w:rsid w:val="00B955F8"/>
    <w:rsid w:val="00B95BE2"/>
    <w:rsid w:val="00B961CA"/>
    <w:rsid w:val="00B96721"/>
    <w:rsid w:val="00B96A93"/>
    <w:rsid w:val="00B96F94"/>
    <w:rsid w:val="00B971CF"/>
    <w:rsid w:val="00B978DF"/>
    <w:rsid w:val="00B97BE2"/>
    <w:rsid w:val="00BA0249"/>
    <w:rsid w:val="00BA058D"/>
    <w:rsid w:val="00BA0728"/>
    <w:rsid w:val="00BA09DE"/>
    <w:rsid w:val="00BA1236"/>
    <w:rsid w:val="00BA1E6F"/>
    <w:rsid w:val="00BA3A4D"/>
    <w:rsid w:val="00BA3C8F"/>
    <w:rsid w:val="00BA421E"/>
    <w:rsid w:val="00BA42FD"/>
    <w:rsid w:val="00BA497C"/>
    <w:rsid w:val="00BA4DAD"/>
    <w:rsid w:val="00BA4E80"/>
    <w:rsid w:val="00BA5A93"/>
    <w:rsid w:val="00BA5F4D"/>
    <w:rsid w:val="00BA675F"/>
    <w:rsid w:val="00BA69D3"/>
    <w:rsid w:val="00BA70F6"/>
    <w:rsid w:val="00BA75EF"/>
    <w:rsid w:val="00BA7661"/>
    <w:rsid w:val="00BB0133"/>
    <w:rsid w:val="00BB097A"/>
    <w:rsid w:val="00BB0E9C"/>
    <w:rsid w:val="00BB16DB"/>
    <w:rsid w:val="00BB196B"/>
    <w:rsid w:val="00BB22CF"/>
    <w:rsid w:val="00BB27A1"/>
    <w:rsid w:val="00BB3084"/>
    <w:rsid w:val="00BB3575"/>
    <w:rsid w:val="00BB40EA"/>
    <w:rsid w:val="00BB412D"/>
    <w:rsid w:val="00BB4C02"/>
    <w:rsid w:val="00BB4EFB"/>
    <w:rsid w:val="00BB5251"/>
    <w:rsid w:val="00BB5988"/>
    <w:rsid w:val="00BB5DD1"/>
    <w:rsid w:val="00BB5F0D"/>
    <w:rsid w:val="00BB61B0"/>
    <w:rsid w:val="00BB63B8"/>
    <w:rsid w:val="00BB6412"/>
    <w:rsid w:val="00BB653D"/>
    <w:rsid w:val="00BB6A48"/>
    <w:rsid w:val="00BB70D8"/>
    <w:rsid w:val="00BB70EB"/>
    <w:rsid w:val="00BB74CD"/>
    <w:rsid w:val="00BC004F"/>
    <w:rsid w:val="00BC027C"/>
    <w:rsid w:val="00BC0913"/>
    <w:rsid w:val="00BC0A2D"/>
    <w:rsid w:val="00BC0A78"/>
    <w:rsid w:val="00BC1320"/>
    <w:rsid w:val="00BC1CEA"/>
    <w:rsid w:val="00BC21B8"/>
    <w:rsid w:val="00BC3B00"/>
    <w:rsid w:val="00BC3D24"/>
    <w:rsid w:val="00BC3FF7"/>
    <w:rsid w:val="00BC4186"/>
    <w:rsid w:val="00BC41A7"/>
    <w:rsid w:val="00BC429C"/>
    <w:rsid w:val="00BC524D"/>
    <w:rsid w:val="00BC5A44"/>
    <w:rsid w:val="00BC5AE3"/>
    <w:rsid w:val="00BC67E4"/>
    <w:rsid w:val="00BC6BAD"/>
    <w:rsid w:val="00BC6DEB"/>
    <w:rsid w:val="00BC6F3A"/>
    <w:rsid w:val="00BC7D6B"/>
    <w:rsid w:val="00BC7F11"/>
    <w:rsid w:val="00BC7F6E"/>
    <w:rsid w:val="00BD0056"/>
    <w:rsid w:val="00BD0318"/>
    <w:rsid w:val="00BD03B9"/>
    <w:rsid w:val="00BD0517"/>
    <w:rsid w:val="00BD0ED3"/>
    <w:rsid w:val="00BD14B1"/>
    <w:rsid w:val="00BD1AFC"/>
    <w:rsid w:val="00BD1C0E"/>
    <w:rsid w:val="00BD2000"/>
    <w:rsid w:val="00BD2A66"/>
    <w:rsid w:val="00BD3253"/>
    <w:rsid w:val="00BD3544"/>
    <w:rsid w:val="00BD367A"/>
    <w:rsid w:val="00BD3C90"/>
    <w:rsid w:val="00BD3F2B"/>
    <w:rsid w:val="00BD46EB"/>
    <w:rsid w:val="00BD4870"/>
    <w:rsid w:val="00BD4AE0"/>
    <w:rsid w:val="00BD4EA9"/>
    <w:rsid w:val="00BD5232"/>
    <w:rsid w:val="00BD5427"/>
    <w:rsid w:val="00BD5829"/>
    <w:rsid w:val="00BD5972"/>
    <w:rsid w:val="00BD5F0E"/>
    <w:rsid w:val="00BD6433"/>
    <w:rsid w:val="00BD64C3"/>
    <w:rsid w:val="00BD6AC3"/>
    <w:rsid w:val="00BD6FD0"/>
    <w:rsid w:val="00BD718F"/>
    <w:rsid w:val="00BD749B"/>
    <w:rsid w:val="00BD7F95"/>
    <w:rsid w:val="00BE01E5"/>
    <w:rsid w:val="00BE01FC"/>
    <w:rsid w:val="00BE0307"/>
    <w:rsid w:val="00BE0F00"/>
    <w:rsid w:val="00BE1509"/>
    <w:rsid w:val="00BE1555"/>
    <w:rsid w:val="00BE1E72"/>
    <w:rsid w:val="00BE3196"/>
    <w:rsid w:val="00BE3FC2"/>
    <w:rsid w:val="00BE4321"/>
    <w:rsid w:val="00BE434A"/>
    <w:rsid w:val="00BE469D"/>
    <w:rsid w:val="00BE59A2"/>
    <w:rsid w:val="00BE5A8F"/>
    <w:rsid w:val="00BE5DBC"/>
    <w:rsid w:val="00BE644D"/>
    <w:rsid w:val="00BE64C1"/>
    <w:rsid w:val="00BE79E6"/>
    <w:rsid w:val="00BE7B01"/>
    <w:rsid w:val="00BF00DE"/>
    <w:rsid w:val="00BF065F"/>
    <w:rsid w:val="00BF0856"/>
    <w:rsid w:val="00BF122E"/>
    <w:rsid w:val="00BF1477"/>
    <w:rsid w:val="00BF1667"/>
    <w:rsid w:val="00BF1CE5"/>
    <w:rsid w:val="00BF208E"/>
    <w:rsid w:val="00BF2E8C"/>
    <w:rsid w:val="00BF350C"/>
    <w:rsid w:val="00BF3C11"/>
    <w:rsid w:val="00BF3E5F"/>
    <w:rsid w:val="00BF3FC9"/>
    <w:rsid w:val="00BF4695"/>
    <w:rsid w:val="00BF5A05"/>
    <w:rsid w:val="00BF5AF8"/>
    <w:rsid w:val="00BF5C09"/>
    <w:rsid w:val="00BF5C8E"/>
    <w:rsid w:val="00BF5D3D"/>
    <w:rsid w:val="00BF5FB3"/>
    <w:rsid w:val="00BF602C"/>
    <w:rsid w:val="00BF6044"/>
    <w:rsid w:val="00BF626A"/>
    <w:rsid w:val="00BF6ACA"/>
    <w:rsid w:val="00C0004C"/>
    <w:rsid w:val="00C001BA"/>
    <w:rsid w:val="00C004E8"/>
    <w:rsid w:val="00C0069C"/>
    <w:rsid w:val="00C00B5A"/>
    <w:rsid w:val="00C00C71"/>
    <w:rsid w:val="00C00F0D"/>
    <w:rsid w:val="00C0106E"/>
    <w:rsid w:val="00C018AD"/>
    <w:rsid w:val="00C01915"/>
    <w:rsid w:val="00C01C66"/>
    <w:rsid w:val="00C01CC0"/>
    <w:rsid w:val="00C0257D"/>
    <w:rsid w:val="00C036CD"/>
    <w:rsid w:val="00C03E67"/>
    <w:rsid w:val="00C03F9C"/>
    <w:rsid w:val="00C04075"/>
    <w:rsid w:val="00C05ABC"/>
    <w:rsid w:val="00C06A86"/>
    <w:rsid w:val="00C076CF"/>
    <w:rsid w:val="00C108E4"/>
    <w:rsid w:val="00C10E4F"/>
    <w:rsid w:val="00C112A4"/>
    <w:rsid w:val="00C11505"/>
    <w:rsid w:val="00C11856"/>
    <w:rsid w:val="00C123CF"/>
    <w:rsid w:val="00C12650"/>
    <w:rsid w:val="00C126C9"/>
    <w:rsid w:val="00C13365"/>
    <w:rsid w:val="00C1382B"/>
    <w:rsid w:val="00C13A49"/>
    <w:rsid w:val="00C14893"/>
    <w:rsid w:val="00C14CDC"/>
    <w:rsid w:val="00C14F9D"/>
    <w:rsid w:val="00C152FA"/>
    <w:rsid w:val="00C15437"/>
    <w:rsid w:val="00C15684"/>
    <w:rsid w:val="00C15C1E"/>
    <w:rsid w:val="00C15C5A"/>
    <w:rsid w:val="00C160BD"/>
    <w:rsid w:val="00C16146"/>
    <w:rsid w:val="00C168E4"/>
    <w:rsid w:val="00C16BA6"/>
    <w:rsid w:val="00C17182"/>
    <w:rsid w:val="00C204C6"/>
    <w:rsid w:val="00C20DF9"/>
    <w:rsid w:val="00C20E84"/>
    <w:rsid w:val="00C20FA0"/>
    <w:rsid w:val="00C2155E"/>
    <w:rsid w:val="00C21EAA"/>
    <w:rsid w:val="00C22329"/>
    <w:rsid w:val="00C22F92"/>
    <w:rsid w:val="00C23288"/>
    <w:rsid w:val="00C23844"/>
    <w:rsid w:val="00C23BCA"/>
    <w:rsid w:val="00C2404F"/>
    <w:rsid w:val="00C244CD"/>
    <w:rsid w:val="00C24609"/>
    <w:rsid w:val="00C247F0"/>
    <w:rsid w:val="00C255E7"/>
    <w:rsid w:val="00C25A9F"/>
    <w:rsid w:val="00C25D31"/>
    <w:rsid w:val="00C26579"/>
    <w:rsid w:val="00C270C4"/>
    <w:rsid w:val="00C27239"/>
    <w:rsid w:val="00C272D9"/>
    <w:rsid w:val="00C27EBD"/>
    <w:rsid w:val="00C27F48"/>
    <w:rsid w:val="00C30668"/>
    <w:rsid w:val="00C30885"/>
    <w:rsid w:val="00C3121A"/>
    <w:rsid w:val="00C31942"/>
    <w:rsid w:val="00C31AA9"/>
    <w:rsid w:val="00C32469"/>
    <w:rsid w:val="00C32514"/>
    <w:rsid w:val="00C3275E"/>
    <w:rsid w:val="00C328C2"/>
    <w:rsid w:val="00C32FDD"/>
    <w:rsid w:val="00C33386"/>
    <w:rsid w:val="00C33424"/>
    <w:rsid w:val="00C3377E"/>
    <w:rsid w:val="00C33C35"/>
    <w:rsid w:val="00C33C9A"/>
    <w:rsid w:val="00C34122"/>
    <w:rsid w:val="00C341C9"/>
    <w:rsid w:val="00C3423C"/>
    <w:rsid w:val="00C34ADE"/>
    <w:rsid w:val="00C362B8"/>
    <w:rsid w:val="00C36489"/>
    <w:rsid w:val="00C365D7"/>
    <w:rsid w:val="00C3690F"/>
    <w:rsid w:val="00C372AB"/>
    <w:rsid w:val="00C405AE"/>
    <w:rsid w:val="00C40974"/>
    <w:rsid w:val="00C40CCF"/>
    <w:rsid w:val="00C40D5F"/>
    <w:rsid w:val="00C413DD"/>
    <w:rsid w:val="00C41723"/>
    <w:rsid w:val="00C41772"/>
    <w:rsid w:val="00C41E28"/>
    <w:rsid w:val="00C42045"/>
    <w:rsid w:val="00C4263A"/>
    <w:rsid w:val="00C42B44"/>
    <w:rsid w:val="00C42B61"/>
    <w:rsid w:val="00C43A9E"/>
    <w:rsid w:val="00C443AF"/>
    <w:rsid w:val="00C444B1"/>
    <w:rsid w:val="00C447F5"/>
    <w:rsid w:val="00C44ABB"/>
    <w:rsid w:val="00C44BE5"/>
    <w:rsid w:val="00C45CA2"/>
    <w:rsid w:val="00C46C1E"/>
    <w:rsid w:val="00C470FA"/>
    <w:rsid w:val="00C479D6"/>
    <w:rsid w:val="00C51136"/>
    <w:rsid w:val="00C51417"/>
    <w:rsid w:val="00C51621"/>
    <w:rsid w:val="00C516D8"/>
    <w:rsid w:val="00C516FB"/>
    <w:rsid w:val="00C517FB"/>
    <w:rsid w:val="00C5220F"/>
    <w:rsid w:val="00C5224D"/>
    <w:rsid w:val="00C52758"/>
    <w:rsid w:val="00C53156"/>
    <w:rsid w:val="00C532AE"/>
    <w:rsid w:val="00C5363A"/>
    <w:rsid w:val="00C53823"/>
    <w:rsid w:val="00C53B53"/>
    <w:rsid w:val="00C5426B"/>
    <w:rsid w:val="00C54DA1"/>
    <w:rsid w:val="00C54E20"/>
    <w:rsid w:val="00C54F6F"/>
    <w:rsid w:val="00C55C2C"/>
    <w:rsid w:val="00C5675D"/>
    <w:rsid w:val="00C56EAB"/>
    <w:rsid w:val="00C602EE"/>
    <w:rsid w:val="00C61728"/>
    <w:rsid w:val="00C6190B"/>
    <w:rsid w:val="00C6221C"/>
    <w:rsid w:val="00C6237B"/>
    <w:rsid w:val="00C62C75"/>
    <w:rsid w:val="00C63713"/>
    <w:rsid w:val="00C63789"/>
    <w:rsid w:val="00C63AD7"/>
    <w:rsid w:val="00C641B8"/>
    <w:rsid w:val="00C6467B"/>
    <w:rsid w:val="00C650EB"/>
    <w:rsid w:val="00C65322"/>
    <w:rsid w:val="00C65342"/>
    <w:rsid w:val="00C65FAA"/>
    <w:rsid w:val="00C6635F"/>
    <w:rsid w:val="00C664C0"/>
    <w:rsid w:val="00C66631"/>
    <w:rsid w:val="00C670C5"/>
    <w:rsid w:val="00C6771B"/>
    <w:rsid w:val="00C70983"/>
    <w:rsid w:val="00C71C79"/>
    <w:rsid w:val="00C71CD1"/>
    <w:rsid w:val="00C71E0B"/>
    <w:rsid w:val="00C725A8"/>
    <w:rsid w:val="00C727EB"/>
    <w:rsid w:val="00C72F2C"/>
    <w:rsid w:val="00C73BCD"/>
    <w:rsid w:val="00C73C16"/>
    <w:rsid w:val="00C74379"/>
    <w:rsid w:val="00C74516"/>
    <w:rsid w:val="00C74A0A"/>
    <w:rsid w:val="00C74EEA"/>
    <w:rsid w:val="00C75717"/>
    <w:rsid w:val="00C7599D"/>
    <w:rsid w:val="00C75CD3"/>
    <w:rsid w:val="00C75E88"/>
    <w:rsid w:val="00C75E98"/>
    <w:rsid w:val="00C75F3A"/>
    <w:rsid w:val="00C76017"/>
    <w:rsid w:val="00C760C2"/>
    <w:rsid w:val="00C76528"/>
    <w:rsid w:val="00C77173"/>
    <w:rsid w:val="00C77709"/>
    <w:rsid w:val="00C80E88"/>
    <w:rsid w:val="00C80E92"/>
    <w:rsid w:val="00C8114B"/>
    <w:rsid w:val="00C81277"/>
    <w:rsid w:val="00C81379"/>
    <w:rsid w:val="00C81FAC"/>
    <w:rsid w:val="00C8214B"/>
    <w:rsid w:val="00C829A9"/>
    <w:rsid w:val="00C82D99"/>
    <w:rsid w:val="00C83487"/>
    <w:rsid w:val="00C83835"/>
    <w:rsid w:val="00C83B78"/>
    <w:rsid w:val="00C84894"/>
    <w:rsid w:val="00C85C65"/>
    <w:rsid w:val="00C8680B"/>
    <w:rsid w:val="00C86D9A"/>
    <w:rsid w:val="00C8716E"/>
    <w:rsid w:val="00C87641"/>
    <w:rsid w:val="00C8772D"/>
    <w:rsid w:val="00C8783A"/>
    <w:rsid w:val="00C87948"/>
    <w:rsid w:val="00C87BC9"/>
    <w:rsid w:val="00C9055E"/>
    <w:rsid w:val="00C90B9C"/>
    <w:rsid w:val="00C913F9"/>
    <w:rsid w:val="00C916CA"/>
    <w:rsid w:val="00C9185E"/>
    <w:rsid w:val="00C91CE8"/>
    <w:rsid w:val="00C92D4F"/>
    <w:rsid w:val="00C92E02"/>
    <w:rsid w:val="00C92E7F"/>
    <w:rsid w:val="00C9369D"/>
    <w:rsid w:val="00C93764"/>
    <w:rsid w:val="00C94B62"/>
    <w:rsid w:val="00C94B9C"/>
    <w:rsid w:val="00C951F1"/>
    <w:rsid w:val="00C9524B"/>
    <w:rsid w:val="00C95385"/>
    <w:rsid w:val="00C9564B"/>
    <w:rsid w:val="00C95E68"/>
    <w:rsid w:val="00C96341"/>
    <w:rsid w:val="00C9650E"/>
    <w:rsid w:val="00C97313"/>
    <w:rsid w:val="00C97A7B"/>
    <w:rsid w:val="00C97BBA"/>
    <w:rsid w:val="00CA0050"/>
    <w:rsid w:val="00CA01EB"/>
    <w:rsid w:val="00CA0BFC"/>
    <w:rsid w:val="00CA1182"/>
    <w:rsid w:val="00CA1D2C"/>
    <w:rsid w:val="00CA1E5D"/>
    <w:rsid w:val="00CA2410"/>
    <w:rsid w:val="00CA2BC2"/>
    <w:rsid w:val="00CA2CD4"/>
    <w:rsid w:val="00CA370C"/>
    <w:rsid w:val="00CA37BE"/>
    <w:rsid w:val="00CA390D"/>
    <w:rsid w:val="00CA3BF3"/>
    <w:rsid w:val="00CA3F9F"/>
    <w:rsid w:val="00CA416E"/>
    <w:rsid w:val="00CA4422"/>
    <w:rsid w:val="00CA4494"/>
    <w:rsid w:val="00CA46F9"/>
    <w:rsid w:val="00CA4C4A"/>
    <w:rsid w:val="00CA4C5F"/>
    <w:rsid w:val="00CA5815"/>
    <w:rsid w:val="00CA5A2B"/>
    <w:rsid w:val="00CA5FAC"/>
    <w:rsid w:val="00CA6725"/>
    <w:rsid w:val="00CA684A"/>
    <w:rsid w:val="00CA6BCC"/>
    <w:rsid w:val="00CA6C54"/>
    <w:rsid w:val="00CA6E5A"/>
    <w:rsid w:val="00CA6F60"/>
    <w:rsid w:val="00CA77BE"/>
    <w:rsid w:val="00CB028F"/>
    <w:rsid w:val="00CB0AB8"/>
    <w:rsid w:val="00CB0E45"/>
    <w:rsid w:val="00CB10EA"/>
    <w:rsid w:val="00CB142F"/>
    <w:rsid w:val="00CB1460"/>
    <w:rsid w:val="00CB165A"/>
    <w:rsid w:val="00CB1875"/>
    <w:rsid w:val="00CB18AC"/>
    <w:rsid w:val="00CB391A"/>
    <w:rsid w:val="00CB394D"/>
    <w:rsid w:val="00CB394F"/>
    <w:rsid w:val="00CB4479"/>
    <w:rsid w:val="00CB496C"/>
    <w:rsid w:val="00CB4A90"/>
    <w:rsid w:val="00CB4ECF"/>
    <w:rsid w:val="00CB505B"/>
    <w:rsid w:val="00CB5E45"/>
    <w:rsid w:val="00CB640E"/>
    <w:rsid w:val="00CB6D96"/>
    <w:rsid w:val="00CB6DBD"/>
    <w:rsid w:val="00CB74FE"/>
    <w:rsid w:val="00CB780B"/>
    <w:rsid w:val="00CB7C08"/>
    <w:rsid w:val="00CC0CE2"/>
    <w:rsid w:val="00CC105C"/>
    <w:rsid w:val="00CC125E"/>
    <w:rsid w:val="00CC1DB0"/>
    <w:rsid w:val="00CC26E6"/>
    <w:rsid w:val="00CC293E"/>
    <w:rsid w:val="00CC3091"/>
    <w:rsid w:val="00CC35C6"/>
    <w:rsid w:val="00CC3936"/>
    <w:rsid w:val="00CC3B7C"/>
    <w:rsid w:val="00CC3F5C"/>
    <w:rsid w:val="00CC4605"/>
    <w:rsid w:val="00CC4616"/>
    <w:rsid w:val="00CC46FB"/>
    <w:rsid w:val="00CC4CA2"/>
    <w:rsid w:val="00CC584A"/>
    <w:rsid w:val="00CC5D0F"/>
    <w:rsid w:val="00CC5F03"/>
    <w:rsid w:val="00CC6669"/>
    <w:rsid w:val="00CC6BDE"/>
    <w:rsid w:val="00CC6C82"/>
    <w:rsid w:val="00CC7185"/>
    <w:rsid w:val="00CC731E"/>
    <w:rsid w:val="00CC7B37"/>
    <w:rsid w:val="00CD0A0F"/>
    <w:rsid w:val="00CD0D45"/>
    <w:rsid w:val="00CD0EE5"/>
    <w:rsid w:val="00CD0F97"/>
    <w:rsid w:val="00CD10AA"/>
    <w:rsid w:val="00CD117E"/>
    <w:rsid w:val="00CD17C8"/>
    <w:rsid w:val="00CD1EDF"/>
    <w:rsid w:val="00CD2AD7"/>
    <w:rsid w:val="00CD2F64"/>
    <w:rsid w:val="00CD2F73"/>
    <w:rsid w:val="00CD38F7"/>
    <w:rsid w:val="00CD3A91"/>
    <w:rsid w:val="00CD3B2B"/>
    <w:rsid w:val="00CD43B7"/>
    <w:rsid w:val="00CD4A2F"/>
    <w:rsid w:val="00CD4A3B"/>
    <w:rsid w:val="00CD4B4D"/>
    <w:rsid w:val="00CD58BB"/>
    <w:rsid w:val="00CD5C3B"/>
    <w:rsid w:val="00CD5E03"/>
    <w:rsid w:val="00CD6111"/>
    <w:rsid w:val="00CD71BC"/>
    <w:rsid w:val="00CD74F2"/>
    <w:rsid w:val="00CD765C"/>
    <w:rsid w:val="00CD7BFD"/>
    <w:rsid w:val="00CE04C7"/>
    <w:rsid w:val="00CE07F4"/>
    <w:rsid w:val="00CE0892"/>
    <w:rsid w:val="00CE0CCD"/>
    <w:rsid w:val="00CE119B"/>
    <w:rsid w:val="00CE17D0"/>
    <w:rsid w:val="00CE1918"/>
    <w:rsid w:val="00CE1F8D"/>
    <w:rsid w:val="00CE235F"/>
    <w:rsid w:val="00CE2F17"/>
    <w:rsid w:val="00CE3639"/>
    <w:rsid w:val="00CE386A"/>
    <w:rsid w:val="00CE3F09"/>
    <w:rsid w:val="00CE642D"/>
    <w:rsid w:val="00CE6968"/>
    <w:rsid w:val="00CE6C7F"/>
    <w:rsid w:val="00CE6CAF"/>
    <w:rsid w:val="00CE76FF"/>
    <w:rsid w:val="00CE79EC"/>
    <w:rsid w:val="00CE7E34"/>
    <w:rsid w:val="00CF08A6"/>
    <w:rsid w:val="00CF0C25"/>
    <w:rsid w:val="00CF104B"/>
    <w:rsid w:val="00CF17CA"/>
    <w:rsid w:val="00CF17F7"/>
    <w:rsid w:val="00CF1BB4"/>
    <w:rsid w:val="00CF1DD7"/>
    <w:rsid w:val="00CF21A3"/>
    <w:rsid w:val="00CF2274"/>
    <w:rsid w:val="00CF25FD"/>
    <w:rsid w:val="00CF36C3"/>
    <w:rsid w:val="00CF4687"/>
    <w:rsid w:val="00CF49A4"/>
    <w:rsid w:val="00CF4E8D"/>
    <w:rsid w:val="00CF502F"/>
    <w:rsid w:val="00CF51E1"/>
    <w:rsid w:val="00CF644F"/>
    <w:rsid w:val="00CF6767"/>
    <w:rsid w:val="00CF6A25"/>
    <w:rsid w:val="00CF792E"/>
    <w:rsid w:val="00CF7B25"/>
    <w:rsid w:val="00D00117"/>
    <w:rsid w:val="00D00A58"/>
    <w:rsid w:val="00D00A66"/>
    <w:rsid w:val="00D00DC4"/>
    <w:rsid w:val="00D00E4A"/>
    <w:rsid w:val="00D00F31"/>
    <w:rsid w:val="00D010E6"/>
    <w:rsid w:val="00D0168B"/>
    <w:rsid w:val="00D01921"/>
    <w:rsid w:val="00D01CC1"/>
    <w:rsid w:val="00D01D88"/>
    <w:rsid w:val="00D01E4C"/>
    <w:rsid w:val="00D02A46"/>
    <w:rsid w:val="00D02D6D"/>
    <w:rsid w:val="00D0301D"/>
    <w:rsid w:val="00D037B7"/>
    <w:rsid w:val="00D0399C"/>
    <w:rsid w:val="00D04290"/>
    <w:rsid w:val="00D0458F"/>
    <w:rsid w:val="00D0502C"/>
    <w:rsid w:val="00D06304"/>
    <w:rsid w:val="00D067B6"/>
    <w:rsid w:val="00D068A3"/>
    <w:rsid w:val="00D06B95"/>
    <w:rsid w:val="00D06CA5"/>
    <w:rsid w:val="00D06F82"/>
    <w:rsid w:val="00D0701D"/>
    <w:rsid w:val="00D070A0"/>
    <w:rsid w:val="00D0793F"/>
    <w:rsid w:val="00D07AD2"/>
    <w:rsid w:val="00D07D98"/>
    <w:rsid w:val="00D07E7E"/>
    <w:rsid w:val="00D10091"/>
    <w:rsid w:val="00D10299"/>
    <w:rsid w:val="00D105AE"/>
    <w:rsid w:val="00D10968"/>
    <w:rsid w:val="00D10E44"/>
    <w:rsid w:val="00D11F4F"/>
    <w:rsid w:val="00D1258D"/>
    <w:rsid w:val="00D12A5D"/>
    <w:rsid w:val="00D12EE8"/>
    <w:rsid w:val="00D12F52"/>
    <w:rsid w:val="00D136F1"/>
    <w:rsid w:val="00D138AC"/>
    <w:rsid w:val="00D13A7F"/>
    <w:rsid w:val="00D13B7A"/>
    <w:rsid w:val="00D13DB0"/>
    <w:rsid w:val="00D13EC0"/>
    <w:rsid w:val="00D13F19"/>
    <w:rsid w:val="00D142AB"/>
    <w:rsid w:val="00D14F32"/>
    <w:rsid w:val="00D152FA"/>
    <w:rsid w:val="00D1564D"/>
    <w:rsid w:val="00D15715"/>
    <w:rsid w:val="00D15837"/>
    <w:rsid w:val="00D15B48"/>
    <w:rsid w:val="00D15E50"/>
    <w:rsid w:val="00D15EB6"/>
    <w:rsid w:val="00D162D7"/>
    <w:rsid w:val="00D1680B"/>
    <w:rsid w:val="00D16D18"/>
    <w:rsid w:val="00D171F5"/>
    <w:rsid w:val="00D174FA"/>
    <w:rsid w:val="00D2134C"/>
    <w:rsid w:val="00D21376"/>
    <w:rsid w:val="00D219A5"/>
    <w:rsid w:val="00D21AFE"/>
    <w:rsid w:val="00D21BFB"/>
    <w:rsid w:val="00D225F0"/>
    <w:rsid w:val="00D228CE"/>
    <w:rsid w:val="00D22C26"/>
    <w:rsid w:val="00D2380B"/>
    <w:rsid w:val="00D23AFD"/>
    <w:rsid w:val="00D2403F"/>
    <w:rsid w:val="00D24215"/>
    <w:rsid w:val="00D25490"/>
    <w:rsid w:val="00D25942"/>
    <w:rsid w:val="00D26246"/>
    <w:rsid w:val="00D26784"/>
    <w:rsid w:val="00D26BC6"/>
    <w:rsid w:val="00D26BEA"/>
    <w:rsid w:val="00D27D1F"/>
    <w:rsid w:val="00D27D2B"/>
    <w:rsid w:val="00D27F15"/>
    <w:rsid w:val="00D30046"/>
    <w:rsid w:val="00D30775"/>
    <w:rsid w:val="00D30863"/>
    <w:rsid w:val="00D30E55"/>
    <w:rsid w:val="00D30FBB"/>
    <w:rsid w:val="00D32135"/>
    <w:rsid w:val="00D32278"/>
    <w:rsid w:val="00D32334"/>
    <w:rsid w:val="00D326E1"/>
    <w:rsid w:val="00D32C42"/>
    <w:rsid w:val="00D33115"/>
    <w:rsid w:val="00D344E6"/>
    <w:rsid w:val="00D34D93"/>
    <w:rsid w:val="00D355D0"/>
    <w:rsid w:val="00D359F3"/>
    <w:rsid w:val="00D36423"/>
    <w:rsid w:val="00D36D6C"/>
    <w:rsid w:val="00D377F9"/>
    <w:rsid w:val="00D37F73"/>
    <w:rsid w:val="00D403A4"/>
    <w:rsid w:val="00D406FF"/>
    <w:rsid w:val="00D4085A"/>
    <w:rsid w:val="00D4103F"/>
    <w:rsid w:val="00D411E6"/>
    <w:rsid w:val="00D417F0"/>
    <w:rsid w:val="00D41AD0"/>
    <w:rsid w:val="00D41D06"/>
    <w:rsid w:val="00D41ECB"/>
    <w:rsid w:val="00D42249"/>
    <w:rsid w:val="00D42474"/>
    <w:rsid w:val="00D425BC"/>
    <w:rsid w:val="00D4265F"/>
    <w:rsid w:val="00D42A88"/>
    <w:rsid w:val="00D43470"/>
    <w:rsid w:val="00D43645"/>
    <w:rsid w:val="00D4482A"/>
    <w:rsid w:val="00D44C4E"/>
    <w:rsid w:val="00D45019"/>
    <w:rsid w:val="00D45B7C"/>
    <w:rsid w:val="00D45D80"/>
    <w:rsid w:val="00D4605F"/>
    <w:rsid w:val="00D4656B"/>
    <w:rsid w:val="00D467F8"/>
    <w:rsid w:val="00D46C50"/>
    <w:rsid w:val="00D46E81"/>
    <w:rsid w:val="00D470D8"/>
    <w:rsid w:val="00D474AD"/>
    <w:rsid w:val="00D47A23"/>
    <w:rsid w:val="00D47EC7"/>
    <w:rsid w:val="00D47FEF"/>
    <w:rsid w:val="00D504CE"/>
    <w:rsid w:val="00D50BFA"/>
    <w:rsid w:val="00D51120"/>
    <w:rsid w:val="00D511CB"/>
    <w:rsid w:val="00D512FC"/>
    <w:rsid w:val="00D5179B"/>
    <w:rsid w:val="00D524B8"/>
    <w:rsid w:val="00D5288A"/>
    <w:rsid w:val="00D52974"/>
    <w:rsid w:val="00D54041"/>
    <w:rsid w:val="00D556A2"/>
    <w:rsid w:val="00D5601B"/>
    <w:rsid w:val="00D56C92"/>
    <w:rsid w:val="00D570EE"/>
    <w:rsid w:val="00D60DBC"/>
    <w:rsid w:val="00D611A0"/>
    <w:rsid w:val="00D614BB"/>
    <w:rsid w:val="00D61B7C"/>
    <w:rsid w:val="00D62FE2"/>
    <w:rsid w:val="00D637C8"/>
    <w:rsid w:val="00D64127"/>
    <w:rsid w:val="00D64624"/>
    <w:rsid w:val="00D651C7"/>
    <w:rsid w:val="00D65AB4"/>
    <w:rsid w:val="00D66124"/>
    <w:rsid w:val="00D66256"/>
    <w:rsid w:val="00D6645B"/>
    <w:rsid w:val="00D671DA"/>
    <w:rsid w:val="00D67CB3"/>
    <w:rsid w:val="00D67CD0"/>
    <w:rsid w:val="00D70066"/>
    <w:rsid w:val="00D7017D"/>
    <w:rsid w:val="00D701C1"/>
    <w:rsid w:val="00D70688"/>
    <w:rsid w:val="00D7120B"/>
    <w:rsid w:val="00D71B29"/>
    <w:rsid w:val="00D71EFE"/>
    <w:rsid w:val="00D72614"/>
    <w:rsid w:val="00D72964"/>
    <w:rsid w:val="00D72EEF"/>
    <w:rsid w:val="00D730A4"/>
    <w:rsid w:val="00D730B1"/>
    <w:rsid w:val="00D73241"/>
    <w:rsid w:val="00D7384C"/>
    <w:rsid w:val="00D73851"/>
    <w:rsid w:val="00D73A19"/>
    <w:rsid w:val="00D747F5"/>
    <w:rsid w:val="00D74987"/>
    <w:rsid w:val="00D74A3E"/>
    <w:rsid w:val="00D74D21"/>
    <w:rsid w:val="00D74F3A"/>
    <w:rsid w:val="00D74F73"/>
    <w:rsid w:val="00D75111"/>
    <w:rsid w:val="00D75DD4"/>
    <w:rsid w:val="00D76511"/>
    <w:rsid w:val="00D77436"/>
    <w:rsid w:val="00D7752C"/>
    <w:rsid w:val="00D77628"/>
    <w:rsid w:val="00D776F9"/>
    <w:rsid w:val="00D77E8D"/>
    <w:rsid w:val="00D77EB7"/>
    <w:rsid w:val="00D80188"/>
    <w:rsid w:val="00D809B3"/>
    <w:rsid w:val="00D80CF7"/>
    <w:rsid w:val="00D80F68"/>
    <w:rsid w:val="00D81930"/>
    <w:rsid w:val="00D82086"/>
    <w:rsid w:val="00D8233F"/>
    <w:rsid w:val="00D82775"/>
    <w:rsid w:val="00D83202"/>
    <w:rsid w:val="00D83418"/>
    <w:rsid w:val="00D839A1"/>
    <w:rsid w:val="00D844A1"/>
    <w:rsid w:val="00D848D8"/>
    <w:rsid w:val="00D84907"/>
    <w:rsid w:val="00D8557A"/>
    <w:rsid w:val="00D855AD"/>
    <w:rsid w:val="00D85667"/>
    <w:rsid w:val="00D856B2"/>
    <w:rsid w:val="00D8579F"/>
    <w:rsid w:val="00D85CB9"/>
    <w:rsid w:val="00D85EF0"/>
    <w:rsid w:val="00D86076"/>
    <w:rsid w:val="00D87D4C"/>
    <w:rsid w:val="00D907A0"/>
    <w:rsid w:val="00D90E9F"/>
    <w:rsid w:val="00D9121C"/>
    <w:rsid w:val="00D912C9"/>
    <w:rsid w:val="00D9161C"/>
    <w:rsid w:val="00D9168D"/>
    <w:rsid w:val="00D92A69"/>
    <w:rsid w:val="00D93642"/>
    <w:rsid w:val="00D93BD3"/>
    <w:rsid w:val="00D949C6"/>
    <w:rsid w:val="00D94ABA"/>
    <w:rsid w:val="00D94E9C"/>
    <w:rsid w:val="00D95872"/>
    <w:rsid w:val="00D95C5E"/>
    <w:rsid w:val="00D9620A"/>
    <w:rsid w:val="00D965E6"/>
    <w:rsid w:val="00D97455"/>
    <w:rsid w:val="00D97DD1"/>
    <w:rsid w:val="00DA0350"/>
    <w:rsid w:val="00DA0390"/>
    <w:rsid w:val="00DA0A08"/>
    <w:rsid w:val="00DA102A"/>
    <w:rsid w:val="00DA1187"/>
    <w:rsid w:val="00DA152E"/>
    <w:rsid w:val="00DA2156"/>
    <w:rsid w:val="00DA2853"/>
    <w:rsid w:val="00DA2A02"/>
    <w:rsid w:val="00DA2D0C"/>
    <w:rsid w:val="00DA2FC3"/>
    <w:rsid w:val="00DA3127"/>
    <w:rsid w:val="00DA34F1"/>
    <w:rsid w:val="00DA385E"/>
    <w:rsid w:val="00DA3CC6"/>
    <w:rsid w:val="00DA46D9"/>
    <w:rsid w:val="00DA47FA"/>
    <w:rsid w:val="00DA4FE2"/>
    <w:rsid w:val="00DA588B"/>
    <w:rsid w:val="00DA58B8"/>
    <w:rsid w:val="00DA6951"/>
    <w:rsid w:val="00DA6D2E"/>
    <w:rsid w:val="00DB0B04"/>
    <w:rsid w:val="00DB0D55"/>
    <w:rsid w:val="00DB1299"/>
    <w:rsid w:val="00DB17CA"/>
    <w:rsid w:val="00DB19D9"/>
    <w:rsid w:val="00DB19E1"/>
    <w:rsid w:val="00DB25A6"/>
    <w:rsid w:val="00DB2673"/>
    <w:rsid w:val="00DB2ED3"/>
    <w:rsid w:val="00DB3534"/>
    <w:rsid w:val="00DB3646"/>
    <w:rsid w:val="00DB37F0"/>
    <w:rsid w:val="00DB3B50"/>
    <w:rsid w:val="00DB4BF3"/>
    <w:rsid w:val="00DB5356"/>
    <w:rsid w:val="00DB541F"/>
    <w:rsid w:val="00DB6248"/>
    <w:rsid w:val="00DB663B"/>
    <w:rsid w:val="00DB668D"/>
    <w:rsid w:val="00DB6A40"/>
    <w:rsid w:val="00DB6BB1"/>
    <w:rsid w:val="00DB6E69"/>
    <w:rsid w:val="00DB700B"/>
    <w:rsid w:val="00DB7141"/>
    <w:rsid w:val="00DB72DB"/>
    <w:rsid w:val="00DB7494"/>
    <w:rsid w:val="00DB7AA1"/>
    <w:rsid w:val="00DC09A0"/>
    <w:rsid w:val="00DC1914"/>
    <w:rsid w:val="00DC1DAC"/>
    <w:rsid w:val="00DC2DB9"/>
    <w:rsid w:val="00DC324E"/>
    <w:rsid w:val="00DC395A"/>
    <w:rsid w:val="00DC41DF"/>
    <w:rsid w:val="00DC4391"/>
    <w:rsid w:val="00DC556F"/>
    <w:rsid w:val="00DC5755"/>
    <w:rsid w:val="00DC5C65"/>
    <w:rsid w:val="00DC60FE"/>
    <w:rsid w:val="00DC6CB7"/>
    <w:rsid w:val="00DC7238"/>
    <w:rsid w:val="00DC7593"/>
    <w:rsid w:val="00DC767A"/>
    <w:rsid w:val="00DC7A3C"/>
    <w:rsid w:val="00DC7ACB"/>
    <w:rsid w:val="00DC7B37"/>
    <w:rsid w:val="00DC7CE5"/>
    <w:rsid w:val="00DD058F"/>
    <w:rsid w:val="00DD094A"/>
    <w:rsid w:val="00DD1395"/>
    <w:rsid w:val="00DD19C2"/>
    <w:rsid w:val="00DD1E1C"/>
    <w:rsid w:val="00DD2374"/>
    <w:rsid w:val="00DD31D4"/>
    <w:rsid w:val="00DD369B"/>
    <w:rsid w:val="00DD3C39"/>
    <w:rsid w:val="00DD4A2D"/>
    <w:rsid w:val="00DD692A"/>
    <w:rsid w:val="00DD6B09"/>
    <w:rsid w:val="00DD79CB"/>
    <w:rsid w:val="00DE0351"/>
    <w:rsid w:val="00DE0563"/>
    <w:rsid w:val="00DE0777"/>
    <w:rsid w:val="00DE0DCB"/>
    <w:rsid w:val="00DE0F51"/>
    <w:rsid w:val="00DE1EFA"/>
    <w:rsid w:val="00DE21F0"/>
    <w:rsid w:val="00DE2490"/>
    <w:rsid w:val="00DE2620"/>
    <w:rsid w:val="00DE2791"/>
    <w:rsid w:val="00DE34A0"/>
    <w:rsid w:val="00DE34A3"/>
    <w:rsid w:val="00DE34CC"/>
    <w:rsid w:val="00DE4388"/>
    <w:rsid w:val="00DE4DD6"/>
    <w:rsid w:val="00DE5C7F"/>
    <w:rsid w:val="00DE67B8"/>
    <w:rsid w:val="00DE67F9"/>
    <w:rsid w:val="00DE6CF8"/>
    <w:rsid w:val="00DE701A"/>
    <w:rsid w:val="00DE793B"/>
    <w:rsid w:val="00DE7C81"/>
    <w:rsid w:val="00DE7E00"/>
    <w:rsid w:val="00DE7F50"/>
    <w:rsid w:val="00DF0A2E"/>
    <w:rsid w:val="00DF0F89"/>
    <w:rsid w:val="00DF251B"/>
    <w:rsid w:val="00DF2927"/>
    <w:rsid w:val="00DF4075"/>
    <w:rsid w:val="00DF40C2"/>
    <w:rsid w:val="00DF4817"/>
    <w:rsid w:val="00DF4937"/>
    <w:rsid w:val="00DF6C4F"/>
    <w:rsid w:val="00DF6CC0"/>
    <w:rsid w:val="00DF773A"/>
    <w:rsid w:val="00E00205"/>
    <w:rsid w:val="00E00234"/>
    <w:rsid w:val="00E00320"/>
    <w:rsid w:val="00E00687"/>
    <w:rsid w:val="00E0078A"/>
    <w:rsid w:val="00E0079A"/>
    <w:rsid w:val="00E01365"/>
    <w:rsid w:val="00E018F1"/>
    <w:rsid w:val="00E019F4"/>
    <w:rsid w:val="00E01AF8"/>
    <w:rsid w:val="00E01DF8"/>
    <w:rsid w:val="00E024D4"/>
    <w:rsid w:val="00E0402C"/>
    <w:rsid w:val="00E042A2"/>
    <w:rsid w:val="00E04394"/>
    <w:rsid w:val="00E043EE"/>
    <w:rsid w:val="00E05371"/>
    <w:rsid w:val="00E0649F"/>
    <w:rsid w:val="00E064EE"/>
    <w:rsid w:val="00E06B29"/>
    <w:rsid w:val="00E06C48"/>
    <w:rsid w:val="00E06CA5"/>
    <w:rsid w:val="00E07C96"/>
    <w:rsid w:val="00E07EE1"/>
    <w:rsid w:val="00E101E7"/>
    <w:rsid w:val="00E10CED"/>
    <w:rsid w:val="00E11123"/>
    <w:rsid w:val="00E11418"/>
    <w:rsid w:val="00E11B1F"/>
    <w:rsid w:val="00E121BA"/>
    <w:rsid w:val="00E12263"/>
    <w:rsid w:val="00E12687"/>
    <w:rsid w:val="00E1337A"/>
    <w:rsid w:val="00E1380E"/>
    <w:rsid w:val="00E13966"/>
    <w:rsid w:val="00E13CE0"/>
    <w:rsid w:val="00E13FCE"/>
    <w:rsid w:val="00E1454D"/>
    <w:rsid w:val="00E14584"/>
    <w:rsid w:val="00E14713"/>
    <w:rsid w:val="00E14AD9"/>
    <w:rsid w:val="00E154D4"/>
    <w:rsid w:val="00E15782"/>
    <w:rsid w:val="00E16237"/>
    <w:rsid w:val="00E17027"/>
    <w:rsid w:val="00E170FE"/>
    <w:rsid w:val="00E171FB"/>
    <w:rsid w:val="00E2054F"/>
    <w:rsid w:val="00E20CAD"/>
    <w:rsid w:val="00E20CD4"/>
    <w:rsid w:val="00E21231"/>
    <w:rsid w:val="00E21827"/>
    <w:rsid w:val="00E21865"/>
    <w:rsid w:val="00E22619"/>
    <w:rsid w:val="00E22A3F"/>
    <w:rsid w:val="00E22D82"/>
    <w:rsid w:val="00E22FA2"/>
    <w:rsid w:val="00E23131"/>
    <w:rsid w:val="00E23539"/>
    <w:rsid w:val="00E23836"/>
    <w:rsid w:val="00E2461D"/>
    <w:rsid w:val="00E24895"/>
    <w:rsid w:val="00E24940"/>
    <w:rsid w:val="00E2494D"/>
    <w:rsid w:val="00E2574E"/>
    <w:rsid w:val="00E25B9D"/>
    <w:rsid w:val="00E25E80"/>
    <w:rsid w:val="00E262D5"/>
    <w:rsid w:val="00E26548"/>
    <w:rsid w:val="00E2669C"/>
    <w:rsid w:val="00E2681C"/>
    <w:rsid w:val="00E27159"/>
    <w:rsid w:val="00E27700"/>
    <w:rsid w:val="00E3008C"/>
    <w:rsid w:val="00E3085F"/>
    <w:rsid w:val="00E3113B"/>
    <w:rsid w:val="00E3127A"/>
    <w:rsid w:val="00E31C95"/>
    <w:rsid w:val="00E31F8A"/>
    <w:rsid w:val="00E3245B"/>
    <w:rsid w:val="00E32A7B"/>
    <w:rsid w:val="00E32A95"/>
    <w:rsid w:val="00E32FF3"/>
    <w:rsid w:val="00E331FC"/>
    <w:rsid w:val="00E336CD"/>
    <w:rsid w:val="00E34045"/>
    <w:rsid w:val="00E3440E"/>
    <w:rsid w:val="00E348B4"/>
    <w:rsid w:val="00E356CA"/>
    <w:rsid w:val="00E35F96"/>
    <w:rsid w:val="00E361C5"/>
    <w:rsid w:val="00E3620B"/>
    <w:rsid w:val="00E36B83"/>
    <w:rsid w:val="00E36DA6"/>
    <w:rsid w:val="00E3719D"/>
    <w:rsid w:val="00E37E46"/>
    <w:rsid w:val="00E40074"/>
    <w:rsid w:val="00E4072E"/>
    <w:rsid w:val="00E40A71"/>
    <w:rsid w:val="00E418F7"/>
    <w:rsid w:val="00E41F2B"/>
    <w:rsid w:val="00E42041"/>
    <w:rsid w:val="00E42501"/>
    <w:rsid w:val="00E42A67"/>
    <w:rsid w:val="00E42C25"/>
    <w:rsid w:val="00E42CA6"/>
    <w:rsid w:val="00E42F9D"/>
    <w:rsid w:val="00E4371E"/>
    <w:rsid w:val="00E43795"/>
    <w:rsid w:val="00E43ADA"/>
    <w:rsid w:val="00E43F61"/>
    <w:rsid w:val="00E44067"/>
    <w:rsid w:val="00E44CA3"/>
    <w:rsid w:val="00E44EBC"/>
    <w:rsid w:val="00E45D4C"/>
    <w:rsid w:val="00E46236"/>
    <w:rsid w:val="00E47228"/>
    <w:rsid w:val="00E50361"/>
    <w:rsid w:val="00E5092D"/>
    <w:rsid w:val="00E51116"/>
    <w:rsid w:val="00E51389"/>
    <w:rsid w:val="00E51C50"/>
    <w:rsid w:val="00E51E97"/>
    <w:rsid w:val="00E51FD5"/>
    <w:rsid w:val="00E52395"/>
    <w:rsid w:val="00E52535"/>
    <w:rsid w:val="00E52E9B"/>
    <w:rsid w:val="00E52F16"/>
    <w:rsid w:val="00E530D7"/>
    <w:rsid w:val="00E53658"/>
    <w:rsid w:val="00E539EF"/>
    <w:rsid w:val="00E54383"/>
    <w:rsid w:val="00E549C8"/>
    <w:rsid w:val="00E55150"/>
    <w:rsid w:val="00E55156"/>
    <w:rsid w:val="00E56163"/>
    <w:rsid w:val="00E564E5"/>
    <w:rsid w:val="00E56B13"/>
    <w:rsid w:val="00E56E3A"/>
    <w:rsid w:val="00E576F2"/>
    <w:rsid w:val="00E6015E"/>
    <w:rsid w:val="00E60FBC"/>
    <w:rsid w:val="00E6123B"/>
    <w:rsid w:val="00E615CC"/>
    <w:rsid w:val="00E61840"/>
    <w:rsid w:val="00E61896"/>
    <w:rsid w:val="00E61CBF"/>
    <w:rsid w:val="00E61FCB"/>
    <w:rsid w:val="00E62BAE"/>
    <w:rsid w:val="00E6310A"/>
    <w:rsid w:val="00E6345A"/>
    <w:rsid w:val="00E63D13"/>
    <w:rsid w:val="00E64466"/>
    <w:rsid w:val="00E6508B"/>
    <w:rsid w:val="00E6522C"/>
    <w:rsid w:val="00E65A14"/>
    <w:rsid w:val="00E6603C"/>
    <w:rsid w:val="00E665B7"/>
    <w:rsid w:val="00E666D3"/>
    <w:rsid w:val="00E66C1A"/>
    <w:rsid w:val="00E66FCE"/>
    <w:rsid w:val="00E674BA"/>
    <w:rsid w:val="00E709E2"/>
    <w:rsid w:val="00E71209"/>
    <w:rsid w:val="00E71229"/>
    <w:rsid w:val="00E71406"/>
    <w:rsid w:val="00E72735"/>
    <w:rsid w:val="00E728E9"/>
    <w:rsid w:val="00E72B28"/>
    <w:rsid w:val="00E72DCC"/>
    <w:rsid w:val="00E72FDE"/>
    <w:rsid w:val="00E7341E"/>
    <w:rsid w:val="00E73DF0"/>
    <w:rsid w:val="00E745DF"/>
    <w:rsid w:val="00E74A1C"/>
    <w:rsid w:val="00E74E2B"/>
    <w:rsid w:val="00E750DC"/>
    <w:rsid w:val="00E75476"/>
    <w:rsid w:val="00E76750"/>
    <w:rsid w:val="00E7694F"/>
    <w:rsid w:val="00E7724B"/>
    <w:rsid w:val="00E77345"/>
    <w:rsid w:val="00E7742D"/>
    <w:rsid w:val="00E774EE"/>
    <w:rsid w:val="00E775E7"/>
    <w:rsid w:val="00E7761C"/>
    <w:rsid w:val="00E776D5"/>
    <w:rsid w:val="00E7781F"/>
    <w:rsid w:val="00E80577"/>
    <w:rsid w:val="00E80926"/>
    <w:rsid w:val="00E80CFE"/>
    <w:rsid w:val="00E81A13"/>
    <w:rsid w:val="00E81B04"/>
    <w:rsid w:val="00E81FA5"/>
    <w:rsid w:val="00E82628"/>
    <w:rsid w:val="00E82AD8"/>
    <w:rsid w:val="00E82AF2"/>
    <w:rsid w:val="00E82ED5"/>
    <w:rsid w:val="00E8303F"/>
    <w:rsid w:val="00E832DD"/>
    <w:rsid w:val="00E83EA3"/>
    <w:rsid w:val="00E84195"/>
    <w:rsid w:val="00E841AE"/>
    <w:rsid w:val="00E842BC"/>
    <w:rsid w:val="00E847FB"/>
    <w:rsid w:val="00E84E19"/>
    <w:rsid w:val="00E853FD"/>
    <w:rsid w:val="00E85ACD"/>
    <w:rsid w:val="00E861A8"/>
    <w:rsid w:val="00E86E83"/>
    <w:rsid w:val="00E871F2"/>
    <w:rsid w:val="00E8740F"/>
    <w:rsid w:val="00E87697"/>
    <w:rsid w:val="00E879F8"/>
    <w:rsid w:val="00E87F98"/>
    <w:rsid w:val="00E9009D"/>
    <w:rsid w:val="00E91214"/>
    <w:rsid w:val="00E91553"/>
    <w:rsid w:val="00E91CF5"/>
    <w:rsid w:val="00E9279B"/>
    <w:rsid w:val="00E93328"/>
    <w:rsid w:val="00E93D2C"/>
    <w:rsid w:val="00E9470A"/>
    <w:rsid w:val="00E94AA1"/>
    <w:rsid w:val="00E953EE"/>
    <w:rsid w:val="00E9543F"/>
    <w:rsid w:val="00E95517"/>
    <w:rsid w:val="00E955A5"/>
    <w:rsid w:val="00E9624F"/>
    <w:rsid w:val="00E96464"/>
    <w:rsid w:val="00E9647F"/>
    <w:rsid w:val="00E9673C"/>
    <w:rsid w:val="00E9677C"/>
    <w:rsid w:val="00E96CA3"/>
    <w:rsid w:val="00E970D1"/>
    <w:rsid w:val="00E9713F"/>
    <w:rsid w:val="00E97BE0"/>
    <w:rsid w:val="00EA04EA"/>
    <w:rsid w:val="00EA07DB"/>
    <w:rsid w:val="00EA0DBD"/>
    <w:rsid w:val="00EA0DF7"/>
    <w:rsid w:val="00EA1F24"/>
    <w:rsid w:val="00EA20C2"/>
    <w:rsid w:val="00EA218B"/>
    <w:rsid w:val="00EA234D"/>
    <w:rsid w:val="00EA2A29"/>
    <w:rsid w:val="00EA3444"/>
    <w:rsid w:val="00EA4218"/>
    <w:rsid w:val="00EA437C"/>
    <w:rsid w:val="00EA4707"/>
    <w:rsid w:val="00EA48AD"/>
    <w:rsid w:val="00EA4E01"/>
    <w:rsid w:val="00EA4EE8"/>
    <w:rsid w:val="00EA5B8E"/>
    <w:rsid w:val="00EA7046"/>
    <w:rsid w:val="00EA74CF"/>
    <w:rsid w:val="00EA7B2E"/>
    <w:rsid w:val="00EA7CD5"/>
    <w:rsid w:val="00EA7DD2"/>
    <w:rsid w:val="00EA7FCE"/>
    <w:rsid w:val="00EB08A1"/>
    <w:rsid w:val="00EB17D9"/>
    <w:rsid w:val="00EB1886"/>
    <w:rsid w:val="00EB18E6"/>
    <w:rsid w:val="00EB1A9D"/>
    <w:rsid w:val="00EB1C77"/>
    <w:rsid w:val="00EB2089"/>
    <w:rsid w:val="00EB21CF"/>
    <w:rsid w:val="00EB2324"/>
    <w:rsid w:val="00EB2788"/>
    <w:rsid w:val="00EB283A"/>
    <w:rsid w:val="00EB28EE"/>
    <w:rsid w:val="00EB2996"/>
    <w:rsid w:val="00EB2BF8"/>
    <w:rsid w:val="00EB338E"/>
    <w:rsid w:val="00EB35FD"/>
    <w:rsid w:val="00EB3687"/>
    <w:rsid w:val="00EB3825"/>
    <w:rsid w:val="00EB3AD1"/>
    <w:rsid w:val="00EB3F59"/>
    <w:rsid w:val="00EB41AF"/>
    <w:rsid w:val="00EB42B3"/>
    <w:rsid w:val="00EB4780"/>
    <w:rsid w:val="00EB480D"/>
    <w:rsid w:val="00EB4B4E"/>
    <w:rsid w:val="00EB4CB2"/>
    <w:rsid w:val="00EB5491"/>
    <w:rsid w:val="00EB5608"/>
    <w:rsid w:val="00EB64EA"/>
    <w:rsid w:val="00EB6621"/>
    <w:rsid w:val="00EB665D"/>
    <w:rsid w:val="00EB6A11"/>
    <w:rsid w:val="00EB6FFE"/>
    <w:rsid w:val="00EB73DA"/>
    <w:rsid w:val="00EB7A97"/>
    <w:rsid w:val="00EC1159"/>
    <w:rsid w:val="00EC11F2"/>
    <w:rsid w:val="00EC35FC"/>
    <w:rsid w:val="00EC452A"/>
    <w:rsid w:val="00EC4578"/>
    <w:rsid w:val="00EC4E3C"/>
    <w:rsid w:val="00EC5074"/>
    <w:rsid w:val="00EC57BF"/>
    <w:rsid w:val="00EC5DDA"/>
    <w:rsid w:val="00EC6630"/>
    <w:rsid w:val="00EC67DC"/>
    <w:rsid w:val="00EC69CC"/>
    <w:rsid w:val="00EC6A4B"/>
    <w:rsid w:val="00EC7288"/>
    <w:rsid w:val="00EC7E07"/>
    <w:rsid w:val="00EC7E7B"/>
    <w:rsid w:val="00ED00ED"/>
    <w:rsid w:val="00ED0755"/>
    <w:rsid w:val="00ED07AF"/>
    <w:rsid w:val="00ED07E3"/>
    <w:rsid w:val="00ED08C0"/>
    <w:rsid w:val="00ED0C1D"/>
    <w:rsid w:val="00ED0F7E"/>
    <w:rsid w:val="00ED144B"/>
    <w:rsid w:val="00ED15EF"/>
    <w:rsid w:val="00ED1EB5"/>
    <w:rsid w:val="00ED24E9"/>
    <w:rsid w:val="00ED3037"/>
    <w:rsid w:val="00ED37BA"/>
    <w:rsid w:val="00ED38A7"/>
    <w:rsid w:val="00ED3CB1"/>
    <w:rsid w:val="00ED3EAD"/>
    <w:rsid w:val="00ED3FAE"/>
    <w:rsid w:val="00ED430B"/>
    <w:rsid w:val="00ED45F2"/>
    <w:rsid w:val="00ED49C9"/>
    <w:rsid w:val="00ED4A19"/>
    <w:rsid w:val="00ED5128"/>
    <w:rsid w:val="00ED5A45"/>
    <w:rsid w:val="00ED68AE"/>
    <w:rsid w:val="00ED7582"/>
    <w:rsid w:val="00ED774C"/>
    <w:rsid w:val="00ED7770"/>
    <w:rsid w:val="00ED7C1A"/>
    <w:rsid w:val="00ED7EE7"/>
    <w:rsid w:val="00EE03A6"/>
    <w:rsid w:val="00EE0653"/>
    <w:rsid w:val="00EE13AF"/>
    <w:rsid w:val="00EE1CFD"/>
    <w:rsid w:val="00EE2AD6"/>
    <w:rsid w:val="00EE2C98"/>
    <w:rsid w:val="00EE2D88"/>
    <w:rsid w:val="00EE3B61"/>
    <w:rsid w:val="00EE3CA5"/>
    <w:rsid w:val="00EE4461"/>
    <w:rsid w:val="00EE450D"/>
    <w:rsid w:val="00EE4947"/>
    <w:rsid w:val="00EE4D4E"/>
    <w:rsid w:val="00EE5EAB"/>
    <w:rsid w:val="00EE672C"/>
    <w:rsid w:val="00EE67E4"/>
    <w:rsid w:val="00EE7471"/>
    <w:rsid w:val="00EE753E"/>
    <w:rsid w:val="00EE7853"/>
    <w:rsid w:val="00EF017F"/>
    <w:rsid w:val="00EF0AC5"/>
    <w:rsid w:val="00EF0B61"/>
    <w:rsid w:val="00EF0FCA"/>
    <w:rsid w:val="00EF14DD"/>
    <w:rsid w:val="00EF247B"/>
    <w:rsid w:val="00EF3548"/>
    <w:rsid w:val="00EF3668"/>
    <w:rsid w:val="00EF36EF"/>
    <w:rsid w:val="00EF3BF9"/>
    <w:rsid w:val="00EF3DFC"/>
    <w:rsid w:val="00EF3F20"/>
    <w:rsid w:val="00EF3FF9"/>
    <w:rsid w:val="00EF40CC"/>
    <w:rsid w:val="00EF43C5"/>
    <w:rsid w:val="00EF450D"/>
    <w:rsid w:val="00EF457A"/>
    <w:rsid w:val="00EF517C"/>
    <w:rsid w:val="00EF52D0"/>
    <w:rsid w:val="00EF5557"/>
    <w:rsid w:val="00EF55B1"/>
    <w:rsid w:val="00EF5639"/>
    <w:rsid w:val="00EF5901"/>
    <w:rsid w:val="00EF5A4E"/>
    <w:rsid w:val="00EF5E91"/>
    <w:rsid w:val="00EF5ECE"/>
    <w:rsid w:val="00EF6155"/>
    <w:rsid w:val="00EF635A"/>
    <w:rsid w:val="00EF66A4"/>
    <w:rsid w:val="00EF6A14"/>
    <w:rsid w:val="00EF6AC3"/>
    <w:rsid w:val="00EF6AC5"/>
    <w:rsid w:val="00EF6D87"/>
    <w:rsid w:val="00EF6F9D"/>
    <w:rsid w:val="00EF75AC"/>
    <w:rsid w:val="00EF7E2C"/>
    <w:rsid w:val="00EF7FB4"/>
    <w:rsid w:val="00F0011C"/>
    <w:rsid w:val="00F00547"/>
    <w:rsid w:val="00F005F0"/>
    <w:rsid w:val="00F00729"/>
    <w:rsid w:val="00F01202"/>
    <w:rsid w:val="00F01586"/>
    <w:rsid w:val="00F01638"/>
    <w:rsid w:val="00F01791"/>
    <w:rsid w:val="00F02414"/>
    <w:rsid w:val="00F040AD"/>
    <w:rsid w:val="00F044DF"/>
    <w:rsid w:val="00F0487D"/>
    <w:rsid w:val="00F059F5"/>
    <w:rsid w:val="00F05DD5"/>
    <w:rsid w:val="00F05F37"/>
    <w:rsid w:val="00F0609F"/>
    <w:rsid w:val="00F0635C"/>
    <w:rsid w:val="00F06579"/>
    <w:rsid w:val="00F069AC"/>
    <w:rsid w:val="00F071AE"/>
    <w:rsid w:val="00F075A1"/>
    <w:rsid w:val="00F0794F"/>
    <w:rsid w:val="00F10306"/>
    <w:rsid w:val="00F107C8"/>
    <w:rsid w:val="00F10C6F"/>
    <w:rsid w:val="00F1129D"/>
    <w:rsid w:val="00F1174C"/>
    <w:rsid w:val="00F1231F"/>
    <w:rsid w:val="00F12560"/>
    <w:rsid w:val="00F12982"/>
    <w:rsid w:val="00F12BA1"/>
    <w:rsid w:val="00F12BFB"/>
    <w:rsid w:val="00F13031"/>
    <w:rsid w:val="00F135F7"/>
    <w:rsid w:val="00F13A9D"/>
    <w:rsid w:val="00F13AF8"/>
    <w:rsid w:val="00F14BE7"/>
    <w:rsid w:val="00F14DF2"/>
    <w:rsid w:val="00F150BF"/>
    <w:rsid w:val="00F154E2"/>
    <w:rsid w:val="00F15A19"/>
    <w:rsid w:val="00F15AF8"/>
    <w:rsid w:val="00F15B2A"/>
    <w:rsid w:val="00F15C7A"/>
    <w:rsid w:val="00F15DE1"/>
    <w:rsid w:val="00F163A6"/>
    <w:rsid w:val="00F164B6"/>
    <w:rsid w:val="00F16FE7"/>
    <w:rsid w:val="00F1705C"/>
    <w:rsid w:val="00F17271"/>
    <w:rsid w:val="00F1768B"/>
    <w:rsid w:val="00F178E3"/>
    <w:rsid w:val="00F17992"/>
    <w:rsid w:val="00F20330"/>
    <w:rsid w:val="00F20BA7"/>
    <w:rsid w:val="00F20BEC"/>
    <w:rsid w:val="00F2196B"/>
    <w:rsid w:val="00F21E4F"/>
    <w:rsid w:val="00F21FB0"/>
    <w:rsid w:val="00F21FDC"/>
    <w:rsid w:val="00F2205B"/>
    <w:rsid w:val="00F222E8"/>
    <w:rsid w:val="00F229A7"/>
    <w:rsid w:val="00F22CEC"/>
    <w:rsid w:val="00F231C9"/>
    <w:rsid w:val="00F233C7"/>
    <w:rsid w:val="00F2367B"/>
    <w:rsid w:val="00F23F5B"/>
    <w:rsid w:val="00F2420C"/>
    <w:rsid w:val="00F24907"/>
    <w:rsid w:val="00F24BBF"/>
    <w:rsid w:val="00F24EC0"/>
    <w:rsid w:val="00F261D2"/>
    <w:rsid w:val="00F267FD"/>
    <w:rsid w:val="00F26BB4"/>
    <w:rsid w:val="00F30D3D"/>
    <w:rsid w:val="00F313FF"/>
    <w:rsid w:val="00F320F6"/>
    <w:rsid w:val="00F322C5"/>
    <w:rsid w:val="00F326F7"/>
    <w:rsid w:val="00F327FF"/>
    <w:rsid w:val="00F3308A"/>
    <w:rsid w:val="00F330DC"/>
    <w:rsid w:val="00F34197"/>
    <w:rsid w:val="00F3420F"/>
    <w:rsid w:val="00F34221"/>
    <w:rsid w:val="00F34993"/>
    <w:rsid w:val="00F349EA"/>
    <w:rsid w:val="00F34BE4"/>
    <w:rsid w:val="00F35856"/>
    <w:rsid w:val="00F35D92"/>
    <w:rsid w:val="00F35E49"/>
    <w:rsid w:val="00F36637"/>
    <w:rsid w:val="00F37293"/>
    <w:rsid w:val="00F37532"/>
    <w:rsid w:val="00F3756F"/>
    <w:rsid w:val="00F37743"/>
    <w:rsid w:val="00F405EE"/>
    <w:rsid w:val="00F408BB"/>
    <w:rsid w:val="00F408FF"/>
    <w:rsid w:val="00F40A2B"/>
    <w:rsid w:val="00F41C83"/>
    <w:rsid w:val="00F4258D"/>
    <w:rsid w:val="00F4304F"/>
    <w:rsid w:val="00F43D98"/>
    <w:rsid w:val="00F44291"/>
    <w:rsid w:val="00F44AB6"/>
    <w:rsid w:val="00F45008"/>
    <w:rsid w:val="00F450CC"/>
    <w:rsid w:val="00F45A8D"/>
    <w:rsid w:val="00F45B0E"/>
    <w:rsid w:val="00F46088"/>
    <w:rsid w:val="00F462A6"/>
    <w:rsid w:val="00F463F3"/>
    <w:rsid w:val="00F46591"/>
    <w:rsid w:val="00F46D6D"/>
    <w:rsid w:val="00F4712A"/>
    <w:rsid w:val="00F5025C"/>
    <w:rsid w:val="00F504FC"/>
    <w:rsid w:val="00F50BA1"/>
    <w:rsid w:val="00F5174B"/>
    <w:rsid w:val="00F51BB5"/>
    <w:rsid w:val="00F51C75"/>
    <w:rsid w:val="00F51D9C"/>
    <w:rsid w:val="00F51F0F"/>
    <w:rsid w:val="00F5259E"/>
    <w:rsid w:val="00F526B2"/>
    <w:rsid w:val="00F531EF"/>
    <w:rsid w:val="00F53AFD"/>
    <w:rsid w:val="00F53EBD"/>
    <w:rsid w:val="00F5437D"/>
    <w:rsid w:val="00F543FB"/>
    <w:rsid w:val="00F54668"/>
    <w:rsid w:val="00F54B1F"/>
    <w:rsid w:val="00F54FB6"/>
    <w:rsid w:val="00F557C8"/>
    <w:rsid w:val="00F56357"/>
    <w:rsid w:val="00F566EA"/>
    <w:rsid w:val="00F575A9"/>
    <w:rsid w:val="00F578A1"/>
    <w:rsid w:val="00F57D36"/>
    <w:rsid w:val="00F57FF4"/>
    <w:rsid w:val="00F603F4"/>
    <w:rsid w:val="00F60620"/>
    <w:rsid w:val="00F62085"/>
    <w:rsid w:val="00F62488"/>
    <w:rsid w:val="00F62A08"/>
    <w:rsid w:val="00F62FFD"/>
    <w:rsid w:val="00F63BA8"/>
    <w:rsid w:val="00F64036"/>
    <w:rsid w:val="00F6479A"/>
    <w:rsid w:val="00F652AE"/>
    <w:rsid w:val="00F66849"/>
    <w:rsid w:val="00F668C7"/>
    <w:rsid w:val="00F66C91"/>
    <w:rsid w:val="00F66D47"/>
    <w:rsid w:val="00F6749A"/>
    <w:rsid w:val="00F679B7"/>
    <w:rsid w:val="00F67D6E"/>
    <w:rsid w:val="00F703F5"/>
    <w:rsid w:val="00F70728"/>
    <w:rsid w:val="00F70DB7"/>
    <w:rsid w:val="00F70FB2"/>
    <w:rsid w:val="00F7185E"/>
    <w:rsid w:val="00F71971"/>
    <w:rsid w:val="00F71A24"/>
    <w:rsid w:val="00F71A4E"/>
    <w:rsid w:val="00F71F0F"/>
    <w:rsid w:val="00F72282"/>
    <w:rsid w:val="00F72443"/>
    <w:rsid w:val="00F72A1F"/>
    <w:rsid w:val="00F730AC"/>
    <w:rsid w:val="00F73102"/>
    <w:rsid w:val="00F744C3"/>
    <w:rsid w:val="00F7505B"/>
    <w:rsid w:val="00F75697"/>
    <w:rsid w:val="00F75732"/>
    <w:rsid w:val="00F75A63"/>
    <w:rsid w:val="00F76102"/>
    <w:rsid w:val="00F763F8"/>
    <w:rsid w:val="00F76717"/>
    <w:rsid w:val="00F769C6"/>
    <w:rsid w:val="00F76B01"/>
    <w:rsid w:val="00F772F2"/>
    <w:rsid w:val="00F80CE3"/>
    <w:rsid w:val="00F8126A"/>
    <w:rsid w:val="00F813F5"/>
    <w:rsid w:val="00F8169B"/>
    <w:rsid w:val="00F8267A"/>
    <w:rsid w:val="00F82964"/>
    <w:rsid w:val="00F834E6"/>
    <w:rsid w:val="00F846E2"/>
    <w:rsid w:val="00F84CEC"/>
    <w:rsid w:val="00F84D85"/>
    <w:rsid w:val="00F851EB"/>
    <w:rsid w:val="00F852A3"/>
    <w:rsid w:val="00F8566D"/>
    <w:rsid w:val="00F85FDA"/>
    <w:rsid w:val="00F86521"/>
    <w:rsid w:val="00F86A67"/>
    <w:rsid w:val="00F8738E"/>
    <w:rsid w:val="00F8739E"/>
    <w:rsid w:val="00F87925"/>
    <w:rsid w:val="00F87F44"/>
    <w:rsid w:val="00F914E5"/>
    <w:rsid w:val="00F91955"/>
    <w:rsid w:val="00F91DB3"/>
    <w:rsid w:val="00F923A6"/>
    <w:rsid w:val="00F925D4"/>
    <w:rsid w:val="00F934CF"/>
    <w:rsid w:val="00F93E05"/>
    <w:rsid w:val="00F940CB"/>
    <w:rsid w:val="00F9417A"/>
    <w:rsid w:val="00F943E9"/>
    <w:rsid w:val="00F95437"/>
    <w:rsid w:val="00F95788"/>
    <w:rsid w:val="00F95954"/>
    <w:rsid w:val="00F9595B"/>
    <w:rsid w:val="00F966CD"/>
    <w:rsid w:val="00F96BEC"/>
    <w:rsid w:val="00F96CA6"/>
    <w:rsid w:val="00F973AF"/>
    <w:rsid w:val="00FA0544"/>
    <w:rsid w:val="00FA093F"/>
    <w:rsid w:val="00FA0B45"/>
    <w:rsid w:val="00FA0B86"/>
    <w:rsid w:val="00FA1345"/>
    <w:rsid w:val="00FA188E"/>
    <w:rsid w:val="00FA1B57"/>
    <w:rsid w:val="00FA1F8A"/>
    <w:rsid w:val="00FA2558"/>
    <w:rsid w:val="00FA2A50"/>
    <w:rsid w:val="00FA4114"/>
    <w:rsid w:val="00FA4CD7"/>
    <w:rsid w:val="00FA5398"/>
    <w:rsid w:val="00FA540C"/>
    <w:rsid w:val="00FA55C6"/>
    <w:rsid w:val="00FA587F"/>
    <w:rsid w:val="00FA6124"/>
    <w:rsid w:val="00FA6D5C"/>
    <w:rsid w:val="00FA6E7E"/>
    <w:rsid w:val="00FA722F"/>
    <w:rsid w:val="00FA7E3B"/>
    <w:rsid w:val="00FB069C"/>
    <w:rsid w:val="00FB085C"/>
    <w:rsid w:val="00FB08E0"/>
    <w:rsid w:val="00FB0FA9"/>
    <w:rsid w:val="00FB1621"/>
    <w:rsid w:val="00FB20CA"/>
    <w:rsid w:val="00FB21A1"/>
    <w:rsid w:val="00FB34C3"/>
    <w:rsid w:val="00FB3721"/>
    <w:rsid w:val="00FB377A"/>
    <w:rsid w:val="00FB3A87"/>
    <w:rsid w:val="00FB3DBA"/>
    <w:rsid w:val="00FB42FF"/>
    <w:rsid w:val="00FB5043"/>
    <w:rsid w:val="00FB51F2"/>
    <w:rsid w:val="00FB5395"/>
    <w:rsid w:val="00FB5573"/>
    <w:rsid w:val="00FB5722"/>
    <w:rsid w:val="00FB65E2"/>
    <w:rsid w:val="00FB6AC3"/>
    <w:rsid w:val="00FB6B26"/>
    <w:rsid w:val="00FB75C2"/>
    <w:rsid w:val="00FB7916"/>
    <w:rsid w:val="00FB79C8"/>
    <w:rsid w:val="00FC00CD"/>
    <w:rsid w:val="00FC0170"/>
    <w:rsid w:val="00FC018C"/>
    <w:rsid w:val="00FC07C5"/>
    <w:rsid w:val="00FC084D"/>
    <w:rsid w:val="00FC0C60"/>
    <w:rsid w:val="00FC0D75"/>
    <w:rsid w:val="00FC14D0"/>
    <w:rsid w:val="00FC1D2C"/>
    <w:rsid w:val="00FC27F0"/>
    <w:rsid w:val="00FC3CB7"/>
    <w:rsid w:val="00FC5132"/>
    <w:rsid w:val="00FC5316"/>
    <w:rsid w:val="00FC5761"/>
    <w:rsid w:val="00FC6109"/>
    <w:rsid w:val="00FC613F"/>
    <w:rsid w:val="00FC62C7"/>
    <w:rsid w:val="00FC6D61"/>
    <w:rsid w:val="00FC6EB1"/>
    <w:rsid w:val="00FC7707"/>
    <w:rsid w:val="00FC794E"/>
    <w:rsid w:val="00FC79CD"/>
    <w:rsid w:val="00FD06ED"/>
    <w:rsid w:val="00FD107C"/>
    <w:rsid w:val="00FD1156"/>
    <w:rsid w:val="00FD137A"/>
    <w:rsid w:val="00FD1404"/>
    <w:rsid w:val="00FD147E"/>
    <w:rsid w:val="00FD1509"/>
    <w:rsid w:val="00FD1907"/>
    <w:rsid w:val="00FD1BFB"/>
    <w:rsid w:val="00FD1E8C"/>
    <w:rsid w:val="00FD3878"/>
    <w:rsid w:val="00FD3E15"/>
    <w:rsid w:val="00FD43CD"/>
    <w:rsid w:val="00FD496C"/>
    <w:rsid w:val="00FD4BA7"/>
    <w:rsid w:val="00FD4C11"/>
    <w:rsid w:val="00FD558B"/>
    <w:rsid w:val="00FD5786"/>
    <w:rsid w:val="00FD5799"/>
    <w:rsid w:val="00FD5A43"/>
    <w:rsid w:val="00FD63FA"/>
    <w:rsid w:val="00FD6F9C"/>
    <w:rsid w:val="00FD7783"/>
    <w:rsid w:val="00FD783A"/>
    <w:rsid w:val="00FD78B3"/>
    <w:rsid w:val="00FD7980"/>
    <w:rsid w:val="00FD7B41"/>
    <w:rsid w:val="00FE000F"/>
    <w:rsid w:val="00FE069A"/>
    <w:rsid w:val="00FE09CA"/>
    <w:rsid w:val="00FE0BEC"/>
    <w:rsid w:val="00FE0EC5"/>
    <w:rsid w:val="00FE155E"/>
    <w:rsid w:val="00FE17BB"/>
    <w:rsid w:val="00FE23EA"/>
    <w:rsid w:val="00FE2C71"/>
    <w:rsid w:val="00FE31FD"/>
    <w:rsid w:val="00FE35C3"/>
    <w:rsid w:val="00FE3AEB"/>
    <w:rsid w:val="00FE4462"/>
    <w:rsid w:val="00FE4990"/>
    <w:rsid w:val="00FE4D15"/>
    <w:rsid w:val="00FE4D72"/>
    <w:rsid w:val="00FE5594"/>
    <w:rsid w:val="00FE5AB1"/>
    <w:rsid w:val="00FE5DFC"/>
    <w:rsid w:val="00FE61AA"/>
    <w:rsid w:val="00FE6996"/>
    <w:rsid w:val="00FE6CF8"/>
    <w:rsid w:val="00FE722A"/>
    <w:rsid w:val="00FE7B2A"/>
    <w:rsid w:val="00FF0970"/>
    <w:rsid w:val="00FF09A6"/>
    <w:rsid w:val="00FF09BD"/>
    <w:rsid w:val="00FF0F3B"/>
    <w:rsid w:val="00FF1155"/>
    <w:rsid w:val="00FF144A"/>
    <w:rsid w:val="00FF15DC"/>
    <w:rsid w:val="00FF182C"/>
    <w:rsid w:val="00FF2F39"/>
    <w:rsid w:val="00FF313C"/>
    <w:rsid w:val="00FF3436"/>
    <w:rsid w:val="00FF3C3F"/>
    <w:rsid w:val="00FF4290"/>
    <w:rsid w:val="00FF433B"/>
    <w:rsid w:val="00FF499E"/>
    <w:rsid w:val="00FF4A4A"/>
    <w:rsid w:val="00FF4F21"/>
    <w:rsid w:val="00FF4FC0"/>
    <w:rsid w:val="00FF56F7"/>
    <w:rsid w:val="00FF5869"/>
    <w:rsid w:val="00FF58B4"/>
    <w:rsid w:val="00FF58C5"/>
    <w:rsid w:val="00FF5D4B"/>
    <w:rsid w:val="00FF6456"/>
    <w:rsid w:val="00FF7527"/>
    <w:rsid w:val="00FF79EF"/>
    <w:rsid w:val="00FF7B44"/>
    <w:rsid w:val="00FF7CB0"/>
    <w:rsid w:val="00FF7F33"/>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D9149"/>
  <w15:chartTrackingRefBased/>
  <w15:docId w15:val="{BD35E638-76B6-4D20-B964-83AD1DCC2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4E"/>
    <w:pPr>
      <w:spacing w:before="120" w:after="120" w:line="240" w:lineRule="auto"/>
      <w:ind w:left="652"/>
    </w:pPr>
    <w:rPr>
      <w:rFonts w:ascii="Arial" w:eastAsiaTheme="minorEastAsia" w:hAnsi="Arial" w:cs="Arial"/>
      <w:lang w:eastAsia="ja-JP"/>
    </w:rPr>
  </w:style>
  <w:style w:type="paragraph" w:styleId="Heading1">
    <w:name w:val="heading 1"/>
    <w:aliases w:val="Heading 1 do not use,Section heading 1,Front Page Title,1.,Para 1,Para 11"/>
    <w:basedOn w:val="Normal"/>
    <w:next w:val="Normal"/>
    <w:link w:val="Heading1Char"/>
    <w:qFormat/>
    <w:rsid w:val="00EC35FC"/>
    <w:pPr>
      <w:pageBreakBefore/>
      <w:tabs>
        <w:tab w:val="right" w:pos="10188"/>
      </w:tabs>
      <w:spacing w:before="240" w:line="288" w:lineRule="auto"/>
      <w:ind w:left="0"/>
      <w:outlineLvl w:val="0"/>
    </w:pPr>
    <w:rPr>
      <w:rFonts w:eastAsia="Georgia"/>
      <w:b/>
      <w:color w:val="6B2976"/>
      <w:sz w:val="36"/>
      <w:szCs w:val="48"/>
      <w:lang w:eastAsia="en-US"/>
    </w:rPr>
  </w:style>
  <w:style w:type="paragraph" w:styleId="Heading2">
    <w:name w:val="heading 2"/>
    <w:aliases w:val="Heading 2 do not use,Front Page List of Sections"/>
    <w:basedOn w:val="Normal"/>
    <w:next w:val="Normal"/>
    <w:link w:val="Heading2Char"/>
    <w:unhideWhenUsed/>
    <w:qFormat/>
    <w:rsid w:val="008F00D1"/>
    <w:pPr>
      <w:keepNext/>
      <w:tabs>
        <w:tab w:val="right" w:pos="10188"/>
      </w:tabs>
      <w:spacing w:before="240"/>
      <w:ind w:left="0"/>
      <w:outlineLvl w:val="1"/>
    </w:pPr>
    <w:rPr>
      <w:rFonts w:eastAsia="Georgia"/>
      <w:b/>
      <w:color w:val="6A2875"/>
      <w:sz w:val="32"/>
      <w:szCs w:val="28"/>
      <w:lang w:eastAsia="en-US"/>
    </w:rPr>
  </w:style>
  <w:style w:type="paragraph" w:styleId="Heading3">
    <w:name w:val="heading 3"/>
    <w:aliases w:val="Heading 3 do not use"/>
    <w:basedOn w:val="Heading2"/>
    <w:next w:val="Normal"/>
    <w:link w:val="Heading3Char"/>
    <w:unhideWhenUsed/>
    <w:qFormat/>
    <w:rsid w:val="004F0890"/>
    <w:pPr>
      <w:outlineLvl w:val="2"/>
    </w:pPr>
    <w:rPr>
      <w:sz w:val="28"/>
    </w:rPr>
  </w:style>
  <w:style w:type="paragraph" w:styleId="Heading4">
    <w:name w:val="heading 4"/>
    <w:basedOn w:val="Heading3"/>
    <w:next w:val="Normal"/>
    <w:link w:val="Heading4Char"/>
    <w:unhideWhenUsed/>
    <w:qFormat/>
    <w:rsid w:val="00415969"/>
    <w:pPr>
      <w:ind w:left="567"/>
      <w:outlineLvl w:val="3"/>
    </w:pPr>
    <w:rPr>
      <w:sz w:val="24"/>
    </w:rPr>
  </w:style>
  <w:style w:type="paragraph" w:styleId="Heading5">
    <w:name w:val="heading 5"/>
    <w:basedOn w:val="Heading4"/>
    <w:next w:val="Normal"/>
    <w:link w:val="Heading5Char"/>
    <w:unhideWhenUsed/>
    <w:qFormat/>
    <w:rsid w:val="00E418F7"/>
    <w:pPr>
      <w:outlineLvl w:val="4"/>
    </w:pPr>
    <w:rPr>
      <w:b w:val="0"/>
    </w:rPr>
  </w:style>
  <w:style w:type="paragraph" w:styleId="Heading6">
    <w:name w:val="heading 6"/>
    <w:basedOn w:val="Heading5"/>
    <w:next w:val="Normal"/>
    <w:link w:val="Heading6Char"/>
    <w:unhideWhenUsed/>
    <w:qFormat/>
    <w:rsid w:val="0049736E"/>
    <w:pPr>
      <w:outlineLvl w:val="5"/>
    </w:pPr>
    <w:rPr>
      <w:b/>
      <w:color w:val="auto"/>
      <w:sz w:val="22"/>
    </w:rPr>
  </w:style>
  <w:style w:type="paragraph" w:styleId="Heading7">
    <w:name w:val="heading 7"/>
    <w:aliases w:val="Section Sub-Heading 4"/>
    <w:basedOn w:val="Normal"/>
    <w:next w:val="Normal"/>
    <w:link w:val="Heading7Char"/>
    <w:unhideWhenUsed/>
    <w:qFormat/>
    <w:rsid w:val="00125269"/>
    <w:pPr>
      <w:keepNext/>
      <w:keepLines/>
      <w:numPr>
        <w:ilvl w:val="6"/>
        <w:numId w:val="2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125269"/>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125269"/>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EC35FC"/>
    <w:pPr>
      <w:spacing w:before="200" w:after="240"/>
    </w:pPr>
  </w:style>
  <w:style w:type="character" w:customStyle="1" w:styleId="TitleChar">
    <w:name w:val="Title Char"/>
    <w:basedOn w:val="DefaultParagraphFont"/>
    <w:link w:val="Title"/>
    <w:uiPriority w:val="10"/>
    <w:rsid w:val="00775B02"/>
    <w:rPr>
      <w:rFonts w:ascii="Arial" w:eastAsia="Georgia" w:hAnsi="Arial" w:cs="Arial"/>
      <w:color w:val="6B2976"/>
      <w:sz w:val="36"/>
      <w:szCs w:val="48"/>
    </w:rPr>
  </w:style>
  <w:style w:type="character" w:customStyle="1" w:styleId="Heading1Char">
    <w:name w:val="Heading 1 Char"/>
    <w:aliases w:val="Heading 1 do not use Char,Section heading 1 Char,Front Page Title Char,1. Char,Para 1 Char,Para 11 Char"/>
    <w:basedOn w:val="DefaultParagraphFont"/>
    <w:link w:val="Heading1"/>
    <w:uiPriority w:val="9"/>
    <w:rsid w:val="00EC35FC"/>
    <w:rPr>
      <w:rFonts w:ascii="Arial" w:eastAsia="Georgia" w:hAnsi="Arial" w:cs="Arial"/>
      <w:b/>
      <w:color w:val="6B2976"/>
      <w:sz w:val="36"/>
      <w:szCs w:val="48"/>
    </w:rPr>
  </w:style>
  <w:style w:type="character" w:customStyle="1" w:styleId="Heading2Char">
    <w:name w:val="Heading 2 Char"/>
    <w:aliases w:val="Heading 2 do not use Char,Front Page List of Sections Char"/>
    <w:basedOn w:val="DefaultParagraphFont"/>
    <w:link w:val="Heading2"/>
    <w:uiPriority w:val="9"/>
    <w:rsid w:val="008F00D1"/>
    <w:rPr>
      <w:rFonts w:ascii="Arial" w:eastAsia="Georgia" w:hAnsi="Arial" w:cs="Arial"/>
      <w:b/>
      <w:color w:val="6A2875"/>
      <w:sz w:val="32"/>
      <w:szCs w:val="28"/>
    </w:rPr>
  </w:style>
  <w:style w:type="paragraph" w:styleId="BodyText">
    <w:name w:val="Body Text"/>
    <w:basedOn w:val="Normal"/>
    <w:link w:val="BodyTextChar"/>
    <w:uiPriority w:val="99"/>
    <w:unhideWhenUsed/>
    <w:qFormat/>
    <w:rsid w:val="00775B02"/>
    <w:rPr>
      <w:rFonts w:eastAsia="Cambria"/>
      <w:lang w:val="en-US" w:eastAsia="en-US"/>
    </w:rPr>
  </w:style>
  <w:style w:type="character" w:customStyle="1" w:styleId="BodyTextChar">
    <w:name w:val="Body Text Char"/>
    <w:basedOn w:val="DefaultParagraphFont"/>
    <w:link w:val="BodyText"/>
    <w:uiPriority w:val="99"/>
    <w:rsid w:val="00775B02"/>
    <w:rPr>
      <w:rFonts w:ascii="Arial" w:eastAsia="Cambria" w:hAnsi="Arial" w:cs="Arial"/>
      <w:lang w:val="en-US"/>
    </w:rPr>
  </w:style>
  <w:style w:type="character" w:customStyle="1" w:styleId="BodyTextItalic">
    <w:name w:val="Body Text Italic"/>
    <w:basedOn w:val="DefaultParagraphFont"/>
    <w:uiPriority w:val="1"/>
    <w:qFormat/>
    <w:rsid w:val="00775B02"/>
    <w:rPr>
      <w:i/>
      <w:iCs/>
    </w:rPr>
  </w:style>
  <w:style w:type="paragraph" w:styleId="NormalIndent">
    <w:name w:val="Normal Indent"/>
    <w:basedOn w:val="Normal"/>
    <w:uiPriority w:val="99"/>
    <w:semiHidden/>
    <w:rsid w:val="00775B02"/>
    <w:pPr>
      <w:spacing w:before="200" w:line="260" w:lineRule="atLeast"/>
      <w:ind w:left="720"/>
    </w:pPr>
    <w:rPr>
      <w:rFonts w:ascii="Cambria" w:eastAsia="Cambria" w:hAnsi="Cambria" w:cs="Times New Roman"/>
      <w:lang w:eastAsia="en-US"/>
    </w:rPr>
  </w:style>
  <w:style w:type="paragraph" w:customStyle="1" w:styleId="subsection">
    <w:name w:val="subsection"/>
    <w:aliases w:val="ss"/>
    <w:basedOn w:val="Normal"/>
    <w:link w:val="subsectionChar"/>
    <w:rsid w:val="00775B02"/>
    <w:pPr>
      <w:tabs>
        <w:tab w:val="right" w:pos="1021"/>
      </w:tabs>
      <w:spacing w:before="180"/>
      <w:ind w:left="1134" w:hanging="1134"/>
    </w:pPr>
    <w:rPr>
      <w:rFonts w:ascii="Times New Roman" w:eastAsia="Times New Roman" w:hAnsi="Times New Roman" w:cs="Times New Roman"/>
      <w:lang w:eastAsia="en-AU"/>
    </w:rPr>
  </w:style>
  <w:style w:type="character" w:customStyle="1" w:styleId="subsectionChar">
    <w:name w:val="subsection Char"/>
    <w:aliases w:val="ss Char"/>
    <w:link w:val="subsection"/>
    <w:locked/>
    <w:rsid w:val="00775B02"/>
    <w:rPr>
      <w:rFonts w:ascii="Times New Roman" w:eastAsia="Times New Roman" w:hAnsi="Times New Roman" w:cs="Times New Roman"/>
      <w:sz w:val="20"/>
      <w:szCs w:val="20"/>
      <w:lang w:eastAsia="en-AU"/>
    </w:rPr>
  </w:style>
  <w:style w:type="paragraph" w:customStyle="1" w:styleId="paragraph">
    <w:name w:val="paragraph"/>
    <w:aliases w:val="a"/>
    <w:basedOn w:val="Normal"/>
    <w:link w:val="paragraphChar"/>
    <w:rsid w:val="00775B02"/>
    <w:pPr>
      <w:tabs>
        <w:tab w:val="right" w:pos="1531"/>
      </w:tabs>
      <w:spacing w:before="40"/>
      <w:ind w:left="1644" w:hanging="1644"/>
    </w:pPr>
    <w:rPr>
      <w:rFonts w:ascii="Times New Roman" w:eastAsia="Times New Roman" w:hAnsi="Times New Roman" w:cs="Times New Roman"/>
      <w:lang w:eastAsia="en-AU"/>
    </w:rPr>
  </w:style>
  <w:style w:type="character" w:customStyle="1" w:styleId="paragraphChar">
    <w:name w:val="paragraph Char"/>
    <w:aliases w:val="a Char"/>
    <w:basedOn w:val="DefaultParagraphFont"/>
    <w:link w:val="paragraph"/>
    <w:rsid w:val="00775B02"/>
    <w:rPr>
      <w:rFonts w:ascii="Times New Roman" w:eastAsia="Times New Roman" w:hAnsi="Times New Roman" w:cs="Times New Roman"/>
      <w:sz w:val="20"/>
      <w:szCs w:val="20"/>
      <w:lang w:eastAsia="en-AU"/>
    </w:rPr>
  </w:style>
  <w:style w:type="character" w:customStyle="1" w:styleId="Heading3Char">
    <w:name w:val="Heading 3 Char"/>
    <w:aliases w:val="Heading 3 do not use Char"/>
    <w:basedOn w:val="DefaultParagraphFont"/>
    <w:link w:val="Heading3"/>
    <w:uiPriority w:val="9"/>
    <w:rsid w:val="004F0890"/>
    <w:rPr>
      <w:rFonts w:ascii="Arial" w:eastAsia="Georgia" w:hAnsi="Arial" w:cs="Arial"/>
      <w:b/>
      <w:color w:val="6A2875"/>
      <w:sz w:val="28"/>
      <w:szCs w:val="28"/>
    </w:rPr>
  </w:style>
  <w:style w:type="character" w:customStyle="1" w:styleId="Heading4Char">
    <w:name w:val="Heading 4 Char"/>
    <w:basedOn w:val="DefaultParagraphFont"/>
    <w:link w:val="Heading4"/>
    <w:uiPriority w:val="9"/>
    <w:rsid w:val="00415969"/>
    <w:rPr>
      <w:rFonts w:ascii="Arial" w:eastAsia="Georgia" w:hAnsi="Arial" w:cs="Arial"/>
      <w:b/>
      <w:color w:val="6A2875"/>
      <w:sz w:val="24"/>
      <w:szCs w:val="28"/>
    </w:rPr>
  </w:style>
  <w:style w:type="character" w:customStyle="1" w:styleId="Heading5Char">
    <w:name w:val="Heading 5 Char"/>
    <w:basedOn w:val="DefaultParagraphFont"/>
    <w:link w:val="Heading5"/>
    <w:uiPriority w:val="9"/>
    <w:rsid w:val="00E418F7"/>
    <w:rPr>
      <w:rFonts w:ascii="Arial" w:eastAsia="Georgia" w:hAnsi="Arial" w:cs="Arial"/>
      <w:color w:val="6A2875"/>
      <w:sz w:val="24"/>
      <w:szCs w:val="28"/>
    </w:rPr>
  </w:style>
  <w:style w:type="character" w:customStyle="1" w:styleId="Heading6Char">
    <w:name w:val="Heading 6 Char"/>
    <w:basedOn w:val="DefaultParagraphFont"/>
    <w:link w:val="Heading6"/>
    <w:uiPriority w:val="9"/>
    <w:rsid w:val="0049736E"/>
    <w:rPr>
      <w:rFonts w:ascii="Arial" w:eastAsia="Georgia" w:hAnsi="Arial" w:cs="Arial"/>
      <w:b/>
      <w:szCs w:val="28"/>
    </w:rPr>
  </w:style>
  <w:style w:type="character" w:customStyle="1" w:styleId="Heading7Char">
    <w:name w:val="Heading 7 Char"/>
    <w:aliases w:val="Section Sub-Heading 4 Char"/>
    <w:basedOn w:val="DefaultParagraphFont"/>
    <w:link w:val="Heading7"/>
    <w:rsid w:val="00125269"/>
    <w:rPr>
      <w:rFonts w:asciiTheme="majorHAnsi" w:eastAsiaTheme="majorEastAsia" w:hAnsiTheme="majorHAnsi" w:cstheme="majorBidi"/>
      <w:i/>
      <w:iCs/>
      <w:color w:val="1F4D78" w:themeColor="accent1" w:themeShade="7F"/>
      <w:lang w:eastAsia="ja-JP"/>
    </w:rPr>
  </w:style>
  <w:style w:type="character" w:customStyle="1" w:styleId="Heading8Char">
    <w:name w:val="Heading 8 Char"/>
    <w:basedOn w:val="DefaultParagraphFont"/>
    <w:link w:val="Heading8"/>
    <w:rsid w:val="00125269"/>
    <w:rPr>
      <w:rFonts w:asciiTheme="majorHAnsi" w:eastAsiaTheme="majorEastAsia" w:hAnsiTheme="majorHAnsi" w:cstheme="majorBidi"/>
      <w:color w:val="272727" w:themeColor="text1" w:themeTint="D8"/>
      <w:sz w:val="21"/>
      <w:szCs w:val="21"/>
      <w:lang w:eastAsia="ja-JP"/>
    </w:rPr>
  </w:style>
  <w:style w:type="character" w:customStyle="1" w:styleId="Heading9Char">
    <w:name w:val="Heading 9 Char"/>
    <w:basedOn w:val="DefaultParagraphFont"/>
    <w:link w:val="Heading9"/>
    <w:rsid w:val="00125269"/>
    <w:rPr>
      <w:rFonts w:asciiTheme="majorHAnsi" w:eastAsiaTheme="majorEastAsia" w:hAnsiTheme="majorHAnsi" w:cstheme="majorBidi"/>
      <w:i/>
      <w:iCs/>
      <w:color w:val="272727" w:themeColor="text1" w:themeTint="D8"/>
      <w:sz w:val="21"/>
      <w:szCs w:val="21"/>
      <w:lang w:eastAsia="ja-JP"/>
    </w:rPr>
  </w:style>
  <w:style w:type="paragraph" w:styleId="ListParagraph">
    <w:name w:val="List Paragraph"/>
    <w:aliases w:val="NFP GP Bulleted List,List Paragraph1,Recommendation,List Paragraph11,List Paragraph2,L,AR bullet 1,List Paragraph Number,Bullet point,Content descriptions,Bullet Point,dot point List Paragraph,Number Paragraph,Bullet points,Bullet Points"/>
    <w:basedOn w:val="Normal"/>
    <w:link w:val="ListParagraphChar"/>
    <w:uiPriority w:val="34"/>
    <w:qFormat/>
    <w:rsid w:val="00B31B53"/>
    <w:pPr>
      <w:spacing w:after="0"/>
      <w:ind w:left="720"/>
      <w:contextualSpacing/>
    </w:pPr>
  </w:style>
  <w:style w:type="character" w:customStyle="1" w:styleId="ListParagraphChar">
    <w:name w:val="List Paragraph Char"/>
    <w:aliases w:val="NFP GP Bulleted List Char,List Paragraph1 Char,Recommendation Char,List Paragraph11 Char,List Paragraph2 Char,L Char,AR bullet 1 Char,List Paragraph Number Char,Bullet point Char,Content descriptions Char,Bullet Point Char"/>
    <w:basedOn w:val="DefaultParagraphFont"/>
    <w:link w:val="ListParagraph"/>
    <w:uiPriority w:val="34"/>
    <w:qFormat/>
    <w:locked/>
    <w:rsid w:val="00B31B53"/>
    <w:rPr>
      <w:rFonts w:ascii="Arial" w:eastAsiaTheme="minorEastAsia" w:hAnsi="Arial" w:cs="Arial"/>
      <w:sz w:val="20"/>
      <w:szCs w:val="20"/>
      <w:lang w:eastAsia="ja-JP"/>
    </w:rPr>
  </w:style>
  <w:style w:type="paragraph" w:styleId="Caption">
    <w:name w:val="caption"/>
    <w:basedOn w:val="Normal"/>
    <w:next w:val="Normal"/>
    <w:link w:val="CaptionChar"/>
    <w:uiPriority w:val="35"/>
    <w:unhideWhenUsed/>
    <w:qFormat/>
    <w:rsid w:val="00B31B53"/>
    <w:pPr>
      <w:spacing w:after="200"/>
    </w:pPr>
    <w:rPr>
      <w:rFonts w:asciiTheme="minorHAnsi" w:eastAsiaTheme="minorHAnsi" w:hAnsiTheme="minorHAnsi"/>
      <w:i/>
      <w:iCs/>
      <w:color w:val="44546A" w:themeColor="text2"/>
      <w:sz w:val="18"/>
      <w:szCs w:val="18"/>
      <w:lang w:val="en-US" w:eastAsia="en-US"/>
    </w:rPr>
  </w:style>
  <w:style w:type="character" w:styleId="Hyperlink">
    <w:name w:val="Hyperlink"/>
    <w:basedOn w:val="DefaultParagraphFont"/>
    <w:uiPriority w:val="99"/>
    <w:unhideWhenUsed/>
    <w:rsid w:val="00440958"/>
    <w:rPr>
      <w:rFonts w:ascii="Arial" w:hAnsi="Arial"/>
      <w:color w:val="0000FF"/>
      <w:sz w:val="22"/>
      <w:u w:val="single"/>
    </w:rPr>
  </w:style>
  <w:style w:type="paragraph" w:customStyle="1" w:styleId="paragraphsub">
    <w:name w:val="paragraph(sub)"/>
    <w:aliases w:val="aa"/>
    <w:basedOn w:val="Normal"/>
    <w:rsid w:val="00B31B53"/>
    <w:pPr>
      <w:tabs>
        <w:tab w:val="right" w:pos="1985"/>
      </w:tabs>
      <w:spacing w:before="40" w:after="0"/>
      <w:ind w:left="2098" w:hanging="2098"/>
    </w:pPr>
    <w:rPr>
      <w:rFonts w:ascii="Times New Roman" w:eastAsia="Times New Roman" w:hAnsi="Times New Roman" w:cs="Times New Roman"/>
      <w:lang w:eastAsia="en-AU"/>
    </w:rPr>
  </w:style>
  <w:style w:type="paragraph" w:customStyle="1" w:styleId="ActHead5">
    <w:name w:val="ActHead 5"/>
    <w:aliases w:val="s"/>
    <w:basedOn w:val="Normal"/>
    <w:next w:val="subsection"/>
    <w:link w:val="ActHead5Char"/>
    <w:qFormat/>
    <w:rsid w:val="00B31B53"/>
    <w:pPr>
      <w:keepNext/>
      <w:keepLines/>
      <w:spacing w:before="280" w:after="0"/>
      <w:ind w:left="1134" w:hanging="1134"/>
      <w:outlineLvl w:val="4"/>
    </w:pPr>
    <w:rPr>
      <w:rFonts w:ascii="Times New Roman" w:eastAsia="Times New Roman" w:hAnsi="Times New Roman" w:cs="Times New Roman"/>
      <w:b/>
      <w:kern w:val="28"/>
      <w:sz w:val="24"/>
      <w:lang w:eastAsia="en-AU"/>
    </w:rPr>
  </w:style>
  <w:style w:type="character" w:customStyle="1" w:styleId="ActHead5Char">
    <w:name w:val="ActHead 5 Char"/>
    <w:aliases w:val="s Char"/>
    <w:basedOn w:val="DefaultParagraphFont"/>
    <w:link w:val="ActHead5"/>
    <w:locked/>
    <w:rsid w:val="00B31B53"/>
    <w:rPr>
      <w:rFonts w:ascii="Times New Roman" w:eastAsia="Times New Roman" w:hAnsi="Times New Roman" w:cs="Times New Roman"/>
      <w:b/>
      <w:kern w:val="28"/>
      <w:sz w:val="24"/>
      <w:szCs w:val="20"/>
      <w:lang w:eastAsia="en-AU"/>
    </w:rPr>
  </w:style>
  <w:style w:type="paragraph" w:styleId="ListBullet">
    <w:name w:val="List Bullet"/>
    <w:basedOn w:val="Normal"/>
    <w:uiPriority w:val="99"/>
    <w:unhideWhenUsed/>
    <w:rsid w:val="00B31B53"/>
    <w:pPr>
      <w:numPr>
        <w:numId w:val="1"/>
      </w:numPr>
      <w:spacing w:line="288" w:lineRule="auto"/>
      <w:contextualSpacing/>
    </w:pPr>
    <w:rPr>
      <w:rFonts w:eastAsiaTheme="minorHAnsi"/>
      <w:color w:val="FFFFFF"/>
      <w:lang w:eastAsia="en-US"/>
    </w:rPr>
  </w:style>
  <w:style w:type="table" w:styleId="TableGrid">
    <w:name w:val="Table Grid"/>
    <w:aliases w:val="WISDOM Table"/>
    <w:basedOn w:val="TableNormal"/>
    <w:uiPriority w:val="39"/>
    <w:rsid w:val="0083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32B78"/>
    <w:pPr>
      <w:autoSpaceDE w:val="0"/>
      <w:autoSpaceDN w:val="0"/>
      <w:adjustRightInd w:val="0"/>
      <w:spacing w:after="0" w:line="191" w:lineRule="atLeast"/>
    </w:pPr>
    <w:rPr>
      <w:rFonts w:ascii="FS Me Pro Light" w:eastAsiaTheme="minorHAnsi" w:hAnsi="FS Me Pro Light" w:cstheme="minorBidi"/>
      <w:sz w:val="24"/>
      <w:szCs w:val="24"/>
      <w:lang w:eastAsia="en-US"/>
    </w:rPr>
  </w:style>
  <w:style w:type="paragraph" w:styleId="NormalWeb">
    <w:name w:val="Normal (Web)"/>
    <w:basedOn w:val="Normal"/>
    <w:uiPriority w:val="99"/>
    <w:unhideWhenUsed/>
    <w:rsid w:val="00832B78"/>
    <w:pPr>
      <w:spacing w:before="100" w:beforeAutospacing="1" w:after="100" w:afterAutospacing="1"/>
    </w:pPr>
    <w:rPr>
      <w:rFonts w:ascii="Times New Roman" w:eastAsia="Times New Roman" w:hAnsi="Times New Roman" w:cs="Times New Roman"/>
      <w:sz w:val="24"/>
      <w:lang w:eastAsia="en-AU"/>
    </w:rPr>
  </w:style>
  <w:style w:type="paragraph" w:styleId="BalloonText">
    <w:name w:val="Balloon Text"/>
    <w:basedOn w:val="Normal"/>
    <w:link w:val="BalloonTextChar"/>
    <w:unhideWhenUsed/>
    <w:rsid w:val="002E3CB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2E3CBC"/>
    <w:rPr>
      <w:rFonts w:ascii="Segoe UI" w:eastAsiaTheme="minorEastAsia" w:hAnsi="Segoe UI" w:cs="Segoe UI"/>
      <w:sz w:val="18"/>
      <w:szCs w:val="18"/>
      <w:lang w:eastAsia="ja-JP"/>
    </w:rPr>
  </w:style>
  <w:style w:type="table" w:styleId="GridTable2-Accent3">
    <w:name w:val="Grid Table 2 Accent 3"/>
    <w:basedOn w:val="TableNormal"/>
    <w:uiPriority w:val="47"/>
    <w:rsid w:val="0011561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cPr>
      <w:vAlign w:val="center"/>
    </w:tc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35">
    <w:name w:val="Pa35"/>
    <w:basedOn w:val="Normal"/>
    <w:next w:val="Normal"/>
    <w:uiPriority w:val="99"/>
    <w:rsid w:val="00475947"/>
    <w:pPr>
      <w:autoSpaceDE w:val="0"/>
      <w:autoSpaceDN w:val="0"/>
      <w:adjustRightInd w:val="0"/>
      <w:spacing w:after="0" w:line="171" w:lineRule="atLeast"/>
    </w:pPr>
    <w:rPr>
      <w:rFonts w:ascii="FS Me Pro Light" w:eastAsiaTheme="minorHAnsi" w:hAnsi="FS Me Pro Light" w:cstheme="minorBidi"/>
      <w:sz w:val="24"/>
      <w:szCs w:val="24"/>
      <w:lang w:eastAsia="en-US"/>
    </w:rPr>
  </w:style>
  <w:style w:type="character" w:customStyle="1" w:styleId="A11">
    <w:name w:val="A11"/>
    <w:uiPriority w:val="99"/>
    <w:rsid w:val="00475947"/>
    <w:rPr>
      <w:rFonts w:cs="FS Me Pro Light"/>
      <w:color w:val="000000"/>
      <w:sz w:val="11"/>
      <w:szCs w:val="11"/>
    </w:rPr>
  </w:style>
  <w:style w:type="paragraph" w:styleId="FootnoteText">
    <w:name w:val="footnote text"/>
    <w:basedOn w:val="Normal"/>
    <w:link w:val="FootnoteTextChar"/>
    <w:uiPriority w:val="99"/>
    <w:unhideWhenUsed/>
    <w:qFormat/>
    <w:rsid w:val="0034532F"/>
    <w:pPr>
      <w:spacing w:before="60" w:after="0"/>
    </w:pPr>
    <w:rPr>
      <w:sz w:val="16"/>
    </w:rPr>
  </w:style>
  <w:style w:type="character" w:customStyle="1" w:styleId="FootnoteTextChar">
    <w:name w:val="Footnote Text Char"/>
    <w:basedOn w:val="DefaultParagraphFont"/>
    <w:link w:val="FootnoteText"/>
    <w:uiPriority w:val="99"/>
    <w:rsid w:val="0034532F"/>
    <w:rPr>
      <w:rFonts w:ascii="Arial" w:eastAsiaTheme="minorEastAsia" w:hAnsi="Arial" w:cs="Arial"/>
      <w:sz w:val="16"/>
      <w:lang w:eastAsia="ja-JP"/>
    </w:rPr>
  </w:style>
  <w:style w:type="character" w:styleId="FootnoteReference">
    <w:name w:val="footnote reference"/>
    <w:basedOn w:val="DefaultParagraphFont"/>
    <w:uiPriority w:val="99"/>
    <w:unhideWhenUsed/>
    <w:rsid w:val="00C34ADE"/>
    <w:rPr>
      <w:vertAlign w:val="superscript"/>
    </w:rPr>
  </w:style>
  <w:style w:type="table" w:styleId="GridTable4-Accent3">
    <w:name w:val="Grid Table 4 Accent 3"/>
    <w:basedOn w:val="TableNormal"/>
    <w:uiPriority w:val="49"/>
    <w:rsid w:val="00C34A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Default">
    <w:name w:val="Default"/>
    <w:rsid w:val="00C34ADE"/>
    <w:pPr>
      <w:autoSpaceDE w:val="0"/>
      <w:autoSpaceDN w:val="0"/>
      <w:adjustRightInd w:val="0"/>
      <w:spacing w:after="0" w:line="240" w:lineRule="auto"/>
    </w:pPr>
    <w:rPr>
      <w:rFonts w:ascii="Calibri" w:hAnsi="Calibri" w:cs="Calibri"/>
      <w:color w:val="000000"/>
      <w:sz w:val="24"/>
      <w:szCs w:val="24"/>
    </w:rPr>
  </w:style>
  <w:style w:type="table" w:customStyle="1" w:styleId="WISDOMTable2">
    <w:name w:val="WISDOM Table2"/>
    <w:basedOn w:val="TableNormal"/>
    <w:next w:val="TableGrid"/>
    <w:uiPriority w:val="39"/>
    <w:rsid w:val="006C20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D3A39"/>
    <w:pPr>
      <w:spacing w:after="0" w:line="240" w:lineRule="auto"/>
    </w:pPr>
    <w:rPr>
      <w:rFonts w:ascii="Arial" w:eastAsiaTheme="minorEastAsia" w:hAnsi="Arial"/>
      <w:sz w:val="20"/>
      <w:szCs w:val="20"/>
      <w:lang w:eastAsia="ja-JP"/>
    </w:rPr>
  </w:style>
  <w:style w:type="character" w:customStyle="1" w:styleId="NoSpacingChar">
    <w:name w:val="No Spacing Char"/>
    <w:basedOn w:val="DefaultParagraphFont"/>
    <w:link w:val="NoSpacing"/>
    <w:uiPriority w:val="1"/>
    <w:locked/>
    <w:rsid w:val="000D3A39"/>
    <w:rPr>
      <w:rFonts w:ascii="Arial" w:eastAsiaTheme="minorEastAsia" w:hAnsi="Arial"/>
      <w:sz w:val="20"/>
      <w:szCs w:val="20"/>
      <w:lang w:eastAsia="ja-JP"/>
    </w:rPr>
  </w:style>
  <w:style w:type="table" w:styleId="PlainTable1">
    <w:name w:val="Plain Table 1"/>
    <w:basedOn w:val="TableNormal"/>
    <w:uiPriority w:val="41"/>
    <w:rsid w:val="00561B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31">
    <w:name w:val="Grid Table 2 - Accent 31"/>
    <w:basedOn w:val="TableNormal"/>
    <w:next w:val="GridTable2-Accent3"/>
    <w:uiPriority w:val="47"/>
    <w:rsid w:val="00AF0B9B"/>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ascii="Arial" w:hAnsi="Arial"/>
        <w:b/>
        <w:bCs/>
        <w:color w:val="FFFFFF" w:themeColor="background1"/>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shd w:val="clear" w:color="auto" w:fill="EDEDED" w:themeFill="accent3" w:themeFillTint="33"/>
      </w:tcPr>
    </w:tblStylePr>
  </w:style>
  <w:style w:type="paragraph" w:customStyle="1" w:styleId="Tableformat">
    <w:name w:val="Table format"/>
    <w:basedOn w:val="Normal"/>
    <w:link w:val="TableformatChar"/>
    <w:qFormat/>
    <w:rsid w:val="00AC60F9"/>
    <w:pPr>
      <w:ind w:left="0"/>
    </w:pPr>
    <w:rPr>
      <w:sz w:val="20"/>
      <w:szCs w:val="20"/>
    </w:rPr>
  </w:style>
  <w:style w:type="character" w:customStyle="1" w:styleId="TableformatChar">
    <w:name w:val="Table format Char"/>
    <w:basedOn w:val="DefaultParagraphFont"/>
    <w:link w:val="Tableformat"/>
    <w:rsid w:val="00AC60F9"/>
    <w:rPr>
      <w:rFonts w:ascii="Arial" w:eastAsiaTheme="minorEastAsia" w:hAnsi="Arial" w:cs="Arial"/>
      <w:sz w:val="20"/>
      <w:szCs w:val="20"/>
      <w:lang w:eastAsia="ja-JP"/>
    </w:rPr>
  </w:style>
  <w:style w:type="paragraph" w:styleId="TOCHeading">
    <w:name w:val="TOC Heading"/>
    <w:next w:val="Normal"/>
    <w:uiPriority w:val="39"/>
    <w:unhideWhenUsed/>
    <w:qFormat/>
    <w:rsid w:val="001C489C"/>
    <w:pPr>
      <w:keepNext/>
      <w:keepLines/>
      <w:spacing w:after="0"/>
    </w:pPr>
    <w:rPr>
      <w:rFonts w:ascii="Arial" w:eastAsiaTheme="majorEastAsia" w:hAnsi="Arial" w:cstheme="majorBidi"/>
      <w:b/>
      <w:color w:val="6B2976"/>
      <w:sz w:val="32"/>
      <w:szCs w:val="32"/>
      <w:lang w:val="en-US"/>
    </w:rPr>
  </w:style>
  <w:style w:type="paragraph" w:styleId="TOC1">
    <w:name w:val="toc 1"/>
    <w:basedOn w:val="Normal"/>
    <w:next w:val="Normal"/>
    <w:autoRedefine/>
    <w:uiPriority w:val="39"/>
    <w:unhideWhenUsed/>
    <w:rsid w:val="006E1D91"/>
    <w:pPr>
      <w:tabs>
        <w:tab w:val="left" w:pos="454"/>
        <w:tab w:val="right" w:leader="dot" w:pos="10025"/>
      </w:tabs>
      <w:spacing w:after="100"/>
      <w:ind w:left="0"/>
    </w:pPr>
    <w:rPr>
      <w:b/>
    </w:rPr>
  </w:style>
  <w:style w:type="paragraph" w:styleId="TOC2">
    <w:name w:val="toc 2"/>
    <w:basedOn w:val="Normal"/>
    <w:next w:val="Normal"/>
    <w:autoRedefine/>
    <w:uiPriority w:val="39"/>
    <w:unhideWhenUsed/>
    <w:rsid w:val="00CB028F"/>
    <w:pPr>
      <w:tabs>
        <w:tab w:val="left" w:pos="964"/>
        <w:tab w:val="right" w:leader="dot" w:pos="10025"/>
      </w:tabs>
      <w:spacing w:after="100"/>
      <w:ind w:left="426"/>
    </w:pPr>
    <w:rPr>
      <w:rFonts w:eastAsia="Times New Roman"/>
      <w:noProof/>
      <w:lang w:eastAsia="en-US"/>
    </w:rPr>
  </w:style>
  <w:style w:type="paragraph" w:styleId="TOC3">
    <w:name w:val="toc 3"/>
    <w:basedOn w:val="Normal"/>
    <w:next w:val="Normal"/>
    <w:autoRedefine/>
    <w:uiPriority w:val="39"/>
    <w:unhideWhenUsed/>
    <w:rsid w:val="007362A5"/>
    <w:pPr>
      <w:tabs>
        <w:tab w:val="left" w:pos="1560"/>
        <w:tab w:val="right" w:leader="dot" w:pos="10025"/>
      </w:tabs>
      <w:spacing w:after="100"/>
      <w:ind w:left="851"/>
    </w:pPr>
  </w:style>
  <w:style w:type="character" w:styleId="Strong">
    <w:name w:val="Strong"/>
    <w:aliases w:val="Table &amp; Figure Headings"/>
    <w:basedOn w:val="DefaultParagraphFont"/>
    <w:uiPriority w:val="22"/>
    <w:qFormat/>
    <w:rsid w:val="00462BF1"/>
    <w:rPr>
      <w:b/>
      <w:bCs/>
    </w:rPr>
  </w:style>
  <w:style w:type="table" w:customStyle="1" w:styleId="TableGrid1">
    <w:name w:val="Table Grid1"/>
    <w:basedOn w:val="TableNormal"/>
    <w:next w:val="TableGrid"/>
    <w:uiPriority w:val="39"/>
    <w:rsid w:val="0047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A0D9F"/>
    <w:pPr>
      <w:spacing w:before="0" w:after="0"/>
      <w:ind w:left="0"/>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1A0D9F"/>
    <w:rPr>
      <w:rFonts w:ascii="Calibri" w:hAnsi="Calibri"/>
      <w:szCs w:val="21"/>
    </w:rPr>
  </w:style>
  <w:style w:type="character" w:styleId="CommentReference">
    <w:name w:val="annotation reference"/>
    <w:basedOn w:val="DefaultParagraphFont"/>
    <w:uiPriority w:val="99"/>
    <w:unhideWhenUsed/>
    <w:rsid w:val="0025606A"/>
    <w:rPr>
      <w:sz w:val="16"/>
      <w:szCs w:val="16"/>
    </w:rPr>
  </w:style>
  <w:style w:type="character" w:customStyle="1" w:styleId="BodyText1Char">
    <w:name w:val="Body Text1 Char"/>
    <w:basedOn w:val="DefaultParagraphFont"/>
    <w:link w:val="BodyText1"/>
    <w:locked/>
    <w:rsid w:val="0025606A"/>
    <w:rPr>
      <w:rFonts w:ascii="Cambria" w:eastAsia="Times New Roman" w:hAnsi="Cambria" w:cs="Times New Roman"/>
      <w:szCs w:val="24"/>
    </w:rPr>
  </w:style>
  <w:style w:type="paragraph" w:customStyle="1" w:styleId="BodyText1">
    <w:name w:val="Body Text1"/>
    <w:link w:val="BodyText1Char"/>
    <w:qFormat/>
    <w:rsid w:val="0025606A"/>
    <w:pPr>
      <w:spacing w:after="113" w:line="260" w:lineRule="atLeast"/>
    </w:pPr>
    <w:rPr>
      <w:rFonts w:ascii="Cambria" w:eastAsia="Times New Roman" w:hAnsi="Cambria" w:cs="Times New Roman"/>
      <w:szCs w:val="24"/>
    </w:rPr>
  </w:style>
  <w:style w:type="paragraph" w:customStyle="1" w:styleId="TableTitle">
    <w:name w:val="Table Title"/>
    <w:basedOn w:val="BodyText"/>
    <w:qFormat/>
    <w:rsid w:val="0025606A"/>
    <w:pPr>
      <w:spacing w:line="288" w:lineRule="auto"/>
      <w:ind w:left="0"/>
    </w:pPr>
    <w:rPr>
      <w:rFonts w:eastAsiaTheme="minorHAnsi" w:cstheme="minorBidi"/>
      <w:b/>
      <w:color w:val="000000" w:themeColor="text1"/>
      <w:szCs w:val="24"/>
    </w:rPr>
  </w:style>
  <w:style w:type="table" w:styleId="LightShading-Accent4">
    <w:name w:val="Light Shading Accent 4"/>
    <w:basedOn w:val="TableNormal"/>
    <w:uiPriority w:val="60"/>
    <w:unhideWhenUsed/>
    <w:rsid w:val="0025606A"/>
    <w:pPr>
      <w:keepLines/>
      <w:spacing w:after="80" w:line="240" w:lineRule="auto"/>
      <w:ind w:left="113" w:right="113"/>
    </w:pPr>
    <w:rPr>
      <w:rFonts w:ascii="Arial" w:eastAsiaTheme="minorEastAsia" w:hAnsi="Arial"/>
      <w:lang w:val="en-US" w:eastAsia="ja-JP"/>
    </w:rPr>
    <w:tblPr>
      <w:tblStyleRowBandSize w:val="1"/>
      <w:tblStyleColBandSize w:val="1"/>
      <w:tblInd w:w="0" w:type="nil"/>
      <w:tblBorders>
        <w:top w:val="single" w:sz="8" w:space="0" w:color="FFC000" w:themeColor="accent4"/>
        <w:bottom w:val="single" w:sz="8" w:space="0" w:color="FFC000" w:themeColor="accent4"/>
      </w:tblBorders>
    </w:tblPr>
    <w:tblStylePr w:type="firstRow">
      <w:pPr>
        <w:wordWrap/>
        <w:spacing w:beforeLines="0" w:before="100" w:beforeAutospacing="1" w:afterLines="0" w:after="100" w:afterAutospacing="1" w:line="240" w:lineRule="auto"/>
        <w:ind w:leftChars="0" w:left="0" w:rightChars="0" w:right="0"/>
      </w:pPr>
      <w:rPr>
        <w:rFonts w:ascii="Arial" w:hAnsi="Arial" w:cs="Arial" w:hint="default"/>
        <w:b/>
        <w:bCs/>
        <w:color w:val="FFFFFF" w:themeColor="background1"/>
        <w:sz w:val="22"/>
        <w:szCs w:val="22"/>
      </w:rPr>
      <w:tblPr/>
      <w:tcPr>
        <w:shd w:val="clear" w:color="auto" w:fill="660066"/>
      </w:tcPr>
    </w:tblStylePr>
    <w:tblStylePr w:type="lastRow">
      <w:pPr>
        <w:spacing w:beforeLines="0" w:before="0" w:beforeAutospacing="0" w:afterLines="0" w:after="0" w:afterAutospacing="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pPr>
        <w:wordWrap/>
        <w:spacing w:beforeLines="0" w:before="100" w:beforeAutospacing="1" w:afterLines="0" w:after="100" w:afterAutospacing="1"/>
        <w:ind w:leftChars="0" w:left="0" w:rightChars="0" w:right="0"/>
      </w:pPr>
      <w:rPr>
        <w:b/>
        <w:bCs/>
      </w:rPr>
    </w:tblStylePr>
    <w:tblStylePr w:type="band1Vert">
      <w:pPr>
        <w:wordWrap/>
        <w:spacing w:beforeLines="0" w:before="100" w:beforeAutospacing="1" w:afterLines="0" w:after="100" w:afterAutospacing="1"/>
        <w:ind w:leftChars="0" w:left="0" w:rightChars="0" w:right="0"/>
      </w:pPr>
      <w:tblPr/>
      <w:tcPr>
        <w:tcBorders>
          <w:left w:val="nil"/>
          <w:right w:val="nil"/>
          <w:insideH w:val="nil"/>
          <w:insideV w:val="nil"/>
        </w:tcBorders>
        <w:shd w:val="clear" w:color="auto" w:fill="FFEFC0"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Footnotes">
    <w:name w:val="Footnotes"/>
    <w:basedOn w:val="FootnoteText"/>
    <w:link w:val="FootnotesChar"/>
    <w:qFormat/>
    <w:rsid w:val="0025606A"/>
    <w:pPr>
      <w:spacing w:before="0"/>
      <w:ind w:left="0"/>
    </w:pPr>
    <w:rPr>
      <w:sz w:val="20"/>
      <w:szCs w:val="20"/>
      <w:vertAlign w:val="superscript"/>
    </w:rPr>
  </w:style>
  <w:style w:type="character" w:customStyle="1" w:styleId="FootnotesChar">
    <w:name w:val="Footnotes Char"/>
    <w:basedOn w:val="FootnoteTextChar"/>
    <w:link w:val="Footnotes"/>
    <w:rsid w:val="0025606A"/>
    <w:rPr>
      <w:rFonts w:ascii="Arial" w:eastAsiaTheme="minorEastAsia" w:hAnsi="Arial" w:cs="Arial"/>
      <w:sz w:val="20"/>
      <w:szCs w:val="20"/>
      <w:vertAlign w:val="superscript"/>
      <w:lang w:eastAsia="ja-JP"/>
    </w:rPr>
  </w:style>
  <w:style w:type="paragraph" w:customStyle="1" w:styleId="Pa9">
    <w:name w:val="Pa9"/>
    <w:basedOn w:val="Default"/>
    <w:next w:val="Default"/>
    <w:uiPriority w:val="99"/>
    <w:rsid w:val="0025606A"/>
    <w:pPr>
      <w:spacing w:line="221" w:lineRule="atLeast"/>
    </w:pPr>
    <w:rPr>
      <w:rFonts w:ascii="FS Me Pro Light" w:hAnsi="FS Me Pro Light" w:cstheme="minorBidi"/>
      <w:color w:val="auto"/>
    </w:rPr>
  </w:style>
  <w:style w:type="paragraph" w:customStyle="1" w:styleId="Normal85">
    <w:name w:val="Normal_85"/>
    <w:qFormat/>
    <w:rsid w:val="0025606A"/>
    <w:pPr>
      <w:tabs>
        <w:tab w:val="left" w:pos="709"/>
      </w:tabs>
      <w:spacing w:after="200" w:line="276" w:lineRule="auto"/>
    </w:pPr>
    <w:rPr>
      <w:rFonts w:ascii="Book Antiqua" w:hAnsi="Book Antiqua"/>
      <w:sz w:val="20"/>
      <w:szCs w:val="20"/>
    </w:rPr>
  </w:style>
  <w:style w:type="paragraph" w:customStyle="1" w:styleId="Pa28">
    <w:name w:val="Pa28"/>
    <w:basedOn w:val="Default"/>
    <w:next w:val="Default"/>
    <w:uiPriority w:val="99"/>
    <w:rsid w:val="0025606A"/>
    <w:pPr>
      <w:spacing w:line="171" w:lineRule="atLeast"/>
    </w:pPr>
    <w:rPr>
      <w:rFonts w:ascii="FS Me Pro Light" w:hAnsi="FS Me Pro Light" w:cstheme="minorBidi"/>
      <w:color w:val="auto"/>
    </w:rPr>
  </w:style>
  <w:style w:type="paragraph" w:styleId="CommentText">
    <w:name w:val="annotation text"/>
    <w:basedOn w:val="Normal"/>
    <w:link w:val="CommentTextChar"/>
    <w:uiPriority w:val="99"/>
    <w:unhideWhenUsed/>
    <w:rsid w:val="00463F33"/>
    <w:rPr>
      <w:sz w:val="20"/>
      <w:szCs w:val="20"/>
    </w:rPr>
  </w:style>
  <w:style w:type="character" w:customStyle="1" w:styleId="CommentTextChar">
    <w:name w:val="Comment Text Char"/>
    <w:basedOn w:val="DefaultParagraphFont"/>
    <w:link w:val="CommentText"/>
    <w:uiPriority w:val="99"/>
    <w:rsid w:val="00463F33"/>
    <w:rPr>
      <w:rFonts w:ascii="Arial" w:eastAsiaTheme="minorEastAsia" w:hAnsi="Arial" w:cs="Arial"/>
      <w:sz w:val="20"/>
      <w:szCs w:val="20"/>
      <w:lang w:eastAsia="ja-JP"/>
    </w:rPr>
  </w:style>
  <w:style w:type="paragraph" w:styleId="CommentSubject">
    <w:name w:val="annotation subject"/>
    <w:basedOn w:val="CommentText"/>
    <w:next w:val="CommentText"/>
    <w:link w:val="CommentSubjectChar"/>
    <w:semiHidden/>
    <w:unhideWhenUsed/>
    <w:rsid w:val="00463F33"/>
    <w:rPr>
      <w:b/>
      <w:bCs/>
    </w:rPr>
  </w:style>
  <w:style w:type="character" w:customStyle="1" w:styleId="CommentSubjectChar">
    <w:name w:val="Comment Subject Char"/>
    <w:basedOn w:val="CommentTextChar"/>
    <w:link w:val="CommentSubject"/>
    <w:uiPriority w:val="99"/>
    <w:semiHidden/>
    <w:rsid w:val="00463F33"/>
    <w:rPr>
      <w:rFonts w:ascii="Arial" w:eastAsiaTheme="minorEastAsia" w:hAnsi="Arial" w:cs="Arial"/>
      <w:b/>
      <w:bCs/>
      <w:sz w:val="20"/>
      <w:szCs w:val="20"/>
      <w:lang w:eastAsia="ja-JP"/>
    </w:rPr>
  </w:style>
  <w:style w:type="paragraph" w:customStyle="1" w:styleId="sopara">
    <w:name w:val="sopara"/>
    <w:basedOn w:val="Normal"/>
    <w:rsid w:val="00E26548"/>
    <w:pP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01squarebullet">
    <w:name w:val="01 square bullet"/>
    <w:basedOn w:val="Normal"/>
    <w:uiPriority w:val="4"/>
    <w:qFormat/>
    <w:rsid w:val="00034EE3"/>
    <w:pPr>
      <w:numPr>
        <w:numId w:val="3"/>
      </w:numPr>
      <w:spacing w:after="60" w:line="264" w:lineRule="auto"/>
      <w:ind w:right="142"/>
    </w:pPr>
    <w:rPr>
      <w:rFonts w:eastAsia="Times New Roman"/>
      <w:sz w:val="20"/>
      <w:lang w:eastAsia="en-AU"/>
    </w:rPr>
  </w:style>
  <w:style w:type="paragraph" w:styleId="Header">
    <w:name w:val="header"/>
    <w:basedOn w:val="Normal"/>
    <w:link w:val="HeaderChar"/>
    <w:uiPriority w:val="99"/>
    <w:unhideWhenUsed/>
    <w:rsid w:val="00211048"/>
    <w:pPr>
      <w:tabs>
        <w:tab w:val="center" w:pos="4513"/>
        <w:tab w:val="right" w:pos="9026"/>
      </w:tabs>
      <w:spacing w:before="0" w:after="0"/>
    </w:pPr>
  </w:style>
  <w:style w:type="character" w:customStyle="1" w:styleId="HeaderChar">
    <w:name w:val="Header Char"/>
    <w:basedOn w:val="DefaultParagraphFont"/>
    <w:link w:val="Header"/>
    <w:uiPriority w:val="99"/>
    <w:rsid w:val="00211048"/>
    <w:rPr>
      <w:rFonts w:ascii="Arial" w:eastAsiaTheme="minorEastAsia" w:hAnsi="Arial" w:cs="Arial"/>
      <w:lang w:eastAsia="ja-JP"/>
    </w:rPr>
  </w:style>
  <w:style w:type="paragraph" w:styleId="Footer">
    <w:name w:val="footer"/>
    <w:basedOn w:val="Normal"/>
    <w:link w:val="FooterChar"/>
    <w:uiPriority w:val="99"/>
    <w:unhideWhenUsed/>
    <w:rsid w:val="00211048"/>
    <w:pPr>
      <w:tabs>
        <w:tab w:val="center" w:pos="4513"/>
        <w:tab w:val="right" w:pos="9026"/>
      </w:tabs>
      <w:spacing w:before="0" w:after="0"/>
    </w:pPr>
  </w:style>
  <w:style w:type="character" w:customStyle="1" w:styleId="FooterChar">
    <w:name w:val="Footer Char"/>
    <w:basedOn w:val="DefaultParagraphFont"/>
    <w:link w:val="Footer"/>
    <w:uiPriority w:val="99"/>
    <w:rsid w:val="00211048"/>
    <w:rPr>
      <w:rFonts w:ascii="Arial" w:eastAsiaTheme="minorEastAsia" w:hAnsi="Arial" w:cs="Arial"/>
      <w:lang w:eastAsia="ja-JP"/>
    </w:rPr>
  </w:style>
  <w:style w:type="paragraph" w:customStyle="1" w:styleId="FSRnormal">
    <w:name w:val="FSR_normal"/>
    <w:basedOn w:val="Normal"/>
    <w:link w:val="FSRnormalChar"/>
    <w:qFormat/>
    <w:rsid w:val="00262F3A"/>
    <w:pPr>
      <w:spacing w:line="288" w:lineRule="auto"/>
      <w:ind w:left="0"/>
    </w:pPr>
    <w:rPr>
      <w:rFonts w:cstheme="minorBidi"/>
      <w:szCs w:val="24"/>
      <w:lang w:val="en-US"/>
    </w:rPr>
  </w:style>
  <w:style w:type="character" w:customStyle="1" w:styleId="FSRnormalChar">
    <w:name w:val="FSR_normal Char"/>
    <w:basedOn w:val="DefaultParagraphFont"/>
    <w:link w:val="FSRnormal"/>
    <w:rsid w:val="00262F3A"/>
    <w:rPr>
      <w:rFonts w:ascii="Arial" w:eastAsiaTheme="minorEastAsia" w:hAnsi="Arial"/>
      <w:szCs w:val="24"/>
      <w:lang w:val="en-US" w:eastAsia="ja-JP"/>
    </w:rPr>
  </w:style>
  <w:style w:type="paragraph" w:styleId="EndnoteText">
    <w:name w:val="endnote text"/>
    <w:basedOn w:val="Normal"/>
    <w:link w:val="EndnoteTextChar"/>
    <w:uiPriority w:val="99"/>
    <w:semiHidden/>
    <w:unhideWhenUsed/>
    <w:rsid w:val="00F21FDC"/>
    <w:pPr>
      <w:spacing w:before="0" w:after="0"/>
    </w:pPr>
    <w:rPr>
      <w:sz w:val="20"/>
      <w:szCs w:val="20"/>
    </w:rPr>
  </w:style>
  <w:style w:type="character" w:customStyle="1" w:styleId="EndnoteTextChar">
    <w:name w:val="Endnote Text Char"/>
    <w:basedOn w:val="DefaultParagraphFont"/>
    <w:link w:val="EndnoteText"/>
    <w:uiPriority w:val="99"/>
    <w:semiHidden/>
    <w:rsid w:val="00F21FDC"/>
    <w:rPr>
      <w:rFonts w:ascii="Arial" w:eastAsiaTheme="minorEastAsia" w:hAnsi="Arial" w:cs="Arial"/>
      <w:sz w:val="20"/>
      <w:szCs w:val="20"/>
      <w:lang w:eastAsia="ja-JP"/>
    </w:rPr>
  </w:style>
  <w:style w:type="character" w:styleId="EndnoteReference">
    <w:name w:val="endnote reference"/>
    <w:basedOn w:val="DefaultParagraphFont"/>
    <w:uiPriority w:val="99"/>
    <w:semiHidden/>
    <w:unhideWhenUsed/>
    <w:rsid w:val="00F21FDC"/>
    <w:rPr>
      <w:vertAlign w:val="superscript"/>
    </w:rPr>
  </w:style>
  <w:style w:type="paragraph" w:customStyle="1" w:styleId="StatementDateHeader">
    <w:name w:val="Statement Date Header"/>
    <w:basedOn w:val="Normal"/>
    <w:next w:val="Normal"/>
    <w:rsid w:val="00125069"/>
    <w:pPr>
      <w:pBdr>
        <w:bottom w:val="single" w:sz="4" w:space="1" w:color="auto"/>
      </w:pBdr>
      <w:spacing w:before="0" w:after="0" w:line="260" w:lineRule="atLeast"/>
      <w:ind w:left="0"/>
    </w:pPr>
    <w:rPr>
      <w:rFonts w:eastAsia="Times New Roman" w:cs="Times New Roman"/>
      <w:i/>
      <w:sz w:val="24"/>
      <w:szCs w:val="20"/>
      <w:lang w:eastAsia="en-US"/>
    </w:rPr>
  </w:style>
  <w:style w:type="paragraph" w:customStyle="1" w:styleId="StatementHeading">
    <w:name w:val="Statement Heading"/>
    <w:basedOn w:val="Normal"/>
    <w:rsid w:val="00125069"/>
    <w:pPr>
      <w:spacing w:before="0" w:after="0" w:line="260" w:lineRule="atLeast"/>
      <w:ind w:left="0"/>
    </w:pPr>
    <w:rPr>
      <w:rFonts w:eastAsia="Times New Roman" w:cs="Times New Roman"/>
      <w:b/>
      <w:sz w:val="24"/>
      <w:szCs w:val="20"/>
      <w:lang w:eastAsia="en-US"/>
    </w:rPr>
  </w:style>
  <w:style w:type="paragraph" w:customStyle="1" w:styleId="StatementName">
    <w:name w:val="Statement Name"/>
    <w:basedOn w:val="Normal"/>
    <w:next w:val="Normal"/>
    <w:link w:val="StatementNameChar"/>
    <w:autoRedefine/>
    <w:rsid w:val="00361BA1"/>
    <w:pPr>
      <w:pBdr>
        <w:bottom w:val="single" w:sz="4" w:space="1" w:color="auto"/>
      </w:pBdr>
      <w:spacing w:before="0" w:after="0" w:line="260" w:lineRule="atLeast"/>
      <w:ind w:left="0"/>
    </w:pPr>
    <w:rPr>
      <w:rFonts w:eastAsia="Times New Roman"/>
      <w:b/>
      <w:sz w:val="24"/>
      <w:szCs w:val="24"/>
      <w:lang w:eastAsia="en-US"/>
    </w:rPr>
  </w:style>
  <w:style w:type="character" w:customStyle="1" w:styleId="StatementNameChar">
    <w:name w:val="Statement Name Char"/>
    <w:basedOn w:val="DefaultParagraphFont"/>
    <w:link w:val="StatementName"/>
    <w:rsid w:val="00361BA1"/>
    <w:rPr>
      <w:rFonts w:ascii="Arial" w:eastAsia="Times New Roman" w:hAnsi="Arial" w:cs="Arial"/>
      <w:b/>
      <w:sz w:val="24"/>
      <w:szCs w:val="24"/>
    </w:rPr>
  </w:style>
  <w:style w:type="paragraph" w:customStyle="1" w:styleId="StatementTextLevel3">
    <w:name w:val="Statement Text Level 3"/>
    <w:basedOn w:val="Normal"/>
    <w:next w:val="Normal"/>
    <w:rsid w:val="00361BA1"/>
    <w:pPr>
      <w:spacing w:before="0" w:after="0" w:line="260" w:lineRule="atLeast"/>
      <w:ind w:left="0"/>
    </w:pPr>
    <w:rPr>
      <w:rFonts w:eastAsia="Times New Roman" w:cs="Times New Roman"/>
      <w:sz w:val="18"/>
      <w:szCs w:val="20"/>
      <w:lang w:eastAsia="en-US"/>
    </w:rPr>
  </w:style>
  <w:style w:type="paragraph" w:customStyle="1" w:styleId="ContinuedNotesHeading-Level1">
    <w:name w:val="Continued Notes Heading - Level 1"/>
    <w:basedOn w:val="NotesHeading-Level1"/>
    <w:qFormat/>
    <w:rsid w:val="00361BA1"/>
    <w:pPr>
      <w:numPr>
        <w:numId w:val="0"/>
      </w:numPr>
      <w:spacing w:line="240" w:lineRule="auto"/>
      <w:outlineLvl w:val="9"/>
    </w:pPr>
  </w:style>
  <w:style w:type="paragraph" w:customStyle="1" w:styleId="TableHeaderLevel1">
    <w:name w:val="Table Header Level 1"/>
    <w:basedOn w:val="Normal"/>
    <w:semiHidden/>
    <w:rsid w:val="00361BA1"/>
    <w:pPr>
      <w:spacing w:before="0" w:after="0" w:line="260" w:lineRule="atLeast"/>
      <w:ind w:left="0"/>
      <w:jc w:val="center"/>
    </w:pPr>
    <w:rPr>
      <w:rFonts w:eastAsia="Times New Roman" w:cs="Times New Roman"/>
      <w:b/>
      <w:sz w:val="18"/>
      <w:szCs w:val="18"/>
      <w:lang w:eastAsia="en-US"/>
    </w:rPr>
  </w:style>
  <w:style w:type="table" w:customStyle="1" w:styleId="TableGrid2">
    <w:name w:val="Table Grid2"/>
    <w:basedOn w:val="TableNormal"/>
    <w:next w:val="TableGrid"/>
    <w:uiPriority w:val="59"/>
    <w:rsid w:val="00361BA1"/>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361BA1"/>
    <w:pPr>
      <w:spacing w:before="0" w:after="0" w:line="260" w:lineRule="atLeast"/>
      <w:ind w:left="0"/>
    </w:pPr>
    <w:rPr>
      <w:rFonts w:eastAsia="Times New Roman" w:cs="Times New Roman"/>
      <w:b/>
      <w:bCs/>
      <w:i/>
      <w:iCs/>
      <w:sz w:val="18"/>
      <w:szCs w:val="18"/>
      <w:lang w:eastAsia="en-US"/>
    </w:rPr>
  </w:style>
  <w:style w:type="paragraph" w:customStyle="1" w:styleId="Graphic">
    <w:name w:val="Graphic"/>
    <w:basedOn w:val="Signature"/>
    <w:rsid w:val="00361BA1"/>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361BA1"/>
    <w:pPr>
      <w:spacing w:before="0" w:after="0"/>
      <w:ind w:left="0"/>
    </w:pPr>
    <w:rPr>
      <w:rFonts w:ascii="Times New Roman" w:eastAsia="Times New Roman" w:hAnsi="Times New Roman" w:cs="Times New Roman"/>
      <w:szCs w:val="20"/>
      <w:lang w:eastAsia="en-US"/>
    </w:rPr>
  </w:style>
  <w:style w:type="character" w:customStyle="1" w:styleId="SignatureChar">
    <w:name w:val="Signature Char"/>
    <w:basedOn w:val="DefaultParagraphFont"/>
    <w:link w:val="Signature"/>
    <w:rsid w:val="00361BA1"/>
    <w:rPr>
      <w:rFonts w:ascii="Times New Roman" w:eastAsia="Times New Roman" w:hAnsi="Times New Roman" w:cs="Times New Roman"/>
      <w:szCs w:val="20"/>
    </w:rPr>
  </w:style>
  <w:style w:type="paragraph" w:styleId="MacroText">
    <w:name w:val="macro"/>
    <w:link w:val="MacroTextChar"/>
    <w:semiHidden/>
    <w:rsid w:val="00361BA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361BA1"/>
    <w:rPr>
      <w:rFonts w:ascii="Courier New" w:eastAsia="Times New Roman" w:hAnsi="Courier New" w:cs="Courier New"/>
      <w:sz w:val="18"/>
      <w:szCs w:val="20"/>
      <w:lang w:val="en-GB"/>
    </w:rPr>
  </w:style>
  <w:style w:type="paragraph" w:customStyle="1" w:styleId="NotesTotal">
    <w:name w:val="Notes Total"/>
    <w:basedOn w:val="Normal"/>
    <w:autoRedefine/>
    <w:rsid w:val="00361BA1"/>
    <w:pPr>
      <w:spacing w:before="0" w:after="0" w:line="260" w:lineRule="atLeast"/>
      <w:ind w:left="139" w:right="57"/>
    </w:pPr>
    <w:rPr>
      <w:rFonts w:ascii="Times New Roman" w:eastAsia="Times New Roman" w:hAnsi="Times New Roman" w:cs="Times New Roman"/>
      <w:b/>
      <w:iCs/>
      <w:sz w:val="20"/>
      <w:szCs w:val="20"/>
      <w:lang w:eastAsia="en-US"/>
    </w:rPr>
  </w:style>
  <w:style w:type="paragraph" w:customStyle="1" w:styleId="TitlePage">
    <w:name w:val="Title Page"/>
    <w:basedOn w:val="Normal"/>
    <w:autoRedefine/>
    <w:rsid w:val="00361BA1"/>
    <w:pPr>
      <w:spacing w:before="1200" w:after="1200" w:line="260" w:lineRule="atLeast"/>
      <w:ind w:left="57" w:right="57"/>
      <w:jc w:val="right"/>
    </w:pPr>
    <w:rPr>
      <w:rFonts w:ascii="Times New Roman" w:eastAsia="Times New Roman" w:hAnsi="Times New Roman" w:cs="Times New Roman"/>
      <w:b/>
      <w:bCs/>
      <w:sz w:val="48"/>
      <w:szCs w:val="20"/>
      <w:lang w:eastAsia="en-US"/>
    </w:rPr>
  </w:style>
  <w:style w:type="paragraph" w:styleId="TOC4">
    <w:name w:val="toc 4"/>
    <w:basedOn w:val="Normal"/>
    <w:next w:val="Normal"/>
    <w:autoRedefine/>
    <w:uiPriority w:val="39"/>
    <w:rsid w:val="00361BA1"/>
    <w:pPr>
      <w:spacing w:before="0" w:after="0" w:line="260" w:lineRule="atLeast"/>
      <w:ind w:left="660"/>
    </w:pPr>
    <w:rPr>
      <w:rFonts w:ascii="Times New Roman" w:eastAsia="Times New Roman" w:hAnsi="Times New Roman" w:cs="Times New Roman"/>
      <w:sz w:val="20"/>
      <w:szCs w:val="20"/>
      <w:lang w:eastAsia="en-US"/>
    </w:rPr>
  </w:style>
  <w:style w:type="paragraph" w:styleId="TOC5">
    <w:name w:val="toc 5"/>
    <w:basedOn w:val="Normal"/>
    <w:next w:val="Normal"/>
    <w:autoRedefine/>
    <w:uiPriority w:val="39"/>
    <w:rsid w:val="00361BA1"/>
    <w:pPr>
      <w:spacing w:before="0" w:after="0" w:line="260" w:lineRule="atLeast"/>
      <w:ind w:left="880"/>
    </w:pPr>
    <w:rPr>
      <w:rFonts w:ascii="Times New Roman" w:eastAsia="Times New Roman" w:hAnsi="Times New Roman" w:cs="Times New Roman"/>
      <w:sz w:val="20"/>
      <w:szCs w:val="20"/>
      <w:lang w:eastAsia="en-US"/>
    </w:rPr>
  </w:style>
  <w:style w:type="paragraph" w:styleId="TOC6">
    <w:name w:val="toc 6"/>
    <w:basedOn w:val="Normal"/>
    <w:next w:val="Normal"/>
    <w:autoRedefine/>
    <w:uiPriority w:val="39"/>
    <w:rsid w:val="00361BA1"/>
    <w:pPr>
      <w:spacing w:before="0" w:after="0" w:line="260" w:lineRule="atLeast"/>
      <w:ind w:left="1100"/>
    </w:pPr>
    <w:rPr>
      <w:rFonts w:ascii="Times New Roman" w:eastAsia="Times New Roman" w:hAnsi="Times New Roman" w:cs="Times New Roman"/>
      <w:sz w:val="20"/>
      <w:szCs w:val="20"/>
      <w:lang w:eastAsia="en-US"/>
    </w:rPr>
  </w:style>
  <w:style w:type="paragraph" w:styleId="TOC7">
    <w:name w:val="toc 7"/>
    <w:basedOn w:val="Normal"/>
    <w:next w:val="Normal"/>
    <w:autoRedefine/>
    <w:uiPriority w:val="39"/>
    <w:rsid w:val="00361BA1"/>
    <w:pPr>
      <w:spacing w:before="0" w:after="0" w:line="260" w:lineRule="atLeast"/>
      <w:ind w:left="1320"/>
    </w:pPr>
    <w:rPr>
      <w:rFonts w:ascii="Times New Roman" w:eastAsia="Times New Roman" w:hAnsi="Times New Roman" w:cs="Times New Roman"/>
      <w:sz w:val="20"/>
      <w:szCs w:val="20"/>
      <w:lang w:eastAsia="en-US"/>
    </w:rPr>
  </w:style>
  <w:style w:type="paragraph" w:styleId="TOC8">
    <w:name w:val="toc 8"/>
    <w:basedOn w:val="Normal"/>
    <w:next w:val="Normal"/>
    <w:autoRedefine/>
    <w:uiPriority w:val="39"/>
    <w:rsid w:val="00361BA1"/>
    <w:pPr>
      <w:spacing w:before="0" w:after="0" w:line="260" w:lineRule="atLeast"/>
      <w:ind w:left="1540"/>
    </w:pPr>
    <w:rPr>
      <w:rFonts w:ascii="Times New Roman" w:eastAsia="Times New Roman" w:hAnsi="Times New Roman" w:cs="Times New Roman"/>
      <w:sz w:val="20"/>
      <w:szCs w:val="20"/>
      <w:lang w:eastAsia="en-US"/>
    </w:rPr>
  </w:style>
  <w:style w:type="paragraph" w:styleId="TOC9">
    <w:name w:val="toc 9"/>
    <w:basedOn w:val="Normal"/>
    <w:next w:val="Normal"/>
    <w:autoRedefine/>
    <w:uiPriority w:val="39"/>
    <w:rsid w:val="00361BA1"/>
    <w:pPr>
      <w:spacing w:before="0" w:after="0" w:line="260" w:lineRule="atLeast"/>
      <w:ind w:left="1760"/>
    </w:pPr>
    <w:rPr>
      <w:rFonts w:ascii="Times New Roman" w:eastAsia="Times New Roman" w:hAnsi="Times New Roman" w:cs="Times New Roman"/>
      <w:sz w:val="20"/>
      <w:szCs w:val="20"/>
      <w:lang w:eastAsia="en-US"/>
    </w:rPr>
  </w:style>
  <w:style w:type="paragraph" w:customStyle="1" w:styleId="zcontents">
    <w:name w:val="zcontents"/>
    <w:basedOn w:val="Normal"/>
    <w:semiHidden/>
    <w:rsid w:val="00361BA1"/>
    <w:pPr>
      <w:spacing w:before="0" w:after="260"/>
      <w:ind w:left="0"/>
    </w:pPr>
    <w:rPr>
      <w:rFonts w:ascii="Times New Roman" w:eastAsia="Times New Roman" w:hAnsi="Times New Roman" w:cs="Times New Roman"/>
      <w:b/>
      <w:sz w:val="32"/>
      <w:szCs w:val="20"/>
      <w:lang w:eastAsia="en-US"/>
    </w:rPr>
  </w:style>
  <w:style w:type="paragraph" w:customStyle="1" w:styleId="Normal10pt">
    <w:name w:val="Normal + 10 pt"/>
    <w:aliases w:val="Line spacing:  single"/>
    <w:basedOn w:val="Normal"/>
    <w:rsid w:val="00361BA1"/>
    <w:pPr>
      <w:spacing w:before="130" w:after="130" w:line="260" w:lineRule="atLeast"/>
      <w:ind w:left="0"/>
    </w:pPr>
    <w:rPr>
      <w:rFonts w:ascii="Times New Roman" w:eastAsia="Times New Roman" w:hAnsi="Times New Roman" w:cs="Times New Roman"/>
      <w:b/>
      <w:sz w:val="20"/>
      <w:szCs w:val="20"/>
      <w:lang w:eastAsia="en-US"/>
    </w:rPr>
  </w:style>
  <w:style w:type="paragraph" w:styleId="z-BottomofForm">
    <w:name w:val="HTML Bottom of Form"/>
    <w:basedOn w:val="Normal"/>
    <w:next w:val="Normal"/>
    <w:link w:val="z-BottomofFormChar"/>
    <w:hidden/>
    <w:rsid w:val="00361BA1"/>
    <w:pPr>
      <w:pBdr>
        <w:top w:val="single" w:sz="6" w:space="1" w:color="auto"/>
      </w:pBdr>
      <w:spacing w:before="0" w:after="0" w:line="260" w:lineRule="atLeast"/>
      <w:ind w:left="0"/>
      <w:jc w:val="center"/>
    </w:pPr>
    <w:rPr>
      <w:rFonts w:eastAsia="Times New Roman"/>
      <w:vanish/>
      <w:sz w:val="16"/>
      <w:szCs w:val="16"/>
      <w:lang w:eastAsia="en-US"/>
    </w:rPr>
  </w:style>
  <w:style w:type="character" w:customStyle="1" w:styleId="z-BottomofFormChar">
    <w:name w:val="z-Bottom of Form Char"/>
    <w:basedOn w:val="DefaultParagraphFont"/>
    <w:link w:val="z-BottomofForm"/>
    <w:rsid w:val="00361BA1"/>
    <w:rPr>
      <w:rFonts w:ascii="Arial" w:eastAsia="Times New Roman" w:hAnsi="Arial" w:cs="Arial"/>
      <w:vanish/>
      <w:sz w:val="16"/>
      <w:szCs w:val="16"/>
    </w:rPr>
  </w:style>
  <w:style w:type="paragraph" w:styleId="z-TopofForm">
    <w:name w:val="HTML Top of Form"/>
    <w:basedOn w:val="Normal"/>
    <w:next w:val="Normal"/>
    <w:link w:val="z-TopofFormChar"/>
    <w:hidden/>
    <w:rsid w:val="00361BA1"/>
    <w:pPr>
      <w:pBdr>
        <w:bottom w:val="single" w:sz="6" w:space="1" w:color="auto"/>
      </w:pBdr>
      <w:spacing w:before="0" w:after="0" w:line="260" w:lineRule="atLeast"/>
      <w:ind w:left="0"/>
      <w:jc w:val="center"/>
    </w:pPr>
    <w:rPr>
      <w:rFonts w:eastAsia="Times New Roman"/>
      <w:vanish/>
      <w:sz w:val="16"/>
      <w:szCs w:val="16"/>
      <w:lang w:eastAsia="en-US"/>
    </w:rPr>
  </w:style>
  <w:style w:type="character" w:customStyle="1" w:styleId="z-TopofFormChar">
    <w:name w:val="z-Top of Form Char"/>
    <w:basedOn w:val="DefaultParagraphFont"/>
    <w:link w:val="z-TopofForm"/>
    <w:rsid w:val="00361BA1"/>
    <w:rPr>
      <w:rFonts w:ascii="Arial" w:eastAsia="Times New Roman" w:hAnsi="Arial" w:cs="Arial"/>
      <w:vanish/>
      <w:sz w:val="16"/>
      <w:szCs w:val="16"/>
    </w:rPr>
  </w:style>
  <w:style w:type="paragraph" w:styleId="DocumentMap">
    <w:name w:val="Document Map"/>
    <w:basedOn w:val="Normal"/>
    <w:link w:val="DocumentMapChar"/>
    <w:semiHidden/>
    <w:rsid w:val="00361BA1"/>
    <w:pPr>
      <w:shd w:val="clear" w:color="auto" w:fill="000080"/>
      <w:spacing w:before="0" w:after="0"/>
      <w:ind w:left="0"/>
    </w:pPr>
    <w:rPr>
      <w:rFonts w:ascii="Tahoma" w:eastAsia="Times New Roman" w:hAnsi="Tahoma" w:cs="Times New Roman"/>
      <w:sz w:val="20"/>
      <w:szCs w:val="20"/>
      <w:lang w:eastAsia="en-AU"/>
    </w:rPr>
  </w:style>
  <w:style w:type="character" w:customStyle="1" w:styleId="DocumentMapChar">
    <w:name w:val="Document Map Char"/>
    <w:basedOn w:val="DefaultParagraphFont"/>
    <w:link w:val="DocumentMap"/>
    <w:semiHidden/>
    <w:rsid w:val="00361BA1"/>
    <w:rPr>
      <w:rFonts w:ascii="Tahoma" w:eastAsia="Times New Roman" w:hAnsi="Tahoma" w:cs="Times New Roman"/>
      <w:sz w:val="20"/>
      <w:szCs w:val="20"/>
      <w:shd w:val="clear" w:color="auto" w:fill="000080"/>
      <w:lang w:eastAsia="en-AU"/>
    </w:rPr>
  </w:style>
  <w:style w:type="paragraph" w:customStyle="1" w:styleId="Normal8pt">
    <w:name w:val="Normal + 8 pt"/>
    <w:basedOn w:val="Normal"/>
    <w:rsid w:val="00361BA1"/>
    <w:pPr>
      <w:widowControl w:val="0"/>
      <w:autoSpaceDE w:val="0"/>
      <w:autoSpaceDN w:val="0"/>
      <w:spacing w:before="0" w:after="0"/>
      <w:ind w:left="0"/>
    </w:pPr>
    <w:rPr>
      <w:rFonts w:ascii="Times New Roman" w:eastAsia="Times New Roman" w:hAnsi="Times New Roman" w:cs="Times New Roman"/>
      <w:bCs/>
      <w:iCs/>
      <w:spacing w:val="-6"/>
      <w:sz w:val="16"/>
      <w:szCs w:val="16"/>
      <w:lang w:val="en-US" w:eastAsia="en-US"/>
    </w:rPr>
  </w:style>
  <w:style w:type="paragraph" w:customStyle="1" w:styleId="NormalCalistoMT">
    <w:name w:val="Normal + Calisto MT"/>
    <w:aliases w:val="8 pt,Right"/>
    <w:basedOn w:val="Normal"/>
    <w:rsid w:val="00361BA1"/>
    <w:pPr>
      <w:framePr w:hSpace="180" w:wrap="around" w:vAnchor="text" w:hAnchor="margin" w:y="1"/>
      <w:spacing w:before="0" w:after="0" w:line="260" w:lineRule="atLeast"/>
      <w:ind w:left="0" w:right="212"/>
      <w:suppressOverlap/>
      <w:jc w:val="right"/>
    </w:pPr>
    <w:rPr>
      <w:rFonts w:ascii="Calisto MT" w:eastAsia="Times New Roman" w:hAnsi="Calisto MT" w:cs="Times New Roman"/>
      <w:sz w:val="16"/>
      <w:szCs w:val="20"/>
      <w:lang w:eastAsia="en-US"/>
    </w:rPr>
  </w:style>
  <w:style w:type="paragraph" w:customStyle="1" w:styleId="ReferenceText">
    <w:name w:val="Reference Text"/>
    <w:basedOn w:val="Normal"/>
    <w:link w:val="ReferenceTextChar"/>
    <w:autoRedefine/>
    <w:qFormat/>
    <w:rsid w:val="00361BA1"/>
    <w:pPr>
      <w:spacing w:before="0" w:after="80"/>
      <w:ind w:left="0"/>
    </w:pPr>
    <w:rPr>
      <w:rFonts w:eastAsia="Times New Roman" w:cs="Times New Roman"/>
      <w:sz w:val="18"/>
      <w:szCs w:val="20"/>
      <w:lang w:eastAsia="en-AU"/>
    </w:rPr>
  </w:style>
  <w:style w:type="paragraph" w:customStyle="1" w:styleId="NotesHeading-Level1">
    <w:name w:val="Notes Heading - Level 1"/>
    <w:basedOn w:val="Normal"/>
    <w:qFormat/>
    <w:rsid w:val="00361BA1"/>
    <w:pPr>
      <w:numPr>
        <w:numId w:val="4"/>
      </w:numPr>
      <w:tabs>
        <w:tab w:val="num" w:pos="851"/>
      </w:tabs>
      <w:spacing w:before="0" w:after="0" w:line="260" w:lineRule="atLeast"/>
      <w:ind w:right="607"/>
      <w:outlineLvl w:val="0"/>
    </w:pPr>
    <w:rPr>
      <w:rFonts w:eastAsia="Times New Roman" w:cs="Times New Roman"/>
      <w:b/>
      <w:sz w:val="20"/>
      <w:szCs w:val="20"/>
      <w:lang w:eastAsia="en-US"/>
    </w:rPr>
  </w:style>
  <w:style w:type="paragraph" w:customStyle="1" w:styleId="NotesHeading-Level2">
    <w:name w:val="Notes Heading - Level 2"/>
    <w:basedOn w:val="NotesHeading-Level1"/>
    <w:rsid w:val="00361BA1"/>
    <w:pPr>
      <w:framePr w:hSpace="180" w:wrap="around" w:vAnchor="text" w:hAnchor="margin" w:y="1"/>
      <w:numPr>
        <w:ilvl w:val="1"/>
      </w:numPr>
      <w:suppressOverlap/>
    </w:pPr>
    <w:rPr>
      <w:sz w:val="18"/>
    </w:rPr>
  </w:style>
  <w:style w:type="numbering" w:customStyle="1" w:styleId="CurrentList1">
    <w:name w:val="Current List1"/>
    <w:rsid w:val="00361BA1"/>
    <w:pPr>
      <w:numPr>
        <w:numId w:val="5"/>
      </w:numPr>
    </w:pPr>
  </w:style>
  <w:style w:type="numbering" w:customStyle="1" w:styleId="Style2">
    <w:name w:val="Style2"/>
    <w:rsid w:val="00361BA1"/>
    <w:pPr>
      <w:numPr>
        <w:numId w:val="6"/>
      </w:numPr>
    </w:pPr>
  </w:style>
  <w:style w:type="numbering" w:customStyle="1" w:styleId="CurrentList2">
    <w:name w:val="Current List2"/>
    <w:rsid w:val="00361BA1"/>
    <w:pPr>
      <w:numPr>
        <w:numId w:val="7"/>
      </w:numPr>
    </w:pPr>
  </w:style>
  <w:style w:type="character" w:customStyle="1" w:styleId="ReferenceTextChar">
    <w:name w:val="Reference Text Char"/>
    <w:basedOn w:val="DefaultParagraphFont"/>
    <w:link w:val="ReferenceText"/>
    <w:rsid w:val="00361BA1"/>
    <w:rPr>
      <w:rFonts w:ascii="Arial" w:eastAsia="Times New Roman" w:hAnsi="Arial" w:cs="Times New Roman"/>
      <w:sz w:val="18"/>
      <w:szCs w:val="20"/>
      <w:lang w:eastAsia="en-AU"/>
    </w:rPr>
  </w:style>
  <w:style w:type="table" w:customStyle="1" w:styleId="TableGrid11">
    <w:name w:val="Table Grid11"/>
    <w:basedOn w:val="TableNormal"/>
    <w:next w:val="TableGrid"/>
    <w:rsid w:val="00361BA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361BA1"/>
    <w:pPr>
      <w:spacing w:before="0" w:after="0" w:line="260" w:lineRule="atLeast"/>
      <w:ind w:left="0"/>
    </w:pPr>
    <w:rPr>
      <w:rFonts w:ascii="Times New Roman" w:eastAsia="Times New Roman" w:hAnsi="Times New Roman" w:cs="Times New Roman"/>
      <w:szCs w:val="20"/>
      <w:lang w:eastAsia="en-US"/>
    </w:rPr>
  </w:style>
  <w:style w:type="paragraph" w:customStyle="1" w:styleId="GreyShadeTableBreak">
    <w:name w:val="Grey Shade Table Break"/>
    <w:basedOn w:val="Normal"/>
    <w:qFormat/>
    <w:rsid w:val="00361BA1"/>
    <w:pPr>
      <w:shd w:val="clear" w:color="auto" w:fill="D9D9D9"/>
      <w:tabs>
        <w:tab w:val="left" w:pos="9214"/>
      </w:tabs>
      <w:spacing w:before="0" w:after="0" w:line="260" w:lineRule="atLeast"/>
      <w:ind w:left="0" w:right="607"/>
    </w:pPr>
    <w:rPr>
      <w:rFonts w:ascii="Times New Roman" w:eastAsia="Times New Roman" w:hAnsi="Times New Roman" w:cs="Times New Roman"/>
      <w:szCs w:val="20"/>
      <w:lang w:eastAsia="en-US"/>
    </w:rPr>
  </w:style>
  <w:style w:type="paragraph" w:customStyle="1" w:styleId="GreyShadeTableBreaknon-Standard">
    <w:name w:val="Grey Shade Table Break non-Standard"/>
    <w:qFormat/>
    <w:rsid w:val="00361BA1"/>
    <w:pPr>
      <w:shd w:val="clear" w:color="auto" w:fill="D9D9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rsid w:val="00361BA1"/>
    <w:pPr>
      <w:ind w:left="567" w:right="567"/>
    </w:pPr>
    <w:rPr>
      <w:rFonts w:cs="Arial"/>
      <w:szCs w:val="18"/>
    </w:rPr>
  </w:style>
  <w:style w:type="paragraph" w:customStyle="1" w:styleId="StyleNotesHeaderLeftLeft-008cm">
    <w:name w:val="Style Notes Header + Left Left:  -0.08 cm"/>
    <w:basedOn w:val="Normal"/>
    <w:rsid w:val="00361BA1"/>
    <w:pPr>
      <w:numPr>
        <w:ilvl w:val="1"/>
        <w:numId w:val="8"/>
      </w:numPr>
      <w:spacing w:before="180" w:after="60"/>
    </w:pPr>
    <w:rPr>
      <w:rFonts w:eastAsia="Times New Roman" w:cs="Times New Roman"/>
      <w:b/>
      <w:bCs/>
      <w:sz w:val="18"/>
      <w:szCs w:val="20"/>
      <w:lang w:eastAsia="en-US"/>
    </w:rPr>
  </w:style>
  <w:style w:type="paragraph" w:customStyle="1" w:styleId="NotesText">
    <w:name w:val="Notes Text"/>
    <w:basedOn w:val="ReferenceText"/>
    <w:rsid w:val="00361BA1"/>
    <w:pPr>
      <w:spacing w:before="100" w:after="100"/>
    </w:pPr>
  </w:style>
  <w:style w:type="table" w:customStyle="1" w:styleId="LightShading1">
    <w:name w:val="Light Shading1"/>
    <w:basedOn w:val="TableNormal"/>
    <w:uiPriority w:val="60"/>
    <w:rsid w:val="00361BA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1"/>
    <w:uiPriority w:val="60"/>
    <w:rsid w:val="00361BA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361BA1"/>
    <w:pPr>
      <w:spacing w:after="0" w:line="240" w:lineRule="auto"/>
    </w:pPr>
    <w:rPr>
      <w:rFonts w:eastAsia="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361BA1"/>
    <w:rPr>
      <w:i/>
      <w:iCs/>
      <w:smallCaps/>
      <w:spacing w:val="5"/>
    </w:rPr>
  </w:style>
  <w:style w:type="paragraph" w:styleId="Revision">
    <w:name w:val="Revision"/>
    <w:hidden/>
    <w:uiPriority w:val="99"/>
    <w:semiHidden/>
    <w:rsid w:val="00361BA1"/>
    <w:pPr>
      <w:spacing w:after="0" w:line="240" w:lineRule="auto"/>
    </w:pPr>
    <w:rPr>
      <w:rFonts w:ascii="Times New Roman" w:eastAsia="Times New Roman" w:hAnsi="Times New Roman" w:cs="Times New Roman"/>
      <w:szCs w:val="20"/>
    </w:rPr>
  </w:style>
  <w:style w:type="paragraph" w:customStyle="1" w:styleId="PolicytextDept">
    <w:name w:val="Policy text Dept"/>
    <w:basedOn w:val="Normal"/>
    <w:link w:val="PolicytextDeptChar"/>
    <w:qFormat/>
    <w:rsid w:val="00361BA1"/>
    <w:pPr>
      <w:pBdr>
        <w:top w:val="single" w:sz="4" w:space="1" w:color="800080"/>
        <w:left w:val="single" w:sz="4" w:space="0" w:color="800080"/>
        <w:bottom w:val="single" w:sz="4" w:space="1" w:color="800080"/>
        <w:right w:val="single" w:sz="4" w:space="0" w:color="800080"/>
      </w:pBdr>
      <w:spacing w:before="0" w:line="120" w:lineRule="atLeast"/>
      <w:ind w:left="0"/>
    </w:pPr>
    <w:rPr>
      <w:rFonts w:eastAsia="Times New Roman"/>
      <w:bCs/>
      <w:sz w:val="18"/>
      <w:szCs w:val="18"/>
      <w:lang w:eastAsia="en-US"/>
    </w:rPr>
  </w:style>
  <w:style w:type="character" w:customStyle="1" w:styleId="PolicytextDeptChar">
    <w:name w:val="Policy text Dept Char"/>
    <w:basedOn w:val="DefaultParagraphFont"/>
    <w:link w:val="PolicytextDept"/>
    <w:rsid w:val="00361BA1"/>
    <w:rPr>
      <w:rFonts w:ascii="Arial" w:eastAsia="Times New Roman" w:hAnsi="Arial" w:cs="Arial"/>
      <w:bCs/>
      <w:sz w:val="18"/>
      <w:szCs w:val="18"/>
    </w:rPr>
  </w:style>
  <w:style w:type="paragraph" w:customStyle="1" w:styleId="PolicyheadingDept">
    <w:name w:val="Policy heading Dept"/>
    <w:basedOn w:val="PolicytextDept"/>
    <w:qFormat/>
    <w:rsid w:val="00361BA1"/>
    <w:rPr>
      <w:b/>
    </w:rPr>
  </w:style>
  <w:style w:type="paragraph" w:customStyle="1" w:styleId="SectionHeading">
    <w:name w:val="Section Heading"/>
    <w:basedOn w:val="Normal"/>
    <w:link w:val="SectionHeadingChar"/>
    <w:qFormat/>
    <w:rsid w:val="00361BA1"/>
    <w:pPr>
      <w:numPr>
        <w:numId w:val="9"/>
      </w:numPr>
      <w:shd w:val="clear" w:color="00CC99" w:fill="800080"/>
      <w:spacing w:before="0" w:after="0" w:line="260" w:lineRule="atLeast"/>
      <w:outlineLvl w:val="0"/>
    </w:pPr>
    <w:rPr>
      <w:rFonts w:ascii="Arial Bold" w:eastAsia="Times New Roman" w:hAnsi="Arial Bold" w:cs="Times New Roman"/>
      <w:b/>
      <w:color w:val="FFFFFF"/>
      <w:sz w:val="24"/>
      <w:szCs w:val="20"/>
      <w:lang w:eastAsia="en-US"/>
    </w:rPr>
  </w:style>
  <w:style w:type="character" w:customStyle="1" w:styleId="SectionHeadingChar">
    <w:name w:val="Section Heading Char"/>
    <w:basedOn w:val="DefaultParagraphFont"/>
    <w:link w:val="SectionHeading"/>
    <w:rsid w:val="00361BA1"/>
    <w:rPr>
      <w:rFonts w:ascii="Arial Bold" w:eastAsia="Times New Roman" w:hAnsi="Arial Bold" w:cs="Times New Roman"/>
      <w:b/>
      <w:color w:val="FFFFFF"/>
      <w:sz w:val="24"/>
      <w:szCs w:val="20"/>
      <w:shd w:val="clear" w:color="00CC99" w:fill="800080"/>
    </w:rPr>
  </w:style>
  <w:style w:type="paragraph" w:customStyle="1" w:styleId="SubHeading">
    <w:name w:val="Sub Heading"/>
    <w:basedOn w:val="SectionHeading"/>
    <w:link w:val="SubHeadingChar"/>
    <w:qFormat/>
    <w:rsid w:val="00361BA1"/>
    <w:pPr>
      <w:numPr>
        <w:ilvl w:val="1"/>
        <w:numId w:val="10"/>
      </w:numPr>
      <w:shd w:val="clear" w:color="auto" w:fill="000000"/>
      <w:outlineLvl w:val="1"/>
    </w:pPr>
    <w:rPr>
      <w:rFonts w:ascii="Arial" w:hAnsi="Arial" w:cs="Arial"/>
      <w:sz w:val="20"/>
    </w:rPr>
  </w:style>
  <w:style w:type="paragraph" w:customStyle="1" w:styleId="SectionHeadingDescription">
    <w:name w:val="Section Heading Description"/>
    <w:basedOn w:val="SectionHeading"/>
    <w:next w:val="SubHeading"/>
    <w:qFormat/>
    <w:rsid w:val="00361BA1"/>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361BA1"/>
    <w:rPr>
      <w:rFonts w:ascii="Arial" w:eastAsia="Times New Roman" w:hAnsi="Arial" w:cs="Arial"/>
      <w:b/>
      <w:color w:val="FFFFFF"/>
      <w:sz w:val="20"/>
      <w:szCs w:val="20"/>
      <w:shd w:val="clear" w:color="auto" w:fill="000000"/>
    </w:rPr>
  </w:style>
  <w:style w:type="paragraph" w:customStyle="1" w:styleId="AccountingPolicy-Departmental">
    <w:name w:val="Accounting Policy - Departmental"/>
    <w:basedOn w:val="Normal"/>
    <w:qFormat/>
    <w:rsid w:val="00361BA1"/>
    <w:pPr>
      <w:pBdr>
        <w:top w:val="single" w:sz="4" w:space="1" w:color="800080"/>
        <w:left w:val="single" w:sz="4" w:space="4" w:color="800080"/>
        <w:bottom w:val="single" w:sz="4" w:space="1" w:color="800080"/>
        <w:right w:val="single" w:sz="4" w:space="4" w:color="800080"/>
      </w:pBdr>
      <w:spacing w:before="0" w:after="20" w:line="260" w:lineRule="atLeast"/>
      <w:ind w:left="85" w:right="142"/>
      <w:outlineLvl w:val="0"/>
    </w:pPr>
    <w:rPr>
      <w:rFonts w:eastAsia="Times New Roman" w:cs="Helvetica"/>
      <w:sz w:val="18"/>
      <w:szCs w:val="18"/>
      <w:lang w:eastAsia="en-US"/>
    </w:rPr>
  </w:style>
  <w:style w:type="character" w:customStyle="1" w:styleId="FollowedHyperlink1">
    <w:name w:val="FollowedHyperlink1"/>
    <w:basedOn w:val="DefaultParagraphFont"/>
    <w:uiPriority w:val="99"/>
    <w:semiHidden/>
    <w:unhideWhenUsed/>
    <w:rsid w:val="00361BA1"/>
    <w:rPr>
      <w:color w:val="800080"/>
      <w:u w:val="single"/>
    </w:rPr>
  </w:style>
  <w:style w:type="paragraph" w:customStyle="1" w:styleId="SectionHeading-NoNumber">
    <w:name w:val="Section Heading - No Number"/>
    <w:basedOn w:val="SectionHeading"/>
    <w:link w:val="SectionHeading-NoNumberChar"/>
    <w:qFormat/>
    <w:rsid w:val="00361BA1"/>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361BA1"/>
    <w:rPr>
      <w:rFonts w:ascii="Arial Bold" w:eastAsia="Times New Roman" w:hAnsi="Arial Bold" w:cs="Times New Roman"/>
      <w:b/>
      <w:color w:val="FFFFFF"/>
      <w:sz w:val="24"/>
      <w:szCs w:val="20"/>
      <w:shd w:val="clear" w:color="auto" w:fill="800080"/>
    </w:rPr>
  </w:style>
  <w:style w:type="paragraph" w:customStyle="1" w:styleId="Dash">
    <w:name w:val="Dash"/>
    <w:basedOn w:val="Normal"/>
    <w:rsid w:val="00361BA1"/>
    <w:pPr>
      <w:spacing w:before="0" w:after="240"/>
      <w:ind w:left="0"/>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361BA1"/>
    <w:rPr>
      <w:color w:val="954F72" w:themeColor="followedHyperlink"/>
      <w:u w:val="single"/>
    </w:rPr>
  </w:style>
  <w:style w:type="paragraph" w:customStyle="1" w:styleId="Heading5a">
    <w:name w:val="Heading 5a"/>
    <w:basedOn w:val="Normal"/>
    <w:qFormat/>
    <w:rsid w:val="00B96A93"/>
    <w:pPr>
      <w:keepNext/>
      <w:spacing w:before="240"/>
      <w:ind w:left="425"/>
      <w:outlineLvl w:val="4"/>
    </w:pPr>
    <w:rPr>
      <w:rFonts w:eastAsia="Georgia"/>
      <w:b/>
      <w:sz w:val="24"/>
      <w:szCs w:val="24"/>
      <w:lang w:eastAsia="en-US"/>
    </w:rPr>
  </w:style>
  <w:style w:type="paragraph" w:customStyle="1" w:styleId="Heading3a">
    <w:name w:val="Heading 3a"/>
    <w:basedOn w:val="Normal"/>
    <w:qFormat/>
    <w:rsid w:val="00DA102A"/>
    <w:pPr>
      <w:ind w:left="425"/>
      <w:outlineLvl w:val="2"/>
    </w:pPr>
    <w:rPr>
      <w:rFonts w:eastAsia="Georgia"/>
      <w:b/>
      <w:sz w:val="24"/>
      <w:szCs w:val="24"/>
      <w:lang w:eastAsia="en-US"/>
    </w:rPr>
  </w:style>
  <w:style w:type="paragraph" w:customStyle="1" w:styleId="Heading3b">
    <w:name w:val="Heading 3b"/>
    <w:basedOn w:val="Heading4"/>
    <w:qFormat/>
    <w:rsid w:val="002A68BA"/>
    <w:pPr>
      <w:outlineLvl w:val="2"/>
    </w:pPr>
    <w:rPr>
      <w:b w:val="0"/>
    </w:rPr>
  </w:style>
  <w:style w:type="character" w:customStyle="1" w:styleId="normaltextrun">
    <w:name w:val="normaltextrun"/>
    <w:basedOn w:val="DefaultParagraphFont"/>
    <w:rsid w:val="00532F13"/>
  </w:style>
  <w:style w:type="character" w:customStyle="1" w:styleId="eop">
    <w:name w:val="eop"/>
    <w:basedOn w:val="DefaultParagraphFont"/>
    <w:rsid w:val="005111AB"/>
  </w:style>
  <w:style w:type="character" w:styleId="UnresolvedMention">
    <w:name w:val="Unresolved Mention"/>
    <w:basedOn w:val="DefaultParagraphFont"/>
    <w:uiPriority w:val="99"/>
    <w:semiHidden/>
    <w:unhideWhenUsed/>
    <w:rsid w:val="005D69C1"/>
    <w:rPr>
      <w:color w:val="605E5C"/>
      <w:shd w:val="clear" w:color="auto" w:fill="E1DFDD"/>
    </w:rPr>
  </w:style>
  <w:style w:type="paragraph" w:customStyle="1" w:styleId="FGCHEADING2">
    <w:name w:val="FGC_HEADING_2"/>
    <w:basedOn w:val="Heading2"/>
    <w:qFormat/>
    <w:rsid w:val="005A2AE3"/>
    <w:pPr>
      <w:numPr>
        <w:ilvl w:val="1"/>
        <w:numId w:val="26"/>
      </w:numPr>
      <w:tabs>
        <w:tab w:val="clear" w:pos="10188"/>
      </w:tabs>
    </w:pPr>
    <w:rPr>
      <w:rFonts w:ascii="Arial Bold" w:hAnsi="Arial Bold"/>
    </w:rPr>
  </w:style>
  <w:style w:type="paragraph" w:customStyle="1" w:styleId="FGCHEADING1">
    <w:name w:val="FGC_HEADING_1"/>
    <w:basedOn w:val="Heading1"/>
    <w:qFormat/>
    <w:rsid w:val="005A2AE3"/>
    <w:pPr>
      <w:numPr>
        <w:numId w:val="26"/>
      </w:numPr>
      <w:tabs>
        <w:tab w:val="clear" w:pos="10188"/>
      </w:tabs>
    </w:pPr>
  </w:style>
  <w:style w:type="paragraph" w:customStyle="1" w:styleId="FGCCommentbold">
    <w:name w:val="FGC_Comment_bold"/>
    <w:basedOn w:val="Normal"/>
    <w:qFormat/>
    <w:rsid w:val="005A2AE3"/>
    <w:rPr>
      <w:b/>
      <w:bCs/>
      <w:color w:val="0070C0"/>
    </w:rPr>
  </w:style>
  <w:style w:type="paragraph" w:customStyle="1" w:styleId="FGCCommentitalic">
    <w:name w:val="FGC_Comment_italic"/>
    <w:basedOn w:val="Normal"/>
    <w:qFormat/>
    <w:rsid w:val="00D71EFE"/>
    <w:rPr>
      <w:i/>
      <w:iCs/>
      <w:color w:val="0070C0"/>
    </w:rPr>
  </w:style>
  <w:style w:type="paragraph" w:customStyle="1" w:styleId="FGCCommentinput">
    <w:name w:val="FGC_Comment_input"/>
    <w:basedOn w:val="Normal"/>
    <w:qFormat/>
    <w:rsid w:val="00174B98"/>
    <w:pPr>
      <w:ind w:left="0"/>
    </w:pPr>
    <w:rPr>
      <w:b/>
      <w:bCs/>
      <w:color w:val="FF0000"/>
    </w:rPr>
  </w:style>
  <w:style w:type="paragraph" w:customStyle="1" w:styleId="FGCHEADING3">
    <w:name w:val="FGC_HEADING_3"/>
    <w:basedOn w:val="Heading3"/>
    <w:qFormat/>
    <w:rsid w:val="00EC4578"/>
    <w:pPr>
      <w:numPr>
        <w:ilvl w:val="2"/>
        <w:numId w:val="26"/>
      </w:numPr>
      <w:tabs>
        <w:tab w:val="clear" w:pos="10188"/>
      </w:tabs>
    </w:pPr>
    <w:rPr>
      <w:rFonts w:ascii="Arial Bold" w:hAnsi="Arial Bold"/>
      <w:sz w:val="30"/>
    </w:rPr>
  </w:style>
  <w:style w:type="paragraph" w:customStyle="1" w:styleId="FGCCommentItalicbul">
    <w:name w:val="FGC_Comment_Italic_bul"/>
    <w:basedOn w:val="FGCCommentitalic"/>
    <w:qFormat/>
    <w:rsid w:val="00174B98"/>
    <w:pPr>
      <w:numPr>
        <w:numId w:val="2"/>
      </w:numPr>
    </w:pPr>
  </w:style>
  <w:style w:type="paragraph" w:customStyle="1" w:styleId="Pa14">
    <w:name w:val="Pa14"/>
    <w:basedOn w:val="Default"/>
    <w:next w:val="Default"/>
    <w:uiPriority w:val="99"/>
    <w:rsid w:val="002C1441"/>
    <w:pPr>
      <w:spacing w:line="221" w:lineRule="atLeast"/>
    </w:pPr>
    <w:rPr>
      <w:rFonts w:ascii="FS Me Pro" w:hAnsi="FS Me Pro" w:cs="Times New Roman"/>
      <w:color w:val="auto"/>
    </w:rPr>
  </w:style>
  <w:style w:type="paragraph" w:customStyle="1" w:styleId="FGCNORMAL">
    <w:name w:val="FGC_NORMAL"/>
    <w:basedOn w:val="Normal"/>
    <w:qFormat/>
    <w:rsid w:val="00A44B50"/>
  </w:style>
  <w:style w:type="paragraph" w:customStyle="1" w:styleId="FGCTabhead">
    <w:name w:val="FGC_Tab_head"/>
    <w:basedOn w:val="Tableformat"/>
    <w:qFormat/>
    <w:rsid w:val="00A80506"/>
    <w:rPr>
      <w:rFonts w:ascii="Arial Bold" w:hAnsi="Arial Bold"/>
      <w:color w:val="FFFFFF" w:themeColor="background1"/>
    </w:rPr>
  </w:style>
  <w:style w:type="table" w:customStyle="1" w:styleId="FGC">
    <w:name w:val="FGC"/>
    <w:basedOn w:val="TableNormal"/>
    <w:uiPriority w:val="99"/>
    <w:rsid w:val="008E43A3"/>
    <w:pPr>
      <w:spacing w:after="0" w:line="240" w:lineRule="auto"/>
    </w:pPr>
    <w:tblPr/>
  </w:style>
  <w:style w:type="paragraph" w:customStyle="1" w:styleId="FGCBULLET1">
    <w:name w:val="FGC_BULLET_1"/>
    <w:basedOn w:val="FGCNORMAL"/>
    <w:qFormat/>
    <w:rsid w:val="005B357E"/>
    <w:pPr>
      <w:numPr>
        <w:numId w:val="11"/>
      </w:numPr>
      <w:ind w:left="1134" w:hanging="357"/>
    </w:pPr>
  </w:style>
  <w:style w:type="paragraph" w:customStyle="1" w:styleId="FGCHEADING6">
    <w:name w:val="FGC_HEADING_6"/>
    <w:basedOn w:val="Heading6"/>
    <w:qFormat/>
    <w:rsid w:val="008A259C"/>
    <w:pPr>
      <w:ind w:left="652"/>
    </w:pPr>
  </w:style>
  <w:style w:type="paragraph" w:customStyle="1" w:styleId="FGCHEADING4">
    <w:name w:val="FGC_HEADING_4"/>
    <w:basedOn w:val="Heading4"/>
    <w:link w:val="FGCHEADING4Char"/>
    <w:qFormat/>
    <w:rsid w:val="00F00729"/>
    <w:pPr>
      <w:ind w:left="652"/>
    </w:pPr>
    <w:rPr>
      <w:sz w:val="26"/>
    </w:rPr>
  </w:style>
  <w:style w:type="paragraph" w:customStyle="1" w:styleId="FGCCASESTUDY">
    <w:name w:val="FGC_CASE_STUDY"/>
    <w:basedOn w:val="FGCNORMAL"/>
    <w:qFormat/>
    <w:rsid w:val="0042794C"/>
    <w:pPr>
      <w:pBdr>
        <w:top w:val="single" w:sz="8" w:space="1" w:color="6B2976"/>
        <w:left w:val="single" w:sz="8" w:space="4" w:color="6B2976"/>
        <w:bottom w:val="single" w:sz="8" w:space="1" w:color="6B2976"/>
        <w:right w:val="single" w:sz="8" w:space="4" w:color="6B2976"/>
      </w:pBdr>
      <w:shd w:val="clear" w:color="auto" w:fill="E5DDE7"/>
    </w:pPr>
  </w:style>
  <w:style w:type="character" w:customStyle="1" w:styleId="FGCEMPHASIS">
    <w:name w:val="FGC_EMPHASIS"/>
    <w:basedOn w:val="DefaultParagraphFont"/>
    <w:uiPriority w:val="1"/>
    <w:qFormat/>
    <w:rsid w:val="00D00E4A"/>
    <w:rPr>
      <w:rFonts w:ascii="Arial" w:hAnsi="Arial"/>
      <w:b/>
      <w:bCs/>
      <w:color w:val="auto"/>
      <w:sz w:val="22"/>
    </w:rPr>
  </w:style>
  <w:style w:type="paragraph" w:customStyle="1" w:styleId="FGCTABLEBOLD">
    <w:name w:val="FGC_TABLE_BOLD"/>
    <w:basedOn w:val="FGCNORMAL"/>
    <w:qFormat/>
    <w:rsid w:val="00782ACE"/>
    <w:pPr>
      <w:ind w:left="0"/>
    </w:pPr>
    <w:rPr>
      <w:rFonts w:ascii="Arial Bold" w:hAnsi="Arial Bold"/>
      <w:b/>
      <w:bCs/>
    </w:rPr>
  </w:style>
  <w:style w:type="paragraph" w:customStyle="1" w:styleId="FGCTABLENORMAL">
    <w:name w:val="FGC_TABLE_NORMAL"/>
    <w:basedOn w:val="FGCNORMAL"/>
    <w:qFormat/>
    <w:rsid w:val="00D2134C"/>
    <w:pPr>
      <w:spacing w:before="40" w:after="40"/>
      <w:ind w:left="0"/>
    </w:pPr>
  </w:style>
  <w:style w:type="paragraph" w:customStyle="1" w:styleId="FGCNUMBERED">
    <w:name w:val="FGC_NUMBERED"/>
    <w:basedOn w:val="Normal"/>
    <w:qFormat/>
    <w:rsid w:val="00A52472"/>
    <w:pPr>
      <w:numPr>
        <w:ilvl w:val="5"/>
        <w:numId w:val="26"/>
      </w:numPr>
    </w:pPr>
  </w:style>
  <w:style w:type="paragraph" w:customStyle="1" w:styleId="FGCHEADING5">
    <w:name w:val="FGC_HEADING_5"/>
    <w:basedOn w:val="FGCNORMAL"/>
    <w:qFormat/>
    <w:rsid w:val="003765DD"/>
    <w:pPr>
      <w:numPr>
        <w:ilvl w:val="3"/>
        <w:numId w:val="26"/>
      </w:numPr>
      <w:outlineLvl w:val="4"/>
    </w:pPr>
    <w:rPr>
      <w:b/>
      <w:bCs/>
      <w:color w:val="6B2976"/>
      <w:sz w:val="24"/>
      <w:szCs w:val="24"/>
    </w:rPr>
  </w:style>
  <w:style w:type="paragraph" w:customStyle="1" w:styleId="FGCCommentitalictable">
    <w:name w:val="FGC_Comment_italic_table"/>
    <w:basedOn w:val="FGCCommentitalic"/>
    <w:qFormat/>
    <w:rsid w:val="003835FB"/>
    <w:pPr>
      <w:ind w:left="0"/>
    </w:pPr>
  </w:style>
  <w:style w:type="character" w:customStyle="1" w:styleId="FGCCOMMENTEMPHASIS">
    <w:name w:val="FGC_COMMENT_EMPHASIS"/>
    <w:basedOn w:val="FGCEMPHASIS"/>
    <w:uiPriority w:val="1"/>
    <w:qFormat/>
    <w:rsid w:val="0000443E"/>
    <w:rPr>
      <w:rFonts w:ascii="Arial" w:hAnsi="Arial"/>
      <w:b w:val="0"/>
      <w:bCs/>
      <w:i/>
      <w:iCs/>
      <w:color w:val="0070C0"/>
      <w:sz w:val="22"/>
    </w:rPr>
  </w:style>
  <w:style w:type="character" w:customStyle="1" w:styleId="A4">
    <w:name w:val="A4"/>
    <w:uiPriority w:val="99"/>
    <w:rsid w:val="006728E4"/>
    <w:rPr>
      <w:rFonts w:cs="FS Me"/>
      <w:b/>
      <w:bCs/>
      <w:color w:val="000000"/>
      <w:sz w:val="22"/>
      <w:szCs w:val="22"/>
    </w:rPr>
  </w:style>
  <w:style w:type="paragraph" w:customStyle="1" w:styleId="FGCHEADING7">
    <w:name w:val="FGC_HEADING_7"/>
    <w:basedOn w:val="FGCHEADING6"/>
    <w:qFormat/>
    <w:rsid w:val="00147158"/>
    <w:pPr>
      <w:outlineLvl w:val="6"/>
    </w:pPr>
    <w:rPr>
      <w:b w:val="0"/>
      <w:i/>
    </w:rPr>
  </w:style>
  <w:style w:type="paragraph" w:customStyle="1" w:styleId="Pa20">
    <w:name w:val="Pa20"/>
    <w:basedOn w:val="Default"/>
    <w:next w:val="Default"/>
    <w:uiPriority w:val="99"/>
    <w:rsid w:val="006A7ABC"/>
    <w:pPr>
      <w:spacing w:line="221" w:lineRule="atLeast"/>
    </w:pPr>
    <w:rPr>
      <w:rFonts w:ascii="FS Me" w:hAnsi="FS Me" w:cs="Times New Roman"/>
      <w:color w:val="auto"/>
    </w:rPr>
  </w:style>
  <w:style w:type="character" w:customStyle="1" w:styleId="A19">
    <w:name w:val="A19"/>
    <w:uiPriority w:val="99"/>
    <w:rsid w:val="006A7ABC"/>
    <w:rPr>
      <w:rFonts w:ascii="FS Me Light" w:hAnsi="FS Me Light" w:cs="FS Me Light"/>
      <w:color w:val="000000"/>
      <w:sz w:val="22"/>
      <w:szCs w:val="22"/>
      <w:u w:val="single"/>
    </w:rPr>
  </w:style>
  <w:style w:type="character" w:customStyle="1" w:styleId="A12">
    <w:name w:val="A12"/>
    <w:uiPriority w:val="99"/>
    <w:rsid w:val="006A7ABC"/>
    <w:rPr>
      <w:rFonts w:ascii="FS Me Light" w:hAnsi="FS Me Light" w:cs="FS Me Light"/>
      <w:color w:val="000000"/>
      <w:sz w:val="12"/>
      <w:szCs w:val="12"/>
    </w:rPr>
  </w:style>
  <w:style w:type="character" w:styleId="Mention">
    <w:name w:val="Mention"/>
    <w:basedOn w:val="DefaultParagraphFont"/>
    <w:uiPriority w:val="99"/>
    <w:unhideWhenUsed/>
    <w:rsid w:val="007812F1"/>
    <w:rPr>
      <w:color w:val="2B579A"/>
      <w:shd w:val="clear" w:color="auto" w:fill="E1DFDD"/>
    </w:rPr>
  </w:style>
  <w:style w:type="paragraph" w:customStyle="1" w:styleId="TableParagraph">
    <w:name w:val="Table Paragraph"/>
    <w:basedOn w:val="Normal"/>
    <w:uiPriority w:val="1"/>
    <w:qFormat/>
    <w:rsid w:val="003C5A7A"/>
    <w:pPr>
      <w:widowControl w:val="0"/>
      <w:autoSpaceDE w:val="0"/>
      <w:autoSpaceDN w:val="0"/>
      <w:spacing w:before="0" w:after="0"/>
      <w:ind w:left="0"/>
    </w:pPr>
    <w:rPr>
      <w:rFonts w:ascii="Calibri" w:eastAsia="Calibri" w:hAnsi="Calibri" w:cs="Calibri"/>
      <w:lang w:val="en-US" w:eastAsia="en-US"/>
    </w:rPr>
  </w:style>
  <w:style w:type="character" w:customStyle="1" w:styleId="FGCHEADING4Char">
    <w:name w:val="FGC_HEADING_4 Char"/>
    <w:basedOn w:val="Heading4Char"/>
    <w:link w:val="FGCHEADING4"/>
    <w:rsid w:val="00F00729"/>
    <w:rPr>
      <w:rFonts w:ascii="Arial" w:eastAsia="Georgia" w:hAnsi="Arial" w:cs="Arial"/>
      <w:b/>
      <w:color w:val="6A2875"/>
      <w:sz w:val="26"/>
      <w:szCs w:val="28"/>
    </w:rPr>
  </w:style>
  <w:style w:type="paragraph" w:styleId="List2">
    <w:name w:val="List 2"/>
    <w:basedOn w:val="Normal"/>
    <w:uiPriority w:val="99"/>
    <w:unhideWhenUsed/>
    <w:rsid w:val="00F405EE"/>
    <w:pPr>
      <w:ind w:left="566" w:hanging="283"/>
      <w:contextualSpacing/>
    </w:pPr>
  </w:style>
  <w:style w:type="paragraph" w:styleId="List3">
    <w:name w:val="List 3"/>
    <w:basedOn w:val="Normal"/>
    <w:uiPriority w:val="99"/>
    <w:unhideWhenUsed/>
    <w:rsid w:val="00F405EE"/>
    <w:pPr>
      <w:ind w:left="849" w:hanging="283"/>
      <w:contextualSpacing/>
    </w:pPr>
  </w:style>
  <w:style w:type="paragraph" w:styleId="List4">
    <w:name w:val="List 4"/>
    <w:basedOn w:val="Normal"/>
    <w:uiPriority w:val="99"/>
    <w:unhideWhenUsed/>
    <w:rsid w:val="00F405EE"/>
    <w:pPr>
      <w:ind w:left="1132" w:hanging="283"/>
      <w:contextualSpacing/>
    </w:pPr>
  </w:style>
  <w:style w:type="paragraph" w:customStyle="1" w:styleId="Level1Paragraph">
    <w:name w:val="Level 1 Paragraph"/>
    <w:basedOn w:val="Normal"/>
    <w:link w:val="Level1ParagraphChar"/>
    <w:qFormat/>
    <w:rsid w:val="0025403A"/>
    <w:pPr>
      <w:spacing w:after="160" w:line="264" w:lineRule="auto"/>
      <w:ind w:left="792" w:hanging="792"/>
    </w:pPr>
    <w:rPr>
      <w:rFonts w:eastAsia="Georgia"/>
      <w:color w:val="6A2875"/>
      <w:sz w:val="21"/>
      <w:szCs w:val="28"/>
      <w:lang w:eastAsia="en-US"/>
    </w:rPr>
  </w:style>
  <w:style w:type="character" w:customStyle="1" w:styleId="Level1ParagraphChar">
    <w:name w:val="Level 1 Paragraph Char"/>
    <w:basedOn w:val="Heading2Char"/>
    <w:link w:val="Level1Paragraph"/>
    <w:rsid w:val="0025403A"/>
    <w:rPr>
      <w:rFonts w:ascii="Arial" w:eastAsia="Georgia" w:hAnsi="Arial" w:cs="Arial"/>
      <w:b w:val="0"/>
      <w:color w:val="6A2875"/>
      <w:sz w:val="21"/>
      <w:szCs w:val="28"/>
    </w:rPr>
  </w:style>
  <w:style w:type="paragraph" w:customStyle="1" w:styleId="FSRHeading5">
    <w:name w:val="FSR_Heading5"/>
    <w:basedOn w:val="Normal"/>
    <w:link w:val="FSRHeading5Char"/>
    <w:qFormat/>
    <w:rsid w:val="00747F39"/>
    <w:pPr>
      <w:spacing w:before="200" w:after="200" w:line="288" w:lineRule="auto"/>
      <w:ind w:left="0"/>
    </w:pPr>
    <w:rPr>
      <w:rFonts w:cstheme="minorBidi"/>
      <w:b/>
      <w:i/>
      <w:color w:val="F26322"/>
      <w:sz w:val="24"/>
      <w:szCs w:val="24"/>
    </w:rPr>
  </w:style>
  <w:style w:type="character" w:customStyle="1" w:styleId="FSRHeading5Char">
    <w:name w:val="FSR_Heading5 Char"/>
    <w:basedOn w:val="DefaultParagraphFont"/>
    <w:link w:val="FSRHeading5"/>
    <w:rsid w:val="00747F39"/>
    <w:rPr>
      <w:rFonts w:ascii="Arial" w:eastAsiaTheme="minorEastAsia" w:hAnsi="Arial"/>
      <w:b/>
      <w:i/>
      <w:color w:val="F26322"/>
      <w:sz w:val="24"/>
      <w:szCs w:val="24"/>
      <w:lang w:eastAsia="ja-JP"/>
    </w:rPr>
  </w:style>
  <w:style w:type="paragraph" w:customStyle="1" w:styleId="tablelistbullet">
    <w:name w:val="table list bullet"/>
    <w:basedOn w:val="ListParagraph"/>
    <w:rsid w:val="00747F39"/>
    <w:pPr>
      <w:numPr>
        <w:numId w:val="27"/>
      </w:numPr>
      <w:tabs>
        <w:tab w:val="num" w:pos="360"/>
      </w:tabs>
      <w:spacing w:before="0" w:after="120"/>
    </w:pPr>
    <w:rPr>
      <w:rFonts w:eastAsia="MS Mincho" w:cs="FSMe-Bold"/>
      <w:spacing w:val="-2"/>
      <w:sz w:val="20"/>
      <w:szCs w:val="20"/>
      <w:lang w:eastAsia="en-US"/>
    </w:rPr>
  </w:style>
  <w:style w:type="paragraph" w:customStyle="1" w:styleId="FSRlist">
    <w:name w:val="FSR_list"/>
    <w:basedOn w:val="ListParagraph"/>
    <w:link w:val="FSRlistChar"/>
    <w:qFormat/>
    <w:rsid w:val="00747F39"/>
    <w:pPr>
      <w:numPr>
        <w:numId w:val="29"/>
      </w:numPr>
      <w:spacing w:after="120" w:line="288" w:lineRule="auto"/>
      <w:contextualSpacing w:val="0"/>
    </w:pPr>
    <w:rPr>
      <w:rFonts w:cstheme="minorBidi"/>
      <w:szCs w:val="24"/>
    </w:rPr>
  </w:style>
  <w:style w:type="paragraph" w:customStyle="1" w:styleId="FSRsublist">
    <w:name w:val="FSR_sublist"/>
    <w:basedOn w:val="ListParagraph"/>
    <w:link w:val="FSRsublistChar"/>
    <w:qFormat/>
    <w:rsid w:val="00747F39"/>
    <w:pPr>
      <w:numPr>
        <w:ilvl w:val="1"/>
        <w:numId w:val="28"/>
      </w:numPr>
      <w:spacing w:before="0" w:line="288" w:lineRule="auto"/>
    </w:pPr>
    <w:rPr>
      <w:rFonts w:cstheme="minorBidi"/>
      <w:szCs w:val="24"/>
    </w:rPr>
  </w:style>
  <w:style w:type="character" w:customStyle="1" w:styleId="FSRlistChar">
    <w:name w:val="FSR_list Char"/>
    <w:basedOn w:val="DefaultParagraphFont"/>
    <w:link w:val="FSRlist"/>
    <w:rsid w:val="00747F39"/>
    <w:rPr>
      <w:rFonts w:ascii="Arial" w:eastAsiaTheme="minorEastAsia" w:hAnsi="Arial"/>
      <w:szCs w:val="24"/>
      <w:lang w:eastAsia="ja-JP"/>
    </w:rPr>
  </w:style>
  <w:style w:type="paragraph" w:customStyle="1" w:styleId="FSRHeading2">
    <w:name w:val="FSR_Heading2"/>
    <w:basedOn w:val="Heading3"/>
    <w:link w:val="FSRHeading2Char"/>
    <w:qFormat/>
    <w:rsid w:val="00747F39"/>
    <w:pPr>
      <w:numPr>
        <w:ilvl w:val="1"/>
        <w:numId w:val="27"/>
      </w:numPr>
      <w:tabs>
        <w:tab w:val="clear" w:pos="10188"/>
      </w:tabs>
      <w:spacing w:before="480" w:line="288" w:lineRule="auto"/>
    </w:pPr>
    <w:rPr>
      <w:sz w:val="36"/>
      <w:szCs w:val="44"/>
      <w:lang w:eastAsia="ja-JP"/>
    </w:rPr>
  </w:style>
  <w:style w:type="character" w:customStyle="1" w:styleId="FSRHeading2Char">
    <w:name w:val="FSR_Heading2 Char"/>
    <w:basedOn w:val="Heading3Char"/>
    <w:link w:val="FSRHeading2"/>
    <w:rsid w:val="00747F39"/>
    <w:rPr>
      <w:rFonts w:ascii="Arial" w:eastAsia="Georgia" w:hAnsi="Arial" w:cs="Arial"/>
      <w:b/>
      <w:color w:val="6A2875"/>
      <w:sz w:val="36"/>
      <w:szCs w:val="44"/>
      <w:lang w:eastAsia="ja-JP"/>
    </w:rPr>
  </w:style>
  <w:style w:type="paragraph" w:customStyle="1" w:styleId="FSRzlegislation">
    <w:name w:val="FSR_zlegislation"/>
    <w:basedOn w:val="FSRsublist"/>
    <w:link w:val="FSRzlegislationChar"/>
    <w:qFormat/>
    <w:rsid w:val="00747F39"/>
    <w:pPr>
      <w:numPr>
        <w:ilvl w:val="0"/>
        <w:numId w:val="30"/>
      </w:numPr>
      <w:ind w:left="1440"/>
    </w:pPr>
    <w:rPr>
      <w:i/>
    </w:rPr>
  </w:style>
  <w:style w:type="character" w:customStyle="1" w:styleId="FSRzlegislationChar">
    <w:name w:val="FSR_zlegislation Char"/>
    <w:basedOn w:val="DefaultParagraphFont"/>
    <w:link w:val="FSRzlegislation"/>
    <w:rsid w:val="00747F39"/>
    <w:rPr>
      <w:rFonts w:ascii="Arial" w:eastAsiaTheme="minorEastAsia" w:hAnsi="Arial"/>
      <w:i/>
      <w:szCs w:val="24"/>
      <w:lang w:eastAsia="ja-JP"/>
    </w:rPr>
  </w:style>
  <w:style w:type="paragraph" w:customStyle="1" w:styleId="sectiontext">
    <w:name w:val="sectiontext"/>
    <w:basedOn w:val="Normal"/>
    <w:rsid w:val="00747F39"/>
    <w:pP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paragraphtext">
    <w:name w:val="paragraphtext"/>
    <w:basedOn w:val="Normal"/>
    <w:rsid w:val="00747F39"/>
    <w:pP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subparagraphtext">
    <w:name w:val="subparagraphtext"/>
    <w:basedOn w:val="Normal"/>
    <w:rsid w:val="00747F39"/>
    <w:pPr>
      <w:spacing w:before="100" w:beforeAutospacing="1" w:after="100" w:afterAutospacing="1"/>
      <w:ind w:left="0"/>
    </w:pPr>
    <w:rPr>
      <w:rFonts w:ascii="Times New Roman" w:eastAsia="Times New Roman" w:hAnsi="Times New Roman" w:cs="Times New Roman"/>
      <w:sz w:val="24"/>
      <w:szCs w:val="24"/>
      <w:lang w:eastAsia="en-AU"/>
    </w:rPr>
  </w:style>
  <w:style w:type="paragraph" w:customStyle="1" w:styleId="FSRNumberedList">
    <w:name w:val="FSR_NumberedList"/>
    <w:basedOn w:val="FSRlist"/>
    <w:link w:val="FSRNumberedListChar"/>
    <w:qFormat/>
    <w:rsid w:val="00747F39"/>
    <w:pPr>
      <w:numPr>
        <w:numId w:val="31"/>
      </w:numPr>
    </w:pPr>
    <w:rPr>
      <w:rFonts w:cs="Arial"/>
    </w:rPr>
  </w:style>
  <w:style w:type="character" w:customStyle="1" w:styleId="FSRNumberedListChar">
    <w:name w:val="FSR_NumberedList Char"/>
    <w:basedOn w:val="FSRlistChar"/>
    <w:link w:val="FSRNumberedList"/>
    <w:rsid w:val="00747F39"/>
    <w:rPr>
      <w:rFonts w:ascii="Arial" w:eastAsiaTheme="minorEastAsia" w:hAnsi="Arial" w:cs="Arial"/>
      <w:szCs w:val="24"/>
      <w:lang w:eastAsia="ja-JP"/>
    </w:rPr>
  </w:style>
  <w:style w:type="paragraph" w:customStyle="1" w:styleId="Tables">
    <w:name w:val="Tables"/>
    <w:basedOn w:val="Caption"/>
    <w:link w:val="TablesChar"/>
    <w:qFormat/>
    <w:rsid w:val="00747F39"/>
    <w:pPr>
      <w:keepNext/>
      <w:spacing w:before="0" w:after="120"/>
      <w:ind w:left="0"/>
    </w:pPr>
    <w:rPr>
      <w:rFonts w:ascii="Arial" w:hAnsi="Arial" w:cstheme="minorBidi"/>
      <w:b/>
      <w:bCs/>
      <w:i w:val="0"/>
      <w:iCs w:val="0"/>
      <w:color w:val="auto"/>
      <w:sz w:val="22"/>
      <w:lang w:val="en-AU"/>
    </w:rPr>
  </w:style>
  <w:style w:type="character" w:customStyle="1" w:styleId="TablesChar">
    <w:name w:val="Tables Char"/>
    <w:basedOn w:val="DefaultParagraphFont"/>
    <w:link w:val="Tables"/>
    <w:rsid w:val="00747F39"/>
    <w:rPr>
      <w:rFonts w:ascii="Arial" w:hAnsi="Arial"/>
      <w:b/>
      <w:bCs/>
      <w:szCs w:val="18"/>
    </w:rPr>
  </w:style>
  <w:style w:type="paragraph" w:customStyle="1" w:styleId="FSRHeading4">
    <w:name w:val="FSR_Heading4"/>
    <w:basedOn w:val="Normal"/>
    <w:link w:val="FSRHeading4Char"/>
    <w:qFormat/>
    <w:rsid w:val="00747F39"/>
    <w:pPr>
      <w:keepNext/>
      <w:spacing w:before="240" w:after="200" w:line="288" w:lineRule="auto"/>
      <w:ind w:left="0"/>
    </w:pPr>
    <w:rPr>
      <w:rFonts w:cstheme="minorBidi"/>
      <w:b/>
      <w:color w:val="6B2976"/>
      <w:sz w:val="25"/>
      <w:szCs w:val="24"/>
    </w:rPr>
  </w:style>
  <w:style w:type="character" w:customStyle="1" w:styleId="FSRHeading4Char">
    <w:name w:val="FSR_Heading4 Char"/>
    <w:basedOn w:val="DefaultParagraphFont"/>
    <w:link w:val="FSRHeading4"/>
    <w:rsid w:val="00747F39"/>
    <w:rPr>
      <w:rFonts w:ascii="Arial" w:eastAsiaTheme="minorEastAsia" w:hAnsi="Arial"/>
      <w:b/>
      <w:color w:val="6B2976"/>
      <w:sz w:val="25"/>
      <w:szCs w:val="24"/>
      <w:lang w:eastAsia="ja-JP"/>
    </w:rPr>
  </w:style>
  <w:style w:type="paragraph" w:customStyle="1" w:styleId="FSRHeading3">
    <w:name w:val="FSR_Heading3"/>
    <w:basedOn w:val="Heading4"/>
    <w:link w:val="FSRHeading3Char"/>
    <w:qFormat/>
    <w:rsid w:val="00747F39"/>
    <w:pPr>
      <w:numPr>
        <w:ilvl w:val="2"/>
        <w:numId w:val="27"/>
      </w:numPr>
      <w:tabs>
        <w:tab w:val="clear" w:pos="10188"/>
      </w:tabs>
      <w:spacing w:before="480" w:after="240" w:line="269" w:lineRule="auto"/>
    </w:pPr>
    <w:rPr>
      <w:sz w:val="30"/>
      <w:szCs w:val="30"/>
      <w:lang w:eastAsia="ja-JP"/>
    </w:rPr>
  </w:style>
  <w:style w:type="character" w:customStyle="1" w:styleId="FSRHeading3Char">
    <w:name w:val="FSR_Heading3 Char"/>
    <w:basedOn w:val="Heading4Char"/>
    <w:link w:val="FSRHeading3"/>
    <w:rsid w:val="00747F39"/>
    <w:rPr>
      <w:rFonts w:ascii="Arial" w:eastAsia="Georgia" w:hAnsi="Arial" w:cs="Arial"/>
      <w:b/>
      <w:color w:val="6A2875"/>
      <w:sz w:val="30"/>
      <w:szCs w:val="30"/>
      <w:lang w:eastAsia="ja-JP"/>
    </w:rPr>
  </w:style>
  <w:style w:type="character" w:customStyle="1" w:styleId="FSRsublistChar">
    <w:name w:val="FSR_sublist Char"/>
    <w:basedOn w:val="DefaultParagraphFont"/>
    <w:link w:val="FSRsublist"/>
    <w:rsid w:val="00747F39"/>
    <w:rPr>
      <w:rFonts w:ascii="Arial" w:eastAsiaTheme="minorEastAsia" w:hAnsi="Arial"/>
      <w:szCs w:val="24"/>
      <w:lang w:eastAsia="ja-JP"/>
    </w:rPr>
  </w:style>
  <w:style w:type="table" w:styleId="GridTable5Dark-Accent1">
    <w:name w:val="Grid Table 5 Dark Accent 1"/>
    <w:basedOn w:val="TableNormal"/>
    <w:uiPriority w:val="50"/>
    <w:rsid w:val="00747F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Figures">
    <w:name w:val="Figures"/>
    <w:basedOn w:val="Tables"/>
    <w:link w:val="FiguresChar"/>
    <w:qFormat/>
    <w:rsid w:val="00747F39"/>
  </w:style>
  <w:style w:type="character" w:customStyle="1" w:styleId="FiguresChar">
    <w:name w:val="Figures Char"/>
    <w:basedOn w:val="TablesChar"/>
    <w:link w:val="Figures"/>
    <w:rsid w:val="00747F39"/>
    <w:rPr>
      <w:rFonts w:ascii="Arial" w:hAnsi="Arial"/>
      <w:b/>
      <w:bCs/>
      <w:szCs w:val="18"/>
    </w:rPr>
  </w:style>
  <w:style w:type="paragraph" w:styleId="IntenseQuote">
    <w:name w:val="Intense Quote"/>
    <w:basedOn w:val="Normal"/>
    <w:next w:val="Normal"/>
    <w:link w:val="IntenseQuoteChar"/>
    <w:uiPriority w:val="30"/>
    <w:qFormat/>
    <w:rsid w:val="00747F39"/>
    <w:pPr>
      <w:pBdr>
        <w:bottom w:val="single" w:sz="4" w:space="1" w:color="auto"/>
      </w:pBdr>
      <w:spacing w:before="200" w:after="280" w:line="288" w:lineRule="auto"/>
      <w:ind w:left="1008" w:right="1152"/>
      <w:jc w:val="both"/>
    </w:pPr>
    <w:rPr>
      <w:rFonts w:cstheme="minorBidi"/>
      <w:b/>
      <w:bCs/>
      <w:i/>
      <w:iCs/>
      <w:szCs w:val="24"/>
    </w:rPr>
  </w:style>
  <w:style w:type="character" w:customStyle="1" w:styleId="IntenseQuoteChar">
    <w:name w:val="Intense Quote Char"/>
    <w:basedOn w:val="DefaultParagraphFont"/>
    <w:link w:val="IntenseQuote"/>
    <w:uiPriority w:val="30"/>
    <w:rsid w:val="00747F39"/>
    <w:rPr>
      <w:rFonts w:ascii="Arial" w:eastAsiaTheme="minorEastAsia" w:hAnsi="Arial"/>
      <w:b/>
      <w:bCs/>
      <w:i/>
      <w:iCs/>
      <w:szCs w:val="24"/>
      <w:lang w:eastAsia="ja-JP"/>
    </w:rPr>
  </w:style>
  <w:style w:type="character" w:customStyle="1" w:styleId="CaptionChar">
    <w:name w:val="Caption Char"/>
    <w:basedOn w:val="DefaultParagraphFont"/>
    <w:link w:val="Caption"/>
    <w:uiPriority w:val="35"/>
    <w:rsid w:val="00747F39"/>
    <w:rPr>
      <w:rFonts w:cs="Arial"/>
      <w:i/>
      <w:iCs/>
      <w:color w:val="44546A" w:themeColor="text2"/>
      <w:sz w:val="18"/>
      <w:szCs w:val="18"/>
      <w:lang w:val="en-US"/>
    </w:rPr>
  </w:style>
  <w:style w:type="paragraph" w:customStyle="1" w:styleId="Heading1-Nonumbers">
    <w:name w:val="Heading 1 - No numbers"/>
    <w:basedOn w:val="Normal"/>
    <w:link w:val="Heading1-NonumbersChar"/>
    <w:rsid w:val="00747F39"/>
    <w:pPr>
      <w:spacing w:before="480" w:after="320" w:line="276" w:lineRule="auto"/>
      <w:ind w:left="0"/>
      <w:contextualSpacing/>
      <w:outlineLvl w:val="0"/>
    </w:pPr>
    <w:rPr>
      <w:rFonts w:eastAsiaTheme="majorEastAsia" w:cstheme="majorBidi"/>
      <w:b/>
      <w:bCs/>
      <w:color w:val="ED7D31" w:themeColor="accent2"/>
      <w:sz w:val="36"/>
      <w:szCs w:val="36"/>
      <w:lang w:eastAsia="en-US"/>
    </w:rPr>
  </w:style>
  <w:style w:type="character" w:customStyle="1" w:styleId="Heading1-NonumbersChar">
    <w:name w:val="Heading 1 - No numbers Char"/>
    <w:basedOn w:val="DefaultParagraphFont"/>
    <w:link w:val="Heading1-Nonumbers"/>
    <w:rsid w:val="00747F39"/>
    <w:rPr>
      <w:rFonts w:ascii="Arial" w:eastAsiaTheme="majorEastAsia" w:hAnsi="Arial" w:cstheme="majorBidi"/>
      <w:b/>
      <w:bCs/>
      <w:color w:val="ED7D31" w:themeColor="accent2"/>
      <w:sz w:val="36"/>
      <w:szCs w:val="36"/>
    </w:rPr>
  </w:style>
  <w:style w:type="table" w:styleId="GridTable4-Accent6">
    <w:name w:val="Grid Table 4 Accent 6"/>
    <w:basedOn w:val="TableNormal"/>
    <w:uiPriority w:val="49"/>
    <w:rsid w:val="00747F3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ParagraphSection">
    <w:name w:val="ParagraphSection"/>
    <w:basedOn w:val="ListParagraph"/>
    <w:qFormat/>
    <w:rsid w:val="00747F39"/>
    <w:pPr>
      <w:numPr>
        <w:numId w:val="32"/>
      </w:numPr>
      <w:spacing w:before="240" w:after="240" w:line="276" w:lineRule="auto"/>
      <w:contextualSpacing w:val="0"/>
    </w:pPr>
    <w:rPr>
      <w:rFonts w:cstheme="minorBidi"/>
      <w:szCs w:val="24"/>
    </w:rPr>
  </w:style>
  <w:style w:type="paragraph" w:styleId="Quote">
    <w:name w:val="Quote"/>
    <w:basedOn w:val="Normal"/>
    <w:next w:val="Normal"/>
    <w:link w:val="QuoteChar"/>
    <w:uiPriority w:val="29"/>
    <w:qFormat/>
    <w:rsid w:val="00747F39"/>
    <w:pPr>
      <w:spacing w:before="200" w:after="0" w:line="288" w:lineRule="auto"/>
      <w:ind w:left="360" w:right="360"/>
    </w:pPr>
    <w:rPr>
      <w:rFonts w:cstheme="minorBidi"/>
      <w:i/>
      <w:iCs/>
      <w:szCs w:val="24"/>
    </w:rPr>
  </w:style>
  <w:style w:type="character" w:customStyle="1" w:styleId="QuoteChar">
    <w:name w:val="Quote Char"/>
    <w:basedOn w:val="DefaultParagraphFont"/>
    <w:link w:val="Quote"/>
    <w:uiPriority w:val="29"/>
    <w:rsid w:val="00747F39"/>
    <w:rPr>
      <w:rFonts w:ascii="Arial" w:eastAsiaTheme="minorEastAsia" w:hAnsi="Arial"/>
      <w:i/>
      <w:iCs/>
      <w:szCs w:val="24"/>
      <w:lang w:eastAsia="ja-JP"/>
    </w:rPr>
  </w:style>
  <w:style w:type="paragraph" w:customStyle="1" w:styleId="1jb">
    <w:name w:val="1 jb"/>
    <w:basedOn w:val="ListParagraph"/>
    <w:link w:val="1jbChar"/>
    <w:qFormat/>
    <w:rsid w:val="00747F39"/>
    <w:pPr>
      <w:numPr>
        <w:numId w:val="33"/>
      </w:numPr>
      <w:spacing w:before="0" w:after="160" w:line="259" w:lineRule="auto"/>
    </w:pPr>
    <w:rPr>
      <w:rFonts w:asciiTheme="minorHAnsi" w:eastAsiaTheme="minorHAnsi" w:hAnsiTheme="minorHAnsi" w:cstheme="minorBidi"/>
      <w:b/>
      <w:lang w:eastAsia="en-US"/>
    </w:rPr>
  </w:style>
  <w:style w:type="character" w:customStyle="1" w:styleId="1jbChar">
    <w:name w:val="1 jb Char"/>
    <w:basedOn w:val="DefaultParagraphFont"/>
    <w:link w:val="1jb"/>
    <w:rsid w:val="00747F39"/>
    <w:rPr>
      <w:b/>
    </w:rPr>
  </w:style>
  <w:style w:type="character" w:styleId="PlaceholderText">
    <w:name w:val="Placeholder Text"/>
    <w:basedOn w:val="DefaultParagraphFont"/>
    <w:uiPriority w:val="99"/>
    <w:semiHidden/>
    <w:rsid w:val="00747F39"/>
    <w:rPr>
      <w:color w:val="808080"/>
    </w:rPr>
  </w:style>
  <w:style w:type="character" w:customStyle="1" w:styleId="UnresolvedMention1">
    <w:name w:val="Unresolved Mention1"/>
    <w:basedOn w:val="DefaultParagraphFont"/>
    <w:uiPriority w:val="99"/>
    <w:unhideWhenUsed/>
    <w:rsid w:val="00747F39"/>
    <w:rPr>
      <w:color w:val="605E5C"/>
      <w:shd w:val="clear" w:color="auto" w:fill="E1DFDD"/>
    </w:rPr>
  </w:style>
  <w:style w:type="character" w:customStyle="1" w:styleId="UnresolvedMention2">
    <w:name w:val="Unresolved Mention2"/>
    <w:basedOn w:val="DefaultParagraphFont"/>
    <w:uiPriority w:val="99"/>
    <w:unhideWhenUsed/>
    <w:rsid w:val="00747F39"/>
    <w:rPr>
      <w:color w:val="605E5C"/>
      <w:shd w:val="clear" w:color="auto" w:fill="E1DFDD"/>
    </w:rPr>
  </w:style>
  <w:style w:type="character" w:customStyle="1" w:styleId="Mention1">
    <w:name w:val="Mention1"/>
    <w:basedOn w:val="DefaultParagraphFont"/>
    <w:uiPriority w:val="99"/>
    <w:unhideWhenUsed/>
    <w:rsid w:val="00747F39"/>
    <w:rPr>
      <w:color w:val="2B579A"/>
      <w:shd w:val="clear" w:color="auto" w:fill="E1DFDD"/>
    </w:rPr>
  </w:style>
  <w:style w:type="character" w:customStyle="1" w:styleId="A8">
    <w:name w:val="A8"/>
    <w:uiPriority w:val="99"/>
    <w:rsid w:val="00747F39"/>
    <w:rPr>
      <w:rFonts w:cs="FS Me"/>
      <w:color w:val="000000"/>
      <w:sz w:val="22"/>
      <w:szCs w:val="22"/>
    </w:rPr>
  </w:style>
  <w:style w:type="table" w:styleId="GridTable2">
    <w:name w:val="Grid Table 2"/>
    <w:basedOn w:val="TableNormal"/>
    <w:uiPriority w:val="47"/>
    <w:rsid w:val="00747F3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747F3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SRtable">
    <w:name w:val="FSR table"/>
    <w:basedOn w:val="TableNormal"/>
    <w:uiPriority w:val="99"/>
    <w:rsid w:val="00747F39"/>
    <w:pPr>
      <w:keepLines/>
      <w:spacing w:after="0" w:line="240" w:lineRule="auto"/>
      <w:jc w:val="right"/>
    </w:pPr>
    <w:rPr>
      <w:rFonts w:ascii="Arial" w:eastAsiaTheme="minorEastAsia" w:hAnsi="Arial"/>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SustainabilityTable">
    <w:name w:val="Sustainability Table"/>
    <w:basedOn w:val="TableList1"/>
    <w:uiPriority w:val="99"/>
    <w:rsid w:val="00747F39"/>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47F39"/>
    <w:pPr>
      <w:spacing w:after="200"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Mention11">
    <w:name w:val="Mention11"/>
    <w:basedOn w:val="DefaultParagraphFont"/>
    <w:uiPriority w:val="99"/>
    <w:unhideWhenUsed/>
    <w:rsid w:val="00747F39"/>
    <w:rPr>
      <w:color w:val="2B579A"/>
      <w:shd w:val="clear" w:color="auto" w:fill="E6E6E6"/>
    </w:rPr>
  </w:style>
  <w:style w:type="character" w:customStyle="1" w:styleId="UnresolvedMention21">
    <w:name w:val="Unresolved Mention21"/>
    <w:basedOn w:val="DefaultParagraphFont"/>
    <w:uiPriority w:val="99"/>
    <w:unhideWhenUsed/>
    <w:rsid w:val="00747F39"/>
    <w:rPr>
      <w:color w:val="605E5C"/>
      <w:shd w:val="clear" w:color="auto" w:fill="E1DFDD"/>
    </w:rPr>
  </w:style>
  <w:style w:type="character" w:customStyle="1" w:styleId="Mention2">
    <w:name w:val="Mention2"/>
    <w:basedOn w:val="DefaultParagraphFont"/>
    <w:uiPriority w:val="99"/>
    <w:unhideWhenUsed/>
    <w:rsid w:val="00747F39"/>
    <w:rPr>
      <w:color w:val="2B579A"/>
      <w:shd w:val="clear" w:color="auto" w:fill="E1DFDD"/>
    </w:rPr>
  </w:style>
  <w:style w:type="character" w:customStyle="1" w:styleId="UnresolvedMention20">
    <w:name w:val="Unresolved Mention20"/>
    <w:basedOn w:val="DefaultParagraphFont"/>
    <w:uiPriority w:val="99"/>
    <w:unhideWhenUsed/>
    <w:rsid w:val="00747F39"/>
    <w:rPr>
      <w:color w:val="605E5C"/>
      <w:shd w:val="clear" w:color="auto" w:fill="E1DFDD"/>
    </w:rPr>
  </w:style>
  <w:style w:type="character" w:customStyle="1" w:styleId="Mention20">
    <w:name w:val="Mention20"/>
    <w:basedOn w:val="DefaultParagraphFont"/>
    <w:uiPriority w:val="99"/>
    <w:unhideWhenUsed/>
    <w:rsid w:val="00747F39"/>
    <w:rPr>
      <w:color w:val="2B579A"/>
      <w:shd w:val="clear" w:color="auto" w:fill="E1DFDD"/>
    </w:rPr>
  </w:style>
  <w:style w:type="character" w:customStyle="1" w:styleId="UnresolvedMention3">
    <w:name w:val="Unresolved Mention3"/>
    <w:basedOn w:val="DefaultParagraphFont"/>
    <w:uiPriority w:val="99"/>
    <w:unhideWhenUsed/>
    <w:rsid w:val="00747F39"/>
    <w:rPr>
      <w:color w:val="605E5C"/>
      <w:shd w:val="clear" w:color="auto" w:fill="E1DFDD"/>
    </w:rPr>
  </w:style>
  <w:style w:type="character" w:customStyle="1" w:styleId="Mention3">
    <w:name w:val="Mention3"/>
    <w:basedOn w:val="DefaultParagraphFont"/>
    <w:uiPriority w:val="99"/>
    <w:unhideWhenUsed/>
    <w:rsid w:val="00747F39"/>
    <w:rPr>
      <w:color w:val="2B579A"/>
      <w:shd w:val="clear" w:color="auto" w:fill="E1DFDD"/>
    </w:rPr>
  </w:style>
  <w:style w:type="character" w:customStyle="1" w:styleId="UnresolvedMention4">
    <w:name w:val="Unresolved Mention4"/>
    <w:basedOn w:val="DefaultParagraphFont"/>
    <w:uiPriority w:val="99"/>
    <w:unhideWhenUsed/>
    <w:rsid w:val="00747F39"/>
    <w:rPr>
      <w:color w:val="605E5C"/>
      <w:shd w:val="clear" w:color="auto" w:fill="E1DFDD"/>
    </w:rPr>
  </w:style>
  <w:style w:type="character" w:customStyle="1" w:styleId="UnresolvedMention5">
    <w:name w:val="Unresolved Mention5"/>
    <w:basedOn w:val="DefaultParagraphFont"/>
    <w:uiPriority w:val="99"/>
    <w:unhideWhenUsed/>
    <w:rsid w:val="00747F39"/>
    <w:rPr>
      <w:color w:val="605E5C"/>
      <w:shd w:val="clear" w:color="auto" w:fill="E1DFDD"/>
    </w:rPr>
  </w:style>
  <w:style w:type="character" w:customStyle="1" w:styleId="Mention4">
    <w:name w:val="Mention4"/>
    <w:basedOn w:val="DefaultParagraphFont"/>
    <w:uiPriority w:val="99"/>
    <w:unhideWhenUsed/>
    <w:rsid w:val="00747F39"/>
    <w:rPr>
      <w:color w:val="2B579A"/>
      <w:shd w:val="clear" w:color="auto" w:fill="E1DFDD"/>
    </w:rPr>
  </w:style>
  <w:style w:type="table" w:customStyle="1" w:styleId="Style1">
    <w:name w:val="Style1"/>
    <w:basedOn w:val="TableNormal"/>
    <w:uiPriority w:val="99"/>
    <w:rsid w:val="00747F39"/>
    <w:pPr>
      <w:spacing w:after="0" w:line="240" w:lineRule="auto"/>
    </w:pPr>
    <w:rPr>
      <w:rFonts w:eastAsiaTheme="minorEastAsia"/>
      <w:sz w:val="21"/>
      <w:szCs w:val="21"/>
    </w:rPr>
    <w:tblPr/>
  </w:style>
  <w:style w:type="table" w:customStyle="1" w:styleId="NDIS">
    <w:name w:val="NDIS"/>
    <w:basedOn w:val="TableContemporary"/>
    <w:uiPriority w:val="99"/>
    <w:rsid w:val="00747F39"/>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semiHidden/>
    <w:unhideWhenUsed/>
    <w:rsid w:val="00747F39"/>
    <w:pPr>
      <w:spacing w:after="0" w:line="240"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Mention40">
    <w:name w:val="Mention40"/>
    <w:basedOn w:val="DefaultParagraphFont"/>
    <w:uiPriority w:val="99"/>
    <w:unhideWhenUsed/>
    <w:rsid w:val="00747F39"/>
    <w:rPr>
      <w:color w:val="2B579A"/>
      <w:shd w:val="clear" w:color="auto" w:fill="E6E6E6"/>
    </w:rPr>
  </w:style>
  <w:style w:type="paragraph" w:customStyle="1" w:styleId="CVText">
    <w:name w:val="CV Text"/>
    <w:basedOn w:val="Normal"/>
    <w:link w:val="CVTextChar"/>
    <w:qFormat/>
    <w:rsid w:val="00FB3721"/>
    <w:pPr>
      <w:kinsoku w:val="0"/>
      <w:overflowPunct w:val="0"/>
      <w:autoSpaceDE w:val="0"/>
      <w:autoSpaceDN w:val="0"/>
      <w:adjustRightInd w:val="0"/>
      <w:snapToGrid w:val="0"/>
      <w:spacing w:before="80" w:after="80"/>
      <w:ind w:left="0"/>
    </w:pPr>
    <w:rPr>
      <w:rFonts w:ascii="Calibri" w:eastAsia="Times New Roman" w:hAnsi="Calibri"/>
      <w:snapToGrid w:val="0"/>
      <w:sz w:val="20"/>
      <w:szCs w:val="21"/>
      <w:lang w:eastAsia="en-US"/>
    </w:rPr>
  </w:style>
  <w:style w:type="character" w:customStyle="1" w:styleId="CVTextChar">
    <w:name w:val="CV Text Char"/>
    <w:link w:val="CVText"/>
    <w:rsid w:val="00FB3721"/>
    <w:rPr>
      <w:rFonts w:ascii="Calibri" w:eastAsia="Times New Roman" w:hAnsi="Calibri" w:cs="Arial"/>
      <w:snapToGrid w:val="0"/>
      <w:sz w:val="20"/>
      <w:szCs w:val="21"/>
    </w:rPr>
  </w:style>
  <w:style w:type="table" w:customStyle="1" w:styleId="GridTable2-Accent311">
    <w:name w:val="Grid Table 2 - Accent 311"/>
    <w:basedOn w:val="TableNormal"/>
    <w:uiPriority w:val="47"/>
    <w:rsid w:val="006240F1"/>
    <w:pPr>
      <w:spacing w:after="0" w:line="240" w:lineRule="auto"/>
    </w:pPr>
    <w:rPr>
      <w:lang w:bidi="th-TH"/>
    </w:r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ascii="Arial" w:hAnsi="Arial" w:cs="Arial" w:hint="default"/>
        <w:b/>
        <w:bCs/>
        <w:color w:val="FFFFFF" w:themeColor="background1"/>
        <w:sz w:val="22"/>
        <w:szCs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Horz">
      <w:tblPr/>
      <w:tcPr>
        <w:shd w:val="clear" w:color="auto" w:fill="EDEDED" w:themeFill="accent3" w:themeFillTint="33"/>
      </w:tcPr>
    </w:tblStylePr>
  </w:style>
  <w:style w:type="table" w:customStyle="1" w:styleId="TableGrid3">
    <w:name w:val="Table Grid3"/>
    <w:basedOn w:val="TableNormal"/>
    <w:next w:val="TableGrid"/>
    <w:uiPriority w:val="39"/>
    <w:rsid w:val="00FD06ED"/>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rsid w:val="00FD06ED"/>
    <w:pPr>
      <w:numPr>
        <w:numId w:val="2"/>
      </w:numPr>
    </w:pPr>
  </w:style>
  <w:style w:type="numbering" w:customStyle="1" w:styleId="Style21">
    <w:name w:val="Style21"/>
    <w:rsid w:val="00FD06ED"/>
    <w:pPr>
      <w:numPr>
        <w:numId w:val="3"/>
      </w:numPr>
    </w:pPr>
  </w:style>
  <w:style w:type="numbering" w:customStyle="1" w:styleId="CurrentList21">
    <w:name w:val="Current List21"/>
    <w:rsid w:val="00FD06ED"/>
    <w:pPr>
      <w:numPr>
        <w:numId w:val="4"/>
      </w:numPr>
    </w:pPr>
  </w:style>
  <w:style w:type="table" w:customStyle="1" w:styleId="TableGrid12">
    <w:name w:val="Table Grid12"/>
    <w:basedOn w:val="TableNormal"/>
    <w:next w:val="TableGrid"/>
    <w:rsid w:val="00FD06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FD06ED"/>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
    <w:name w:val="Table Grid22"/>
    <w:basedOn w:val="TableNormal"/>
    <w:next w:val="TableGrid"/>
    <w:uiPriority w:val="59"/>
    <w:rsid w:val="00FD06ED"/>
    <w:pPr>
      <w:spacing w:after="0" w:line="240" w:lineRule="auto"/>
    </w:pPr>
    <w:rPr>
      <w:rFonts w:eastAsia="SimSu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fontsize-3">
    <w:name w:val="ms-rtefontsize-3"/>
    <w:basedOn w:val="DefaultParagraphFont"/>
    <w:rsid w:val="00FD06ED"/>
  </w:style>
  <w:style w:type="table" w:customStyle="1" w:styleId="FSRtable1">
    <w:name w:val="FSR table1"/>
    <w:basedOn w:val="TableNormal"/>
    <w:uiPriority w:val="99"/>
    <w:rsid w:val="007D30B1"/>
    <w:pPr>
      <w:keepLines/>
      <w:spacing w:after="0" w:line="240" w:lineRule="auto"/>
      <w:jc w:val="right"/>
    </w:pPr>
    <w:rPr>
      <w:rFonts w:ascii="Arial" w:eastAsia="DengXian" w:hAnsi="Arial" w:cs="Cordia New"/>
      <w:szCs w:val="28"/>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paragraph" w:customStyle="1" w:styleId="ImageStyle">
    <w:name w:val="Image Style"/>
    <w:basedOn w:val="FGCNORMAL"/>
    <w:qFormat/>
    <w:rsid w:val="003D0F64"/>
    <w:pPr>
      <w:keepNext/>
      <w:ind w:left="283"/>
    </w:pPr>
    <w:rPr>
      <w:noProof/>
    </w:rPr>
  </w:style>
  <w:style w:type="paragraph" w:customStyle="1" w:styleId="Heading43">
    <w:name w:val="Heading 4_3"/>
    <w:basedOn w:val="Heading4"/>
    <w:qFormat/>
    <w:rsid w:val="00780639"/>
    <w:pPr>
      <w:ind w:left="648"/>
      <w:outlineLvl w:val="2"/>
    </w:pPr>
  </w:style>
  <w:style w:type="paragraph" w:customStyle="1" w:styleId="FGCHEADING43">
    <w:name w:val="FGC_HEADING_4_3"/>
    <w:basedOn w:val="FGCHEADING4"/>
    <w:qFormat/>
    <w:rsid w:val="00780639"/>
    <w:pPr>
      <w:ind w:left="648"/>
      <w:outlineLvl w:val="2"/>
    </w:pPr>
  </w:style>
  <w:style w:type="paragraph" w:customStyle="1" w:styleId="FGCHEADING63">
    <w:name w:val="FGC_HEADING_6_3"/>
    <w:basedOn w:val="FGCHEADING6"/>
    <w:qFormat/>
    <w:rsid w:val="00780639"/>
    <w:pPr>
      <w:ind w:left="648"/>
      <w:outlineLvl w:val="2"/>
    </w:pPr>
  </w:style>
  <w:style w:type="paragraph" w:customStyle="1" w:styleId="FGCHEADING65">
    <w:name w:val="FGC_HEADING_6_5"/>
    <w:basedOn w:val="FGCHEADING6"/>
    <w:qFormat/>
    <w:rsid w:val="00780639"/>
    <w:pPr>
      <w:ind w:left="648"/>
      <w:outlineLvl w:val="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3478">
      <w:bodyDiv w:val="1"/>
      <w:marLeft w:val="0"/>
      <w:marRight w:val="0"/>
      <w:marTop w:val="0"/>
      <w:marBottom w:val="0"/>
      <w:divBdr>
        <w:top w:val="none" w:sz="0" w:space="0" w:color="auto"/>
        <w:left w:val="none" w:sz="0" w:space="0" w:color="auto"/>
        <w:bottom w:val="none" w:sz="0" w:space="0" w:color="auto"/>
        <w:right w:val="none" w:sz="0" w:space="0" w:color="auto"/>
      </w:divBdr>
      <w:divsChild>
        <w:div w:id="35473727">
          <w:marLeft w:val="0"/>
          <w:marRight w:val="0"/>
          <w:marTop w:val="0"/>
          <w:marBottom w:val="0"/>
          <w:divBdr>
            <w:top w:val="none" w:sz="0" w:space="0" w:color="auto"/>
            <w:left w:val="none" w:sz="0" w:space="0" w:color="auto"/>
            <w:bottom w:val="none" w:sz="0" w:space="0" w:color="auto"/>
            <w:right w:val="none" w:sz="0" w:space="0" w:color="auto"/>
          </w:divBdr>
        </w:div>
        <w:div w:id="98913271">
          <w:marLeft w:val="0"/>
          <w:marRight w:val="0"/>
          <w:marTop w:val="0"/>
          <w:marBottom w:val="0"/>
          <w:divBdr>
            <w:top w:val="none" w:sz="0" w:space="0" w:color="auto"/>
            <w:left w:val="none" w:sz="0" w:space="0" w:color="auto"/>
            <w:bottom w:val="none" w:sz="0" w:space="0" w:color="auto"/>
            <w:right w:val="none" w:sz="0" w:space="0" w:color="auto"/>
          </w:divBdr>
        </w:div>
        <w:div w:id="109322743">
          <w:marLeft w:val="0"/>
          <w:marRight w:val="0"/>
          <w:marTop w:val="0"/>
          <w:marBottom w:val="0"/>
          <w:divBdr>
            <w:top w:val="none" w:sz="0" w:space="0" w:color="auto"/>
            <w:left w:val="none" w:sz="0" w:space="0" w:color="auto"/>
            <w:bottom w:val="none" w:sz="0" w:space="0" w:color="auto"/>
            <w:right w:val="none" w:sz="0" w:space="0" w:color="auto"/>
          </w:divBdr>
        </w:div>
        <w:div w:id="421073761">
          <w:marLeft w:val="0"/>
          <w:marRight w:val="0"/>
          <w:marTop w:val="0"/>
          <w:marBottom w:val="0"/>
          <w:divBdr>
            <w:top w:val="none" w:sz="0" w:space="0" w:color="auto"/>
            <w:left w:val="none" w:sz="0" w:space="0" w:color="auto"/>
            <w:bottom w:val="none" w:sz="0" w:space="0" w:color="auto"/>
            <w:right w:val="none" w:sz="0" w:space="0" w:color="auto"/>
          </w:divBdr>
        </w:div>
        <w:div w:id="734619500">
          <w:marLeft w:val="0"/>
          <w:marRight w:val="0"/>
          <w:marTop w:val="0"/>
          <w:marBottom w:val="0"/>
          <w:divBdr>
            <w:top w:val="none" w:sz="0" w:space="0" w:color="auto"/>
            <w:left w:val="none" w:sz="0" w:space="0" w:color="auto"/>
            <w:bottom w:val="none" w:sz="0" w:space="0" w:color="auto"/>
            <w:right w:val="none" w:sz="0" w:space="0" w:color="auto"/>
          </w:divBdr>
        </w:div>
        <w:div w:id="849026470">
          <w:marLeft w:val="0"/>
          <w:marRight w:val="0"/>
          <w:marTop w:val="0"/>
          <w:marBottom w:val="0"/>
          <w:divBdr>
            <w:top w:val="none" w:sz="0" w:space="0" w:color="auto"/>
            <w:left w:val="none" w:sz="0" w:space="0" w:color="auto"/>
            <w:bottom w:val="none" w:sz="0" w:space="0" w:color="auto"/>
            <w:right w:val="none" w:sz="0" w:space="0" w:color="auto"/>
          </w:divBdr>
        </w:div>
        <w:div w:id="1012994703">
          <w:marLeft w:val="0"/>
          <w:marRight w:val="0"/>
          <w:marTop w:val="0"/>
          <w:marBottom w:val="0"/>
          <w:divBdr>
            <w:top w:val="none" w:sz="0" w:space="0" w:color="auto"/>
            <w:left w:val="none" w:sz="0" w:space="0" w:color="auto"/>
            <w:bottom w:val="none" w:sz="0" w:space="0" w:color="auto"/>
            <w:right w:val="none" w:sz="0" w:space="0" w:color="auto"/>
          </w:divBdr>
        </w:div>
        <w:div w:id="1193423683">
          <w:marLeft w:val="0"/>
          <w:marRight w:val="0"/>
          <w:marTop w:val="0"/>
          <w:marBottom w:val="0"/>
          <w:divBdr>
            <w:top w:val="none" w:sz="0" w:space="0" w:color="auto"/>
            <w:left w:val="none" w:sz="0" w:space="0" w:color="auto"/>
            <w:bottom w:val="none" w:sz="0" w:space="0" w:color="auto"/>
            <w:right w:val="none" w:sz="0" w:space="0" w:color="auto"/>
          </w:divBdr>
        </w:div>
        <w:div w:id="1684503736">
          <w:marLeft w:val="0"/>
          <w:marRight w:val="0"/>
          <w:marTop w:val="0"/>
          <w:marBottom w:val="0"/>
          <w:divBdr>
            <w:top w:val="none" w:sz="0" w:space="0" w:color="auto"/>
            <w:left w:val="none" w:sz="0" w:space="0" w:color="auto"/>
            <w:bottom w:val="none" w:sz="0" w:space="0" w:color="auto"/>
            <w:right w:val="none" w:sz="0" w:space="0" w:color="auto"/>
          </w:divBdr>
        </w:div>
        <w:div w:id="1754353036">
          <w:marLeft w:val="0"/>
          <w:marRight w:val="0"/>
          <w:marTop w:val="0"/>
          <w:marBottom w:val="0"/>
          <w:divBdr>
            <w:top w:val="none" w:sz="0" w:space="0" w:color="auto"/>
            <w:left w:val="none" w:sz="0" w:space="0" w:color="auto"/>
            <w:bottom w:val="none" w:sz="0" w:space="0" w:color="auto"/>
            <w:right w:val="none" w:sz="0" w:space="0" w:color="auto"/>
          </w:divBdr>
        </w:div>
        <w:div w:id="2121024841">
          <w:marLeft w:val="0"/>
          <w:marRight w:val="0"/>
          <w:marTop w:val="0"/>
          <w:marBottom w:val="0"/>
          <w:divBdr>
            <w:top w:val="none" w:sz="0" w:space="0" w:color="auto"/>
            <w:left w:val="none" w:sz="0" w:space="0" w:color="auto"/>
            <w:bottom w:val="none" w:sz="0" w:space="0" w:color="auto"/>
            <w:right w:val="none" w:sz="0" w:space="0" w:color="auto"/>
          </w:divBdr>
        </w:div>
        <w:div w:id="2141221135">
          <w:marLeft w:val="0"/>
          <w:marRight w:val="0"/>
          <w:marTop w:val="0"/>
          <w:marBottom w:val="0"/>
          <w:divBdr>
            <w:top w:val="none" w:sz="0" w:space="0" w:color="auto"/>
            <w:left w:val="none" w:sz="0" w:space="0" w:color="auto"/>
            <w:bottom w:val="none" w:sz="0" w:space="0" w:color="auto"/>
            <w:right w:val="none" w:sz="0" w:space="0" w:color="auto"/>
          </w:divBdr>
        </w:div>
      </w:divsChild>
    </w:div>
    <w:div w:id="37440896">
      <w:bodyDiv w:val="1"/>
      <w:marLeft w:val="0"/>
      <w:marRight w:val="0"/>
      <w:marTop w:val="0"/>
      <w:marBottom w:val="0"/>
      <w:divBdr>
        <w:top w:val="none" w:sz="0" w:space="0" w:color="auto"/>
        <w:left w:val="none" w:sz="0" w:space="0" w:color="auto"/>
        <w:bottom w:val="none" w:sz="0" w:space="0" w:color="auto"/>
        <w:right w:val="none" w:sz="0" w:space="0" w:color="auto"/>
      </w:divBdr>
      <w:divsChild>
        <w:div w:id="522863732">
          <w:marLeft w:val="0"/>
          <w:marRight w:val="0"/>
          <w:marTop w:val="0"/>
          <w:marBottom w:val="0"/>
          <w:divBdr>
            <w:top w:val="none" w:sz="0" w:space="0" w:color="auto"/>
            <w:left w:val="none" w:sz="0" w:space="0" w:color="auto"/>
            <w:bottom w:val="none" w:sz="0" w:space="0" w:color="auto"/>
            <w:right w:val="none" w:sz="0" w:space="0" w:color="auto"/>
          </w:divBdr>
        </w:div>
        <w:div w:id="997001550">
          <w:marLeft w:val="0"/>
          <w:marRight w:val="0"/>
          <w:marTop w:val="0"/>
          <w:marBottom w:val="0"/>
          <w:divBdr>
            <w:top w:val="none" w:sz="0" w:space="0" w:color="auto"/>
            <w:left w:val="none" w:sz="0" w:space="0" w:color="auto"/>
            <w:bottom w:val="none" w:sz="0" w:space="0" w:color="auto"/>
            <w:right w:val="none" w:sz="0" w:space="0" w:color="auto"/>
          </w:divBdr>
        </w:div>
        <w:div w:id="1225870849">
          <w:marLeft w:val="0"/>
          <w:marRight w:val="0"/>
          <w:marTop w:val="0"/>
          <w:marBottom w:val="0"/>
          <w:divBdr>
            <w:top w:val="none" w:sz="0" w:space="0" w:color="auto"/>
            <w:left w:val="none" w:sz="0" w:space="0" w:color="auto"/>
            <w:bottom w:val="none" w:sz="0" w:space="0" w:color="auto"/>
            <w:right w:val="none" w:sz="0" w:space="0" w:color="auto"/>
          </w:divBdr>
        </w:div>
      </w:divsChild>
    </w:div>
    <w:div w:id="67311445">
      <w:bodyDiv w:val="1"/>
      <w:marLeft w:val="0"/>
      <w:marRight w:val="0"/>
      <w:marTop w:val="0"/>
      <w:marBottom w:val="0"/>
      <w:divBdr>
        <w:top w:val="none" w:sz="0" w:space="0" w:color="auto"/>
        <w:left w:val="none" w:sz="0" w:space="0" w:color="auto"/>
        <w:bottom w:val="none" w:sz="0" w:space="0" w:color="auto"/>
        <w:right w:val="none" w:sz="0" w:space="0" w:color="auto"/>
      </w:divBdr>
    </w:div>
    <w:div w:id="75713897">
      <w:bodyDiv w:val="1"/>
      <w:marLeft w:val="0"/>
      <w:marRight w:val="0"/>
      <w:marTop w:val="0"/>
      <w:marBottom w:val="0"/>
      <w:divBdr>
        <w:top w:val="none" w:sz="0" w:space="0" w:color="auto"/>
        <w:left w:val="none" w:sz="0" w:space="0" w:color="auto"/>
        <w:bottom w:val="none" w:sz="0" w:space="0" w:color="auto"/>
        <w:right w:val="none" w:sz="0" w:space="0" w:color="auto"/>
      </w:divBdr>
      <w:divsChild>
        <w:div w:id="423500048">
          <w:marLeft w:val="0"/>
          <w:marRight w:val="0"/>
          <w:marTop w:val="0"/>
          <w:marBottom w:val="0"/>
          <w:divBdr>
            <w:top w:val="none" w:sz="0" w:space="0" w:color="auto"/>
            <w:left w:val="none" w:sz="0" w:space="0" w:color="auto"/>
            <w:bottom w:val="none" w:sz="0" w:space="0" w:color="auto"/>
            <w:right w:val="none" w:sz="0" w:space="0" w:color="auto"/>
          </w:divBdr>
        </w:div>
        <w:div w:id="728963605">
          <w:marLeft w:val="0"/>
          <w:marRight w:val="0"/>
          <w:marTop w:val="0"/>
          <w:marBottom w:val="0"/>
          <w:divBdr>
            <w:top w:val="none" w:sz="0" w:space="0" w:color="auto"/>
            <w:left w:val="none" w:sz="0" w:space="0" w:color="auto"/>
            <w:bottom w:val="none" w:sz="0" w:space="0" w:color="auto"/>
            <w:right w:val="none" w:sz="0" w:space="0" w:color="auto"/>
          </w:divBdr>
        </w:div>
      </w:divsChild>
    </w:div>
    <w:div w:id="88357754">
      <w:bodyDiv w:val="1"/>
      <w:marLeft w:val="0"/>
      <w:marRight w:val="0"/>
      <w:marTop w:val="0"/>
      <w:marBottom w:val="0"/>
      <w:divBdr>
        <w:top w:val="none" w:sz="0" w:space="0" w:color="auto"/>
        <w:left w:val="none" w:sz="0" w:space="0" w:color="auto"/>
        <w:bottom w:val="none" w:sz="0" w:space="0" w:color="auto"/>
        <w:right w:val="none" w:sz="0" w:space="0" w:color="auto"/>
      </w:divBdr>
    </w:div>
    <w:div w:id="124393905">
      <w:bodyDiv w:val="1"/>
      <w:marLeft w:val="0"/>
      <w:marRight w:val="0"/>
      <w:marTop w:val="0"/>
      <w:marBottom w:val="0"/>
      <w:divBdr>
        <w:top w:val="none" w:sz="0" w:space="0" w:color="auto"/>
        <w:left w:val="none" w:sz="0" w:space="0" w:color="auto"/>
        <w:bottom w:val="none" w:sz="0" w:space="0" w:color="auto"/>
        <w:right w:val="none" w:sz="0" w:space="0" w:color="auto"/>
      </w:divBdr>
    </w:div>
    <w:div w:id="131411604">
      <w:bodyDiv w:val="1"/>
      <w:marLeft w:val="0"/>
      <w:marRight w:val="0"/>
      <w:marTop w:val="0"/>
      <w:marBottom w:val="0"/>
      <w:divBdr>
        <w:top w:val="none" w:sz="0" w:space="0" w:color="auto"/>
        <w:left w:val="none" w:sz="0" w:space="0" w:color="auto"/>
        <w:bottom w:val="none" w:sz="0" w:space="0" w:color="auto"/>
        <w:right w:val="none" w:sz="0" w:space="0" w:color="auto"/>
      </w:divBdr>
    </w:div>
    <w:div w:id="151995653">
      <w:bodyDiv w:val="1"/>
      <w:marLeft w:val="0"/>
      <w:marRight w:val="0"/>
      <w:marTop w:val="0"/>
      <w:marBottom w:val="0"/>
      <w:divBdr>
        <w:top w:val="none" w:sz="0" w:space="0" w:color="auto"/>
        <w:left w:val="none" w:sz="0" w:space="0" w:color="auto"/>
        <w:bottom w:val="none" w:sz="0" w:space="0" w:color="auto"/>
        <w:right w:val="none" w:sz="0" w:space="0" w:color="auto"/>
      </w:divBdr>
    </w:div>
    <w:div w:id="168954115">
      <w:bodyDiv w:val="1"/>
      <w:marLeft w:val="0"/>
      <w:marRight w:val="0"/>
      <w:marTop w:val="0"/>
      <w:marBottom w:val="0"/>
      <w:divBdr>
        <w:top w:val="none" w:sz="0" w:space="0" w:color="auto"/>
        <w:left w:val="none" w:sz="0" w:space="0" w:color="auto"/>
        <w:bottom w:val="none" w:sz="0" w:space="0" w:color="auto"/>
        <w:right w:val="none" w:sz="0" w:space="0" w:color="auto"/>
      </w:divBdr>
      <w:divsChild>
        <w:div w:id="49545555">
          <w:marLeft w:val="0"/>
          <w:marRight w:val="0"/>
          <w:marTop w:val="0"/>
          <w:marBottom w:val="0"/>
          <w:divBdr>
            <w:top w:val="none" w:sz="0" w:space="0" w:color="auto"/>
            <w:left w:val="none" w:sz="0" w:space="0" w:color="auto"/>
            <w:bottom w:val="none" w:sz="0" w:space="0" w:color="auto"/>
            <w:right w:val="none" w:sz="0" w:space="0" w:color="auto"/>
          </w:divBdr>
        </w:div>
        <w:div w:id="366297662">
          <w:marLeft w:val="0"/>
          <w:marRight w:val="0"/>
          <w:marTop w:val="0"/>
          <w:marBottom w:val="0"/>
          <w:divBdr>
            <w:top w:val="none" w:sz="0" w:space="0" w:color="auto"/>
            <w:left w:val="none" w:sz="0" w:space="0" w:color="auto"/>
            <w:bottom w:val="none" w:sz="0" w:space="0" w:color="auto"/>
            <w:right w:val="none" w:sz="0" w:space="0" w:color="auto"/>
          </w:divBdr>
        </w:div>
        <w:div w:id="565840005">
          <w:marLeft w:val="0"/>
          <w:marRight w:val="0"/>
          <w:marTop w:val="0"/>
          <w:marBottom w:val="0"/>
          <w:divBdr>
            <w:top w:val="none" w:sz="0" w:space="0" w:color="auto"/>
            <w:left w:val="none" w:sz="0" w:space="0" w:color="auto"/>
            <w:bottom w:val="none" w:sz="0" w:space="0" w:color="auto"/>
            <w:right w:val="none" w:sz="0" w:space="0" w:color="auto"/>
          </w:divBdr>
        </w:div>
        <w:div w:id="1207520863">
          <w:marLeft w:val="0"/>
          <w:marRight w:val="0"/>
          <w:marTop w:val="0"/>
          <w:marBottom w:val="0"/>
          <w:divBdr>
            <w:top w:val="none" w:sz="0" w:space="0" w:color="auto"/>
            <w:left w:val="none" w:sz="0" w:space="0" w:color="auto"/>
            <w:bottom w:val="none" w:sz="0" w:space="0" w:color="auto"/>
            <w:right w:val="none" w:sz="0" w:space="0" w:color="auto"/>
          </w:divBdr>
        </w:div>
        <w:div w:id="1309898436">
          <w:marLeft w:val="0"/>
          <w:marRight w:val="0"/>
          <w:marTop w:val="0"/>
          <w:marBottom w:val="0"/>
          <w:divBdr>
            <w:top w:val="none" w:sz="0" w:space="0" w:color="auto"/>
            <w:left w:val="none" w:sz="0" w:space="0" w:color="auto"/>
            <w:bottom w:val="none" w:sz="0" w:space="0" w:color="auto"/>
            <w:right w:val="none" w:sz="0" w:space="0" w:color="auto"/>
          </w:divBdr>
        </w:div>
        <w:div w:id="1415083487">
          <w:marLeft w:val="0"/>
          <w:marRight w:val="0"/>
          <w:marTop w:val="0"/>
          <w:marBottom w:val="0"/>
          <w:divBdr>
            <w:top w:val="none" w:sz="0" w:space="0" w:color="auto"/>
            <w:left w:val="none" w:sz="0" w:space="0" w:color="auto"/>
            <w:bottom w:val="none" w:sz="0" w:space="0" w:color="auto"/>
            <w:right w:val="none" w:sz="0" w:space="0" w:color="auto"/>
          </w:divBdr>
        </w:div>
        <w:div w:id="1502508844">
          <w:marLeft w:val="0"/>
          <w:marRight w:val="0"/>
          <w:marTop w:val="0"/>
          <w:marBottom w:val="0"/>
          <w:divBdr>
            <w:top w:val="none" w:sz="0" w:space="0" w:color="auto"/>
            <w:left w:val="none" w:sz="0" w:space="0" w:color="auto"/>
            <w:bottom w:val="none" w:sz="0" w:space="0" w:color="auto"/>
            <w:right w:val="none" w:sz="0" w:space="0" w:color="auto"/>
          </w:divBdr>
        </w:div>
        <w:div w:id="1574660012">
          <w:marLeft w:val="0"/>
          <w:marRight w:val="0"/>
          <w:marTop w:val="0"/>
          <w:marBottom w:val="0"/>
          <w:divBdr>
            <w:top w:val="none" w:sz="0" w:space="0" w:color="auto"/>
            <w:left w:val="none" w:sz="0" w:space="0" w:color="auto"/>
            <w:bottom w:val="none" w:sz="0" w:space="0" w:color="auto"/>
            <w:right w:val="none" w:sz="0" w:space="0" w:color="auto"/>
          </w:divBdr>
        </w:div>
        <w:div w:id="1687366789">
          <w:marLeft w:val="0"/>
          <w:marRight w:val="0"/>
          <w:marTop w:val="0"/>
          <w:marBottom w:val="0"/>
          <w:divBdr>
            <w:top w:val="none" w:sz="0" w:space="0" w:color="auto"/>
            <w:left w:val="none" w:sz="0" w:space="0" w:color="auto"/>
            <w:bottom w:val="none" w:sz="0" w:space="0" w:color="auto"/>
            <w:right w:val="none" w:sz="0" w:space="0" w:color="auto"/>
          </w:divBdr>
        </w:div>
        <w:div w:id="1693069658">
          <w:marLeft w:val="0"/>
          <w:marRight w:val="0"/>
          <w:marTop w:val="0"/>
          <w:marBottom w:val="0"/>
          <w:divBdr>
            <w:top w:val="none" w:sz="0" w:space="0" w:color="auto"/>
            <w:left w:val="none" w:sz="0" w:space="0" w:color="auto"/>
            <w:bottom w:val="none" w:sz="0" w:space="0" w:color="auto"/>
            <w:right w:val="none" w:sz="0" w:space="0" w:color="auto"/>
          </w:divBdr>
        </w:div>
        <w:div w:id="1918634675">
          <w:marLeft w:val="0"/>
          <w:marRight w:val="0"/>
          <w:marTop w:val="0"/>
          <w:marBottom w:val="0"/>
          <w:divBdr>
            <w:top w:val="none" w:sz="0" w:space="0" w:color="auto"/>
            <w:left w:val="none" w:sz="0" w:space="0" w:color="auto"/>
            <w:bottom w:val="none" w:sz="0" w:space="0" w:color="auto"/>
            <w:right w:val="none" w:sz="0" w:space="0" w:color="auto"/>
          </w:divBdr>
        </w:div>
        <w:div w:id="2064212774">
          <w:marLeft w:val="0"/>
          <w:marRight w:val="0"/>
          <w:marTop w:val="0"/>
          <w:marBottom w:val="0"/>
          <w:divBdr>
            <w:top w:val="none" w:sz="0" w:space="0" w:color="auto"/>
            <w:left w:val="none" w:sz="0" w:space="0" w:color="auto"/>
            <w:bottom w:val="none" w:sz="0" w:space="0" w:color="auto"/>
            <w:right w:val="none" w:sz="0" w:space="0" w:color="auto"/>
          </w:divBdr>
        </w:div>
      </w:divsChild>
    </w:div>
    <w:div w:id="200940017">
      <w:bodyDiv w:val="1"/>
      <w:marLeft w:val="0"/>
      <w:marRight w:val="0"/>
      <w:marTop w:val="0"/>
      <w:marBottom w:val="0"/>
      <w:divBdr>
        <w:top w:val="none" w:sz="0" w:space="0" w:color="auto"/>
        <w:left w:val="none" w:sz="0" w:space="0" w:color="auto"/>
        <w:bottom w:val="none" w:sz="0" w:space="0" w:color="auto"/>
        <w:right w:val="none" w:sz="0" w:space="0" w:color="auto"/>
      </w:divBdr>
    </w:div>
    <w:div w:id="207452529">
      <w:bodyDiv w:val="1"/>
      <w:marLeft w:val="0"/>
      <w:marRight w:val="0"/>
      <w:marTop w:val="0"/>
      <w:marBottom w:val="0"/>
      <w:divBdr>
        <w:top w:val="none" w:sz="0" w:space="0" w:color="auto"/>
        <w:left w:val="none" w:sz="0" w:space="0" w:color="auto"/>
        <w:bottom w:val="none" w:sz="0" w:space="0" w:color="auto"/>
        <w:right w:val="none" w:sz="0" w:space="0" w:color="auto"/>
      </w:divBdr>
      <w:divsChild>
        <w:div w:id="361396742">
          <w:marLeft w:val="0"/>
          <w:marRight w:val="0"/>
          <w:marTop w:val="0"/>
          <w:marBottom w:val="0"/>
          <w:divBdr>
            <w:top w:val="none" w:sz="0" w:space="0" w:color="auto"/>
            <w:left w:val="none" w:sz="0" w:space="0" w:color="auto"/>
            <w:bottom w:val="none" w:sz="0" w:space="0" w:color="auto"/>
            <w:right w:val="none" w:sz="0" w:space="0" w:color="auto"/>
          </w:divBdr>
          <w:divsChild>
            <w:div w:id="1585915193">
              <w:marLeft w:val="-225"/>
              <w:marRight w:val="-225"/>
              <w:marTop w:val="0"/>
              <w:marBottom w:val="0"/>
              <w:divBdr>
                <w:top w:val="none" w:sz="0" w:space="0" w:color="auto"/>
                <w:left w:val="none" w:sz="0" w:space="0" w:color="auto"/>
                <w:bottom w:val="none" w:sz="0" w:space="0" w:color="auto"/>
                <w:right w:val="none" w:sz="0" w:space="0" w:color="auto"/>
              </w:divBdr>
              <w:divsChild>
                <w:div w:id="94062694">
                  <w:marLeft w:val="0"/>
                  <w:marRight w:val="0"/>
                  <w:marTop w:val="0"/>
                  <w:marBottom w:val="0"/>
                  <w:divBdr>
                    <w:top w:val="none" w:sz="0" w:space="0" w:color="auto"/>
                    <w:left w:val="none" w:sz="0" w:space="0" w:color="auto"/>
                    <w:bottom w:val="none" w:sz="0" w:space="0" w:color="auto"/>
                    <w:right w:val="none" w:sz="0" w:space="0" w:color="auto"/>
                  </w:divBdr>
                  <w:divsChild>
                    <w:div w:id="580063857">
                      <w:marLeft w:val="0"/>
                      <w:marRight w:val="0"/>
                      <w:marTop w:val="0"/>
                      <w:marBottom w:val="0"/>
                      <w:divBdr>
                        <w:top w:val="none" w:sz="0" w:space="0" w:color="auto"/>
                        <w:left w:val="none" w:sz="0" w:space="0" w:color="auto"/>
                        <w:bottom w:val="none" w:sz="0" w:space="0" w:color="auto"/>
                        <w:right w:val="none" w:sz="0" w:space="0" w:color="auto"/>
                      </w:divBdr>
                      <w:divsChild>
                        <w:div w:id="1185439218">
                          <w:marLeft w:val="0"/>
                          <w:marRight w:val="0"/>
                          <w:marTop w:val="0"/>
                          <w:marBottom w:val="0"/>
                          <w:divBdr>
                            <w:top w:val="none" w:sz="0" w:space="0" w:color="auto"/>
                            <w:left w:val="none" w:sz="0" w:space="0" w:color="auto"/>
                            <w:bottom w:val="none" w:sz="0" w:space="0" w:color="auto"/>
                            <w:right w:val="none" w:sz="0" w:space="0" w:color="auto"/>
                          </w:divBdr>
                          <w:divsChild>
                            <w:div w:id="1103693390">
                              <w:marLeft w:val="0"/>
                              <w:marRight w:val="0"/>
                              <w:marTop w:val="0"/>
                              <w:marBottom w:val="0"/>
                              <w:divBdr>
                                <w:top w:val="none" w:sz="0" w:space="0" w:color="auto"/>
                                <w:left w:val="none" w:sz="0" w:space="0" w:color="auto"/>
                                <w:bottom w:val="none" w:sz="0" w:space="0" w:color="auto"/>
                                <w:right w:val="none" w:sz="0" w:space="0" w:color="auto"/>
                              </w:divBdr>
                              <w:divsChild>
                                <w:div w:id="324282593">
                                  <w:marLeft w:val="0"/>
                                  <w:marRight w:val="0"/>
                                  <w:marTop w:val="0"/>
                                  <w:marBottom w:val="0"/>
                                  <w:divBdr>
                                    <w:top w:val="none" w:sz="0" w:space="0" w:color="auto"/>
                                    <w:left w:val="none" w:sz="0" w:space="0" w:color="auto"/>
                                    <w:bottom w:val="none" w:sz="0" w:space="0" w:color="auto"/>
                                    <w:right w:val="none" w:sz="0" w:space="0" w:color="auto"/>
                                  </w:divBdr>
                                </w:div>
                                <w:div w:id="1117334742">
                                  <w:marLeft w:val="0"/>
                                  <w:marRight w:val="0"/>
                                  <w:marTop w:val="0"/>
                                  <w:marBottom w:val="0"/>
                                  <w:divBdr>
                                    <w:top w:val="none" w:sz="0" w:space="0" w:color="auto"/>
                                    <w:left w:val="none" w:sz="0" w:space="0" w:color="auto"/>
                                    <w:bottom w:val="none" w:sz="0" w:space="0" w:color="auto"/>
                                    <w:right w:val="none" w:sz="0" w:space="0" w:color="auto"/>
                                  </w:divBdr>
                                </w:div>
                              </w:divsChild>
                            </w:div>
                            <w:div w:id="16882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84920">
                  <w:marLeft w:val="0"/>
                  <w:marRight w:val="0"/>
                  <w:marTop w:val="0"/>
                  <w:marBottom w:val="0"/>
                  <w:divBdr>
                    <w:top w:val="none" w:sz="0" w:space="0" w:color="auto"/>
                    <w:left w:val="none" w:sz="0" w:space="0" w:color="auto"/>
                    <w:bottom w:val="none" w:sz="0" w:space="0" w:color="auto"/>
                    <w:right w:val="none" w:sz="0" w:space="0" w:color="auto"/>
                  </w:divBdr>
                  <w:divsChild>
                    <w:div w:id="1956592907">
                      <w:marLeft w:val="0"/>
                      <w:marRight w:val="0"/>
                      <w:marTop w:val="0"/>
                      <w:marBottom w:val="0"/>
                      <w:divBdr>
                        <w:top w:val="none" w:sz="0" w:space="0" w:color="auto"/>
                        <w:left w:val="none" w:sz="0" w:space="0" w:color="auto"/>
                        <w:bottom w:val="none" w:sz="0" w:space="0" w:color="auto"/>
                        <w:right w:val="none" w:sz="0" w:space="0" w:color="auto"/>
                      </w:divBdr>
                      <w:divsChild>
                        <w:div w:id="283511758">
                          <w:marLeft w:val="0"/>
                          <w:marRight w:val="0"/>
                          <w:marTop w:val="0"/>
                          <w:marBottom w:val="0"/>
                          <w:divBdr>
                            <w:top w:val="none" w:sz="0" w:space="0" w:color="auto"/>
                            <w:left w:val="none" w:sz="0" w:space="0" w:color="auto"/>
                            <w:bottom w:val="none" w:sz="0" w:space="0" w:color="auto"/>
                            <w:right w:val="none" w:sz="0" w:space="0" w:color="auto"/>
                          </w:divBdr>
                        </w:div>
                        <w:div w:id="1534686062">
                          <w:marLeft w:val="0"/>
                          <w:marRight w:val="0"/>
                          <w:marTop w:val="0"/>
                          <w:marBottom w:val="0"/>
                          <w:divBdr>
                            <w:top w:val="none" w:sz="0" w:space="0" w:color="auto"/>
                            <w:left w:val="none" w:sz="0" w:space="0" w:color="auto"/>
                            <w:bottom w:val="none" w:sz="0" w:space="0" w:color="auto"/>
                            <w:right w:val="none" w:sz="0" w:space="0" w:color="auto"/>
                          </w:divBdr>
                        </w:div>
                        <w:div w:id="17629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833917">
      <w:bodyDiv w:val="1"/>
      <w:marLeft w:val="0"/>
      <w:marRight w:val="0"/>
      <w:marTop w:val="0"/>
      <w:marBottom w:val="0"/>
      <w:divBdr>
        <w:top w:val="none" w:sz="0" w:space="0" w:color="auto"/>
        <w:left w:val="none" w:sz="0" w:space="0" w:color="auto"/>
        <w:bottom w:val="none" w:sz="0" w:space="0" w:color="auto"/>
        <w:right w:val="none" w:sz="0" w:space="0" w:color="auto"/>
      </w:divBdr>
      <w:divsChild>
        <w:div w:id="524294542">
          <w:marLeft w:val="0"/>
          <w:marRight w:val="0"/>
          <w:marTop w:val="0"/>
          <w:marBottom w:val="0"/>
          <w:divBdr>
            <w:top w:val="none" w:sz="0" w:space="0" w:color="auto"/>
            <w:left w:val="none" w:sz="0" w:space="0" w:color="auto"/>
            <w:bottom w:val="none" w:sz="0" w:space="0" w:color="auto"/>
            <w:right w:val="none" w:sz="0" w:space="0" w:color="auto"/>
          </w:divBdr>
        </w:div>
        <w:div w:id="1107308181">
          <w:marLeft w:val="0"/>
          <w:marRight w:val="0"/>
          <w:marTop w:val="0"/>
          <w:marBottom w:val="0"/>
          <w:divBdr>
            <w:top w:val="none" w:sz="0" w:space="0" w:color="auto"/>
            <w:left w:val="none" w:sz="0" w:space="0" w:color="auto"/>
            <w:bottom w:val="none" w:sz="0" w:space="0" w:color="auto"/>
            <w:right w:val="none" w:sz="0" w:space="0" w:color="auto"/>
          </w:divBdr>
        </w:div>
        <w:div w:id="1507357229">
          <w:marLeft w:val="0"/>
          <w:marRight w:val="0"/>
          <w:marTop w:val="0"/>
          <w:marBottom w:val="0"/>
          <w:divBdr>
            <w:top w:val="none" w:sz="0" w:space="0" w:color="auto"/>
            <w:left w:val="none" w:sz="0" w:space="0" w:color="auto"/>
            <w:bottom w:val="none" w:sz="0" w:space="0" w:color="auto"/>
            <w:right w:val="none" w:sz="0" w:space="0" w:color="auto"/>
          </w:divBdr>
        </w:div>
        <w:div w:id="1979726637">
          <w:marLeft w:val="0"/>
          <w:marRight w:val="0"/>
          <w:marTop w:val="0"/>
          <w:marBottom w:val="0"/>
          <w:divBdr>
            <w:top w:val="none" w:sz="0" w:space="0" w:color="auto"/>
            <w:left w:val="none" w:sz="0" w:space="0" w:color="auto"/>
            <w:bottom w:val="none" w:sz="0" w:space="0" w:color="auto"/>
            <w:right w:val="none" w:sz="0" w:space="0" w:color="auto"/>
          </w:divBdr>
        </w:div>
      </w:divsChild>
    </w:div>
    <w:div w:id="223225177">
      <w:bodyDiv w:val="1"/>
      <w:marLeft w:val="0"/>
      <w:marRight w:val="0"/>
      <w:marTop w:val="0"/>
      <w:marBottom w:val="0"/>
      <w:divBdr>
        <w:top w:val="none" w:sz="0" w:space="0" w:color="auto"/>
        <w:left w:val="none" w:sz="0" w:space="0" w:color="auto"/>
        <w:bottom w:val="none" w:sz="0" w:space="0" w:color="auto"/>
        <w:right w:val="none" w:sz="0" w:space="0" w:color="auto"/>
      </w:divBdr>
    </w:div>
    <w:div w:id="244462408">
      <w:bodyDiv w:val="1"/>
      <w:marLeft w:val="0"/>
      <w:marRight w:val="0"/>
      <w:marTop w:val="0"/>
      <w:marBottom w:val="0"/>
      <w:divBdr>
        <w:top w:val="none" w:sz="0" w:space="0" w:color="auto"/>
        <w:left w:val="none" w:sz="0" w:space="0" w:color="auto"/>
        <w:bottom w:val="none" w:sz="0" w:space="0" w:color="auto"/>
        <w:right w:val="none" w:sz="0" w:space="0" w:color="auto"/>
      </w:divBdr>
    </w:div>
    <w:div w:id="271938864">
      <w:bodyDiv w:val="1"/>
      <w:marLeft w:val="0"/>
      <w:marRight w:val="0"/>
      <w:marTop w:val="0"/>
      <w:marBottom w:val="0"/>
      <w:divBdr>
        <w:top w:val="none" w:sz="0" w:space="0" w:color="auto"/>
        <w:left w:val="none" w:sz="0" w:space="0" w:color="auto"/>
        <w:bottom w:val="none" w:sz="0" w:space="0" w:color="auto"/>
        <w:right w:val="none" w:sz="0" w:space="0" w:color="auto"/>
      </w:divBdr>
      <w:divsChild>
        <w:div w:id="29383918">
          <w:marLeft w:val="0"/>
          <w:marRight w:val="0"/>
          <w:marTop w:val="0"/>
          <w:marBottom w:val="0"/>
          <w:divBdr>
            <w:top w:val="none" w:sz="0" w:space="0" w:color="auto"/>
            <w:left w:val="none" w:sz="0" w:space="0" w:color="auto"/>
            <w:bottom w:val="none" w:sz="0" w:space="0" w:color="auto"/>
            <w:right w:val="none" w:sz="0" w:space="0" w:color="auto"/>
          </w:divBdr>
        </w:div>
        <w:div w:id="213389337">
          <w:marLeft w:val="0"/>
          <w:marRight w:val="0"/>
          <w:marTop w:val="0"/>
          <w:marBottom w:val="0"/>
          <w:divBdr>
            <w:top w:val="none" w:sz="0" w:space="0" w:color="auto"/>
            <w:left w:val="none" w:sz="0" w:space="0" w:color="auto"/>
            <w:bottom w:val="none" w:sz="0" w:space="0" w:color="auto"/>
            <w:right w:val="none" w:sz="0" w:space="0" w:color="auto"/>
          </w:divBdr>
        </w:div>
        <w:div w:id="520247726">
          <w:marLeft w:val="0"/>
          <w:marRight w:val="0"/>
          <w:marTop w:val="0"/>
          <w:marBottom w:val="0"/>
          <w:divBdr>
            <w:top w:val="none" w:sz="0" w:space="0" w:color="auto"/>
            <w:left w:val="none" w:sz="0" w:space="0" w:color="auto"/>
            <w:bottom w:val="none" w:sz="0" w:space="0" w:color="auto"/>
            <w:right w:val="none" w:sz="0" w:space="0" w:color="auto"/>
          </w:divBdr>
        </w:div>
        <w:div w:id="783840558">
          <w:marLeft w:val="0"/>
          <w:marRight w:val="0"/>
          <w:marTop w:val="0"/>
          <w:marBottom w:val="0"/>
          <w:divBdr>
            <w:top w:val="none" w:sz="0" w:space="0" w:color="auto"/>
            <w:left w:val="none" w:sz="0" w:space="0" w:color="auto"/>
            <w:bottom w:val="none" w:sz="0" w:space="0" w:color="auto"/>
            <w:right w:val="none" w:sz="0" w:space="0" w:color="auto"/>
          </w:divBdr>
        </w:div>
        <w:div w:id="1027948943">
          <w:marLeft w:val="0"/>
          <w:marRight w:val="0"/>
          <w:marTop w:val="0"/>
          <w:marBottom w:val="0"/>
          <w:divBdr>
            <w:top w:val="none" w:sz="0" w:space="0" w:color="auto"/>
            <w:left w:val="none" w:sz="0" w:space="0" w:color="auto"/>
            <w:bottom w:val="none" w:sz="0" w:space="0" w:color="auto"/>
            <w:right w:val="none" w:sz="0" w:space="0" w:color="auto"/>
          </w:divBdr>
        </w:div>
        <w:div w:id="1237328211">
          <w:marLeft w:val="0"/>
          <w:marRight w:val="0"/>
          <w:marTop w:val="0"/>
          <w:marBottom w:val="0"/>
          <w:divBdr>
            <w:top w:val="none" w:sz="0" w:space="0" w:color="auto"/>
            <w:left w:val="none" w:sz="0" w:space="0" w:color="auto"/>
            <w:bottom w:val="none" w:sz="0" w:space="0" w:color="auto"/>
            <w:right w:val="none" w:sz="0" w:space="0" w:color="auto"/>
          </w:divBdr>
        </w:div>
      </w:divsChild>
    </w:div>
    <w:div w:id="272591162">
      <w:bodyDiv w:val="1"/>
      <w:marLeft w:val="0"/>
      <w:marRight w:val="0"/>
      <w:marTop w:val="0"/>
      <w:marBottom w:val="0"/>
      <w:divBdr>
        <w:top w:val="none" w:sz="0" w:space="0" w:color="auto"/>
        <w:left w:val="none" w:sz="0" w:space="0" w:color="auto"/>
        <w:bottom w:val="none" w:sz="0" w:space="0" w:color="auto"/>
        <w:right w:val="none" w:sz="0" w:space="0" w:color="auto"/>
      </w:divBdr>
    </w:div>
    <w:div w:id="299653574">
      <w:bodyDiv w:val="1"/>
      <w:marLeft w:val="0"/>
      <w:marRight w:val="0"/>
      <w:marTop w:val="0"/>
      <w:marBottom w:val="0"/>
      <w:divBdr>
        <w:top w:val="none" w:sz="0" w:space="0" w:color="auto"/>
        <w:left w:val="none" w:sz="0" w:space="0" w:color="auto"/>
        <w:bottom w:val="none" w:sz="0" w:space="0" w:color="auto"/>
        <w:right w:val="none" w:sz="0" w:space="0" w:color="auto"/>
      </w:divBdr>
    </w:div>
    <w:div w:id="306399024">
      <w:bodyDiv w:val="1"/>
      <w:marLeft w:val="0"/>
      <w:marRight w:val="0"/>
      <w:marTop w:val="0"/>
      <w:marBottom w:val="0"/>
      <w:divBdr>
        <w:top w:val="none" w:sz="0" w:space="0" w:color="auto"/>
        <w:left w:val="none" w:sz="0" w:space="0" w:color="auto"/>
        <w:bottom w:val="none" w:sz="0" w:space="0" w:color="auto"/>
        <w:right w:val="none" w:sz="0" w:space="0" w:color="auto"/>
      </w:divBdr>
    </w:div>
    <w:div w:id="346059085">
      <w:bodyDiv w:val="1"/>
      <w:marLeft w:val="0"/>
      <w:marRight w:val="0"/>
      <w:marTop w:val="0"/>
      <w:marBottom w:val="0"/>
      <w:divBdr>
        <w:top w:val="none" w:sz="0" w:space="0" w:color="auto"/>
        <w:left w:val="none" w:sz="0" w:space="0" w:color="auto"/>
        <w:bottom w:val="none" w:sz="0" w:space="0" w:color="auto"/>
        <w:right w:val="none" w:sz="0" w:space="0" w:color="auto"/>
      </w:divBdr>
    </w:div>
    <w:div w:id="396319046">
      <w:bodyDiv w:val="1"/>
      <w:marLeft w:val="0"/>
      <w:marRight w:val="0"/>
      <w:marTop w:val="0"/>
      <w:marBottom w:val="0"/>
      <w:divBdr>
        <w:top w:val="none" w:sz="0" w:space="0" w:color="auto"/>
        <w:left w:val="none" w:sz="0" w:space="0" w:color="auto"/>
        <w:bottom w:val="none" w:sz="0" w:space="0" w:color="auto"/>
        <w:right w:val="none" w:sz="0" w:space="0" w:color="auto"/>
      </w:divBdr>
    </w:div>
    <w:div w:id="407700959">
      <w:bodyDiv w:val="1"/>
      <w:marLeft w:val="0"/>
      <w:marRight w:val="0"/>
      <w:marTop w:val="0"/>
      <w:marBottom w:val="0"/>
      <w:divBdr>
        <w:top w:val="none" w:sz="0" w:space="0" w:color="auto"/>
        <w:left w:val="none" w:sz="0" w:space="0" w:color="auto"/>
        <w:bottom w:val="none" w:sz="0" w:space="0" w:color="auto"/>
        <w:right w:val="none" w:sz="0" w:space="0" w:color="auto"/>
      </w:divBdr>
    </w:div>
    <w:div w:id="410926182">
      <w:bodyDiv w:val="1"/>
      <w:marLeft w:val="0"/>
      <w:marRight w:val="0"/>
      <w:marTop w:val="0"/>
      <w:marBottom w:val="0"/>
      <w:divBdr>
        <w:top w:val="none" w:sz="0" w:space="0" w:color="auto"/>
        <w:left w:val="none" w:sz="0" w:space="0" w:color="auto"/>
        <w:bottom w:val="none" w:sz="0" w:space="0" w:color="auto"/>
        <w:right w:val="none" w:sz="0" w:space="0" w:color="auto"/>
      </w:divBdr>
    </w:div>
    <w:div w:id="412514699">
      <w:bodyDiv w:val="1"/>
      <w:marLeft w:val="0"/>
      <w:marRight w:val="0"/>
      <w:marTop w:val="0"/>
      <w:marBottom w:val="0"/>
      <w:divBdr>
        <w:top w:val="none" w:sz="0" w:space="0" w:color="auto"/>
        <w:left w:val="none" w:sz="0" w:space="0" w:color="auto"/>
        <w:bottom w:val="none" w:sz="0" w:space="0" w:color="auto"/>
        <w:right w:val="none" w:sz="0" w:space="0" w:color="auto"/>
      </w:divBdr>
    </w:div>
    <w:div w:id="428744009">
      <w:bodyDiv w:val="1"/>
      <w:marLeft w:val="0"/>
      <w:marRight w:val="0"/>
      <w:marTop w:val="0"/>
      <w:marBottom w:val="0"/>
      <w:divBdr>
        <w:top w:val="none" w:sz="0" w:space="0" w:color="auto"/>
        <w:left w:val="none" w:sz="0" w:space="0" w:color="auto"/>
        <w:bottom w:val="none" w:sz="0" w:space="0" w:color="auto"/>
        <w:right w:val="none" w:sz="0" w:space="0" w:color="auto"/>
      </w:divBdr>
    </w:div>
    <w:div w:id="489905587">
      <w:bodyDiv w:val="1"/>
      <w:marLeft w:val="0"/>
      <w:marRight w:val="0"/>
      <w:marTop w:val="0"/>
      <w:marBottom w:val="0"/>
      <w:divBdr>
        <w:top w:val="none" w:sz="0" w:space="0" w:color="auto"/>
        <w:left w:val="none" w:sz="0" w:space="0" w:color="auto"/>
        <w:bottom w:val="none" w:sz="0" w:space="0" w:color="auto"/>
        <w:right w:val="none" w:sz="0" w:space="0" w:color="auto"/>
      </w:divBdr>
    </w:div>
    <w:div w:id="541065553">
      <w:bodyDiv w:val="1"/>
      <w:marLeft w:val="0"/>
      <w:marRight w:val="0"/>
      <w:marTop w:val="0"/>
      <w:marBottom w:val="0"/>
      <w:divBdr>
        <w:top w:val="none" w:sz="0" w:space="0" w:color="auto"/>
        <w:left w:val="none" w:sz="0" w:space="0" w:color="auto"/>
        <w:bottom w:val="none" w:sz="0" w:space="0" w:color="auto"/>
        <w:right w:val="none" w:sz="0" w:space="0" w:color="auto"/>
      </w:divBdr>
      <w:divsChild>
        <w:div w:id="1576284363">
          <w:marLeft w:val="0"/>
          <w:marRight w:val="0"/>
          <w:marTop w:val="0"/>
          <w:marBottom w:val="0"/>
          <w:divBdr>
            <w:top w:val="none" w:sz="0" w:space="0" w:color="auto"/>
            <w:left w:val="none" w:sz="0" w:space="0" w:color="auto"/>
            <w:bottom w:val="none" w:sz="0" w:space="0" w:color="auto"/>
            <w:right w:val="none" w:sz="0" w:space="0" w:color="auto"/>
          </w:divBdr>
        </w:div>
        <w:div w:id="1935894296">
          <w:marLeft w:val="0"/>
          <w:marRight w:val="0"/>
          <w:marTop w:val="0"/>
          <w:marBottom w:val="0"/>
          <w:divBdr>
            <w:top w:val="none" w:sz="0" w:space="0" w:color="auto"/>
            <w:left w:val="none" w:sz="0" w:space="0" w:color="auto"/>
            <w:bottom w:val="none" w:sz="0" w:space="0" w:color="auto"/>
            <w:right w:val="none" w:sz="0" w:space="0" w:color="auto"/>
          </w:divBdr>
        </w:div>
      </w:divsChild>
    </w:div>
    <w:div w:id="545260514">
      <w:bodyDiv w:val="1"/>
      <w:marLeft w:val="0"/>
      <w:marRight w:val="0"/>
      <w:marTop w:val="0"/>
      <w:marBottom w:val="0"/>
      <w:divBdr>
        <w:top w:val="none" w:sz="0" w:space="0" w:color="auto"/>
        <w:left w:val="none" w:sz="0" w:space="0" w:color="auto"/>
        <w:bottom w:val="none" w:sz="0" w:space="0" w:color="auto"/>
        <w:right w:val="none" w:sz="0" w:space="0" w:color="auto"/>
      </w:divBdr>
    </w:div>
    <w:div w:id="549847378">
      <w:bodyDiv w:val="1"/>
      <w:marLeft w:val="0"/>
      <w:marRight w:val="0"/>
      <w:marTop w:val="0"/>
      <w:marBottom w:val="0"/>
      <w:divBdr>
        <w:top w:val="none" w:sz="0" w:space="0" w:color="auto"/>
        <w:left w:val="none" w:sz="0" w:space="0" w:color="auto"/>
        <w:bottom w:val="none" w:sz="0" w:space="0" w:color="auto"/>
        <w:right w:val="none" w:sz="0" w:space="0" w:color="auto"/>
      </w:divBdr>
    </w:div>
    <w:div w:id="551425519">
      <w:bodyDiv w:val="1"/>
      <w:marLeft w:val="0"/>
      <w:marRight w:val="0"/>
      <w:marTop w:val="0"/>
      <w:marBottom w:val="0"/>
      <w:divBdr>
        <w:top w:val="none" w:sz="0" w:space="0" w:color="auto"/>
        <w:left w:val="none" w:sz="0" w:space="0" w:color="auto"/>
        <w:bottom w:val="none" w:sz="0" w:space="0" w:color="auto"/>
        <w:right w:val="none" w:sz="0" w:space="0" w:color="auto"/>
      </w:divBdr>
    </w:div>
    <w:div w:id="592788483">
      <w:bodyDiv w:val="1"/>
      <w:marLeft w:val="0"/>
      <w:marRight w:val="0"/>
      <w:marTop w:val="0"/>
      <w:marBottom w:val="0"/>
      <w:divBdr>
        <w:top w:val="none" w:sz="0" w:space="0" w:color="auto"/>
        <w:left w:val="none" w:sz="0" w:space="0" w:color="auto"/>
        <w:bottom w:val="none" w:sz="0" w:space="0" w:color="auto"/>
        <w:right w:val="none" w:sz="0" w:space="0" w:color="auto"/>
      </w:divBdr>
    </w:div>
    <w:div w:id="605309693">
      <w:bodyDiv w:val="1"/>
      <w:marLeft w:val="0"/>
      <w:marRight w:val="0"/>
      <w:marTop w:val="0"/>
      <w:marBottom w:val="0"/>
      <w:divBdr>
        <w:top w:val="none" w:sz="0" w:space="0" w:color="auto"/>
        <w:left w:val="none" w:sz="0" w:space="0" w:color="auto"/>
        <w:bottom w:val="none" w:sz="0" w:space="0" w:color="auto"/>
        <w:right w:val="none" w:sz="0" w:space="0" w:color="auto"/>
      </w:divBdr>
    </w:div>
    <w:div w:id="621040924">
      <w:bodyDiv w:val="1"/>
      <w:marLeft w:val="0"/>
      <w:marRight w:val="0"/>
      <w:marTop w:val="0"/>
      <w:marBottom w:val="0"/>
      <w:divBdr>
        <w:top w:val="none" w:sz="0" w:space="0" w:color="auto"/>
        <w:left w:val="none" w:sz="0" w:space="0" w:color="auto"/>
        <w:bottom w:val="none" w:sz="0" w:space="0" w:color="auto"/>
        <w:right w:val="none" w:sz="0" w:space="0" w:color="auto"/>
      </w:divBdr>
    </w:div>
    <w:div w:id="625543497">
      <w:bodyDiv w:val="1"/>
      <w:marLeft w:val="0"/>
      <w:marRight w:val="0"/>
      <w:marTop w:val="0"/>
      <w:marBottom w:val="0"/>
      <w:divBdr>
        <w:top w:val="none" w:sz="0" w:space="0" w:color="auto"/>
        <w:left w:val="none" w:sz="0" w:space="0" w:color="auto"/>
        <w:bottom w:val="none" w:sz="0" w:space="0" w:color="auto"/>
        <w:right w:val="none" w:sz="0" w:space="0" w:color="auto"/>
      </w:divBdr>
    </w:div>
    <w:div w:id="635333669">
      <w:bodyDiv w:val="1"/>
      <w:marLeft w:val="0"/>
      <w:marRight w:val="0"/>
      <w:marTop w:val="0"/>
      <w:marBottom w:val="0"/>
      <w:divBdr>
        <w:top w:val="none" w:sz="0" w:space="0" w:color="auto"/>
        <w:left w:val="none" w:sz="0" w:space="0" w:color="auto"/>
        <w:bottom w:val="none" w:sz="0" w:space="0" w:color="auto"/>
        <w:right w:val="none" w:sz="0" w:space="0" w:color="auto"/>
      </w:divBdr>
    </w:div>
    <w:div w:id="652949634">
      <w:bodyDiv w:val="1"/>
      <w:marLeft w:val="0"/>
      <w:marRight w:val="0"/>
      <w:marTop w:val="0"/>
      <w:marBottom w:val="0"/>
      <w:divBdr>
        <w:top w:val="none" w:sz="0" w:space="0" w:color="auto"/>
        <w:left w:val="none" w:sz="0" w:space="0" w:color="auto"/>
        <w:bottom w:val="none" w:sz="0" w:space="0" w:color="auto"/>
        <w:right w:val="none" w:sz="0" w:space="0" w:color="auto"/>
      </w:divBdr>
    </w:div>
    <w:div w:id="656881561">
      <w:bodyDiv w:val="1"/>
      <w:marLeft w:val="0"/>
      <w:marRight w:val="0"/>
      <w:marTop w:val="0"/>
      <w:marBottom w:val="0"/>
      <w:divBdr>
        <w:top w:val="none" w:sz="0" w:space="0" w:color="auto"/>
        <w:left w:val="none" w:sz="0" w:space="0" w:color="auto"/>
        <w:bottom w:val="none" w:sz="0" w:space="0" w:color="auto"/>
        <w:right w:val="none" w:sz="0" w:space="0" w:color="auto"/>
      </w:divBdr>
    </w:div>
    <w:div w:id="677345041">
      <w:bodyDiv w:val="1"/>
      <w:marLeft w:val="0"/>
      <w:marRight w:val="0"/>
      <w:marTop w:val="0"/>
      <w:marBottom w:val="0"/>
      <w:divBdr>
        <w:top w:val="none" w:sz="0" w:space="0" w:color="auto"/>
        <w:left w:val="none" w:sz="0" w:space="0" w:color="auto"/>
        <w:bottom w:val="none" w:sz="0" w:space="0" w:color="auto"/>
        <w:right w:val="none" w:sz="0" w:space="0" w:color="auto"/>
      </w:divBdr>
    </w:div>
    <w:div w:id="678779261">
      <w:bodyDiv w:val="1"/>
      <w:marLeft w:val="0"/>
      <w:marRight w:val="0"/>
      <w:marTop w:val="0"/>
      <w:marBottom w:val="0"/>
      <w:divBdr>
        <w:top w:val="none" w:sz="0" w:space="0" w:color="auto"/>
        <w:left w:val="none" w:sz="0" w:space="0" w:color="auto"/>
        <w:bottom w:val="none" w:sz="0" w:space="0" w:color="auto"/>
        <w:right w:val="none" w:sz="0" w:space="0" w:color="auto"/>
      </w:divBdr>
    </w:div>
    <w:div w:id="680351510">
      <w:bodyDiv w:val="1"/>
      <w:marLeft w:val="0"/>
      <w:marRight w:val="0"/>
      <w:marTop w:val="0"/>
      <w:marBottom w:val="0"/>
      <w:divBdr>
        <w:top w:val="none" w:sz="0" w:space="0" w:color="auto"/>
        <w:left w:val="none" w:sz="0" w:space="0" w:color="auto"/>
        <w:bottom w:val="none" w:sz="0" w:space="0" w:color="auto"/>
        <w:right w:val="none" w:sz="0" w:space="0" w:color="auto"/>
      </w:divBdr>
    </w:div>
    <w:div w:id="688988397">
      <w:bodyDiv w:val="1"/>
      <w:marLeft w:val="0"/>
      <w:marRight w:val="0"/>
      <w:marTop w:val="0"/>
      <w:marBottom w:val="0"/>
      <w:divBdr>
        <w:top w:val="none" w:sz="0" w:space="0" w:color="auto"/>
        <w:left w:val="none" w:sz="0" w:space="0" w:color="auto"/>
        <w:bottom w:val="none" w:sz="0" w:space="0" w:color="auto"/>
        <w:right w:val="none" w:sz="0" w:space="0" w:color="auto"/>
      </w:divBdr>
    </w:div>
    <w:div w:id="697967916">
      <w:bodyDiv w:val="1"/>
      <w:marLeft w:val="0"/>
      <w:marRight w:val="0"/>
      <w:marTop w:val="0"/>
      <w:marBottom w:val="0"/>
      <w:divBdr>
        <w:top w:val="none" w:sz="0" w:space="0" w:color="auto"/>
        <w:left w:val="none" w:sz="0" w:space="0" w:color="auto"/>
        <w:bottom w:val="none" w:sz="0" w:space="0" w:color="auto"/>
        <w:right w:val="none" w:sz="0" w:space="0" w:color="auto"/>
      </w:divBdr>
    </w:div>
    <w:div w:id="729767971">
      <w:bodyDiv w:val="1"/>
      <w:marLeft w:val="0"/>
      <w:marRight w:val="0"/>
      <w:marTop w:val="0"/>
      <w:marBottom w:val="0"/>
      <w:divBdr>
        <w:top w:val="none" w:sz="0" w:space="0" w:color="auto"/>
        <w:left w:val="none" w:sz="0" w:space="0" w:color="auto"/>
        <w:bottom w:val="none" w:sz="0" w:space="0" w:color="auto"/>
        <w:right w:val="none" w:sz="0" w:space="0" w:color="auto"/>
      </w:divBdr>
    </w:div>
    <w:div w:id="854612156">
      <w:bodyDiv w:val="1"/>
      <w:marLeft w:val="0"/>
      <w:marRight w:val="0"/>
      <w:marTop w:val="0"/>
      <w:marBottom w:val="0"/>
      <w:divBdr>
        <w:top w:val="none" w:sz="0" w:space="0" w:color="auto"/>
        <w:left w:val="none" w:sz="0" w:space="0" w:color="auto"/>
        <w:bottom w:val="none" w:sz="0" w:space="0" w:color="auto"/>
        <w:right w:val="none" w:sz="0" w:space="0" w:color="auto"/>
      </w:divBdr>
    </w:div>
    <w:div w:id="858399101">
      <w:bodyDiv w:val="1"/>
      <w:marLeft w:val="0"/>
      <w:marRight w:val="0"/>
      <w:marTop w:val="0"/>
      <w:marBottom w:val="0"/>
      <w:divBdr>
        <w:top w:val="none" w:sz="0" w:space="0" w:color="auto"/>
        <w:left w:val="none" w:sz="0" w:space="0" w:color="auto"/>
        <w:bottom w:val="none" w:sz="0" w:space="0" w:color="auto"/>
        <w:right w:val="none" w:sz="0" w:space="0" w:color="auto"/>
      </w:divBdr>
    </w:div>
    <w:div w:id="878665292">
      <w:bodyDiv w:val="1"/>
      <w:marLeft w:val="0"/>
      <w:marRight w:val="0"/>
      <w:marTop w:val="0"/>
      <w:marBottom w:val="0"/>
      <w:divBdr>
        <w:top w:val="none" w:sz="0" w:space="0" w:color="auto"/>
        <w:left w:val="none" w:sz="0" w:space="0" w:color="auto"/>
        <w:bottom w:val="none" w:sz="0" w:space="0" w:color="auto"/>
        <w:right w:val="none" w:sz="0" w:space="0" w:color="auto"/>
      </w:divBdr>
    </w:div>
    <w:div w:id="879365388">
      <w:bodyDiv w:val="1"/>
      <w:marLeft w:val="0"/>
      <w:marRight w:val="0"/>
      <w:marTop w:val="0"/>
      <w:marBottom w:val="0"/>
      <w:divBdr>
        <w:top w:val="none" w:sz="0" w:space="0" w:color="auto"/>
        <w:left w:val="none" w:sz="0" w:space="0" w:color="auto"/>
        <w:bottom w:val="none" w:sz="0" w:space="0" w:color="auto"/>
        <w:right w:val="none" w:sz="0" w:space="0" w:color="auto"/>
      </w:divBdr>
    </w:div>
    <w:div w:id="892539801">
      <w:bodyDiv w:val="1"/>
      <w:marLeft w:val="0"/>
      <w:marRight w:val="0"/>
      <w:marTop w:val="0"/>
      <w:marBottom w:val="0"/>
      <w:divBdr>
        <w:top w:val="none" w:sz="0" w:space="0" w:color="auto"/>
        <w:left w:val="none" w:sz="0" w:space="0" w:color="auto"/>
        <w:bottom w:val="none" w:sz="0" w:space="0" w:color="auto"/>
        <w:right w:val="none" w:sz="0" w:space="0" w:color="auto"/>
      </w:divBdr>
    </w:div>
    <w:div w:id="909731822">
      <w:bodyDiv w:val="1"/>
      <w:marLeft w:val="0"/>
      <w:marRight w:val="0"/>
      <w:marTop w:val="0"/>
      <w:marBottom w:val="0"/>
      <w:divBdr>
        <w:top w:val="none" w:sz="0" w:space="0" w:color="auto"/>
        <w:left w:val="none" w:sz="0" w:space="0" w:color="auto"/>
        <w:bottom w:val="none" w:sz="0" w:space="0" w:color="auto"/>
        <w:right w:val="none" w:sz="0" w:space="0" w:color="auto"/>
      </w:divBdr>
      <w:divsChild>
        <w:div w:id="2436677">
          <w:marLeft w:val="0"/>
          <w:marRight w:val="0"/>
          <w:marTop w:val="0"/>
          <w:marBottom w:val="0"/>
          <w:divBdr>
            <w:top w:val="none" w:sz="0" w:space="0" w:color="auto"/>
            <w:left w:val="none" w:sz="0" w:space="0" w:color="auto"/>
            <w:bottom w:val="none" w:sz="0" w:space="0" w:color="auto"/>
            <w:right w:val="none" w:sz="0" w:space="0" w:color="auto"/>
          </w:divBdr>
        </w:div>
        <w:div w:id="407272041">
          <w:marLeft w:val="0"/>
          <w:marRight w:val="0"/>
          <w:marTop w:val="0"/>
          <w:marBottom w:val="0"/>
          <w:divBdr>
            <w:top w:val="none" w:sz="0" w:space="0" w:color="auto"/>
            <w:left w:val="none" w:sz="0" w:space="0" w:color="auto"/>
            <w:bottom w:val="none" w:sz="0" w:space="0" w:color="auto"/>
            <w:right w:val="none" w:sz="0" w:space="0" w:color="auto"/>
          </w:divBdr>
        </w:div>
        <w:div w:id="598567864">
          <w:marLeft w:val="0"/>
          <w:marRight w:val="0"/>
          <w:marTop w:val="0"/>
          <w:marBottom w:val="0"/>
          <w:divBdr>
            <w:top w:val="none" w:sz="0" w:space="0" w:color="auto"/>
            <w:left w:val="none" w:sz="0" w:space="0" w:color="auto"/>
            <w:bottom w:val="none" w:sz="0" w:space="0" w:color="auto"/>
            <w:right w:val="none" w:sz="0" w:space="0" w:color="auto"/>
          </w:divBdr>
        </w:div>
      </w:divsChild>
    </w:div>
    <w:div w:id="923227960">
      <w:bodyDiv w:val="1"/>
      <w:marLeft w:val="0"/>
      <w:marRight w:val="0"/>
      <w:marTop w:val="0"/>
      <w:marBottom w:val="0"/>
      <w:divBdr>
        <w:top w:val="none" w:sz="0" w:space="0" w:color="auto"/>
        <w:left w:val="none" w:sz="0" w:space="0" w:color="auto"/>
        <w:bottom w:val="none" w:sz="0" w:space="0" w:color="auto"/>
        <w:right w:val="none" w:sz="0" w:space="0" w:color="auto"/>
      </w:divBdr>
    </w:div>
    <w:div w:id="927690717">
      <w:bodyDiv w:val="1"/>
      <w:marLeft w:val="0"/>
      <w:marRight w:val="0"/>
      <w:marTop w:val="0"/>
      <w:marBottom w:val="0"/>
      <w:divBdr>
        <w:top w:val="none" w:sz="0" w:space="0" w:color="auto"/>
        <w:left w:val="none" w:sz="0" w:space="0" w:color="auto"/>
        <w:bottom w:val="none" w:sz="0" w:space="0" w:color="auto"/>
        <w:right w:val="none" w:sz="0" w:space="0" w:color="auto"/>
      </w:divBdr>
    </w:div>
    <w:div w:id="934358976">
      <w:bodyDiv w:val="1"/>
      <w:marLeft w:val="0"/>
      <w:marRight w:val="0"/>
      <w:marTop w:val="0"/>
      <w:marBottom w:val="0"/>
      <w:divBdr>
        <w:top w:val="none" w:sz="0" w:space="0" w:color="auto"/>
        <w:left w:val="none" w:sz="0" w:space="0" w:color="auto"/>
        <w:bottom w:val="none" w:sz="0" w:space="0" w:color="auto"/>
        <w:right w:val="none" w:sz="0" w:space="0" w:color="auto"/>
      </w:divBdr>
    </w:div>
    <w:div w:id="941376996">
      <w:bodyDiv w:val="1"/>
      <w:marLeft w:val="0"/>
      <w:marRight w:val="0"/>
      <w:marTop w:val="0"/>
      <w:marBottom w:val="0"/>
      <w:divBdr>
        <w:top w:val="none" w:sz="0" w:space="0" w:color="auto"/>
        <w:left w:val="none" w:sz="0" w:space="0" w:color="auto"/>
        <w:bottom w:val="none" w:sz="0" w:space="0" w:color="auto"/>
        <w:right w:val="none" w:sz="0" w:space="0" w:color="auto"/>
      </w:divBdr>
    </w:div>
    <w:div w:id="950549845">
      <w:bodyDiv w:val="1"/>
      <w:marLeft w:val="0"/>
      <w:marRight w:val="0"/>
      <w:marTop w:val="0"/>
      <w:marBottom w:val="0"/>
      <w:divBdr>
        <w:top w:val="none" w:sz="0" w:space="0" w:color="auto"/>
        <w:left w:val="none" w:sz="0" w:space="0" w:color="auto"/>
        <w:bottom w:val="none" w:sz="0" w:space="0" w:color="auto"/>
        <w:right w:val="none" w:sz="0" w:space="0" w:color="auto"/>
      </w:divBdr>
    </w:div>
    <w:div w:id="953633887">
      <w:bodyDiv w:val="1"/>
      <w:marLeft w:val="0"/>
      <w:marRight w:val="0"/>
      <w:marTop w:val="0"/>
      <w:marBottom w:val="0"/>
      <w:divBdr>
        <w:top w:val="none" w:sz="0" w:space="0" w:color="auto"/>
        <w:left w:val="none" w:sz="0" w:space="0" w:color="auto"/>
        <w:bottom w:val="none" w:sz="0" w:space="0" w:color="auto"/>
        <w:right w:val="none" w:sz="0" w:space="0" w:color="auto"/>
      </w:divBdr>
    </w:div>
    <w:div w:id="985084739">
      <w:bodyDiv w:val="1"/>
      <w:marLeft w:val="0"/>
      <w:marRight w:val="0"/>
      <w:marTop w:val="0"/>
      <w:marBottom w:val="0"/>
      <w:divBdr>
        <w:top w:val="none" w:sz="0" w:space="0" w:color="auto"/>
        <w:left w:val="none" w:sz="0" w:space="0" w:color="auto"/>
        <w:bottom w:val="none" w:sz="0" w:space="0" w:color="auto"/>
        <w:right w:val="none" w:sz="0" w:space="0" w:color="auto"/>
      </w:divBdr>
      <w:divsChild>
        <w:div w:id="187840786">
          <w:marLeft w:val="0"/>
          <w:marRight w:val="0"/>
          <w:marTop w:val="0"/>
          <w:marBottom w:val="0"/>
          <w:divBdr>
            <w:top w:val="none" w:sz="0" w:space="0" w:color="auto"/>
            <w:left w:val="none" w:sz="0" w:space="0" w:color="auto"/>
            <w:bottom w:val="none" w:sz="0" w:space="0" w:color="auto"/>
            <w:right w:val="none" w:sz="0" w:space="0" w:color="auto"/>
          </w:divBdr>
        </w:div>
        <w:div w:id="353771540">
          <w:marLeft w:val="0"/>
          <w:marRight w:val="0"/>
          <w:marTop w:val="0"/>
          <w:marBottom w:val="0"/>
          <w:divBdr>
            <w:top w:val="none" w:sz="0" w:space="0" w:color="auto"/>
            <w:left w:val="none" w:sz="0" w:space="0" w:color="auto"/>
            <w:bottom w:val="none" w:sz="0" w:space="0" w:color="auto"/>
            <w:right w:val="none" w:sz="0" w:space="0" w:color="auto"/>
          </w:divBdr>
        </w:div>
        <w:div w:id="601911452">
          <w:marLeft w:val="0"/>
          <w:marRight w:val="0"/>
          <w:marTop w:val="0"/>
          <w:marBottom w:val="0"/>
          <w:divBdr>
            <w:top w:val="none" w:sz="0" w:space="0" w:color="auto"/>
            <w:left w:val="none" w:sz="0" w:space="0" w:color="auto"/>
            <w:bottom w:val="none" w:sz="0" w:space="0" w:color="auto"/>
            <w:right w:val="none" w:sz="0" w:space="0" w:color="auto"/>
          </w:divBdr>
          <w:divsChild>
            <w:div w:id="337773540">
              <w:marLeft w:val="0"/>
              <w:marRight w:val="0"/>
              <w:marTop w:val="0"/>
              <w:marBottom w:val="0"/>
              <w:divBdr>
                <w:top w:val="none" w:sz="0" w:space="0" w:color="auto"/>
                <w:left w:val="none" w:sz="0" w:space="0" w:color="auto"/>
                <w:bottom w:val="none" w:sz="0" w:space="0" w:color="auto"/>
                <w:right w:val="none" w:sz="0" w:space="0" w:color="auto"/>
              </w:divBdr>
            </w:div>
            <w:div w:id="1109928430">
              <w:marLeft w:val="0"/>
              <w:marRight w:val="0"/>
              <w:marTop w:val="0"/>
              <w:marBottom w:val="0"/>
              <w:divBdr>
                <w:top w:val="none" w:sz="0" w:space="0" w:color="auto"/>
                <w:left w:val="none" w:sz="0" w:space="0" w:color="auto"/>
                <w:bottom w:val="none" w:sz="0" w:space="0" w:color="auto"/>
                <w:right w:val="none" w:sz="0" w:space="0" w:color="auto"/>
              </w:divBdr>
            </w:div>
            <w:div w:id="1254555911">
              <w:marLeft w:val="0"/>
              <w:marRight w:val="0"/>
              <w:marTop w:val="0"/>
              <w:marBottom w:val="0"/>
              <w:divBdr>
                <w:top w:val="none" w:sz="0" w:space="0" w:color="auto"/>
                <w:left w:val="none" w:sz="0" w:space="0" w:color="auto"/>
                <w:bottom w:val="none" w:sz="0" w:space="0" w:color="auto"/>
                <w:right w:val="none" w:sz="0" w:space="0" w:color="auto"/>
              </w:divBdr>
            </w:div>
            <w:div w:id="1992715987">
              <w:marLeft w:val="0"/>
              <w:marRight w:val="0"/>
              <w:marTop w:val="0"/>
              <w:marBottom w:val="0"/>
              <w:divBdr>
                <w:top w:val="none" w:sz="0" w:space="0" w:color="auto"/>
                <w:left w:val="none" w:sz="0" w:space="0" w:color="auto"/>
                <w:bottom w:val="none" w:sz="0" w:space="0" w:color="auto"/>
                <w:right w:val="none" w:sz="0" w:space="0" w:color="auto"/>
              </w:divBdr>
            </w:div>
            <w:div w:id="2088770853">
              <w:marLeft w:val="0"/>
              <w:marRight w:val="0"/>
              <w:marTop w:val="0"/>
              <w:marBottom w:val="0"/>
              <w:divBdr>
                <w:top w:val="none" w:sz="0" w:space="0" w:color="auto"/>
                <w:left w:val="none" w:sz="0" w:space="0" w:color="auto"/>
                <w:bottom w:val="none" w:sz="0" w:space="0" w:color="auto"/>
                <w:right w:val="none" w:sz="0" w:space="0" w:color="auto"/>
              </w:divBdr>
            </w:div>
          </w:divsChild>
        </w:div>
        <w:div w:id="1371036043">
          <w:marLeft w:val="0"/>
          <w:marRight w:val="0"/>
          <w:marTop w:val="0"/>
          <w:marBottom w:val="0"/>
          <w:divBdr>
            <w:top w:val="none" w:sz="0" w:space="0" w:color="auto"/>
            <w:left w:val="none" w:sz="0" w:space="0" w:color="auto"/>
            <w:bottom w:val="none" w:sz="0" w:space="0" w:color="auto"/>
            <w:right w:val="none" w:sz="0" w:space="0" w:color="auto"/>
          </w:divBdr>
        </w:div>
        <w:div w:id="1916892118">
          <w:marLeft w:val="0"/>
          <w:marRight w:val="0"/>
          <w:marTop w:val="0"/>
          <w:marBottom w:val="0"/>
          <w:divBdr>
            <w:top w:val="none" w:sz="0" w:space="0" w:color="auto"/>
            <w:left w:val="none" w:sz="0" w:space="0" w:color="auto"/>
            <w:bottom w:val="none" w:sz="0" w:space="0" w:color="auto"/>
            <w:right w:val="none" w:sz="0" w:space="0" w:color="auto"/>
          </w:divBdr>
        </w:div>
        <w:div w:id="1995910716">
          <w:marLeft w:val="0"/>
          <w:marRight w:val="0"/>
          <w:marTop w:val="0"/>
          <w:marBottom w:val="0"/>
          <w:divBdr>
            <w:top w:val="none" w:sz="0" w:space="0" w:color="auto"/>
            <w:left w:val="none" w:sz="0" w:space="0" w:color="auto"/>
            <w:bottom w:val="none" w:sz="0" w:space="0" w:color="auto"/>
            <w:right w:val="none" w:sz="0" w:space="0" w:color="auto"/>
          </w:divBdr>
        </w:div>
        <w:div w:id="2075352551">
          <w:marLeft w:val="0"/>
          <w:marRight w:val="0"/>
          <w:marTop w:val="0"/>
          <w:marBottom w:val="0"/>
          <w:divBdr>
            <w:top w:val="none" w:sz="0" w:space="0" w:color="auto"/>
            <w:left w:val="none" w:sz="0" w:space="0" w:color="auto"/>
            <w:bottom w:val="none" w:sz="0" w:space="0" w:color="auto"/>
            <w:right w:val="none" w:sz="0" w:space="0" w:color="auto"/>
          </w:divBdr>
          <w:divsChild>
            <w:div w:id="47580170">
              <w:marLeft w:val="0"/>
              <w:marRight w:val="0"/>
              <w:marTop w:val="0"/>
              <w:marBottom w:val="0"/>
              <w:divBdr>
                <w:top w:val="none" w:sz="0" w:space="0" w:color="auto"/>
                <w:left w:val="none" w:sz="0" w:space="0" w:color="auto"/>
                <w:bottom w:val="none" w:sz="0" w:space="0" w:color="auto"/>
                <w:right w:val="none" w:sz="0" w:space="0" w:color="auto"/>
              </w:divBdr>
            </w:div>
            <w:div w:id="283580444">
              <w:marLeft w:val="0"/>
              <w:marRight w:val="0"/>
              <w:marTop w:val="0"/>
              <w:marBottom w:val="0"/>
              <w:divBdr>
                <w:top w:val="none" w:sz="0" w:space="0" w:color="auto"/>
                <w:left w:val="none" w:sz="0" w:space="0" w:color="auto"/>
                <w:bottom w:val="none" w:sz="0" w:space="0" w:color="auto"/>
                <w:right w:val="none" w:sz="0" w:space="0" w:color="auto"/>
              </w:divBdr>
            </w:div>
            <w:div w:id="55092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90455">
      <w:bodyDiv w:val="1"/>
      <w:marLeft w:val="0"/>
      <w:marRight w:val="0"/>
      <w:marTop w:val="0"/>
      <w:marBottom w:val="0"/>
      <w:divBdr>
        <w:top w:val="none" w:sz="0" w:space="0" w:color="auto"/>
        <w:left w:val="none" w:sz="0" w:space="0" w:color="auto"/>
        <w:bottom w:val="none" w:sz="0" w:space="0" w:color="auto"/>
        <w:right w:val="none" w:sz="0" w:space="0" w:color="auto"/>
      </w:divBdr>
    </w:div>
    <w:div w:id="1016275608">
      <w:bodyDiv w:val="1"/>
      <w:marLeft w:val="0"/>
      <w:marRight w:val="0"/>
      <w:marTop w:val="0"/>
      <w:marBottom w:val="0"/>
      <w:divBdr>
        <w:top w:val="none" w:sz="0" w:space="0" w:color="auto"/>
        <w:left w:val="none" w:sz="0" w:space="0" w:color="auto"/>
        <w:bottom w:val="none" w:sz="0" w:space="0" w:color="auto"/>
        <w:right w:val="none" w:sz="0" w:space="0" w:color="auto"/>
      </w:divBdr>
    </w:div>
    <w:div w:id="1019311845">
      <w:bodyDiv w:val="1"/>
      <w:marLeft w:val="0"/>
      <w:marRight w:val="0"/>
      <w:marTop w:val="0"/>
      <w:marBottom w:val="0"/>
      <w:divBdr>
        <w:top w:val="none" w:sz="0" w:space="0" w:color="auto"/>
        <w:left w:val="none" w:sz="0" w:space="0" w:color="auto"/>
        <w:bottom w:val="none" w:sz="0" w:space="0" w:color="auto"/>
        <w:right w:val="none" w:sz="0" w:space="0" w:color="auto"/>
      </w:divBdr>
    </w:div>
    <w:div w:id="1030490435">
      <w:bodyDiv w:val="1"/>
      <w:marLeft w:val="0"/>
      <w:marRight w:val="0"/>
      <w:marTop w:val="0"/>
      <w:marBottom w:val="0"/>
      <w:divBdr>
        <w:top w:val="none" w:sz="0" w:space="0" w:color="auto"/>
        <w:left w:val="none" w:sz="0" w:space="0" w:color="auto"/>
        <w:bottom w:val="none" w:sz="0" w:space="0" w:color="auto"/>
        <w:right w:val="none" w:sz="0" w:space="0" w:color="auto"/>
      </w:divBdr>
    </w:div>
    <w:div w:id="1051004387">
      <w:bodyDiv w:val="1"/>
      <w:marLeft w:val="0"/>
      <w:marRight w:val="0"/>
      <w:marTop w:val="0"/>
      <w:marBottom w:val="0"/>
      <w:divBdr>
        <w:top w:val="none" w:sz="0" w:space="0" w:color="auto"/>
        <w:left w:val="none" w:sz="0" w:space="0" w:color="auto"/>
        <w:bottom w:val="none" w:sz="0" w:space="0" w:color="auto"/>
        <w:right w:val="none" w:sz="0" w:space="0" w:color="auto"/>
      </w:divBdr>
    </w:div>
    <w:div w:id="1086339612">
      <w:bodyDiv w:val="1"/>
      <w:marLeft w:val="0"/>
      <w:marRight w:val="0"/>
      <w:marTop w:val="0"/>
      <w:marBottom w:val="0"/>
      <w:divBdr>
        <w:top w:val="none" w:sz="0" w:space="0" w:color="auto"/>
        <w:left w:val="none" w:sz="0" w:space="0" w:color="auto"/>
        <w:bottom w:val="none" w:sz="0" w:space="0" w:color="auto"/>
        <w:right w:val="none" w:sz="0" w:space="0" w:color="auto"/>
      </w:divBdr>
    </w:div>
    <w:div w:id="1088230622">
      <w:bodyDiv w:val="1"/>
      <w:marLeft w:val="0"/>
      <w:marRight w:val="0"/>
      <w:marTop w:val="0"/>
      <w:marBottom w:val="0"/>
      <w:divBdr>
        <w:top w:val="none" w:sz="0" w:space="0" w:color="auto"/>
        <w:left w:val="none" w:sz="0" w:space="0" w:color="auto"/>
        <w:bottom w:val="none" w:sz="0" w:space="0" w:color="auto"/>
        <w:right w:val="none" w:sz="0" w:space="0" w:color="auto"/>
      </w:divBdr>
    </w:div>
    <w:div w:id="1105463371">
      <w:bodyDiv w:val="1"/>
      <w:marLeft w:val="0"/>
      <w:marRight w:val="0"/>
      <w:marTop w:val="0"/>
      <w:marBottom w:val="0"/>
      <w:divBdr>
        <w:top w:val="none" w:sz="0" w:space="0" w:color="auto"/>
        <w:left w:val="none" w:sz="0" w:space="0" w:color="auto"/>
        <w:bottom w:val="none" w:sz="0" w:space="0" w:color="auto"/>
        <w:right w:val="none" w:sz="0" w:space="0" w:color="auto"/>
      </w:divBdr>
    </w:div>
    <w:div w:id="1105614569">
      <w:bodyDiv w:val="1"/>
      <w:marLeft w:val="0"/>
      <w:marRight w:val="0"/>
      <w:marTop w:val="0"/>
      <w:marBottom w:val="0"/>
      <w:divBdr>
        <w:top w:val="none" w:sz="0" w:space="0" w:color="auto"/>
        <w:left w:val="none" w:sz="0" w:space="0" w:color="auto"/>
        <w:bottom w:val="none" w:sz="0" w:space="0" w:color="auto"/>
        <w:right w:val="none" w:sz="0" w:space="0" w:color="auto"/>
      </w:divBdr>
    </w:div>
    <w:div w:id="1109809964">
      <w:bodyDiv w:val="1"/>
      <w:marLeft w:val="0"/>
      <w:marRight w:val="0"/>
      <w:marTop w:val="0"/>
      <w:marBottom w:val="0"/>
      <w:divBdr>
        <w:top w:val="none" w:sz="0" w:space="0" w:color="auto"/>
        <w:left w:val="none" w:sz="0" w:space="0" w:color="auto"/>
        <w:bottom w:val="none" w:sz="0" w:space="0" w:color="auto"/>
        <w:right w:val="none" w:sz="0" w:space="0" w:color="auto"/>
      </w:divBdr>
    </w:div>
    <w:div w:id="1182740128">
      <w:bodyDiv w:val="1"/>
      <w:marLeft w:val="0"/>
      <w:marRight w:val="0"/>
      <w:marTop w:val="0"/>
      <w:marBottom w:val="0"/>
      <w:divBdr>
        <w:top w:val="none" w:sz="0" w:space="0" w:color="auto"/>
        <w:left w:val="none" w:sz="0" w:space="0" w:color="auto"/>
        <w:bottom w:val="none" w:sz="0" w:space="0" w:color="auto"/>
        <w:right w:val="none" w:sz="0" w:space="0" w:color="auto"/>
      </w:divBdr>
    </w:div>
    <w:div w:id="1200820460">
      <w:bodyDiv w:val="1"/>
      <w:marLeft w:val="0"/>
      <w:marRight w:val="0"/>
      <w:marTop w:val="0"/>
      <w:marBottom w:val="0"/>
      <w:divBdr>
        <w:top w:val="none" w:sz="0" w:space="0" w:color="auto"/>
        <w:left w:val="none" w:sz="0" w:space="0" w:color="auto"/>
        <w:bottom w:val="none" w:sz="0" w:space="0" w:color="auto"/>
        <w:right w:val="none" w:sz="0" w:space="0" w:color="auto"/>
      </w:divBdr>
    </w:div>
    <w:div w:id="1202014991">
      <w:bodyDiv w:val="1"/>
      <w:marLeft w:val="0"/>
      <w:marRight w:val="0"/>
      <w:marTop w:val="0"/>
      <w:marBottom w:val="0"/>
      <w:divBdr>
        <w:top w:val="none" w:sz="0" w:space="0" w:color="auto"/>
        <w:left w:val="none" w:sz="0" w:space="0" w:color="auto"/>
        <w:bottom w:val="none" w:sz="0" w:space="0" w:color="auto"/>
        <w:right w:val="none" w:sz="0" w:space="0" w:color="auto"/>
      </w:divBdr>
    </w:div>
    <w:div w:id="1207915422">
      <w:bodyDiv w:val="1"/>
      <w:marLeft w:val="0"/>
      <w:marRight w:val="0"/>
      <w:marTop w:val="0"/>
      <w:marBottom w:val="0"/>
      <w:divBdr>
        <w:top w:val="none" w:sz="0" w:space="0" w:color="auto"/>
        <w:left w:val="none" w:sz="0" w:space="0" w:color="auto"/>
        <w:bottom w:val="none" w:sz="0" w:space="0" w:color="auto"/>
        <w:right w:val="none" w:sz="0" w:space="0" w:color="auto"/>
      </w:divBdr>
      <w:divsChild>
        <w:div w:id="179244041">
          <w:marLeft w:val="0"/>
          <w:marRight w:val="0"/>
          <w:marTop w:val="0"/>
          <w:marBottom w:val="0"/>
          <w:divBdr>
            <w:top w:val="none" w:sz="0" w:space="0" w:color="auto"/>
            <w:left w:val="none" w:sz="0" w:space="0" w:color="auto"/>
            <w:bottom w:val="none" w:sz="0" w:space="0" w:color="auto"/>
            <w:right w:val="none" w:sz="0" w:space="0" w:color="auto"/>
          </w:divBdr>
          <w:divsChild>
            <w:div w:id="1961644735">
              <w:marLeft w:val="0"/>
              <w:marRight w:val="0"/>
              <w:marTop w:val="0"/>
              <w:marBottom w:val="0"/>
              <w:divBdr>
                <w:top w:val="none" w:sz="0" w:space="0" w:color="auto"/>
                <w:left w:val="none" w:sz="0" w:space="0" w:color="auto"/>
                <w:bottom w:val="none" w:sz="0" w:space="0" w:color="auto"/>
                <w:right w:val="none" w:sz="0" w:space="0" w:color="auto"/>
              </w:divBdr>
            </w:div>
          </w:divsChild>
        </w:div>
        <w:div w:id="513688792">
          <w:marLeft w:val="0"/>
          <w:marRight w:val="0"/>
          <w:marTop w:val="0"/>
          <w:marBottom w:val="0"/>
          <w:divBdr>
            <w:top w:val="none" w:sz="0" w:space="0" w:color="auto"/>
            <w:left w:val="none" w:sz="0" w:space="0" w:color="auto"/>
            <w:bottom w:val="none" w:sz="0" w:space="0" w:color="auto"/>
            <w:right w:val="none" w:sz="0" w:space="0" w:color="auto"/>
          </w:divBdr>
          <w:divsChild>
            <w:div w:id="915897456">
              <w:marLeft w:val="0"/>
              <w:marRight w:val="0"/>
              <w:marTop w:val="0"/>
              <w:marBottom w:val="0"/>
              <w:divBdr>
                <w:top w:val="none" w:sz="0" w:space="0" w:color="auto"/>
                <w:left w:val="none" w:sz="0" w:space="0" w:color="auto"/>
                <w:bottom w:val="none" w:sz="0" w:space="0" w:color="auto"/>
                <w:right w:val="none" w:sz="0" w:space="0" w:color="auto"/>
              </w:divBdr>
            </w:div>
            <w:div w:id="1971547401">
              <w:marLeft w:val="0"/>
              <w:marRight w:val="0"/>
              <w:marTop w:val="0"/>
              <w:marBottom w:val="0"/>
              <w:divBdr>
                <w:top w:val="none" w:sz="0" w:space="0" w:color="auto"/>
                <w:left w:val="none" w:sz="0" w:space="0" w:color="auto"/>
                <w:bottom w:val="none" w:sz="0" w:space="0" w:color="auto"/>
                <w:right w:val="none" w:sz="0" w:space="0" w:color="auto"/>
              </w:divBdr>
            </w:div>
          </w:divsChild>
        </w:div>
        <w:div w:id="1663115785">
          <w:marLeft w:val="0"/>
          <w:marRight w:val="0"/>
          <w:marTop w:val="0"/>
          <w:marBottom w:val="0"/>
          <w:divBdr>
            <w:top w:val="none" w:sz="0" w:space="0" w:color="auto"/>
            <w:left w:val="none" w:sz="0" w:space="0" w:color="auto"/>
            <w:bottom w:val="none" w:sz="0" w:space="0" w:color="auto"/>
            <w:right w:val="none" w:sz="0" w:space="0" w:color="auto"/>
          </w:divBdr>
          <w:divsChild>
            <w:div w:id="2012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083455">
      <w:bodyDiv w:val="1"/>
      <w:marLeft w:val="0"/>
      <w:marRight w:val="0"/>
      <w:marTop w:val="0"/>
      <w:marBottom w:val="0"/>
      <w:divBdr>
        <w:top w:val="none" w:sz="0" w:space="0" w:color="auto"/>
        <w:left w:val="none" w:sz="0" w:space="0" w:color="auto"/>
        <w:bottom w:val="none" w:sz="0" w:space="0" w:color="auto"/>
        <w:right w:val="none" w:sz="0" w:space="0" w:color="auto"/>
      </w:divBdr>
    </w:div>
    <w:div w:id="1252348251">
      <w:bodyDiv w:val="1"/>
      <w:marLeft w:val="0"/>
      <w:marRight w:val="0"/>
      <w:marTop w:val="0"/>
      <w:marBottom w:val="0"/>
      <w:divBdr>
        <w:top w:val="none" w:sz="0" w:space="0" w:color="auto"/>
        <w:left w:val="none" w:sz="0" w:space="0" w:color="auto"/>
        <w:bottom w:val="none" w:sz="0" w:space="0" w:color="auto"/>
        <w:right w:val="none" w:sz="0" w:space="0" w:color="auto"/>
      </w:divBdr>
    </w:div>
    <w:div w:id="1263489062">
      <w:bodyDiv w:val="1"/>
      <w:marLeft w:val="0"/>
      <w:marRight w:val="0"/>
      <w:marTop w:val="0"/>
      <w:marBottom w:val="0"/>
      <w:divBdr>
        <w:top w:val="none" w:sz="0" w:space="0" w:color="auto"/>
        <w:left w:val="none" w:sz="0" w:space="0" w:color="auto"/>
        <w:bottom w:val="none" w:sz="0" w:space="0" w:color="auto"/>
        <w:right w:val="none" w:sz="0" w:space="0" w:color="auto"/>
      </w:divBdr>
    </w:div>
    <w:div w:id="1283148665">
      <w:bodyDiv w:val="1"/>
      <w:marLeft w:val="0"/>
      <w:marRight w:val="0"/>
      <w:marTop w:val="0"/>
      <w:marBottom w:val="0"/>
      <w:divBdr>
        <w:top w:val="none" w:sz="0" w:space="0" w:color="auto"/>
        <w:left w:val="none" w:sz="0" w:space="0" w:color="auto"/>
        <w:bottom w:val="none" w:sz="0" w:space="0" w:color="auto"/>
        <w:right w:val="none" w:sz="0" w:space="0" w:color="auto"/>
      </w:divBdr>
    </w:div>
    <w:div w:id="1312521775">
      <w:bodyDiv w:val="1"/>
      <w:marLeft w:val="0"/>
      <w:marRight w:val="0"/>
      <w:marTop w:val="0"/>
      <w:marBottom w:val="0"/>
      <w:divBdr>
        <w:top w:val="none" w:sz="0" w:space="0" w:color="auto"/>
        <w:left w:val="none" w:sz="0" w:space="0" w:color="auto"/>
        <w:bottom w:val="none" w:sz="0" w:space="0" w:color="auto"/>
        <w:right w:val="none" w:sz="0" w:space="0" w:color="auto"/>
      </w:divBdr>
    </w:div>
    <w:div w:id="1318150330">
      <w:bodyDiv w:val="1"/>
      <w:marLeft w:val="0"/>
      <w:marRight w:val="0"/>
      <w:marTop w:val="0"/>
      <w:marBottom w:val="0"/>
      <w:divBdr>
        <w:top w:val="none" w:sz="0" w:space="0" w:color="auto"/>
        <w:left w:val="none" w:sz="0" w:space="0" w:color="auto"/>
        <w:bottom w:val="none" w:sz="0" w:space="0" w:color="auto"/>
        <w:right w:val="none" w:sz="0" w:space="0" w:color="auto"/>
      </w:divBdr>
    </w:div>
    <w:div w:id="1322848603">
      <w:bodyDiv w:val="1"/>
      <w:marLeft w:val="0"/>
      <w:marRight w:val="0"/>
      <w:marTop w:val="0"/>
      <w:marBottom w:val="0"/>
      <w:divBdr>
        <w:top w:val="none" w:sz="0" w:space="0" w:color="auto"/>
        <w:left w:val="none" w:sz="0" w:space="0" w:color="auto"/>
        <w:bottom w:val="none" w:sz="0" w:space="0" w:color="auto"/>
        <w:right w:val="none" w:sz="0" w:space="0" w:color="auto"/>
      </w:divBdr>
      <w:divsChild>
        <w:div w:id="96678822">
          <w:marLeft w:val="0"/>
          <w:marRight w:val="0"/>
          <w:marTop w:val="0"/>
          <w:marBottom w:val="0"/>
          <w:divBdr>
            <w:top w:val="none" w:sz="0" w:space="0" w:color="auto"/>
            <w:left w:val="none" w:sz="0" w:space="0" w:color="auto"/>
            <w:bottom w:val="none" w:sz="0" w:space="0" w:color="auto"/>
            <w:right w:val="none" w:sz="0" w:space="0" w:color="auto"/>
          </w:divBdr>
        </w:div>
        <w:div w:id="283000584">
          <w:marLeft w:val="0"/>
          <w:marRight w:val="0"/>
          <w:marTop w:val="0"/>
          <w:marBottom w:val="0"/>
          <w:divBdr>
            <w:top w:val="none" w:sz="0" w:space="0" w:color="auto"/>
            <w:left w:val="none" w:sz="0" w:space="0" w:color="auto"/>
            <w:bottom w:val="none" w:sz="0" w:space="0" w:color="auto"/>
            <w:right w:val="none" w:sz="0" w:space="0" w:color="auto"/>
          </w:divBdr>
        </w:div>
        <w:div w:id="303048015">
          <w:marLeft w:val="0"/>
          <w:marRight w:val="0"/>
          <w:marTop w:val="0"/>
          <w:marBottom w:val="0"/>
          <w:divBdr>
            <w:top w:val="none" w:sz="0" w:space="0" w:color="auto"/>
            <w:left w:val="none" w:sz="0" w:space="0" w:color="auto"/>
            <w:bottom w:val="none" w:sz="0" w:space="0" w:color="auto"/>
            <w:right w:val="none" w:sz="0" w:space="0" w:color="auto"/>
          </w:divBdr>
        </w:div>
        <w:div w:id="644699120">
          <w:marLeft w:val="0"/>
          <w:marRight w:val="0"/>
          <w:marTop w:val="0"/>
          <w:marBottom w:val="0"/>
          <w:divBdr>
            <w:top w:val="none" w:sz="0" w:space="0" w:color="auto"/>
            <w:left w:val="none" w:sz="0" w:space="0" w:color="auto"/>
            <w:bottom w:val="none" w:sz="0" w:space="0" w:color="auto"/>
            <w:right w:val="none" w:sz="0" w:space="0" w:color="auto"/>
          </w:divBdr>
        </w:div>
        <w:div w:id="1735854047">
          <w:marLeft w:val="0"/>
          <w:marRight w:val="0"/>
          <w:marTop w:val="0"/>
          <w:marBottom w:val="0"/>
          <w:divBdr>
            <w:top w:val="none" w:sz="0" w:space="0" w:color="auto"/>
            <w:left w:val="none" w:sz="0" w:space="0" w:color="auto"/>
            <w:bottom w:val="none" w:sz="0" w:space="0" w:color="auto"/>
            <w:right w:val="none" w:sz="0" w:space="0" w:color="auto"/>
          </w:divBdr>
        </w:div>
      </w:divsChild>
    </w:div>
    <w:div w:id="1352609050">
      <w:bodyDiv w:val="1"/>
      <w:marLeft w:val="0"/>
      <w:marRight w:val="0"/>
      <w:marTop w:val="0"/>
      <w:marBottom w:val="0"/>
      <w:divBdr>
        <w:top w:val="none" w:sz="0" w:space="0" w:color="auto"/>
        <w:left w:val="none" w:sz="0" w:space="0" w:color="auto"/>
        <w:bottom w:val="none" w:sz="0" w:space="0" w:color="auto"/>
        <w:right w:val="none" w:sz="0" w:space="0" w:color="auto"/>
      </w:divBdr>
    </w:div>
    <w:div w:id="1363550649">
      <w:bodyDiv w:val="1"/>
      <w:marLeft w:val="0"/>
      <w:marRight w:val="0"/>
      <w:marTop w:val="0"/>
      <w:marBottom w:val="0"/>
      <w:divBdr>
        <w:top w:val="none" w:sz="0" w:space="0" w:color="auto"/>
        <w:left w:val="none" w:sz="0" w:space="0" w:color="auto"/>
        <w:bottom w:val="none" w:sz="0" w:space="0" w:color="auto"/>
        <w:right w:val="none" w:sz="0" w:space="0" w:color="auto"/>
      </w:divBdr>
    </w:div>
    <w:div w:id="1375928482">
      <w:bodyDiv w:val="1"/>
      <w:marLeft w:val="0"/>
      <w:marRight w:val="0"/>
      <w:marTop w:val="0"/>
      <w:marBottom w:val="0"/>
      <w:divBdr>
        <w:top w:val="none" w:sz="0" w:space="0" w:color="auto"/>
        <w:left w:val="none" w:sz="0" w:space="0" w:color="auto"/>
        <w:bottom w:val="none" w:sz="0" w:space="0" w:color="auto"/>
        <w:right w:val="none" w:sz="0" w:space="0" w:color="auto"/>
      </w:divBdr>
    </w:div>
    <w:div w:id="1385905905">
      <w:bodyDiv w:val="1"/>
      <w:marLeft w:val="0"/>
      <w:marRight w:val="0"/>
      <w:marTop w:val="0"/>
      <w:marBottom w:val="0"/>
      <w:divBdr>
        <w:top w:val="none" w:sz="0" w:space="0" w:color="auto"/>
        <w:left w:val="none" w:sz="0" w:space="0" w:color="auto"/>
        <w:bottom w:val="none" w:sz="0" w:space="0" w:color="auto"/>
        <w:right w:val="none" w:sz="0" w:space="0" w:color="auto"/>
      </w:divBdr>
    </w:div>
    <w:div w:id="1404065622">
      <w:bodyDiv w:val="1"/>
      <w:marLeft w:val="0"/>
      <w:marRight w:val="0"/>
      <w:marTop w:val="0"/>
      <w:marBottom w:val="0"/>
      <w:divBdr>
        <w:top w:val="none" w:sz="0" w:space="0" w:color="auto"/>
        <w:left w:val="none" w:sz="0" w:space="0" w:color="auto"/>
        <w:bottom w:val="none" w:sz="0" w:space="0" w:color="auto"/>
        <w:right w:val="none" w:sz="0" w:space="0" w:color="auto"/>
      </w:divBdr>
    </w:div>
    <w:div w:id="1404645009">
      <w:bodyDiv w:val="1"/>
      <w:marLeft w:val="0"/>
      <w:marRight w:val="0"/>
      <w:marTop w:val="0"/>
      <w:marBottom w:val="0"/>
      <w:divBdr>
        <w:top w:val="none" w:sz="0" w:space="0" w:color="auto"/>
        <w:left w:val="none" w:sz="0" w:space="0" w:color="auto"/>
        <w:bottom w:val="none" w:sz="0" w:space="0" w:color="auto"/>
        <w:right w:val="none" w:sz="0" w:space="0" w:color="auto"/>
      </w:divBdr>
    </w:div>
    <w:div w:id="1424565890">
      <w:bodyDiv w:val="1"/>
      <w:marLeft w:val="0"/>
      <w:marRight w:val="0"/>
      <w:marTop w:val="0"/>
      <w:marBottom w:val="0"/>
      <w:divBdr>
        <w:top w:val="none" w:sz="0" w:space="0" w:color="auto"/>
        <w:left w:val="none" w:sz="0" w:space="0" w:color="auto"/>
        <w:bottom w:val="none" w:sz="0" w:space="0" w:color="auto"/>
        <w:right w:val="none" w:sz="0" w:space="0" w:color="auto"/>
      </w:divBdr>
    </w:div>
    <w:div w:id="1454708927">
      <w:bodyDiv w:val="1"/>
      <w:marLeft w:val="0"/>
      <w:marRight w:val="0"/>
      <w:marTop w:val="0"/>
      <w:marBottom w:val="0"/>
      <w:divBdr>
        <w:top w:val="none" w:sz="0" w:space="0" w:color="auto"/>
        <w:left w:val="none" w:sz="0" w:space="0" w:color="auto"/>
        <w:bottom w:val="none" w:sz="0" w:space="0" w:color="auto"/>
        <w:right w:val="none" w:sz="0" w:space="0" w:color="auto"/>
      </w:divBdr>
    </w:div>
    <w:div w:id="1502819309">
      <w:bodyDiv w:val="1"/>
      <w:marLeft w:val="0"/>
      <w:marRight w:val="0"/>
      <w:marTop w:val="0"/>
      <w:marBottom w:val="0"/>
      <w:divBdr>
        <w:top w:val="none" w:sz="0" w:space="0" w:color="auto"/>
        <w:left w:val="none" w:sz="0" w:space="0" w:color="auto"/>
        <w:bottom w:val="none" w:sz="0" w:space="0" w:color="auto"/>
        <w:right w:val="none" w:sz="0" w:space="0" w:color="auto"/>
      </w:divBdr>
    </w:div>
    <w:div w:id="1512376711">
      <w:bodyDiv w:val="1"/>
      <w:marLeft w:val="0"/>
      <w:marRight w:val="0"/>
      <w:marTop w:val="0"/>
      <w:marBottom w:val="0"/>
      <w:divBdr>
        <w:top w:val="none" w:sz="0" w:space="0" w:color="auto"/>
        <w:left w:val="none" w:sz="0" w:space="0" w:color="auto"/>
        <w:bottom w:val="none" w:sz="0" w:space="0" w:color="auto"/>
        <w:right w:val="none" w:sz="0" w:space="0" w:color="auto"/>
      </w:divBdr>
    </w:div>
    <w:div w:id="1519928146">
      <w:bodyDiv w:val="1"/>
      <w:marLeft w:val="0"/>
      <w:marRight w:val="0"/>
      <w:marTop w:val="0"/>
      <w:marBottom w:val="0"/>
      <w:divBdr>
        <w:top w:val="none" w:sz="0" w:space="0" w:color="auto"/>
        <w:left w:val="none" w:sz="0" w:space="0" w:color="auto"/>
        <w:bottom w:val="none" w:sz="0" w:space="0" w:color="auto"/>
        <w:right w:val="none" w:sz="0" w:space="0" w:color="auto"/>
      </w:divBdr>
    </w:div>
    <w:div w:id="1528451176">
      <w:bodyDiv w:val="1"/>
      <w:marLeft w:val="0"/>
      <w:marRight w:val="0"/>
      <w:marTop w:val="0"/>
      <w:marBottom w:val="0"/>
      <w:divBdr>
        <w:top w:val="none" w:sz="0" w:space="0" w:color="auto"/>
        <w:left w:val="none" w:sz="0" w:space="0" w:color="auto"/>
        <w:bottom w:val="none" w:sz="0" w:space="0" w:color="auto"/>
        <w:right w:val="none" w:sz="0" w:space="0" w:color="auto"/>
      </w:divBdr>
      <w:divsChild>
        <w:div w:id="896941045">
          <w:marLeft w:val="0"/>
          <w:marRight w:val="0"/>
          <w:marTop w:val="0"/>
          <w:marBottom w:val="0"/>
          <w:divBdr>
            <w:top w:val="none" w:sz="0" w:space="0" w:color="auto"/>
            <w:left w:val="none" w:sz="0" w:space="0" w:color="auto"/>
            <w:bottom w:val="none" w:sz="0" w:space="0" w:color="auto"/>
            <w:right w:val="none" w:sz="0" w:space="0" w:color="auto"/>
          </w:divBdr>
        </w:div>
        <w:div w:id="1317801197">
          <w:marLeft w:val="0"/>
          <w:marRight w:val="0"/>
          <w:marTop w:val="0"/>
          <w:marBottom w:val="0"/>
          <w:divBdr>
            <w:top w:val="none" w:sz="0" w:space="0" w:color="auto"/>
            <w:left w:val="none" w:sz="0" w:space="0" w:color="auto"/>
            <w:bottom w:val="none" w:sz="0" w:space="0" w:color="auto"/>
            <w:right w:val="none" w:sz="0" w:space="0" w:color="auto"/>
          </w:divBdr>
        </w:div>
      </w:divsChild>
    </w:div>
    <w:div w:id="1530945629">
      <w:bodyDiv w:val="1"/>
      <w:marLeft w:val="0"/>
      <w:marRight w:val="0"/>
      <w:marTop w:val="0"/>
      <w:marBottom w:val="0"/>
      <w:divBdr>
        <w:top w:val="none" w:sz="0" w:space="0" w:color="auto"/>
        <w:left w:val="none" w:sz="0" w:space="0" w:color="auto"/>
        <w:bottom w:val="none" w:sz="0" w:space="0" w:color="auto"/>
        <w:right w:val="none" w:sz="0" w:space="0" w:color="auto"/>
      </w:divBdr>
    </w:div>
    <w:div w:id="1549758338">
      <w:bodyDiv w:val="1"/>
      <w:marLeft w:val="0"/>
      <w:marRight w:val="0"/>
      <w:marTop w:val="0"/>
      <w:marBottom w:val="0"/>
      <w:divBdr>
        <w:top w:val="none" w:sz="0" w:space="0" w:color="auto"/>
        <w:left w:val="none" w:sz="0" w:space="0" w:color="auto"/>
        <w:bottom w:val="none" w:sz="0" w:space="0" w:color="auto"/>
        <w:right w:val="none" w:sz="0" w:space="0" w:color="auto"/>
      </w:divBdr>
    </w:div>
    <w:div w:id="1563175741">
      <w:bodyDiv w:val="1"/>
      <w:marLeft w:val="0"/>
      <w:marRight w:val="0"/>
      <w:marTop w:val="0"/>
      <w:marBottom w:val="0"/>
      <w:divBdr>
        <w:top w:val="none" w:sz="0" w:space="0" w:color="auto"/>
        <w:left w:val="none" w:sz="0" w:space="0" w:color="auto"/>
        <w:bottom w:val="none" w:sz="0" w:space="0" w:color="auto"/>
        <w:right w:val="none" w:sz="0" w:space="0" w:color="auto"/>
      </w:divBdr>
    </w:div>
    <w:div w:id="1563371914">
      <w:bodyDiv w:val="1"/>
      <w:marLeft w:val="0"/>
      <w:marRight w:val="0"/>
      <w:marTop w:val="0"/>
      <w:marBottom w:val="0"/>
      <w:divBdr>
        <w:top w:val="none" w:sz="0" w:space="0" w:color="auto"/>
        <w:left w:val="none" w:sz="0" w:space="0" w:color="auto"/>
        <w:bottom w:val="none" w:sz="0" w:space="0" w:color="auto"/>
        <w:right w:val="none" w:sz="0" w:space="0" w:color="auto"/>
      </w:divBdr>
    </w:div>
    <w:div w:id="1570574287">
      <w:bodyDiv w:val="1"/>
      <w:marLeft w:val="0"/>
      <w:marRight w:val="0"/>
      <w:marTop w:val="0"/>
      <w:marBottom w:val="0"/>
      <w:divBdr>
        <w:top w:val="none" w:sz="0" w:space="0" w:color="auto"/>
        <w:left w:val="none" w:sz="0" w:space="0" w:color="auto"/>
        <w:bottom w:val="none" w:sz="0" w:space="0" w:color="auto"/>
        <w:right w:val="none" w:sz="0" w:space="0" w:color="auto"/>
      </w:divBdr>
    </w:div>
    <w:div w:id="1580746035">
      <w:bodyDiv w:val="1"/>
      <w:marLeft w:val="0"/>
      <w:marRight w:val="0"/>
      <w:marTop w:val="0"/>
      <w:marBottom w:val="0"/>
      <w:divBdr>
        <w:top w:val="none" w:sz="0" w:space="0" w:color="auto"/>
        <w:left w:val="none" w:sz="0" w:space="0" w:color="auto"/>
        <w:bottom w:val="none" w:sz="0" w:space="0" w:color="auto"/>
        <w:right w:val="none" w:sz="0" w:space="0" w:color="auto"/>
      </w:divBdr>
    </w:div>
    <w:div w:id="1622834552">
      <w:bodyDiv w:val="1"/>
      <w:marLeft w:val="0"/>
      <w:marRight w:val="0"/>
      <w:marTop w:val="0"/>
      <w:marBottom w:val="0"/>
      <w:divBdr>
        <w:top w:val="none" w:sz="0" w:space="0" w:color="auto"/>
        <w:left w:val="none" w:sz="0" w:space="0" w:color="auto"/>
        <w:bottom w:val="none" w:sz="0" w:space="0" w:color="auto"/>
        <w:right w:val="none" w:sz="0" w:space="0" w:color="auto"/>
      </w:divBdr>
    </w:div>
    <w:div w:id="1647317758">
      <w:bodyDiv w:val="1"/>
      <w:marLeft w:val="0"/>
      <w:marRight w:val="0"/>
      <w:marTop w:val="0"/>
      <w:marBottom w:val="0"/>
      <w:divBdr>
        <w:top w:val="none" w:sz="0" w:space="0" w:color="auto"/>
        <w:left w:val="none" w:sz="0" w:space="0" w:color="auto"/>
        <w:bottom w:val="none" w:sz="0" w:space="0" w:color="auto"/>
        <w:right w:val="none" w:sz="0" w:space="0" w:color="auto"/>
      </w:divBdr>
    </w:div>
    <w:div w:id="1653214287">
      <w:bodyDiv w:val="1"/>
      <w:marLeft w:val="0"/>
      <w:marRight w:val="0"/>
      <w:marTop w:val="0"/>
      <w:marBottom w:val="0"/>
      <w:divBdr>
        <w:top w:val="none" w:sz="0" w:space="0" w:color="auto"/>
        <w:left w:val="none" w:sz="0" w:space="0" w:color="auto"/>
        <w:bottom w:val="none" w:sz="0" w:space="0" w:color="auto"/>
        <w:right w:val="none" w:sz="0" w:space="0" w:color="auto"/>
      </w:divBdr>
    </w:div>
    <w:div w:id="1667051601">
      <w:bodyDiv w:val="1"/>
      <w:marLeft w:val="0"/>
      <w:marRight w:val="0"/>
      <w:marTop w:val="0"/>
      <w:marBottom w:val="0"/>
      <w:divBdr>
        <w:top w:val="none" w:sz="0" w:space="0" w:color="auto"/>
        <w:left w:val="none" w:sz="0" w:space="0" w:color="auto"/>
        <w:bottom w:val="none" w:sz="0" w:space="0" w:color="auto"/>
        <w:right w:val="none" w:sz="0" w:space="0" w:color="auto"/>
      </w:divBdr>
    </w:div>
    <w:div w:id="1694645486">
      <w:bodyDiv w:val="1"/>
      <w:marLeft w:val="0"/>
      <w:marRight w:val="0"/>
      <w:marTop w:val="0"/>
      <w:marBottom w:val="0"/>
      <w:divBdr>
        <w:top w:val="none" w:sz="0" w:space="0" w:color="auto"/>
        <w:left w:val="none" w:sz="0" w:space="0" w:color="auto"/>
        <w:bottom w:val="none" w:sz="0" w:space="0" w:color="auto"/>
        <w:right w:val="none" w:sz="0" w:space="0" w:color="auto"/>
      </w:divBdr>
    </w:div>
    <w:div w:id="1694913012">
      <w:bodyDiv w:val="1"/>
      <w:marLeft w:val="0"/>
      <w:marRight w:val="0"/>
      <w:marTop w:val="0"/>
      <w:marBottom w:val="0"/>
      <w:divBdr>
        <w:top w:val="none" w:sz="0" w:space="0" w:color="auto"/>
        <w:left w:val="none" w:sz="0" w:space="0" w:color="auto"/>
        <w:bottom w:val="none" w:sz="0" w:space="0" w:color="auto"/>
        <w:right w:val="none" w:sz="0" w:space="0" w:color="auto"/>
      </w:divBdr>
    </w:div>
    <w:div w:id="1713723616">
      <w:bodyDiv w:val="1"/>
      <w:marLeft w:val="0"/>
      <w:marRight w:val="0"/>
      <w:marTop w:val="0"/>
      <w:marBottom w:val="0"/>
      <w:divBdr>
        <w:top w:val="none" w:sz="0" w:space="0" w:color="auto"/>
        <w:left w:val="none" w:sz="0" w:space="0" w:color="auto"/>
        <w:bottom w:val="none" w:sz="0" w:space="0" w:color="auto"/>
        <w:right w:val="none" w:sz="0" w:space="0" w:color="auto"/>
      </w:divBdr>
    </w:div>
    <w:div w:id="1746225597">
      <w:bodyDiv w:val="1"/>
      <w:marLeft w:val="0"/>
      <w:marRight w:val="0"/>
      <w:marTop w:val="0"/>
      <w:marBottom w:val="0"/>
      <w:divBdr>
        <w:top w:val="none" w:sz="0" w:space="0" w:color="auto"/>
        <w:left w:val="none" w:sz="0" w:space="0" w:color="auto"/>
        <w:bottom w:val="none" w:sz="0" w:space="0" w:color="auto"/>
        <w:right w:val="none" w:sz="0" w:space="0" w:color="auto"/>
      </w:divBdr>
    </w:div>
    <w:div w:id="1755398500">
      <w:bodyDiv w:val="1"/>
      <w:marLeft w:val="0"/>
      <w:marRight w:val="0"/>
      <w:marTop w:val="0"/>
      <w:marBottom w:val="0"/>
      <w:divBdr>
        <w:top w:val="none" w:sz="0" w:space="0" w:color="auto"/>
        <w:left w:val="none" w:sz="0" w:space="0" w:color="auto"/>
        <w:bottom w:val="none" w:sz="0" w:space="0" w:color="auto"/>
        <w:right w:val="none" w:sz="0" w:space="0" w:color="auto"/>
      </w:divBdr>
    </w:div>
    <w:div w:id="1808015273">
      <w:bodyDiv w:val="1"/>
      <w:marLeft w:val="0"/>
      <w:marRight w:val="0"/>
      <w:marTop w:val="0"/>
      <w:marBottom w:val="0"/>
      <w:divBdr>
        <w:top w:val="none" w:sz="0" w:space="0" w:color="auto"/>
        <w:left w:val="none" w:sz="0" w:space="0" w:color="auto"/>
        <w:bottom w:val="none" w:sz="0" w:space="0" w:color="auto"/>
        <w:right w:val="none" w:sz="0" w:space="0" w:color="auto"/>
      </w:divBdr>
      <w:divsChild>
        <w:div w:id="178853801">
          <w:marLeft w:val="0"/>
          <w:marRight w:val="0"/>
          <w:marTop w:val="0"/>
          <w:marBottom w:val="0"/>
          <w:divBdr>
            <w:top w:val="none" w:sz="0" w:space="0" w:color="auto"/>
            <w:left w:val="none" w:sz="0" w:space="0" w:color="auto"/>
            <w:bottom w:val="none" w:sz="0" w:space="0" w:color="auto"/>
            <w:right w:val="none" w:sz="0" w:space="0" w:color="auto"/>
          </w:divBdr>
          <w:divsChild>
            <w:div w:id="109906866">
              <w:marLeft w:val="0"/>
              <w:marRight w:val="0"/>
              <w:marTop w:val="0"/>
              <w:marBottom w:val="0"/>
              <w:divBdr>
                <w:top w:val="none" w:sz="0" w:space="0" w:color="auto"/>
                <w:left w:val="none" w:sz="0" w:space="0" w:color="auto"/>
                <w:bottom w:val="none" w:sz="0" w:space="0" w:color="auto"/>
                <w:right w:val="none" w:sz="0" w:space="0" w:color="auto"/>
              </w:divBdr>
            </w:div>
            <w:div w:id="163517895">
              <w:marLeft w:val="0"/>
              <w:marRight w:val="0"/>
              <w:marTop w:val="0"/>
              <w:marBottom w:val="0"/>
              <w:divBdr>
                <w:top w:val="none" w:sz="0" w:space="0" w:color="auto"/>
                <w:left w:val="none" w:sz="0" w:space="0" w:color="auto"/>
                <w:bottom w:val="none" w:sz="0" w:space="0" w:color="auto"/>
                <w:right w:val="none" w:sz="0" w:space="0" w:color="auto"/>
              </w:divBdr>
            </w:div>
            <w:div w:id="640043861">
              <w:marLeft w:val="0"/>
              <w:marRight w:val="0"/>
              <w:marTop w:val="0"/>
              <w:marBottom w:val="0"/>
              <w:divBdr>
                <w:top w:val="none" w:sz="0" w:space="0" w:color="auto"/>
                <w:left w:val="none" w:sz="0" w:space="0" w:color="auto"/>
                <w:bottom w:val="none" w:sz="0" w:space="0" w:color="auto"/>
                <w:right w:val="none" w:sz="0" w:space="0" w:color="auto"/>
              </w:divBdr>
            </w:div>
          </w:divsChild>
        </w:div>
        <w:div w:id="423965869">
          <w:marLeft w:val="0"/>
          <w:marRight w:val="0"/>
          <w:marTop w:val="0"/>
          <w:marBottom w:val="0"/>
          <w:divBdr>
            <w:top w:val="none" w:sz="0" w:space="0" w:color="auto"/>
            <w:left w:val="none" w:sz="0" w:space="0" w:color="auto"/>
            <w:bottom w:val="none" w:sz="0" w:space="0" w:color="auto"/>
            <w:right w:val="none" w:sz="0" w:space="0" w:color="auto"/>
          </w:divBdr>
          <w:divsChild>
            <w:div w:id="887843915">
              <w:marLeft w:val="0"/>
              <w:marRight w:val="0"/>
              <w:marTop w:val="0"/>
              <w:marBottom w:val="0"/>
              <w:divBdr>
                <w:top w:val="none" w:sz="0" w:space="0" w:color="auto"/>
                <w:left w:val="none" w:sz="0" w:space="0" w:color="auto"/>
                <w:bottom w:val="none" w:sz="0" w:space="0" w:color="auto"/>
                <w:right w:val="none" w:sz="0" w:space="0" w:color="auto"/>
              </w:divBdr>
            </w:div>
            <w:div w:id="15793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1285">
      <w:bodyDiv w:val="1"/>
      <w:marLeft w:val="0"/>
      <w:marRight w:val="0"/>
      <w:marTop w:val="0"/>
      <w:marBottom w:val="0"/>
      <w:divBdr>
        <w:top w:val="none" w:sz="0" w:space="0" w:color="auto"/>
        <w:left w:val="none" w:sz="0" w:space="0" w:color="auto"/>
        <w:bottom w:val="none" w:sz="0" w:space="0" w:color="auto"/>
        <w:right w:val="none" w:sz="0" w:space="0" w:color="auto"/>
      </w:divBdr>
    </w:div>
    <w:div w:id="1812554560">
      <w:bodyDiv w:val="1"/>
      <w:marLeft w:val="0"/>
      <w:marRight w:val="0"/>
      <w:marTop w:val="0"/>
      <w:marBottom w:val="0"/>
      <w:divBdr>
        <w:top w:val="none" w:sz="0" w:space="0" w:color="auto"/>
        <w:left w:val="none" w:sz="0" w:space="0" w:color="auto"/>
        <w:bottom w:val="none" w:sz="0" w:space="0" w:color="auto"/>
        <w:right w:val="none" w:sz="0" w:space="0" w:color="auto"/>
      </w:divBdr>
    </w:div>
    <w:div w:id="1822230084">
      <w:bodyDiv w:val="1"/>
      <w:marLeft w:val="0"/>
      <w:marRight w:val="0"/>
      <w:marTop w:val="0"/>
      <w:marBottom w:val="0"/>
      <w:divBdr>
        <w:top w:val="none" w:sz="0" w:space="0" w:color="auto"/>
        <w:left w:val="none" w:sz="0" w:space="0" w:color="auto"/>
        <w:bottom w:val="none" w:sz="0" w:space="0" w:color="auto"/>
        <w:right w:val="none" w:sz="0" w:space="0" w:color="auto"/>
      </w:divBdr>
    </w:div>
    <w:div w:id="1830558353">
      <w:bodyDiv w:val="1"/>
      <w:marLeft w:val="0"/>
      <w:marRight w:val="0"/>
      <w:marTop w:val="0"/>
      <w:marBottom w:val="0"/>
      <w:divBdr>
        <w:top w:val="none" w:sz="0" w:space="0" w:color="auto"/>
        <w:left w:val="none" w:sz="0" w:space="0" w:color="auto"/>
        <w:bottom w:val="none" w:sz="0" w:space="0" w:color="auto"/>
        <w:right w:val="none" w:sz="0" w:space="0" w:color="auto"/>
      </w:divBdr>
    </w:div>
    <w:div w:id="1839885678">
      <w:bodyDiv w:val="1"/>
      <w:marLeft w:val="0"/>
      <w:marRight w:val="0"/>
      <w:marTop w:val="0"/>
      <w:marBottom w:val="0"/>
      <w:divBdr>
        <w:top w:val="none" w:sz="0" w:space="0" w:color="auto"/>
        <w:left w:val="none" w:sz="0" w:space="0" w:color="auto"/>
        <w:bottom w:val="none" w:sz="0" w:space="0" w:color="auto"/>
        <w:right w:val="none" w:sz="0" w:space="0" w:color="auto"/>
      </w:divBdr>
    </w:div>
    <w:div w:id="1902253938">
      <w:bodyDiv w:val="1"/>
      <w:marLeft w:val="0"/>
      <w:marRight w:val="0"/>
      <w:marTop w:val="0"/>
      <w:marBottom w:val="0"/>
      <w:divBdr>
        <w:top w:val="none" w:sz="0" w:space="0" w:color="auto"/>
        <w:left w:val="none" w:sz="0" w:space="0" w:color="auto"/>
        <w:bottom w:val="none" w:sz="0" w:space="0" w:color="auto"/>
        <w:right w:val="none" w:sz="0" w:space="0" w:color="auto"/>
      </w:divBdr>
    </w:div>
    <w:div w:id="1914659370">
      <w:bodyDiv w:val="1"/>
      <w:marLeft w:val="0"/>
      <w:marRight w:val="0"/>
      <w:marTop w:val="0"/>
      <w:marBottom w:val="0"/>
      <w:divBdr>
        <w:top w:val="none" w:sz="0" w:space="0" w:color="auto"/>
        <w:left w:val="none" w:sz="0" w:space="0" w:color="auto"/>
        <w:bottom w:val="none" w:sz="0" w:space="0" w:color="auto"/>
        <w:right w:val="none" w:sz="0" w:space="0" w:color="auto"/>
      </w:divBdr>
    </w:div>
    <w:div w:id="1961260515">
      <w:bodyDiv w:val="1"/>
      <w:marLeft w:val="0"/>
      <w:marRight w:val="0"/>
      <w:marTop w:val="0"/>
      <w:marBottom w:val="0"/>
      <w:divBdr>
        <w:top w:val="none" w:sz="0" w:space="0" w:color="auto"/>
        <w:left w:val="none" w:sz="0" w:space="0" w:color="auto"/>
        <w:bottom w:val="none" w:sz="0" w:space="0" w:color="auto"/>
        <w:right w:val="none" w:sz="0" w:space="0" w:color="auto"/>
      </w:divBdr>
    </w:div>
    <w:div w:id="1961692203">
      <w:bodyDiv w:val="1"/>
      <w:marLeft w:val="0"/>
      <w:marRight w:val="0"/>
      <w:marTop w:val="0"/>
      <w:marBottom w:val="0"/>
      <w:divBdr>
        <w:top w:val="none" w:sz="0" w:space="0" w:color="auto"/>
        <w:left w:val="none" w:sz="0" w:space="0" w:color="auto"/>
        <w:bottom w:val="none" w:sz="0" w:space="0" w:color="auto"/>
        <w:right w:val="none" w:sz="0" w:space="0" w:color="auto"/>
      </w:divBdr>
    </w:div>
    <w:div w:id="1967004153">
      <w:bodyDiv w:val="1"/>
      <w:marLeft w:val="0"/>
      <w:marRight w:val="0"/>
      <w:marTop w:val="0"/>
      <w:marBottom w:val="0"/>
      <w:divBdr>
        <w:top w:val="none" w:sz="0" w:space="0" w:color="auto"/>
        <w:left w:val="none" w:sz="0" w:space="0" w:color="auto"/>
        <w:bottom w:val="none" w:sz="0" w:space="0" w:color="auto"/>
        <w:right w:val="none" w:sz="0" w:space="0" w:color="auto"/>
      </w:divBdr>
      <w:divsChild>
        <w:div w:id="1349916103">
          <w:marLeft w:val="0"/>
          <w:marRight w:val="0"/>
          <w:marTop w:val="0"/>
          <w:marBottom w:val="0"/>
          <w:divBdr>
            <w:top w:val="none" w:sz="0" w:space="0" w:color="auto"/>
            <w:left w:val="none" w:sz="0" w:space="0" w:color="auto"/>
            <w:bottom w:val="none" w:sz="0" w:space="0" w:color="auto"/>
            <w:right w:val="none" w:sz="0" w:space="0" w:color="auto"/>
          </w:divBdr>
        </w:div>
      </w:divsChild>
    </w:div>
    <w:div w:id="1967084743">
      <w:bodyDiv w:val="1"/>
      <w:marLeft w:val="0"/>
      <w:marRight w:val="0"/>
      <w:marTop w:val="0"/>
      <w:marBottom w:val="0"/>
      <w:divBdr>
        <w:top w:val="none" w:sz="0" w:space="0" w:color="auto"/>
        <w:left w:val="none" w:sz="0" w:space="0" w:color="auto"/>
        <w:bottom w:val="none" w:sz="0" w:space="0" w:color="auto"/>
        <w:right w:val="none" w:sz="0" w:space="0" w:color="auto"/>
      </w:divBdr>
    </w:div>
    <w:div w:id="1971739849">
      <w:bodyDiv w:val="1"/>
      <w:marLeft w:val="0"/>
      <w:marRight w:val="0"/>
      <w:marTop w:val="0"/>
      <w:marBottom w:val="0"/>
      <w:divBdr>
        <w:top w:val="none" w:sz="0" w:space="0" w:color="auto"/>
        <w:left w:val="none" w:sz="0" w:space="0" w:color="auto"/>
        <w:bottom w:val="none" w:sz="0" w:space="0" w:color="auto"/>
        <w:right w:val="none" w:sz="0" w:space="0" w:color="auto"/>
      </w:divBdr>
    </w:div>
    <w:div w:id="1974827319">
      <w:bodyDiv w:val="1"/>
      <w:marLeft w:val="0"/>
      <w:marRight w:val="0"/>
      <w:marTop w:val="0"/>
      <w:marBottom w:val="0"/>
      <w:divBdr>
        <w:top w:val="none" w:sz="0" w:space="0" w:color="auto"/>
        <w:left w:val="none" w:sz="0" w:space="0" w:color="auto"/>
        <w:bottom w:val="none" w:sz="0" w:space="0" w:color="auto"/>
        <w:right w:val="none" w:sz="0" w:space="0" w:color="auto"/>
      </w:divBdr>
    </w:div>
    <w:div w:id="1982076799">
      <w:bodyDiv w:val="1"/>
      <w:marLeft w:val="0"/>
      <w:marRight w:val="0"/>
      <w:marTop w:val="0"/>
      <w:marBottom w:val="0"/>
      <w:divBdr>
        <w:top w:val="none" w:sz="0" w:space="0" w:color="auto"/>
        <w:left w:val="none" w:sz="0" w:space="0" w:color="auto"/>
        <w:bottom w:val="none" w:sz="0" w:space="0" w:color="auto"/>
        <w:right w:val="none" w:sz="0" w:space="0" w:color="auto"/>
      </w:divBdr>
    </w:div>
    <w:div w:id="1999069479">
      <w:bodyDiv w:val="1"/>
      <w:marLeft w:val="0"/>
      <w:marRight w:val="0"/>
      <w:marTop w:val="0"/>
      <w:marBottom w:val="0"/>
      <w:divBdr>
        <w:top w:val="none" w:sz="0" w:space="0" w:color="auto"/>
        <w:left w:val="none" w:sz="0" w:space="0" w:color="auto"/>
        <w:bottom w:val="none" w:sz="0" w:space="0" w:color="auto"/>
        <w:right w:val="none" w:sz="0" w:space="0" w:color="auto"/>
      </w:divBdr>
    </w:div>
    <w:div w:id="2006323208">
      <w:bodyDiv w:val="1"/>
      <w:marLeft w:val="0"/>
      <w:marRight w:val="0"/>
      <w:marTop w:val="0"/>
      <w:marBottom w:val="0"/>
      <w:divBdr>
        <w:top w:val="none" w:sz="0" w:space="0" w:color="auto"/>
        <w:left w:val="none" w:sz="0" w:space="0" w:color="auto"/>
        <w:bottom w:val="none" w:sz="0" w:space="0" w:color="auto"/>
        <w:right w:val="none" w:sz="0" w:space="0" w:color="auto"/>
      </w:divBdr>
    </w:div>
    <w:div w:id="2043165354">
      <w:bodyDiv w:val="1"/>
      <w:marLeft w:val="0"/>
      <w:marRight w:val="0"/>
      <w:marTop w:val="0"/>
      <w:marBottom w:val="0"/>
      <w:divBdr>
        <w:top w:val="none" w:sz="0" w:space="0" w:color="auto"/>
        <w:left w:val="none" w:sz="0" w:space="0" w:color="auto"/>
        <w:bottom w:val="none" w:sz="0" w:space="0" w:color="auto"/>
        <w:right w:val="none" w:sz="0" w:space="0" w:color="auto"/>
      </w:divBdr>
    </w:div>
    <w:div w:id="2072800771">
      <w:bodyDiv w:val="1"/>
      <w:marLeft w:val="0"/>
      <w:marRight w:val="0"/>
      <w:marTop w:val="0"/>
      <w:marBottom w:val="0"/>
      <w:divBdr>
        <w:top w:val="none" w:sz="0" w:space="0" w:color="auto"/>
        <w:left w:val="none" w:sz="0" w:space="0" w:color="auto"/>
        <w:bottom w:val="none" w:sz="0" w:space="0" w:color="auto"/>
        <w:right w:val="none" w:sz="0" w:space="0" w:color="auto"/>
      </w:divBdr>
    </w:div>
    <w:div w:id="2074157516">
      <w:bodyDiv w:val="1"/>
      <w:marLeft w:val="0"/>
      <w:marRight w:val="0"/>
      <w:marTop w:val="0"/>
      <w:marBottom w:val="0"/>
      <w:divBdr>
        <w:top w:val="none" w:sz="0" w:space="0" w:color="auto"/>
        <w:left w:val="none" w:sz="0" w:space="0" w:color="auto"/>
        <w:bottom w:val="none" w:sz="0" w:space="0" w:color="auto"/>
        <w:right w:val="none" w:sz="0" w:space="0" w:color="auto"/>
      </w:divBdr>
    </w:div>
    <w:div w:id="2085567344">
      <w:bodyDiv w:val="1"/>
      <w:marLeft w:val="0"/>
      <w:marRight w:val="0"/>
      <w:marTop w:val="0"/>
      <w:marBottom w:val="0"/>
      <w:divBdr>
        <w:top w:val="none" w:sz="0" w:space="0" w:color="auto"/>
        <w:left w:val="none" w:sz="0" w:space="0" w:color="auto"/>
        <w:bottom w:val="none" w:sz="0" w:space="0" w:color="auto"/>
        <w:right w:val="none" w:sz="0" w:space="0" w:color="auto"/>
      </w:divBdr>
    </w:div>
    <w:div w:id="2120686227">
      <w:bodyDiv w:val="1"/>
      <w:marLeft w:val="0"/>
      <w:marRight w:val="0"/>
      <w:marTop w:val="0"/>
      <w:marBottom w:val="0"/>
      <w:divBdr>
        <w:top w:val="none" w:sz="0" w:space="0" w:color="auto"/>
        <w:left w:val="none" w:sz="0" w:space="0" w:color="auto"/>
        <w:bottom w:val="none" w:sz="0" w:space="0" w:color="auto"/>
        <w:right w:val="none" w:sz="0" w:space="0" w:color="auto"/>
      </w:divBdr>
    </w:div>
    <w:div w:id="2123911984">
      <w:bodyDiv w:val="1"/>
      <w:marLeft w:val="0"/>
      <w:marRight w:val="0"/>
      <w:marTop w:val="0"/>
      <w:marBottom w:val="0"/>
      <w:divBdr>
        <w:top w:val="none" w:sz="0" w:space="0" w:color="auto"/>
        <w:left w:val="none" w:sz="0" w:space="0" w:color="auto"/>
        <w:bottom w:val="none" w:sz="0" w:space="0" w:color="auto"/>
        <w:right w:val="none" w:sz="0" w:space="0" w:color="auto"/>
      </w:divBdr>
      <w:divsChild>
        <w:div w:id="287012038">
          <w:marLeft w:val="0"/>
          <w:marRight w:val="0"/>
          <w:marTop w:val="0"/>
          <w:marBottom w:val="0"/>
          <w:divBdr>
            <w:top w:val="none" w:sz="0" w:space="0" w:color="auto"/>
            <w:left w:val="none" w:sz="0" w:space="0" w:color="auto"/>
            <w:bottom w:val="none" w:sz="0" w:space="0" w:color="auto"/>
            <w:right w:val="none" w:sz="0" w:space="0" w:color="auto"/>
          </w:divBdr>
          <w:divsChild>
            <w:div w:id="59250105">
              <w:marLeft w:val="0"/>
              <w:marRight w:val="0"/>
              <w:marTop w:val="0"/>
              <w:marBottom w:val="0"/>
              <w:divBdr>
                <w:top w:val="none" w:sz="0" w:space="0" w:color="auto"/>
                <w:left w:val="none" w:sz="0" w:space="0" w:color="auto"/>
                <w:bottom w:val="none" w:sz="0" w:space="0" w:color="auto"/>
                <w:right w:val="none" w:sz="0" w:space="0" w:color="auto"/>
              </w:divBdr>
            </w:div>
            <w:div w:id="1669793032">
              <w:marLeft w:val="0"/>
              <w:marRight w:val="0"/>
              <w:marTop w:val="0"/>
              <w:marBottom w:val="0"/>
              <w:divBdr>
                <w:top w:val="none" w:sz="0" w:space="0" w:color="auto"/>
                <w:left w:val="none" w:sz="0" w:space="0" w:color="auto"/>
                <w:bottom w:val="none" w:sz="0" w:space="0" w:color="auto"/>
                <w:right w:val="none" w:sz="0" w:space="0" w:color="auto"/>
              </w:divBdr>
            </w:div>
          </w:divsChild>
        </w:div>
        <w:div w:id="968365494">
          <w:marLeft w:val="0"/>
          <w:marRight w:val="0"/>
          <w:marTop w:val="0"/>
          <w:marBottom w:val="0"/>
          <w:divBdr>
            <w:top w:val="none" w:sz="0" w:space="0" w:color="auto"/>
            <w:left w:val="none" w:sz="0" w:space="0" w:color="auto"/>
            <w:bottom w:val="none" w:sz="0" w:space="0" w:color="auto"/>
            <w:right w:val="none" w:sz="0" w:space="0" w:color="auto"/>
          </w:divBdr>
          <w:divsChild>
            <w:div w:id="327943760">
              <w:marLeft w:val="0"/>
              <w:marRight w:val="0"/>
              <w:marTop w:val="0"/>
              <w:marBottom w:val="0"/>
              <w:divBdr>
                <w:top w:val="none" w:sz="0" w:space="0" w:color="auto"/>
                <w:left w:val="none" w:sz="0" w:space="0" w:color="auto"/>
                <w:bottom w:val="none" w:sz="0" w:space="0" w:color="auto"/>
                <w:right w:val="none" w:sz="0" w:space="0" w:color="auto"/>
              </w:divBdr>
            </w:div>
            <w:div w:id="620460270">
              <w:marLeft w:val="0"/>
              <w:marRight w:val="0"/>
              <w:marTop w:val="0"/>
              <w:marBottom w:val="0"/>
              <w:divBdr>
                <w:top w:val="none" w:sz="0" w:space="0" w:color="auto"/>
                <w:left w:val="none" w:sz="0" w:space="0" w:color="auto"/>
                <w:bottom w:val="none" w:sz="0" w:space="0" w:color="auto"/>
                <w:right w:val="none" w:sz="0" w:space="0" w:color="auto"/>
              </w:divBdr>
            </w:div>
            <w:div w:id="10926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header" Target="header22.xml"/><Relationship Id="rId21" Type="http://schemas.openxmlformats.org/officeDocument/2006/relationships/image" Target="media/image8.png"/><Relationship Id="rId42" Type="http://schemas.openxmlformats.org/officeDocument/2006/relationships/hyperlink" Target="https://aus01.safelinks.protection.outlook.com/?url=https%3A%2F%2Fwww.disabilitygateway.gov.au%2Fads&amp;data=05%7C01%7CIlana.IDRUS%40ndis.gov.au%7Cdc93cdd329b74106e5f808da6f8e5063%7Ccd778b65752d454a87cfb9990fe58993%7C0%7C0%7C637944955333584295%7CUnknown%7CTWFpbGZsb3d8eyJWIjoiMC4wLjAwMDAiLCJQIjoiV2luMzIiLCJBTiI6Ik1haWwiLCJXVCI6Mn0%3D%7C3000%7C%7C%7C&amp;sdata=3rhoGEOMn%2BU7qPTT2jJ4vJ8Sh5MNqs0U54EOZsLxcOE%3D&amp;reserved=0" TargetMode="External"/><Relationship Id="rId47" Type="http://schemas.openxmlformats.org/officeDocument/2006/relationships/hyperlink" Target="https://data.ndis.gov.au/" TargetMode="External"/><Relationship Id="rId63" Type="http://schemas.openxmlformats.org/officeDocument/2006/relationships/header" Target="header9.xml"/><Relationship Id="rId68" Type="http://schemas.openxmlformats.org/officeDocument/2006/relationships/header" Target="header13.xml"/><Relationship Id="rId84" Type="http://schemas.openxmlformats.org/officeDocument/2006/relationships/image" Target="media/image40.emf"/><Relationship Id="rId89" Type="http://schemas.openxmlformats.org/officeDocument/2006/relationships/image" Target="media/image45.png"/><Relationship Id="rId112" Type="http://schemas.openxmlformats.org/officeDocument/2006/relationships/image" Target="media/image67.gif"/><Relationship Id="rId16" Type="http://schemas.openxmlformats.org/officeDocument/2006/relationships/image" Target="media/image3.png"/><Relationship Id="rId107" Type="http://schemas.openxmlformats.org/officeDocument/2006/relationships/image" Target="media/image62.png"/><Relationship Id="rId11" Type="http://schemas.openxmlformats.org/officeDocument/2006/relationships/image" Target="media/image1.png"/><Relationship Id="rId32" Type="http://schemas.openxmlformats.org/officeDocument/2006/relationships/hyperlink" Target="https://www.ndis.gov.au/about-us/publications/corporate-plan" TargetMode="External"/><Relationship Id="rId37" Type="http://schemas.openxmlformats.org/officeDocument/2006/relationships/image" Target="media/image23.png"/><Relationship Id="rId53" Type="http://schemas.openxmlformats.org/officeDocument/2006/relationships/image" Target="media/image30.png"/><Relationship Id="rId58" Type="http://schemas.openxmlformats.org/officeDocument/2006/relationships/header" Target="header4.xml"/><Relationship Id="rId74" Type="http://schemas.openxmlformats.org/officeDocument/2006/relationships/header" Target="header19.xml"/><Relationship Id="rId79" Type="http://schemas.openxmlformats.org/officeDocument/2006/relationships/image" Target="media/image35.png"/><Relationship Id="rId102" Type="http://schemas.openxmlformats.org/officeDocument/2006/relationships/image" Target="media/image58.png"/><Relationship Id="rId5" Type="http://schemas.openxmlformats.org/officeDocument/2006/relationships/numbering" Target="numbering.xml"/><Relationship Id="rId90" Type="http://schemas.openxmlformats.org/officeDocument/2006/relationships/image" Target="media/image46.png"/><Relationship Id="rId95" Type="http://schemas.openxmlformats.org/officeDocument/2006/relationships/image" Target="media/image51.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hyperlink" Target="https://data.ndis.gov.au/reports-and-analyses/market-monitoring" TargetMode="External"/><Relationship Id="rId48" Type="http://schemas.openxmlformats.org/officeDocument/2006/relationships/image" Target="media/image25.png"/><Relationship Id="rId64" Type="http://schemas.openxmlformats.org/officeDocument/2006/relationships/footer" Target="footer3.xml"/><Relationship Id="rId69" Type="http://schemas.openxmlformats.org/officeDocument/2006/relationships/header" Target="header14.xml"/><Relationship Id="rId113" Type="http://schemas.openxmlformats.org/officeDocument/2006/relationships/hyperlink" Target="https://www.ndis-iac.com.au/" TargetMode="External"/><Relationship Id="rId118" Type="http://schemas.openxmlformats.org/officeDocument/2006/relationships/footer" Target="footer4.xml"/><Relationship Id="rId80" Type="http://schemas.openxmlformats.org/officeDocument/2006/relationships/image" Target="media/image36.png"/><Relationship Id="rId85" Type="http://schemas.openxmlformats.org/officeDocument/2006/relationships/image" Target="media/image41.png"/><Relationship Id="rId12" Type="http://schemas.openxmlformats.org/officeDocument/2006/relationships/image" Target="media/image2.png"/><Relationship Id="rId17" Type="http://schemas.openxmlformats.org/officeDocument/2006/relationships/image" Target="media/image4.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eader" Target="header5.xml"/><Relationship Id="rId103" Type="http://schemas.openxmlformats.org/officeDocument/2006/relationships/hyperlink" Target="https://www.ndis.gov.au/media/4720/download?attachment" TargetMode="External"/><Relationship Id="rId108" Type="http://schemas.openxmlformats.org/officeDocument/2006/relationships/image" Target="media/image63.jpeg"/><Relationship Id="rId54" Type="http://schemas.openxmlformats.org/officeDocument/2006/relationships/header" Target="header1.xml"/><Relationship Id="rId70" Type="http://schemas.openxmlformats.org/officeDocument/2006/relationships/header" Target="header15.xml"/><Relationship Id="rId75" Type="http://schemas.openxmlformats.org/officeDocument/2006/relationships/header" Target="header20.xml"/><Relationship Id="rId91" Type="http://schemas.openxmlformats.org/officeDocument/2006/relationships/image" Target="media/image47.png"/><Relationship Id="rId96"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26.png"/><Relationship Id="rId114" Type="http://schemas.openxmlformats.org/officeDocument/2006/relationships/image" Target="media/image68.png"/><Relationship Id="rId119" Type="http://schemas.openxmlformats.org/officeDocument/2006/relationships/hyperlink" Target="https://www.ndis.gov.au/" TargetMode="External"/><Relationship Id="rId44" Type="http://schemas.openxmlformats.org/officeDocument/2006/relationships/hyperlink" Target="https://www.ndis.gov.au/community/working-towards-co-design" TargetMode="External"/><Relationship Id="rId60" Type="http://schemas.openxmlformats.org/officeDocument/2006/relationships/header" Target="header6.xml"/><Relationship Id="rId65" Type="http://schemas.openxmlformats.org/officeDocument/2006/relationships/header" Target="header10.xml"/><Relationship Id="rId81" Type="http://schemas.openxmlformats.org/officeDocument/2006/relationships/image" Target="media/image37.png"/><Relationship Id="rId86" Type="http://schemas.openxmlformats.org/officeDocument/2006/relationships/image" Target="media/image42.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hyperlink" Target="https://aus01.safelinks.protection.outlook.com/?url=http%3A%2F%2Fwww.ndis.gov.au%2Fabout-us%2Fstrategies%2Faboriginal-and-torres-strait-islander-strategy&amp;data=05%7C01%7CCatherine.Mulligan%40ndis.gov.au%7C8a77ff3a5ca5405d7b6408da84cfa387%7Ccd778b65752d454a87cfb9990fe58993%7C0%7C0%7C637968324724443677%7CUnknown%7CTWFpbGZsb3d8eyJWIjoiMC4wLjAwMDAiLCJQIjoiV2luMzIiLCJBTiI6Ik1haWwiLCJXVCI6Mn0%3D%7C3000%7C%7C%7C&amp;sdata=NgekyzpoLBYgQ5r2QT5pxxO%2FgMldZDC%2FVuqD3qX4bHU%3D&amp;reserved=0" TargetMode="External"/><Relationship Id="rId109" Type="http://schemas.openxmlformats.org/officeDocument/2006/relationships/image" Target="media/image64.jpeg"/><Relationship Id="rId34" Type="http://schemas.openxmlformats.org/officeDocument/2006/relationships/image" Target="media/image20.png"/><Relationship Id="rId50" Type="http://schemas.openxmlformats.org/officeDocument/2006/relationships/image" Target="media/image27.png"/><Relationship Id="rId55" Type="http://schemas.openxmlformats.org/officeDocument/2006/relationships/header" Target="header2.xml"/><Relationship Id="rId76" Type="http://schemas.openxmlformats.org/officeDocument/2006/relationships/image" Target="media/image32.emf"/><Relationship Id="rId97" Type="http://schemas.openxmlformats.org/officeDocument/2006/relationships/image" Target="media/image53.png"/><Relationship Id="rId104" Type="http://schemas.openxmlformats.org/officeDocument/2006/relationships/image" Target="media/image59.emf"/><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16.xml"/><Relationship Id="rId92"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hyperlink" Target="https://aus01.safelinks.protection.outlook.com/?url=http%3A%2F%2Fwww.ndis.gov.au%2Fabout-us%2Fstrategies%2Fcultural-and-linguistic-diversity-strategy&amp;data=05%7C01%7CCatherine.Mulligan%40ndis.gov.au%7C8a77ff3a5ca5405d7b6408da84cfa387%7Ccd778b65752d454a87cfb9990fe58993%7C0%7C0%7C637968324724443677%7CUnknown%7CTWFpbGZsb3d8eyJWIjoiMC4wLjAwMDAiLCJQIjoiV2luMzIiLCJBTiI6Ik1haWwiLCJXVCI6Mn0%3D%7C3000%7C%7C%7C&amp;sdata=csEgGI7Fd6yXCPed55dZNndmhIjy8uu9F2c6k15fKJE%3D&amp;reserved=0" TargetMode="External"/><Relationship Id="rId45" Type="http://schemas.openxmlformats.org/officeDocument/2006/relationships/hyperlink" Target="https://data.ndis.gov.au/data-downloads" TargetMode="External"/><Relationship Id="rId66" Type="http://schemas.openxmlformats.org/officeDocument/2006/relationships/header" Target="header11.xml"/><Relationship Id="rId87" Type="http://schemas.openxmlformats.org/officeDocument/2006/relationships/image" Target="media/image43.png"/><Relationship Id="rId110" Type="http://schemas.openxmlformats.org/officeDocument/2006/relationships/image" Target="media/image65.jpeg"/><Relationship Id="rId115" Type="http://schemas.openxmlformats.org/officeDocument/2006/relationships/hyperlink" Target="https://www.ndis.gov.au/about-us/governance/board" TargetMode="External"/><Relationship Id="rId61" Type="http://schemas.openxmlformats.org/officeDocument/2006/relationships/header" Target="header7.xml"/><Relationship Id="rId82" Type="http://schemas.openxmlformats.org/officeDocument/2006/relationships/image" Target="media/image38.emf"/><Relationship Id="rId19" Type="http://schemas.openxmlformats.org/officeDocument/2006/relationships/image" Target="media/image6.png"/><Relationship Id="rId14" Type="http://schemas.openxmlformats.org/officeDocument/2006/relationships/footer" Target="footer2.xml"/><Relationship Id="rId30" Type="http://schemas.openxmlformats.org/officeDocument/2006/relationships/image" Target="media/image17.png"/><Relationship Id="rId35" Type="http://schemas.openxmlformats.org/officeDocument/2006/relationships/image" Target="media/image21.png"/><Relationship Id="rId56" Type="http://schemas.openxmlformats.org/officeDocument/2006/relationships/header" Target="header3.xml"/><Relationship Id="rId77" Type="http://schemas.openxmlformats.org/officeDocument/2006/relationships/image" Target="media/image33.png"/><Relationship Id="rId100" Type="http://schemas.openxmlformats.org/officeDocument/2006/relationships/image" Target="media/image56.png"/><Relationship Id="rId105" Type="http://schemas.openxmlformats.org/officeDocument/2006/relationships/image" Target="media/image60.jpeg"/><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header" Target="header17.xml"/><Relationship Id="rId93" Type="http://schemas.openxmlformats.org/officeDocument/2006/relationships/image" Target="media/image49.png"/><Relationship Id="rId98" Type="http://schemas.openxmlformats.org/officeDocument/2006/relationships/image" Target="media/image54.png"/><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hyperlink" Target="https://data.ndis.gov.au/explore-data" TargetMode="External"/><Relationship Id="rId67" Type="http://schemas.openxmlformats.org/officeDocument/2006/relationships/header" Target="header12.xml"/><Relationship Id="rId116" Type="http://schemas.openxmlformats.org/officeDocument/2006/relationships/header" Target="header21.xml"/><Relationship Id="rId20" Type="http://schemas.openxmlformats.org/officeDocument/2006/relationships/image" Target="media/image7.png"/><Relationship Id="rId41" Type="http://schemas.openxmlformats.org/officeDocument/2006/relationships/hyperlink" Target="https://aus01.safelinks.protection.outlook.com/?url=https%3A%2F%2Fwww.disabilitygateway.gov.au%2Fads-hub%2Fstrategy&amp;data=05%7C01%7CCatherine.Mulligan%40ndis.gov.au%7Cf586e3a6c9a148a5b73208da5e0f8b51%7Ccd778b65752d454a87cfb9990fe58993%7C0%7C0%7C637925718743442683%7CUnknown%7CTWFpbGZsb3d8eyJWIjoiMC4wLjAwMDAiLCJQIjoiV2luMzIiLCJBTiI6Ik1haWwiLCJXVCI6Mn0%3D%7C3000%7C%7C%7C&amp;sdata=6QAc84zmrxPCs4SeuuEQXG0AOWp2mwde3l04ThytG5E%3D&amp;reserved=0" TargetMode="External"/><Relationship Id="rId62" Type="http://schemas.openxmlformats.org/officeDocument/2006/relationships/header" Target="header8.xml"/><Relationship Id="rId83" Type="http://schemas.openxmlformats.org/officeDocument/2006/relationships/image" Target="media/image39.png"/><Relationship Id="rId88" Type="http://schemas.openxmlformats.org/officeDocument/2006/relationships/image" Target="media/image44.png"/><Relationship Id="rId111" Type="http://schemas.openxmlformats.org/officeDocument/2006/relationships/image" Target="media/image66.gif"/><Relationship Id="rId15" Type="http://schemas.openxmlformats.org/officeDocument/2006/relationships/hyperlink" Target="https://www.dss.gov.au/the-applied-principles-and-tables-of-support-to-determine-responsibilities-ndis-and-other-service" TargetMode="External"/><Relationship Id="rId36" Type="http://schemas.openxmlformats.org/officeDocument/2006/relationships/image" Target="media/image22.png"/><Relationship Id="rId57" Type="http://schemas.openxmlformats.org/officeDocument/2006/relationships/image" Target="media/image31.png"/><Relationship Id="rId106" Type="http://schemas.openxmlformats.org/officeDocument/2006/relationships/image" Target="media/image61.gif"/><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29.png"/><Relationship Id="rId73" Type="http://schemas.openxmlformats.org/officeDocument/2006/relationships/header" Target="header18.xml"/><Relationship Id="rId78" Type="http://schemas.openxmlformats.org/officeDocument/2006/relationships/image" Target="media/image34.png"/><Relationship Id="rId94" Type="http://schemas.openxmlformats.org/officeDocument/2006/relationships/image" Target="media/image50.png"/><Relationship Id="rId99" Type="http://schemas.openxmlformats.org/officeDocument/2006/relationships/image" Target="media/image55.png"/><Relationship Id="rId101" Type="http://schemas.openxmlformats.org/officeDocument/2006/relationships/image" Target="media/image57.png"/></Relationships>
</file>

<file path=word/_rels/footnotes.xml.rels><?xml version="1.0" encoding="UTF-8" standalone="yes"?>
<Relationships xmlns="http://schemas.openxmlformats.org/package/2006/relationships"><Relationship Id="rId3" Type="http://schemas.openxmlformats.org/officeDocument/2006/relationships/hyperlink" Target="https://www.dss.gov.au/sites/default/files/documents/01_2022/review-ndia-actuarial-forecast-model-and-drivers-scheme-costs.pdf" TargetMode="External"/><Relationship Id="rId2" Type="http://schemas.openxmlformats.org/officeDocument/2006/relationships/hyperlink" Target="https://www.rba.gov.au/publications/smp/2022/aug/economic-outlook.html" TargetMode="External"/><Relationship Id="rId1" Type="http://schemas.openxmlformats.org/officeDocument/2006/relationships/hyperlink" Target="https://www.ndis.gov.au/media/833/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d2f5657284e8d98cd1fe1096f249bdc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a79dc45688dadc84531b6b041007cf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Edit_x0020_Roun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Time" ma:format="DateTime" ma:internalName="Time">
      <xsd:simpleType>
        <xsd:restriction base="dms:DateTime"/>
      </xsd:simpleType>
    </xsd:element>
    <xsd:element name="Edit_x0020_Round" ma:index="25" nillable="true" ma:displayName="Edit Round" ma:internalName="Edit_x0020_Round">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Time xmlns="62e6d7e0-8f69-4736-9de7-41af03e42ea2" xsi:nil="true"/>
    <Edit_x0020_Round xmlns="62e6d7e0-8f69-4736-9de7-41af03e42ea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6CC19-6F73-4AF6-939D-B3EE149574D7}">
  <ds:schemaRefs>
    <ds:schemaRef ds:uri="http://schemas.microsoft.com/sharepoint/v3/contenttype/forms"/>
  </ds:schemaRefs>
</ds:datastoreItem>
</file>

<file path=customXml/itemProps2.xml><?xml version="1.0" encoding="utf-8"?>
<ds:datastoreItem xmlns:ds="http://schemas.openxmlformats.org/officeDocument/2006/customXml" ds:itemID="{66DD4A25-4336-4AB2-A631-D94425A2359B}"/>
</file>

<file path=customXml/itemProps3.xml><?xml version="1.0" encoding="utf-8"?>
<ds:datastoreItem xmlns:ds="http://schemas.openxmlformats.org/officeDocument/2006/customXml" ds:itemID="{249AD392-063D-458E-B2D4-E9015CEDF8E2}">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21AE3734-873E-4230-92EC-F872E958D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176</Pages>
  <Words>49024</Words>
  <Characters>279440</Characters>
  <Application>Microsoft Office Word</Application>
  <DocSecurity>0</DocSecurity>
  <Lines>2328</Lines>
  <Paragraphs>655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327809</CharactersWithSpaces>
  <SharedDoc>false</SharedDoc>
  <HLinks>
    <vt:vector size="498" baseType="variant">
      <vt:variant>
        <vt:i4>93</vt:i4>
      </vt:variant>
      <vt:variant>
        <vt:i4>495</vt:i4>
      </vt:variant>
      <vt:variant>
        <vt:i4>0</vt:i4>
      </vt:variant>
      <vt:variant>
        <vt:i4>5</vt:i4>
      </vt:variant>
      <vt:variant>
        <vt:lpwstr>https://www.ndis.gov.au/</vt:lpwstr>
      </vt:variant>
      <vt:variant>
        <vt:lpwstr/>
      </vt:variant>
      <vt:variant>
        <vt:i4>1703953</vt:i4>
      </vt:variant>
      <vt:variant>
        <vt:i4>480</vt:i4>
      </vt:variant>
      <vt:variant>
        <vt:i4>0</vt:i4>
      </vt:variant>
      <vt:variant>
        <vt:i4>5</vt:i4>
      </vt:variant>
      <vt:variant>
        <vt:lpwstr>https://www.ndis.gov.au/about-us/governance/board</vt:lpwstr>
      </vt:variant>
      <vt:variant>
        <vt:lpwstr/>
      </vt:variant>
      <vt:variant>
        <vt:i4>1376273</vt:i4>
      </vt:variant>
      <vt:variant>
        <vt:i4>465</vt:i4>
      </vt:variant>
      <vt:variant>
        <vt:i4>0</vt:i4>
      </vt:variant>
      <vt:variant>
        <vt:i4>5</vt:i4>
      </vt:variant>
      <vt:variant>
        <vt:lpwstr>https://www.ndis-iac.com.au/</vt:lpwstr>
      </vt:variant>
      <vt:variant>
        <vt:lpwstr/>
      </vt:variant>
      <vt:variant>
        <vt:i4>786457</vt:i4>
      </vt:variant>
      <vt:variant>
        <vt:i4>456</vt:i4>
      </vt:variant>
      <vt:variant>
        <vt:i4>0</vt:i4>
      </vt:variant>
      <vt:variant>
        <vt:i4>5</vt:i4>
      </vt:variant>
      <vt:variant>
        <vt:lpwstr>https://data.ndis.gov.au/</vt:lpwstr>
      </vt:variant>
      <vt:variant>
        <vt:lpwstr/>
      </vt:variant>
      <vt:variant>
        <vt:i4>196636</vt:i4>
      </vt:variant>
      <vt:variant>
        <vt:i4>453</vt:i4>
      </vt:variant>
      <vt:variant>
        <vt:i4>0</vt:i4>
      </vt:variant>
      <vt:variant>
        <vt:i4>5</vt:i4>
      </vt:variant>
      <vt:variant>
        <vt:lpwstr>https://data.ndis.gov.au/explore-data</vt:lpwstr>
      </vt:variant>
      <vt:variant>
        <vt:lpwstr/>
      </vt:variant>
      <vt:variant>
        <vt:i4>3866664</vt:i4>
      </vt:variant>
      <vt:variant>
        <vt:i4>450</vt:i4>
      </vt:variant>
      <vt:variant>
        <vt:i4>0</vt:i4>
      </vt:variant>
      <vt:variant>
        <vt:i4>5</vt:i4>
      </vt:variant>
      <vt:variant>
        <vt:lpwstr>https://data.ndis.gov.au/data-downloads</vt:lpwstr>
      </vt:variant>
      <vt:variant>
        <vt:lpwstr/>
      </vt:variant>
      <vt:variant>
        <vt:i4>8126497</vt:i4>
      </vt:variant>
      <vt:variant>
        <vt:i4>447</vt:i4>
      </vt:variant>
      <vt:variant>
        <vt:i4>0</vt:i4>
      </vt:variant>
      <vt:variant>
        <vt:i4>5</vt:i4>
      </vt:variant>
      <vt:variant>
        <vt:lpwstr>https://www.ndis.gov.au/community/working-towards-co-design</vt:lpwstr>
      </vt:variant>
      <vt:variant>
        <vt:lpwstr>ndia-engagement-framework</vt:lpwstr>
      </vt:variant>
      <vt:variant>
        <vt:i4>2359332</vt:i4>
      </vt:variant>
      <vt:variant>
        <vt:i4>441</vt:i4>
      </vt:variant>
      <vt:variant>
        <vt:i4>0</vt:i4>
      </vt:variant>
      <vt:variant>
        <vt:i4>5</vt:i4>
      </vt:variant>
      <vt:variant>
        <vt:lpwstr>https://data.ndis.gov.au/reports-and-analyses/market-monitoring</vt:lpwstr>
      </vt:variant>
      <vt:variant>
        <vt:lpwstr>specialist-disability-accommodation-sda-quarterly-report</vt:lpwstr>
      </vt:variant>
      <vt:variant>
        <vt:i4>3670115</vt:i4>
      </vt:variant>
      <vt:variant>
        <vt:i4>438</vt:i4>
      </vt:variant>
      <vt:variant>
        <vt:i4>0</vt:i4>
      </vt:variant>
      <vt:variant>
        <vt:i4>5</vt:i4>
      </vt:variant>
      <vt:variant>
        <vt:lpwstr>https://aus01.safelinks.protection.outlook.com/?url=https%3A%2F%2Fwww.disabilitygateway.gov.au%2Fads&amp;data=05%7C01%7CIlana.IDRUS%40ndis.gov.au%7Cdc93cdd329b74106e5f808da6f8e5063%7Ccd778b65752d454a87cfb9990fe58993%7C0%7C0%7C637944955333584295%7CUnknown%7CTWFpbGZsb3d8eyJWIjoiMC4wLjAwMDAiLCJQIjoiV2luMzIiLCJBTiI6Ik1haWwiLCJXVCI6Mn0%3D%7C3000%7C%7C%7C&amp;sdata=3rhoGEOMn%2BU7qPTT2jJ4vJ8Sh5MNqs0U54EOZsLxcOE%3D&amp;reserved=0</vt:lpwstr>
      </vt:variant>
      <vt:variant>
        <vt:lpwstr/>
      </vt:variant>
      <vt:variant>
        <vt:i4>6553721</vt:i4>
      </vt:variant>
      <vt:variant>
        <vt:i4>435</vt:i4>
      </vt:variant>
      <vt:variant>
        <vt:i4>0</vt:i4>
      </vt:variant>
      <vt:variant>
        <vt:i4>5</vt:i4>
      </vt:variant>
      <vt:variant>
        <vt:lpwstr>https://aus01.safelinks.protection.outlook.com/?url=https%3A%2F%2Fwww.disabilitygateway.gov.au%2Fads-hub%2Fstrategy&amp;data=05%7C01%7CCatherine.Mulligan%40ndis.gov.au%7Cf586e3a6c9a148a5b73208da5e0f8b51%7Ccd778b65752d454a87cfb9990fe58993%7C0%7C0%7C637925718743442683%7CUnknown%7CTWFpbGZsb3d8eyJWIjoiMC4wLjAwMDAiLCJQIjoiV2luMzIiLCJBTiI6Ik1haWwiLCJXVCI6Mn0%3D%7C3000%7C%7C%7C&amp;sdata=6QAc84zmrxPCs4SeuuEQXG0AOWp2mwde3l04ThytG5E%3D&amp;reserved=0</vt:lpwstr>
      </vt:variant>
      <vt:variant>
        <vt:lpwstr/>
      </vt:variant>
      <vt:variant>
        <vt:i4>6750307</vt:i4>
      </vt:variant>
      <vt:variant>
        <vt:i4>432</vt:i4>
      </vt:variant>
      <vt:variant>
        <vt:i4>0</vt:i4>
      </vt:variant>
      <vt:variant>
        <vt:i4>5</vt:i4>
      </vt:variant>
      <vt:variant>
        <vt:lpwstr>https://aus01.safelinks.protection.outlook.com/?url=http%3A%2F%2Fwww.ndis.gov.au%2Fabout-us%2Fstrategies%2Fcultural-and-linguistic-diversity-strategy&amp;data=05%7C01%7CCatherine.Mulligan%40ndis.gov.au%7C8a77ff3a5ca5405d7b6408da84cfa387%7Ccd778b65752d454a87cfb9990fe58993%7C0%7C0%7C637968324724443677%7CUnknown%7CTWFpbGZsb3d8eyJWIjoiMC4wLjAwMDAiLCJQIjoiV2luMzIiLCJBTiI6Ik1haWwiLCJXVCI6Mn0%3D%7C3000%7C%7C%7C&amp;sdata=csEgGI7Fd6yXCPed55dZNndmhIjy8uu9F2c6k15fKJE%3D&amp;reserved=0</vt:lpwstr>
      </vt:variant>
      <vt:variant>
        <vt:lpwstr/>
      </vt:variant>
      <vt:variant>
        <vt:i4>6750261</vt:i4>
      </vt:variant>
      <vt:variant>
        <vt:i4>429</vt:i4>
      </vt:variant>
      <vt:variant>
        <vt:i4>0</vt:i4>
      </vt:variant>
      <vt:variant>
        <vt:i4>5</vt:i4>
      </vt:variant>
      <vt:variant>
        <vt:lpwstr>https://aus01.safelinks.protection.outlook.com/?url=http%3A%2F%2Fwww.ndis.gov.au%2Fabout-us%2Fstrategies%2Faboriginal-and-torres-strait-islander-strategy&amp;data=05%7C01%7CCatherine.Mulligan%40ndis.gov.au%7C8a77ff3a5ca5405d7b6408da84cfa387%7Ccd778b65752d454a87cfb9990fe58993%7C0%7C0%7C637968324724443677%7CUnknown%7CTWFpbGZsb3d8eyJWIjoiMC4wLjAwMDAiLCJQIjoiV2luMzIiLCJBTiI6Ik1haWwiLCJXVCI6Mn0%3D%7C3000%7C%7C%7C&amp;sdata=NgekyzpoLBYgQ5r2QT5pxxO%2FgMldZDC%2FVuqD3qX4bHU%3D&amp;reserved=0</vt:lpwstr>
      </vt:variant>
      <vt:variant>
        <vt:lpwstr/>
      </vt:variant>
      <vt:variant>
        <vt:i4>5046276</vt:i4>
      </vt:variant>
      <vt:variant>
        <vt:i4>426</vt:i4>
      </vt:variant>
      <vt:variant>
        <vt:i4>0</vt:i4>
      </vt:variant>
      <vt:variant>
        <vt:i4>5</vt:i4>
      </vt:variant>
      <vt:variant>
        <vt:lpwstr>https://www.ndis.gov.au/about-us/publications/corporate-plan</vt:lpwstr>
      </vt:variant>
      <vt:variant>
        <vt:lpwstr/>
      </vt:variant>
      <vt:variant>
        <vt:i4>983052</vt:i4>
      </vt:variant>
      <vt:variant>
        <vt:i4>414</vt:i4>
      </vt:variant>
      <vt:variant>
        <vt:i4>0</vt:i4>
      </vt:variant>
      <vt:variant>
        <vt:i4>5</vt:i4>
      </vt:variant>
      <vt:variant>
        <vt:lpwstr>https://www.dss.gov.au/the-applied-principles-and-tables-of-support-to-determine-responsibilities-ndis-and-other-service</vt:lpwstr>
      </vt:variant>
      <vt:variant>
        <vt:lpwstr/>
      </vt:variant>
      <vt:variant>
        <vt:i4>7471141</vt:i4>
      </vt:variant>
      <vt:variant>
        <vt:i4>411</vt:i4>
      </vt:variant>
      <vt:variant>
        <vt:i4>0</vt:i4>
      </vt:variant>
      <vt:variant>
        <vt:i4>5</vt:i4>
      </vt:variant>
      <vt:variant>
        <vt:lpwstr>https://aus01.safelinks.protection.outlook.com/?url=https%3A%2F%2Fwww.ndis.gov.au%2Funderstanding%2Fwhat-ndis%2Fwhos-delivering-ndis&amp;data=05%7C01%7CCatherine.Mulligan%40ndis.gov.au%7Cf586e3a6c9a148a5b73208da5e0f8b51%7Ccd778b65752d454a87cfb9990fe58993%7C0%7C0%7C637925718743442683%7CUnknown%7CTWFpbGZsb3d8eyJWIjoiMC4wLjAwMDAiLCJQIjoiV2luMzIiLCJBTiI6Ik1haWwiLCJXVCI6Mn0%3D%7C3000%7C%7C%7C&amp;sdata=qHSFQEiBCQaSwihm%2BzxuaJN7emY0RoZJY9vShGsYd1I%3D&amp;reserved=0</vt:lpwstr>
      </vt:variant>
      <vt:variant>
        <vt:lpwstr/>
      </vt:variant>
      <vt:variant>
        <vt:i4>1507382</vt:i4>
      </vt:variant>
      <vt:variant>
        <vt:i4>404</vt:i4>
      </vt:variant>
      <vt:variant>
        <vt:i4>0</vt:i4>
      </vt:variant>
      <vt:variant>
        <vt:i4>5</vt:i4>
      </vt:variant>
      <vt:variant>
        <vt:lpwstr/>
      </vt:variant>
      <vt:variant>
        <vt:lpwstr>_Toc112746108</vt:lpwstr>
      </vt:variant>
      <vt:variant>
        <vt:i4>1507382</vt:i4>
      </vt:variant>
      <vt:variant>
        <vt:i4>398</vt:i4>
      </vt:variant>
      <vt:variant>
        <vt:i4>0</vt:i4>
      </vt:variant>
      <vt:variant>
        <vt:i4>5</vt:i4>
      </vt:variant>
      <vt:variant>
        <vt:lpwstr/>
      </vt:variant>
      <vt:variant>
        <vt:lpwstr>_Toc112746107</vt:lpwstr>
      </vt:variant>
      <vt:variant>
        <vt:i4>1507382</vt:i4>
      </vt:variant>
      <vt:variant>
        <vt:i4>392</vt:i4>
      </vt:variant>
      <vt:variant>
        <vt:i4>0</vt:i4>
      </vt:variant>
      <vt:variant>
        <vt:i4>5</vt:i4>
      </vt:variant>
      <vt:variant>
        <vt:lpwstr/>
      </vt:variant>
      <vt:variant>
        <vt:lpwstr>_Toc112746106</vt:lpwstr>
      </vt:variant>
      <vt:variant>
        <vt:i4>1507382</vt:i4>
      </vt:variant>
      <vt:variant>
        <vt:i4>386</vt:i4>
      </vt:variant>
      <vt:variant>
        <vt:i4>0</vt:i4>
      </vt:variant>
      <vt:variant>
        <vt:i4>5</vt:i4>
      </vt:variant>
      <vt:variant>
        <vt:lpwstr/>
      </vt:variant>
      <vt:variant>
        <vt:lpwstr>_Toc112746105</vt:lpwstr>
      </vt:variant>
      <vt:variant>
        <vt:i4>1507382</vt:i4>
      </vt:variant>
      <vt:variant>
        <vt:i4>380</vt:i4>
      </vt:variant>
      <vt:variant>
        <vt:i4>0</vt:i4>
      </vt:variant>
      <vt:variant>
        <vt:i4>5</vt:i4>
      </vt:variant>
      <vt:variant>
        <vt:lpwstr/>
      </vt:variant>
      <vt:variant>
        <vt:lpwstr>_Toc112746104</vt:lpwstr>
      </vt:variant>
      <vt:variant>
        <vt:i4>1507382</vt:i4>
      </vt:variant>
      <vt:variant>
        <vt:i4>374</vt:i4>
      </vt:variant>
      <vt:variant>
        <vt:i4>0</vt:i4>
      </vt:variant>
      <vt:variant>
        <vt:i4>5</vt:i4>
      </vt:variant>
      <vt:variant>
        <vt:lpwstr/>
      </vt:variant>
      <vt:variant>
        <vt:lpwstr>_Toc112746103</vt:lpwstr>
      </vt:variant>
      <vt:variant>
        <vt:i4>1507382</vt:i4>
      </vt:variant>
      <vt:variant>
        <vt:i4>368</vt:i4>
      </vt:variant>
      <vt:variant>
        <vt:i4>0</vt:i4>
      </vt:variant>
      <vt:variant>
        <vt:i4>5</vt:i4>
      </vt:variant>
      <vt:variant>
        <vt:lpwstr/>
      </vt:variant>
      <vt:variant>
        <vt:lpwstr>_Toc112746102</vt:lpwstr>
      </vt:variant>
      <vt:variant>
        <vt:i4>1507382</vt:i4>
      </vt:variant>
      <vt:variant>
        <vt:i4>362</vt:i4>
      </vt:variant>
      <vt:variant>
        <vt:i4>0</vt:i4>
      </vt:variant>
      <vt:variant>
        <vt:i4>5</vt:i4>
      </vt:variant>
      <vt:variant>
        <vt:lpwstr/>
      </vt:variant>
      <vt:variant>
        <vt:lpwstr>_Toc112746101</vt:lpwstr>
      </vt:variant>
      <vt:variant>
        <vt:i4>1507382</vt:i4>
      </vt:variant>
      <vt:variant>
        <vt:i4>356</vt:i4>
      </vt:variant>
      <vt:variant>
        <vt:i4>0</vt:i4>
      </vt:variant>
      <vt:variant>
        <vt:i4>5</vt:i4>
      </vt:variant>
      <vt:variant>
        <vt:lpwstr/>
      </vt:variant>
      <vt:variant>
        <vt:lpwstr>_Toc112746100</vt:lpwstr>
      </vt:variant>
      <vt:variant>
        <vt:i4>1966135</vt:i4>
      </vt:variant>
      <vt:variant>
        <vt:i4>350</vt:i4>
      </vt:variant>
      <vt:variant>
        <vt:i4>0</vt:i4>
      </vt:variant>
      <vt:variant>
        <vt:i4>5</vt:i4>
      </vt:variant>
      <vt:variant>
        <vt:lpwstr/>
      </vt:variant>
      <vt:variant>
        <vt:lpwstr>_Toc112746099</vt:lpwstr>
      </vt:variant>
      <vt:variant>
        <vt:i4>1966135</vt:i4>
      </vt:variant>
      <vt:variant>
        <vt:i4>344</vt:i4>
      </vt:variant>
      <vt:variant>
        <vt:i4>0</vt:i4>
      </vt:variant>
      <vt:variant>
        <vt:i4>5</vt:i4>
      </vt:variant>
      <vt:variant>
        <vt:lpwstr/>
      </vt:variant>
      <vt:variant>
        <vt:lpwstr>_Toc112746098</vt:lpwstr>
      </vt:variant>
      <vt:variant>
        <vt:i4>1966135</vt:i4>
      </vt:variant>
      <vt:variant>
        <vt:i4>338</vt:i4>
      </vt:variant>
      <vt:variant>
        <vt:i4>0</vt:i4>
      </vt:variant>
      <vt:variant>
        <vt:i4>5</vt:i4>
      </vt:variant>
      <vt:variant>
        <vt:lpwstr/>
      </vt:variant>
      <vt:variant>
        <vt:lpwstr>_Toc112746097</vt:lpwstr>
      </vt:variant>
      <vt:variant>
        <vt:i4>1966135</vt:i4>
      </vt:variant>
      <vt:variant>
        <vt:i4>332</vt:i4>
      </vt:variant>
      <vt:variant>
        <vt:i4>0</vt:i4>
      </vt:variant>
      <vt:variant>
        <vt:i4>5</vt:i4>
      </vt:variant>
      <vt:variant>
        <vt:lpwstr/>
      </vt:variant>
      <vt:variant>
        <vt:lpwstr>_Toc112746096</vt:lpwstr>
      </vt:variant>
      <vt:variant>
        <vt:i4>1966135</vt:i4>
      </vt:variant>
      <vt:variant>
        <vt:i4>326</vt:i4>
      </vt:variant>
      <vt:variant>
        <vt:i4>0</vt:i4>
      </vt:variant>
      <vt:variant>
        <vt:i4>5</vt:i4>
      </vt:variant>
      <vt:variant>
        <vt:lpwstr/>
      </vt:variant>
      <vt:variant>
        <vt:lpwstr>_Toc112746095</vt:lpwstr>
      </vt:variant>
      <vt:variant>
        <vt:i4>1966135</vt:i4>
      </vt:variant>
      <vt:variant>
        <vt:i4>320</vt:i4>
      </vt:variant>
      <vt:variant>
        <vt:i4>0</vt:i4>
      </vt:variant>
      <vt:variant>
        <vt:i4>5</vt:i4>
      </vt:variant>
      <vt:variant>
        <vt:lpwstr/>
      </vt:variant>
      <vt:variant>
        <vt:lpwstr>_Toc112746094</vt:lpwstr>
      </vt:variant>
      <vt:variant>
        <vt:i4>1966135</vt:i4>
      </vt:variant>
      <vt:variant>
        <vt:i4>314</vt:i4>
      </vt:variant>
      <vt:variant>
        <vt:i4>0</vt:i4>
      </vt:variant>
      <vt:variant>
        <vt:i4>5</vt:i4>
      </vt:variant>
      <vt:variant>
        <vt:lpwstr/>
      </vt:variant>
      <vt:variant>
        <vt:lpwstr>_Toc112746093</vt:lpwstr>
      </vt:variant>
      <vt:variant>
        <vt:i4>1966135</vt:i4>
      </vt:variant>
      <vt:variant>
        <vt:i4>308</vt:i4>
      </vt:variant>
      <vt:variant>
        <vt:i4>0</vt:i4>
      </vt:variant>
      <vt:variant>
        <vt:i4>5</vt:i4>
      </vt:variant>
      <vt:variant>
        <vt:lpwstr/>
      </vt:variant>
      <vt:variant>
        <vt:lpwstr>_Toc112746092</vt:lpwstr>
      </vt:variant>
      <vt:variant>
        <vt:i4>1966135</vt:i4>
      </vt:variant>
      <vt:variant>
        <vt:i4>302</vt:i4>
      </vt:variant>
      <vt:variant>
        <vt:i4>0</vt:i4>
      </vt:variant>
      <vt:variant>
        <vt:i4>5</vt:i4>
      </vt:variant>
      <vt:variant>
        <vt:lpwstr/>
      </vt:variant>
      <vt:variant>
        <vt:lpwstr>_Toc112746091</vt:lpwstr>
      </vt:variant>
      <vt:variant>
        <vt:i4>1966135</vt:i4>
      </vt:variant>
      <vt:variant>
        <vt:i4>296</vt:i4>
      </vt:variant>
      <vt:variant>
        <vt:i4>0</vt:i4>
      </vt:variant>
      <vt:variant>
        <vt:i4>5</vt:i4>
      </vt:variant>
      <vt:variant>
        <vt:lpwstr/>
      </vt:variant>
      <vt:variant>
        <vt:lpwstr>_Toc112746090</vt:lpwstr>
      </vt:variant>
      <vt:variant>
        <vt:i4>2031671</vt:i4>
      </vt:variant>
      <vt:variant>
        <vt:i4>290</vt:i4>
      </vt:variant>
      <vt:variant>
        <vt:i4>0</vt:i4>
      </vt:variant>
      <vt:variant>
        <vt:i4>5</vt:i4>
      </vt:variant>
      <vt:variant>
        <vt:lpwstr/>
      </vt:variant>
      <vt:variant>
        <vt:lpwstr>_Toc112746089</vt:lpwstr>
      </vt:variant>
      <vt:variant>
        <vt:i4>2031671</vt:i4>
      </vt:variant>
      <vt:variant>
        <vt:i4>284</vt:i4>
      </vt:variant>
      <vt:variant>
        <vt:i4>0</vt:i4>
      </vt:variant>
      <vt:variant>
        <vt:i4>5</vt:i4>
      </vt:variant>
      <vt:variant>
        <vt:lpwstr/>
      </vt:variant>
      <vt:variant>
        <vt:lpwstr>_Toc112746088</vt:lpwstr>
      </vt:variant>
      <vt:variant>
        <vt:i4>2031671</vt:i4>
      </vt:variant>
      <vt:variant>
        <vt:i4>278</vt:i4>
      </vt:variant>
      <vt:variant>
        <vt:i4>0</vt:i4>
      </vt:variant>
      <vt:variant>
        <vt:i4>5</vt:i4>
      </vt:variant>
      <vt:variant>
        <vt:lpwstr/>
      </vt:variant>
      <vt:variant>
        <vt:lpwstr>_Toc112746087</vt:lpwstr>
      </vt:variant>
      <vt:variant>
        <vt:i4>2031671</vt:i4>
      </vt:variant>
      <vt:variant>
        <vt:i4>272</vt:i4>
      </vt:variant>
      <vt:variant>
        <vt:i4>0</vt:i4>
      </vt:variant>
      <vt:variant>
        <vt:i4>5</vt:i4>
      </vt:variant>
      <vt:variant>
        <vt:lpwstr/>
      </vt:variant>
      <vt:variant>
        <vt:lpwstr>_Toc112746086</vt:lpwstr>
      </vt:variant>
      <vt:variant>
        <vt:i4>2031671</vt:i4>
      </vt:variant>
      <vt:variant>
        <vt:i4>266</vt:i4>
      </vt:variant>
      <vt:variant>
        <vt:i4>0</vt:i4>
      </vt:variant>
      <vt:variant>
        <vt:i4>5</vt:i4>
      </vt:variant>
      <vt:variant>
        <vt:lpwstr/>
      </vt:variant>
      <vt:variant>
        <vt:lpwstr>_Toc112746085</vt:lpwstr>
      </vt:variant>
      <vt:variant>
        <vt:i4>2031671</vt:i4>
      </vt:variant>
      <vt:variant>
        <vt:i4>260</vt:i4>
      </vt:variant>
      <vt:variant>
        <vt:i4>0</vt:i4>
      </vt:variant>
      <vt:variant>
        <vt:i4>5</vt:i4>
      </vt:variant>
      <vt:variant>
        <vt:lpwstr/>
      </vt:variant>
      <vt:variant>
        <vt:lpwstr>_Toc112746084</vt:lpwstr>
      </vt:variant>
      <vt:variant>
        <vt:i4>2031671</vt:i4>
      </vt:variant>
      <vt:variant>
        <vt:i4>254</vt:i4>
      </vt:variant>
      <vt:variant>
        <vt:i4>0</vt:i4>
      </vt:variant>
      <vt:variant>
        <vt:i4>5</vt:i4>
      </vt:variant>
      <vt:variant>
        <vt:lpwstr/>
      </vt:variant>
      <vt:variant>
        <vt:lpwstr>_Toc112746083</vt:lpwstr>
      </vt:variant>
      <vt:variant>
        <vt:i4>2031671</vt:i4>
      </vt:variant>
      <vt:variant>
        <vt:i4>248</vt:i4>
      </vt:variant>
      <vt:variant>
        <vt:i4>0</vt:i4>
      </vt:variant>
      <vt:variant>
        <vt:i4>5</vt:i4>
      </vt:variant>
      <vt:variant>
        <vt:lpwstr/>
      </vt:variant>
      <vt:variant>
        <vt:lpwstr>_Toc112746082</vt:lpwstr>
      </vt:variant>
      <vt:variant>
        <vt:i4>2031671</vt:i4>
      </vt:variant>
      <vt:variant>
        <vt:i4>242</vt:i4>
      </vt:variant>
      <vt:variant>
        <vt:i4>0</vt:i4>
      </vt:variant>
      <vt:variant>
        <vt:i4>5</vt:i4>
      </vt:variant>
      <vt:variant>
        <vt:lpwstr/>
      </vt:variant>
      <vt:variant>
        <vt:lpwstr>_Toc112746081</vt:lpwstr>
      </vt:variant>
      <vt:variant>
        <vt:i4>2031671</vt:i4>
      </vt:variant>
      <vt:variant>
        <vt:i4>236</vt:i4>
      </vt:variant>
      <vt:variant>
        <vt:i4>0</vt:i4>
      </vt:variant>
      <vt:variant>
        <vt:i4>5</vt:i4>
      </vt:variant>
      <vt:variant>
        <vt:lpwstr/>
      </vt:variant>
      <vt:variant>
        <vt:lpwstr>_Toc112746080</vt:lpwstr>
      </vt:variant>
      <vt:variant>
        <vt:i4>1048631</vt:i4>
      </vt:variant>
      <vt:variant>
        <vt:i4>230</vt:i4>
      </vt:variant>
      <vt:variant>
        <vt:i4>0</vt:i4>
      </vt:variant>
      <vt:variant>
        <vt:i4>5</vt:i4>
      </vt:variant>
      <vt:variant>
        <vt:lpwstr/>
      </vt:variant>
      <vt:variant>
        <vt:lpwstr>_Toc112746079</vt:lpwstr>
      </vt:variant>
      <vt:variant>
        <vt:i4>1048631</vt:i4>
      </vt:variant>
      <vt:variant>
        <vt:i4>224</vt:i4>
      </vt:variant>
      <vt:variant>
        <vt:i4>0</vt:i4>
      </vt:variant>
      <vt:variant>
        <vt:i4>5</vt:i4>
      </vt:variant>
      <vt:variant>
        <vt:lpwstr/>
      </vt:variant>
      <vt:variant>
        <vt:lpwstr>_Toc112746078</vt:lpwstr>
      </vt:variant>
      <vt:variant>
        <vt:i4>1048631</vt:i4>
      </vt:variant>
      <vt:variant>
        <vt:i4>218</vt:i4>
      </vt:variant>
      <vt:variant>
        <vt:i4>0</vt:i4>
      </vt:variant>
      <vt:variant>
        <vt:i4>5</vt:i4>
      </vt:variant>
      <vt:variant>
        <vt:lpwstr/>
      </vt:variant>
      <vt:variant>
        <vt:lpwstr>_Toc112746077</vt:lpwstr>
      </vt:variant>
      <vt:variant>
        <vt:i4>1048631</vt:i4>
      </vt:variant>
      <vt:variant>
        <vt:i4>212</vt:i4>
      </vt:variant>
      <vt:variant>
        <vt:i4>0</vt:i4>
      </vt:variant>
      <vt:variant>
        <vt:i4>5</vt:i4>
      </vt:variant>
      <vt:variant>
        <vt:lpwstr/>
      </vt:variant>
      <vt:variant>
        <vt:lpwstr>_Toc112746076</vt:lpwstr>
      </vt:variant>
      <vt:variant>
        <vt:i4>1048631</vt:i4>
      </vt:variant>
      <vt:variant>
        <vt:i4>206</vt:i4>
      </vt:variant>
      <vt:variant>
        <vt:i4>0</vt:i4>
      </vt:variant>
      <vt:variant>
        <vt:i4>5</vt:i4>
      </vt:variant>
      <vt:variant>
        <vt:lpwstr/>
      </vt:variant>
      <vt:variant>
        <vt:lpwstr>_Toc112746075</vt:lpwstr>
      </vt:variant>
      <vt:variant>
        <vt:i4>1048631</vt:i4>
      </vt:variant>
      <vt:variant>
        <vt:i4>200</vt:i4>
      </vt:variant>
      <vt:variant>
        <vt:i4>0</vt:i4>
      </vt:variant>
      <vt:variant>
        <vt:i4>5</vt:i4>
      </vt:variant>
      <vt:variant>
        <vt:lpwstr/>
      </vt:variant>
      <vt:variant>
        <vt:lpwstr>_Toc112746074</vt:lpwstr>
      </vt:variant>
      <vt:variant>
        <vt:i4>1048631</vt:i4>
      </vt:variant>
      <vt:variant>
        <vt:i4>194</vt:i4>
      </vt:variant>
      <vt:variant>
        <vt:i4>0</vt:i4>
      </vt:variant>
      <vt:variant>
        <vt:i4>5</vt:i4>
      </vt:variant>
      <vt:variant>
        <vt:lpwstr/>
      </vt:variant>
      <vt:variant>
        <vt:lpwstr>_Toc112746073</vt:lpwstr>
      </vt:variant>
      <vt:variant>
        <vt:i4>1048631</vt:i4>
      </vt:variant>
      <vt:variant>
        <vt:i4>188</vt:i4>
      </vt:variant>
      <vt:variant>
        <vt:i4>0</vt:i4>
      </vt:variant>
      <vt:variant>
        <vt:i4>5</vt:i4>
      </vt:variant>
      <vt:variant>
        <vt:lpwstr/>
      </vt:variant>
      <vt:variant>
        <vt:lpwstr>_Toc112746072</vt:lpwstr>
      </vt:variant>
      <vt:variant>
        <vt:i4>1048631</vt:i4>
      </vt:variant>
      <vt:variant>
        <vt:i4>182</vt:i4>
      </vt:variant>
      <vt:variant>
        <vt:i4>0</vt:i4>
      </vt:variant>
      <vt:variant>
        <vt:i4>5</vt:i4>
      </vt:variant>
      <vt:variant>
        <vt:lpwstr/>
      </vt:variant>
      <vt:variant>
        <vt:lpwstr>_Toc112746071</vt:lpwstr>
      </vt:variant>
      <vt:variant>
        <vt:i4>1048631</vt:i4>
      </vt:variant>
      <vt:variant>
        <vt:i4>176</vt:i4>
      </vt:variant>
      <vt:variant>
        <vt:i4>0</vt:i4>
      </vt:variant>
      <vt:variant>
        <vt:i4>5</vt:i4>
      </vt:variant>
      <vt:variant>
        <vt:lpwstr/>
      </vt:variant>
      <vt:variant>
        <vt:lpwstr>_Toc112746070</vt:lpwstr>
      </vt:variant>
      <vt:variant>
        <vt:i4>1114167</vt:i4>
      </vt:variant>
      <vt:variant>
        <vt:i4>170</vt:i4>
      </vt:variant>
      <vt:variant>
        <vt:i4>0</vt:i4>
      </vt:variant>
      <vt:variant>
        <vt:i4>5</vt:i4>
      </vt:variant>
      <vt:variant>
        <vt:lpwstr/>
      </vt:variant>
      <vt:variant>
        <vt:lpwstr>_Toc112746069</vt:lpwstr>
      </vt:variant>
      <vt:variant>
        <vt:i4>1114167</vt:i4>
      </vt:variant>
      <vt:variant>
        <vt:i4>164</vt:i4>
      </vt:variant>
      <vt:variant>
        <vt:i4>0</vt:i4>
      </vt:variant>
      <vt:variant>
        <vt:i4>5</vt:i4>
      </vt:variant>
      <vt:variant>
        <vt:lpwstr/>
      </vt:variant>
      <vt:variant>
        <vt:lpwstr>_Toc112746068</vt:lpwstr>
      </vt:variant>
      <vt:variant>
        <vt:i4>1114167</vt:i4>
      </vt:variant>
      <vt:variant>
        <vt:i4>158</vt:i4>
      </vt:variant>
      <vt:variant>
        <vt:i4>0</vt:i4>
      </vt:variant>
      <vt:variant>
        <vt:i4>5</vt:i4>
      </vt:variant>
      <vt:variant>
        <vt:lpwstr/>
      </vt:variant>
      <vt:variant>
        <vt:lpwstr>_Toc112746067</vt:lpwstr>
      </vt:variant>
      <vt:variant>
        <vt:i4>1114167</vt:i4>
      </vt:variant>
      <vt:variant>
        <vt:i4>152</vt:i4>
      </vt:variant>
      <vt:variant>
        <vt:i4>0</vt:i4>
      </vt:variant>
      <vt:variant>
        <vt:i4>5</vt:i4>
      </vt:variant>
      <vt:variant>
        <vt:lpwstr/>
      </vt:variant>
      <vt:variant>
        <vt:lpwstr>_Toc112746066</vt:lpwstr>
      </vt:variant>
      <vt:variant>
        <vt:i4>1114167</vt:i4>
      </vt:variant>
      <vt:variant>
        <vt:i4>146</vt:i4>
      </vt:variant>
      <vt:variant>
        <vt:i4>0</vt:i4>
      </vt:variant>
      <vt:variant>
        <vt:i4>5</vt:i4>
      </vt:variant>
      <vt:variant>
        <vt:lpwstr/>
      </vt:variant>
      <vt:variant>
        <vt:lpwstr>_Toc112746065</vt:lpwstr>
      </vt:variant>
      <vt:variant>
        <vt:i4>1114167</vt:i4>
      </vt:variant>
      <vt:variant>
        <vt:i4>140</vt:i4>
      </vt:variant>
      <vt:variant>
        <vt:i4>0</vt:i4>
      </vt:variant>
      <vt:variant>
        <vt:i4>5</vt:i4>
      </vt:variant>
      <vt:variant>
        <vt:lpwstr/>
      </vt:variant>
      <vt:variant>
        <vt:lpwstr>_Toc112746064</vt:lpwstr>
      </vt:variant>
      <vt:variant>
        <vt:i4>1114167</vt:i4>
      </vt:variant>
      <vt:variant>
        <vt:i4>134</vt:i4>
      </vt:variant>
      <vt:variant>
        <vt:i4>0</vt:i4>
      </vt:variant>
      <vt:variant>
        <vt:i4>5</vt:i4>
      </vt:variant>
      <vt:variant>
        <vt:lpwstr/>
      </vt:variant>
      <vt:variant>
        <vt:lpwstr>_Toc112746063</vt:lpwstr>
      </vt:variant>
      <vt:variant>
        <vt:i4>1114167</vt:i4>
      </vt:variant>
      <vt:variant>
        <vt:i4>128</vt:i4>
      </vt:variant>
      <vt:variant>
        <vt:i4>0</vt:i4>
      </vt:variant>
      <vt:variant>
        <vt:i4>5</vt:i4>
      </vt:variant>
      <vt:variant>
        <vt:lpwstr/>
      </vt:variant>
      <vt:variant>
        <vt:lpwstr>_Toc112746062</vt:lpwstr>
      </vt:variant>
      <vt:variant>
        <vt:i4>1114167</vt:i4>
      </vt:variant>
      <vt:variant>
        <vt:i4>122</vt:i4>
      </vt:variant>
      <vt:variant>
        <vt:i4>0</vt:i4>
      </vt:variant>
      <vt:variant>
        <vt:i4>5</vt:i4>
      </vt:variant>
      <vt:variant>
        <vt:lpwstr/>
      </vt:variant>
      <vt:variant>
        <vt:lpwstr>_Toc112746061</vt:lpwstr>
      </vt:variant>
      <vt:variant>
        <vt:i4>1114167</vt:i4>
      </vt:variant>
      <vt:variant>
        <vt:i4>116</vt:i4>
      </vt:variant>
      <vt:variant>
        <vt:i4>0</vt:i4>
      </vt:variant>
      <vt:variant>
        <vt:i4>5</vt:i4>
      </vt:variant>
      <vt:variant>
        <vt:lpwstr/>
      </vt:variant>
      <vt:variant>
        <vt:lpwstr>_Toc112746060</vt:lpwstr>
      </vt:variant>
      <vt:variant>
        <vt:i4>1179703</vt:i4>
      </vt:variant>
      <vt:variant>
        <vt:i4>110</vt:i4>
      </vt:variant>
      <vt:variant>
        <vt:i4>0</vt:i4>
      </vt:variant>
      <vt:variant>
        <vt:i4>5</vt:i4>
      </vt:variant>
      <vt:variant>
        <vt:lpwstr/>
      </vt:variant>
      <vt:variant>
        <vt:lpwstr>_Toc112746059</vt:lpwstr>
      </vt:variant>
      <vt:variant>
        <vt:i4>1179703</vt:i4>
      </vt:variant>
      <vt:variant>
        <vt:i4>104</vt:i4>
      </vt:variant>
      <vt:variant>
        <vt:i4>0</vt:i4>
      </vt:variant>
      <vt:variant>
        <vt:i4>5</vt:i4>
      </vt:variant>
      <vt:variant>
        <vt:lpwstr/>
      </vt:variant>
      <vt:variant>
        <vt:lpwstr>_Toc112746058</vt:lpwstr>
      </vt:variant>
      <vt:variant>
        <vt:i4>1179703</vt:i4>
      </vt:variant>
      <vt:variant>
        <vt:i4>98</vt:i4>
      </vt:variant>
      <vt:variant>
        <vt:i4>0</vt:i4>
      </vt:variant>
      <vt:variant>
        <vt:i4>5</vt:i4>
      </vt:variant>
      <vt:variant>
        <vt:lpwstr/>
      </vt:variant>
      <vt:variant>
        <vt:lpwstr>_Toc112746057</vt:lpwstr>
      </vt:variant>
      <vt:variant>
        <vt:i4>1179703</vt:i4>
      </vt:variant>
      <vt:variant>
        <vt:i4>92</vt:i4>
      </vt:variant>
      <vt:variant>
        <vt:i4>0</vt:i4>
      </vt:variant>
      <vt:variant>
        <vt:i4>5</vt:i4>
      </vt:variant>
      <vt:variant>
        <vt:lpwstr/>
      </vt:variant>
      <vt:variant>
        <vt:lpwstr>_Toc112746056</vt:lpwstr>
      </vt:variant>
      <vt:variant>
        <vt:i4>1179703</vt:i4>
      </vt:variant>
      <vt:variant>
        <vt:i4>86</vt:i4>
      </vt:variant>
      <vt:variant>
        <vt:i4>0</vt:i4>
      </vt:variant>
      <vt:variant>
        <vt:i4>5</vt:i4>
      </vt:variant>
      <vt:variant>
        <vt:lpwstr/>
      </vt:variant>
      <vt:variant>
        <vt:lpwstr>_Toc112746055</vt:lpwstr>
      </vt:variant>
      <vt:variant>
        <vt:i4>1179703</vt:i4>
      </vt:variant>
      <vt:variant>
        <vt:i4>80</vt:i4>
      </vt:variant>
      <vt:variant>
        <vt:i4>0</vt:i4>
      </vt:variant>
      <vt:variant>
        <vt:i4>5</vt:i4>
      </vt:variant>
      <vt:variant>
        <vt:lpwstr/>
      </vt:variant>
      <vt:variant>
        <vt:lpwstr>_Toc112746054</vt:lpwstr>
      </vt:variant>
      <vt:variant>
        <vt:i4>1179703</vt:i4>
      </vt:variant>
      <vt:variant>
        <vt:i4>74</vt:i4>
      </vt:variant>
      <vt:variant>
        <vt:i4>0</vt:i4>
      </vt:variant>
      <vt:variant>
        <vt:i4>5</vt:i4>
      </vt:variant>
      <vt:variant>
        <vt:lpwstr/>
      </vt:variant>
      <vt:variant>
        <vt:lpwstr>_Toc112746053</vt:lpwstr>
      </vt:variant>
      <vt:variant>
        <vt:i4>1179703</vt:i4>
      </vt:variant>
      <vt:variant>
        <vt:i4>68</vt:i4>
      </vt:variant>
      <vt:variant>
        <vt:i4>0</vt:i4>
      </vt:variant>
      <vt:variant>
        <vt:i4>5</vt:i4>
      </vt:variant>
      <vt:variant>
        <vt:lpwstr/>
      </vt:variant>
      <vt:variant>
        <vt:lpwstr>_Toc112746052</vt:lpwstr>
      </vt:variant>
      <vt:variant>
        <vt:i4>1179703</vt:i4>
      </vt:variant>
      <vt:variant>
        <vt:i4>62</vt:i4>
      </vt:variant>
      <vt:variant>
        <vt:i4>0</vt:i4>
      </vt:variant>
      <vt:variant>
        <vt:i4>5</vt:i4>
      </vt:variant>
      <vt:variant>
        <vt:lpwstr/>
      </vt:variant>
      <vt:variant>
        <vt:lpwstr>_Toc112746051</vt:lpwstr>
      </vt:variant>
      <vt:variant>
        <vt:i4>1179703</vt:i4>
      </vt:variant>
      <vt:variant>
        <vt:i4>56</vt:i4>
      </vt:variant>
      <vt:variant>
        <vt:i4>0</vt:i4>
      </vt:variant>
      <vt:variant>
        <vt:i4>5</vt:i4>
      </vt:variant>
      <vt:variant>
        <vt:lpwstr/>
      </vt:variant>
      <vt:variant>
        <vt:lpwstr>_Toc112746050</vt:lpwstr>
      </vt:variant>
      <vt:variant>
        <vt:i4>1245239</vt:i4>
      </vt:variant>
      <vt:variant>
        <vt:i4>50</vt:i4>
      </vt:variant>
      <vt:variant>
        <vt:i4>0</vt:i4>
      </vt:variant>
      <vt:variant>
        <vt:i4>5</vt:i4>
      </vt:variant>
      <vt:variant>
        <vt:lpwstr/>
      </vt:variant>
      <vt:variant>
        <vt:lpwstr>_Toc112746049</vt:lpwstr>
      </vt:variant>
      <vt:variant>
        <vt:i4>1245239</vt:i4>
      </vt:variant>
      <vt:variant>
        <vt:i4>44</vt:i4>
      </vt:variant>
      <vt:variant>
        <vt:i4>0</vt:i4>
      </vt:variant>
      <vt:variant>
        <vt:i4>5</vt:i4>
      </vt:variant>
      <vt:variant>
        <vt:lpwstr/>
      </vt:variant>
      <vt:variant>
        <vt:lpwstr>_Toc112746048</vt:lpwstr>
      </vt:variant>
      <vt:variant>
        <vt:i4>1245239</vt:i4>
      </vt:variant>
      <vt:variant>
        <vt:i4>38</vt:i4>
      </vt:variant>
      <vt:variant>
        <vt:i4>0</vt:i4>
      </vt:variant>
      <vt:variant>
        <vt:i4>5</vt:i4>
      </vt:variant>
      <vt:variant>
        <vt:lpwstr/>
      </vt:variant>
      <vt:variant>
        <vt:lpwstr>_Toc112746047</vt:lpwstr>
      </vt:variant>
      <vt:variant>
        <vt:i4>1245239</vt:i4>
      </vt:variant>
      <vt:variant>
        <vt:i4>32</vt:i4>
      </vt:variant>
      <vt:variant>
        <vt:i4>0</vt:i4>
      </vt:variant>
      <vt:variant>
        <vt:i4>5</vt:i4>
      </vt:variant>
      <vt:variant>
        <vt:lpwstr/>
      </vt:variant>
      <vt:variant>
        <vt:lpwstr>_Toc112746046</vt:lpwstr>
      </vt:variant>
      <vt:variant>
        <vt:i4>1245239</vt:i4>
      </vt:variant>
      <vt:variant>
        <vt:i4>26</vt:i4>
      </vt:variant>
      <vt:variant>
        <vt:i4>0</vt:i4>
      </vt:variant>
      <vt:variant>
        <vt:i4>5</vt:i4>
      </vt:variant>
      <vt:variant>
        <vt:lpwstr/>
      </vt:variant>
      <vt:variant>
        <vt:lpwstr>_Toc112746045</vt:lpwstr>
      </vt:variant>
      <vt:variant>
        <vt:i4>1245239</vt:i4>
      </vt:variant>
      <vt:variant>
        <vt:i4>20</vt:i4>
      </vt:variant>
      <vt:variant>
        <vt:i4>0</vt:i4>
      </vt:variant>
      <vt:variant>
        <vt:i4>5</vt:i4>
      </vt:variant>
      <vt:variant>
        <vt:lpwstr/>
      </vt:variant>
      <vt:variant>
        <vt:lpwstr>_Toc112746044</vt:lpwstr>
      </vt:variant>
      <vt:variant>
        <vt:i4>1245239</vt:i4>
      </vt:variant>
      <vt:variant>
        <vt:i4>14</vt:i4>
      </vt:variant>
      <vt:variant>
        <vt:i4>0</vt:i4>
      </vt:variant>
      <vt:variant>
        <vt:i4>5</vt:i4>
      </vt:variant>
      <vt:variant>
        <vt:lpwstr/>
      </vt:variant>
      <vt:variant>
        <vt:lpwstr>_Toc112746043</vt:lpwstr>
      </vt:variant>
      <vt:variant>
        <vt:i4>1245239</vt:i4>
      </vt:variant>
      <vt:variant>
        <vt:i4>8</vt:i4>
      </vt:variant>
      <vt:variant>
        <vt:i4>0</vt:i4>
      </vt:variant>
      <vt:variant>
        <vt:i4>5</vt:i4>
      </vt:variant>
      <vt:variant>
        <vt:lpwstr/>
      </vt:variant>
      <vt:variant>
        <vt:lpwstr>_Toc112746042</vt:lpwstr>
      </vt:variant>
      <vt:variant>
        <vt:i4>1245239</vt:i4>
      </vt:variant>
      <vt:variant>
        <vt:i4>2</vt:i4>
      </vt:variant>
      <vt:variant>
        <vt:i4>0</vt:i4>
      </vt:variant>
      <vt:variant>
        <vt:i4>5</vt:i4>
      </vt:variant>
      <vt:variant>
        <vt:lpwstr/>
      </vt:variant>
      <vt:variant>
        <vt:lpwstr>_Toc112746041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 Lucy</dc:creator>
  <cp:keywords/>
  <dc:description/>
  <cp:lastModifiedBy>Hilary Kaplan</cp:lastModifiedBy>
  <cp:revision>3</cp:revision>
  <cp:lastPrinted>2022-08-28T14:42:00Z</cp:lastPrinted>
  <dcterms:created xsi:type="dcterms:W3CDTF">2022-11-02T23:43:00Z</dcterms:created>
  <dcterms:modified xsi:type="dcterms:W3CDTF">2022-11-03T00:28:00Z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SIP_Label_2b83f8d7-e91f-4eee-a336-52a8061c0503_Enabled">
    <vt:lpwstr>true</vt:lpwstr>
  </property>
  <property fmtid="{D5CDD505-2E9C-101B-9397-08002B2CF9AE}" pid="4" name="MSIP_Label_2b83f8d7-e91f-4eee-a336-52a8061c0503_SetDate">
    <vt:lpwstr>2022-03-11T00:22:11Z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faef7408-8304-4e05-a634-e0dba8f3b169</vt:lpwstr>
  </property>
  <property fmtid="{D5CDD505-2E9C-101B-9397-08002B2CF9AE}" pid="9" name="MSIP_Label_2b83f8d7-e91f-4eee-a336-52a8061c0503_ContentBits">
    <vt:lpwstr>0</vt:lpwstr>
  </property>
  <property fmtid="{D5CDD505-2E9C-101B-9397-08002B2CF9AE}" pid="10" name="MediaServiceImageTags">
    <vt:lpwstr/>
  </property>
</Properties>
</file>