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4D9" w:rsidP="3671F785" w:rsidRDefault="5109982B" w14:paraId="6354CF3B" w14:textId="1EB4824B">
      <w:pPr>
        <w:spacing w:after="120"/>
        <w:ind w:left="0"/>
        <w:rPr>
          <w:rFonts w:ascii="Verdana" w:hAnsi="Verdana" w:eastAsia="Verdana" w:cs="Verdana"/>
          <w:color w:val="000000" w:themeColor="text1"/>
          <w:sz w:val="24"/>
          <w:szCs w:val="24"/>
        </w:rPr>
      </w:pPr>
      <w:r w:rsidRPr="3671F785" w:rsidR="5109982B">
        <w:rPr>
          <w:rFonts w:ascii="Verdana" w:hAnsi="Verdana" w:eastAsia="Verdana" w:cs="Verdana"/>
          <w:color w:val="000000" w:themeColor="text1" w:themeTint="FF" w:themeShade="FF"/>
          <w:sz w:val="24"/>
          <w:szCs w:val="24"/>
          <w:lang w:val="en-AU"/>
        </w:rPr>
        <w:t>Increase the opportunity for participants to be actively involved in making decisions about their lives and to exercise real choice and control,</w:t>
      </w:r>
    </w:p>
    <w:p w:rsidR="002724D9" w:rsidP="3671F785" w:rsidRDefault="5109982B" w14:paraId="715627C3" w14:textId="5B7B8DBF">
      <w:pPr>
        <w:spacing w:after="120"/>
        <w:ind w:left="0"/>
        <w:rPr>
          <w:rFonts w:ascii="Verdana" w:hAnsi="Verdana" w:eastAsia="Verdana" w:cs="Verdana"/>
          <w:color w:val="000000" w:themeColor="text1"/>
          <w:sz w:val="24"/>
          <w:szCs w:val="24"/>
        </w:rPr>
      </w:pPr>
      <w:r w:rsidRPr="3671F785" w:rsidR="5109982B">
        <w:rPr>
          <w:rFonts w:ascii="Verdana" w:hAnsi="Verdana" w:eastAsia="Verdana" w:cs="Verdana"/>
          <w:color w:val="000000" w:themeColor="text1" w:themeTint="FF" w:themeShade="FF"/>
          <w:sz w:val="24"/>
          <w:szCs w:val="24"/>
          <w:lang w:val="en-AU"/>
        </w:rPr>
        <w:t>support development of participants’ capability in making decisions (and helping participants to explore and make those decisions),</w:t>
      </w:r>
    </w:p>
    <w:p w:rsidR="002724D9" w:rsidP="5109982B" w:rsidRDefault="5109982B" w14:paraId="3065204B" w14:textId="5F8D0734">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build the capacity of decision supporters, agency staff and partners to recognise and enable the will and preference of participants,</w:t>
      </w:r>
    </w:p>
    <w:p w:rsidR="002724D9" w:rsidP="5109982B" w:rsidRDefault="5109982B" w14:paraId="6F8538D4" w14:textId="2EF9F054">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strengthen a support for decision making approach in the appointment of nominee</w:t>
      </w:r>
    </w:p>
    <w:p w:rsidR="002724D9" w:rsidP="5109982B" w:rsidRDefault="002724D9" w14:paraId="492DB1A9" w14:textId="75363708">
      <w:pPr>
        <w:spacing w:after="120"/>
        <w:ind w:left="360"/>
        <w:rPr>
          <w:rFonts w:ascii="Verdana" w:hAnsi="Verdana" w:eastAsia="Verdana" w:cs="Verdana"/>
          <w:color w:val="000000" w:themeColor="text1"/>
          <w:sz w:val="24"/>
          <w:szCs w:val="24"/>
        </w:rPr>
      </w:pPr>
    </w:p>
    <w:p w:rsidR="002724D9" w:rsidP="5109982B" w:rsidRDefault="5109982B" w14:paraId="1FE6E328" w14:textId="094305A6">
      <w:pPr>
        <w:spacing w:after="120"/>
        <w:ind w:left="360"/>
        <w:rPr>
          <w:rFonts w:ascii="Verdana" w:hAnsi="Verdana" w:eastAsia="Verdana" w:cs="Verdana"/>
          <w:color w:val="000000" w:themeColor="text1"/>
          <w:sz w:val="24"/>
          <w:szCs w:val="24"/>
        </w:rPr>
      </w:pPr>
      <w:r w:rsidRPr="5109982B">
        <w:rPr>
          <w:rFonts w:ascii="Verdana" w:hAnsi="Verdana" w:eastAsia="Verdana" w:cs="Verdana"/>
          <w:b/>
          <w:bCs/>
          <w:color w:val="000000" w:themeColor="text1"/>
          <w:sz w:val="24"/>
          <w:szCs w:val="24"/>
          <w:lang w:val="en-AU"/>
        </w:rPr>
        <w:t>Background:</w:t>
      </w:r>
    </w:p>
    <w:p w:rsidR="002724D9" w:rsidP="5109982B" w:rsidRDefault="5109982B" w14:paraId="50015AE7" w14:textId="28AB3EAA">
      <w:pPr>
        <w:spacing w:after="120"/>
        <w:ind w:left="709"/>
        <w:rPr>
          <w:rFonts w:ascii="Verdana" w:hAnsi="Verdana" w:eastAsia="Verdana" w:cs="Verdana"/>
          <w:color w:val="000000" w:themeColor="text1"/>
          <w:sz w:val="24"/>
          <w:szCs w:val="24"/>
        </w:rPr>
      </w:pPr>
      <w:r w:rsidRPr="5109982B">
        <w:rPr>
          <w:rFonts w:ascii="Verdana" w:hAnsi="Verdana" w:eastAsia="Verdana" w:cs="Verdana"/>
          <w:b/>
          <w:bCs/>
          <w:color w:val="000000" w:themeColor="text1"/>
          <w:sz w:val="24"/>
          <w:szCs w:val="24"/>
          <w:lang w:val="en-AU"/>
        </w:rPr>
        <w:t>The following commentary is written with particular focus upon intellectual, sensory and perceptual disability</w:t>
      </w:r>
    </w:p>
    <w:p w:rsidR="002724D9" w:rsidP="5109982B" w:rsidRDefault="5109982B" w14:paraId="208F25E6" w14:textId="7E894DBE">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People with intellectual disability find that novel situations are challenging because the prospect of uncertainty is frequently, if not always,  perceived as threatening. Novel ideas or suggestions need to be introduced to people that have cognitive, sensory or perceptual disabilities at a time that  they are calm and attentive. Predisposition to rigid thinking means that upon reflection, a proposition that might have seemed acceptable at particular moment, might subsequently morph into an idea that is not so appealing.</w:t>
      </w:r>
    </w:p>
    <w:p w:rsidR="002724D9" w:rsidP="5109982B" w:rsidRDefault="5109982B" w14:paraId="3D9CF7EF" w14:textId="077FA3A3">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 xml:space="preserve">Instead of  fight or flight as a response to stress, often doing nothing seems safer and therefore easier as a means of alleviating uncertainty and feelings of anxiety that are manifestations of insecurity. This can lead to chronic stress becoming perceived as normal, which can lead to depression or other kinds of failure to adapt.  </w:t>
      </w:r>
    </w:p>
    <w:p w:rsidR="002724D9" w:rsidP="5109982B" w:rsidRDefault="5109982B" w14:paraId="29239BDA" w14:textId="12C702D7">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Living in world that is generally hostile to people with intellectual disability,  means that often the status quo,  though unpleasant, is regarded by them as preferable to embarking on a productive course of action that might ameliorate feelings of duress. Aversion  to novelty becomes manifest as avoidance behaviour, which in turn exacerbates feelings of loneliness and isolation.</w:t>
      </w:r>
    </w:p>
    <w:p w:rsidR="002724D9" w:rsidP="5109982B" w:rsidRDefault="5109982B" w14:paraId="1A0AEE81" w14:textId="2CBB0B72">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People who are hypervigilant are easily fatigued by tasks that require mental effort. Such fatigue can cause a sudden drop in the capacity to self regulate feelings and emotions, leading to impulsiveness, or stonewalling when faced with snap decisions. People with disability are not unique in this regard, but much more at risk because of their particular cognitive, sensory or perceptual mental processing challenges.</w:t>
      </w:r>
    </w:p>
    <w:p w:rsidR="002724D9" w:rsidP="5109982B" w:rsidRDefault="5109982B" w14:paraId="25EA1152" w14:textId="1E9A2342">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 xml:space="preserve">This inertia toward engaging in novel experiences presents a dilemma for carers when broaching new ideas and framing new opportunities to their loved ones. The challenge for carers is to not trigger avoidance.  Does a carer “leave well alone”, even though they know that the person is under duress or engaging in self-defeating habits, or risk creating defensiveness or stonewalling by initiating a conversation about change or options that they might deem to be potentially helpful. A general rule of thumb is that structuring activities in a predictable way minimises uncertainty and the need for mental flexibility when anticipating and engaging in tasks.  </w:t>
      </w:r>
    </w:p>
    <w:p w:rsidR="002724D9" w:rsidP="5109982B" w:rsidRDefault="5109982B" w14:paraId="52CFC829" w14:textId="0DBA6980">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A decision making process in which options are assessed and the consequences of actions are weighed up requires mental effort. The effort of simultaneously recruiting many kinds of thought processes may be derailed   or falter because nuances of understanding are required that elude a disabled person.</w:t>
      </w:r>
    </w:p>
    <w:p w:rsidR="002724D9" w:rsidP="5109982B" w:rsidRDefault="5109982B" w14:paraId="5BC66D11" w14:textId="211C4865">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Frequently there is dependence upon a trusted  family member who may help bridge the gap between thoughts and actions, and who becomes accustomed to being relied upon to make decisions in the person's interest.</w:t>
      </w:r>
    </w:p>
    <w:p w:rsidR="002724D9" w:rsidP="5109982B" w:rsidRDefault="5109982B" w14:paraId="0FE2FDC8" w14:textId="41AD1DDA">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The carer/cared-for relationship is far from straightforward. The carer carries huge responsibility for consequences which are frequently not apparent to or able to be inferred by the disabled person. Consequences of either action or inaction may impinge upon the disabled person's safety, but just as importantly, their autonomy and respect for their identity. Acceding to the path of least resistance has the potential to lead to deterioration in the person's condition and become a barrier to a disabled person flourishing as they might if they were provided with optimum circumstances and support.</w:t>
      </w:r>
    </w:p>
    <w:p w:rsidR="002724D9" w:rsidP="5109982B" w:rsidRDefault="002724D9" w14:paraId="76B4DEE5" w14:textId="3950DAB4">
      <w:pPr>
        <w:spacing w:after="120"/>
        <w:ind w:left="360"/>
        <w:rPr>
          <w:rFonts w:ascii="Verdana" w:hAnsi="Verdana" w:eastAsia="Verdana" w:cs="Verdana"/>
          <w:color w:val="000000" w:themeColor="text1"/>
          <w:sz w:val="24"/>
          <w:szCs w:val="24"/>
        </w:rPr>
      </w:pPr>
    </w:p>
    <w:p w:rsidR="002724D9" w:rsidP="5109982B" w:rsidRDefault="5109982B" w14:paraId="0B2BE84C" w14:textId="1F55D3D0">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When addressing the question of how best to support the disabled, it is crucial to apply support to where it is required. Support is required in three areas:</w:t>
      </w:r>
    </w:p>
    <w:p w:rsidR="002724D9" w:rsidP="5109982B" w:rsidRDefault="5109982B" w14:paraId="4F6EE9DB" w14:textId="56D569E1">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to the individual recipient themselves, to better enable them to adapt to their living environment due to their special needs,</w:t>
      </w:r>
    </w:p>
    <w:p w:rsidR="002724D9" w:rsidP="5109982B" w:rsidRDefault="5109982B" w14:paraId="240D0142" w14:textId="6C6E564C">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to the disabled person's immediate physical and social environment including advocacy</w:t>
      </w:r>
    </w:p>
    <w:p w:rsidR="002724D9" w:rsidP="5109982B" w:rsidRDefault="5109982B" w14:paraId="54CE8EB8" w14:textId="22D1C831">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at a community level in aspects of their lives over which the disabled exert next to no control, such as access and community attitudes.</w:t>
      </w:r>
    </w:p>
    <w:p w:rsidR="002724D9" w:rsidP="5109982B" w:rsidRDefault="5109982B" w14:paraId="047CE257" w14:textId="61EC095E">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Because they lack the executive function necessary to plan and problem solve, an intellectually disabled person may not comprehend the consequences of their actions or inaction.  Emotional cues, either external or internal, frequently displace the kinds of complex thought processes that are required during decision making. Our emotions are integral to feeling that the  right decision has been reached, even if there is a tension between what might be easiest and what is for the best. Intolerance of novelty, anxiety and depression will tend to thwart efforts to provide help.</w:t>
      </w:r>
    </w:p>
    <w:p w:rsidR="002724D9" w:rsidP="5109982B" w:rsidRDefault="5109982B" w14:paraId="64FB61C3" w14:textId="1357D3F5">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Ultimately help is only helpful if is perceived as such by the person receiving it. It is difficult to help someone who is constantly hypervigilant, a challenge that is  common for carers of people with disability or history of trauma.</w:t>
      </w:r>
    </w:p>
    <w:p w:rsidR="002724D9" w:rsidP="5109982B" w:rsidRDefault="5109982B" w14:paraId="6874CCA9" w14:textId="5BAD1715">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Flexibility is required on the part of the carer and supporters to shift focus and resources as required to avoid stasis or regression.</w:t>
      </w:r>
    </w:p>
    <w:p w:rsidR="002724D9" w:rsidP="5109982B" w:rsidRDefault="5109982B" w14:paraId="582F1DE8" w14:textId="6DF2F74A">
      <w:pPr>
        <w:spacing w:after="120"/>
        <w:rPr>
          <w:rFonts w:ascii="Verdana" w:hAnsi="Verdana" w:eastAsia="Verdana" w:cs="Verdana"/>
          <w:color w:val="000000" w:themeColor="text1"/>
          <w:sz w:val="24"/>
          <w:szCs w:val="24"/>
        </w:rPr>
      </w:pPr>
      <w:r w:rsidRPr="5109982B">
        <w:rPr>
          <w:rFonts w:ascii="Verdana" w:hAnsi="Verdana" w:eastAsia="Verdana" w:cs="Verdana"/>
          <w:b/>
          <w:bCs/>
          <w:color w:val="000000" w:themeColor="text1"/>
          <w:sz w:val="24"/>
          <w:szCs w:val="24"/>
          <w:lang w:val="en-AU"/>
        </w:rPr>
        <w:t>NDIS support for carers?</w:t>
      </w:r>
    </w:p>
    <w:p w:rsidR="002724D9" w:rsidP="5109982B" w:rsidRDefault="5109982B" w14:paraId="443B46B6" w14:textId="20121D2D">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 xml:space="preserve">It therefore falls to carers and support workers to have the skills required to seed ideas and frame communication so that information is conveyed appropriately. Completing the communication loop  to achieve mutual understanding is a delicate process. Reaching a decision that respects the person's dignity is fraught with pitfalls. If it is difficult for a carer to know whether they are “on the same page”, it is next to impossible for a novice support worker to be confident that they know that they have connected with an intellectually disabled person. An assumption that that someone with learning difficulties has integrated new knowledge, for example when consent has been given, requires validation. It is only when they engage in an action that has been agreed upon that  an observer really finds out whether it is helpful or not.  </w:t>
      </w:r>
    </w:p>
    <w:p w:rsidR="002724D9" w:rsidP="5109982B" w:rsidRDefault="5109982B" w14:paraId="48F62BA3" w14:textId="4E85B907">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Efforts to understand special needs through interrogation may lead to acquiescence with a narrative provided by a person perceived as having authority, or confusion that prompts withdrawal. Interviews that are structured around on checklists on clipboards are a disservice to people with intellectual disability. Multiple vantage points are required to fully understand the scope of a person's disabilities. Engaging with them without a set agenda is necessary to be able to gauge strengths and weaknesses. It is crucial that the effort and emotional cost of masking and camouflaging feelings are recognised and given due weight when assessing needs.</w:t>
      </w:r>
    </w:p>
    <w:p w:rsidR="002724D9" w:rsidP="5109982B" w:rsidRDefault="5109982B" w14:paraId="144EBD07" w14:textId="6F516B03">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Carers need education in the skills required to advocate effectively for people unable to do it for themselves. Such advocates are required between the NDIS recipient and support coordinators.</w:t>
      </w:r>
    </w:p>
    <w:p w:rsidR="002724D9" w:rsidP="5109982B" w:rsidRDefault="5109982B" w14:paraId="3DCBC13B" w14:textId="01199F42">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The support coordinator's role is to provide an understanding of the market for services. The person with intellectual disability requires an interface  between themselves and their support coordinator. If not a family member, that person preferably shall be someone with a deep and ongoing relationship, who  has respect for the participant as a person rather than a clinician who may be inclined to view the disabled person through a professional lens as a having a particular set of handicaps or proclivities.</w:t>
      </w:r>
    </w:p>
    <w:p w:rsidR="002724D9" w:rsidP="5109982B" w:rsidRDefault="5109982B" w14:paraId="43ACE445" w14:textId="0D348CC7">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Support workers  with those skills are potentially invaluable in bringing a deep understanding of manifestations of underlying conditions that contribute to disabilities, and should be drawn upon to provide guidance as to tactics and strategies for support, but while they may advise, the responsibility for advocacy should not fall upon them.</w:t>
      </w:r>
    </w:p>
    <w:p w:rsidR="002724D9" w:rsidP="5109982B" w:rsidRDefault="5109982B" w14:paraId="195EEAF0" w14:textId="5779F2B6">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Clinicians and support workers may come and go, but continuity should be the priority for advocacy and it should be via a person known intimately by the NDIS recipient. Advocates must have personal experience of the factors in the disabled person's social environment that contribute to distress at both a practical level and conceptual level, for example an understanding of the effect of loud noises upon someone with hyperacousia, or noisy social gatherings for a person with auditory processing difficulties.</w:t>
      </w:r>
    </w:p>
    <w:p w:rsidR="002724D9" w:rsidP="5109982B" w:rsidRDefault="5109982B" w14:paraId="4331711A" w14:textId="76071558">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An effective advocate will help prioritise the kinds of services that may be drawn upon. Helping ensure the disabled person isn't treated within silos of professional services that are ignorant of each other is another vital role. Being available to help audit the quality of care requires expertise, the acquisition of which becomes an ongoing project of self-improvement on the part of carers.</w:t>
      </w:r>
    </w:p>
    <w:p w:rsidR="002724D9" w:rsidP="5109982B" w:rsidRDefault="002724D9" w14:paraId="4A803100" w14:textId="55AF07E9">
      <w:pPr>
        <w:spacing w:after="120"/>
        <w:rPr>
          <w:rFonts w:ascii="Verdana" w:hAnsi="Verdana" w:eastAsia="Verdana" w:cs="Verdana"/>
          <w:color w:val="000000" w:themeColor="text1"/>
          <w:sz w:val="24"/>
          <w:szCs w:val="24"/>
        </w:rPr>
      </w:pPr>
    </w:p>
    <w:p w:rsidR="002724D9" w:rsidP="5109982B" w:rsidRDefault="002724D9" w14:paraId="2ECD589A" w14:textId="31D54925">
      <w:pPr>
        <w:spacing w:after="120"/>
        <w:rPr>
          <w:rFonts w:ascii="Verdana" w:hAnsi="Verdana" w:eastAsia="Verdana" w:cs="Verdana"/>
          <w:color w:val="000000" w:themeColor="text1"/>
          <w:sz w:val="24"/>
          <w:szCs w:val="24"/>
        </w:rPr>
      </w:pPr>
    </w:p>
    <w:p w:rsidR="002724D9" w:rsidP="5109982B" w:rsidRDefault="5109982B" w14:paraId="238CAA7B" w14:textId="7296702D">
      <w:pPr>
        <w:spacing w:after="120"/>
        <w:ind w:left="360"/>
        <w:rPr>
          <w:rFonts w:ascii="Verdana" w:hAnsi="Verdana" w:eastAsia="Verdana" w:cs="Verdana"/>
          <w:color w:val="000000" w:themeColor="text1"/>
          <w:sz w:val="28"/>
          <w:szCs w:val="28"/>
        </w:rPr>
      </w:pPr>
      <w:r w:rsidRPr="5109982B">
        <w:rPr>
          <w:rFonts w:ascii="Verdana" w:hAnsi="Verdana" w:eastAsia="Verdana" w:cs="Verdana"/>
          <w:b/>
          <w:bCs/>
          <w:color w:val="000000" w:themeColor="text1"/>
          <w:sz w:val="28"/>
          <w:szCs w:val="28"/>
          <w:lang w:val="en-AU"/>
        </w:rPr>
        <w:t>build the capacity of decision supporters, agency staff and partners to recognise and enable the will and preference of participants,</w:t>
      </w:r>
    </w:p>
    <w:p w:rsidR="002724D9" w:rsidP="5109982B" w:rsidRDefault="002724D9" w14:paraId="322A89E1" w14:textId="5844BD36">
      <w:pPr>
        <w:spacing w:after="120"/>
        <w:rPr>
          <w:rFonts w:ascii="Verdana" w:hAnsi="Verdana" w:eastAsia="Verdana" w:cs="Verdana"/>
          <w:color w:val="000000" w:themeColor="text1"/>
          <w:sz w:val="28"/>
          <w:szCs w:val="28"/>
        </w:rPr>
      </w:pPr>
    </w:p>
    <w:p w:rsidR="002724D9" w:rsidP="5109982B" w:rsidRDefault="5109982B" w14:paraId="237F4DB0" w14:textId="7749DFBB">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Carers are likely to welcome a platform that could provide training in advocacy.</w:t>
      </w:r>
    </w:p>
    <w:p w:rsidR="002724D9" w:rsidP="5109982B" w:rsidRDefault="5109982B" w14:paraId="46771CAD" w14:textId="3B6DE929">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Well trained carers who understand how to not only elicit the felt needs of their loved ones, but also understand how to communicate effectively so as to minimise inertia against novelty can facilitate development of effective plans.</w:t>
      </w:r>
    </w:p>
    <w:p w:rsidR="002724D9" w:rsidP="5109982B" w:rsidRDefault="002724D9" w14:paraId="6E0DB913" w14:textId="0D3D3583">
      <w:pPr>
        <w:spacing w:after="120"/>
        <w:rPr>
          <w:rFonts w:ascii="Verdana" w:hAnsi="Verdana" w:eastAsia="Verdana" w:cs="Verdana"/>
          <w:color w:val="000000" w:themeColor="text1"/>
          <w:sz w:val="24"/>
          <w:szCs w:val="24"/>
        </w:rPr>
      </w:pPr>
    </w:p>
    <w:p w:rsidR="002724D9" w:rsidP="5109982B" w:rsidRDefault="5109982B" w14:paraId="1D8A2075" w14:textId="0CA09876">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Effective plans are likely to minimise redundancies and improve outcomes. Well trained family members would also be better advocates for the disabled within the broader community, potentially lessening prejudice against the disabled.</w:t>
      </w:r>
    </w:p>
    <w:p w:rsidR="002724D9" w:rsidP="5109982B" w:rsidRDefault="002724D9" w14:paraId="0E69CE73" w14:textId="22C8CA47">
      <w:pPr>
        <w:spacing w:after="120"/>
        <w:rPr>
          <w:rFonts w:ascii="Verdana" w:hAnsi="Verdana" w:eastAsia="Verdana" w:cs="Verdana"/>
          <w:color w:val="000000" w:themeColor="text1"/>
          <w:sz w:val="24"/>
          <w:szCs w:val="24"/>
        </w:rPr>
      </w:pPr>
    </w:p>
    <w:p w:rsidR="002724D9" w:rsidP="5109982B" w:rsidRDefault="5109982B" w14:paraId="1EFF752E" w14:textId="32EBE739">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Training should be delivered at arms length from the NDIS. Speaking as a lay person, it may be that national program could be coordinated through state disability services.</w:t>
      </w:r>
    </w:p>
    <w:p w:rsidR="002724D9" w:rsidP="5109982B" w:rsidRDefault="5109982B" w14:paraId="36B6B336" w14:textId="2764646F">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State disability services must not be allowed to run down because the commonwealth has stepped in with the NDIS. There is strong overlap between advocacy for mental health and disability as many of the same principles apply in both fields. Improved community awareness will help reduce barriers to access and inclusion.</w:t>
      </w:r>
    </w:p>
    <w:p w:rsidR="002724D9" w:rsidP="5109982B" w:rsidRDefault="002724D9" w14:paraId="593AB558" w14:textId="3044604C">
      <w:pPr>
        <w:spacing w:after="120"/>
        <w:rPr>
          <w:rFonts w:ascii="Verdana" w:hAnsi="Verdana" w:eastAsia="Verdana" w:cs="Verdana"/>
          <w:color w:val="000000" w:themeColor="text1"/>
          <w:sz w:val="24"/>
          <w:szCs w:val="24"/>
        </w:rPr>
      </w:pPr>
    </w:p>
    <w:p w:rsidR="002724D9" w:rsidP="5109982B" w:rsidRDefault="5109982B" w14:paraId="1545A086" w14:textId="01E8452E">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Training should not be a for-profit enterprise, but rather developed as a public good.</w:t>
      </w:r>
    </w:p>
    <w:p w:rsidR="002724D9" w:rsidP="5109982B" w:rsidRDefault="002724D9" w14:paraId="455D763D" w14:textId="147B7A4C">
      <w:pPr>
        <w:spacing w:after="120"/>
        <w:rPr>
          <w:rFonts w:ascii="Verdana" w:hAnsi="Verdana" w:eastAsia="Verdana" w:cs="Verdana"/>
          <w:color w:val="000000" w:themeColor="text1"/>
          <w:sz w:val="24"/>
          <w:szCs w:val="24"/>
        </w:rPr>
      </w:pPr>
    </w:p>
    <w:p w:rsidR="002724D9" w:rsidP="5109982B" w:rsidRDefault="5109982B" w14:paraId="206D17F6" w14:textId="049FFD23">
      <w:pPr>
        <w:spacing w:after="120"/>
        <w:ind w:left="360"/>
        <w:rPr>
          <w:rFonts w:ascii="Verdana" w:hAnsi="Verdana" w:eastAsia="Verdana" w:cs="Verdana"/>
          <w:color w:val="000000" w:themeColor="text1"/>
          <w:sz w:val="28"/>
          <w:szCs w:val="28"/>
        </w:rPr>
      </w:pPr>
      <w:r w:rsidRPr="5109982B">
        <w:rPr>
          <w:rFonts w:ascii="Verdana" w:hAnsi="Verdana" w:eastAsia="Verdana" w:cs="Verdana"/>
          <w:b/>
          <w:bCs/>
          <w:color w:val="000000" w:themeColor="text1"/>
          <w:sz w:val="28"/>
          <w:szCs w:val="28"/>
          <w:lang w:val="en-AU"/>
        </w:rPr>
        <w:t>strengthen a support for decision making approach in the appointment of nominee</w:t>
      </w:r>
    </w:p>
    <w:p w:rsidR="002724D9" w:rsidP="5109982B" w:rsidRDefault="5109982B" w14:paraId="227B8BB2" w14:textId="2CF47978">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Carer and advocacy training could be potentially run through lived experience advocacy organisations. Co-production of nationally accepted principles and guidelines could draw upon decades of reviews of mental health services, aged care and disability services.</w:t>
      </w:r>
    </w:p>
    <w:p w:rsidR="002724D9" w:rsidP="5109982B" w:rsidRDefault="002724D9" w14:paraId="04CA8D8C" w14:textId="610F9893">
      <w:pPr>
        <w:spacing w:after="120"/>
        <w:ind w:left="360"/>
        <w:rPr>
          <w:rFonts w:ascii="Verdana" w:hAnsi="Verdana" w:eastAsia="Verdana" w:cs="Verdana"/>
          <w:color w:val="000000" w:themeColor="text1"/>
          <w:sz w:val="24"/>
          <w:szCs w:val="24"/>
        </w:rPr>
      </w:pPr>
    </w:p>
    <w:p w:rsidR="002724D9" w:rsidP="5109982B" w:rsidRDefault="5109982B" w14:paraId="5C648BAE" w14:textId="6039E95B">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Commitment by carers to participate in training programs should be supported so as not to be a financial burden, as many, if not the majority of carers are under financial duress.</w:t>
      </w:r>
    </w:p>
    <w:p w:rsidR="002724D9" w:rsidP="5109982B" w:rsidRDefault="002724D9" w14:paraId="39F0DC47" w14:textId="2F85785E">
      <w:pPr>
        <w:spacing w:after="120"/>
        <w:ind w:left="360"/>
        <w:rPr>
          <w:rFonts w:ascii="Verdana" w:hAnsi="Verdana" w:eastAsia="Verdana" w:cs="Verdana"/>
          <w:color w:val="000000" w:themeColor="text1"/>
          <w:sz w:val="24"/>
          <w:szCs w:val="24"/>
        </w:rPr>
      </w:pPr>
    </w:p>
    <w:p w:rsidR="002724D9" w:rsidP="5109982B" w:rsidRDefault="5109982B" w14:paraId="0C664CB2" w14:textId="69216A4D">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The establishment of  carer training would help clarify for carers themselves an understanding of their suitability to the task. Providing the opportunity to acquire and improve skills and potential networking with other carers as a source of support would raise awareness of the need for inclusiveness within the broader community.</w:t>
      </w:r>
    </w:p>
    <w:p w:rsidR="002724D9" w:rsidP="5109982B" w:rsidRDefault="002724D9" w14:paraId="050FAC5D" w14:textId="0B653F9C">
      <w:pPr>
        <w:spacing w:after="120"/>
        <w:ind w:left="360"/>
        <w:rPr>
          <w:rFonts w:ascii="Verdana" w:hAnsi="Verdana" w:eastAsia="Verdana" w:cs="Verdana"/>
          <w:color w:val="000000" w:themeColor="text1"/>
          <w:sz w:val="24"/>
          <w:szCs w:val="24"/>
        </w:rPr>
      </w:pPr>
    </w:p>
    <w:p w:rsidR="002724D9" w:rsidP="5109982B" w:rsidRDefault="5109982B" w14:paraId="52ECB2D1" w14:textId="04714CCD">
      <w:pPr>
        <w:spacing w:after="120"/>
        <w:ind w:left="36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 xml:space="preserve"> Much of social infrastructure  to enable this to happen potentially exists already.  Targeted support from government is required for it to scale up. Relatively modest injections of funding may stimulate latent momentum in not for profit advocacy organisations that are already in this space.</w:t>
      </w:r>
    </w:p>
    <w:p w:rsidR="002724D9" w:rsidP="5109982B" w:rsidRDefault="002724D9" w14:paraId="1CF15BF4" w14:textId="48A02C8F">
      <w:pPr>
        <w:spacing w:after="120"/>
        <w:ind w:left="360"/>
        <w:rPr>
          <w:rFonts w:ascii="Verdana" w:hAnsi="Verdana" w:eastAsia="Verdana" w:cs="Verdana"/>
          <w:color w:val="000000" w:themeColor="text1"/>
          <w:sz w:val="24"/>
          <w:szCs w:val="24"/>
        </w:rPr>
      </w:pPr>
    </w:p>
    <w:p w:rsidR="002724D9" w:rsidP="5109982B" w:rsidRDefault="002724D9" w14:paraId="005D4E6A" w14:textId="1D12DDA4">
      <w:pPr>
        <w:spacing w:after="120"/>
        <w:ind w:left="360"/>
        <w:rPr>
          <w:rFonts w:ascii="Verdana" w:hAnsi="Verdana" w:eastAsia="Verdana" w:cs="Verdana"/>
          <w:color w:val="000000" w:themeColor="text1"/>
          <w:sz w:val="24"/>
          <w:szCs w:val="24"/>
        </w:rPr>
      </w:pPr>
    </w:p>
    <w:p w:rsidR="002724D9" w:rsidP="5109982B" w:rsidRDefault="5109982B" w14:paraId="07AA33E4" w14:textId="4AE4FF3F">
      <w:pPr>
        <w:spacing w:after="120"/>
        <w:rPr>
          <w:rFonts w:ascii="Verdana" w:hAnsi="Verdana" w:eastAsia="Verdana" w:cs="Verdana"/>
          <w:color w:val="000000" w:themeColor="text1"/>
          <w:sz w:val="24"/>
          <w:szCs w:val="24"/>
        </w:rPr>
      </w:pPr>
      <w:r w:rsidRPr="5109982B">
        <w:rPr>
          <w:rFonts w:ascii="Verdana" w:hAnsi="Verdana" w:eastAsia="Verdana" w:cs="Verdana"/>
          <w:b/>
          <w:bCs/>
          <w:color w:val="000000" w:themeColor="text1"/>
          <w:sz w:val="24"/>
          <w:szCs w:val="24"/>
          <w:lang w:val="en-AU"/>
        </w:rPr>
        <w:t>Fit for purpose?</w:t>
      </w:r>
    </w:p>
    <w:p w:rsidR="002724D9" w:rsidP="5109982B" w:rsidRDefault="002724D9" w14:paraId="607DD873" w14:textId="27BAF4E1">
      <w:pPr>
        <w:spacing w:after="120"/>
        <w:rPr>
          <w:rFonts w:ascii="Verdana" w:hAnsi="Verdana" w:eastAsia="Verdana" w:cs="Verdana"/>
          <w:color w:val="000000" w:themeColor="text1"/>
          <w:sz w:val="24"/>
          <w:szCs w:val="24"/>
        </w:rPr>
      </w:pPr>
    </w:p>
    <w:p w:rsidR="002724D9" w:rsidP="5109982B" w:rsidRDefault="5109982B" w14:paraId="4CC72F61" w14:textId="2BB1C48E">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Numerous reviews of mental health services at both national and state levels have discovered that established systems are not fit for purpose.</w:t>
      </w:r>
    </w:p>
    <w:p w:rsidR="002724D9" w:rsidP="5109982B" w:rsidRDefault="002724D9" w14:paraId="31FC36D5" w14:textId="036DD21F">
      <w:pPr>
        <w:spacing w:after="120"/>
        <w:rPr>
          <w:rFonts w:ascii="Verdana" w:hAnsi="Verdana" w:eastAsia="Verdana" w:cs="Verdana"/>
          <w:color w:val="000000" w:themeColor="text1"/>
          <w:sz w:val="24"/>
          <w:szCs w:val="24"/>
        </w:rPr>
      </w:pPr>
    </w:p>
    <w:p w:rsidR="002724D9" w:rsidP="5109982B" w:rsidRDefault="5109982B" w14:paraId="56BD5AD2" w14:textId="0A219A46">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If we look at the “big picture' we must consider the prospect that the NDIS is at risk of the same kind of failure.  We must look at systemic factors that may be preventable, particularly those that depend upon government actions.</w:t>
      </w:r>
    </w:p>
    <w:p w:rsidR="002724D9" w:rsidP="5109982B" w:rsidRDefault="002724D9" w14:paraId="4DB42FC5" w14:textId="43A45C96">
      <w:pPr>
        <w:spacing w:after="120"/>
        <w:rPr>
          <w:rFonts w:ascii="Verdana" w:hAnsi="Verdana" w:eastAsia="Verdana" w:cs="Verdana"/>
          <w:color w:val="000000" w:themeColor="text1"/>
          <w:sz w:val="24"/>
          <w:szCs w:val="24"/>
        </w:rPr>
      </w:pPr>
    </w:p>
    <w:p w:rsidR="002724D9" w:rsidP="5109982B" w:rsidRDefault="5109982B" w14:paraId="3EB3078B" w14:textId="2E9C61CE">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There are already fears of escalating and potentially unsustainable costs. Developing equitable systems of service delivery is a massive challenge.</w:t>
      </w:r>
    </w:p>
    <w:p w:rsidR="002724D9" w:rsidP="5109982B" w:rsidRDefault="002724D9" w14:paraId="086F786C" w14:textId="4CE48744">
      <w:pPr>
        <w:spacing w:after="120"/>
        <w:rPr>
          <w:rFonts w:ascii="Verdana" w:hAnsi="Verdana" w:eastAsia="Verdana" w:cs="Verdana"/>
          <w:color w:val="000000" w:themeColor="text1"/>
          <w:sz w:val="24"/>
          <w:szCs w:val="24"/>
        </w:rPr>
      </w:pPr>
    </w:p>
    <w:p w:rsidR="002724D9" w:rsidP="5109982B" w:rsidRDefault="5109982B" w14:paraId="03C96565" w14:textId="3DCE80BF">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The current paradigm relies upon a revenue stream being delivered to hundreds of thousands of individuals. Each discrete revenue stream requires assessment, approval and subsequent monitoring, an intricate process which itself amounts to an industry, given the massive scope of the program.</w:t>
      </w:r>
    </w:p>
    <w:p w:rsidR="002724D9" w:rsidP="5109982B" w:rsidRDefault="5109982B" w14:paraId="430ED153" w14:textId="5792ED4D">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Recipients are very nervous that there will be attempts to streamline this huge administrative process by applying algorithms that predict need.</w:t>
      </w:r>
    </w:p>
    <w:p w:rsidR="002724D9" w:rsidP="5109982B" w:rsidRDefault="002724D9" w14:paraId="1344186A" w14:textId="7BE53223">
      <w:pPr>
        <w:spacing w:after="120"/>
        <w:rPr>
          <w:rFonts w:ascii="Verdana" w:hAnsi="Verdana" w:eastAsia="Verdana" w:cs="Verdana"/>
          <w:color w:val="000000" w:themeColor="text1"/>
          <w:sz w:val="24"/>
          <w:szCs w:val="24"/>
        </w:rPr>
      </w:pPr>
    </w:p>
    <w:p w:rsidR="002724D9" w:rsidP="5109982B" w:rsidRDefault="5109982B" w14:paraId="536C60FF" w14:textId="28AB250A">
      <w:pPr>
        <w:spacing w:after="120"/>
        <w:rPr>
          <w:rFonts w:ascii="Verdana" w:hAnsi="Verdana" w:eastAsia="Verdana" w:cs="Verdana"/>
          <w:color w:val="000000" w:themeColor="text1"/>
          <w:sz w:val="24"/>
          <w:szCs w:val="24"/>
        </w:rPr>
      </w:pPr>
      <w:r w:rsidRPr="5109982B">
        <w:rPr>
          <w:rFonts w:ascii="Verdana" w:hAnsi="Verdana" w:eastAsia="Verdana" w:cs="Verdana"/>
          <w:b/>
          <w:bCs/>
          <w:color w:val="000000" w:themeColor="text1"/>
          <w:sz w:val="24"/>
          <w:szCs w:val="24"/>
          <w:lang w:val="en-AU"/>
        </w:rPr>
        <w:t>Treating causes</w:t>
      </w:r>
    </w:p>
    <w:p w:rsidR="002724D9" w:rsidP="5109982B" w:rsidRDefault="002724D9" w14:paraId="6D46D070" w14:textId="6BFA3D71">
      <w:pPr>
        <w:spacing w:after="120"/>
        <w:rPr>
          <w:rFonts w:ascii="Verdana" w:hAnsi="Verdana" w:eastAsia="Verdana" w:cs="Verdana"/>
          <w:color w:val="000000" w:themeColor="text1"/>
          <w:sz w:val="24"/>
          <w:szCs w:val="24"/>
        </w:rPr>
      </w:pPr>
    </w:p>
    <w:p w:rsidR="002724D9" w:rsidP="5109982B" w:rsidRDefault="5109982B" w14:paraId="44ECDD73" w14:textId="7D70237C">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A long term strategy for early childhood development services aimed at mitigating the consequences of trauma and social disadvantage, which are known to impair intellectual development, will lead to disadvantaged people experiencing greater inclusiveness, participation and productivity as they advance into adulthood. This will mean potentially fewer people relying upon public support in future to enable them to live independently.</w:t>
      </w:r>
    </w:p>
    <w:p w:rsidR="002724D9" w:rsidP="5109982B" w:rsidRDefault="002724D9" w14:paraId="74C68829" w14:textId="4551DDA8">
      <w:pPr>
        <w:spacing w:after="120"/>
        <w:rPr>
          <w:rFonts w:ascii="Verdana" w:hAnsi="Verdana" w:eastAsia="Verdana" w:cs="Verdana"/>
          <w:color w:val="000000" w:themeColor="text1"/>
          <w:sz w:val="24"/>
          <w:szCs w:val="24"/>
        </w:rPr>
      </w:pPr>
    </w:p>
    <w:p w:rsidR="002724D9" w:rsidP="5109982B" w:rsidRDefault="5109982B" w14:paraId="63466FA6" w14:textId="66785DBC">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Commercialisation of early childhood development</w:t>
      </w:r>
      <w:r w:rsidRPr="5109982B">
        <w:rPr>
          <w:rFonts w:ascii="Verdana" w:hAnsi="Verdana" w:eastAsia="Verdana" w:cs="Verdana"/>
          <w:color w:val="000000" w:themeColor="text1"/>
          <w:sz w:val="24"/>
          <w:szCs w:val="24"/>
          <w:vertAlign w:val="superscript"/>
          <w:lang w:val="en-AU"/>
        </w:rPr>
        <w:t>1</w:t>
      </w:r>
      <w:r w:rsidRPr="5109982B">
        <w:rPr>
          <w:rFonts w:ascii="Verdana" w:hAnsi="Verdana" w:eastAsia="Verdana" w:cs="Verdana"/>
          <w:color w:val="000000" w:themeColor="text1"/>
          <w:sz w:val="24"/>
          <w:szCs w:val="24"/>
          <w:lang w:val="en-AU"/>
        </w:rPr>
        <w:t xml:space="preserve"> has coincided with decline in the ranking of Australia's educational standards compared with our international peers. Australia cannot afford to squander the human capital in current or coming generations of children by skimping on access to or adequacy of standards in education.</w:t>
      </w:r>
    </w:p>
    <w:p w:rsidR="002724D9" w:rsidP="5109982B" w:rsidRDefault="002724D9" w14:paraId="64D3D881" w14:textId="3299A823">
      <w:pPr>
        <w:spacing w:after="120"/>
        <w:rPr>
          <w:rFonts w:ascii="Verdana" w:hAnsi="Verdana" w:eastAsia="Verdana" w:cs="Verdana"/>
          <w:color w:val="000000" w:themeColor="text1"/>
          <w:sz w:val="24"/>
          <w:szCs w:val="24"/>
        </w:rPr>
      </w:pPr>
    </w:p>
    <w:p w:rsidR="002724D9" w:rsidP="5109982B" w:rsidRDefault="5109982B" w14:paraId="75C3F53E" w14:textId="3DA094D3">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Just as there are deficiencies in early education, the federal government's expectation that  tertiary education can be treated as a  source of revenue instead of being an essential investment in Australia's future is ludicrous. The fact that Australia has to rely upon immigrants to prop up the nation's demand for qualified professionals such as medical doctors is a national disgrace. Social mobility through education ought to be a source of celebration. Due to the financial burden entailed, currently whether a child receives  access to a good education or not is most likely reflection of their level of privilege.</w:t>
      </w:r>
    </w:p>
    <w:p w:rsidR="002724D9" w:rsidP="5109982B" w:rsidRDefault="002724D9" w14:paraId="16335D24" w14:textId="73E1A3F9">
      <w:pPr>
        <w:spacing w:after="120"/>
        <w:rPr>
          <w:rFonts w:ascii="Verdana" w:hAnsi="Verdana" w:eastAsia="Verdana" w:cs="Verdana"/>
          <w:color w:val="000000" w:themeColor="text1"/>
          <w:sz w:val="24"/>
          <w:szCs w:val="24"/>
        </w:rPr>
      </w:pPr>
    </w:p>
    <w:p w:rsidR="002724D9" w:rsidP="5109982B" w:rsidRDefault="5109982B" w14:paraId="3DCE7979" w14:textId="475C5212">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Inclusiveness for the disabled is a national project that requires vision and top down leadership, just as is the case for women's rights and an effective response to the scourge of domestic violence.</w:t>
      </w:r>
    </w:p>
    <w:p w:rsidR="002724D9" w:rsidP="5109982B" w:rsidRDefault="002724D9" w14:paraId="4EEC2927" w14:textId="1D8B1253">
      <w:pPr>
        <w:spacing w:after="120"/>
        <w:rPr>
          <w:rFonts w:ascii="Verdana" w:hAnsi="Verdana" w:eastAsia="Verdana" w:cs="Verdana"/>
          <w:color w:val="000000" w:themeColor="text1"/>
          <w:sz w:val="24"/>
          <w:szCs w:val="24"/>
        </w:rPr>
      </w:pPr>
    </w:p>
    <w:p w:rsidR="002724D9" w:rsidP="5109982B" w:rsidRDefault="5109982B" w14:paraId="1140FEA6" w14:textId="000A7FB6">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Present demands upon the NDIS are a manifestation of lack of commitment and vision in the past. Effective programs and resourcing at a community level are  required from  birth through adolescence and into adulthood to prevent adverse childhood experiences wreaking havoc upon people's capacity to work or live independently as adults.</w:t>
      </w:r>
    </w:p>
    <w:p w:rsidR="002724D9" w:rsidP="5109982B" w:rsidRDefault="002724D9" w14:paraId="2CD63D37" w14:textId="2E0D2E67">
      <w:pPr>
        <w:spacing w:after="120"/>
        <w:rPr>
          <w:rFonts w:ascii="Verdana" w:hAnsi="Verdana" w:eastAsia="Verdana" w:cs="Verdana"/>
          <w:color w:val="000000" w:themeColor="text1"/>
          <w:sz w:val="24"/>
          <w:szCs w:val="24"/>
        </w:rPr>
      </w:pPr>
    </w:p>
    <w:p w:rsidR="002724D9" w:rsidP="5109982B" w:rsidRDefault="5109982B" w14:paraId="61B96D55" w14:textId="19C60A70">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Despite being a wealthy nation, many Australians do not have a living wage and millions have little prospect of ever becoming financially secure. We are now experiencing the social consequences of  over-concentration of wealth in the hands of the few in Australia. We must ask whether we wish to emulate the US where fractures in society are widening.</w:t>
      </w:r>
    </w:p>
    <w:p w:rsidR="002724D9" w:rsidP="5109982B" w:rsidRDefault="002724D9" w14:paraId="70BA1F4D" w14:textId="70B9858F">
      <w:pPr>
        <w:spacing w:after="120"/>
        <w:rPr>
          <w:rFonts w:ascii="Verdana" w:hAnsi="Verdana" w:eastAsia="Verdana" w:cs="Verdana"/>
          <w:color w:val="000000" w:themeColor="text1"/>
          <w:sz w:val="24"/>
          <w:szCs w:val="24"/>
        </w:rPr>
      </w:pPr>
    </w:p>
    <w:p w:rsidR="002724D9" w:rsidP="5109982B" w:rsidRDefault="5109982B" w14:paraId="738D393F" w14:textId="2A16CD87">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Chasing the mental health consequences of financial insecurity and disenfranchisement from the community at large will continue to be frustrating and immensely inefficient unless present trends can be reversed. While corporations and governments chase productivity improvements by shaving wages and conditions, there is a widening gap between who are scarcely able to get by and those who have “got it made”.</w:t>
      </w:r>
    </w:p>
    <w:p w:rsidR="002724D9" w:rsidP="5109982B" w:rsidRDefault="002724D9" w14:paraId="7B2E890D" w14:textId="58B9E504">
      <w:pPr>
        <w:spacing w:after="120"/>
        <w:rPr>
          <w:rFonts w:ascii="Verdana" w:hAnsi="Verdana" w:eastAsia="Verdana" w:cs="Verdana"/>
          <w:color w:val="000000" w:themeColor="text1"/>
          <w:sz w:val="24"/>
          <w:szCs w:val="24"/>
        </w:rPr>
      </w:pPr>
    </w:p>
    <w:p w:rsidR="002724D9" w:rsidP="5109982B" w:rsidRDefault="5109982B" w14:paraId="4075B760" w14:textId="62DA6B21">
      <w:pPr>
        <w:spacing w:after="120"/>
        <w:rPr>
          <w:rFonts w:ascii="Times New Roman" w:hAnsi="Times New Roman" w:eastAsia="Times New Roman" w:cs="Times New Roman"/>
          <w:color w:val="000000" w:themeColor="text1"/>
          <w:sz w:val="24"/>
          <w:szCs w:val="24"/>
        </w:rPr>
      </w:pPr>
      <w:r w:rsidRPr="5109982B">
        <w:rPr>
          <w:rFonts w:ascii="Verdana" w:hAnsi="Verdana" w:eastAsia="Verdana" w:cs="Verdana"/>
          <w:color w:val="000000" w:themeColor="text1"/>
          <w:sz w:val="24"/>
          <w:szCs w:val="24"/>
          <w:lang w:val="en-AU"/>
        </w:rPr>
        <w:t>Corporatising disability care ensures that there will be a culture of competition between providers. Striving for efficiency through competition is devastating if the end result lacks effectiveness.  The marketplace services requires oversight and regulation to prevent rorting. Governments cannot abrogate their responsibilities in this sphere. The way in which services are delivered to the aged care sector is so fraught with problems that systemic change is required.</w:t>
      </w:r>
      <w:r w:rsidRPr="5109982B">
        <w:rPr>
          <w:rFonts w:ascii="Verdana" w:hAnsi="Verdana" w:eastAsia="Verdana" w:cs="Verdana"/>
          <w:color w:val="000000" w:themeColor="text1"/>
          <w:sz w:val="24"/>
          <w:szCs w:val="24"/>
          <w:vertAlign w:val="superscript"/>
          <w:lang w:val="en-AU"/>
        </w:rPr>
        <w:t>2</w:t>
      </w:r>
    </w:p>
    <w:p w:rsidR="002724D9" w:rsidP="5109982B" w:rsidRDefault="002724D9" w14:paraId="63C8CEC8" w14:textId="60E367B5">
      <w:pPr>
        <w:spacing w:after="120"/>
        <w:rPr>
          <w:rFonts w:ascii="Verdana" w:hAnsi="Verdana" w:eastAsia="Verdana" w:cs="Verdana"/>
          <w:color w:val="000000" w:themeColor="text1"/>
          <w:sz w:val="24"/>
          <w:szCs w:val="24"/>
        </w:rPr>
      </w:pPr>
    </w:p>
    <w:p w:rsidR="002724D9" w:rsidP="5109982B" w:rsidRDefault="5109982B" w14:paraId="486ECDD7" w14:textId="36E76B6A">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 xml:space="preserve">Governments have sold off most of the country's income producing assets, and are no longer in the business of  directly delivering services, such as power, water, telecommunications. The federal government's capacity to deliver nationwide programs are now showing the effects of decades of attrition of administrative capacity. Lack of a viable national water policy, piecemeal responses to drought and management of Australia's biosphere, including the devastating extinction event now ravaging Australia </w:t>
      </w:r>
      <w:r w:rsidRPr="5109982B">
        <w:rPr>
          <w:rFonts w:ascii="Verdana" w:hAnsi="Verdana" w:eastAsia="Verdana" w:cs="Verdana"/>
          <w:color w:val="000000" w:themeColor="text1"/>
          <w:sz w:val="24"/>
          <w:szCs w:val="24"/>
          <w:vertAlign w:val="superscript"/>
          <w:lang w:val="en-AU"/>
        </w:rPr>
        <w:t>3</w:t>
      </w:r>
      <w:r w:rsidRPr="5109982B">
        <w:rPr>
          <w:rFonts w:ascii="Verdana" w:hAnsi="Verdana" w:eastAsia="Verdana" w:cs="Verdana"/>
          <w:color w:val="000000" w:themeColor="text1"/>
          <w:sz w:val="24"/>
          <w:szCs w:val="24"/>
          <w:lang w:val="en-AU"/>
        </w:rPr>
        <w:t xml:space="preserve"> are examples of major challenges  that appear to be beyond the capability of the federal government to effectively respond. Disparate responses to the COVID pandemic between states and the preparedness of the federal government to shy away from direct control of quarantine measures illustrate limitations of our federal system. This is a quandary for the federal government. Australia is not lacking in competent analyses of the many problems affecting our health and welfare.</w:t>
      </w:r>
      <w:r w:rsidRPr="5109982B">
        <w:rPr>
          <w:rFonts w:ascii="Verdana" w:hAnsi="Verdana" w:eastAsia="Verdana" w:cs="Verdana"/>
          <w:color w:val="000000" w:themeColor="text1"/>
          <w:sz w:val="24"/>
          <w:szCs w:val="24"/>
          <w:vertAlign w:val="superscript"/>
          <w:lang w:val="en-AU"/>
        </w:rPr>
        <w:t>45</w:t>
      </w:r>
      <w:r w:rsidRPr="5109982B">
        <w:rPr>
          <w:rFonts w:ascii="Verdana" w:hAnsi="Verdana" w:eastAsia="Verdana" w:cs="Verdana"/>
          <w:color w:val="000000" w:themeColor="text1"/>
          <w:sz w:val="24"/>
          <w:szCs w:val="24"/>
          <w:lang w:val="en-AU"/>
        </w:rPr>
        <w:t xml:space="preserve"> Taking up and implementing recommendations can languish often for decades.</w:t>
      </w:r>
    </w:p>
    <w:p w:rsidR="002724D9" w:rsidP="5109982B" w:rsidRDefault="002724D9" w14:paraId="69CD3E67" w14:textId="2E9C2C30">
      <w:pPr>
        <w:spacing w:after="120"/>
        <w:rPr>
          <w:rFonts w:ascii="Verdana" w:hAnsi="Verdana" w:eastAsia="Verdana" w:cs="Verdana"/>
          <w:color w:val="000000" w:themeColor="text1"/>
          <w:sz w:val="24"/>
          <w:szCs w:val="24"/>
        </w:rPr>
      </w:pPr>
    </w:p>
    <w:p w:rsidR="002724D9" w:rsidP="5109982B" w:rsidRDefault="5109982B" w14:paraId="38BAD821" w14:textId="5900E873">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Systems for service delivery that are not directly controlled by government may not be amenable to the oversight necessary for them to be effective. The drive toward small government and the practice of outsourcing control of  services that are crucial to Australia's public good into the hands of  for-profit enterprise has unravelled in the aged care sector and is not equitable for early childhood development.  In the quest for lower costs  or greater efficiency Australia is now paying huge costs for lack of effectiveness, such that any savings are being absorbed by government while costs are being pushed onto the community.  Poor or non-existent of services in the regions and reliance upon a marketplace governed by private enterprise to resolve major policy challenges that impact the welfare and safety of Australians is not effective.</w:t>
      </w:r>
    </w:p>
    <w:p w:rsidR="002724D9" w:rsidP="5109982B" w:rsidRDefault="5109982B" w14:paraId="164F6DCE" w14:textId="085AB600">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Collapse of the Murray Darling Basin plan is a glaring example</w:t>
      </w:r>
      <w:r w:rsidRPr="5109982B">
        <w:rPr>
          <w:rFonts w:ascii="Verdana" w:hAnsi="Verdana" w:eastAsia="Verdana" w:cs="Verdana"/>
          <w:color w:val="000000" w:themeColor="text1"/>
          <w:sz w:val="24"/>
          <w:szCs w:val="24"/>
          <w:vertAlign w:val="superscript"/>
          <w:lang w:val="en-AU"/>
        </w:rPr>
        <w:t>6</w:t>
      </w:r>
      <w:r w:rsidRPr="5109982B">
        <w:rPr>
          <w:rFonts w:ascii="Verdana" w:hAnsi="Verdana" w:eastAsia="Verdana" w:cs="Verdana"/>
          <w:color w:val="000000" w:themeColor="text1"/>
          <w:sz w:val="24"/>
          <w:szCs w:val="24"/>
          <w:lang w:val="en-AU"/>
        </w:rPr>
        <w:t xml:space="preserve"> of a federal plan not being executed properly. Set against preferential treatment of people in selected electorates for electioneering purposes, such failures gravely undermine confidence in principles of egalitarianism which Australians would consider to be a defining feature of its national character.</w:t>
      </w:r>
    </w:p>
    <w:p w:rsidR="002724D9" w:rsidP="5109982B" w:rsidRDefault="002724D9" w14:paraId="2F992A67" w14:textId="01C9B7A2">
      <w:pPr>
        <w:spacing w:after="120"/>
        <w:rPr>
          <w:rFonts w:ascii="Verdana" w:hAnsi="Verdana" w:eastAsia="Verdana" w:cs="Verdana"/>
          <w:color w:val="000000" w:themeColor="text1"/>
          <w:sz w:val="24"/>
          <w:szCs w:val="24"/>
        </w:rPr>
      </w:pPr>
    </w:p>
    <w:p w:rsidR="002724D9" w:rsidP="5109982B" w:rsidRDefault="5109982B" w14:paraId="11F64424" w14:textId="2F829D4C">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Potentially Australia should be prepared to draw upon upon the cultural values that underpin greater inclusiveness in other countries. Countries with smaller disparities between the living standards of the wealthiest and least well off have better health outcomes overall, productivity and life satisfaction  than Australia. Not all countries have abandoned direct involvement of government in execution of national programs.</w:t>
      </w:r>
    </w:p>
    <w:p w:rsidR="002724D9" w:rsidP="5109982B" w:rsidRDefault="002724D9" w14:paraId="2ADD606D" w14:textId="587227EC">
      <w:pPr>
        <w:spacing w:after="120"/>
        <w:rPr>
          <w:rFonts w:ascii="Verdana" w:hAnsi="Verdana" w:eastAsia="Verdana" w:cs="Verdana"/>
          <w:color w:val="000000" w:themeColor="text1"/>
          <w:sz w:val="24"/>
          <w:szCs w:val="24"/>
        </w:rPr>
      </w:pPr>
    </w:p>
    <w:p w:rsidR="002724D9" w:rsidP="5109982B" w:rsidRDefault="5109982B" w14:paraId="11AFD5D0" w14:textId="15AC77C5">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Disability services draw upon skills and knowledge developed within teaching institutions. Amplifying the capacity of tertiary institutions to provide a direct pathway to employment in the public sector would afford greater control over service delivery, a platform for professional development and continuing education.</w:t>
      </w:r>
    </w:p>
    <w:p w:rsidR="002724D9" w:rsidP="5109982B" w:rsidRDefault="002724D9" w14:paraId="629E3006" w14:textId="51728439">
      <w:pPr>
        <w:spacing w:after="120"/>
        <w:rPr>
          <w:rFonts w:ascii="Verdana" w:hAnsi="Verdana" w:eastAsia="Verdana" w:cs="Verdana"/>
          <w:color w:val="000000" w:themeColor="text1"/>
          <w:sz w:val="24"/>
          <w:szCs w:val="24"/>
        </w:rPr>
      </w:pPr>
    </w:p>
    <w:p w:rsidR="002724D9" w:rsidP="5109982B" w:rsidRDefault="5109982B" w14:paraId="626FEE7B" w14:textId="261764C6">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Large scale subsidies to disability training and delivery of services in the public sector would alleviate the shortage and demand for highly trained professionals in the private sector. The public sector ought to be the source of information that must be disseminated into the community to generate the cultural changes that are required to advance the interests of disabled citizens. Public involvement in programs to alleviate discrimination against people with disability requires not only legislative powers of government, but also contribution 'at the coal face' to integrate its administrative role in the process of meeting actual need.</w:t>
      </w:r>
    </w:p>
    <w:p w:rsidR="002724D9" w:rsidP="5109982B" w:rsidRDefault="002724D9" w14:paraId="6FB2C887" w14:textId="30F1818F">
      <w:pPr>
        <w:spacing w:after="120"/>
        <w:rPr>
          <w:rFonts w:ascii="Verdana" w:hAnsi="Verdana" w:eastAsia="Verdana" w:cs="Verdana"/>
          <w:color w:val="000000" w:themeColor="text1"/>
          <w:sz w:val="24"/>
          <w:szCs w:val="24"/>
        </w:rPr>
      </w:pPr>
    </w:p>
    <w:p w:rsidR="002724D9" w:rsidP="5109982B" w:rsidRDefault="5109982B" w14:paraId="31C70CFA" w14:textId="6F1E3CF4">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The foregoing is written from the perspective of a father caring for a son for whom services ceased to be available once he turned 18. Australia does not have centres of excellence for the care of adults with permanent intellectual, sensory and perceptual disabilities. Psychosocial support is expensive. There are no psychiatrists in Australia that specialise in intellectual disability. Public disability services have virtually disappeared and mental health services are overwhelmed dealing with crises, so finding the optimal way to help my son flourish is an ongoing challenge.</w:t>
      </w:r>
    </w:p>
    <w:p w:rsidR="002724D9" w:rsidP="5109982B" w:rsidRDefault="002724D9" w14:paraId="61384A21" w14:textId="45043936">
      <w:pPr>
        <w:spacing w:after="120"/>
        <w:rPr>
          <w:rFonts w:ascii="Verdana" w:hAnsi="Verdana" w:eastAsia="Verdana" w:cs="Verdana"/>
          <w:color w:val="000000" w:themeColor="text1"/>
          <w:sz w:val="24"/>
          <w:szCs w:val="24"/>
        </w:rPr>
      </w:pPr>
    </w:p>
    <w:p w:rsidR="002724D9" w:rsidP="5109982B" w:rsidRDefault="5109982B" w14:paraId="38E4B57A" w14:textId="28025804">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My views have been influenced by the work of authors such as Martin Seligman and Michael Marmot on systemic influences upon health, Stuart Shankar on the role of self regulation and Bessel Van der Kolk on  the whole of body effect of trauma. There is a growing body of literature on the effect of loneliness upon general and mental health, which is particularly pertinent  and of increasing value in responding to effects upon mental health during the current pandemic.</w:t>
      </w:r>
    </w:p>
    <w:p w:rsidR="002724D9" w:rsidP="5109982B" w:rsidRDefault="002724D9" w14:paraId="06F2D8EE" w14:textId="151D51F1">
      <w:pPr>
        <w:spacing w:after="120"/>
        <w:rPr>
          <w:rFonts w:ascii="Verdana" w:hAnsi="Verdana" w:eastAsia="Verdana" w:cs="Verdana"/>
          <w:color w:val="000000" w:themeColor="text1"/>
          <w:sz w:val="24"/>
          <w:szCs w:val="24"/>
        </w:rPr>
      </w:pPr>
    </w:p>
    <w:p w:rsidR="002724D9" w:rsidP="5109982B" w:rsidRDefault="5109982B" w14:paraId="1889F9E0" w14:textId="0F654C65">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I believe that it is crucial that we are alert to the causes of ailments and strive to remedy those causes and not pretend that  treating the symptoms will provide lasting relief.  In particular, mental anguish arising from being shut out or cut off from nurturing relationships or losing the capacity to reason because reality is too hostile to contemplate are responses that require attention to their causes not symptoms to be quashed.</w:t>
      </w:r>
    </w:p>
    <w:p w:rsidR="002724D9" w:rsidP="5109982B" w:rsidRDefault="002724D9" w14:paraId="11CDC791" w14:textId="42AB2EB2">
      <w:pPr>
        <w:spacing w:after="120"/>
        <w:rPr>
          <w:rFonts w:ascii="Verdana" w:hAnsi="Verdana" w:eastAsia="Verdana" w:cs="Verdana"/>
          <w:color w:val="000000" w:themeColor="text1"/>
          <w:sz w:val="24"/>
          <w:szCs w:val="24"/>
        </w:rPr>
      </w:pPr>
    </w:p>
    <w:p w:rsidR="002724D9" w:rsidP="5109982B" w:rsidRDefault="5109982B" w14:paraId="3359206C" w14:textId="6CBEAC43">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Human connection is essential to health and requires support not only to individuals but from within the community in which people reside. In parallel with direct support for the disabled, education and active measures to integrate disabled people into workplaces are vital to the future well-being of the community</w:t>
      </w:r>
    </w:p>
    <w:p w:rsidR="002724D9" w:rsidP="5109982B" w:rsidRDefault="002724D9" w14:paraId="41057590" w14:textId="72732EB8">
      <w:pPr>
        <w:spacing w:after="120"/>
        <w:rPr>
          <w:rFonts w:ascii="Verdana" w:hAnsi="Verdana" w:eastAsia="Verdana" w:cs="Verdana"/>
          <w:color w:val="000000" w:themeColor="text1"/>
          <w:sz w:val="24"/>
          <w:szCs w:val="24"/>
        </w:rPr>
      </w:pPr>
    </w:p>
    <w:p w:rsidR="002724D9" w:rsidP="5109982B" w:rsidRDefault="5109982B" w14:paraId="46079CFB" w14:textId="26859B71">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The NDIS is providing welcome funding to our family member and has enabled receipt of services that would have been previously out of reach. For this as a family we are very grateful. Having flexibility as to where funding could be applied would enhance its value.</w:t>
      </w:r>
    </w:p>
    <w:p w:rsidR="002724D9" w:rsidP="5109982B" w:rsidRDefault="002724D9" w14:paraId="285A75F9" w14:textId="3D9EEFD3">
      <w:pPr>
        <w:spacing w:after="120"/>
        <w:rPr>
          <w:rFonts w:ascii="Verdana" w:hAnsi="Verdana" w:eastAsia="Verdana" w:cs="Verdana"/>
          <w:color w:val="000000" w:themeColor="text1"/>
          <w:sz w:val="24"/>
          <w:szCs w:val="24"/>
        </w:rPr>
      </w:pPr>
    </w:p>
    <w:p w:rsidR="002724D9" w:rsidP="5109982B" w:rsidRDefault="5109982B" w14:paraId="75553736" w14:textId="29458A65">
      <w:pPr>
        <w:spacing w:after="120"/>
        <w:rPr>
          <w:rFonts w:ascii="Verdana" w:hAnsi="Verdana" w:eastAsia="Verdana" w:cs="Verdana"/>
          <w:color w:val="000000" w:themeColor="text1"/>
          <w:sz w:val="24"/>
          <w:szCs w:val="24"/>
        </w:rPr>
      </w:pPr>
      <w:r w:rsidRPr="5109982B">
        <w:rPr>
          <w:rFonts w:ascii="Verdana" w:hAnsi="Verdana" w:eastAsia="Verdana" w:cs="Verdana"/>
          <w:color w:val="000000" w:themeColor="text1"/>
          <w:sz w:val="24"/>
          <w:szCs w:val="24"/>
          <w:lang w:val="en-AU"/>
        </w:rPr>
        <w:t>Thank you for your work</w:t>
      </w:r>
    </w:p>
    <w:p w:rsidR="002724D9" w:rsidP="5109982B" w:rsidRDefault="002724D9" w14:paraId="5E5787A5" w14:textId="7D0669D3"/>
    <w:sectPr w:rsidR="002724D9">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61AF"/>
    <w:multiLevelType w:val="hybridMultilevel"/>
    <w:tmpl w:val="FFFFFFFF"/>
    <w:lvl w:ilvl="0" w:tplc="62360860">
      <w:start w:val="1"/>
      <w:numFmt w:val="bullet"/>
      <w:lvlText w:val="•"/>
      <w:lvlJc w:val="left"/>
      <w:pPr>
        <w:ind w:left="720" w:hanging="360"/>
      </w:pPr>
      <w:rPr>
        <w:rFonts w:hint="default" w:ascii="OpenSymbol" w:hAnsi="OpenSymbol"/>
      </w:rPr>
    </w:lvl>
    <w:lvl w:ilvl="1" w:tplc="C0CCCC9E">
      <w:start w:val="1"/>
      <w:numFmt w:val="bullet"/>
      <w:lvlText w:val="o"/>
      <w:lvlJc w:val="left"/>
      <w:pPr>
        <w:ind w:left="1440" w:hanging="360"/>
      </w:pPr>
      <w:rPr>
        <w:rFonts w:hint="default" w:ascii="Courier New" w:hAnsi="Courier New"/>
      </w:rPr>
    </w:lvl>
    <w:lvl w:ilvl="2" w:tplc="45F2A4F4">
      <w:start w:val="1"/>
      <w:numFmt w:val="bullet"/>
      <w:lvlText w:val=""/>
      <w:lvlJc w:val="left"/>
      <w:pPr>
        <w:ind w:left="2160" w:hanging="360"/>
      </w:pPr>
      <w:rPr>
        <w:rFonts w:hint="default" w:ascii="Wingdings" w:hAnsi="Wingdings"/>
      </w:rPr>
    </w:lvl>
    <w:lvl w:ilvl="3" w:tplc="A5E277BC">
      <w:start w:val="1"/>
      <w:numFmt w:val="bullet"/>
      <w:lvlText w:val=""/>
      <w:lvlJc w:val="left"/>
      <w:pPr>
        <w:ind w:left="2880" w:hanging="360"/>
      </w:pPr>
      <w:rPr>
        <w:rFonts w:hint="default" w:ascii="Symbol" w:hAnsi="Symbol"/>
      </w:rPr>
    </w:lvl>
    <w:lvl w:ilvl="4" w:tplc="09D47660">
      <w:start w:val="1"/>
      <w:numFmt w:val="bullet"/>
      <w:lvlText w:val="o"/>
      <w:lvlJc w:val="left"/>
      <w:pPr>
        <w:ind w:left="3600" w:hanging="360"/>
      </w:pPr>
      <w:rPr>
        <w:rFonts w:hint="default" w:ascii="Courier New" w:hAnsi="Courier New"/>
      </w:rPr>
    </w:lvl>
    <w:lvl w:ilvl="5" w:tplc="C7C683EE">
      <w:start w:val="1"/>
      <w:numFmt w:val="bullet"/>
      <w:lvlText w:val=""/>
      <w:lvlJc w:val="left"/>
      <w:pPr>
        <w:ind w:left="4320" w:hanging="360"/>
      </w:pPr>
      <w:rPr>
        <w:rFonts w:hint="default" w:ascii="Wingdings" w:hAnsi="Wingdings"/>
      </w:rPr>
    </w:lvl>
    <w:lvl w:ilvl="6" w:tplc="BDB66B54">
      <w:start w:val="1"/>
      <w:numFmt w:val="bullet"/>
      <w:lvlText w:val=""/>
      <w:lvlJc w:val="left"/>
      <w:pPr>
        <w:ind w:left="5040" w:hanging="360"/>
      </w:pPr>
      <w:rPr>
        <w:rFonts w:hint="default" w:ascii="Symbol" w:hAnsi="Symbol"/>
      </w:rPr>
    </w:lvl>
    <w:lvl w:ilvl="7" w:tplc="D7A0B7D6">
      <w:start w:val="1"/>
      <w:numFmt w:val="bullet"/>
      <w:lvlText w:val="o"/>
      <w:lvlJc w:val="left"/>
      <w:pPr>
        <w:ind w:left="5760" w:hanging="360"/>
      </w:pPr>
      <w:rPr>
        <w:rFonts w:hint="default" w:ascii="Courier New" w:hAnsi="Courier New"/>
      </w:rPr>
    </w:lvl>
    <w:lvl w:ilvl="8" w:tplc="4080D488">
      <w:start w:val="1"/>
      <w:numFmt w:val="bullet"/>
      <w:lvlText w:val=""/>
      <w:lvlJc w:val="left"/>
      <w:pPr>
        <w:ind w:left="6480" w:hanging="360"/>
      </w:pPr>
      <w:rPr>
        <w:rFonts w:hint="default" w:ascii="Wingdings" w:hAnsi="Wingdings"/>
      </w:rPr>
    </w:lvl>
  </w:abstractNum>
  <w:abstractNum w:abstractNumId="1" w15:restartNumberingAfterBreak="0">
    <w:nsid w:val="65C51581"/>
    <w:multiLevelType w:val="hybridMultilevel"/>
    <w:tmpl w:val="FFFFFFFF"/>
    <w:lvl w:ilvl="0" w:tplc="74B2310A">
      <w:start w:val="1"/>
      <w:numFmt w:val="bullet"/>
      <w:lvlText w:val="•"/>
      <w:lvlJc w:val="left"/>
      <w:pPr>
        <w:ind w:left="720" w:hanging="360"/>
      </w:pPr>
      <w:rPr>
        <w:rFonts w:hint="default" w:ascii="OpenSymbol" w:hAnsi="OpenSymbol"/>
      </w:rPr>
    </w:lvl>
    <w:lvl w:ilvl="1" w:tplc="D1B6BDA4">
      <w:start w:val="1"/>
      <w:numFmt w:val="bullet"/>
      <w:lvlText w:val="o"/>
      <w:lvlJc w:val="left"/>
      <w:pPr>
        <w:ind w:left="1440" w:hanging="360"/>
      </w:pPr>
      <w:rPr>
        <w:rFonts w:hint="default" w:ascii="Courier New" w:hAnsi="Courier New"/>
      </w:rPr>
    </w:lvl>
    <w:lvl w:ilvl="2" w:tplc="DC5092B4">
      <w:start w:val="1"/>
      <w:numFmt w:val="bullet"/>
      <w:lvlText w:val=""/>
      <w:lvlJc w:val="left"/>
      <w:pPr>
        <w:ind w:left="2160" w:hanging="360"/>
      </w:pPr>
      <w:rPr>
        <w:rFonts w:hint="default" w:ascii="Wingdings" w:hAnsi="Wingdings"/>
      </w:rPr>
    </w:lvl>
    <w:lvl w:ilvl="3" w:tplc="9F9A427E">
      <w:start w:val="1"/>
      <w:numFmt w:val="bullet"/>
      <w:lvlText w:val=""/>
      <w:lvlJc w:val="left"/>
      <w:pPr>
        <w:ind w:left="2880" w:hanging="360"/>
      </w:pPr>
      <w:rPr>
        <w:rFonts w:hint="default" w:ascii="Symbol" w:hAnsi="Symbol"/>
      </w:rPr>
    </w:lvl>
    <w:lvl w:ilvl="4" w:tplc="43E04AE6">
      <w:start w:val="1"/>
      <w:numFmt w:val="bullet"/>
      <w:lvlText w:val="o"/>
      <w:lvlJc w:val="left"/>
      <w:pPr>
        <w:ind w:left="3600" w:hanging="360"/>
      </w:pPr>
      <w:rPr>
        <w:rFonts w:hint="default" w:ascii="Courier New" w:hAnsi="Courier New"/>
      </w:rPr>
    </w:lvl>
    <w:lvl w:ilvl="5" w:tplc="DBDE6AB8">
      <w:start w:val="1"/>
      <w:numFmt w:val="bullet"/>
      <w:lvlText w:val=""/>
      <w:lvlJc w:val="left"/>
      <w:pPr>
        <w:ind w:left="4320" w:hanging="360"/>
      </w:pPr>
      <w:rPr>
        <w:rFonts w:hint="default" w:ascii="Wingdings" w:hAnsi="Wingdings"/>
      </w:rPr>
    </w:lvl>
    <w:lvl w:ilvl="6" w:tplc="8BEEBD5A">
      <w:start w:val="1"/>
      <w:numFmt w:val="bullet"/>
      <w:lvlText w:val=""/>
      <w:lvlJc w:val="left"/>
      <w:pPr>
        <w:ind w:left="5040" w:hanging="360"/>
      </w:pPr>
      <w:rPr>
        <w:rFonts w:hint="default" w:ascii="Symbol" w:hAnsi="Symbol"/>
      </w:rPr>
    </w:lvl>
    <w:lvl w:ilvl="7" w:tplc="DC347532">
      <w:start w:val="1"/>
      <w:numFmt w:val="bullet"/>
      <w:lvlText w:val="o"/>
      <w:lvlJc w:val="left"/>
      <w:pPr>
        <w:ind w:left="5760" w:hanging="360"/>
      </w:pPr>
      <w:rPr>
        <w:rFonts w:hint="default" w:ascii="Courier New" w:hAnsi="Courier New"/>
      </w:rPr>
    </w:lvl>
    <w:lvl w:ilvl="8" w:tplc="75B28CE4">
      <w:start w:val="1"/>
      <w:numFmt w:val="bullet"/>
      <w:lvlText w:val=""/>
      <w:lvlJc w:val="left"/>
      <w:pPr>
        <w:ind w:left="6480" w:hanging="360"/>
      </w:pPr>
      <w:rPr>
        <w:rFonts w:hint="default" w:ascii="Wingdings" w:hAnsi="Wingdings"/>
      </w:rPr>
    </w:lvl>
  </w:abstractNum>
  <w:abstractNum w:abstractNumId="2" w15:restartNumberingAfterBreak="0">
    <w:nsid w:val="6C3E496E"/>
    <w:multiLevelType w:val="hybridMultilevel"/>
    <w:tmpl w:val="FFFFFFFF"/>
    <w:lvl w:ilvl="0" w:tplc="A5D693EC">
      <w:start w:val="1"/>
      <w:numFmt w:val="bullet"/>
      <w:lvlText w:val="•"/>
      <w:lvlJc w:val="left"/>
      <w:pPr>
        <w:ind w:left="720" w:hanging="360"/>
      </w:pPr>
      <w:rPr>
        <w:rFonts w:hint="default" w:ascii="OpenSymbol" w:hAnsi="OpenSymbol"/>
      </w:rPr>
    </w:lvl>
    <w:lvl w:ilvl="1" w:tplc="6BE6B628">
      <w:start w:val="1"/>
      <w:numFmt w:val="bullet"/>
      <w:lvlText w:val="o"/>
      <w:lvlJc w:val="left"/>
      <w:pPr>
        <w:ind w:left="1440" w:hanging="360"/>
      </w:pPr>
      <w:rPr>
        <w:rFonts w:hint="default" w:ascii="Courier New" w:hAnsi="Courier New"/>
      </w:rPr>
    </w:lvl>
    <w:lvl w:ilvl="2" w:tplc="B8460F0A">
      <w:start w:val="1"/>
      <w:numFmt w:val="bullet"/>
      <w:lvlText w:val=""/>
      <w:lvlJc w:val="left"/>
      <w:pPr>
        <w:ind w:left="2160" w:hanging="360"/>
      </w:pPr>
      <w:rPr>
        <w:rFonts w:hint="default" w:ascii="Wingdings" w:hAnsi="Wingdings"/>
      </w:rPr>
    </w:lvl>
    <w:lvl w:ilvl="3" w:tplc="4BAC76DC">
      <w:start w:val="1"/>
      <w:numFmt w:val="bullet"/>
      <w:lvlText w:val=""/>
      <w:lvlJc w:val="left"/>
      <w:pPr>
        <w:ind w:left="2880" w:hanging="360"/>
      </w:pPr>
      <w:rPr>
        <w:rFonts w:hint="default" w:ascii="Symbol" w:hAnsi="Symbol"/>
      </w:rPr>
    </w:lvl>
    <w:lvl w:ilvl="4" w:tplc="75C43B54">
      <w:start w:val="1"/>
      <w:numFmt w:val="bullet"/>
      <w:lvlText w:val="o"/>
      <w:lvlJc w:val="left"/>
      <w:pPr>
        <w:ind w:left="3600" w:hanging="360"/>
      </w:pPr>
      <w:rPr>
        <w:rFonts w:hint="default" w:ascii="Courier New" w:hAnsi="Courier New"/>
      </w:rPr>
    </w:lvl>
    <w:lvl w:ilvl="5" w:tplc="8338622E">
      <w:start w:val="1"/>
      <w:numFmt w:val="bullet"/>
      <w:lvlText w:val=""/>
      <w:lvlJc w:val="left"/>
      <w:pPr>
        <w:ind w:left="4320" w:hanging="360"/>
      </w:pPr>
      <w:rPr>
        <w:rFonts w:hint="default" w:ascii="Wingdings" w:hAnsi="Wingdings"/>
      </w:rPr>
    </w:lvl>
    <w:lvl w:ilvl="6" w:tplc="030430F4">
      <w:start w:val="1"/>
      <w:numFmt w:val="bullet"/>
      <w:lvlText w:val=""/>
      <w:lvlJc w:val="left"/>
      <w:pPr>
        <w:ind w:left="5040" w:hanging="360"/>
      </w:pPr>
      <w:rPr>
        <w:rFonts w:hint="default" w:ascii="Symbol" w:hAnsi="Symbol"/>
      </w:rPr>
    </w:lvl>
    <w:lvl w:ilvl="7" w:tplc="6E705AF0">
      <w:start w:val="1"/>
      <w:numFmt w:val="bullet"/>
      <w:lvlText w:val="o"/>
      <w:lvlJc w:val="left"/>
      <w:pPr>
        <w:ind w:left="5760" w:hanging="360"/>
      </w:pPr>
      <w:rPr>
        <w:rFonts w:hint="default" w:ascii="Courier New" w:hAnsi="Courier New"/>
      </w:rPr>
    </w:lvl>
    <w:lvl w:ilvl="8" w:tplc="04D47440">
      <w:start w:val="1"/>
      <w:numFmt w:val="bullet"/>
      <w:lvlText w:val=""/>
      <w:lvlJc w:val="left"/>
      <w:pPr>
        <w:ind w:left="6480" w:hanging="360"/>
      </w:pPr>
      <w:rPr>
        <w:rFonts w:hint="default" w:ascii="Wingdings" w:hAnsi="Wingdings"/>
      </w:rPr>
    </w:lvl>
  </w:abstractNum>
  <w:abstractNum w:abstractNumId="3" w15:restartNumberingAfterBreak="0">
    <w:nsid w:val="78F06FCD"/>
    <w:multiLevelType w:val="hybridMultilevel"/>
    <w:tmpl w:val="FFFFFFFF"/>
    <w:lvl w:ilvl="0" w:tplc="DB562F8A">
      <w:start w:val="1"/>
      <w:numFmt w:val="bullet"/>
      <w:lvlText w:val="•"/>
      <w:lvlJc w:val="left"/>
      <w:pPr>
        <w:ind w:left="720" w:hanging="360"/>
      </w:pPr>
      <w:rPr>
        <w:rFonts w:hint="default" w:ascii="OpenSymbol" w:hAnsi="OpenSymbol"/>
      </w:rPr>
    </w:lvl>
    <w:lvl w:ilvl="1" w:tplc="456A76BE">
      <w:start w:val="1"/>
      <w:numFmt w:val="bullet"/>
      <w:lvlText w:val="o"/>
      <w:lvlJc w:val="left"/>
      <w:pPr>
        <w:ind w:left="1440" w:hanging="360"/>
      </w:pPr>
      <w:rPr>
        <w:rFonts w:hint="default" w:ascii="Courier New" w:hAnsi="Courier New"/>
      </w:rPr>
    </w:lvl>
    <w:lvl w:ilvl="2" w:tplc="CDC210C2">
      <w:start w:val="1"/>
      <w:numFmt w:val="bullet"/>
      <w:lvlText w:val=""/>
      <w:lvlJc w:val="left"/>
      <w:pPr>
        <w:ind w:left="2160" w:hanging="360"/>
      </w:pPr>
      <w:rPr>
        <w:rFonts w:hint="default" w:ascii="Wingdings" w:hAnsi="Wingdings"/>
      </w:rPr>
    </w:lvl>
    <w:lvl w:ilvl="3" w:tplc="38FC6860">
      <w:start w:val="1"/>
      <w:numFmt w:val="bullet"/>
      <w:lvlText w:val=""/>
      <w:lvlJc w:val="left"/>
      <w:pPr>
        <w:ind w:left="2880" w:hanging="360"/>
      </w:pPr>
      <w:rPr>
        <w:rFonts w:hint="default" w:ascii="Symbol" w:hAnsi="Symbol"/>
      </w:rPr>
    </w:lvl>
    <w:lvl w:ilvl="4" w:tplc="BAF6E250">
      <w:start w:val="1"/>
      <w:numFmt w:val="bullet"/>
      <w:lvlText w:val="o"/>
      <w:lvlJc w:val="left"/>
      <w:pPr>
        <w:ind w:left="3600" w:hanging="360"/>
      </w:pPr>
      <w:rPr>
        <w:rFonts w:hint="default" w:ascii="Courier New" w:hAnsi="Courier New"/>
      </w:rPr>
    </w:lvl>
    <w:lvl w:ilvl="5" w:tplc="BEB4792A">
      <w:start w:val="1"/>
      <w:numFmt w:val="bullet"/>
      <w:lvlText w:val=""/>
      <w:lvlJc w:val="left"/>
      <w:pPr>
        <w:ind w:left="4320" w:hanging="360"/>
      </w:pPr>
      <w:rPr>
        <w:rFonts w:hint="default" w:ascii="Wingdings" w:hAnsi="Wingdings"/>
      </w:rPr>
    </w:lvl>
    <w:lvl w:ilvl="6" w:tplc="D27A3920">
      <w:start w:val="1"/>
      <w:numFmt w:val="bullet"/>
      <w:lvlText w:val=""/>
      <w:lvlJc w:val="left"/>
      <w:pPr>
        <w:ind w:left="5040" w:hanging="360"/>
      </w:pPr>
      <w:rPr>
        <w:rFonts w:hint="default" w:ascii="Symbol" w:hAnsi="Symbol"/>
      </w:rPr>
    </w:lvl>
    <w:lvl w:ilvl="7" w:tplc="02CE1748">
      <w:start w:val="1"/>
      <w:numFmt w:val="bullet"/>
      <w:lvlText w:val="o"/>
      <w:lvlJc w:val="left"/>
      <w:pPr>
        <w:ind w:left="5760" w:hanging="360"/>
      </w:pPr>
      <w:rPr>
        <w:rFonts w:hint="default" w:ascii="Courier New" w:hAnsi="Courier New"/>
      </w:rPr>
    </w:lvl>
    <w:lvl w:ilvl="8" w:tplc="6450BC48">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EEE331"/>
    <w:rsid w:val="002724D9"/>
    <w:rsid w:val="22EEE331"/>
    <w:rsid w:val="3671F785"/>
    <w:rsid w:val="510998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E331"/>
  <w15:chartTrackingRefBased/>
  <w15:docId w15:val="{9634AE13-3968-4DEB-87D5-FFD51F0C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默认段落字体"/>
    <w:uiPriority w:val="1"/>
    <w:semiHidden/>
    <w:unhideWhenUsed/>
  </w:style>
  <w:style w:type="table" w:styleId="TableNormal" w:default="1">
    <w:name w:val="Normal Table"/>
    <w:aliases w:val="普通表格"/>
    <w:uiPriority w:val="99"/>
    <w:semiHidden/>
    <w:unhideWhenUsed/>
    <w:tblPr>
      <w:tblInd w:w="0" w:type="dxa"/>
      <w:tblCellMar>
        <w:top w:w="0" w:type="dxa"/>
        <w:left w:w="108" w:type="dxa"/>
        <w:bottom w:w="0" w:type="dxa"/>
        <w:right w:w="108" w:type="dxa"/>
      </w:tblCellMar>
    </w:tblPr>
  </w:style>
  <w:style w:type="numbering" w:styleId="NoList" w:default="1">
    <w:name w:val="No List"/>
    <w:aliases w:val="无列表"/>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SharedWithUsers xmlns="80b916b1-c45b-4558-9934-c2f920e19c5f">
      <UserInfo>
        <DisplayName/>
        <AccountId xsi:nil="true"/>
        <AccountType/>
      </UserInfo>
    </SharedWithUsers>
    <Comments xmlns="e3f14bdf-cb12-4ada-b9ea-12209270a436" xsi:nil="true"/>
  </documentManagement>
</p:properties>
</file>

<file path=customXml/itemProps1.xml><?xml version="1.0" encoding="utf-8"?>
<ds:datastoreItem xmlns:ds="http://schemas.openxmlformats.org/officeDocument/2006/customXml" ds:itemID="{3D9D5571-F44B-4162-AC60-19C1CF0B808C}"/>
</file>

<file path=customXml/itemProps2.xml><?xml version="1.0" encoding="utf-8"?>
<ds:datastoreItem xmlns:ds="http://schemas.openxmlformats.org/officeDocument/2006/customXml" ds:itemID="{99CD2CDB-ACB8-4310-9949-66D1C1B64EE0}"/>
</file>

<file path=customXml/itemProps3.xml><?xml version="1.0" encoding="utf-8"?>
<ds:datastoreItem xmlns:ds="http://schemas.openxmlformats.org/officeDocument/2006/customXml" ds:itemID="{803DE521-821B-489D-A42C-FCD6AB227C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Doolan, Brianna</cp:lastModifiedBy>
  <cp:revision>3</cp:revision>
  <dcterms:created xsi:type="dcterms:W3CDTF">2022-04-07T05:29:00Z</dcterms:created>
  <dcterms:modified xsi:type="dcterms:W3CDTF">2022-04-07T05:30:27Z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2022-04-07T05:29:47Z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bf453ef3-b5c5-4024-b6dd-541fb2934819</vt:lpwstr>
  </property>
  <property fmtid="{D5CDD505-2E9C-101B-9397-08002B2CF9AE}" pid="8" name="MSIP_Label_2b83f8d7-e91f-4eee-a336-52a8061c0503_ContentBits">
    <vt:lpwstr>0</vt:lpwstr>
  </property>
  <property fmtid="{D5CDD505-2E9C-101B-9397-08002B2CF9AE}" pid="9" name="ContentTypeId">
    <vt:lpwstr>0x010100B532A8D0E94B0C4EB5C9CB8C21A8BC85</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