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AFDE" w14:textId="77777777" w:rsidR="00502934" w:rsidRPr="00502934" w:rsidRDefault="00502934" w:rsidP="00502934">
      <w:pPr>
        <w:spacing w:after="0"/>
        <w:ind w:left="555"/>
        <w:textAlignment w:val="baseline"/>
        <w:rPr>
          <w:rFonts w:eastAsia="Times New Roman"/>
          <w:b/>
          <w:bCs/>
          <w:color w:val="A5A5A5"/>
          <w:sz w:val="36"/>
          <w:szCs w:val="36"/>
        </w:rPr>
      </w:pPr>
      <w:r w:rsidRPr="00502934">
        <w:rPr>
          <w:rFonts w:eastAsia="Times New Roman"/>
          <w:b/>
          <w:bCs/>
          <w:sz w:val="36"/>
          <w:szCs w:val="36"/>
        </w:rPr>
        <w:t>Submission on the development of an NDIS Supported Decision Making Policy  </w:t>
      </w:r>
    </w:p>
    <w:p w14:paraId="411EF515" w14:textId="77777777" w:rsidR="00205C99" w:rsidRDefault="00205C99" w:rsidP="00205C99">
      <w:pPr>
        <w:widowControl w:val="0"/>
        <w:autoSpaceDE w:val="0"/>
        <w:autoSpaceDN w:val="0"/>
        <w:adjustRightInd w:val="0"/>
        <w:spacing w:line="200" w:lineRule="exact"/>
        <w:ind w:left="-426"/>
        <w:rPr>
          <w:color w:val="000000"/>
          <w:sz w:val="20"/>
          <w:szCs w:val="20"/>
        </w:rPr>
      </w:pPr>
      <w:r>
        <w:rPr>
          <w:noProof/>
        </w:rPr>
        <mc:AlternateContent>
          <mc:Choice Requires="wps">
            <w:drawing>
              <wp:inline distT="0" distB="0" distL="0" distR="0" wp14:anchorId="4D165457" wp14:editId="6CAE6FFC">
                <wp:extent cx="6607834" cy="45719"/>
                <wp:effectExtent l="0" t="0" r="0" b="0"/>
                <wp:docPr id="1"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7834" cy="45719"/>
                        </a:xfrm>
                        <a:custGeom>
                          <a:avLst/>
                          <a:gdLst>
                            <a:gd name="T0" fmla="*/ 0 w 8374"/>
                            <a:gd name="T1" fmla="*/ 0 h 20"/>
                            <a:gd name="T2" fmla="*/ 8373 w 8374"/>
                            <a:gd name="T3" fmla="*/ 0 h 20"/>
                          </a:gdLst>
                          <a:ahLst/>
                          <a:cxnLst>
                            <a:cxn ang="0">
                              <a:pos x="T0" y="T1"/>
                            </a:cxn>
                            <a:cxn ang="0">
                              <a:pos x="T2" y="T3"/>
                            </a:cxn>
                          </a:cxnLst>
                          <a:rect l="0" t="0" r="r" b="b"/>
                          <a:pathLst>
                            <a:path w="8374" h="20">
                              <a:moveTo>
                                <a:pt x="0" y="0"/>
                              </a:moveTo>
                              <a:lnTo>
                                <a:pt x="83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w:pict w14:anchorId="614653E4">
              <v:shape id="Freeform 116" style="width:520.3pt;height:3.6pt;visibility:visible;mso-wrap-style:square;mso-left-percent:-10001;mso-top-percent:-10001;mso-position-horizontal:absolute;mso-position-horizontal-relative:char;mso-position-vertical:absolute;mso-position-vertical-relative:line;mso-left-percent:-10001;mso-top-percent:-10001;v-text-anchor:top" coordsize="8374,20" o:spid="_x0000_s1026" filled="f" strokeweight=".58pt" path="m,l83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" w14:anchorId="5D4E8F42">
                <v:path arrowok="t" o:connecttype="custom" o:connectlocs="0,0;6607045,0" o:connectangles="0,0"/>
                <w10:anchorlock/>
              </v:shape>
            </w:pict>
          </mc:Fallback>
        </mc:AlternateContent>
      </w:r>
    </w:p>
    <w:p w14:paraId="5BACFD52" w14:textId="3A9EBCD0" w:rsidR="00205C99" w:rsidRDefault="00502934" w:rsidP="00205C99">
      <w:pPr>
        <w:pStyle w:val="OPAreportsubtitlecover"/>
      </w:pPr>
      <w:r>
        <w:t>September 2021</w:t>
      </w:r>
    </w:p>
    <w:tbl>
      <w:tblPr>
        <w:tblStyle w:val="TableGrid"/>
        <w:tblpPr w:leftFromText="180" w:rightFromText="180" w:vertAnchor="text" w:horzAnchor="page" w:tblpX="1577" w:tblpY="534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ffice of the Public Advocate details"/>
        <w:tblDescription w:val="Dr Colleen Pearce, Public Advocate. Dr John Chesterman, Deputy Public Advocate. 9603 9567. Office of the Public Advocate, Level 1, 204 Lygon St, Carlton, Victoria 3053. Tel 1300309337. www.publicadvocate.vic.gov.au"/>
      </w:tblPr>
      <w:tblGrid>
        <w:gridCol w:w="3964"/>
      </w:tblGrid>
      <w:tr w:rsidR="00205C99" w14:paraId="5EF7434D" w14:textId="77777777" w:rsidTr="00502934">
        <w:tc>
          <w:tcPr>
            <w:tcW w:w="3964" w:type="dxa"/>
          </w:tcPr>
          <w:p w14:paraId="7F486272" w14:textId="77777777" w:rsidR="00502934" w:rsidRDefault="00502934" w:rsidP="00502934">
            <w:pPr>
              <w:widowControl w:val="0"/>
              <w:autoSpaceDE w:val="0"/>
              <w:autoSpaceDN w:val="0"/>
              <w:adjustRightInd w:val="0"/>
              <w:spacing w:before="38"/>
              <w:ind w:right="-20"/>
              <w:rPr>
                <w:b/>
                <w:bCs/>
                <w:sz w:val="17"/>
                <w:szCs w:val="17"/>
              </w:rPr>
            </w:pPr>
          </w:p>
          <w:p w14:paraId="6C367CEF" w14:textId="77777777" w:rsidR="00502934" w:rsidRDefault="00502934" w:rsidP="00502934">
            <w:pPr>
              <w:widowControl w:val="0"/>
              <w:autoSpaceDE w:val="0"/>
              <w:autoSpaceDN w:val="0"/>
              <w:adjustRightInd w:val="0"/>
              <w:spacing w:before="38"/>
              <w:ind w:right="-20"/>
              <w:rPr>
                <w:b/>
                <w:bCs/>
                <w:sz w:val="17"/>
                <w:szCs w:val="17"/>
              </w:rPr>
            </w:pPr>
          </w:p>
          <w:p w14:paraId="6C90E4FA" w14:textId="77777777" w:rsidR="00502934" w:rsidRDefault="00502934" w:rsidP="00502934">
            <w:pPr>
              <w:widowControl w:val="0"/>
              <w:autoSpaceDE w:val="0"/>
              <w:autoSpaceDN w:val="0"/>
              <w:adjustRightInd w:val="0"/>
              <w:spacing w:before="38"/>
              <w:ind w:right="-20"/>
              <w:rPr>
                <w:b/>
                <w:bCs/>
                <w:sz w:val="17"/>
                <w:szCs w:val="17"/>
              </w:rPr>
            </w:pPr>
          </w:p>
          <w:p w14:paraId="72AD1DFA" w14:textId="77777777" w:rsidR="00502934" w:rsidRDefault="00205C99" w:rsidP="00502934">
            <w:pPr>
              <w:pStyle w:val="NoSpacing"/>
            </w:pPr>
            <w:r w:rsidRPr="004F5A37">
              <w:rPr>
                <w:b/>
                <w:bCs/>
                <w:sz w:val="17"/>
                <w:szCs w:val="17"/>
              </w:rPr>
              <w:br/>
            </w:r>
            <w:r w:rsidR="00502934" w:rsidRPr="009632DF">
              <w:rPr>
                <w:b/>
                <w:bCs/>
              </w:rPr>
              <w:t>Office of the Public Advocate</w:t>
            </w:r>
            <w:r w:rsidR="00502934" w:rsidRPr="009632DF">
              <w:t> </w:t>
            </w:r>
            <w:r w:rsidR="00502934" w:rsidRPr="009632DF">
              <w:br/>
              <w:t>Level1, 204 </w:t>
            </w:r>
            <w:proofErr w:type="spellStart"/>
            <w:r w:rsidR="00502934" w:rsidRPr="009632DF">
              <w:t>Lygon</w:t>
            </w:r>
            <w:proofErr w:type="spellEnd"/>
            <w:r w:rsidR="00502934" w:rsidRPr="009632DF">
              <w:t> Street, Carlton, </w:t>
            </w:r>
          </w:p>
          <w:p w14:paraId="2241E39C" w14:textId="0E6FD0E2" w:rsidR="00502934" w:rsidRPr="009632DF" w:rsidRDefault="00502934" w:rsidP="00502934">
            <w:pPr>
              <w:pStyle w:val="NoSpacing"/>
            </w:pPr>
            <w:r w:rsidRPr="009632DF">
              <w:t>Victoria, 3053 </w:t>
            </w:r>
            <w:r w:rsidRPr="009632DF">
              <w:br/>
              <w:t>Phone: 1300 309 337 </w:t>
            </w:r>
          </w:p>
          <w:p w14:paraId="40B79C62" w14:textId="6D8C1B08" w:rsidR="00205C99" w:rsidRDefault="00502934" w:rsidP="00502934">
            <w:pPr>
              <w:pStyle w:val="NoSpacing"/>
            </w:pPr>
            <w:r w:rsidRPr="009632DF">
              <w:t xml:space="preserve">NRS: </w:t>
            </w:r>
            <w:r>
              <w:t>133 677</w:t>
            </w:r>
            <w:r w:rsidRPr="009632DF">
              <w:br/>
            </w:r>
            <w:hyperlink r:id="rId11" w:tgtFrame="_blank" w:history="1">
              <w:r w:rsidRPr="009632DF">
                <w:rPr>
                  <w:b/>
                  <w:bCs/>
                  <w:color w:val="0000FF"/>
                </w:rPr>
                <w:t>www.publicadvocate.vic.gov.au</w:t>
              </w:r>
            </w:hyperlink>
            <w:r w:rsidR="00205C99" w:rsidRPr="004F5A37">
              <w:rPr>
                <w:sz w:val="17"/>
                <w:szCs w:val="17"/>
              </w:rPr>
              <w:br/>
            </w:r>
          </w:p>
        </w:tc>
      </w:tr>
    </w:tbl>
    <w:p w14:paraId="4EDDC9CC" w14:textId="77777777" w:rsidR="00205C99" w:rsidRPr="00205C99" w:rsidRDefault="00205C99" w:rsidP="00205C99">
      <w:pPr>
        <w:spacing w:before="0" w:after="0"/>
      </w:pPr>
    </w:p>
    <w:p w14:paraId="2D93755F" w14:textId="77777777" w:rsidR="00205C99" w:rsidRDefault="00205C99" w:rsidP="00205C99">
      <w:pPr>
        <w:spacing w:before="0" w:after="0"/>
      </w:pPr>
      <w:r>
        <w:br w:type="page"/>
      </w:r>
    </w:p>
    <w:sdt>
      <w:sdtPr>
        <w:rPr>
          <w:rFonts w:eastAsia="Calibri"/>
          <w:b w:val="0"/>
          <w:bCs w:val="0"/>
          <w:kern w:val="0"/>
          <w:sz w:val="22"/>
          <w:szCs w:val="22"/>
        </w:rPr>
        <w:id w:val="-1825342874"/>
        <w:docPartObj>
          <w:docPartGallery w:val="Table of Contents"/>
          <w:docPartUnique/>
        </w:docPartObj>
      </w:sdtPr>
      <w:sdtEndPr>
        <w:rPr>
          <w:noProof/>
        </w:rPr>
      </w:sdtEndPr>
      <w:sdtContent>
        <w:p w14:paraId="0D0A8453" w14:textId="77777777" w:rsidR="00205C99" w:rsidRDefault="00205C99">
          <w:pPr>
            <w:pStyle w:val="TOCHeading"/>
          </w:pPr>
          <w:r>
            <w:t>Contents</w:t>
          </w:r>
        </w:p>
        <w:p w14:paraId="0027EF64" w14:textId="77777777" w:rsidR="00502934" w:rsidRDefault="00502934">
          <w:pPr>
            <w:pStyle w:val="TOC1"/>
            <w:tabs>
              <w:tab w:val="right" w:leader="dot" w:pos="9628"/>
            </w:tabs>
            <w:rPr>
              <w:b/>
              <w:bCs/>
              <w:noProof/>
            </w:rPr>
          </w:pPr>
        </w:p>
        <w:p w14:paraId="2B752A38" w14:textId="1994A748" w:rsidR="00D64451" w:rsidRDefault="00205C99" w:rsidP="00D64451">
          <w:pPr>
            <w:pStyle w:val="TOC1"/>
            <w:tabs>
              <w:tab w:val="right" w:leader="dot" w:pos="9628"/>
            </w:tabs>
            <w:spacing w:line="360" w:lineRule="auto"/>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82176118" w:history="1">
            <w:r w:rsidR="00D64451" w:rsidRPr="00396F20">
              <w:rPr>
                <w:rStyle w:val="Hyperlink"/>
                <w:noProof/>
              </w:rPr>
              <w:t>Abbreviations</w:t>
            </w:r>
            <w:r w:rsidR="00D64451">
              <w:rPr>
                <w:noProof/>
                <w:webHidden/>
              </w:rPr>
              <w:tab/>
            </w:r>
            <w:r w:rsidR="00D64451">
              <w:rPr>
                <w:noProof/>
                <w:webHidden/>
              </w:rPr>
              <w:fldChar w:fldCharType="begin"/>
            </w:r>
            <w:r w:rsidR="00D64451">
              <w:rPr>
                <w:noProof/>
                <w:webHidden/>
              </w:rPr>
              <w:instrText xml:space="preserve"> PAGEREF _Toc82176118 \h </w:instrText>
            </w:r>
            <w:r w:rsidR="00D64451">
              <w:rPr>
                <w:noProof/>
                <w:webHidden/>
              </w:rPr>
            </w:r>
            <w:r w:rsidR="00D64451">
              <w:rPr>
                <w:noProof/>
                <w:webHidden/>
              </w:rPr>
              <w:fldChar w:fldCharType="separate"/>
            </w:r>
            <w:r w:rsidR="0080338A">
              <w:rPr>
                <w:noProof/>
                <w:webHidden/>
              </w:rPr>
              <w:t>3</w:t>
            </w:r>
            <w:r w:rsidR="00D64451">
              <w:rPr>
                <w:noProof/>
                <w:webHidden/>
              </w:rPr>
              <w:fldChar w:fldCharType="end"/>
            </w:r>
          </w:hyperlink>
        </w:p>
        <w:p w14:paraId="48E16150" w14:textId="5C632A5A" w:rsidR="00D64451" w:rsidRDefault="00D879E2" w:rsidP="00D64451">
          <w:pPr>
            <w:pStyle w:val="TOC1"/>
            <w:tabs>
              <w:tab w:val="right" w:leader="dot" w:pos="9628"/>
            </w:tabs>
            <w:spacing w:line="360" w:lineRule="auto"/>
            <w:rPr>
              <w:rFonts w:asciiTheme="minorHAnsi" w:eastAsiaTheme="minorEastAsia" w:hAnsiTheme="minorHAnsi" w:cstheme="minorBidi"/>
              <w:noProof/>
            </w:rPr>
          </w:pPr>
          <w:hyperlink w:anchor="_Toc82176119" w:history="1">
            <w:r w:rsidR="00D64451" w:rsidRPr="00396F20">
              <w:rPr>
                <w:rStyle w:val="Hyperlink"/>
                <w:noProof/>
              </w:rPr>
              <w:t>Recommendations</w:t>
            </w:r>
            <w:r w:rsidR="00D64451">
              <w:rPr>
                <w:noProof/>
                <w:webHidden/>
              </w:rPr>
              <w:tab/>
            </w:r>
            <w:r w:rsidR="00D64451">
              <w:rPr>
                <w:noProof/>
                <w:webHidden/>
              </w:rPr>
              <w:fldChar w:fldCharType="begin"/>
            </w:r>
            <w:r w:rsidR="00D64451">
              <w:rPr>
                <w:noProof/>
                <w:webHidden/>
              </w:rPr>
              <w:instrText xml:space="preserve"> PAGEREF _Toc82176119 \h </w:instrText>
            </w:r>
            <w:r w:rsidR="00D64451">
              <w:rPr>
                <w:noProof/>
                <w:webHidden/>
              </w:rPr>
            </w:r>
            <w:r w:rsidR="00D64451">
              <w:rPr>
                <w:noProof/>
                <w:webHidden/>
              </w:rPr>
              <w:fldChar w:fldCharType="separate"/>
            </w:r>
            <w:r w:rsidR="0080338A">
              <w:rPr>
                <w:noProof/>
                <w:webHidden/>
              </w:rPr>
              <w:t>4</w:t>
            </w:r>
            <w:r w:rsidR="00D64451">
              <w:rPr>
                <w:noProof/>
                <w:webHidden/>
              </w:rPr>
              <w:fldChar w:fldCharType="end"/>
            </w:r>
          </w:hyperlink>
        </w:p>
        <w:p w14:paraId="095F1208" w14:textId="733A8718" w:rsidR="00D64451" w:rsidRDefault="00D879E2" w:rsidP="00D64451">
          <w:pPr>
            <w:pStyle w:val="TOC1"/>
            <w:tabs>
              <w:tab w:val="left" w:pos="440"/>
              <w:tab w:val="right" w:leader="dot" w:pos="9628"/>
            </w:tabs>
            <w:spacing w:line="360" w:lineRule="auto"/>
            <w:rPr>
              <w:rFonts w:asciiTheme="minorHAnsi" w:eastAsiaTheme="minorEastAsia" w:hAnsiTheme="minorHAnsi" w:cstheme="minorBidi"/>
              <w:noProof/>
            </w:rPr>
          </w:pPr>
          <w:hyperlink w:anchor="_Toc82176120" w:history="1">
            <w:r w:rsidR="00D64451" w:rsidRPr="00396F20">
              <w:rPr>
                <w:rStyle w:val="Hyperlink"/>
                <w:noProof/>
              </w:rPr>
              <w:t>1.</w:t>
            </w:r>
            <w:r w:rsidR="00D64451">
              <w:rPr>
                <w:rFonts w:asciiTheme="minorHAnsi" w:eastAsiaTheme="minorEastAsia" w:hAnsiTheme="minorHAnsi" w:cstheme="minorBidi"/>
                <w:noProof/>
              </w:rPr>
              <w:tab/>
            </w:r>
            <w:r w:rsidR="00D64451" w:rsidRPr="00396F20">
              <w:rPr>
                <w:rStyle w:val="Hyperlink"/>
                <w:noProof/>
              </w:rPr>
              <w:t>Office of the Public Advocate</w:t>
            </w:r>
            <w:r w:rsidR="00D64451">
              <w:rPr>
                <w:noProof/>
                <w:webHidden/>
              </w:rPr>
              <w:tab/>
            </w:r>
            <w:r w:rsidR="00D64451">
              <w:rPr>
                <w:noProof/>
                <w:webHidden/>
              </w:rPr>
              <w:fldChar w:fldCharType="begin"/>
            </w:r>
            <w:r w:rsidR="00D64451">
              <w:rPr>
                <w:noProof/>
                <w:webHidden/>
              </w:rPr>
              <w:instrText xml:space="preserve"> PAGEREF _Toc82176120 \h </w:instrText>
            </w:r>
            <w:r w:rsidR="00D64451">
              <w:rPr>
                <w:noProof/>
                <w:webHidden/>
              </w:rPr>
            </w:r>
            <w:r w:rsidR="00D64451">
              <w:rPr>
                <w:noProof/>
                <w:webHidden/>
              </w:rPr>
              <w:fldChar w:fldCharType="separate"/>
            </w:r>
            <w:r w:rsidR="0080338A">
              <w:rPr>
                <w:noProof/>
                <w:webHidden/>
              </w:rPr>
              <w:t>5</w:t>
            </w:r>
            <w:r w:rsidR="00D64451">
              <w:rPr>
                <w:noProof/>
                <w:webHidden/>
              </w:rPr>
              <w:fldChar w:fldCharType="end"/>
            </w:r>
          </w:hyperlink>
        </w:p>
        <w:p w14:paraId="1F4379D3" w14:textId="4AEB4E92" w:rsidR="00D64451" w:rsidRDefault="00D879E2" w:rsidP="00D64451">
          <w:pPr>
            <w:pStyle w:val="TOC1"/>
            <w:tabs>
              <w:tab w:val="left" w:pos="440"/>
              <w:tab w:val="right" w:leader="dot" w:pos="9628"/>
            </w:tabs>
            <w:spacing w:line="360" w:lineRule="auto"/>
            <w:rPr>
              <w:rFonts w:asciiTheme="minorHAnsi" w:eastAsiaTheme="minorEastAsia" w:hAnsiTheme="minorHAnsi" w:cstheme="minorBidi"/>
              <w:noProof/>
            </w:rPr>
          </w:pPr>
          <w:hyperlink w:anchor="_Toc82176121" w:history="1">
            <w:r w:rsidR="00D64451" w:rsidRPr="00396F20">
              <w:rPr>
                <w:rStyle w:val="Hyperlink"/>
                <w:noProof/>
              </w:rPr>
              <w:t>2.</w:t>
            </w:r>
            <w:r w:rsidR="00D64451">
              <w:rPr>
                <w:rFonts w:asciiTheme="minorHAnsi" w:eastAsiaTheme="minorEastAsia" w:hAnsiTheme="minorHAnsi" w:cstheme="minorBidi"/>
                <w:noProof/>
              </w:rPr>
              <w:tab/>
            </w:r>
            <w:r w:rsidR="00D64451" w:rsidRPr="00396F20">
              <w:rPr>
                <w:rStyle w:val="Hyperlink"/>
                <w:noProof/>
              </w:rPr>
              <w:t>Introduction</w:t>
            </w:r>
            <w:r w:rsidR="00D64451">
              <w:rPr>
                <w:noProof/>
                <w:webHidden/>
              </w:rPr>
              <w:tab/>
            </w:r>
            <w:r w:rsidR="00D64451">
              <w:rPr>
                <w:noProof/>
                <w:webHidden/>
              </w:rPr>
              <w:fldChar w:fldCharType="begin"/>
            </w:r>
            <w:r w:rsidR="00D64451">
              <w:rPr>
                <w:noProof/>
                <w:webHidden/>
              </w:rPr>
              <w:instrText xml:space="preserve"> PAGEREF _Toc82176121 \h </w:instrText>
            </w:r>
            <w:r w:rsidR="00D64451">
              <w:rPr>
                <w:noProof/>
                <w:webHidden/>
              </w:rPr>
            </w:r>
            <w:r w:rsidR="00D64451">
              <w:rPr>
                <w:noProof/>
                <w:webHidden/>
              </w:rPr>
              <w:fldChar w:fldCharType="separate"/>
            </w:r>
            <w:r w:rsidR="0080338A">
              <w:rPr>
                <w:noProof/>
                <w:webHidden/>
              </w:rPr>
              <w:t>6</w:t>
            </w:r>
            <w:r w:rsidR="00D64451">
              <w:rPr>
                <w:noProof/>
                <w:webHidden/>
              </w:rPr>
              <w:fldChar w:fldCharType="end"/>
            </w:r>
          </w:hyperlink>
        </w:p>
        <w:p w14:paraId="7AA560FA" w14:textId="5E731A3E" w:rsidR="00D64451" w:rsidRDefault="00D879E2" w:rsidP="00D64451">
          <w:pPr>
            <w:pStyle w:val="TOC3"/>
            <w:tabs>
              <w:tab w:val="left" w:pos="1100"/>
              <w:tab w:val="right" w:leader="dot" w:pos="9628"/>
            </w:tabs>
            <w:spacing w:line="360" w:lineRule="auto"/>
            <w:rPr>
              <w:rFonts w:asciiTheme="minorHAnsi" w:eastAsiaTheme="minorEastAsia" w:hAnsiTheme="minorHAnsi" w:cstheme="minorBidi"/>
              <w:noProof/>
            </w:rPr>
          </w:pPr>
          <w:hyperlink w:anchor="_Toc82176122" w:history="1">
            <w:r w:rsidR="00D64451" w:rsidRPr="00396F20">
              <w:rPr>
                <w:rStyle w:val="Hyperlink"/>
                <w:noProof/>
              </w:rPr>
              <w:t>2.1</w:t>
            </w:r>
            <w:r w:rsidR="00D64451">
              <w:rPr>
                <w:rFonts w:asciiTheme="minorHAnsi" w:eastAsiaTheme="minorEastAsia" w:hAnsiTheme="minorHAnsi" w:cstheme="minorBidi"/>
                <w:noProof/>
              </w:rPr>
              <w:tab/>
            </w:r>
            <w:r w:rsidR="00D64451" w:rsidRPr="00396F20">
              <w:rPr>
                <w:rStyle w:val="Hyperlink"/>
                <w:noProof/>
              </w:rPr>
              <w:t>Human rights approach</w:t>
            </w:r>
            <w:r w:rsidR="00D64451">
              <w:rPr>
                <w:noProof/>
                <w:webHidden/>
              </w:rPr>
              <w:tab/>
            </w:r>
            <w:r w:rsidR="00D64451">
              <w:rPr>
                <w:noProof/>
                <w:webHidden/>
              </w:rPr>
              <w:fldChar w:fldCharType="begin"/>
            </w:r>
            <w:r w:rsidR="00D64451">
              <w:rPr>
                <w:noProof/>
                <w:webHidden/>
              </w:rPr>
              <w:instrText xml:space="preserve"> PAGEREF _Toc82176122 \h </w:instrText>
            </w:r>
            <w:r w:rsidR="00D64451">
              <w:rPr>
                <w:noProof/>
                <w:webHidden/>
              </w:rPr>
            </w:r>
            <w:r w:rsidR="00D64451">
              <w:rPr>
                <w:noProof/>
                <w:webHidden/>
              </w:rPr>
              <w:fldChar w:fldCharType="separate"/>
            </w:r>
            <w:r w:rsidR="0080338A">
              <w:rPr>
                <w:noProof/>
                <w:webHidden/>
              </w:rPr>
              <w:t>6</w:t>
            </w:r>
            <w:r w:rsidR="00D64451">
              <w:rPr>
                <w:noProof/>
                <w:webHidden/>
              </w:rPr>
              <w:fldChar w:fldCharType="end"/>
            </w:r>
          </w:hyperlink>
        </w:p>
        <w:p w14:paraId="3586420B" w14:textId="44A1D8DD" w:rsidR="00D64451" w:rsidRDefault="00D879E2" w:rsidP="00D64451">
          <w:pPr>
            <w:pStyle w:val="TOC1"/>
            <w:tabs>
              <w:tab w:val="left" w:pos="440"/>
              <w:tab w:val="right" w:leader="dot" w:pos="9628"/>
            </w:tabs>
            <w:spacing w:line="360" w:lineRule="auto"/>
            <w:rPr>
              <w:rFonts w:asciiTheme="minorHAnsi" w:eastAsiaTheme="minorEastAsia" w:hAnsiTheme="minorHAnsi" w:cstheme="minorBidi"/>
              <w:noProof/>
            </w:rPr>
          </w:pPr>
          <w:hyperlink w:anchor="_Toc82176123" w:history="1">
            <w:r w:rsidR="00D64451" w:rsidRPr="00396F20">
              <w:rPr>
                <w:rStyle w:val="Hyperlink"/>
                <w:noProof/>
              </w:rPr>
              <w:t>3</w:t>
            </w:r>
            <w:r w:rsidR="00D64451">
              <w:rPr>
                <w:rFonts w:asciiTheme="minorHAnsi" w:eastAsiaTheme="minorEastAsia" w:hAnsiTheme="minorHAnsi" w:cstheme="minorBidi"/>
                <w:noProof/>
              </w:rPr>
              <w:tab/>
            </w:r>
            <w:r w:rsidR="00D64451" w:rsidRPr="00396F20">
              <w:rPr>
                <w:rStyle w:val="Hyperlink"/>
                <w:noProof/>
              </w:rPr>
              <w:t>Entitlement to decision-making support</w:t>
            </w:r>
            <w:r w:rsidR="00D64451">
              <w:rPr>
                <w:noProof/>
                <w:webHidden/>
              </w:rPr>
              <w:tab/>
            </w:r>
            <w:r w:rsidR="00D64451">
              <w:rPr>
                <w:noProof/>
                <w:webHidden/>
              </w:rPr>
              <w:fldChar w:fldCharType="begin"/>
            </w:r>
            <w:r w:rsidR="00D64451">
              <w:rPr>
                <w:noProof/>
                <w:webHidden/>
              </w:rPr>
              <w:instrText xml:space="preserve"> PAGEREF _Toc82176123 \h </w:instrText>
            </w:r>
            <w:r w:rsidR="00D64451">
              <w:rPr>
                <w:noProof/>
                <w:webHidden/>
              </w:rPr>
            </w:r>
            <w:r w:rsidR="00D64451">
              <w:rPr>
                <w:noProof/>
                <w:webHidden/>
              </w:rPr>
              <w:fldChar w:fldCharType="separate"/>
            </w:r>
            <w:r w:rsidR="0080338A">
              <w:rPr>
                <w:noProof/>
                <w:webHidden/>
              </w:rPr>
              <w:t>6</w:t>
            </w:r>
            <w:r w:rsidR="00D64451">
              <w:rPr>
                <w:noProof/>
                <w:webHidden/>
              </w:rPr>
              <w:fldChar w:fldCharType="end"/>
            </w:r>
          </w:hyperlink>
        </w:p>
        <w:p w14:paraId="7AA07722" w14:textId="524DD939" w:rsidR="00D64451" w:rsidRDefault="00D879E2" w:rsidP="00D64451">
          <w:pPr>
            <w:pStyle w:val="TOC1"/>
            <w:tabs>
              <w:tab w:val="left" w:pos="440"/>
              <w:tab w:val="right" w:leader="dot" w:pos="9628"/>
            </w:tabs>
            <w:spacing w:line="360" w:lineRule="auto"/>
            <w:rPr>
              <w:rFonts w:asciiTheme="minorHAnsi" w:eastAsiaTheme="minorEastAsia" w:hAnsiTheme="minorHAnsi" w:cstheme="minorBidi"/>
              <w:noProof/>
            </w:rPr>
          </w:pPr>
          <w:hyperlink w:anchor="_Toc82176124" w:history="1">
            <w:r w:rsidR="00D64451" w:rsidRPr="00396F20">
              <w:rPr>
                <w:rStyle w:val="Hyperlink"/>
                <w:noProof/>
              </w:rPr>
              <w:t>4</w:t>
            </w:r>
            <w:r w:rsidR="00D64451">
              <w:rPr>
                <w:rFonts w:asciiTheme="minorHAnsi" w:eastAsiaTheme="minorEastAsia" w:hAnsiTheme="minorHAnsi" w:cstheme="minorBidi"/>
                <w:noProof/>
              </w:rPr>
              <w:tab/>
            </w:r>
            <w:r w:rsidR="00D64451" w:rsidRPr="00396F20">
              <w:rPr>
                <w:rStyle w:val="Hyperlink"/>
                <w:noProof/>
              </w:rPr>
              <w:t>Development of decision-making skills</w:t>
            </w:r>
            <w:r w:rsidR="00D64451">
              <w:rPr>
                <w:noProof/>
                <w:webHidden/>
              </w:rPr>
              <w:tab/>
            </w:r>
            <w:r w:rsidR="00D64451">
              <w:rPr>
                <w:noProof/>
                <w:webHidden/>
              </w:rPr>
              <w:fldChar w:fldCharType="begin"/>
            </w:r>
            <w:r w:rsidR="00D64451">
              <w:rPr>
                <w:noProof/>
                <w:webHidden/>
              </w:rPr>
              <w:instrText xml:space="preserve"> PAGEREF _Toc82176124 \h </w:instrText>
            </w:r>
            <w:r w:rsidR="00D64451">
              <w:rPr>
                <w:noProof/>
                <w:webHidden/>
              </w:rPr>
            </w:r>
            <w:r w:rsidR="00D64451">
              <w:rPr>
                <w:noProof/>
                <w:webHidden/>
              </w:rPr>
              <w:fldChar w:fldCharType="separate"/>
            </w:r>
            <w:r w:rsidR="0080338A">
              <w:rPr>
                <w:noProof/>
                <w:webHidden/>
              </w:rPr>
              <w:t>7</w:t>
            </w:r>
            <w:r w:rsidR="00D64451">
              <w:rPr>
                <w:noProof/>
                <w:webHidden/>
              </w:rPr>
              <w:fldChar w:fldCharType="end"/>
            </w:r>
          </w:hyperlink>
        </w:p>
        <w:p w14:paraId="79075D11" w14:textId="1C98129B" w:rsidR="00D64451" w:rsidRDefault="00D879E2" w:rsidP="00D64451">
          <w:pPr>
            <w:pStyle w:val="TOC2"/>
            <w:tabs>
              <w:tab w:val="right" w:leader="dot" w:pos="9628"/>
            </w:tabs>
            <w:spacing w:line="360" w:lineRule="auto"/>
            <w:rPr>
              <w:rFonts w:asciiTheme="minorHAnsi" w:eastAsiaTheme="minorEastAsia" w:hAnsiTheme="minorHAnsi" w:cstheme="minorBidi"/>
              <w:noProof/>
            </w:rPr>
          </w:pPr>
          <w:hyperlink w:anchor="_Toc82176125" w:history="1">
            <w:r w:rsidR="00D64451" w:rsidRPr="00396F20">
              <w:rPr>
                <w:rStyle w:val="Hyperlink"/>
                <w:noProof/>
              </w:rPr>
              <w:t>4.1  Building decision-making capacity</w:t>
            </w:r>
            <w:r w:rsidR="00D64451">
              <w:rPr>
                <w:noProof/>
                <w:webHidden/>
              </w:rPr>
              <w:tab/>
            </w:r>
            <w:r w:rsidR="00D64451">
              <w:rPr>
                <w:noProof/>
                <w:webHidden/>
              </w:rPr>
              <w:fldChar w:fldCharType="begin"/>
            </w:r>
            <w:r w:rsidR="00D64451">
              <w:rPr>
                <w:noProof/>
                <w:webHidden/>
              </w:rPr>
              <w:instrText xml:space="preserve"> PAGEREF _Toc82176125 \h </w:instrText>
            </w:r>
            <w:r w:rsidR="00D64451">
              <w:rPr>
                <w:noProof/>
                <w:webHidden/>
              </w:rPr>
            </w:r>
            <w:r w:rsidR="00D64451">
              <w:rPr>
                <w:noProof/>
                <w:webHidden/>
              </w:rPr>
              <w:fldChar w:fldCharType="separate"/>
            </w:r>
            <w:r w:rsidR="0080338A">
              <w:rPr>
                <w:noProof/>
                <w:webHidden/>
              </w:rPr>
              <w:t>7</w:t>
            </w:r>
            <w:r w:rsidR="00D64451">
              <w:rPr>
                <w:noProof/>
                <w:webHidden/>
              </w:rPr>
              <w:fldChar w:fldCharType="end"/>
            </w:r>
          </w:hyperlink>
        </w:p>
        <w:p w14:paraId="2A8A4FFC" w14:textId="740D6091" w:rsidR="00D64451" w:rsidRDefault="00D879E2" w:rsidP="00D64451">
          <w:pPr>
            <w:pStyle w:val="TOC1"/>
            <w:tabs>
              <w:tab w:val="right" w:leader="dot" w:pos="9628"/>
            </w:tabs>
            <w:spacing w:line="360" w:lineRule="auto"/>
            <w:rPr>
              <w:rFonts w:asciiTheme="minorHAnsi" w:eastAsiaTheme="minorEastAsia" w:hAnsiTheme="minorHAnsi" w:cstheme="minorBidi"/>
              <w:noProof/>
            </w:rPr>
          </w:pPr>
          <w:hyperlink w:anchor="_Toc82176126" w:history="1">
            <w:r w:rsidR="00D64451" w:rsidRPr="00396F20">
              <w:rPr>
                <w:rStyle w:val="Hyperlink"/>
                <w:noProof/>
              </w:rPr>
              <w:t>5. Decision-Supporters</w:t>
            </w:r>
            <w:r w:rsidR="00D64451">
              <w:rPr>
                <w:noProof/>
                <w:webHidden/>
              </w:rPr>
              <w:tab/>
            </w:r>
            <w:r w:rsidR="00D64451">
              <w:rPr>
                <w:noProof/>
                <w:webHidden/>
              </w:rPr>
              <w:fldChar w:fldCharType="begin"/>
            </w:r>
            <w:r w:rsidR="00D64451">
              <w:rPr>
                <w:noProof/>
                <w:webHidden/>
              </w:rPr>
              <w:instrText xml:space="preserve"> PAGEREF _Toc82176126 \h </w:instrText>
            </w:r>
            <w:r w:rsidR="00D64451">
              <w:rPr>
                <w:noProof/>
                <w:webHidden/>
              </w:rPr>
            </w:r>
            <w:r w:rsidR="00D64451">
              <w:rPr>
                <w:noProof/>
                <w:webHidden/>
              </w:rPr>
              <w:fldChar w:fldCharType="separate"/>
            </w:r>
            <w:r w:rsidR="0080338A">
              <w:rPr>
                <w:noProof/>
                <w:webHidden/>
              </w:rPr>
              <w:t>8</w:t>
            </w:r>
            <w:r w:rsidR="00D64451">
              <w:rPr>
                <w:noProof/>
                <w:webHidden/>
              </w:rPr>
              <w:fldChar w:fldCharType="end"/>
            </w:r>
          </w:hyperlink>
        </w:p>
        <w:p w14:paraId="172B454D" w14:textId="3B588C0A" w:rsidR="00D64451" w:rsidRDefault="00D879E2" w:rsidP="00D64451">
          <w:pPr>
            <w:pStyle w:val="TOC3"/>
            <w:tabs>
              <w:tab w:val="right" w:leader="dot" w:pos="9628"/>
            </w:tabs>
            <w:spacing w:line="360" w:lineRule="auto"/>
            <w:rPr>
              <w:rFonts w:asciiTheme="minorHAnsi" w:eastAsiaTheme="minorEastAsia" w:hAnsiTheme="minorHAnsi" w:cstheme="minorBidi"/>
              <w:noProof/>
            </w:rPr>
          </w:pPr>
          <w:hyperlink w:anchor="_Toc82176127" w:history="1">
            <w:r w:rsidR="00D64451" w:rsidRPr="00396F20">
              <w:rPr>
                <w:rStyle w:val="Hyperlink"/>
                <w:noProof/>
              </w:rPr>
              <w:t>5.1 Building the capacity of Decision-Supporters</w:t>
            </w:r>
            <w:r w:rsidR="00D64451">
              <w:rPr>
                <w:noProof/>
                <w:webHidden/>
              </w:rPr>
              <w:tab/>
            </w:r>
            <w:r w:rsidR="00D64451">
              <w:rPr>
                <w:noProof/>
                <w:webHidden/>
              </w:rPr>
              <w:fldChar w:fldCharType="begin"/>
            </w:r>
            <w:r w:rsidR="00D64451">
              <w:rPr>
                <w:noProof/>
                <w:webHidden/>
              </w:rPr>
              <w:instrText xml:space="preserve"> PAGEREF _Toc82176127 \h </w:instrText>
            </w:r>
            <w:r w:rsidR="00D64451">
              <w:rPr>
                <w:noProof/>
                <w:webHidden/>
              </w:rPr>
            </w:r>
            <w:r w:rsidR="00D64451">
              <w:rPr>
                <w:noProof/>
                <w:webHidden/>
              </w:rPr>
              <w:fldChar w:fldCharType="separate"/>
            </w:r>
            <w:r w:rsidR="0080338A">
              <w:rPr>
                <w:noProof/>
                <w:webHidden/>
              </w:rPr>
              <w:t>8</w:t>
            </w:r>
            <w:r w:rsidR="00D64451">
              <w:rPr>
                <w:noProof/>
                <w:webHidden/>
              </w:rPr>
              <w:fldChar w:fldCharType="end"/>
            </w:r>
          </w:hyperlink>
        </w:p>
        <w:p w14:paraId="720E4AC6" w14:textId="7BF759EE" w:rsidR="00D64451" w:rsidRDefault="00D879E2" w:rsidP="00D64451">
          <w:pPr>
            <w:pStyle w:val="TOC3"/>
            <w:tabs>
              <w:tab w:val="right" w:leader="dot" w:pos="9628"/>
            </w:tabs>
            <w:spacing w:line="360" w:lineRule="auto"/>
            <w:rPr>
              <w:rFonts w:asciiTheme="minorHAnsi" w:eastAsiaTheme="minorEastAsia" w:hAnsiTheme="minorHAnsi" w:cstheme="minorBidi"/>
              <w:noProof/>
            </w:rPr>
          </w:pPr>
          <w:hyperlink w:anchor="_Toc82176128" w:history="1">
            <w:r w:rsidR="00D64451" w:rsidRPr="00396F20">
              <w:rPr>
                <w:rStyle w:val="Hyperlink"/>
                <w:noProof/>
              </w:rPr>
              <w:t>5.2 Decision Support for people with no close supports</w:t>
            </w:r>
            <w:r w:rsidR="00D64451">
              <w:rPr>
                <w:noProof/>
                <w:webHidden/>
              </w:rPr>
              <w:tab/>
            </w:r>
            <w:r w:rsidR="00D64451">
              <w:rPr>
                <w:noProof/>
                <w:webHidden/>
              </w:rPr>
              <w:fldChar w:fldCharType="begin"/>
            </w:r>
            <w:r w:rsidR="00D64451">
              <w:rPr>
                <w:noProof/>
                <w:webHidden/>
              </w:rPr>
              <w:instrText xml:space="preserve"> PAGEREF _Toc82176128 \h </w:instrText>
            </w:r>
            <w:r w:rsidR="00D64451">
              <w:rPr>
                <w:noProof/>
                <w:webHidden/>
              </w:rPr>
            </w:r>
            <w:r w:rsidR="00D64451">
              <w:rPr>
                <w:noProof/>
                <w:webHidden/>
              </w:rPr>
              <w:fldChar w:fldCharType="separate"/>
            </w:r>
            <w:r w:rsidR="0080338A">
              <w:rPr>
                <w:noProof/>
                <w:webHidden/>
              </w:rPr>
              <w:t>8</w:t>
            </w:r>
            <w:r w:rsidR="00D64451">
              <w:rPr>
                <w:noProof/>
                <w:webHidden/>
              </w:rPr>
              <w:fldChar w:fldCharType="end"/>
            </w:r>
          </w:hyperlink>
        </w:p>
        <w:p w14:paraId="295789CA" w14:textId="0A7BF6A7" w:rsidR="00D64451" w:rsidRDefault="00D879E2" w:rsidP="00D64451">
          <w:pPr>
            <w:pStyle w:val="TOC3"/>
            <w:tabs>
              <w:tab w:val="right" w:leader="dot" w:pos="9628"/>
            </w:tabs>
            <w:spacing w:line="360" w:lineRule="auto"/>
            <w:rPr>
              <w:rFonts w:asciiTheme="minorHAnsi" w:eastAsiaTheme="minorEastAsia" w:hAnsiTheme="minorHAnsi" w:cstheme="minorBidi"/>
              <w:noProof/>
            </w:rPr>
          </w:pPr>
          <w:hyperlink w:anchor="_Toc82176129" w:history="1">
            <w:r w:rsidR="00D64451" w:rsidRPr="00396F20">
              <w:rPr>
                <w:rStyle w:val="Hyperlink"/>
                <w:noProof/>
              </w:rPr>
              <w:t>5.3  Decision-Supporters as advocates</w:t>
            </w:r>
            <w:r w:rsidR="00D64451">
              <w:rPr>
                <w:noProof/>
                <w:webHidden/>
              </w:rPr>
              <w:tab/>
            </w:r>
            <w:r w:rsidR="00D64451">
              <w:rPr>
                <w:noProof/>
                <w:webHidden/>
              </w:rPr>
              <w:fldChar w:fldCharType="begin"/>
            </w:r>
            <w:r w:rsidR="00D64451">
              <w:rPr>
                <w:noProof/>
                <w:webHidden/>
              </w:rPr>
              <w:instrText xml:space="preserve"> PAGEREF _Toc82176129 \h </w:instrText>
            </w:r>
            <w:r w:rsidR="00D64451">
              <w:rPr>
                <w:noProof/>
                <w:webHidden/>
              </w:rPr>
            </w:r>
            <w:r w:rsidR="00D64451">
              <w:rPr>
                <w:noProof/>
                <w:webHidden/>
              </w:rPr>
              <w:fldChar w:fldCharType="separate"/>
            </w:r>
            <w:r w:rsidR="0080338A">
              <w:rPr>
                <w:noProof/>
                <w:webHidden/>
              </w:rPr>
              <w:t>9</w:t>
            </w:r>
            <w:r w:rsidR="00D64451">
              <w:rPr>
                <w:noProof/>
                <w:webHidden/>
              </w:rPr>
              <w:fldChar w:fldCharType="end"/>
            </w:r>
          </w:hyperlink>
        </w:p>
        <w:p w14:paraId="1E4DC79A" w14:textId="5D9C9ADC" w:rsidR="00D64451" w:rsidRDefault="00D879E2" w:rsidP="00D64451">
          <w:pPr>
            <w:pStyle w:val="TOC1"/>
            <w:tabs>
              <w:tab w:val="right" w:leader="dot" w:pos="9628"/>
            </w:tabs>
            <w:spacing w:line="360" w:lineRule="auto"/>
            <w:rPr>
              <w:rFonts w:asciiTheme="minorHAnsi" w:eastAsiaTheme="minorEastAsia" w:hAnsiTheme="minorHAnsi" w:cstheme="minorBidi"/>
              <w:noProof/>
            </w:rPr>
          </w:pPr>
          <w:hyperlink w:anchor="_Toc82176130" w:history="1">
            <w:r w:rsidR="00D64451" w:rsidRPr="00396F20">
              <w:rPr>
                <w:rStyle w:val="Hyperlink"/>
                <w:noProof/>
              </w:rPr>
              <w:t>6. Addressing an over-reliance on substitute decision-makers</w:t>
            </w:r>
            <w:r w:rsidR="00D64451">
              <w:rPr>
                <w:noProof/>
                <w:webHidden/>
              </w:rPr>
              <w:tab/>
            </w:r>
            <w:r w:rsidR="00D64451">
              <w:rPr>
                <w:noProof/>
                <w:webHidden/>
              </w:rPr>
              <w:fldChar w:fldCharType="begin"/>
            </w:r>
            <w:r w:rsidR="00D64451">
              <w:rPr>
                <w:noProof/>
                <w:webHidden/>
              </w:rPr>
              <w:instrText xml:space="preserve"> PAGEREF _Toc82176130 \h </w:instrText>
            </w:r>
            <w:r w:rsidR="00D64451">
              <w:rPr>
                <w:noProof/>
                <w:webHidden/>
              </w:rPr>
            </w:r>
            <w:r w:rsidR="00D64451">
              <w:rPr>
                <w:noProof/>
                <w:webHidden/>
              </w:rPr>
              <w:fldChar w:fldCharType="separate"/>
            </w:r>
            <w:r w:rsidR="0080338A">
              <w:rPr>
                <w:noProof/>
                <w:webHidden/>
              </w:rPr>
              <w:t>9</w:t>
            </w:r>
            <w:r w:rsidR="00D64451">
              <w:rPr>
                <w:noProof/>
                <w:webHidden/>
              </w:rPr>
              <w:fldChar w:fldCharType="end"/>
            </w:r>
          </w:hyperlink>
        </w:p>
        <w:p w14:paraId="28EF21C8" w14:textId="4C87357C" w:rsidR="00D64451" w:rsidRDefault="00D879E2" w:rsidP="00D64451">
          <w:pPr>
            <w:pStyle w:val="TOC3"/>
            <w:tabs>
              <w:tab w:val="right" w:leader="dot" w:pos="9628"/>
            </w:tabs>
            <w:spacing w:line="360" w:lineRule="auto"/>
            <w:rPr>
              <w:rFonts w:asciiTheme="minorHAnsi" w:eastAsiaTheme="minorEastAsia" w:hAnsiTheme="minorHAnsi" w:cstheme="minorBidi"/>
              <w:noProof/>
            </w:rPr>
          </w:pPr>
          <w:hyperlink w:anchor="_Toc82176131" w:history="1">
            <w:r w:rsidR="00D64451" w:rsidRPr="00396F20">
              <w:rPr>
                <w:rStyle w:val="Hyperlink"/>
                <w:noProof/>
              </w:rPr>
              <w:t>6.1 Least restrictive option</w:t>
            </w:r>
            <w:r w:rsidR="00D64451">
              <w:rPr>
                <w:noProof/>
                <w:webHidden/>
              </w:rPr>
              <w:tab/>
            </w:r>
            <w:r w:rsidR="00D64451">
              <w:rPr>
                <w:noProof/>
                <w:webHidden/>
              </w:rPr>
              <w:fldChar w:fldCharType="begin"/>
            </w:r>
            <w:r w:rsidR="00D64451">
              <w:rPr>
                <w:noProof/>
                <w:webHidden/>
              </w:rPr>
              <w:instrText xml:space="preserve"> PAGEREF _Toc82176131 \h </w:instrText>
            </w:r>
            <w:r w:rsidR="00D64451">
              <w:rPr>
                <w:noProof/>
                <w:webHidden/>
              </w:rPr>
            </w:r>
            <w:r w:rsidR="00D64451">
              <w:rPr>
                <w:noProof/>
                <w:webHidden/>
              </w:rPr>
              <w:fldChar w:fldCharType="separate"/>
            </w:r>
            <w:r w:rsidR="0080338A">
              <w:rPr>
                <w:noProof/>
                <w:webHidden/>
              </w:rPr>
              <w:t>9</w:t>
            </w:r>
            <w:r w:rsidR="00D64451">
              <w:rPr>
                <w:noProof/>
                <w:webHidden/>
              </w:rPr>
              <w:fldChar w:fldCharType="end"/>
            </w:r>
          </w:hyperlink>
        </w:p>
        <w:p w14:paraId="78EFD064" w14:textId="13348945" w:rsidR="00D64451" w:rsidRDefault="00D879E2" w:rsidP="00D64451">
          <w:pPr>
            <w:pStyle w:val="TOC3"/>
            <w:tabs>
              <w:tab w:val="right" w:leader="dot" w:pos="9628"/>
            </w:tabs>
            <w:spacing w:line="360" w:lineRule="auto"/>
            <w:rPr>
              <w:rFonts w:asciiTheme="minorHAnsi" w:eastAsiaTheme="minorEastAsia" w:hAnsiTheme="minorHAnsi" w:cstheme="minorBidi"/>
              <w:noProof/>
            </w:rPr>
          </w:pPr>
          <w:hyperlink w:anchor="_Toc82176132" w:history="1">
            <w:r w:rsidR="00D64451" w:rsidRPr="00396F20">
              <w:rPr>
                <w:rStyle w:val="Hyperlink"/>
                <w:noProof/>
              </w:rPr>
              <w:t>6.2  Supported decision-making to meet NDIS administrative requirements</w:t>
            </w:r>
            <w:r w:rsidR="00D64451">
              <w:rPr>
                <w:noProof/>
                <w:webHidden/>
              </w:rPr>
              <w:tab/>
            </w:r>
            <w:r w:rsidR="00D64451">
              <w:rPr>
                <w:noProof/>
                <w:webHidden/>
              </w:rPr>
              <w:fldChar w:fldCharType="begin"/>
            </w:r>
            <w:r w:rsidR="00D64451">
              <w:rPr>
                <w:noProof/>
                <w:webHidden/>
              </w:rPr>
              <w:instrText xml:space="preserve"> PAGEREF _Toc82176132 \h </w:instrText>
            </w:r>
            <w:r w:rsidR="00D64451">
              <w:rPr>
                <w:noProof/>
                <w:webHidden/>
              </w:rPr>
            </w:r>
            <w:r w:rsidR="00D64451">
              <w:rPr>
                <w:noProof/>
                <w:webHidden/>
              </w:rPr>
              <w:fldChar w:fldCharType="separate"/>
            </w:r>
            <w:r w:rsidR="0080338A">
              <w:rPr>
                <w:noProof/>
                <w:webHidden/>
              </w:rPr>
              <w:t>9</w:t>
            </w:r>
            <w:r w:rsidR="00D64451">
              <w:rPr>
                <w:noProof/>
                <w:webHidden/>
              </w:rPr>
              <w:fldChar w:fldCharType="end"/>
            </w:r>
          </w:hyperlink>
        </w:p>
        <w:p w14:paraId="1F299D32" w14:textId="231A8B42" w:rsidR="00205C99" w:rsidRDefault="00205C99" w:rsidP="004720DD">
          <w:pPr>
            <w:spacing w:line="360" w:lineRule="auto"/>
          </w:pPr>
          <w:r>
            <w:rPr>
              <w:b/>
              <w:bCs/>
              <w:noProof/>
            </w:rPr>
            <w:fldChar w:fldCharType="end"/>
          </w:r>
        </w:p>
      </w:sdtContent>
    </w:sdt>
    <w:p w14:paraId="1A805B63" w14:textId="77777777" w:rsidR="00205C99" w:rsidRDefault="00205C99" w:rsidP="00205C99">
      <w:pPr>
        <w:pStyle w:val="Heading1OPA"/>
        <w:ind w:firstLine="0"/>
      </w:pPr>
      <w:r w:rsidRPr="006D20E8">
        <w:br w:type="page"/>
      </w:r>
      <w:bookmarkStart w:id="0" w:name="_Toc82176118"/>
      <w:r>
        <w:t>Abbreviations</w:t>
      </w:r>
      <w:bookmarkEnd w:id="0"/>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bbreviations "/>
        <w:tblDescription w:val="Abbreviations used in this report"/>
      </w:tblPr>
      <w:tblGrid>
        <w:gridCol w:w="2126"/>
        <w:gridCol w:w="6793"/>
      </w:tblGrid>
      <w:tr w:rsidR="00502934" w14:paraId="2EEF696A" w14:textId="77777777" w:rsidTr="00502934">
        <w:tc>
          <w:tcPr>
            <w:tcW w:w="2126" w:type="dxa"/>
          </w:tcPr>
          <w:p w14:paraId="493E9EBC" w14:textId="18E6B843" w:rsidR="00502934" w:rsidRDefault="00502934" w:rsidP="00502934">
            <w:r w:rsidRPr="007533D5">
              <w:rPr>
                <w:rFonts w:eastAsia="Times New Roman"/>
              </w:rPr>
              <w:t> </w:t>
            </w:r>
          </w:p>
        </w:tc>
        <w:tc>
          <w:tcPr>
            <w:tcW w:w="6793" w:type="dxa"/>
          </w:tcPr>
          <w:p w14:paraId="025C6DDD" w14:textId="77777777" w:rsidR="00502934" w:rsidRDefault="00502934" w:rsidP="00502934"/>
        </w:tc>
      </w:tr>
      <w:tr w:rsidR="00502934" w14:paraId="37107E0F" w14:textId="77777777" w:rsidTr="00502934">
        <w:tc>
          <w:tcPr>
            <w:tcW w:w="2126" w:type="dxa"/>
          </w:tcPr>
          <w:p w14:paraId="31ABCED8" w14:textId="2687491B" w:rsidR="00502934" w:rsidRDefault="00502934" w:rsidP="00502934">
            <w:r w:rsidRPr="007533D5">
              <w:rPr>
                <w:rFonts w:eastAsia="Times New Roman"/>
              </w:rPr>
              <w:t> </w:t>
            </w:r>
          </w:p>
        </w:tc>
        <w:tc>
          <w:tcPr>
            <w:tcW w:w="6793" w:type="dxa"/>
          </w:tcPr>
          <w:p w14:paraId="272AFBF4" w14:textId="2F0C4C9A" w:rsidR="00502934" w:rsidRDefault="00502934" w:rsidP="00502934">
            <w:r w:rsidRPr="007533D5">
              <w:rPr>
                <w:rFonts w:eastAsia="Times New Roman"/>
              </w:rPr>
              <w:t> </w:t>
            </w:r>
          </w:p>
        </w:tc>
      </w:tr>
      <w:tr w:rsidR="00502934" w14:paraId="6EAEA8CA" w14:textId="77777777" w:rsidTr="00502934">
        <w:tc>
          <w:tcPr>
            <w:tcW w:w="2126" w:type="dxa"/>
          </w:tcPr>
          <w:p w14:paraId="0EC0C4B1" w14:textId="40BEAA07" w:rsidR="00FD152F" w:rsidRPr="00FD152F" w:rsidRDefault="00502934" w:rsidP="00502934">
            <w:pPr>
              <w:rPr>
                <w:rFonts w:eastAsia="Times New Roman"/>
              </w:rPr>
            </w:pPr>
            <w:r w:rsidRPr="007533D5">
              <w:rPr>
                <w:rFonts w:eastAsia="Times New Roman"/>
              </w:rPr>
              <w:t>AR</w:t>
            </w:r>
            <w:r w:rsidR="00FD152F">
              <w:rPr>
                <w:rFonts w:eastAsia="Times New Roman"/>
              </w:rPr>
              <w:t>F</w:t>
            </w:r>
          </w:p>
        </w:tc>
        <w:tc>
          <w:tcPr>
            <w:tcW w:w="6793" w:type="dxa"/>
          </w:tcPr>
          <w:p w14:paraId="14467978" w14:textId="6D8D95B9" w:rsidR="00FD152F" w:rsidRPr="00FD152F" w:rsidRDefault="00502934" w:rsidP="00502934">
            <w:pPr>
              <w:rPr>
                <w:rFonts w:eastAsia="Times New Roman"/>
              </w:rPr>
            </w:pPr>
            <w:r w:rsidRPr="007533D5">
              <w:rPr>
                <w:rFonts w:eastAsia="Times New Roman"/>
              </w:rPr>
              <w:t>Access Request Form</w:t>
            </w:r>
          </w:p>
        </w:tc>
      </w:tr>
      <w:tr w:rsidR="00FD152F" w14:paraId="60456092" w14:textId="77777777" w:rsidTr="00502934">
        <w:tc>
          <w:tcPr>
            <w:tcW w:w="2126" w:type="dxa"/>
          </w:tcPr>
          <w:p w14:paraId="643A4D7E" w14:textId="7E852074" w:rsidR="00FD152F" w:rsidRPr="007533D5" w:rsidRDefault="00FD152F" w:rsidP="00502934">
            <w:pPr>
              <w:rPr>
                <w:rFonts w:eastAsia="Times New Roman"/>
              </w:rPr>
            </w:pPr>
            <w:r>
              <w:t>GAA</w:t>
            </w:r>
          </w:p>
        </w:tc>
        <w:tc>
          <w:tcPr>
            <w:tcW w:w="6793" w:type="dxa"/>
          </w:tcPr>
          <w:p w14:paraId="2BBBD775" w14:textId="62F00B56" w:rsidR="00FD152F" w:rsidRPr="007533D5" w:rsidRDefault="00FD152F" w:rsidP="00502934">
            <w:pPr>
              <w:rPr>
                <w:rFonts w:eastAsia="Times New Roman"/>
              </w:rPr>
            </w:pPr>
            <w:r>
              <w:t>Guardianship and Administration Act 2019 (Victoria)</w:t>
            </w:r>
          </w:p>
        </w:tc>
      </w:tr>
      <w:tr w:rsidR="00502934" w14:paraId="52651C99" w14:textId="77777777" w:rsidTr="00502934">
        <w:tc>
          <w:tcPr>
            <w:tcW w:w="2126" w:type="dxa"/>
          </w:tcPr>
          <w:p w14:paraId="3D8E3010" w14:textId="79055F88" w:rsidR="00502934" w:rsidRDefault="00502934" w:rsidP="00502934">
            <w:r w:rsidRPr="007533D5">
              <w:rPr>
                <w:rFonts w:eastAsia="Times New Roman"/>
              </w:rPr>
              <w:t>OPA </w:t>
            </w:r>
          </w:p>
        </w:tc>
        <w:tc>
          <w:tcPr>
            <w:tcW w:w="6793" w:type="dxa"/>
          </w:tcPr>
          <w:p w14:paraId="12D6B832" w14:textId="44D1CB5A" w:rsidR="00502934" w:rsidRDefault="00502934" w:rsidP="00502934">
            <w:r w:rsidRPr="007533D5">
              <w:rPr>
                <w:rFonts w:eastAsia="Times New Roman"/>
              </w:rPr>
              <w:t>Office of the Public Advocate </w:t>
            </w:r>
          </w:p>
        </w:tc>
      </w:tr>
      <w:tr w:rsidR="00502934" w14:paraId="4645CF1A" w14:textId="77777777" w:rsidTr="00502934">
        <w:tc>
          <w:tcPr>
            <w:tcW w:w="2126" w:type="dxa"/>
          </w:tcPr>
          <w:p w14:paraId="0C06E989" w14:textId="3F731443" w:rsidR="00502934" w:rsidRDefault="00502934" w:rsidP="00502934">
            <w:r w:rsidRPr="007533D5">
              <w:rPr>
                <w:rFonts w:eastAsia="Times New Roman"/>
              </w:rPr>
              <w:t>NDIA</w:t>
            </w:r>
          </w:p>
        </w:tc>
        <w:tc>
          <w:tcPr>
            <w:tcW w:w="6793" w:type="dxa"/>
          </w:tcPr>
          <w:p w14:paraId="0039D8FB" w14:textId="3CDD1CA4" w:rsidR="00502934" w:rsidRDefault="00502934" w:rsidP="00502934">
            <w:r w:rsidRPr="007533D5">
              <w:rPr>
                <w:rFonts w:eastAsia="Times New Roman"/>
              </w:rPr>
              <w:t>National Disability Insurance Agency</w:t>
            </w:r>
          </w:p>
        </w:tc>
      </w:tr>
      <w:tr w:rsidR="00502934" w14:paraId="0F616FBE" w14:textId="77777777" w:rsidTr="00502934">
        <w:tc>
          <w:tcPr>
            <w:tcW w:w="2126" w:type="dxa"/>
          </w:tcPr>
          <w:p w14:paraId="17E4B546" w14:textId="280890BC" w:rsidR="00502934" w:rsidRDefault="00502934" w:rsidP="00502934">
            <w:r w:rsidRPr="009632DF">
              <w:rPr>
                <w:rFonts w:eastAsia="Times New Roman"/>
              </w:rPr>
              <w:t>NDIS</w:t>
            </w:r>
          </w:p>
        </w:tc>
        <w:tc>
          <w:tcPr>
            <w:tcW w:w="6793" w:type="dxa"/>
          </w:tcPr>
          <w:p w14:paraId="3C0B0F94" w14:textId="6BA5456D" w:rsidR="00502934" w:rsidRDefault="00502934" w:rsidP="00502934">
            <w:r w:rsidRPr="007533D5">
              <w:rPr>
                <w:rFonts w:eastAsia="Times New Roman"/>
              </w:rPr>
              <w:t>National Disability Insurance Scheme</w:t>
            </w:r>
          </w:p>
        </w:tc>
      </w:tr>
      <w:tr w:rsidR="00502934" w14:paraId="51B06F79" w14:textId="77777777" w:rsidTr="00502934">
        <w:tc>
          <w:tcPr>
            <w:tcW w:w="2126" w:type="dxa"/>
          </w:tcPr>
          <w:p w14:paraId="5F1544F0" w14:textId="78B15696" w:rsidR="00502934" w:rsidRPr="009632DF" w:rsidRDefault="00502934" w:rsidP="00502934">
            <w:pPr>
              <w:rPr>
                <w:rFonts w:eastAsia="Times New Roman"/>
              </w:rPr>
            </w:pPr>
            <w:r w:rsidRPr="009632DF">
              <w:rPr>
                <w:rFonts w:eastAsia="Times New Roman"/>
              </w:rPr>
              <w:t>UNCRPD</w:t>
            </w:r>
          </w:p>
        </w:tc>
        <w:tc>
          <w:tcPr>
            <w:tcW w:w="6793" w:type="dxa"/>
          </w:tcPr>
          <w:p w14:paraId="4E0284E0" w14:textId="4653AC55" w:rsidR="00502934" w:rsidRPr="007533D5" w:rsidRDefault="00502934" w:rsidP="00502934">
            <w:pPr>
              <w:rPr>
                <w:rFonts w:eastAsia="Times New Roman"/>
              </w:rPr>
            </w:pPr>
            <w:r w:rsidRPr="007533D5">
              <w:rPr>
                <w:rFonts w:eastAsia="Times New Roman"/>
              </w:rPr>
              <w:t>United Nations Convention on the Rights of Persons with Disabilities</w:t>
            </w:r>
          </w:p>
        </w:tc>
      </w:tr>
      <w:tr w:rsidR="00502934" w14:paraId="56B43183" w14:textId="77777777" w:rsidTr="00502934">
        <w:tc>
          <w:tcPr>
            <w:tcW w:w="2126" w:type="dxa"/>
          </w:tcPr>
          <w:p w14:paraId="374EE0A6" w14:textId="59DC5E02" w:rsidR="00502934" w:rsidRPr="009632DF" w:rsidRDefault="00502934" w:rsidP="00502934">
            <w:pPr>
              <w:spacing w:after="0"/>
              <w:textAlignment w:val="baseline"/>
              <w:rPr>
                <w:rFonts w:eastAsia="Times New Roman"/>
              </w:rPr>
            </w:pPr>
            <w:r w:rsidRPr="009632DF">
              <w:rPr>
                <w:rFonts w:eastAsia="Times New Roman"/>
              </w:rPr>
              <w:t>VCAT</w:t>
            </w:r>
          </w:p>
        </w:tc>
        <w:tc>
          <w:tcPr>
            <w:tcW w:w="6793" w:type="dxa"/>
          </w:tcPr>
          <w:p w14:paraId="680D0636" w14:textId="760F5062" w:rsidR="00502934" w:rsidRPr="009632DF" w:rsidRDefault="00502934" w:rsidP="00502934">
            <w:pPr>
              <w:spacing w:after="0"/>
              <w:textAlignment w:val="baseline"/>
              <w:rPr>
                <w:rFonts w:eastAsia="Times New Roman"/>
              </w:rPr>
            </w:pPr>
            <w:r w:rsidRPr="007533D5">
              <w:rPr>
                <w:rFonts w:eastAsia="Times New Roman"/>
              </w:rPr>
              <w:t>Victorian Civil and Administrative Tribunal</w:t>
            </w:r>
          </w:p>
        </w:tc>
      </w:tr>
    </w:tbl>
    <w:p w14:paraId="4383C448" w14:textId="77777777" w:rsidR="00205C99" w:rsidRDefault="00205C99" w:rsidP="00205C99">
      <w:pPr>
        <w:pStyle w:val="Heading1"/>
      </w:pPr>
    </w:p>
    <w:p w14:paraId="310DE03D" w14:textId="77777777" w:rsidR="00205C99" w:rsidRDefault="00205C99" w:rsidP="00205C99">
      <w:pPr>
        <w:spacing w:before="0" w:after="0"/>
        <w:rPr>
          <w:rFonts w:eastAsia="MS Gothic"/>
          <w:b/>
          <w:bCs/>
          <w:kern w:val="32"/>
          <w:sz w:val="32"/>
          <w:szCs w:val="40"/>
          <w:lang w:eastAsia="en-US"/>
        </w:rPr>
      </w:pPr>
      <w:r>
        <w:br w:type="page"/>
      </w:r>
    </w:p>
    <w:p w14:paraId="7C605514" w14:textId="07E829F3" w:rsidR="00205C99" w:rsidRDefault="00205C99" w:rsidP="004720DD">
      <w:pPr>
        <w:pStyle w:val="Heading1OPA"/>
      </w:pPr>
      <w:bookmarkStart w:id="1" w:name="_Toc82176119"/>
      <w:r w:rsidRPr="004720DD">
        <w:t>Recommendations</w:t>
      </w:r>
      <w:bookmarkEnd w:id="1"/>
    </w:p>
    <w:p w14:paraId="709E0466" w14:textId="77777777" w:rsidR="00EF6113" w:rsidRPr="00EF6113" w:rsidRDefault="00EF6113" w:rsidP="00EF6113">
      <w:pPr>
        <w:pStyle w:val="NormalOPA"/>
      </w:pPr>
    </w:p>
    <w:p w14:paraId="4DBBD9D5" w14:textId="77777777" w:rsidR="00051BFF" w:rsidRPr="00051BFF" w:rsidRDefault="00051BFF" w:rsidP="00051BFF">
      <w:pPr>
        <w:pStyle w:val="NormalOPA"/>
        <w:spacing w:line="276" w:lineRule="auto"/>
        <w:ind w:left="0"/>
        <w:rPr>
          <w:rFonts w:eastAsiaTheme="minorEastAsia" w:cs="Arial"/>
          <w:b/>
          <w:bCs/>
          <w:color w:val="000000" w:themeColor="text1"/>
        </w:rPr>
      </w:pPr>
      <w:r w:rsidRPr="00051BFF">
        <w:rPr>
          <w:rFonts w:eastAsiaTheme="minorEastAsia" w:cs="Arial"/>
          <w:b/>
          <w:bCs/>
          <w:color w:val="000000" w:themeColor="text1"/>
        </w:rPr>
        <w:t xml:space="preserve">Recommendation 1  </w:t>
      </w:r>
    </w:p>
    <w:p w14:paraId="3AA0B14C" w14:textId="6CF934F6" w:rsidR="00051BFF" w:rsidRPr="00051BFF" w:rsidRDefault="00051BFF" w:rsidP="00051BFF">
      <w:pPr>
        <w:pStyle w:val="NormalOPA"/>
        <w:spacing w:line="276" w:lineRule="auto"/>
        <w:ind w:left="0"/>
        <w:rPr>
          <w:rFonts w:eastAsiaTheme="minorEastAsia" w:cs="Arial"/>
          <w:b/>
          <w:bCs/>
          <w:color w:val="000000" w:themeColor="text1"/>
        </w:rPr>
      </w:pPr>
      <w:r w:rsidRPr="00051BFF">
        <w:rPr>
          <w:rFonts w:eastAsiaTheme="minorEastAsia" w:cs="Arial"/>
          <w:b/>
          <w:bCs/>
          <w:color w:val="000000" w:themeColor="text1"/>
        </w:rPr>
        <w:t>The National Disability Insurance Agency should provide decision</w:t>
      </w:r>
      <w:r w:rsidR="009B23AC">
        <w:rPr>
          <w:rFonts w:eastAsiaTheme="minorEastAsia" w:cs="Arial"/>
          <w:b/>
          <w:bCs/>
          <w:color w:val="000000" w:themeColor="text1"/>
        </w:rPr>
        <w:t xml:space="preserve"> </w:t>
      </w:r>
      <w:r w:rsidRPr="00051BFF">
        <w:rPr>
          <w:rFonts w:eastAsiaTheme="minorEastAsia" w:cs="Arial"/>
          <w:b/>
          <w:bCs/>
          <w:color w:val="000000" w:themeColor="text1"/>
        </w:rPr>
        <w:t xml:space="preserve">support for participants who require it to promote the human rights of people with disability to exercise choice and control. </w:t>
      </w:r>
    </w:p>
    <w:p w14:paraId="41BE802F" w14:textId="0EBAA442" w:rsidR="00051BFF" w:rsidRDefault="00051BFF" w:rsidP="00051BFF">
      <w:pPr>
        <w:pStyle w:val="NormalOPA"/>
        <w:spacing w:line="276" w:lineRule="auto"/>
        <w:rPr>
          <w:rFonts w:eastAsiaTheme="minorEastAsia" w:cs="Arial"/>
          <w:b/>
          <w:bCs/>
          <w:color w:val="000000" w:themeColor="text1"/>
        </w:rPr>
      </w:pPr>
      <w:r w:rsidRPr="00051BFF">
        <w:rPr>
          <w:rFonts w:eastAsiaTheme="minorEastAsia" w:cs="Arial"/>
          <w:b/>
          <w:bCs/>
          <w:color w:val="000000" w:themeColor="text1"/>
        </w:rPr>
        <w:t xml:space="preserve">  </w:t>
      </w:r>
    </w:p>
    <w:p w14:paraId="293C4322" w14:textId="77777777" w:rsidR="00EF6113" w:rsidRPr="00051BFF" w:rsidRDefault="00EF6113" w:rsidP="00051BFF">
      <w:pPr>
        <w:pStyle w:val="NormalOPA"/>
        <w:spacing w:line="276" w:lineRule="auto"/>
        <w:rPr>
          <w:rFonts w:eastAsiaTheme="minorEastAsia" w:cs="Arial"/>
          <w:b/>
          <w:bCs/>
          <w:color w:val="000000" w:themeColor="text1"/>
        </w:rPr>
      </w:pPr>
    </w:p>
    <w:p w14:paraId="4448612B" w14:textId="77777777" w:rsidR="00051BFF" w:rsidRPr="00051BFF" w:rsidRDefault="00051BFF" w:rsidP="00051BFF">
      <w:pPr>
        <w:pStyle w:val="NormalOPA"/>
        <w:spacing w:line="276" w:lineRule="auto"/>
        <w:ind w:left="0"/>
        <w:rPr>
          <w:rFonts w:eastAsiaTheme="minorEastAsia" w:cs="Arial"/>
          <w:b/>
          <w:bCs/>
          <w:color w:val="000000" w:themeColor="text1"/>
        </w:rPr>
      </w:pPr>
      <w:r w:rsidRPr="00051BFF">
        <w:rPr>
          <w:rFonts w:eastAsiaTheme="minorEastAsia" w:cs="Arial"/>
          <w:b/>
          <w:bCs/>
          <w:color w:val="000000" w:themeColor="text1"/>
        </w:rPr>
        <w:t xml:space="preserve">Recommendation 2  </w:t>
      </w:r>
    </w:p>
    <w:p w14:paraId="27C47D26" w14:textId="77777777" w:rsidR="00051BFF" w:rsidRPr="00051BFF" w:rsidRDefault="00051BFF" w:rsidP="00051BFF">
      <w:pPr>
        <w:pStyle w:val="NormalOPA"/>
        <w:spacing w:line="276" w:lineRule="auto"/>
        <w:ind w:left="0"/>
        <w:rPr>
          <w:rFonts w:eastAsiaTheme="minorEastAsia" w:cs="Arial"/>
          <w:b/>
          <w:bCs/>
          <w:color w:val="000000" w:themeColor="text1"/>
        </w:rPr>
      </w:pPr>
      <w:r w:rsidRPr="00051BFF">
        <w:rPr>
          <w:rFonts w:eastAsiaTheme="minorEastAsia" w:cs="Arial"/>
          <w:b/>
          <w:bCs/>
          <w:color w:val="000000" w:themeColor="text1"/>
        </w:rPr>
        <w:t xml:space="preserve">The National Disability Insurance Agency should fund:  </w:t>
      </w:r>
    </w:p>
    <w:p w14:paraId="3801DC11" w14:textId="6E2D736D" w:rsidR="00051BFF" w:rsidRPr="00051BFF" w:rsidRDefault="00051BFF" w:rsidP="00051BFF">
      <w:pPr>
        <w:pStyle w:val="NormalOPA"/>
        <w:numPr>
          <w:ilvl w:val="0"/>
          <w:numId w:val="35"/>
        </w:numPr>
        <w:spacing w:line="276" w:lineRule="auto"/>
        <w:rPr>
          <w:rFonts w:eastAsiaTheme="minorEastAsia" w:cs="Arial"/>
          <w:b/>
          <w:bCs/>
          <w:color w:val="000000" w:themeColor="text1"/>
        </w:rPr>
      </w:pPr>
      <w:r w:rsidRPr="00051BFF">
        <w:rPr>
          <w:rFonts w:eastAsiaTheme="minorEastAsia" w:cs="Arial"/>
          <w:b/>
          <w:bCs/>
          <w:color w:val="000000" w:themeColor="text1"/>
        </w:rPr>
        <w:t xml:space="preserve">Decision support for day-to-day lifestyle, personal and financial decisions  </w:t>
      </w:r>
    </w:p>
    <w:p w14:paraId="3A645A08" w14:textId="61D010FF" w:rsidR="00051BFF" w:rsidRPr="00051BFF" w:rsidRDefault="00051BFF" w:rsidP="00051BFF">
      <w:pPr>
        <w:pStyle w:val="NormalOPA"/>
        <w:numPr>
          <w:ilvl w:val="0"/>
          <w:numId w:val="35"/>
        </w:numPr>
        <w:spacing w:line="276" w:lineRule="auto"/>
        <w:rPr>
          <w:rFonts w:eastAsiaTheme="minorEastAsia" w:cs="Arial"/>
          <w:b/>
          <w:bCs/>
          <w:color w:val="000000" w:themeColor="text1"/>
        </w:rPr>
      </w:pPr>
      <w:r w:rsidRPr="00051BFF">
        <w:rPr>
          <w:rFonts w:eastAsiaTheme="minorEastAsia" w:cs="Arial"/>
          <w:b/>
          <w:bCs/>
          <w:color w:val="000000" w:themeColor="text1"/>
        </w:rPr>
        <w:t xml:space="preserve">Decision support in advance of significant life transitions  </w:t>
      </w:r>
    </w:p>
    <w:p w14:paraId="36DEC74A" w14:textId="4D58C6D1" w:rsidR="00051BFF" w:rsidRPr="00051BFF" w:rsidRDefault="00051BFF" w:rsidP="00051BFF">
      <w:pPr>
        <w:pStyle w:val="NormalOPA"/>
        <w:numPr>
          <w:ilvl w:val="0"/>
          <w:numId w:val="35"/>
        </w:numPr>
        <w:spacing w:line="276" w:lineRule="auto"/>
        <w:rPr>
          <w:rFonts w:eastAsiaTheme="minorEastAsia" w:cs="Arial"/>
          <w:b/>
          <w:bCs/>
          <w:color w:val="000000" w:themeColor="text1"/>
        </w:rPr>
      </w:pPr>
      <w:r w:rsidRPr="00051BFF">
        <w:rPr>
          <w:rFonts w:eastAsiaTheme="minorEastAsia" w:cs="Arial"/>
          <w:b/>
          <w:bCs/>
          <w:color w:val="000000" w:themeColor="text1"/>
        </w:rPr>
        <w:t>Decision support for NDIS-related planning</w:t>
      </w:r>
      <w:r>
        <w:rPr>
          <w:rFonts w:eastAsiaTheme="minorEastAsia" w:cs="Arial"/>
          <w:b/>
          <w:bCs/>
          <w:color w:val="000000" w:themeColor="text1"/>
        </w:rPr>
        <w:t>.</w:t>
      </w:r>
      <w:r w:rsidRPr="00051BFF">
        <w:rPr>
          <w:rFonts w:eastAsiaTheme="minorEastAsia" w:cs="Arial"/>
          <w:b/>
          <w:bCs/>
          <w:color w:val="000000" w:themeColor="text1"/>
        </w:rPr>
        <w:t xml:space="preserve">   </w:t>
      </w:r>
    </w:p>
    <w:p w14:paraId="1B902851" w14:textId="2851BD63" w:rsidR="00051BFF" w:rsidRDefault="00051BFF" w:rsidP="00051BFF">
      <w:pPr>
        <w:pStyle w:val="NormalOPA"/>
        <w:spacing w:line="276" w:lineRule="auto"/>
        <w:rPr>
          <w:rFonts w:eastAsiaTheme="minorEastAsia" w:cs="Arial"/>
          <w:b/>
          <w:bCs/>
          <w:color w:val="000000" w:themeColor="text1"/>
        </w:rPr>
      </w:pPr>
      <w:r w:rsidRPr="00051BFF">
        <w:rPr>
          <w:rFonts w:eastAsiaTheme="minorEastAsia" w:cs="Arial"/>
          <w:b/>
          <w:bCs/>
          <w:color w:val="000000" w:themeColor="text1"/>
        </w:rPr>
        <w:t xml:space="preserve">  </w:t>
      </w:r>
    </w:p>
    <w:p w14:paraId="62DB362F" w14:textId="77777777" w:rsidR="00EF6113" w:rsidRPr="00051BFF" w:rsidRDefault="00EF6113" w:rsidP="00051BFF">
      <w:pPr>
        <w:pStyle w:val="NormalOPA"/>
        <w:spacing w:line="276" w:lineRule="auto"/>
        <w:rPr>
          <w:rFonts w:eastAsiaTheme="minorEastAsia" w:cs="Arial"/>
          <w:b/>
          <w:bCs/>
          <w:color w:val="000000" w:themeColor="text1"/>
        </w:rPr>
      </w:pPr>
    </w:p>
    <w:p w14:paraId="04677B61" w14:textId="77777777" w:rsidR="00051BFF" w:rsidRPr="00051BFF" w:rsidRDefault="00051BFF" w:rsidP="00051BFF">
      <w:pPr>
        <w:pStyle w:val="NormalOPA"/>
        <w:spacing w:line="276" w:lineRule="auto"/>
        <w:ind w:left="0"/>
        <w:rPr>
          <w:rFonts w:eastAsiaTheme="minorEastAsia" w:cs="Arial"/>
          <w:b/>
          <w:bCs/>
          <w:color w:val="000000" w:themeColor="text1"/>
        </w:rPr>
      </w:pPr>
      <w:r w:rsidRPr="00051BFF">
        <w:rPr>
          <w:rFonts w:eastAsiaTheme="minorEastAsia" w:cs="Arial"/>
          <w:b/>
          <w:bCs/>
          <w:color w:val="000000" w:themeColor="text1"/>
        </w:rPr>
        <w:t xml:space="preserve">Recommendation 3   </w:t>
      </w:r>
    </w:p>
    <w:p w14:paraId="10F4E473" w14:textId="77777777" w:rsidR="00051BFF" w:rsidRPr="00051BFF" w:rsidRDefault="00051BFF" w:rsidP="00051BFF">
      <w:pPr>
        <w:pStyle w:val="NormalOPA"/>
        <w:spacing w:line="276" w:lineRule="auto"/>
        <w:ind w:left="0"/>
        <w:rPr>
          <w:rFonts w:eastAsiaTheme="minorEastAsia" w:cs="Arial"/>
          <w:b/>
          <w:bCs/>
          <w:color w:val="000000" w:themeColor="text1"/>
        </w:rPr>
      </w:pPr>
      <w:r w:rsidRPr="00051BFF">
        <w:rPr>
          <w:rFonts w:eastAsiaTheme="minorEastAsia" w:cs="Arial"/>
          <w:b/>
          <w:bCs/>
          <w:color w:val="000000" w:themeColor="text1"/>
        </w:rPr>
        <w:t xml:space="preserve">The National Disability Insurance Agency should provide capacity building and training opportunities, supported decision-making tools and resources for non-professional decision-supporters.  </w:t>
      </w:r>
    </w:p>
    <w:p w14:paraId="1DECC9B3" w14:textId="791BB4F0" w:rsidR="00051BFF" w:rsidRDefault="00051BFF" w:rsidP="00051BFF">
      <w:pPr>
        <w:pStyle w:val="NormalOPA"/>
        <w:spacing w:line="276" w:lineRule="auto"/>
        <w:rPr>
          <w:rFonts w:eastAsiaTheme="minorEastAsia" w:cs="Arial"/>
          <w:b/>
          <w:bCs/>
          <w:color w:val="000000" w:themeColor="text1"/>
        </w:rPr>
      </w:pPr>
      <w:r w:rsidRPr="00051BFF">
        <w:rPr>
          <w:rFonts w:eastAsiaTheme="minorEastAsia" w:cs="Arial"/>
          <w:b/>
          <w:bCs/>
          <w:color w:val="000000" w:themeColor="text1"/>
        </w:rPr>
        <w:t xml:space="preserve">  </w:t>
      </w:r>
    </w:p>
    <w:p w14:paraId="36F94D01" w14:textId="77777777" w:rsidR="00EF6113" w:rsidRPr="00051BFF" w:rsidRDefault="00EF6113" w:rsidP="00051BFF">
      <w:pPr>
        <w:pStyle w:val="NormalOPA"/>
        <w:spacing w:line="276" w:lineRule="auto"/>
        <w:rPr>
          <w:rFonts w:eastAsiaTheme="minorEastAsia" w:cs="Arial"/>
          <w:b/>
          <w:bCs/>
          <w:color w:val="000000" w:themeColor="text1"/>
        </w:rPr>
      </w:pPr>
    </w:p>
    <w:p w14:paraId="20029B2A" w14:textId="77777777" w:rsidR="00051BFF" w:rsidRPr="00051BFF" w:rsidRDefault="00051BFF" w:rsidP="00051BFF">
      <w:pPr>
        <w:pStyle w:val="NormalOPA"/>
        <w:spacing w:line="276" w:lineRule="auto"/>
        <w:ind w:left="0"/>
        <w:rPr>
          <w:rFonts w:eastAsiaTheme="minorEastAsia" w:cs="Arial"/>
          <w:b/>
          <w:bCs/>
          <w:color w:val="000000" w:themeColor="text1"/>
        </w:rPr>
      </w:pPr>
      <w:r w:rsidRPr="00051BFF">
        <w:rPr>
          <w:rFonts w:eastAsiaTheme="minorEastAsia" w:cs="Arial"/>
          <w:b/>
          <w:bCs/>
          <w:color w:val="000000" w:themeColor="text1"/>
        </w:rPr>
        <w:t xml:space="preserve">Recommendation 4  </w:t>
      </w:r>
    </w:p>
    <w:p w14:paraId="1F076A82" w14:textId="77777777" w:rsidR="00051BFF" w:rsidRPr="00051BFF" w:rsidRDefault="00051BFF" w:rsidP="00051BFF">
      <w:pPr>
        <w:pStyle w:val="NormalOPA"/>
        <w:spacing w:line="276" w:lineRule="auto"/>
        <w:ind w:left="0"/>
        <w:rPr>
          <w:rFonts w:eastAsiaTheme="minorEastAsia" w:cs="Arial"/>
          <w:b/>
          <w:bCs/>
          <w:color w:val="000000" w:themeColor="text1"/>
        </w:rPr>
      </w:pPr>
      <w:r w:rsidRPr="00051BFF">
        <w:rPr>
          <w:rFonts w:eastAsiaTheme="minorEastAsia" w:cs="Arial"/>
          <w:b/>
          <w:bCs/>
          <w:color w:val="000000" w:themeColor="text1"/>
        </w:rPr>
        <w:t xml:space="preserve">The National Disability Insurance Agency should continue to fund innovative supported decision-making initiatives. </w:t>
      </w:r>
    </w:p>
    <w:p w14:paraId="7A8DC54E" w14:textId="150BF5E9" w:rsidR="00051BFF" w:rsidRDefault="00051BFF" w:rsidP="00051BFF">
      <w:pPr>
        <w:pStyle w:val="NormalOPA"/>
        <w:spacing w:line="276" w:lineRule="auto"/>
        <w:rPr>
          <w:rFonts w:eastAsiaTheme="minorEastAsia" w:cs="Arial"/>
          <w:b/>
          <w:bCs/>
          <w:color w:val="000000" w:themeColor="text1"/>
        </w:rPr>
      </w:pPr>
      <w:r w:rsidRPr="00051BFF">
        <w:rPr>
          <w:rFonts w:eastAsiaTheme="minorEastAsia" w:cs="Arial"/>
          <w:b/>
          <w:bCs/>
          <w:color w:val="000000" w:themeColor="text1"/>
        </w:rPr>
        <w:t xml:space="preserve">  </w:t>
      </w:r>
    </w:p>
    <w:p w14:paraId="06E59742" w14:textId="77777777" w:rsidR="00EF6113" w:rsidRPr="00051BFF" w:rsidRDefault="00EF6113" w:rsidP="00051BFF">
      <w:pPr>
        <w:pStyle w:val="NormalOPA"/>
        <w:spacing w:line="276" w:lineRule="auto"/>
        <w:rPr>
          <w:rFonts w:eastAsiaTheme="minorEastAsia" w:cs="Arial"/>
          <w:b/>
          <w:bCs/>
          <w:color w:val="000000" w:themeColor="text1"/>
        </w:rPr>
      </w:pPr>
    </w:p>
    <w:p w14:paraId="2BD73780" w14:textId="77777777" w:rsidR="00051BFF" w:rsidRPr="00051BFF" w:rsidRDefault="00051BFF" w:rsidP="00051BFF">
      <w:pPr>
        <w:pStyle w:val="NormalOPA"/>
        <w:spacing w:line="276" w:lineRule="auto"/>
        <w:ind w:left="0"/>
        <w:rPr>
          <w:rFonts w:eastAsiaTheme="minorEastAsia" w:cs="Arial"/>
          <w:b/>
          <w:bCs/>
          <w:color w:val="000000" w:themeColor="text1"/>
        </w:rPr>
      </w:pPr>
      <w:r w:rsidRPr="00051BFF">
        <w:rPr>
          <w:rFonts w:eastAsiaTheme="minorEastAsia" w:cs="Arial"/>
          <w:b/>
          <w:bCs/>
          <w:color w:val="000000" w:themeColor="text1"/>
        </w:rPr>
        <w:t xml:space="preserve">Recommendation 5  </w:t>
      </w:r>
    </w:p>
    <w:p w14:paraId="7A78EE35" w14:textId="3F72669E" w:rsidR="00051BFF" w:rsidRPr="00051BFF" w:rsidRDefault="00051BFF" w:rsidP="00051BFF">
      <w:pPr>
        <w:pStyle w:val="NormalOPA"/>
        <w:spacing w:line="276" w:lineRule="auto"/>
        <w:ind w:left="0"/>
        <w:rPr>
          <w:rFonts w:eastAsiaTheme="minorEastAsia" w:cs="Arial"/>
          <w:b/>
          <w:bCs/>
          <w:color w:val="000000" w:themeColor="text1"/>
        </w:rPr>
      </w:pPr>
      <w:r w:rsidRPr="00051BFF">
        <w:rPr>
          <w:rFonts w:eastAsiaTheme="minorEastAsia" w:cs="Arial"/>
          <w:b/>
          <w:bCs/>
          <w:color w:val="000000" w:themeColor="text1"/>
        </w:rPr>
        <w:t xml:space="preserve">The National Disability Insurance Agency should develop guidelines that define the scope and responsibilities of the </w:t>
      </w:r>
      <w:r w:rsidR="009B23AC">
        <w:rPr>
          <w:rFonts w:eastAsiaTheme="minorEastAsia" w:cs="Arial"/>
          <w:b/>
          <w:bCs/>
          <w:color w:val="000000" w:themeColor="text1"/>
        </w:rPr>
        <w:t>D</w:t>
      </w:r>
      <w:r w:rsidRPr="00051BFF">
        <w:rPr>
          <w:rFonts w:eastAsiaTheme="minorEastAsia" w:cs="Arial"/>
          <w:b/>
          <w:bCs/>
          <w:color w:val="000000" w:themeColor="text1"/>
        </w:rPr>
        <w:t>ecision-</w:t>
      </w:r>
      <w:r w:rsidR="009B23AC">
        <w:rPr>
          <w:rFonts w:eastAsiaTheme="minorEastAsia" w:cs="Arial"/>
          <w:b/>
          <w:bCs/>
          <w:color w:val="000000" w:themeColor="text1"/>
        </w:rPr>
        <w:t>S</w:t>
      </w:r>
      <w:r w:rsidRPr="00051BFF">
        <w:rPr>
          <w:rFonts w:eastAsiaTheme="minorEastAsia" w:cs="Arial"/>
          <w:b/>
          <w:bCs/>
          <w:color w:val="000000" w:themeColor="text1"/>
        </w:rPr>
        <w:t xml:space="preserve">upporter role, </w:t>
      </w:r>
      <w:r w:rsidR="009B23AC">
        <w:rPr>
          <w:rFonts w:eastAsiaTheme="minorEastAsia" w:cs="Arial"/>
          <w:b/>
          <w:bCs/>
          <w:color w:val="000000" w:themeColor="text1"/>
        </w:rPr>
        <w:t>to</w:t>
      </w:r>
      <w:r w:rsidR="00EF6113">
        <w:rPr>
          <w:rFonts w:eastAsiaTheme="minorEastAsia" w:cs="Arial"/>
          <w:b/>
          <w:bCs/>
          <w:color w:val="000000" w:themeColor="text1"/>
        </w:rPr>
        <w:t xml:space="preserve"> </w:t>
      </w:r>
      <w:r w:rsidRPr="00051BFF">
        <w:rPr>
          <w:rFonts w:eastAsiaTheme="minorEastAsia" w:cs="Arial"/>
          <w:b/>
          <w:bCs/>
          <w:color w:val="000000" w:themeColor="text1"/>
        </w:rPr>
        <w:t>includ</w:t>
      </w:r>
      <w:r w:rsidR="00EF6113">
        <w:rPr>
          <w:rFonts w:eastAsiaTheme="minorEastAsia" w:cs="Arial"/>
          <w:b/>
          <w:bCs/>
          <w:color w:val="000000" w:themeColor="text1"/>
        </w:rPr>
        <w:t>e</w:t>
      </w:r>
      <w:r w:rsidRPr="00051BFF">
        <w:rPr>
          <w:rFonts w:eastAsiaTheme="minorEastAsia" w:cs="Arial"/>
          <w:b/>
          <w:bCs/>
          <w:color w:val="000000" w:themeColor="text1"/>
        </w:rPr>
        <w:t xml:space="preserve"> an advocacy element. </w:t>
      </w:r>
    </w:p>
    <w:p w14:paraId="5ED7F0B1" w14:textId="77777777" w:rsidR="00EF6113" w:rsidRDefault="00051BFF" w:rsidP="00051BFF">
      <w:pPr>
        <w:pStyle w:val="NormalOPA"/>
        <w:spacing w:line="276" w:lineRule="auto"/>
        <w:rPr>
          <w:rFonts w:eastAsiaTheme="minorEastAsia" w:cs="Arial"/>
          <w:b/>
          <w:bCs/>
          <w:color w:val="000000" w:themeColor="text1"/>
        </w:rPr>
      </w:pPr>
      <w:r w:rsidRPr="00051BFF">
        <w:rPr>
          <w:rFonts w:eastAsiaTheme="minorEastAsia" w:cs="Arial"/>
          <w:b/>
          <w:bCs/>
          <w:color w:val="000000" w:themeColor="text1"/>
        </w:rPr>
        <w:t xml:space="preserve"> </w:t>
      </w:r>
    </w:p>
    <w:p w14:paraId="0C5756C0" w14:textId="30E86784" w:rsidR="00051BFF" w:rsidRPr="00051BFF" w:rsidRDefault="00051BFF" w:rsidP="00051BFF">
      <w:pPr>
        <w:pStyle w:val="NormalOPA"/>
        <w:spacing w:line="276" w:lineRule="auto"/>
        <w:rPr>
          <w:rFonts w:eastAsiaTheme="minorEastAsia" w:cs="Arial"/>
          <w:b/>
          <w:bCs/>
          <w:color w:val="000000" w:themeColor="text1"/>
        </w:rPr>
      </w:pPr>
      <w:r w:rsidRPr="00051BFF">
        <w:rPr>
          <w:rFonts w:eastAsiaTheme="minorEastAsia" w:cs="Arial"/>
          <w:b/>
          <w:bCs/>
          <w:color w:val="000000" w:themeColor="text1"/>
        </w:rPr>
        <w:t xml:space="preserve"> </w:t>
      </w:r>
    </w:p>
    <w:p w14:paraId="0DA7C205" w14:textId="77777777" w:rsidR="00051BFF" w:rsidRPr="00051BFF" w:rsidRDefault="00051BFF" w:rsidP="00051BFF">
      <w:pPr>
        <w:pStyle w:val="NormalOPA"/>
        <w:spacing w:line="276" w:lineRule="auto"/>
        <w:ind w:left="0"/>
        <w:rPr>
          <w:rFonts w:eastAsiaTheme="minorEastAsia" w:cs="Arial"/>
          <w:b/>
          <w:bCs/>
          <w:color w:val="000000" w:themeColor="text1"/>
        </w:rPr>
      </w:pPr>
      <w:r w:rsidRPr="00051BFF">
        <w:rPr>
          <w:rFonts w:eastAsiaTheme="minorEastAsia" w:cs="Arial"/>
          <w:b/>
          <w:bCs/>
          <w:color w:val="000000" w:themeColor="text1"/>
        </w:rPr>
        <w:t xml:space="preserve">Recommendation 6 </w:t>
      </w:r>
    </w:p>
    <w:p w14:paraId="46ACD989" w14:textId="762AC499" w:rsidR="00502934" w:rsidRDefault="00051BFF" w:rsidP="00051BFF">
      <w:pPr>
        <w:pStyle w:val="NormalOPA"/>
        <w:spacing w:line="276" w:lineRule="auto"/>
        <w:ind w:left="0"/>
        <w:rPr>
          <w:rFonts w:eastAsiaTheme="minorEastAsia" w:cs="Arial"/>
          <w:b/>
          <w:bCs/>
          <w:color w:val="000000" w:themeColor="text1"/>
        </w:rPr>
      </w:pPr>
      <w:r w:rsidRPr="00051BFF">
        <w:rPr>
          <w:rFonts w:eastAsiaTheme="minorEastAsia" w:cs="Arial"/>
          <w:b/>
          <w:bCs/>
          <w:color w:val="000000" w:themeColor="text1"/>
        </w:rPr>
        <w:t xml:space="preserve">The National Disability Insurance Agency’s administrative processes should be sufficiently flexible to ensure that participants can implement decisions made with support.  </w:t>
      </w:r>
    </w:p>
    <w:p w14:paraId="61C512CC" w14:textId="606F07A1" w:rsidR="00EF6113" w:rsidRDefault="00EF6113" w:rsidP="00051BFF">
      <w:pPr>
        <w:pStyle w:val="NormalOPA"/>
        <w:spacing w:line="276" w:lineRule="auto"/>
        <w:ind w:left="0"/>
        <w:rPr>
          <w:rFonts w:eastAsiaTheme="minorEastAsia" w:cs="Arial"/>
          <w:b/>
          <w:bCs/>
          <w:color w:val="000000" w:themeColor="text1"/>
        </w:rPr>
      </w:pPr>
    </w:p>
    <w:p w14:paraId="1E849E6E" w14:textId="60BEADDD" w:rsidR="00EF6113" w:rsidRDefault="00EF6113" w:rsidP="00051BFF">
      <w:pPr>
        <w:pStyle w:val="NormalOPA"/>
        <w:spacing w:line="276" w:lineRule="auto"/>
        <w:ind w:left="0"/>
        <w:rPr>
          <w:rFonts w:eastAsiaTheme="minorEastAsia" w:cs="Arial"/>
          <w:b/>
          <w:bCs/>
          <w:color w:val="000000" w:themeColor="text1"/>
        </w:rPr>
      </w:pPr>
    </w:p>
    <w:p w14:paraId="0E20D134" w14:textId="1C066A2C" w:rsidR="00EF6113" w:rsidRDefault="00EF6113" w:rsidP="00051BFF">
      <w:pPr>
        <w:pStyle w:val="NormalOPA"/>
        <w:spacing w:line="276" w:lineRule="auto"/>
        <w:ind w:left="0"/>
        <w:rPr>
          <w:rFonts w:eastAsiaTheme="minorEastAsia" w:cs="Arial"/>
          <w:b/>
          <w:bCs/>
          <w:color w:val="000000" w:themeColor="text1"/>
        </w:rPr>
      </w:pPr>
    </w:p>
    <w:p w14:paraId="6D2D5CDC" w14:textId="77777777" w:rsidR="00EF6113" w:rsidRDefault="00EF6113" w:rsidP="004720DD">
      <w:pPr>
        <w:pStyle w:val="Heading1OPA"/>
        <w:numPr>
          <w:ilvl w:val="0"/>
          <w:numId w:val="26"/>
        </w:numPr>
      </w:pPr>
      <w:bookmarkStart w:id="2" w:name="_Toc82176120"/>
      <w:r>
        <w:t>Office of the Public Advocate</w:t>
      </w:r>
      <w:bookmarkEnd w:id="2"/>
    </w:p>
    <w:p w14:paraId="34EB237F" w14:textId="77777777" w:rsidR="00EF6113" w:rsidRPr="00EF6113" w:rsidRDefault="00EF6113" w:rsidP="00EF6113">
      <w:pPr>
        <w:rPr>
          <w:rFonts w:ascii="Segoe UI" w:hAnsi="Segoe UI" w:cs="Segoe UI"/>
          <w:sz w:val="18"/>
          <w:szCs w:val="18"/>
          <w:lang w:val="en-US"/>
        </w:rPr>
      </w:pPr>
      <w:r w:rsidRPr="00EF6113">
        <w:t>The Office of the Public Advocate (OPA) is a Victorian statutory office, independent of government and government services, that works to safeguard the rights and interests of people with disability. The Public Advocate is appointed by the Governor in Council and is answerable to the Victorian State Parliament. </w:t>
      </w:r>
      <w:r w:rsidRPr="00EF6113">
        <w:rPr>
          <w:lang w:val="en-US"/>
        </w:rPr>
        <w:t> </w:t>
      </w:r>
    </w:p>
    <w:p w14:paraId="3BBD8472" w14:textId="702DD5A9" w:rsidR="00EF6113" w:rsidRPr="00EF6113" w:rsidRDefault="00EF6113" w:rsidP="00EF6113">
      <w:pPr>
        <w:rPr>
          <w:rFonts w:ascii="Segoe UI" w:hAnsi="Segoe UI" w:cs="Segoe UI"/>
          <w:sz w:val="18"/>
          <w:szCs w:val="18"/>
          <w:lang w:val="en-US"/>
        </w:rPr>
      </w:pPr>
      <w:r w:rsidRPr="00EF6113">
        <w:t>The Public Advocate has seven functions under the </w:t>
      </w:r>
      <w:r w:rsidRPr="00EF6113">
        <w:rPr>
          <w:i/>
          <w:iCs/>
        </w:rPr>
        <w:t>Guardianship and Administration Act 2019</w:t>
      </w:r>
      <w:r w:rsidRPr="00EF6113">
        <w:t> (Vic)</w:t>
      </w:r>
      <w:r w:rsidR="00FD152F">
        <w:t xml:space="preserve"> (GAA)</w:t>
      </w:r>
      <w:r w:rsidRPr="00EF6113">
        <w:t>, all of which relate to promoting the independence and human rights of people with disability and protecting people with disability from abuse, neglect, and exploitation. To this end, OPA provides a range of critical services for people with cognitive impairment or mental illness, including guardianship, advocacy, and investigation services. In 2019-20, OPA was involved in 1792 guardianship matters (950 which were new), 430 investigations, and 284 cases requiring advocacy.</w:t>
      </w:r>
      <w:r w:rsidRPr="00EF6113">
        <w:rPr>
          <w:sz w:val="17"/>
          <w:szCs w:val="17"/>
          <w:vertAlign w:val="superscript"/>
        </w:rPr>
        <w:t>2</w:t>
      </w:r>
      <w:r w:rsidRPr="00EF6113">
        <w:t> In recent years, the profile of its clients has begun to change. As in previous years, the complexity of cases remains a key feature of guardianship matters, each of which has multiple dimensions ranging from complex disability presentations and service provision arrangements to complex family dynamics. A key contributor to this increasing complexity is the introduction of the National Disability Insurance Scheme (NDIS), and the interface with the justice system, in addition to the lack of appropriate and accessible housing for people with complex and challenging support needs. </w:t>
      </w:r>
      <w:r w:rsidRPr="00EF6113">
        <w:rPr>
          <w:lang w:val="en-US"/>
        </w:rPr>
        <w:t> </w:t>
      </w:r>
    </w:p>
    <w:p w14:paraId="708EE3ED" w14:textId="77777777" w:rsidR="00EF6113" w:rsidRPr="00EF6113" w:rsidRDefault="00EF6113" w:rsidP="00EF6113">
      <w:pPr>
        <w:rPr>
          <w:rFonts w:ascii="Segoe UI" w:hAnsi="Segoe UI" w:cs="Segoe UI"/>
          <w:sz w:val="18"/>
          <w:szCs w:val="18"/>
          <w:lang w:val="en-US"/>
        </w:rPr>
      </w:pPr>
      <w:r w:rsidRPr="00EF6113">
        <w:t>A key function of the Public Advocate is to promote and facilitate public awareness and understanding about the </w:t>
      </w:r>
      <w:r w:rsidRPr="00EF6113">
        <w:rPr>
          <w:i/>
          <w:iCs/>
        </w:rPr>
        <w:t>Guardianship and Administration Act</w:t>
      </w:r>
      <w:r w:rsidRPr="00EF6113">
        <w:t> 2019 and any other legislation affecting persons with disability or persons who may not have decision-making capacity. To do so, OPA supports a full-service communications function with 120 publications in print or PDF, a website attracting over 200,000 visitors a year and strong media relations. It also operates an Advice Service which provided 12,624 instances of advice last financial year. OPA also coordinates a community education program for professional and community audiences across Victoria to engage on a range of topics such as the role of OPA, guardianship and administration, and enduring powers of attorney. </w:t>
      </w:r>
      <w:r w:rsidRPr="00EF6113">
        <w:rPr>
          <w:lang w:val="en-US"/>
        </w:rPr>
        <w:t> </w:t>
      </w:r>
    </w:p>
    <w:p w14:paraId="34CAE51F" w14:textId="77777777" w:rsidR="00EF6113" w:rsidRPr="00EF6113" w:rsidRDefault="00EF6113" w:rsidP="00EF6113">
      <w:pPr>
        <w:rPr>
          <w:rFonts w:ascii="Segoe UI" w:hAnsi="Segoe UI" w:cs="Segoe UI"/>
          <w:sz w:val="18"/>
          <w:szCs w:val="18"/>
          <w:lang w:val="en-US"/>
        </w:rPr>
      </w:pPr>
      <w:r w:rsidRPr="00EF6113">
        <w:t>OPA is supported by more than 700 volunteers across three volunteer programs: the Community Visitors Program, the Independent Third Person Program (ITP Program) and the Corrections Independent Support Officer (CISO) Program. The ITP Program is an on-call, state-wide service operating in all police stations in Victoria. ITPs assist persons with cognitive impairment when making formal statements to Victoria Police. In 2019-20, ITPs attended a total of 3718 interviews. CISOs are experienced ITPs who support prisoners who have an intellectual disability at Governor's disciplinary hearings at Victorian prisons and/or remand centres. Between July 2017 to March 2020, CISOs attended 254 hearings at seven Victorian prisons. </w:t>
      </w:r>
      <w:r w:rsidRPr="00EF6113">
        <w:rPr>
          <w:lang w:val="en-US"/>
        </w:rPr>
        <w:t> </w:t>
      </w:r>
    </w:p>
    <w:p w14:paraId="66C4B0FF" w14:textId="77777777" w:rsidR="00EF6113" w:rsidRPr="00EF6113" w:rsidRDefault="00EF6113" w:rsidP="00EF6113">
      <w:pPr>
        <w:rPr>
          <w:rFonts w:ascii="Segoe UI" w:hAnsi="Segoe UI" w:cs="Segoe UI"/>
          <w:sz w:val="18"/>
          <w:szCs w:val="18"/>
          <w:lang w:val="en-US"/>
        </w:rPr>
      </w:pPr>
      <w:r w:rsidRPr="00EF6113">
        <w:t>Community Visitors are independent volunteers empowered by law to visit Victorian accommodation facilities for people with disability or mental illness. They monitor and report on the adequacy of services provided in the interests of residents and patients. They ensure that the human rights of residents or patients are being upheld and that they are not subject to abuse, neglect, or exploitation. In their annual report, Community Visitors relate their observations on the quality and safety of the services they visit and make recommendations to the Victorian State Government. More than 400 Community Visitors visit across three streams: disability services, supported residential services and mental health services.  In 2018-19, Community Visitors made 4142 statutory visits, including to sites of criminal and civil detention.  </w:t>
      </w:r>
      <w:r w:rsidRPr="00EF6113">
        <w:rPr>
          <w:lang w:val="en-US"/>
        </w:rPr>
        <w:t> </w:t>
      </w:r>
    </w:p>
    <w:p w14:paraId="439CB4E2" w14:textId="77777777" w:rsidR="00EF6113" w:rsidRDefault="00EF6113" w:rsidP="00EF6113">
      <w:pPr>
        <w:pStyle w:val="Heading1OPA"/>
        <w:ind w:left="0" w:firstLine="0"/>
      </w:pPr>
    </w:p>
    <w:p w14:paraId="516DA1CF" w14:textId="647E4B22" w:rsidR="00502934" w:rsidRPr="004720DD" w:rsidRDefault="00502934" w:rsidP="004720DD">
      <w:pPr>
        <w:pStyle w:val="Heading1OPA"/>
        <w:numPr>
          <w:ilvl w:val="0"/>
          <w:numId w:val="26"/>
        </w:numPr>
      </w:pPr>
      <w:bookmarkStart w:id="3" w:name="_Toc81930915"/>
      <w:bookmarkStart w:id="4" w:name="_Toc82176121"/>
      <w:bookmarkStart w:id="5" w:name="_Toc505072816"/>
      <w:r w:rsidRPr="009632DF">
        <w:t>Introduction</w:t>
      </w:r>
      <w:bookmarkEnd w:id="3"/>
      <w:bookmarkEnd w:id="4"/>
      <w:r w:rsidRPr="009632DF">
        <w:t> </w:t>
      </w:r>
    </w:p>
    <w:p w14:paraId="75E558D0" w14:textId="77777777" w:rsidR="00502934" w:rsidRPr="009632DF" w:rsidRDefault="00502934" w:rsidP="00502934">
      <w:r w:rsidRPr="009632DF">
        <w:t>The Office of the Public Advocate (OPA) supports the introduction of a National Disability Insurance Scheme (NDIS) Supported Decision-Making Policy to further the human rights of people with disability, particularly those with significant cognitive impairment.  </w:t>
      </w:r>
    </w:p>
    <w:p w14:paraId="7A8D22DD" w14:textId="77777777" w:rsidR="00502934" w:rsidRPr="009632DF" w:rsidRDefault="00502934" w:rsidP="00502934">
      <w:r w:rsidRPr="009632DF">
        <w:t xml:space="preserve">This submission is based on the experience of OPA staff and volunteers and the people </w:t>
      </w:r>
      <w:r>
        <w:t>they</w:t>
      </w:r>
      <w:r w:rsidRPr="009632DF">
        <w:t xml:space="preserve"> work with and focusses on the interface of supported decision</w:t>
      </w:r>
      <w:r>
        <w:t>-</w:t>
      </w:r>
      <w:r w:rsidRPr="009632DF">
        <w:t>making with substitute decision</w:t>
      </w:r>
      <w:r>
        <w:t>-</w:t>
      </w:r>
      <w:r w:rsidRPr="009632DF">
        <w:t>making. This includes consideration of: </w:t>
      </w:r>
    </w:p>
    <w:p w14:paraId="137F6981" w14:textId="77777777" w:rsidR="00502934" w:rsidRPr="009632DF" w:rsidRDefault="00502934" w:rsidP="00502934">
      <w:pPr>
        <w:pStyle w:val="ListParagraph"/>
        <w:numPr>
          <w:ilvl w:val="0"/>
          <w:numId w:val="22"/>
        </w:numPr>
        <w:spacing w:after="160" w:line="259" w:lineRule="auto"/>
        <w:contextualSpacing/>
      </w:pPr>
      <w:r w:rsidRPr="009632DF">
        <w:t>the types of decisions that should be included in the policy  </w:t>
      </w:r>
    </w:p>
    <w:p w14:paraId="19FF3F06" w14:textId="6A355A3B" w:rsidR="00502934" w:rsidRPr="009632DF" w:rsidRDefault="00502934" w:rsidP="00502934">
      <w:pPr>
        <w:pStyle w:val="ListParagraph"/>
        <w:numPr>
          <w:ilvl w:val="0"/>
          <w:numId w:val="22"/>
        </w:numPr>
        <w:spacing w:after="160" w:line="259" w:lineRule="auto"/>
        <w:contextualSpacing/>
      </w:pPr>
      <w:r w:rsidRPr="009632DF">
        <w:t xml:space="preserve">the funding of innovative programs to establish and train a cohort of independent </w:t>
      </w:r>
      <w:r w:rsidR="009B23AC">
        <w:t>D</w:t>
      </w:r>
      <w:r w:rsidRPr="009632DF">
        <w:t>ecision</w:t>
      </w:r>
      <w:r>
        <w:t>-</w:t>
      </w:r>
      <w:r w:rsidR="009B23AC">
        <w:t>S</w:t>
      </w:r>
      <w:r w:rsidRPr="009632DF">
        <w:t>upporters, where NDIS participants do not have anyone in their lives who can fulfil this role </w:t>
      </w:r>
    </w:p>
    <w:p w14:paraId="702195C1" w14:textId="421E5D82" w:rsidR="00502934" w:rsidRPr="009632DF" w:rsidRDefault="00502934" w:rsidP="00502934">
      <w:pPr>
        <w:pStyle w:val="ListParagraph"/>
        <w:numPr>
          <w:ilvl w:val="0"/>
          <w:numId w:val="22"/>
        </w:numPr>
        <w:spacing w:after="160" w:line="259" w:lineRule="auto"/>
        <w:contextualSpacing/>
      </w:pPr>
      <w:r w:rsidRPr="009632DF">
        <w:t>how supported decision</w:t>
      </w:r>
      <w:r>
        <w:t>-</w:t>
      </w:r>
      <w:r w:rsidRPr="009632DF">
        <w:t>making can address an over-reliance on substitute decision</w:t>
      </w:r>
      <w:r>
        <w:t>-</w:t>
      </w:r>
      <w:r w:rsidRPr="009632DF">
        <w:t>makers for NDIS-related decisions</w:t>
      </w:r>
      <w:r w:rsidR="009B23AC">
        <w:t>.</w:t>
      </w:r>
    </w:p>
    <w:p w14:paraId="1F8FBEAE" w14:textId="3EB049C9" w:rsidR="00502934" w:rsidRPr="004720DD" w:rsidRDefault="009B23AC" w:rsidP="009B23AC">
      <w:pPr>
        <w:pStyle w:val="Heading3OPA"/>
        <w:numPr>
          <w:ilvl w:val="1"/>
          <w:numId w:val="39"/>
        </w:numPr>
      </w:pPr>
      <w:bookmarkStart w:id="6" w:name="_Toc81930916"/>
      <w:bookmarkStart w:id="7" w:name="_Toc82176122"/>
      <w:r>
        <w:t xml:space="preserve"> </w:t>
      </w:r>
      <w:r w:rsidR="00502934" w:rsidRPr="009632DF">
        <w:t>Human rights approach</w:t>
      </w:r>
      <w:bookmarkEnd w:id="6"/>
      <w:bookmarkEnd w:id="7"/>
      <w:r w:rsidR="00502934" w:rsidRPr="009632DF">
        <w:t> </w:t>
      </w:r>
    </w:p>
    <w:p w14:paraId="6892EA5B" w14:textId="77777777" w:rsidR="00502934" w:rsidRPr="009632DF" w:rsidRDefault="00502934" w:rsidP="00502934">
      <w:pPr>
        <w:spacing w:after="0"/>
        <w:textAlignment w:val="baseline"/>
        <w:rPr>
          <w:rFonts w:eastAsia="Times New Roman"/>
        </w:rPr>
      </w:pPr>
      <w:r w:rsidRPr="009632DF">
        <w:rPr>
          <w:rFonts w:eastAsia="Times New Roman"/>
        </w:rPr>
        <w:t>This submission applies a human rights approach that:  </w:t>
      </w:r>
    </w:p>
    <w:p w14:paraId="67359A65" w14:textId="77777777" w:rsidR="00502934" w:rsidRPr="009632DF" w:rsidRDefault="00502934" w:rsidP="00502934">
      <w:pPr>
        <w:pStyle w:val="ListParagraph"/>
        <w:numPr>
          <w:ilvl w:val="0"/>
          <w:numId w:val="20"/>
        </w:numPr>
        <w:contextualSpacing/>
        <w:textAlignment w:val="baseline"/>
        <w:rPr>
          <w:rFonts w:eastAsia="Times New Roman"/>
        </w:rPr>
      </w:pPr>
      <w:r w:rsidRPr="009632DF">
        <w:rPr>
          <w:rFonts w:eastAsia="Times New Roman"/>
        </w:rPr>
        <w:t>holds that all people with disability have the right to enjoy equality of opportunity and to effectively participate in, and be fully included in, society  </w:t>
      </w:r>
    </w:p>
    <w:p w14:paraId="0E70FFC4" w14:textId="77777777" w:rsidR="00502934" w:rsidRPr="009632DF" w:rsidRDefault="00502934" w:rsidP="00502934">
      <w:pPr>
        <w:pStyle w:val="ListParagraph"/>
        <w:numPr>
          <w:ilvl w:val="0"/>
          <w:numId w:val="20"/>
        </w:numPr>
        <w:contextualSpacing/>
        <w:textAlignment w:val="baseline"/>
        <w:rPr>
          <w:rFonts w:eastAsia="Times New Roman"/>
        </w:rPr>
      </w:pPr>
      <w:r w:rsidRPr="009632DF">
        <w:rPr>
          <w:rFonts w:eastAsia="Times New Roman"/>
        </w:rPr>
        <w:t>recognises that the vast majority of challenges experienced by people with disability are a result of disabling systems and environments, rather than being due to an inherent ‘lack’ in the individual  </w:t>
      </w:r>
    </w:p>
    <w:p w14:paraId="2010CB56" w14:textId="77777777" w:rsidR="00502934" w:rsidRPr="009632DF" w:rsidRDefault="00502934" w:rsidP="00502934">
      <w:pPr>
        <w:pStyle w:val="ListParagraph"/>
        <w:numPr>
          <w:ilvl w:val="0"/>
          <w:numId w:val="20"/>
        </w:numPr>
        <w:contextualSpacing/>
        <w:textAlignment w:val="baseline"/>
        <w:rPr>
          <w:rFonts w:eastAsia="Times New Roman"/>
        </w:rPr>
      </w:pPr>
      <w:r w:rsidRPr="009632DF">
        <w:rPr>
          <w:rFonts w:eastAsia="Times New Roman"/>
        </w:rPr>
        <w:t>considers impairment as an expected dimension of human diversity  </w:t>
      </w:r>
    </w:p>
    <w:p w14:paraId="496432E4" w14:textId="39B15055" w:rsidR="00502934" w:rsidRPr="004720DD" w:rsidRDefault="00502934" w:rsidP="00502934">
      <w:pPr>
        <w:pStyle w:val="ListParagraph"/>
        <w:numPr>
          <w:ilvl w:val="0"/>
          <w:numId w:val="20"/>
        </w:numPr>
        <w:contextualSpacing/>
        <w:textAlignment w:val="baseline"/>
        <w:rPr>
          <w:rFonts w:eastAsia="Times New Roman"/>
        </w:rPr>
      </w:pPr>
      <w:r w:rsidRPr="009632DF">
        <w:rPr>
          <w:rFonts w:eastAsia="Times New Roman"/>
        </w:rPr>
        <w:t>seeks for people with disability to be supported and resourced to have the capabilities to lead a dignifying and flourishing life.  </w:t>
      </w:r>
    </w:p>
    <w:p w14:paraId="2401429A" w14:textId="77777777" w:rsidR="00502934" w:rsidRPr="009632DF" w:rsidRDefault="00502934" w:rsidP="00502934">
      <w:pPr>
        <w:spacing w:after="0"/>
        <w:textAlignment w:val="baseline"/>
        <w:rPr>
          <w:rFonts w:eastAsia="Times New Roman"/>
        </w:rPr>
      </w:pPr>
      <w:r w:rsidRPr="009632DF">
        <w:rPr>
          <w:rFonts w:eastAsia="Times New Roman"/>
        </w:rPr>
        <w:t>In writing this submission, OPA takes into account the following legislative instruments that promote and protect the human rights of people with mental illness and/or disability:  </w:t>
      </w:r>
    </w:p>
    <w:p w14:paraId="5F64C564" w14:textId="77777777" w:rsidR="00502934" w:rsidRPr="009632DF" w:rsidRDefault="00502934" w:rsidP="00502934">
      <w:pPr>
        <w:pStyle w:val="ListParagraph"/>
        <w:numPr>
          <w:ilvl w:val="0"/>
          <w:numId w:val="21"/>
        </w:numPr>
        <w:contextualSpacing/>
        <w:textAlignment w:val="baseline"/>
        <w:rPr>
          <w:rFonts w:eastAsia="Times New Roman"/>
        </w:rPr>
      </w:pPr>
      <w:r w:rsidRPr="009632DF">
        <w:rPr>
          <w:rFonts w:eastAsia="Times New Roman"/>
        </w:rPr>
        <w:t>the United Nations Convention on the Rights of Persons with Disabilities  </w:t>
      </w:r>
    </w:p>
    <w:p w14:paraId="37F5770E" w14:textId="77777777" w:rsidR="00502934" w:rsidRPr="009632DF" w:rsidRDefault="00502934" w:rsidP="00502934">
      <w:pPr>
        <w:pStyle w:val="ListParagraph"/>
        <w:numPr>
          <w:ilvl w:val="0"/>
          <w:numId w:val="21"/>
        </w:numPr>
        <w:contextualSpacing/>
        <w:textAlignment w:val="baseline"/>
        <w:rPr>
          <w:rFonts w:eastAsia="Times New Roman"/>
        </w:rPr>
      </w:pPr>
      <w:r w:rsidRPr="009632DF">
        <w:rPr>
          <w:rFonts w:eastAsia="Times New Roman"/>
        </w:rPr>
        <w:t>the Optional Protocol to the Convention Against Torture  </w:t>
      </w:r>
    </w:p>
    <w:p w14:paraId="5EE512E0" w14:textId="77777777" w:rsidR="00502934" w:rsidRPr="009632DF" w:rsidRDefault="00502934" w:rsidP="00502934">
      <w:pPr>
        <w:pStyle w:val="ListParagraph"/>
        <w:numPr>
          <w:ilvl w:val="0"/>
          <w:numId w:val="21"/>
        </w:numPr>
        <w:contextualSpacing/>
        <w:textAlignment w:val="baseline"/>
        <w:rPr>
          <w:rFonts w:eastAsia="Times New Roman"/>
        </w:rPr>
      </w:pPr>
      <w:r w:rsidRPr="009632DF">
        <w:rPr>
          <w:rFonts w:eastAsia="Times New Roman"/>
          <w:i/>
          <w:iCs/>
        </w:rPr>
        <w:t xml:space="preserve">Disability Discrimination Act 1992 </w:t>
      </w:r>
      <w:r w:rsidRPr="009632DF">
        <w:rPr>
          <w:rFonts w:eastAsia="Times New Roman"/>
        </w:rPr>
        <w:t>(</w:t>
      </w:r>
      <w:proofErr w:type="spellStart"/>
      <w:r w:rsidRPr="009632DF">
        <w:rPr>
          <w:rFonts w:eastAsia="Times New Roman"/>
        </w:rPr>
        <w:t>Cth</w:t>
      </w:r>
      <w:proofErr w:type="spellEnd"/>
      <w:r w:rsidRPr="009632DF">
        <w:rPr>
          <w:rFonts w:eastAsia="Times New Roman"/>
        </w:rPr>
        <w:t>)  </w:t>
      </w:r>
    </w:p>
    <w:p w14:paraId="1511FD76" w14:textId="77777777" w:rsidR="00502934" w:rsidRPr="009632DF" w:rsidRDefault="00502934" w:rsidP="00502934">
      <w:pPr>
        <w:pStyle w:val="ListParagraph"/>
        <w:numPr>
          <w:ilvl w:val="0"/>
          <w:numId w:val="21"/>
        </w:numPr>
        <w:contextualSpacing/>
        <w:textAlignment w:val="baseline"/>
        <w:rPr>
          <w:rFonts w:eastAsia="Times New Roman"/>
        </w:rPr>
      </w:pPr>
      <w:r w:rsidRPr="009632DF">
        <w:rPr>
          <w:rFonts w:eastAsia="Times New Roman"/>
          <w:i/>
          <w:iCs/>
        </w:rPr>
        <w:t>National Disability Insurance Scheme Act 2013</w:t>
      </w:r>
      <w:r w:rsidRPr="009632DF">
        <w:rPr>
          <w:rFonts w:eastAsia="Times New Roman"/>
        </w:rPr>
        <w:t xml:space="preserve"> (</w:t>
      </w:r>
      <w:proofErr w:type="spellStart"/>
      <w:r w:rsidRPr="009632DF">
        <w:rPr>
          <w:rFonts w:eastAsia="Times New Roman"/>
        </w:rPr>
        <w:t>Cth</w:t>
      </w:r>
      <w:proofErr w:type="spellEnd"/>
      <w:r w:rsidRPr="009632DF">
        <w:rPr>
          <w:rFonts w:eastAsia="Times New Roman"/>
        </w:rPr>
        <w:t>)  </w:t>
      </w:r>
    </w:p>
    <w:p w14:paraId="6E35426D" w14:textId="77777777" w:rsidR="00502934" w:rsidRPr="009632DF" w:rsidRDefault="00502934" w:rsidP="00502934">
      <w:pPr>
        <w:pStyle w:val="ListParagraph"/>
        <w:numPr>
          <w:ilvl w:val="0"/>
          <w:numId w:val="21"/>
        </w:numPr>
        <w:contextualSpacing/>
        <w:textAlignment w:val="baseline"/>
        <w:rPr>
          <w:rFonts w:eastAsia="Times New Roman"/>
        </w:rPr>
      </w:pPr>
      <w:r w:rsidRPr="009632DF">
        <w:rPr>
          <w:rFonts w:eastAsia="Times New Roman"/>
          <w:i/>
          <w:iCs/>
        </w:rPr>
        <w:t xml:space="preserve">Guardianship and Administration Act 2019 </w:t>
      </w:r>
      <w:r w:rsidRPr="009632DF">
        <w:rPr>
          <w:rFonts w:eastAsia="Times New Roman"/>
        </w:rPr>
        <w:t>(Vic)  </w:t>
      </w:r>
    </w:p>
    <w:p w14:paraId="0C423009" w14:textId="77777777" w:rsidR="00502934" w:rsidRPr="009632DF" w:rsidRDefault="00502934" w:rsidP="00502934">
      <w:pPr>
        <w:pStyle w:val="ListParagraph"/>
        <w:numPr>
          <w:ilvl w:val="0"/>
          <w:numId w:val="21"/>
        </w:numPr>
        <w:contextualSpacing/>
        <w:textAlignment w:val="baseline"/>
        <w:rPr>
          <w:rFonts w:eastAsia="Times New Roman"/>
        </w:rPr>
      </w:pPr>
      <w:r w:rsidRPr="009632DF">
        <w:rPr>
          <w:rFonts w:eastAsia="Times New Roman"/>
          <w:i/>
          <w:iCs/>
        </w:rPr>
        <w:t>Charter of Human Rights and Responsibilities Act 2006</w:t>
      </w:r>
      <w:r w:rsidRPr="009632DF">
        <w:rPr>
          <w:rFonts w:eastAsia="Times New Roman"/>
        </w:rPr>
        <w:t xml:space="preserve"> (Vic)  </w:t>
      </w:r>
    </w:p>
    <w:p w14:paraId="6239740D" w14:textId="20A9336F" w:rsidR="00502934" w:rsidRDefault="00502934" w:rsidP="00502934">
      <w:pPr>
        <w:pStyle w:val="ListParagraph"/>
        <w:numPr>
          <w:ilvl w:val="0"/>
          <w:numId w:val="21"/>
        </w:numPr>
        <w:contextualSpacing/>
        <w:textAlignment w:val="baseline"/>
        <w:rPr>
          <w:rFonts w:eastAsia="Times New Roman"/>
        </w:rPr>
      </w:pPr>
      <w:r w:rsidRPr="009632DF">
        <w:rPr>
          <w:rFonts w:eastAsia="Times New Roman"/>
          <w:i/>
          <w:iCs/>
        </w:rPr>
        <w:t>Mental Health Act 2014</w:t>
      </w:r>
      <w:r w:rsidRPr="009632DF">
        <w:rPr>
          <w:rFonts w:eastAsia="Times New Roman"/>
        </w:rPr>
        <w:t xml:space="preserve"> (Vic). </w:t>
      </w:r>
    </w:p>
    <w:p w14:paraId="1626F3E1" w14:textId="4FE91DE2" w:rsidR="004720DD" w:rsidRDefault="004720DD" w:rsidP="004720DD">
      <w:pPr>
        <w:pStyle w:val="ListParagraph"/>
        <w:contextualSpacing/>
        <w:textAlignment w:val="baseline"/>
        <w:rPr>
          <w:rFonts w:eastAsia="Times New Roman"/>
        </w:rPr>
      </w:pPr>
    </w:p>
    <w:p w14:paraId="3D2C3F4B" w14:textId="77777777" w:rsidR="007504EF" w:rsidRPr="009632DF" w:rsidRDefault="007504EF" w:rsidP="004720DD">
      <w:pPr>
        <w:pStyle w:val="ListParagraph"/>
        <w:contextualSpacing/>
        <w:textAlignment w:val="baseline"/>
        <w:rPr>
          <w:rFonts w:eastAsia="Times New Roman"/>
        </w:rPr>
      </w:pPr>
    </w:p>
    <w:p w14:paraId="3BA98686" w14:textId="7F1C3158" w:rsidR="00502934" w:rsidRPr="004720DD" w:rsidRDefault="00502934" w:rsidP="009B23AC">
      <w:pPr>
        <w:pStyle w:val="Heading1OPA"/>
        <w:numPr>
          <w:ilvl w:val="0"/>
          <w:numId w:val="39"/>
        </w:numPr>
      </w:pPr>
      <w:bookmarkStart w:id="8" w:name="_Toc81930917"/>
      <w:bookmarkStart w:id="9" w:name="_Toc82176123"/>
      <w:r w:rsidRPr="009632DF">
        <w:t>Entitlement to decision-making support</w:t>
      </w:r>
      <w:bookmarkEnd w:id="8"/>
      <w:bookmarkEnd w:id="9"/>
      <w:r w:rsidRPr="009632DF">
        <w:t> </w:t>
      </w:r>
    </w:p>
    <w:p w14:paraId="719A8BCF" w14:textId="4B2024C5" w:rsidR="00502934" w:rsidRPr="009632DF" w:rsidRDefault="00502934" w:rsidP="00502934">
      <w:r w:rsidRPr="009632DF">
        <w:t xml:space="preserve">People with cognitive disability who require support to make decisions are entitled under the United Nations Convention on the Rights of Persons with Disabilities (UNCRPD) to </w:t>
      </w:r>
      <w:r>
        <w:t>it</w:t>
      </w:r>
      <w:r w:rsidR="00495392">
        <w:rPr>
          <w:rStyle w:val="FootnoteReference"/>
        </w:rPr>
        <w:footnoteReference w:id="1"/>
      </w:r>
      <w:r w:rsidRPr="009632DF">
        <w:t>. The fundamental values underpinning the NDIS, those of choice and control for people with disability over their lives,</w:t>
      </w:r>
      <w:r>
        <w:t xml:space="preserve"> </w:t>
      </w:r>
      <w:r w:rsidRPr="009632DF">
        <w:t>are enlivened only when genuine decision-making is facilitated as part of the fabric of daily life. Decision</w:t>
      </w:r>
      <w:r w:rsidRPr="00051AD8">
        <w:t xml:space="preserve"> </w:t>
      </w:r>
      <w:r w:rsidRPr="009632DF">
        <w:t>support must also be in place when people with disabilities are making significant decisions, here</w:t>
      </w:r>
      <w:r w:rsidRPr="00146254">
        <w:t>,</w:t>
      </w:r>
      <w:r w:rsidRPr="009632DF">
        <w:t xml:space="preserve"> most notably</w:t>
      </w:r>
      <w:r w:rsidRPr="00146254">
        <w:t>,</w:t>
      </w:r>
      <w:r w:rsidRPr="009632DF">
        <w:t> as part of NDIS planning.  </w:t>
      </w:r>
    </w:p>
    <w:p w14:paraId="34EB9787" w14:textId="77777777" w:rsidR="00EF6113" w:rsidRPr="00051BFF" w:rsidRDefault="00502934" w:rsidP="00EF6113">
      <w:pPr>
        <w:pStyle w:val="NormalOPA"/>
        <w:spacing w:line="276" w:lineRule="auto"/>
        <w:ind w:left="0"/>
        <w:rPr>
          <w:rFonts w:eastAsiaTheme="minorEastAsia" w:cs="Arial"/>
          <w:b/>
          <w:bCs/>
          <w:color w:val="000000" w:themeColor="text1"/>
        </w:rPr>
      </w:pPr>
      <w:r w:rsidRPr="009632DF">
        <w:rPr>
          <w:b/>
          <w:bCs/>
        </w:rPr>
        <w:t>Recommendation 1 </w:t>
      </w:r>
      <w:r w:rsidRPr="009632DF">
        <w:br/>
      </w:r>
      <w:r w:rsidR="00EF6113" w:rsidRPr="00EF6113">
        <w:rPr>
          <w:rFonts w:eastAsiaTheme="minorEastAsia" w:cs="Arial"/>
          <w:b/>
          <w:bCs/>
          <w:color w:val="000000" w:themeColor="text1"/>
        </w:rPr>
        <w:t>The National Disability Insurance Agency should provide decision-support for participants who require it to promote the human rights of people with disability to exercise choice and control.</w:t>
      </w:r>
      <w:r w:rsidR="00EF6113" w:rsidRPr="00051BFF">
        <w:rPr>
          <w:rFonts w:eastAsiaTheme="minorEastAsia" w:cs="Arial"/>
          <w:b/>
          <w:bCs/>
          <w:color w:val="000000" w:themeColor="text1"/>
        </w:rPr>
        <w:t xml:space="preserve"> </w:t>
      </w:r>
    </w:p>
    <w:p w14:paraId="6B10D2CB" w14:textId="6533BD6B" w:rsidR="00502934" w:rsidRDefault="00502934" w:rsidP="00502934">
      <w:pPr>
        <w:pStyle w:val="NoSpacing"/>
        <w:spacing w:before="120" w:after="120" w:line="276" w:lineRule="auto"/>
        <w:rPr>
          <w:rFonts w:eastAsia="Times New Roman"/>
        </w:rPr>
      </w:pPr>
    </w:p>
    <w:p w14:paraId="785262EA" w14:textId="34D0CB29" w:rsidR="00502934" w:rsidRPr="009632DF" w:rsidRDefault="00502934" w:rsidP="009B23AC">
      <w:pPr>
        <w:pStyle w:val="Heading1OPA"/>
        <w:numPr>
          <w:ilvl w:val="0"/>
          <w:numId w:val="39"/>
        </w:numPr>
      </w:pPr>
      <w:bookmarkStart w:id="10" w:name="_Toc81930918"/>
      <w:bookmarkStart w:id="11" w:name="_Toc82176124"/>
      <w:r w:rsidRPr="009632DF">
        <w:t>Development of decision-making skills</w:t>
      </w:r>
      <w:bookmarkEnd w:id="10"/>
      <w:bookmarkEnd w:id="11"/>
      <w:r w:rsidRPr="009632DF">
        <w:t> </w:t>
      </w:r>
    </w:p>
    <w:p w14:paraId="0BA9A84B" w14:textId="77777777" w:rsidR="00502934" w:rsidRPr="009632DF" w:rsidRDefault="00502934" w:rsidP="00502934">
      <w:pPr>
        <w:spacing w:after="0"/>
        <w:textAlignment w:val="baseline"/>
        <w:rPr>
          <w:rFonts w:eastAsia="Times New Roman"/>
        </w:rPr>
      </w:pPr>
    </w:p>
    <w:p w14:paraId="06A9ED56" w14:textId="48276A46" w:rsidR="00502934" w:rsidRPr="009632DF" w:rsidRDefault="009B23AC" w:rsidP="00502934">
      <w:pPr>
        <w:pStyle w:val="Heading2"/>
        <w:spacing w:before="120" w:after="120"/>
        <w:rPr>
          <w:sz w:val="22"/>
          <w:szCs w:val="22"/>
        </w:rPr>
      </w:pPr>
      <w:bookmarkStart w:id="12" w:name="_Toc81930919"/>
      <w:bookmarkStart w:id="13" w:name="_Toc82176125"/>
      <w:r>
        <w:rPr>
          <w:sz w:val="22"/>
          <w:szCs w:val="22"/>
        </w:rPr>
        <w:t>4</w:t>
      </w:r>
      <w:r w:rsidR="00502934" w:rsidRPr="009632DF">
        <w:rPr>
          <w:sz w:val="22"/>
          <w:szCs w:val="22"/>
        </w:rPr>
        <w:t>.1  Building decision-making capacity</w:t>
      </w:r>
      <w:bookmarkEnd w:id="12"/>
      <w:bookmarkEnd w:id="13"/>
      <w:r w:rsidR="00502934" w:rsidRPr="009632DF">
        <w:rPr>
          <w:sz w:val="22"/>
          <w:szCs w:val="22"/>
        </w:rPr>
        <w:t>  </w:t>
      </w:r>
    </w:p>
    <w:p w14:paraId="4002B689" w14:textId="77777777" w:rsidR="00502934" w:rsidRPr="009632DF" w:rsidRDefault="00502934" w:rsidP="00502934">
      <w:pPr>
        <w:spacing w:before="120" w:after="120"/>
      </w:pPr>
      <w:r w:rsidRPr="009632DF">
        <w:t xml:space="preserve">NDIS funding must enable the day-to-day lifestyle, personal and financial decisions of a person who requires the skilled support of a </w:t>
      </w:r>
      <w:r>
        <w:t>d</w:t>
      </w:r>
      <w:r w:rsidRPr="009632DF">
        <w:t>ecision</w:t>
      </w:r>
      <w:r>
        <w:t>-s</w:t>
      </w:r>
      <w:r w:rsidRPr="009632DF">
        <w:t xml:space="preserve">upporter. This requires the provision of decision-making support, over a period of time, in order to build the decision-making capacity of participants. </w:t>
      </w:r>
    </w:p>
    <w:p w14:paraId="43218BBF" w14:textId="3F5C43D3" w:rsidR="00502934" w:rsidRPr="004A746A" w:rsidRDefault="00502934" w:rsidP="00502934">
      <w:r w:rsidRPr="004A746A">
        <w:t>Evidence of the importance of decision-</w:t>
      </w:r>
      <w:r w:rsidRPr="00F500B1">
        <w:t>making capacity building</w:t>
      </w:r>
      <w:r w:rsidRPr="00740ABF">
        <w:t xml:space="preserve"> emerged during the 2016 OPA and VALID pilot supported decision-making project (the OVAL project</w:t>
      </w:r>
      <w:r w:rsidR="00FD152F">
        <w:rPr>
          <w:rStyle w:val="FootnoteReference"/>
        </w:rPr>
        <w:footnoteReference w:id="2"/>
      </w:r>
      <w:r w:rsidRPr="00740ABF">
        <w:t>). Under the trial, volunteers were trained and supported to work with NDIS participants. Participants were selected on the basis of both their interest in the p</w:t>
      </w:r>
      <w:r w:rsidRPr="004A746A">
        <w:t xml:space="preserve">roject </w:t>
      </w:r>
      <w:r w:rsidRPr="00BB16EF">
        <w:t xml:space="preserve">and </w:t>
      </w:r>
      <w:r w:rsidRPr="00117818">
        <w:t xml:space="preserve">their </w:t>
      </w:r>
      <w:r w:rsidRPr="00740ABF">
        <w:t>need for an independent Decision</w:t>
      </w:r>
      <w:r>
        <w:t>-</w:t>
      </w:r>
      <w:r w:rsidRPr="00740ABF">
        <w:t>Supporter (in circumstances where there was no other person in their life to undertake the</w:t>
      </w:r>
      <w:r w:rsidRPr="004A746A">
        <w:t xml:space="preserve"> role</w:t>
      </w:r>
      <w:r>
        <w:t>)</w:t>
      </w:r>
      <w:r w:rsidRPr="004A746A">
        <w:t xml:space="preserve">. </w:t>
      </w:r>
    </w:p>
    <w:p w14:paraId="78FB0064" w14:textId="77777777" w:rsidR="00502934" w:rsidRPr="009632DF" w:rsidRDefault="00502934" w:rsidP="00502934">
      <w:r w:rsidRPr="009632DF">
        <w:t>A key learning from this piece of work was that many of the participants had few prior opportunities to make decisions, with or without support, in their day</w:t>
      </w:r>
      <w:r>
        <w:t>-</w:t>
      </w:r>
      <w:r w:rsidRPr="009632DF">
        <w:t>to</w:t>
      </w:r>
      <w:r>
        <w:t>-</w:t>
      </w:r>
      <w:r w:rsidRPr="009632DF">
        <w:t>day lives. This meant that they were overwhelmed when faced with the level of decision-making required in relation to their NDIS Plan. Opportunities for the development of decision-making skills, over time and as part of day-to-day life, were observed to be a necessary element of decision</w:t>
      </w:r>
      <w:r>
        <w:t>-</w:t>
      </w:r>
      <w:r w:rsidRPr="009632DF">
        <w:t>making capacity building. </w:t>
      </w:r>
    </w:p>
    <w:p w14:paraId="504AECA5" w14:textId="77777777" w:rsidR="00502934" w:rsidRPr="009632DF" w:rsidRDefault="00502934" w:rsidP="00502934">
      <w:r w:rsidRPr="009632DF">
        <w:t>Developing skills to make daily decisions is, for people who have not had many opportunities to make decisions throughout their lives, essential to increase their capacity to make the more complex decisions required as part of their NDIS planning. This can be achieved by ensuring that NDIS participants are able to purchase such supports through their NDIS plan.</w:t>
      </w:r>
      <w:r w:rsidRPr="009632DF">
        <w:rPr>
          <w:i/>
          <w:iCs/>
        </w:rPr>
        <w:t>  </w:t>
      </w:r>
      <w:r w:rsidRPr="009632DF">
        <w:t> </w:t>
      </w:r>
    </w:p>
    <w:p w14:paraId="65655A91" w14:textId="10946775" w:rsidR="00502934" w:rsidRPr="009632DF" w:rsidRDefault="00502934" w:rsidP="00502934">
      <w:r w:rsidRPr="009632DF">
        <w:t>By way of illustration, we look to a familiar and growing cohort of </w:t>
      </w:r>
      <w:r w:rsidRPr="009632DF">
        <w:rPr>
          <w:color w:val="333333"/>
        </w:rPr>
        <w:t>people for whom the Public Advocate is guardian</w:t>
      </w:r>
      <w:r>
        <w:t>:</w:t>
      </w:r>
      <w:r w:rsidRPr="009632DF">
        <w:t xml:space="preserve"> young adults who had been in long-term foster care prior to reaching 18</w:t>
      </w:r>
      <w:r>
        <w:t xml:space="preserve"> years of age</w:t>
      </w:r>
      <w:r w:rsidRPr="009632DF">
        <w:t>. Having had few prior opportunities to develop decision</w:t>
      </w:r>
      <w:r>
        <w:t>-</w:t>
      </w:r>
      <w:r w:rsidRPr="009632DF">
        <w:t>making skills, they are assessed by VCAT as being unable to make relevant decisions by reason of their disability, and requir</w:t>
      </w:r>
      <w:r>
        <w:t>ing</w:t>
      </w:r>
      <w:r w:rsidRPr="009632DF">
        <w:t xml:space="preserve"> a substitute decision</w:t>
      </w:r>
      <w:r>
        <w:t>-</w:t>
      </w:r>
      <w:r w:rsidRPr="009632DF">
        <w:t xml:space="preserve">maker to </w:t>
      </w:r>
      <w:r>
        <w:t xml:space="preserve">develop their </w:t>
      </w:r>
      <w:r w:rsidRPr="009632DF">
        <w:t>NDIS</w:t>
      </w:r>
      <w:r>
        <w:t xml:space="preserve"> plans</w:t>
      </w:r>
      <w:r w:rsidRPr="009632DF">
        <w:t xml:space="preserve">. However, </w:t>
      </w:r>
      <w:r>
        <w:t>OPA has</w:t>
      </w:r>
      <w:r w:rsidRPr="009632DF">
        <w:t xml:space="preserve"> observed that some of these young people, given</w:t>
      </w:r>
      <w:r>
        <w:t xml:space="preserve"> </w:t>
      </w:r>
      <w:r w:rsidRPr="009632DF">
        <w:t>enough time, </w:t>
      </w:r>
      <w:r w:rsidR="00EF6113" w:rsidRPr="009632DF">
        <w:t>opportunity,</w:t>
      </w:r>
      <w:r w:rsidRPr="009632DF">
        <w:t> and the support of a</w:t>
      </w:r>
      <w:r>
        <w:t xml:space="preserve"> </w:t>
      </w:r>
      <w:r w:rsidRPr="009632DF">
        <w:t>skilled </w:t>
      </w:r>
      <w:r>
        <w:t>d</w:t>
      </w:r>
      <w:r w:rsidRPr="009632DF">
        <w:t>ecision</w:t>
      </w:r>
      <w:r>
        <w:t>-s</w:t>
      </w:r>
      <w:r w:rsidRPr="009632DF">
        <w:t>upporter, do develop capacity to make their own decisions.  </w:t>
      </w:r>
      <w:r w:rsidRPr="00D33029">
        <w:rPr>
          <w:rFonts w:eastAsia="Times New Roman"/>
        </w:rPr>
        <w:t> </w:t>
      </w:r>
    </w:p>
    <w:p w14:paraId="7C506AB4" w14:textId="77777777" w:rsidR="00502934" w:rsidRPr="009632DF" w:rsidRDefault="00502934" w:rsidP="00502934">
      <w:r w:rsidRPr="009632DF">
        <w:t>A particular focus for NDIS funding might be the period </w:t>
      </w:r>
      <w:r w:rsidRPr="009632DF">
        <w:rPr>
          <w:i/>
          <w:iCs/>
        </w:rPr>
        <w:t>in advance of </w:t>
      </w:r>
      <w:r w:rsidRPr="009632DF">
        <w:t>this life stage transition to adulthood. The availability of funding over time for these young people to develop decision-making skills with support, would mean they would be able to make NDIS-related decisions for themselves with support, and the more restrictive option of substitute decision</w:t>
      </w:r>
      <w:r>
        <w:t>-</w:t>
      </w:r>
      <w:r w:rsidRPr="009632DF">
        <w:t>making may be unnecessary.  </w:t>
      </w:r>
    </w:p>
    <w:p w14:paraId="2FDA49B6" w14:textId="77777777" w:rsidR="00EF6113" w:rsidRPr="009C7A93" w:rsidRDefault="00502934" w:rsidP="009C7A93">
      <w:pPr>
        <w:pStyle w:val="NoSpacing"/>
        <w:rPr>
          <w:b/>
          <w:bCs/>
        </w:rPr>
      </w:pPr>
      <w:r w:rsidRPr="009C7A93">
        <w:rPr>
          <w:b/>
          <w:bCs/>
        </w:rPr>
        <w:t>Recommendation 2 </w:t>
      </w:r>
      <w:r w:rsidRPr="009C7A93">
        <w:rPr>
          <w:b/>
          <w:bCs/>
        </w:rPr>
        <w:br/>
      </w:r>
      <w:bookmarkStart w:id="14" w:name="_Toc81930920"/>
      <w:r w:rsidR="00EF6113" w:rsidRPr="009C7A93">
        <w:rPr>
          <w:b/>
          <w:bCs/>
        </w:rPr>
        <w:t xml:space="preserve">The National Disability Insurance Agency should fund:  </w:t>
      </w:r>
    </w:p>
    <w:p w14:paraId="644A9B5D" w14:textId="77777777" w:rsidR="00EF6113" w:rsidRPr="009C7A93" w:rsidRDefault="00EF6113" w:rsidP="009C7A93">
      <w:pPr>
        <w:pStyle w:val="NoSpacing"/>
        <w:numPr>
          <w:ilvl w:val="0"/>
          <w:numId w:val="38"/>
        </w:numPr>
        <w:rPr>
          <w:b/>
          <w:bCs/>
        </w:rPr>
      </w:pPr>
      <w:r w:rsidRPr="009C7A93">
        <w:rPr>
          <w:b/>
          <w:bCs/>
        </w:rPr>
        <w:t xml:space="preserve">Decision support for day-to-day lifestyle, personal and financial decisions  </w:t>
      </w:r>
    </w:p>
    <w:p w14:paraId="1D372D3B" w14:textId="77777777" w:rsidR="00EF6113" w:rsidRPr="009C7A93" w:rsidRDefault="00EF6113" w:rsidP="009C7A93">
      <w:pPr>
        <w:pStyle w:val="NoSpacing"/>
        <w:numPr>
          <w:ilvl w:val="0"/>
          <w:numId w:val="38"/>
        </w:numPr>
        <w:rPr>
          <w:b/>
          <w:bCs/>
        </w:rPr>
      </w:pPr>
      <w:r w:rsidRPr="009C7A93">
        <w:rPr>
          <w:b/>
          <w:bCs/>
        </w:rPr>
        <w:t xml:space="preserve">Decision support in advance of significant life transitions  </w:t>
      </w:r>
    </w:p>
    <w:p w14:paraId="68CF003B" w14:textId="77777777" w:rsidR="00EF6113" w:rsidRPr="009C7A93" w:rsidRDefault="00EF6113" w:rsidP="009C7A93">
      <w:pPr>
        <w:pStyle w:val="NoSpacing"/>
        <w:numPr>
          <w:ilvl w:val="0"/>
          <w:numId w:val="38"/>
        </w:numPr>
        <w:rPr>
          <w:b/>
          <w:bCs/>
        </w:rPr>
      </w:pPr>
      <w:r w:rsidRPr="009C7A93">
        <w:rPr>
          <w:b/>
          <w:bCs/>
        </w:rPr>
        <w:t xml:space="preserve">Decision support for NDIS-related planning.   </w:t>
      </w:r>
    </w:p>
    <w:p w14:paraId="756AB939" w14:textId="623DB7AE" w:rsidR="00502934" w:rsidRPr="009632DF" w:rsidRDefault="009C7A93" w:rsidP="00EF6113">
      <w:pPr>
        <w:pStyle w:val="Heading1OPA"/>
      </w:pPr>
      <w:bookmarkStart w:id="15" w:name="_Toc82176126"/>
      <w:r>
        <w:t>5</w:t>
      </w:r>
      <w:r w:rsidR="00EF6113">
        <w:t xml:space="preserve">. </w:t>
      </w:r>
      <w:r w:rsidR="00502934" w:rsidRPr="009632DF">
        <w:t>Decision</w:t>
      </w:r>
      <w:r w:rsidR="004720DD">
        <w:t>-</w:t>
      </w:r>
      <w:r w:rsidR="00502934" w:rsidRPr="009632DF">
        <w:t>Supporters</w:t>
      </w:r>
      <w:bookmarkEnd w:id="14"/>
      <w:bookmarkEnd w:id="15"/>
      <w:r w:rsidR="00502934" w:rsidRPr="009632DF">
        <w:t> </w:t>
      </w:r>
    </w:p>
    <w:p w14:paraId="1A50A41D" w14:textId="003D4F5B" w:rsidR="00502934" w:rsidRPr="009632DF" w:rsidRDefault="009C7A93" w:rsidP="004720DD">
      <w:pPr>
        <w:pStyle w:val="Heading3OPA"/>
      </w:pPr>
      <w:bookmarkStart w:id="16" w:name="_Toc81930921"/>
      <w:bookmarkStart w:id="17" w:name="_Toc82176127"/>
      <w:r>
        <w:t>5</w:t>
      </w:r>
      <w:r w:rsidR="004720DD">
        <w:t xml:space="preserve">.1 </w:t>
      </w:r>
      <w:r w:rsidR="00502934" w:rsidRPr="009632DF">
        <w:t>Building the capacity of Decision</w:t>
      </w:r>
      <w:r w:rsidR="00502934">
        <w:t>-</w:t>
      </w:r>
      <w:r w:rsidR="00502934" w:rsidRPr="009632DF">
        <w:t>Supporters</w:t>
      </w:r>
      <w:bookmarkEnd w:id="16"/>
      <w:bookmarkEnd w:id="17"/>
      <w:r w:rsidR="00502934" w:rsidRPr="009632DF">
        <w:t> </w:t>
      </w:r>
    </w:p>
    <w:p w14:paraId="22B4AF4C" w14:textId="77777777" w:rsidR="00502934" w:rsidRPr="009632DF" w:rsidRDefault="00502934" w:rsidP="00502934">
      <w:pPr>
        <w:spacing w:before="120" w:after="120"/>
      </w:pPr>
      <w:r w:rsidRPr="009632DF">
        <w:t>OPA acknowledges that</w:t>
      </w:r>
      <w:r>
        <w:t>,</w:t>
      </w:r>
      <w:r w:rsidRPr="009632DF">
        <w:t xml:space="preserve"> for people with cognitive impairment who require support with decision</w:t>
      </w:r>
      <w:r>
        <w:t>-</w:t>
      </w:r>
      <w:r w:rsidRPr="009632DF">
        <w:t>making, those best placed to offer support are often those who know the person well and can determine and interpret the person’s will and preference.  </w:t>
      </w:r>
    </w:p>
    <w:p w14:paraId="08B5CA62" w14:textId="77777777" w:rsidR="00502934" w:rsidRPr="009632DF" w:rsidRDefault="00502934" w:rsidP="00502934">
      <w:pPr>
        <w:pStyle w:val="NoSpacing"/>
      </w:pPr>
      <w:r w:rsidRPr="009632DF">
        <w:t>High quality and skilled decision support is a requirement for the enactment of the human rights of people with disability who require support to exercise choice and control in their lives. Decision</w:t>
      </w:r>
      <w:r>
        <w:t>-</w:t>
      </w:r>
      <w:r w:rsidRPr="009632DF">
        <w:t xml:space="preserve">Supporters should have access to high quality resources, tools, as well as capacity-building training to enable best practice. </w:t>
      </w:r>
      <w:r w:rsidRPr="009632DF">
        <w:rPr>
          <w:rFonts w:eastAsia="Times New Roman"/>
        </w:rPr>
        <w:t>Accessible</w:t>
      </w:r>
      <w:r>
        <w:rPr>
          <w:rFonts w:eastAsia="Times New Roman"/>
        </w:rPr>
        <w:t>,</w:t>
      </w:r>
      <w:r w:rsidRPr="009632DF">
        <w:rPr>
          <w:rFonts w:eastAsia="Times New Roman"/>
        </w:rPr>
        <w:t xml:space="preserve"> NDIS-related</w:t>
      </w:r>
      <w:r>
        <w:rPr>
          <w:rFonts w:eastAsia="Times New Roman"/>
        </w:rPr>
        <w:t>,</w:t>
      </w:r>
      <w:r w:rsidRPr="009632DF">
        <w:rPr>
          <w:rFonts w:eastAsia="Times New Roman"/>
        </w:rPr>
        <w:t xml:space="preserve"> decision-making information must be available to all </w:t>
      </w:r>
      <w:r>
        <w:rPr>
          <w:rFonts w:eastAsia="Times New Roman"/>
        </w:rPr>
        <w:t>d</w:t>
      </w:r>
      <w:r w:rsidRPr="009632DF">
        <w:rPr>
          <w:rFonts w:eastAsia="Times New Roman"/>
        </w:rPr>
        <w:t>ecision</w:t>
      </w:r>
      <w:r>
        <w:rPr>
          <w:rFonts w:eastAsia="Times New Roman"/>
        </w:rPr>
        <w:t>-s</w:t>
      </w:r>
      <w:r w:rsidRPr="009632DF">
        <w:rPr>
          <w:rFonts w:eastAsia="Times New Roman"/>
        </w:rPr>
        <w:t>upporters.</w:t>
      </w:r>
      <w:r w:rsidRPr="009632DF">
        <w:t xml:space="preserve"> </w:t>
      </w:r>
    </w:p>
    <w:p w14:paraId="66F53C3D" w14:textId="77777777" w:rsidR="009C7A93" w:rsidRDefault="009C7A93" w:rsidP="009C7A93">
      <w:pPr>
        <w:pStyle w:val="NoSpacing"/>
      </w:pPr>
    </w:p>
    <w:p w14:paraId="4121C7ED" w14:textId="6E5C5351" w:rsidR="00502934" w:rsidRPr="009C7A93" w:rsidRDefault="00502934" w:rsidP="009C7A93">
      <w:pPr>
        <w:pStyle w:val="NoSpacing"/>
        <w:rPr>
          <w:b/>
          <w:bCs/>
        </w:rPr>
      </w:pPr>
      <w:r w:rsidRPr="009C7A93">
        <w:rPr>
          <w:b/>
          <w:bCs/>
        </w:rPr>
        <w:t>Recommendation 3  </w:t>
      </w:r>
    </w:p>
    <w:p w14:paraId="04ECF00B" w14:textId="77777777" w:rsidR="00EF6113" w:rsidRPr="009C7A93" w:rsidRDefault="00EF6113" w:rsidP="009C7A93">
      <w:pPr>
        <w:pStyle w:val="NoSpacing"/>
        <w:rPr>
          <w:rFonts w:eastAsiaTheme="minorEastAsia"/>
          <w:b/>
          <w:bCs/>
          <w:color w:val="000000" w:themeColor="text1"/>
        </w:rPr>
      </w:pPr>
      <w:bookmarkStart w:id="18" w:name="_Toc81930922"/>
      <w:r w:rsidRPr="009C7A93">
        <w:rPr>
          <w:rFonts w:eastAsiaTheme="minorEastAsia"/>
          <w:b/>
          <w:bCs/>
          <w:color w:val="000000" w:themeColor="text1"/>
        </w:rPr>
        <w:t xml:space="preserve">The National Disability Insurance Agency should provide capacity building and training opportunities, supported decision-making tools and resources for non-professional decision-supporters.  </w:t>
      </w:r>
    </w:p>
    <w:p w14:paraId="3437C56C" w14:textId="78A6168E" w:rsidR="00502934" w:rsidRPr="009632DF" w:rsidRDefault="009C7A93" w:rsidP="004720DD">
      <w:pPr>
        <w:pStyle w:val="Heading3OPA"/>
      </w:pPr>
      <w:bookmarkStart w:id="19" w:name="_Toc82176128"/>
      <w:r>
        <w:t>5</w:t>
      </w:r>
      <w:r w:rsidR="00502934" w:rsidRPr="009632DF">
        <w:t xml:space="preserve">.2 Decision </w:t>
      </w:r>
      <w:r w:rsidR="005B4B3C">
        <w:t>s</w:t>
      </w:r>
      <w:r w:rsidR="00502934" w:rsidRPr="009632DF">
        <w:t>upport for people with no close supports</w:t>
      </w:r>
      <w:bookmarkEnd w:id="18"/>
      <w:bookmarkEnd w:id="19"/>
      <w:r w:rsidR="00502934" w:rsidRPr="009632DF">
        <w:t> </w:t>
      </w:r>
    </w:p>
    <w:p w14:paraId="5A9D9CB2" w14:textId="77777777" w:rsidR="00502934" w:rsidRPr="009632DF" w:rsidRDefault="00502934" w:rsidP="00502934">
      <w:pPr>
        <w:spacing w:before="120" w:after="120"/>
      </w:pPr>
      <w:r w:rsidRPr="009632DF">
        <w:t>Some NDIS participants do not have friends, family or other impartial actors to fulfil the decision</w:t>
      </w:r>
      <w:r>
        <w:t>-</w:t>
      </w:r>
      <w:r w:rsidRPr="009632DF">
        <w:t>supporter role. For this cohort, the NDIA must fund decision support programs to enable choice and control to allow people with disabilities to exercise their rights.  </w:t>
      </w:r>
    </w:p>
    <w:p w14:paraId="6B91380C" w14:textId="03590CED" w:rsidR="00502934" w:rsidRPr="009632DF" w:rsidRDefault="00502934" w:rsidP="00502934">
      <w:r w:rsidRPr="009632DF">
        <w:t>There have been a number of supported decision-making pilot programs. For example, the OVAL Project</w:t>
      </w:r>
      <w:r>
        <w:t>, previously mentioned,</w:t>
      </w:r>
      <w:r w:rsidRPr="009632DF">
        <w:t xml:space="preserve"> was a pilot which invited volunteers to take on the role of </w:t>
      </w:r>
      <w:r>
        <w:t>d</w:t>
      </w:r>
      <w:r w:rsidRPr="009632DF">
        <w:t>ecision</w:t>
      </w:r>
      <w:r>
        <w:t>-s</w:t>
      </w:r>
      <w:r w:rsidRPr="009632DF">
        <w:t>upporter. The project involved matching volunteers trained in the practice of support for decisions making with NDIS participants who wanted and needed this type of support.  </w:t>
      </w:r>
    </w:p>
    <w:p w14:paraId="3D2006F7" w14:textId="77777777" w:rsidR="00502934" w:rsidRPr="009632DF" w:rsidRDefault="00502934" w:rsidP="00502934">
      <w:r w:rsidRPr="009632DF">
        <w:t xml:space="preserve">The outcomes of </w:t>
      </w:r>
      <w:r>
        <w:t xml:space="preserve">the </w:t>
      </w:r>
      <w:r w:rsidRPr="009632DF">
        <w:t>project were independently evaluated. Both the NDIS participants and volunteer supporters felt that their relationship was very positive. NDIS participants appreciated the support from someone from outside the service sector who, they reported, would not tell them what to do. The decision-making support provided by the volunteers led to significant changes in the lives of th</w:t>
      </w:r>
      <w:r>
        <w:t>ose</w:t>
      </w:r>
      <w:r w:rsidRPr="009632DF">
        <w:t xml:space="preserve"> with disability, including: changes to support plans; service providers; life stages (for example, getting engaged); finding employment; and commencing education. </w:t>
      </w:r>
    </w:p>
    <w:p w14:paraId="10B80D12" w14:textId="77777777" w:rsidR="00502934" w:rsidRPr="009632DF" w:rsidRDefault="00502934" w:rsidP="00502934">
      <w:r w:rsidRPr="009632DF">
        <w:t>The volunteers who gave their time and energy to the project demonstrate</w:t>
      </w:r>
      <w:r>
        <w:t>d</w:t>
      </w:r>
      <w:r w:rsidRPr="009632DF">
        <w:t xml:space="preserve"> that the general community is a rich resource from which to draw </w:t>
      </w:r>
      <w:r>
        <w:t>d</w:t>
      </w:r>
      <w:r w:rsidRPr="009632DF">
        <w:t>ecision</w:t>
      </w:r>
      <w:r>
        <w:t>-s</w:t>
      </w:r>
      <w:r w:rsidRPr="009632DF">
        <w:t>upporters. The recommendations that emerged from the project emphasis that capacity building, training and ongoing support for volunteers is essential for successful outcomes. A successful second phase of this project, Choice Mentors, was subsequently developed and delivered by VALID.</w:t>
      </w:r>
    </w:p>
    <w:p w14:paraId="7FDA2F1F" w14:textId="77777777" w:rsidR="00502934" w:rsidRPr="009632DF" w:rsidRDefault="00502934" w:rsidP="00502934">
      <w:r w:rsidRPr="009632DF">
        <w:t>To ensure sustainable and quality practice, the NDIA should fund a small number of innovative supported decision-making initiatives throughout Australia, through which people with impaired decision-making ability are supported to make NDIS-related decisions. Project funding should be determined on a competitive basis and should be sufficient to enable these initiatives to be evaluated robustly, with a view to the most successful programs being implemented throughout Australia. </w:t>
      </w:r>
    </w:p>
    <w:p w14:paraId="704EB251" w14:textId="718EC9CC" w:rsidR="00502934" w:rsidRDefault="00502934" w:rsidP="00EF6113">
      <w:pPr>
        <w:pStyle w:val="NormalOPA"/>
        <w:spacing w:line="276" w:lineRule="auto"/>
        <w:ind w:left="0"/>
        <w:rPr>
          <w:rFonts w:eastAsiaTheme="minorEastAsia" w:cs="Arial"/>
          <w:b/>
          <w:bCs/>
          <w:color w:val="000000" w:themeColor="text1"/>
        </w:rPr>
      </w:pPr>
      <w:r w:rsidRPr="009632DF">
        <w:rPr>
          <w:b/>
          <w:bCs/>
        </w:rPr>
        <w:t>Recommendation 4 </w:t>
      </w:r>
      <w:r w:rsidRPr="009632DF">
        <w:br/>
      </w:r>
      <w:r w:rsidR="00EF6113" w:rsidRPr="00051BFF">
        <w:rPr>
          <w:rFonts w:eastAsiaTheme="minorEastAsia" w:cs="Arial"/>
          <w:b/>
          <w:bCs/>
          <w:color w:val="000000" w:themeColor="text1"/>
        </w:rPr>
        <w:t xml:space="preserve">The National Disability Insurance Agency should continue to fund innovative supported decision-making initiatives. </w:t>
      </w:r>
    </w:p>
    <w:p w14:paraId="161BC996" w14:textId="1BA2DF6C" w:rsidR="00502934" w:rsidRPr="009632DF" w:rsidRDefault="009C7A93" w:rsidP="009C7A93">
      <w:pPr>
        <w:pStyle w:val="Heading3OPA"/>
        <w:ind w:left="0" w:firstLine="0"/>
      </w:pPr>
      <w:bookmarkStart w:id="20" w:name="_Toc81930923"/>
      <w:bookmarkStart w:id="21" w:name="_Toc82176129"/>
      <w:r>
        <w:t>5</w:t>
      </w:r>
      <w:r w:rsidR="00502934" w:rsidRPr="009632DF">
        <w:t>.3  Decision</w:t>
      </w:r>
      <w:r w:rsidR="00502934">
        <w:t>-</w:t>
      </w:r>
      <w:r w:rsidR="00502934" w:rsidRPr="009632DF">
        <w:t xml:space="preserve">Supporters as </w:t>
      </w:r>
      <w:r w:rsidR="00502934">
        <w:t>a</w:t>
      </w:r>
      <w:r w:rsidR="00502934" w:rsidRPr="009632DF">
        <w:t>dvocates</w:t>
      </w:r>
      <w:bookmarkEnd w:id="20"/>
      <w:bookmarkEnd w:id="21"/>
      <w:r w:rsidR="00502934" w:rsidRPr="009632DF">
        <w:t> </w:t>
      </w:r>
    </w:p>
    <w:p w14:paraId="43113238" w14:textId="2BE0761F" w:rsidR="00502934" w:rsidRPr="009632DF" w:rsidRDefault="00502934" w:rsidP="00502934">
      <w:pPr>
        <w:spacing w:before="120" w:after="120"/>
      </w:pPr>
      <w:r w:rsidRPr="009632DF">
        <w:t xml:space="preserve">The role of </w:t>
      </w:r>
      <w:r w:rsidR="00FD152F">
        <w:t>D</w:t>
      </w:r>
      <w:r w:rsidRPr="009632DF">
        <w:t>ecision</w:t>
      </w:r>
      <w:r>
        <w:t>-</w:t>
      </w:r>
      <w:r w:rsidR="00FD152F">
        <w:t>S</w:t>
      </w:r>
      <w:r w:rsidRPr="009632DF">
        <w:t>upporter includes many elements, variously described by practice leaders in the field, but usually includes elements such as the following, adapted from the La Trobe Framework for Decision Support: getting to know the person, identifying the decision/s, exploring options and opportunities, understanding the person’s will and preferences, reaching the decision and associated decisions, and implementing the decision.</w:t>
      </w:r>
      <w:r w:rsidR="00FD152F">
        <w:rPr>
          <w:rStyle w:val="FootnoteReference"/>
        </w:rPr>
        <w:footnoteReference w:id="3"/>
      </w:r>
    </w:p>
    <w:p w14:paraId="05C06710" w14:textId="4A491D9E" w:rsidR="00502934" w:rsidRPr="009632DF" w:rsidRDefault="00502934" w:rsidP="00502934">
      <w:r w:rsidRPr="009632DF">
        <w:t xml:space="preserve">In relation to NDIS-related decisions, the role of the </w:t>
      </w:r>
      <w:r>
        <w:t>D</w:t>
      </w:r>
      <w:r w:rsidRPr="009632DF">
        <w:t>ecision</w:t>
      </w:r>
      <w:r>
        <w:t>-S</w:t>
      </w:r>
      <w:r w:rsidRPr="009632DF">
        <w:t>upport</w:t>
      </w:r>
      <w:r>
        <w:t>er</w:t>
      </w:r>
      <w:r w:rsidRPr="009632DF">
        <w:t xml:space="preserve"> in implementing decisions may be complex. Primarily, the Decision</w:t>
      </w:r>
      <w:r>
        <w:t>-</w:t>
      </w:r>
      <w:r w:rsidRPr="009632DF">
        <w:t>Supporter must ensure that NDIS Support Coordinators are fully aware of, and engaged with the decisions made as part of the supported decision-making process. They must also ensure that service providers deliver services in line with decisions made.  </w:t>
      </w:r>
    </w:p>
    <w:p w14:paraId="413E86B0" w14:textId="7B9BECB0" w:rsidR="00502934" w:rsidRPr="009632DF" w:rsidRDefault="00502934" w:rsidP="00502934">
      <w:r w:rsidRPr="009632DF">
        <w:t xml:space="preserve">The role of </w:t>
      </w:r>
      <w:r w:rsidR="00FD152F">
        <w:t>D</w:t>
      </w:r>
      <w:r w:rsidRPr="009632DF">
        <w:t>ecision</w:t>
      </w:r>
      <w:r>
        <w:t>-</w:t>
      </w:r>
      <w:r w:rsidR="00FD152F">
        <w:t>S</w:t>
      </w:r>
      <w:r w:rsidRPr="009632DF">
        <w:t xml:space="preserve">upporter must, therefore, include a formal and recognised advocacy element in order to ensure the effective implementation of participants’ decision-making. For example, the </w:t>
      </w:r>
      <w:r w:rsidR="00FD152F">
        <w:t>D</w:t>
      </w:r>
      <w:r w:rsidRPr="009632DF">
        <w:t>ecision</w:t>
      </w:r>
      <w:r>
        <w:t>-</w:t>
      </w:r>
      <w:r w:rsidR="00FD152F">
        <w:t>S</w:t>
      </w:r>
      <w:r w:rsidRPr="009632DF">
        <w:t>upporter may support the participant to make complaints, or make complaints on their behalf</w:t>
      </w:r>
      <w:r>
        <w:t>,</w:t>
      </w:r>
      <w:r w:rsidRPr="009632DF">
        <w:t xml:space="preserve"> seeking outcomes in line with decisions made. Complaints may concern instances of Support Coordinators or service providers not fulfilling their obligations to implement the decisions in line with the participants’ will and preferences. </w:t>
      </w:r>
    </w:p>
    <w:p w14:paraId="16C1D86B" w14:textId="77777777" w:rsidR="00502934" w:rsidRPr="009C7A93" w:rsidRDefault="00502934" w:rsidP="009C7A93">
      <w:pPr>
        <w:pStyle w:val="NoSpacing"/>
        <w:rPr>
          <w:b/>
          <w:bCs/>
        </w:rPr>
      </w:pPr>
      <w:r w:rsidRPr="009C7A93">
        <w:rPr>
          <w:b/>
          <w:bCs/>
        </w:rPr>
        <w:t>Recommendation 5 </w:t>
      </w:r>
    </w:p>
    <w:p w14:paraId="38684883" w14:textId="2B24E0FD" w:rsidR="00EF6113" w:rsidRDefault="00EF6113" w:rsidP="009C7A93">
      <w:pPr>
        <w:pStyle w:val="NoSpacing"/>
        <w:rPr>
          <w:rFonts w:eastAsiaTheme="minorEastAsia"/>
          <w:b/>
          <w:bCs/>
          <w:color w:val="000000" w:themeColor="text1"/>
        </w:rPr>
      </w:pPr>
      <w:bookmarkStart w:id="22" w:name="_Toc81930924"/>
      <w:r w:rsidRPr="009C7A93">
        <w:rPr>
          <w:rFonts w:eastAsiaTheme="minorEastAsia"/>
          <w:b/>
          <w:bCs/>
          <w:color w:val="000000" w:themeColor="text1"/>
        </w:rPr>
        <w:t xml:space="preserve">The National Disability Insurance Agency should develop guidelines that define the scope and responsibilities of the </w:t>
      </w:r>
      <w:r w:rsidR="009B23AC">
        <w:rPr>
          <w:rFonts w:eastAsiaTheme="minorEastAsia"/>
          <w:b/>
          <w:bCs/>
          <w:color w:val="000000" w:themeColor="text1"/>
        </w:rPr>
        <w:t>D</w:t>
      </w:r>
      <w:r w:rsidRPr="009C7A93">
        <w:rPr>
          <w:rFonts w:eastAsiaTheme="minorEastAsia"/>
          <w:b/>
          <w:bCs/>
          <w:color w:val="000000" w:themeColor="text1"/>
        </w:rPr>
        <w:t>ecision-</w:t>
      </w:r>
      <w:r w:rsidR="009B23AC">
        <w:rPr>
          <w:rFonts w:eastAsiaTheme="minorEastAsia"/>
          <w:b/>
          <w:bCs/>
          <w:color w:val="000000" w:themeColor="text1"/>
        </w:rPr>
        <w:t>S</w:t>
      </w:r>
      <w:r w:rsidRPr="009C7A93">
        <w:rPr>
          <w:rFonts w:eastAsiaTheme="minorEastAsia"/>
          <w:b/>
          <w:bCs/>
          <w:color w:val="000000" w:themeColor="text1"/>
        </w:rPr>
        <w:t xml:space="preserve">upporter role, </w:t>
      </w:r>
      <w:r w:rsidR="009B23AC">
        <w:rPr>
          <w:rFonts w:eastAsiaTheme="minorEastAsia"/>
          <w:b/>
          <w:bCs/>
          <w:color w:val="000000" w:themeColor="text1"/>
        </w:rPr>
        <w:t>to</w:t>
      </w:r>
      <w:r w:rsidRPr="009C7A93">
        <w:rPr>
          <w:rFonts w:eastAsiaTheme="minorEastAsia"/>
          <w:b/>
          <w:bCs/>
          <w:color w:val="000000" w:themeColor="text1"/>
        </w:rPr>
        <w:t xml:space="preserve"> include an advocacy element. </w:t>
      </w:r>
    </w:p>
    <w:p w14:paraId="40D8106B" w14:textId="77777777" w:rsidR="009B23AC" w:rsidRPr="009C7A93" w:rsidRDefault="009B23AC" w:rsidP="009C7A93">
      <w:pPr>
        <w:pStyle w:val="NoSpacing"/>
        <w:rPr>
          <w:rFonts w:eastAsiaTheme="minorEastAsia"/>
          <w:b/>
          <w:bCs/>
          <w:color w:val="000000" w:themeColor="text1"/>
        </w:rPr>
      </w:pPr>
    </w:p>
    <w:p w14:paraId="5E47A788" w14:textId="26E7ADD6" w:rsidR="00502934" w:rsidRPr="004720DD" w:rsidRDefault="009C7A93" w:rsidP="004720DD">
      <w:pPr>
        <w:pStyle w:val="Heading1OPA"/>
        <w:rPr>
          <w:szCs w:val="32"/>
        </w:rPr>
      </w:pPr>
      <w:bookmarkStart w:id="23" w:name="_Toc82176130"/>
      <w:r>
        <w:rPr>
          <w:rStyle w:val="Heading1OPAChar"/>
          <w:b/>
          <w:bCs/>
          <w:szCs w:val="32"/>
        </w:rPr>
        <w:t>6</w:t>
      </w:r>
      <w:r w:rsidR="004720DD">
        <w:rPr>
          <w:rStyle w:val="Heading1OPAChar"/>
          <w:b/>
          <w:bCs/>
          <w:szCs w:val="32"/>
        </w:rPr>
        <w:t xml:space="preserve">. </w:t>
      </w:r>
      <w:r w:rsidR="00502934" w:rsidRPr="004720DD">
        <w:rPr>
          <w:rStyle w:val="Heading1OPAChar"/>
          <w:b/>
          <w:bCs/>
          <w:szCs w:val="32"/>
        </w:rPr>
        <w:t>Addressing an over-reliance on substitute decision-</w:t>
      </w:r>
      <w:r w:rsidR="00502934" w:rsidRPr="004720DD">
        <w:rPr>
          <w:szCs w:val="32"/>
        </w:rPr>
        <w:t>makers</w:t>
      </w:r>
      <w:bookmarkEnd w:id="22"/>
      <w:bookmarkEnd w:id="23"/>
      <w:r w:rsidR="00502934" w:rsidRPr="004720DD">
        <w:rPr>
          <w:szCs w:val="32"/>
        </w:rPr>
        <w:t> </w:t>
      </w:r>
    </w:p>
    <w:p w14:paraId="7DF300EB" w14:textId="499297E0" w:rsidR="00502934" w:rsidRPr="009632DF" w:rsidRDefault="009C7A93" w:rsidP="004720DD">
      <w:pPr>
        <w:pStyle w:val="Heading3OPA"/>
      </w:pPr>
      <w:bookmarkStart w:id="24" w:name="_Toc81930925"/>
      <w:bookmarkStart w:id="25" w:name="_Toc82176131"/>
      <w:r>
        <w:t>6</w:t>
      </w:r>
      <w:r w:rsidR="00502934" w:rsidRPr="009632DF">
        <w:t>.1 Least restrictive option</w:t>
      </w:r>
      <w:bookmarkEnd w:id="24"/>
      <w:bookmarkEnd w:id="25"/>
      <w:r w:rsidR="00502934" w:rsidRPr="009632DF">
        <w:t> </w:t>
      </w:r>
    </w:p>
    <w:p w14:paraId="6B741890" w14:textId="0FC6DD23" w:rsidR="00502934" w:rsidRPr="009632DF" w:rsidRDefault="00502934" w:rsidP="00502934">
      <w:pPr>
        <w:spacing w:before="120" w:after="120"/>
        <w:textAlignment w:val="baseline"/>
        <w:rPr>
          <w:rFonts w:eastAsia="Times New Roman"/>
        </w:rPr>
      </w:pPr>
      <w:r w:rsidRPr="009632DF">
        <w:rPr>
          <w:rFonts w:eastAsia="Times New Roman"/>
        </w:rPr>
        <w:t>An NDIS Supported Decision</w:t>
      </w:r>
      <w:r w:rsidR="00FD152F">
        <w:rPr>
          <w:rFonts w:eastAsia="Times New Roman"/>
        </w:rPr>
        <w:t>-</w:t>
      </w:r>
      <w:r w:rsidRPr="009632DF">
        <w:rPr>
          <w:rFonts w:eastAsia="Times New Roman"/>
        </w:rPr>
        <w:t xml:space="preserve">Making Policy must consider the needs of people who do not have capacity to consent to supported decision-making or to meet administrative requirements under the </w:t>
      </w:r>
      <w:r>
        <w:rPr>
          <w:rFonts w:eastAsia="Times New Roman"/>
        </w:rPr>
        <w:t>scheme</w:t>
      </w:r>
      <w:r w:rsidRPr="009632DF">
        <w:rPr>
          <w:rFonts w:eastAsia="Times New Roman"/>
        </w:rPr>
        <w:t xml:space="preserve"> in circumstances where substitute decision-making is not required. OPA observes that</w:t>
      </w:r>
      <w:r>
        <w:rPr>
          <w:rFonts w:eastAsia="Times New Roman"/>
        </w:rPr>
        <w:t>,</w:t>
      </w:r>
      <w:r w:rsidRPr="009632DF">
        <w:rPr>
          <w:rFonts w:eastAsia="Times New Roman"/>
        </w:rPr>
        <w:t xml:space="preserve"> for this cohort, there can be an over-reliance on substitute decision</w:t>
      </w:r>
      <w:r>
        <w:rPr>
          <w:rFonts w:eastAsia="Times New Roman"/>
        </w:rPr>
        <w:t>-</w:t>
      </w:r>
      <w:r w:rsidRPr="009632DF">
        <w:rPr>
          <w:rFonts w:eastAsia="Times New Roman"/>
        </w:rPr>
        <w:t>makers, without due regard to the obligation of engaging least</w:t>
      </w:r>
      <w:r>
        <w:rPr>
          <w:rFonts w:eastAsia="Times New Roman"/>
        </w:rPr>
        <w:t>-</w:t>
      </w:r>
      <w:r w:rsidRPr="009632DF">
        <w:rPr>
          <w:rFonts w:eastAsia="Times New Roman"/>
        </w:rPr>
        <w:t>restrictive options.  </w:t>
      </w:r>
    </w:p>
    <w:p w14:paraId="5FDF3AD5" w14:textId="1BC55A51" w:rsidR="00502934" w:rsidRPr="009632DF" w:rsidRDefault="00502934" w:rsidP="00502934">
      <w:pPr>
        <w:spacing w:after="0"/>
        <w:textAlignment w:val="baseline"/>
        <w:rPr>
          <w:rFonts w:eastAsia="Times New Roman"/>
        </w:rPr>
      </w:pPr>
      <w:r w:rsidRPr="009632DF">
        <w:rPr>
          <w:rFonts w:eastAsia="Times New Roman"/>
        </w:rPr>
        <w:t xml:space="preserve">Whether in relation to </w:t>
      </w:r>
      <w:r w:rsidR="009B23AC">
        <w:rPr>
          <w:rFonts w:eastAsia="Times New Roman"/>
        </w:rPr>
        <w:t>p</w:t>
      </w:r>
      <w:r w:rsidRPr="009632DF">
        <w:rPr>
          <w:rFonts w:eastAsia="Times New Roman"/>
        </w:rPr>
        <w:t xml:space="preserve">lan </w:t>
      </w:r>
      <w:r w:rsidR="009B23AC">
        <w:rPr>
          <w:rFonts w:eastAsia="Times New Roman"/>
        </w:rPr>
        <w:t>n</w:t>
      </w:r>
      <w:r w:rsidRPr="009632DF">
        <w:rPr>
          <w:rFonts w:eastAsia="Times New Roman"/>
        </w:rPr>
        <w:t xml:space="preserve">ominees, </w:t>
      </w:r>
      <w:r>
        <w:rPr>
          <w:rFonts w:eastAsia="Times New Roman"/>
        </w:rPr>
        <w:t>advocate guardians, administrators</w:t>
      </w:r>
      <w:r w:rsidRPr="009632DF">
        <w:rPr>
          <w:rFonts w:eastAsia="Times New Roman"/>
        </w:rPr>
        <w:t>, or other substitute decision</w:t>
      </w:r>
      <w:r>
        <w:rPr>
          <w:rFonts w:eastAsia="Times New Roman"/>
        </w:rPr>
        <w:t>-</w:t>
      </w:r>
      <w:r w:rsidRPr="009632DF">
        <w:rPr>
          <w:rFonts w:eastAsia="Times New Roman"/>
        </w:rPr>
        <w:t>makers, substitute decision</w:t>
      </w:r>
      <w:r>
        <w:rPr>
          <w:rFonts w:eastAsia="Times New Roman"/>
        </w:rPr>
        <w:t>-</w:t>
      </w:r>
      <w:r w:rsidRPr="009632DF">
        <w:rPr>
          <w:rFonts w:eastAsia="Times New Roman"/>
        </w:rPr>
        <w:t>making in the context of NDIS-related decisions should be restricted to situations of absolute necessity, and supported decision-making should be promoted and utilised</w:t>
      </w:r>
      <w:r>
        <w:rPr>
          <w:rFonts w:eastAsia="Times New Roman"/>
        </w:rPr>
        <w:t>,</w:t>
      </w:r>
      <w:r w:rsidRPr="009632DF">
        <w:rPr>
          <w:rFonts w:eastAsia="Times New Roman"/>
        </w:rPr>
        <w:t xml:space="preserve"> wherever possible. </w:t>
      </w:r>
    </w:p>
    <w:p w14:paraId="793A562F" w14:textId="08921930" w:rsidR="00502934" w:rsidRPr="009632DF" w:rsidRDefault="009C7A93" w:rsidP="004720DD">
      <w:pPr>
        <w:pStyle w:val="Heading3OPA"/>
      </w:pPr>
      <w:bookmarkStart w:id="26" w:name="_Toc81930926"/>
      <w:bookmarkStart w:id="27" w:name="_Toc82176132"/>
      <w:r>
        <w:t>6</w:t>
      </w:r>
      <w:r w:rsidR="00502934" w:rsidRPr="009632DF">
        <w:t>.2  Supported decision-making to meet NDIS administrative requirements</w:t>
      </w:r>
      <w:bookmarkEnd w:id="26"/>
      <w:bookmarkEnd w:id="27"/>
      <w:r w:rsidR="00502934" w:rsidRPr="009632DF">
        <w:t>  </w:t>
      </w:r>
    </w:p>
    <w:p w14:paraId="4E095437" w14:textId="77777777" w:rsidR="00502934" w:rsidRPr="00C91A3C" w:rsidRDefault="00502934" w:rsidP="00502934">
      <w:pPr>
        <w:pStyle w:val="NormalOPA"/>
        <w:spacing w:line="276" w:lineRule="auto"/>
        <w:ind w:left="0"/>
        <w:rPr>
          <w:rFonts w:eastAsiaTheme="minorEastAsia" w:cs="Arial"/>
          <w:color w:val="000000" w:themeColor="text1"/>
        </w:rPr>
      </w:pPr>
      <w:r w:rsidRPr="009632DF">
        <w:rPr>
          <w:rFonts w:eastAsiaTheme="minorEastAsia" w:cs="Arial"/>
          <w:lang w:eastAsia="en-AU"/>
        </w:rPr>
        <w:t>An over-reliance on substitute decision</w:t>
      </w:r>
      <w:r>
        <w:rPr>
          <w:rFonts w:eastAsiaTheme="minorEastAsia" w:cs="Arial"/>
          <w:lang w:eastAsia="en-AU"/>
        </w:rPr>
        <w:t>-</w:t>
      </w:r>
      <w:r w:rsidRPr="009632DF">
        <w:rPr>
          <w:rFonts w:eastAsiaTheme="minorEastAsia" w:cs="Arial"/>
          <w:lang w:eastAsia="en-AU"/>
        </w:rPr>
        <w:t xml:space="preserve">makers is particularly evident where support is needed for NDIS participants to complete administrative requirements of the NDIS access and planning process. </w:t>
      </w:r>
      <w:r w:rsidRPr="009632DF">
        <w:rPr>
          <w:rFonts w:eastAsiaTheme="minorEastAsia" w:cs="Arial"/>
          <w:color w:val="000000" w:themeColor="text1"/>
        </w:rPr>
        <w:t>OPA is concerned that</w:t>
      </w:r>
      <w:r>
        <w:rPr>
          <w:rFonts w:eastAsiaTheme="minorEastAsia" w:cs="Arial"/>
          <w:color w:val="000000" w:themeColor="text1"/>
        </w:rPr>
        <w:t>,</w:t>
      </w:r>
      <w:r w:rsidRPr="009632DF">
        <w:rPr>
          <w:rFonts w:eastAsiaTheme="minorEastAsia" w:cs="Arial"/>
          <w:color w:val="000000" w:themeColor="text1"/>
        </w:rPr>
        <w:t xml:space="preserve"> in an increasing number of cases, the NDIA is requesting guardianship appointments for the sole purpose of enabling participants to complete the administrative requirements to enter the scheme and complete planning. </w:t>
      </w:r>
    </w:p>
    <w:p w14:paraId="56F0A7A8" w14:textId="77777777" w:rsidR="00502934" w:rsidRPr="009632DF" w:rsidRDefault="00502934" w:rsidP="00502934">
      <w:pPr>
        <w:pStyle w:val="NormalOPA"/>
        <w:spacing w:line="276" w:lineRule="auto"/>
        <w:ind w:left="0"/>
        <w:rPr>
          <w:rFonts w:eastAsiaTheme="minorEastAsia" w:cs="Arial"/>
          <w:color w:val="000000" w:themeColor="text1"/>
        </w:rPr>
      </w:pPr>
      <w:r w:rsidRPr="009632DF">
        <w:rPr>
          <w:rFonts w:eastAsiaTheme="minorEastAsia" w:cs="Arial"/>
          <w:color w:val="000000" w:themeColor="text1"/>
        </w:rPr>
        <w:t xml:space="preserve">In one case, the Public Advocate was appointed as guardian </w:t>
      </w:r>
      <w:r>
        <w:rPr>
          <w:rFonts w:eastAsiaTheme="minorEastAsia" w:cs="Arial"/>
          <w:color w:val="000000" w:themeColor="text1"/>
        </w:rPr>
        <w:t>for</w:t>
      </w:r>
      <w:r w:rsidRPr="009632DF">
        <w:rPr>
          <w:rFonts w:eastAsiaTheme="minorEastAsia" w:cs="Arial"/>
          <w:color w:val="000000" w:themeColor="text1"/>
        </w:rPr>
        <w:t xml:space="preserve"> a person who had capacity to request access to the NDIS but could not physically sign the Access Request Form (ARF) due to the nature of her disability. She could, when provided with adequate support, verbally communicate her wishes and preferences, including her desire to enter the scheme. The potential participant’s delegated guardian assisted with the completion of the ARF but the NDIA would not allow verbal consent from the prospective participant to the ARF and</w:t>
      </w:r>
      <w:r>
        <w:rPr>
          <w:rFonts w:eastAsiaTheme="minorEastAsia" w:cs="Arial"/>
          <w:color w:val="000000" w:themeColor="text1"/>
        </w:rPr>
        <w:t>,</w:t>
      </w:r>
      <w:r w:rsidRPr="009632DF">
        <w:rPr>
          <w:rFonts w:eastAsiaTheme="minorEastAsia" w:cs="Arial"/>
          <w:color w:val="000000" w:themeColor="text1"/>
        </w:rPr>
        <w:t xml:space="preserve"> instead</w:t>
      </w:r>
      <w:r>
        <w:rPr>
          <w:rFonts w:eastAsiaTheme="minorEastAsia" w:cs="Arial"/>
          <w:color w:val="000000" w:themeColor="text1"/>
        </w:rPr>
        <w:t>,</w:t>
      </w:r>
      <w:r w:rsidRPr="009632DF">
        <w:rPr>
          <w:rFonts w:eastAsiaTheme="minorEastAsia" w:cs="Arial"/>
          <w:color w:val="000000" w:themeColor="text1"/>
        </w:rPr>
        <w:t xml:space="preserve"> required the delegated guardi</w:t>
      </w:r>
      <w:r>
        <w:rPr>
          <w:rFonts w:eastAsiaTheme="minorEastAsia" w:cs="Arial"/>
          <w:color w:val="000000" w:themeColor="text1"/>
        </w:rPr>
        <w:t>an</w:t>
      </w:r>
      <w:r w:rsidRPr="009632DF">
        <w:rPr>
          <w:rFonts w:eastAsiaTheme="minorEastAsia" w:cs="Arial"/>
          <w:color w:val="000000" w:themeColor="text1"/>
        </w:rPr>
        <w:t xml:space="preserve"> to sign. This is as an instrumental use of guardianship for administrative efficiency and is misaligned with the legislative intent of guardianship. Guardianship should remain</w:t>
      </w:r>
      <w:r>
        <w:rPr>
          <w:rFonts w:eastAsiaTheme="minorEastAsia" w:cs="Arial"/>
          <w:color w:val="000000" w:themeColor="text1"/>
        </w:rPr>
        <w:t>,</w:t>
      </w:r>
      <w:r w:rsidRPr="009632DF">
        <w:rPr>
          <w:rFonts w:eastAsiaTheme="minorEastAsia" w:cs="Arial"/>
          <w:color w:val="000000" w:themeColor="text1"/>
        </w:rPr>
        <w:t xml:space="preserve"> importantly</w:t>
      </w:r>
      <w:r>
        <w:rPr>
          <w:rFonts w:eastAsiaTheme="minorEastAsia" w:cs="Arial"/>
          <w:color w:val="000000" w:themeColor="text1"/>
        </w:rPr>
        <w:t>,</w:t>
      </w:r>
      <w:r w:rsidRPr="009632DF">
        <w:rPr>
          <w:rFonts w:eastAsiaTheme="minorEastAsia" w:cs="Arial"/>
          <w:color w:val="000000" w:themeColor="text1"/>
        </w:rPr>
        <w:t xml:space="preserve"> a measure of last resort, as it is prescribed in legislation.</w:t>
      </w:r>
    </w:p>
    <w:p w14:paraId="695CC486" w14:textId="59699D63" w:rsidR="00502934" w:rsidRPr="007533D5" w:rsidRDefault="00502934" w:rsidP="00502934">
      <w:pPr>
        <w:pStyle w:val="NormalOPA"/>
        <w:spacing w:line="276" w:lineRule="auto"/>
        <w:ind w:left="0"/>
        <w:rPr>
          <w:rFonts w:eastAsia="Arial" w:cs="Arial"/>
          <w:color w:val="000000" w:themeColor="text1"/>
        </w:rPr>
      </w:pPr>
      <w:r w:rsidRPr="009632DF">
        <w:rPr>
          <w:rFonts w:eastAsiaTheme="minorEastAsia" w:cs="Arial"/>
          <w:color w:val="000000" w:themeColor="text1"/>
        </w:rPr>
        <w:t xml:space="preserve">In Victoria, the </w:t>
      </w:r>
      <w:r w:rsidRPr="009632DF">
        <w:rPr>
          <w:rFonts w:eastAsiaTheme="minorEastAsia" w:cs="Arial"/>
          <w:i/>
          <w:iCs/>
          <w:color w:val="000000" w:themeColor="text1"/>
        </w:rPr>
        <w:t xml:space="preserve">Guardianship and Administration Act </w:t>
      </w:r>
      <w:r w:rsidR="00051BFF">
        <w:rPr>
          <w:rFonts w:eastAsiaTheme="minorEastAsia" w:cs="Arial"/>
          <w:i/>
          <w:iCs/>
          <w:color w:val="000000" w:themeColor="text1"/>
        </w:rPr>
        <w:t>2019</w:t>
      </w:r>
      <w:r w:rsidRPr="009632DF">
        <w:rPr>
          <w:rFonts w:eastAsiaTheme="minorEastAsia" w:cs="Arial"/>
          <w:color w:val="000000" w:themeColor="text1"/>
        </w:rPr>
        <w:t xml:space="preserve"> (Vic) </w:t>
      </w:r>
      <w:r w:rsidR="00051BFF">
        <w:rPr>
          <w:rFonts w:eastAsiaTheme="minorEastAsia" w:cs="Arial"/>
          <w:color w:val="000000" w:themeColor="text1"/>
        </w:rPr>
        <w:t xml:space="preserve">(GAA) </w:t>
      </w:r>
      <w:r w:rsidRPr="009632DF">
        <w:rPr>
          <w:rFonts w:eastAsiaTheme="minorEastAsia" w:cs="Arial"/>
          <w:color w:val="000000" w:themeColor="text1"/>
        </w:rPr>
        <w:t xml:space="preserve">prescribes that, when determining whether or not a person is in need of a guardian, the Victorian Civil and Administrative Tribunal (VCAT) must consider, among other considerations, </w:t>
      </w:r>
      <w:r>
        <w:rPr>
          <w:rFonts w:eastAsiaTheme="minorEastAsia" w:cs="Arial"/>
          <w:color w:val="000000" w:themeColor="text1"/>
        </w:rPr>
        <w:t>“</w:t>
      </w:r>
      <w:r w:rsidRPr="009632DF">
        <w:rPr>
          <w:rFonts w:eastAsiaTheme="minorEastAsia" w:cs="Arial"/>
          <w:color w:val="000000" w:themeColor="text1"/>
        </w:rPr>
        <w:t>whether the needs of the person in respect of whom the application is made could be met by other means less restrictive of the person’s freedom of decision and action.</w:t>
      </w:r>
      <w:r>
        <w:rPr>
          <w:rFonts w:eastAsiaTheme="minorEastAsia" w:cs="Arial"/>
          <w:color w:val="000000" w:themeColor="text1"/>
        </w:rPr>
        <w:t>”</w:t>
      </w:r>
      <w:r w:rsidRPr="009632DF">
        <w:rPr>
          <w:rFonts w:eastAsiaTheme="minorEastAsia" w:cs="Arial"/>
          <w:color w:val="000000" w:themeColor="text1"/>
        </w:rPr>
        <w:t>’</w:t>
      </w:r>
      <w:r w:rsidR="00FD152F">
        <w:rPr>
          <w:rStyle w:val="FootnoteReference"/>
          <w:rFonts w:eastAsiaTheme="minorEastAsia" w:cs="Arial"/>
          <w:color w:val="000000" w:themeColor="text1"/>
        </w:rPr>
        <w:footnoteReference w:id="4"/>
      </w:r>
      <w:r w:rsidRPr="009632DF">
        <w:rPr>
          <w:rFonts w:eastAsiaTheme="minorEastAsia" w:cs="Arial"/>
          <w:color w:val="000000" w:themeColor="text1"/>
        </w:rPr>
        <w:t xml:space="preserve"> Guardianship legislation in other jurisdictions replicate</w:t>
      </w:r>
      <w:r>
        <w:rPr>
          <w:rFonts w:eastAsiaTheme="minorEastAsia" w:cs="Arial"/>
          <w:color w:val="000000" w:themeColor="text1"/>
        </w:rPr>
        <w:t>s</w:t>
      </w:r>
      <w:r w:rsidRPr="009632DF">
        <w:rPr>
          <w:rFonts w:eastAsiaTheme="minorEastAsia" w:cs="Arial"/>
          <w:color w:val="000000" w:themeColor="text1"/>
        </w:rPr>
        <w:t xml:space="preserve"> this provision. </w:t>
      </w:r>
    </w:p>
    <w:p w14:paraId="26EC497C" w14:textId="46613154" w:rsidR="00502934" w:rsidRPr="009632DF" w:rsidRDefault="00502934" w:rsidP="00502934">
      <w:pPr>
        <w:pStyle w:val="NormalOPA"/>
        <w:spacing w:line="276" w:lineRule="auto"/>
        <w:ind w:left="0"/>
        <w:rPr>
          <w:rFonts w:eastAsiaTheme="minorEastAsia" w:cs="Arial"/>
          <w:color w:val="000000" w:themeColor="text1"/>
        </w:rPr>
      </w:pPr>
      <w:r w:rsidRPr="009632DF">
        <w:rPr>
          <w:rFonts w:eastAsiaTheme="minorEastAsia" w:cs="Arial"/>
          <w:color w:val="000000" w:themeColor="text1"/>
        </w:rPr>
        <w:t xml:space="preserve">In Victoria again, the </w:t>
      </w:r>
      <w:r w:rsidR="00051BFF" w:rsidRPr="00051BFF">
        <w:rPr>
          <w:rFonts w:eastAsiaTheme="minorEastAsia" w:cs="Arial"/>
          <w:color w:val="000000" w:themeColor="text1"/>
        </w:rPr>
        <w:t>GAA</w:t>
      </w:r>
      <w:r w:rsidRPr="009632DF">
        <w:rPr>
          <w:rFonts w:eastAsiaTheme="minorEastAsia" w:cs="Arial"/>
          <w:color w:val="000000" w:themeColor="text1"/>
        </w:rPr>
        <w:t xml:space="preserve"> legislates the presumption that a person has decision-making capacity if the person can make decision</w:t>
      </w:r>
      <w:r>
        <w:rPr>
          <w:rFonts w:eastAsiaTheme="minorEastAsia" w:cs="Arial"/>
          <w:color w:val="000000" w:themeColor="text1"/>
        </w:rPr>
        <w:t>s</w:t>
      </w:r>
      <w:r w:rsidRPr="009632DF">
        <w:rPr>
          <w:rFonts w:eastAsiaTheme="minorEastAsia" w:cs="Arial"/>
          <w:color w:val="000000" w:themeColor="text1"/>
        </w:rPr>
        <w:t xml:space="preserve"> with support. In the case presented above, the potential participant had capacity to make and communicate her decision when provided with an alternative consent method. Requests for guardianship or requests made of guardians by the NDIA in these circumstances deny participants their right to have control of decisions that affect their lives where, with support, they have capacity to do so.</w:t>
      </w:r>
    </w:p>
    <w:p w14:paraId="51CBD6BD" w14:textId="0C14CF75" w:rsidR="00502934" w:rsidRPr="009632DF" w:rsidRDefault="00502934" w:rsidP="00502934">
      <w:r w:rsidRPr="009632DF">
        <w:t xml:space="preserve">Rather, the </w:t>
      </w:r>
      <w:r w:rsidR="00FD152F">
        <w:t>D</w:t>
      </w:r>
      <w:r w:rsidRPr="009632DF">
        <w:t>ecision</w:t>
      </w:r>
      <w:r>
        <w:t>-</w:t>
      </w:r>
      <w:r w:rsidR="00FD152F">
        <w:t>S</w:t>
      </w:r>
      <w:r w:rsidRPr="009632DF">
        <w:t>upporter’s role should include the documentation of decisions made by the participant with support, where that documentation is necessary to fulfil NDIS administrative requirements. Where it is not possible for a NDIS provider</w:t>
      </w:r>
      <w:r>
        <w:t>’s</w:t>
      </w:r>
      <w:r w:rsidRPr="009632DF">
        <w:t xml:space="preserve"> service agreement to be signed as the participant does not have legal capacity to do so, for example, the </w:t>
      </w:r>
      <w:r w:rsidR="00FD152F">
        <w:t>D</w:t>
      </w:r>
      <w:r w:rsidRPr="009632DF">
        <w:t>ecision</w:t>
      </w:r>
      <w:r>
        <w:t>-</w:t>
      </w:r>
      <w:r w:rsidR="00FD152F">
        <w:t>S</w:t>
      </w:r>
      <w:r w:rsidRPr="009632DF">
        <w:t xml:space="preserve">upporter could facilitate the preparation of documentation which records the decisions made. In relation to an agreement to provide services, the </w:t>
      </w:r>
      <w:r w:rsidR="00FD152F">
        <w:t>D</w:t>
      </w:r>
      <w:r w:rsidRPr="009632DF">
        <w:t>ecision</w:t>
      </w:r>
      <w:r>
        <w:t>-</w:t>
      </w:r>
      <w:r w:rsidR="00FD152F">
        <w:t>S</w:t>
      </w:r>
      <w:r w:rsidRPr="009632DF">
        <w:t>upporter could support the participant to liaise with an NDIS provider to produce a statement of support identifying the supports that the provider will provide to the participant (a statement of support), rather than the participant entering a service agreement. While the NDIA recommends that providers and participants enter a written service agreement, it is not a legislative or policy requirement do so in order for a service provider to provide NDIS funded services. The NDIA should provide information and education for providers to ensure that the role of supported decision</w:t>
      </w:r>
      <w:r>
        <w:t>-</w:t>
      </w:r>
      <w:r w:rsidRPr="009632DF">
        <w:t xml:space="preserve">making in the context of accessing services is understood by providers. </w:t>
      </w:r>
    </w:p>
    <w:p w14:paraId="13F9EF73" w14:textId="77777777" w:rsidR="00502934" w:rsidRPr="00D33029" w:rsidRDefault="00502934" w:rsidP="00502934">
      <w:pPr>
        <w:rPr>
          <w:rFonts w:eastAsia="Times New Roman"/>
        </w:rPr>
      </w:pPr>
      <w:r w:rsidRPr="009632DF">
        <w:t xml:space="preserve">This approach protects the rights and interests of the participant and ensures that guardianship orders are not being sought as a ‘solution’ to the issue of having service agreements signed. For this cohort of NDIS participants, decisions made with support is </w:t>
      </w:r>
      <w:r>
        <w:t xml:space="preserve">a practice </w:t>
      </w:r>
      <w:r w:rsidRPr="009632DF">
        <w:t>more in line with the human rights obligation of adhering to the least</w:t>
      </w:r>
      <w:r>
        <w:t>-</w:t>
      </w:r>
      <w:r w:rsidRPr="009632DF">
        <w:t>restrictive options when engaging services. </w:t>
      </w:r>
    </w:p>
    <w:p w14:paraId="7663B9A2" w14:textId="77777777" w:rsidR="00502934" w:rsidRPr="009C7A93" w:rsidRDefault="00502934" w:rsidP="009C7A93">
      <w:pPr>
        <w:pStyle w:val="NoSpacing"/>
        <w:rPr>
          <w:b/>
          <w:bCs/>
        </w:rPr>
      </w:pPr>
      <w:r w:rsidRPr="009C7A93">
        <w:rPr>
          <w:b/>
          <w:bCs/>
        </w:rPr>
        <w:t>Recommendation 6</w:t>
      </w:r>
    </w:p>
    <w:p w14:paraId="0580C702" w14:textId="3B5E8D43" w:rsidR="009C7A93" w:rsidRDefault="009C7A93" w:rsidP="00FD152F">
      <w:pPr>
        <w:pStyle w:val="NoSpacing"/>
        <w:rPr>
          <w:rFonts w:eastAsia="Times New Roman"/>
        </w:rPr>
      </w:pPr>
      <w:bookmarkStart w:id="28" w:name="_Toc81930927"/>
      <w:bookmarkStart w:id="29" w:name="_Toc81930928"/>
      <w:bookmarkStart w:id="30" w:name="_Toc81930929"/>
      <w:bookmarkStart w:id="31" w:name="_Toc81930930"/>
      <w:bookmarkStart w:id="32" w:name="_Toc81930932"/>
      <w:bookmarkEnd w:id="28"/>
      <w:bookmarkEnd w:id="29"/>
      <w:bookmarkEnd w:id="30"/>
      <w:bookmarkEnd w:id="31"/>
      <w:r w:rsidRPr="009C7A93">
        <w:rPr>
          <w:b/>
          <w:bCs/>
        </w:rPr>
        <w:t xml:space="preserve">The National Disability Insurance Agency’s administrative processes should be sufficiently flexible to ensure that participants can implement decisions made with support.  </w:t>
      </w:r>
      <w:bookmarkEnd w:id="32"/>
    </w:p>
    <w:bookmarkEnd w:id="5"/>
    <w:p w14:paraId="632E6436" w14:textId="77777777" w:rsidR="00564854" w:rsidRPr="00564854" w:rsidRDefault="00564854" w:rsidP="00502934">
      <w:pPr>
        <w:pStyle w:val="NoSpacing"/>
        <w:spacing w:before="120" w:after="120" w:line="276" w:lineRule="auto"/>
      </w:pPr>
    </w:p>
    <w:sectPr w:rsidR="00564854" w:rsidRPr="00564854" w:rsidSect="00C547BB">
      <w:headerReference w:type="default" r:id="rId12"/>
      <w:footerReference w:type="default" r:id="rId13"/>
      <w:headerReference w:type="first" r:id="rId14"/>
      <w:pgSz w:w="11906" w:h="16838" w:code="9"/>
      <w:pgMar w:top="1134" w:right="1134" w:bottom="1134"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86A3" w14:textId="77777777" w:rsidR="00502934" w:rsidRDefault="00502934" w:rsidP="00C547BB">
      <w:pPr>
        <w:spacing w:before="0" w:after="0"/>
      </w:pPr>
      <w:r>
        <w:separator/>
      </w:r>
    </w:p>
  </w:endnote>
  <w:endnote w:type="continuationSeparator" w:id="0">
    <w:p w14:paraId="081300A4" w14:textId="77777777" w:rsidR="00502934" w:rsidRDefault="00502934" w:rsidP="00C547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467839"/>
      <w:docPartObj>
        <w:docPartGallery w:val="Page Numbers (Bottom of Page)"/>
        <w:docPartUnique/>
      </w:docPartObj>
    </w:sdtPr>
    <w:sdtEndPr/>
    <w:sdtContent>
      <w:sdt>
        <w:sdtPr>
          <w:id w:val="-1769616900"/>
          <w:docPartObj>
            <w:docPartGallery w:val="Page Numbers (Top of Page)"/>
            <w:docPartUnique/>
          </w:docPartObj>
        </w:sdtPr>
        <w:sdtEndPr/>
        <w:sdtContent>
          <w:p w14:paraId="5DE23D16" w14:textId="22CDB9A9" w:rsidR="00502934" w:rsidRPr="00881153" w:rsidRDefault="00502934" w:rsidP="001D2752">
            <w:pPr>
              <w:pStyle w:val="Footer"/>
              <w:tabs>
                <w:tab w:val="clear" w:pos="4513"/>
                <w:tab w:val="clear" w:pos="9026"/>
                <w:tab w:val="center" w:pos="5670"/>
                <w:tab w:val="right" w:pos="9498"/>
              </w:tabs>
            </w:pPr>
            <w:r w:rsidRPr="001D2752">
              <w:rPr>
                <w:sz w:val="20"/>
                <w:szCs w:val="20"/>
              </w:rPr>
              <w:t xml:space="preserve">OPA Submission </w:t>
            </w:r>
            <w:r w:rsidR="00CB4166">
              <w:rPr>
                <w:sz w:val="20"/>
                <w:szCs w:val="20"/>
              </w:rPr>
              <w:t>on NDIS Supported Decision-Making Policy          10</w:t>
            </w:r>
            <w:r w:rsidRPr="001D2752">
              <w:rPr>
                <w:sz w:val="20"/>
                <w:szCs w:val="20"/>
              </w:rPr>
              <w:t>/</w:t>
            </w:r>
            <w:r w:rsidR="00CB4166">
              <w:rPr>
                <w:sz w:val="20"/>
                <w:szCs w:val="20"/>
              </w:rPr>
              <w:t>09</w:t>
            </w:r>
            <w:r w:rsidRPr="001D2752">
              <w:rPr>
                <w:sz w:val="20"/>
                <w:szCs w:val="20"/>
              </w:rPr>
              <w:t>/</w:t>
            </w:r>
            <w:r w:rsidR="00CB4166">
              <w:rPr>
                <w:sz w:val="20"/>
                <w:szCs w:val="20"/>
              </w:rPr>
              <w:t>2021</w:t>
            </w:r>
            <w:r w:rsidRPr="001D2752">
              <w:rPr>
                <w:sz w:val="20"/>
                <w:szCs w:val="20"/>
              </w:rPr>
              <w:tab/>
              <w:t xml:space="preserve">Page </w:t>
            </w:r>
            <w:r w:rsidRPr="001D2752">
              <w:rPr>
                <w:bCs/>
                <w:sz w:val="20"/>
                <w:szCs w:val="20"/>
              </w:rPr>
              <w:fldChar w:fldCharType="begin"/>
            </w:r>
            <w:r w:rsidRPr="001D2752">
              <w:rPr>
                <w:bCs/>
                <w:sz w:val="20"/>
                <w:szCs w:val="20"/>
              </w:rPr>
              <w:instrText xml:space="preserve"> PAGE </w:instrText>
            </w:r>
            <w:r w:rsidRPr="001D2752">
              <w:rPr>
                <w:bCs/>
                <w:sz w:val="20"/>
                <w:szCs w:val="20"/>
              </w:rPr>
              <w:fldChar w:fldCharType="separate"/>
            </w:r>
            <w:r w:rsidRPr="001D2752">
              <w:rPr>
                <w:bCs/>
                <w:noProof/>
                <w:sz w:val="20"/>
                <w:szCs w:val="20"/>
              </w:rPr>
              <w:t>2</w:t>
            </w:r>
            <w:r w:rsidRPr="001D2752">
              <w:rPr>
                <w:bCs/>
                <w:sz w:val="20"/>
                <w:szCs w:val="20"/>
              </w:rPr>
              <w:fldChar w:fldCharType="end"/>
            </w:r>
            <w:r w:rsidRPr="001D2752">
              <w:rPr>
                <w:sz w:val="20"/>
                <w:szCs w:val="20"/>
              </w:rPr>
              <w:t xml:space="preserve"> of </w:t>
            </w:r>
            <w:r w:rsidRPr="001D2752">
              <w:rPr>
                <w:bCs/>
                <w:sz w:val="20"/>
                <w:szCs w:val="20"/>
              </w:rPr>
              <w:fldChar w:fldCharType="begin"/>
            </w:r>
            <w:r w:rsidRPr="001D2752">
              <w:rPr>
                <w:bCs/>
                <w:sz w:val="20"/>
                <w:szCs w:val="20"/>
              </w:rPr>
              <w:instrText xml:space="preserve"> NUMPAGES  </w:instrText>
            </w:r>
            <w:r w:rsidRPr="001D2752">
              <w:rPr>
                <w:bCs/>
                <w:sz w:val="20"/>
                <w:szCs w:val="20"/>
              </w:rPr>
              <w:fldChar w:fldCharType="separate"/>
            </w:r>
            <w:r w:rsidRPr="001D2752">
              <w:rPr>
                <w:bCs/>
                <w:noProof/>
                <w:sz w:val="20"/>
                <w:szCs w:val="20"/>
              </w:rPr>
              <w:t>2</w:t>
            </w:r>
            <w:r w:rsidRPr="001D2752">
              <w:rPr>
                <w:bCs/>
                <w:sz w:val="20"/>
                <w:szCs w:val="20"/>
              </w:rPr>
              <w:fldChar w:fldCharType="end"/>
            </w:r>
          </w:p>
        </w:sdtContent>
      </w:sdt>
    </w:sdtContent>
  </w:sdt>
  <w:p w14:paraId="4B4E4D1C" w14:textId="77777777" w:rsidR="00502934" w:rsidRDefault="00502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0357" w14:textId="77777777" w:rsidR="00502934" w:rsidRDefault="00502934" w:rsidP="00C547BB">
      <w:pPr>
        <w:spacing w:before="0" w:after="0"/>
      </w:pPr>
      <w:r>
        <w:separator/>
      </w:r>
    </w:p>
  </w:footnote>
  <w:footnote w:type="continuationSeparator" w:id="0">
    <w:p w14:paraId="49580804" w14:textId="77777777" w:rsidR="00502934" w:rsidRDefault="00502934" w:rsidP="00C547BB">
      <w:pPr>
        <w:spacing w:before="0" w:after="0"/>
      </w:pPr>
      <w:r>
        <w:continuationSeparator/>
      </w:r>
    </w:p>
  </w:footnote>
  <w:footnote w:id="1">
    <w:p w14:paraId="2B2F8397" w14:textId="2002A014" w:rsidR="00495392" w:rsidRPr="00495392" w:rsidRDefault="00495392">
      <w:pPr>
        <w:pStyle w:val="FootnoteText"/>
        <w:rPr>
          <w:sz w:val="16"/>
          <w:szCs w:val="16"/>
        </w:rPr>
      </w:pPr>
      <w:r w:rsidRPr="00495392">
        <w:rPr>
          <w:rStyle w:val="FootnoteReference"/>
          <w:sz w:val="16"/>
          <w:szCs w:val="16"/>
        </w:rPr>
        <w:footnoteRef/>
      </w:r>
      <w:r w:rsidRPr="00495392">
        <w:rPr>
          <w:sz w:val="16"/>
          <w:szCs w:val="16"/>
        </w:rPr>
        <w:t xml:space="preserve"> </w:t>
      </w:r>
      <w:r w:rsidRPr="00495392">
        <w:rPr>
          <w:rFonts w:eastAsia="Times New Roman"/>
          <w:sz w:val="16"/>
          <w:szCs w:val="16"/>
        </w:rPr>
        <w:t>UN General Assembly, </w:t>
      </w:r>
      <w:r w:rsidRPr="00495392">
        <w:rPr>
          <w:rFonts w:eastAsia="Times New Roman"/>
          <w:i/>
          <w:iCs/>
          <w:sz w:val="16"/>
          <w:szCs w:val="16"/>
        </w:rPr>
        <w:t>Convention on the Rights of Persons with Disabilities : resolution / adopted by the General Assembly</w:t>
      </w:r>
      <w:r w:rsidRPr="00495392">
        <w:rPr>
          <w:rFonts w:eastAsia="Times New Roman"/>
          <w:sz w:val="16"/>
          <w:szCs w:val="16"/>
        </w:rPr>
        <w:t>, 24 January 2007, A/RES/61/106</w:t>
      </w:r>
    </w:p>
  </w:footnote>
  <w:footnote w:id="2">
    <w:p w14:paraId="239A79FC" w14:textId="77777777" w:rsidR="00FD152F" w:rsidRPr="00FD152F" w:rsidRDefault="00FD152F" w:rsidP="00FD152F">
      <w:pPr>
        <w:spacing w:after="0"/>
        <w:textAlignment w:val="baseline"/>
        <w:rPr>
          <w:rFonts w:eastAsia="Times New Roman"/>
          <w:sz w:val="16"/>
          <w:szCs w:val="16"/>
        </w:rPr>
      </w:pPr>
      <w:r w:rsidRPr="00FD152F">
        <w:rPr>
          <w:rStyle w:val="FootnoteReference"/>
          <w:sz w:val="16"/>
          <w:szCs w:val="16"/>
        </w:rPr>
        <w:footnoteRef/>
      </w:r>
      <w:r w:rsidRPr="00FD152F">
        <w:rPr>
          <w:sz w:val="16"/>
          <w:szCs w:val="16"/>
        </w:rPr>
        <w:t xml:space="preserve"> </w:t>
      </w:r>
      <w:r w:rsidRPr="00FD152F">
        <w:rPr>
          <w:rFonts w:eastAsia="Times New Roman"/>
          <w:sz w:val="16"/>
          <w:szCs w:val="16"/>
        </w:rPr>
        <w:t xml:space="preserve">Office of the Public Advocate (2017). Volunteer Programs of Support for Decision-Making: Lessons and recommendations from the OVAL Project. </w:t>
      </w:r>
    </w:p>
    <w:p w14:paraId="51A2DBA1" w14:textId="78469036" w:rsidR="00FD152F" w:rsidRDefault="00FD152F">
      <w:pPr>
        <w:pStyle w:val="FootnoteText"/>
      </w:pPr>
    </w:p>
  </w:footnote>
  <w:footnote w:id="3">
    <w:p w14:paraId="530668BD" w14:textId="77777777" w:rsidR="00FD152F" w:rsidRPr="00FD152F" w:rsidRDefault="00FD152F" w:rsidP="00FD152F">
      <w:pPr>
        <w:spacing w:after="0"/>
        <w:textAlignment w:val="baseline"/>
        <w:rPr>
          <w:rFonts w:eastAsia="Times New Roman"/>
          <w:sz w:val="16"/>
          <w:szCs w:val="16"/>
        </w:rPr>
      </w:pPr>
      <w:r w:rsidRPr="00FD152F">
        <w:rPr>
          <w:rStyle w:val="FootnoteReference"/>
          <w:sz w:val="16"/>
          <w:szCs w:val="16"/>
        </w:rPr>
        <w:footnoteRef/>
      </w:r>
      <w:r w:rsidRPr="00FD152F">
        <w:rPr>
          <w:sz w:val="16"/>
          <w:szCs w:val="16"/>
        </w:rPr>
        <w:t xml:space="preserve"> </w:t>
      </w:r>
      <w:proofErr w:type="spellStart"/>
      <w:r w:rsidRPr="00FD152F">
        <w:rPr>
          <w:rFonts w:eastAsia="Times New Roman"/>
          <w:sz w:val="16"/>
          <w:szCs w:val="16"/>
        </w:rPr>
        <w:t>Bigby</w:t>
      </w:r>
      <w:proofErr w:type="spellEnd"/>
      <w:r w:rsidRPr="00FD152F">
        <w:rPr>
          <w:rFonts w:eastAsia="Times New Roman"/>
          <w:sz w:val="16"/>
          <w:szCs w:val="16"/>
        </w:rPr>
        <w:t xml:space="preserve">, C., Douglas, J., &amp; Vassallo, S. (2019). The La Trobe Support for Decision Making Practice Framework. An online learning resource. </w:t>
      </w:r>
    </w:p>
    <w:p w14:paraId="3DE23986" w14:textId="37ECF493" w:rsidR="00FD152F" w:rsidRDefault="00FD152F">
      <w:pPr>
        <w:pStyle w:val="FootnoteText"/>
      </w:pPr>
    </w:p>
  </w:footnote>
  <w:footnote w:id="4">
    <w:p w14:paraId="7ADB4BBB" w14:textId="77777777" w:rsidR="00FD152F" w:rsidRPr="00FD152F" w:rsidRDefault="00FD152F" w:rsidP="00FD152F">
      <w:pPr>
        <w:rPr>
          <w:sz w:val="16"/>
          <w:szCs w:val="16"/>
        </w:rPr>
      </w:pPr>
      <w:r w:rsidRPr="00FD152F">
        <w:rPr>
          <w:rStyle w:val="FootnoteReference"/>
          <w:sz w:val="16"/>
          <w:szCs w:val="16"/>
        </w:rPr>
        <w:footnoteRef/>
      </w:r>
      <w:r w:rsidRPr="00FD152F">
        <w:rPr>
          <w:sz w:val="16"/>
          <w:szCs w:val="16"/>
        </w:rPr>
        <w:t xml:space="preserve"> Guardianship and Administration Act 2019 (Victoria) </w:t>
      </w:r>
    </w:p>
    <w:p w14:paraId="43C7CC0F" w14:textId="49F546B6" w:rsidR="00FD152F" w:rsidRDefault="00FD152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027D" w14:textId="77777777" w:rsidR="00502934" w:rsidRDefault="00502934" w:rsidP="00C547BB">
    <w:pPr>
      <w:pStyle w:val="Header"/>
      <w:ind w:left="-1134" w:righ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2FA0" w14:textId="77777777" w:rsidR="00502934" w:rsidRDefault="00502934" w:rsidP="00C547BB">
    <w:pPr>
      <w:pStyle w:val="Header"/>
      <w:ind w:left="-1134"/>
    </w:pPr>
    <w:r>
      <w:rPr>
        <w:noProof/>
      </w:rPr>
      <mc:AlternateContent>
        <mc:Choice Requires="wps">
          <w:drawing>
            <wp:anchor distT="0" distB="0" distL="114300" distR="114300" simplePos="0" relativeHeight="251659264" behindDoc="0" locked="0" layoutInCell="1" allowOverlap="1" wp14:anchorId="3F555959" wp14:editId="4851877E">
              <wp:simplePos x="0" y="0"/>
              <wp:positionH relativeFrom="column">
                <wp:posOffset>-41910</wp:posOffset>
              </wp:positionH>
              <wp:positionV relativeFrom="paragraph">
                <wp:posOffset>1097280</wp:posOffset>
              </wp:positionV>
              <wp:extent cx="5311140" cy="82296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5311140"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0EBBF" w14:textId="77777777" w:rsidR="00502934" w:rsidRPr="00273124" w:rsidRDefault="00502934">
                          <w:pPr>
                            <w:rPr>
                              <w:color w:val="5B9BD5" w:themeColor="accent1"/>
                              <w:sz w:val="28"/>
                            </w:rPr>
                          </w:pPr>
                          <w:r w:rsidRPr="00273124">
                            <w:rPr>
                              <w:color w:val="5B9BD5" w:themeColor="accent1"/>
                              <w:sz w:val="28"/>
                            </w:rPr>
                            <w:t>Safeguarding the rights and interests of people with 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dec="http://schemas.microsoft.com/office/drawing/2017/decorative" xmlns:a="http://schemas.openxmlformats.org/drawingml/2006/main">
          <w:pict w14:anchorId="7C00477F">
            <v:shapetype id="_x0000_t202" coordsize="21600,21600" o:spt="202" path="m,l,21600r21600,l21600,xe" w14:anchorId="3F555959">
              <v:stroke joinstyle="miter"/>
              <v:path gradientshapeok="t" o:connecttype="rect"/>
            </v:shapetype>
            <v:shape id="Text Box 7" style="position:absolute;left:0;text-align:left;margin-left:-3.3pt;margin-top:86.4pt;width:418.2pt;height:6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">
              <v:textbox>
                <w:txbxContent>
                  <w:p w:rsidRPr="00273124" w:rsidR="00502934" w:rsidRDefault="00502934" w14:paraId="6ADB926C" w14:textId="77777777">
                    <w:pPr>
                      <w:rPr>
                        <w:color w:val="5B9BD5" w:themeColor="accent1"/>
                        <w:sz w:val="28"/>
                      </w:rPr>
                    </w:pPr>
                    <w:r w:rsidRPr="00273124">
                      <w:rPr>
                        <w:color w:val="5B9BD5" w:themeColor="accent1"/>
                        <w:sz w:val="28"/>
                      </w:rPr>
                      <w:t>Safeguarding the rights and interests of people with disability</w:t>
                    </w:r>
                  </w:p>
                </w:txbxContent>
              </v:textbox>
            </v:shape>
          </w:pict>
        </mc:Fallback>
      </mc:AlternateContent>
    </w:r>
    <w:r>
      <w:rPr>
        <w:noProof/>
      </w:rPr>
      <w:drawing>
        <wp:inline distT="0" distB="0" distL="0" distR="0" wp14:anchorId="7AC7D6A5" wp14:editId="5F826B08">
          <wp:extent cx="7618704" cy="2537460"/>
          <wp:effectExtent l="0" t="0" r="190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header.JPG"/>
                  <pic:cNvPicPr/>
                </pic:nvPicPr>
                <pic:blipFill>
                  <a:blip r:embed="rId1">
                    <a:extLst>
                      <a:ext uri="{28A0092B-C50C-407E-A947-70E740481C1C}">
                        <a14:useLocalDpi xmlns:a14="http://schemas.microsoft.com/office/drawing/2010/main" val="0"/>
                      </a:ext>
                    </a:extLst>
                  </a:blip>
                  <a:stretch>
                    <a:fillRect/>
                  </a:stretch>
                </pic:blipFill>
                <pic:spPr>
                  <a:xfrm>
                    <a:off x="0" y="0"/>
                    <a:ext cx="7634039" cy="25425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4A14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107A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A2820"/>
    <w:multiLevelType w:val="hybridMultilevel"/>
    <w:tmpl w:val="176CD39A"/>
    <w:lvl w:ilvl="0" w:tplc="2C5E6FAA">
      <w:numFmt w:val="bullet"/>
      <w:lvlText w:val="•"/>
      <w:lvlJc w:val="left"/>
      <w:pPr>
        <w:ind w:left="1440" w:hanging="7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286C4B"/>
    <w:multiLevelType w:val="hybridMultilevel"/>
    <w:tmpl w:val="7C125128"/>
    <w:lvl w:ilvl="0" w:tplc="2C5E6FAA">
      <w:numFmt w:val="bullet"/>
      <w:lvlText w:val="•"/>
      <w:lvlJc w:val="left"/>
      <w:pPr>
        <w:ind w:left="1440" w:hanging="7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4C721F"/>
    <w:multiLevelType w:val="multilevel"/>
    <w:tmpl w:val="B544A65C"/>
    <w:lvl w:ilvl="0">
      <w:start w:val="1"/>
      <w:numFmt w:val="decimal"/>
      <w:lvlText w:val="%1."/>
      <w:lvlJc w:val="left"/>
      <w:pPr>
        <w:ind w:left="357" w:hanging="357"/>
      </w:pPr>
      <w:rPr>
        <w:rFonts w:ascii="Arial" w:hAnsi="Arial" w:cs="Arial" w:hint="default"/>
        <w:color w:val="auto"/>
      </w:rPr>
    </w:lvl>
    <w:lvl w:ilvl="1">
      <w:start w:val="1"/>
      <w:numFmt w:val="decimal"/>
      <w:lvlText w:val="%1.%2."/>
      <w:lvlJc w:val="left"/>
      <w:pPr>
        <w:ind w:left="714" w:hanging="357"/>
      </w:pPr>
      <w:rPr>
        <w:rFonts w:hint="default"/>
      </w:rPr>
    </w:lvl>
    <w:lvl w:ilvl="2">
      <w:start w:val="1"/>
      <w:numFmt w:val="decimal"/>
      <w:lvlText w:val="%1.%2.%3."/>
      <w:lvlJc w:val="left"/>
      <w:pPr>
        <w:ind w:left="783"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09A12722"/>
    <w:multiLevelType w:val="hybridMultilevel"/>
    <w:tmpl w:val="08108A86"/>
    <w:lvl w:ilvl="0" w:tplc="2C5E6FAA">
      <w:numFmt w:val="bullet"/>
      <w:lvlText w:val="•"/>
      <w:lvlJc w:val="left"/>
      <w:pPr>
        <w:ind w:left="1440" w:hanging="7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D14CFC"/>
    <w:multiLevelType w:val="hybridMultilevel"/>
    <w:tmpl w:val="5A0AA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B779FE"/>
    <w:multiLevelType w:val="hybridMultilevel"/>
    <w:tmpl w:val="B93832C8"/>
    <w:lvl w:ilvl="0" w:tplc="2C5E6FAA">
      <w:numFmt w:val="bullet"/>
      <w:lvlText w:val="•"/>
      <w:lvlJc w:val="left"/>
      <w:pPr>
        <w:ind w:left="2120" w:hanging="760"/>
      </w:pPr>
      <w:rPr>
        <w:rFonts w:ascii="Arial" w:eastAsiaTheme="minorEastAsia" w:hAnsi="Arial" w:cs="Aria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6" w15:restartNumberingAfterBreak="0">
    <w:nsid w:val="15A45644"/>
    <w:multiLevelType w:val="hybridMultilevel"/>
    <w:tmpl w:val="6F3AA078"/>
    <w:lvl w:ilvl="0" w:tplc="9E883356">
      <w:start w:val="1"/>
      <w:numFmt w:val="bullet"/>
      <w:lvlText w:val=""/>
      <w:lvlJc w:val="left"/>
      <w:pPr>
        <w:ind w:left="720" w:hanging="360"/>
      </w:pPr>
      <w:rPr>
        <w:rFonts w:ascii="Symbol" w:hAnsi="Symbol" w:hint="default"/>
      </w:rPr>
    </w:lvl>
    <w:lvl w:ilvl="1" w:tplc="E28A85B6">
      <w:start w:val="1"/>
      <w:numFmt w:val="bullet"/>
      <w:lvlText w:val="o"/>
      <w:lvlJc w:val="left"/>
      <w:pPr>
        <w:ind w:left="1440" w:hanging="360"/>
      </w:pPr>
      <w:rPr>
        <w:rFonts w:ascii="Courier New" w:hAnsi="Courier New" w:hint="default"/>
      </w:rPr>
    </w:lvl>
    <w:lvl w:ilvl="2" w:tplc="F9DAD2E6">
      <w:start w:val="1"/>
      <w:numFmt w:val="bullet"/>
      <w:lvlText w:val=""/>
      <w:lvlJc w:val="left"/>
      <w:pPr>
        <w:ind w:left="2160" w:hanging="360"/>
      </w:pPr>
      <w:rPr>
        <w:rFonts w:ascii="Wingdings" w:hAnsi="Wingdings" w:hint="default"/>
      </w:rPr>
    </w:lvl>
    <w:lvl w:ilvl="3" w:tplc="539AD286">
      <w:start w:val="1"/>
      <w:numFmt w:val="bullet"/>
      <w:lvlText w:val=""/>
      <w:lvlJc w:val="left"/>
      <w:pPr>
        <w:ind w:left="2880" w:hanging="360"/>
      </w:pPr>
      <w:rPr>
        <w:rFonts w:ascii="Symbol" w:hAnsi="Symbol" w:hint="default"/>
      </w:rPr>
    </w:lvl>
    <w:lvl w:ilvl="4" w:tplc="15C0CA58">
      <w:start w:val="1"/>
      <w:numFmt w:val="bullet"/>
      <w:lvlText w:val="o"/>
      <w:lvlJc w:val="left"/>
      <w:pPr>
        <w:ind w:left="3600" w:hanging="360"/>
      </w:pPr>
      <w:rPr>
        <w:rFonts w:ascii="Courier New" w:hAnsi="Courier New" w:hint="default"/>
      </w:rPr>
    </w:lvl>
    <w:lvl w:ilvl="5" w:tplc="1D20DF64">
      <w:start w:val="1"/>
      <w:numFmt w:val="bullet"/>
      <w:lvlText w:val=""/>
      <w:lvlJc w:val="left"/>
      <w:pPr>
        <w:ind w:left="4320" w:hanging="360"/>
      </w:pPr>
      <w:rPr>
        <w:rFonts w:ascii="Wingdings" w:hAnsi="Wingdings" w:hint="default"/>
      </w:rPr>
    </w:lvl>
    <w:lvl w:ilvl="6" w:tplc="BF4C71B6">
      <w:start w:val="1"/>
      <w:numFmt w:val="bullet"/>
      <w:lvlText w:val=""/>
      <w:lvlJc w:val="left"/>
      <w:pPr>
        <w:ind w:left="5040" w:hanging="360"/>
      </w:pPr>
      <w:rPr>
        <w:rFonts w:ascii="Symbol" w:hAnsi="Symbol" w:hint="default"/>
      </w:rPr>
    </w:lvl>
    <w:lvl w:ilvl="7" w:tplc="DCF8BD30">
      <w:start w:val="1"/>
      <w:numFmt w:val="bullet"/>
      <w:lvlText w:val="o"/>
      <w:lvlJc w:val="left"/>
      <w:pPr>
        <w:ind w:left="5760" w:hanging="360"/>
      </w:pPr>
      <w:rPr>
        <w:rFonts w:ascii="Courier New" w:hAnsi="Courier New" w:hint="default"/>
      </w:rPr>
    </w:lvl>
    <w:lvl w:ilvl="8" w:tplc="7270CFA0">
      <w:start w:val="1"/>
      <w:numFmt w:val="bullet"/>
      <w:lvlText w:val=""/>
      <w:lvlJc w:val="left"/>
      <w:pPr>
        <w:ind w:left="6480" w:hanging="360"/>
      </w:pPr>
      <w:rPr>
        <w:rFonts w:ascii="Wingdings" w:hAnsi="Wingdings" w:hint="default"/>
      </w:rPr>
    </w:lvl>
  </w:abstractNum>
  <w:abstractNum w:abstractNumId="17" w15:restartNumberingAfterBreak="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227F2C28"/>
    <w:multiLevelType w:val="hybridMultilevel"/>
    <w:tmpl w:val="5FEEC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3B0C9C"/>
    <w:multiLevelType w:val="hybridMultilevel"/>
    <w:tmpl w:val="E0AEF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3C53A7"/>
    <w:multiLevelType w:val="hybridMultilevel"/>
    <w:tmpl w:val="D47C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206C2E"/>
    <w:multiLevelType w:val="hybridMultilevel"/>
    <w:tmpl w:val="DB84E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697D5E"/>
    <w:multiLevelType w:val="multilevel"/>
    <w:tmpl w:val="A10A9B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AA3953"/>
    <w:multiLevelType w:val="hybridMultilevel"/>
    <w:tmpl w:val="DF682ECE"/>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5" w15:restartNumberingAfterBreak="0">
    <w:nsid w:val="410104AC"/>
    <w:multiLevelType w:val="multilevel"/>
    <w:tmpl w:val="DEEA4F3E"/>
    <w:numStyleLink w:val="ZZTablebullets"/>
  </w:abstractNum>
  <w:abstractNum w:abstractNumId="26" w15:restartNumberingAfterBreak="0">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811791A"/>
    <w:multiLevelType w:val="hybridMultilevel"/>
    <w:tmpl w:val="7D06B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8E517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2378B0"/>
    <w:multiLevelType w:val="hybridMultilevel"/>
    <w:tmpl w:val="B530795E"/>
    <w:lvl w:ilvl="0" w:tplc="2C5E6FAA">
      <w:numFmt w:val="bullet"/>
      <w:lvlText w:val="•"/>
      <w:lvlJc w:val="left"/>
      <w:pPr>
        <w:ind w:left="1440" w:hanging="7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E61903"/>
    <w:multiLevelType w:val="multilevel"/>
    <w:tmpl w:val="90D499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41611C2"/>
    <w:multiLevelType w:val="multilevel"/>
    <w:tmpl w:val="DEEA4F3E"/>
    <w:styleLink w:val="ZZTablebullets"/>
    <w:lvl w:ilvl="0">
      <w:start w:val="1"/>
      <w:numFmt w:val="bullet"/>
      <w:pStyle w:val="OPAtablebullet1"/>
      <w:lvlText w:val="•"/>
      <w:lvlJc w:val="left"/>
      <w:pPr>
        <w:ind w:left="227" w:hanging="227"/>
      </w:pPr>
      <w:rPr>
        <w:rFonts w:ascii="Calibri" w:hAnsi="Calibri" w:hint="default"/>
      </w:rPr>
    </w:lvl>
    <w:lvl w:ilvl="1">
      <w:start w:val="1"/>
      <w:numFmt w:val="bullet"/>
      <w:lvlRestart w:val="0"/>
      <w:pStyle w:val="OPA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5A995E45"/>
    <w:multiLevelType w:val="multilevel"/>
    <w:tmpl w:val="8CB8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B12B35"/>
    <w:multiLevelType w:val="hybridMultilevel"/>
    <w:tmpl w:val="3E001340"/>
    <w:lvl w:ilvl="0" w:tplc="2C5E6FAA">
      <w:numFmt w:val="bullet"/>
      <w:lvlText w:val="•"/>
      <w:lvlJc w:val="left"/>
      <w:pPr>
        <w:ind w:left="1440" w:hanging="760"/>
      </w:pPr>
      <w:rPr>
        <w:rFonts w:ascii="Arial" w:eastAsiaTheme="minorEastAsia" w:hAnsi="Arial" w:cs="Aria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34" w15:restartNumberingAfterBreak="0">
    <w:nsid w:val="610E13ED"/>
    <w:multiLevelType w:val="multilevel"/>
    <w:tmpl w:val="628AA0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57A3FA4"/>
    <w:multiLevelType w:val="hybridMultilevel"/>
    <w:tmpl w:val="667AE2C4"/>
    <w:lvl w:ilvl="0" w:tplc="0BE2361C">
      <w:start w:val="1"/>
      <w:numFmt w:val="bullet"/>
      <w:lvlText w:val=""/>
      <w:lvlJc w:val="left"/>
      <w:pPr>
        <w:ind w:left="720" w:hanging="360"/>
      </w:pPr>
      <w:rPr>
        <w:rFonts w:ascii="Symbol" w:hAnsi="Symbol" w:hint="default"/>
      </w:rPr>
    </w:lvl>
    <w:lvl w:ilvl="1" w:tplc="2F32D63C">
      <w:start w:val="1"/>
      <w:numFmt w:val="bullet"/>
      <w:lvlText w:val="o"/>
      <w:lvlJc w:val="left"/>
      <w:pPr>
        <w:ind w:left="1440" w:hanging="360"/>
      </w:pPr>
      <w:rPr>
        <w:rFonts w:ascii="Courier New" w:hAnsi="Courier New" w:hint="default"/>
      </w:rPr>
    </w:lvl>
    <w:lvl w:ilvl="2" w:tplc="5C582EFE">
      <w:start w:val="1"/>
      <w:numFmt w:val="bullet"/>
      <w:lvlText w:val=""/>
      <w:lvlJc w:val="left"/>
      <w:pPr>
        <w:ind w:left="2160" w:hanging="360"/>
      </w:pPr>
      <w:rPr>
        <w:rFonts w:ascii="Wingdings" w:hAnsi="Wingdings" w:hint="default"/>
      </w:rPr>
    </w:lvl>
    <w:lvl w:ilvl="3" w:tplc="1FD0BDC6">
      <w:start w:val="1"/>
      <w:numFmt w:val="bullet"/>
      <w:lvlText w:val=""/>
      <w:lvlJc w:val="left"/>
      <w:pPr>
        <w:ind w:left="2880" w:hanging="360"/>
      </w:pPr>
      <w:rPr>
        <w:rFonts w:ascii="Symbol" w:hAnsi="Symbol" w:hint="default"/>
      </w:rPr>
    </w:lvl>
    <w:lvl w:ilvl="4" w:tplc="DC346E7A">
      <w:start w:val="1"/>
      <w:numFmt w:val="bullet"/>
      <w:lvlText w:val="o"/>
      <w:lvlJc w:val="left"/>
      <w:pPr>
        <w:ind w:left="3600" w:hanging="360"/>
      </w:pPr>
      <w:rPr>
        <w:rFonts w:ascii="Courier New" w:hAnsi="Courier New" w:hint="default"/>
      </w:rPr>
    </w:lvl>
    <w:lvl w:ilvl="5" w:tplc="998636A2">
      <w:start w:val="1"/>
      <w:numFmt w:val="bullet"/>
      <w:lvlText w:val=""/>
      <w:lvlJc w:val="left"/>
      <w:pPr>
        <w:ind w:left="4320" w:hanging="360"/>
      </w:pPr>
      <w:rPr>
        <w:rFonts w:ascii="Wingdings" w:hAnsi="Wingdings" w:hint="default"/>
      </w:rPr>
    </w:lvl>
    <w:lvl w:ilvl="6" w:tplc="3A321E1C">
      <w:start w:val="1"/>
      <w:numFmt w:val="bullet"/>
      <w:lvlText w:val=""/>
      <w:lvlJc w:val="left"/>
      <w:pPr>
        <w:ind w:left="5040" w:hanging="360"/>
      </w:pPr>
      <w:rPr>
        <w:rFonts w:ascii="Symbol" w:hAnsi="Symbol" w:hint="default"/>
      </w:rPr>
    </w:lvl>
    <w:lvl w:ilvl="7" w:tplc="7EB6A678">
      <w:start w:val="1"/>
      <w:numFmt w:val="bullet"/>
      <w:lvlText w:val="o"/>
      <w:lvlJc w:val="left"/>
      <w:pPr>
        <w:ind w:left="5760" w:hanging="360"/>
      </w:pPr>
      <w:rPr>
        <w:rFonts w:ascii="Courier New" w:hAnsi="Courier New" w:hint="default"/>
      </w:rPr>
    </w:lvl>
    <w:lvl w:ilvl="8" w:tplc="DABAA51E">
      <w:start w:val="1"/>
      <w:numFmt w:val="bullet"/>
      <w:lvlText w:val=""/>
      <w:lvlJc w:val="left"/>
      <w:pPr>
        <w:ind w:left="6480" w:hanging="360"/>
      </w:pPr>
      <w:rPr>
        <w:rFonts w:ascii="Wingdings" w:hAnsi="Wingdings" w:hint="default"/>
      </w:rPr>
    </w:lvl>
  </w:abstractNum>
  <w:abstractNum w:abstractNumId="36" w15:restartNumberingAfterBreak="0">
    <w:nsid w:val="65E7289A"/>
    <w:multiLevelType w:val="hybridMultilevel"/>
    <w:tmpl w:val="A8EE1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CB4E5E"/>
    <w:multiLevelType w:val="multilevel"/>
    <w:tmpl w:val="90D499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A781B9F"/>
    <w:multiLevelType w:val="multilevel"/>
    <w:tmpl w:val="FB743AF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26"/>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25"/>
  </w:num>
  <w:num w:numId="16">
    <w:abstractNumId w:val="12"/>
  </w:num>
  <w:num w:numId="17">
    <w:abstractNumId w:val="14"/>
  </w:num>
  <w:num w:numId="18">
    <w:abstractNumId w:val="27"/>
  </w:num>
  <w:num w:numId="19">
    <w:abstractNumId w:val="21"/>
  </w:num>
  <w:num w:numId="20">
    <w:abstractNumId w:val="20"/>
  </w:num>
  <w:num w:numId="21">
    <w:abstractNumId w:val="18"/>
  </w:num>
  <w:num w:numId="22">
    <w:abstractNumId w:val="22"/>
  </w:num>
  <w:num w:numId="23">
    <w:abstractNumId w:val="34"/>
  </w:num>
  <w:num w:numId="24">
    <w:abstractNumId w:val="16"/>
  </w:num>
  <w:num w:numId="25">
    <w:abstractNumId w:val="35"/>
  </w:num>
  <w:num w:numId="26">
    <w:abstractNumId w:val="38"/>
  </w:num>
  <w:num w:numId="27">
    <w:abstractNumId w:val="28"/>
  </w:num>
  <w:num w:numId="28">
    <w:abstractNumId w:val="30"/>
  </w:num>
  <w:num w:numId="29">
    <w:abstractNumId w:val="36"/>
  </w:num>
  <w:num w:numId="30">
    <w:abstractNumId w:val="32"/>
  </w:num>
  <w:num w:numId="31">
    <w:abstractNumId w:val="24"/>
  </w:num>
  <w:num w:numId="32">
    <w:abstractNumId w:val="33"/>
  </w:num>
  <w:num w:numId="33">
    <w:abstractNumId w:val="15"/>
  </w:num>
  <w:num w:numId="34">
    <w:abstractNumId w:val="11"/>
  </w:num>
  <w:num w:numId="35">
    <w:abstractNumId w:val="10"/>
  </w:num>
  <w:num w:numId="36">
    <w:abstractNumId w:val="13"/>
  </w:num>
  <w:num w:numId="37">
    <w:abstractNumId w:val="37"/>
  </w:num>
  <w:num w:numId="38">
    <w:abstractNumId w:val="29"/>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AD"/>
    <w:rsid w:val="00030548"/>
    <w:rsid w:val="00041537"/>
    <w:rsid w:val="00051BFF"/>
    <w:rsid w:val="000565F9"/>
    <w:rsid w:val="000E0954"/>
    <w:rsid w:val="0018040A"/>
    <w:rsid w:val="001D2752"/>
    <w:rsid w:val="00205C99"/>
    <w:rsid w:val="00273124"/>
    <w:rsid w:val="00322096"/>
    <w:rsid w:val="00451CC4"/>
    <w:rsid w:val="004720DD"/>
    <w:rsid w:val="00495392"/>
    <w:rsid w:val="004C4712"/>
    <w:rsid w:val="00502934"/>
    <w:rsid w:val="00564854"/>
    <w:rsid w:val="005B4B3C"/>
    <w:rsid w:val="007361F3"/>
    <w:rsid w:val="007504EF"/>
    <w:rsid w:val="00792B56"/>
    <w:rsid w:val="0080338A"/>
    <w:rsid w:val="00881153"/>
    <w:rsid w:val="008D4D91"/>
    <w:rsid w:val="008D4DAD"/>
    <w:rsid w:val="008F412F"/>
    <w:rsid w:val="0099108C"/>
    <w:rsid w:val="009B23AC"/>
    <w:rsid w:val="009C7A93"/>
    <w:rsid w:val="009D3013"/>
    <w:rsid w:val="00B825F7"/>
    <w:rsid w:val="00BC3D06"/>
    <w:rsid w:val="00C547BB"/>
    <w:rsid w:val="00CB4166"/>
    <w:rsid w:val="00CD75B9"/>
    <w:rsid w:val="00D2682E"/>
    <w:rsid w:val="00D64451"/>
    <w:rsid w:val="00E015FB"/>
    <w:rsid w:val="00E11FCC"/>
    <w:rsid w:val="00EF6113"/>
    <w:rsid w:val="00F716B3"/>
    <w:rsid w:val="00FC1501"/>
    <w:rsid w:val="00FD152F"/>
    <w:rsid w:val="00FF5C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9E9EA2"/>
  <w15:chartTrackingRefBased/>
  <w15:docId w15:val="{01965F54-FD08-450E-8366-620AA444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CC4"/>
    <w:pPr>
      <w:spacing w:before="240" w:after="240"/>
    </w:pPr>
    <w:rPr>
      <w:rFonts w:cs="Arial"/>
      <w:sz w:val="22"/>
      <w:szCs w:val="22"/>
    </w:rPr>
  </w:style>
  <w:style w:type="paragraph" w:styleId="Heading1">
    <w:name w:val="heading 1"/>
    <w:aliases w:val="OPA Heading 1"/>
    <w:next w:val="Normal"/>
    <w:link w:val="Heading1Char"/>
    <w:uiPriority w:val="1"/>
    <w:qFormat/>
    <w:rsid w:val="00451CC4"/>
    <w:pPr>
      <w:keepNext/>
      <w:spacing w:before="480" w:after="240"/>
      <w:outlineLvl w:val="0"/>
    </w:pPr>
    <w:rPr>
      <w:rFonts w:eastAsia="Times New Roman" w:cs="Arial"/>
      <w:b/>
      <w:bCs/>
      <w:kern w:val="32"/>
      <w:sz w:val="32"/>
      <w:szCs w:val="32"/>
    </w:rPr>
  </w:style>
  <w:style w:type="paragraph" w:styleId="Heading2">
    <w:name w:val="heading 2"/>
    <w:next w:val="Normal"/>
    <w:link w:val="Heading2Char"/>
    <w:uiPriority w:val="9"/>
    <w:unhideWhenUsed/>
    <w:qFormat/>
    <w:rsid w:val="00451CC4"/>
    <w:pPr>
      <w:keepNext/>
      <w:spacing w:before="480" w:after="240"/>
      <w:outlineLvl w:val="1"/>
    </w:pPr>
    <w:rPr>
      <w:rFonts w:eastAsia="Times New Roman" w:cs="Arial"/>
      <w:b/>
      <w:bCs/>
      <w:iCs/>
      <w:sz w:val="28"/>
      <w:szCs w:val="28"/>
    </w:rPr>
  </w:style>
  <w:style w:type="paragraph" w:styleId="Heading3">
    <w:name w:val="heading 3"/>
    <w:aliases w:val="OPA Heading 3"/>
    <w:next w:val="Normal"/>
    <w:link w:val="Heading3Char"/>
    <w:uiPriority w:val="1"/>
    <w:unhideWhenUsed/>
    <w:qFormat/>
    <w:rsid w:val="00451CC4"/>
    <w:pPr>
      <w:keepNext/>
      <w:spacing w:before="240" w:after="240"/>
      <w:outlineLvl w:val="2"/>
    </w:pPr>
    <w:rPr>
      <w:rFonts w:eastAsia="Times New Roman" w:cs="Arial"/>
      <w:b/>
      <w:bCs/>
      <w:sz w:val="26"/>
      <w:szCs w:val="26"/>
    </w:rPr>
  </w:style>
  <w:style w:type="paragraph" w:styleId="Heading4">
    <w:name w:val="heading 4"/>
    <w:next w:val="Normal"/>
    <w:link w:val="Heading4Char"/>
    <w:uiPriority w:val="9"/>
    <w:unhideWhenUsed/>
    <w:qFormat/>
    <w:rsid w:val="00451CC4"/>
    <w:pPr>
      <w:keepNext/>
      <w:spacing w:before="240" w:after="240"/>
      <w:outlineLvl w:val="3"/>
    </w:pPr>
    <w:rPr>
      <w:rFonts w:eastAsia="Times New Roman" w:cs="Arial"/>
      <w:b/>
      <w:bCs/>
      <w:i/>
      <w:sz w:val="24"/>
      <w:szCs w:val="28"/>
    </w:rPr>
  </w:style>
  <w:style w:type="paragraph" w:styleId="Heading5">
    <w:name w:val="heading 5"/>
    <w:next w:val="Normal"/>
    <w:link w:val="Heading5Char"/>
    <w:uiPriority w:val="9"/>
    <w:semiHidden/>
    <w:unhideWhenUsed/>
    <w:qFormat/>
    <w:rsid w:val="00B825F7"/>
    <w:pPr>
      <w:numPr>
        <w:ilvl w:val="4"/>
        <w:numId w:val="3"/>
      </w:numPr>
      <w:spacing w:before="240" w:after="60"/>
      <w:outlineLvl w:val="4"/>
    </w:pPr>
    <w:rPr>
      <w:rFonts w:eastAsia="Times New Roman" w:cs="Arial"/>
      <w:b/>
      <w:bCs/>
      <w:i/>
      <w:iCs/>
      <w:sz w:val="26"/>
      <w:szCs w:val="26"/>
    </w:rPr>
  </w:style>
  <w:style w:type="paragraph" w:styleId="Heading6">
    <w:name w:val="heading 6"/>
    <w:next w:val="Normal"/>
    <w:link w:val="Heading6Char"/>
    <w:uiPriority w:val="9"/>
    <w:semiHidden/>
    <w:unhideWhenUsed/>
    <w:qFormat/>
    <w:rsid w:val="00B825F7"/>
    <w:pPr>
      <w:numPr>
        <w:ilvl w:val="5"/>
        <w:numId w:val="3"/>
      </w:numPr>
      <w:spacing w:before="240" w:after="60"/>
      <w:outlineLvl w:val="5"/>
    </w:pPr>
    <w:rPr>
      <w:rFonts w:eastAsia="Times New Roman" w:cs="Arial"/>
      <w:b/>
      <w:bCs/>
      <w:sz w:val="22"/>
      <w:szCs w:val="22"/>
    </w:rPr>
  </w:style>
  <w:style w:type="paragraph" w:styleId="Heading7">
    <w:name w:val="heading 7"/>
    <w:next w:val="Normal"/>
    <w:link w:val="Heading7Char"/>
    <w:uiPriority w:val="9"/>
    <w:semiHidden/>
    <w:unhideWhenUsed/>
    <w:qFormat/>
    <w:rsid w:val="00B825F7"/>
    <w:pPr>
      <w:numPr>
        <w:ilvl w:val="6"/>
        <w:numId w:val="3"/>
      </w:numPr>
      <w:spacing w:before="240" w:after="60"/>
      <w:outlineLvl w:val="6"/>
    </w:pPr>
    <w:rPr>
      <w:rFonts w:eastAsia="Times New Roman" w:cs="Arial"/>
      <w:sz w:val="24"/>
      <w:szCs w:val="24"/>
    </w:rPr>
  </w:style>
  <w:style w:type="paragraph" w:styleId="Heading8">
    <w:name w:val="heading 8"/>
    <w:next w:val="Normal"/>
    <w:link w:val="Heading8Char"/>
    <w:uiPriority w:val="9"/>
    <w:semiHidden/>
    <w:unhideWhenUsed/>
    <w:qFormat/>
    <w:rsid w:val="00B825F7"/>
    <w:pPr>
      <w:numPr>
        <w:ilvl w:val="7"/>
        <w:numId w:val="3"/>
      </w:numPr>
      <w:spacing w:before="240" w:after="60"/>
      <w:outlineLvl w:val="7"/>
    </w:pPr>
    <w:rPr>
      <w:rFonts w:eastAsia="Times New Roman" w:cs="Arial"/>
      <w:i/>
      <w:iCs/>
      <w:sz w:val="24"/>
      <w:szCs w:val="24"/>
    </w:rPr>
  </w:style>
  <w:style w:type="paragraph" w:styleId="Heading9">
    <w:name w:val="heading 9"/>
    <w:next w:val="Normal"/>
    <w:link w:val="Heading9Char"/>
    <w:uiPriority w:val="9"/>
    <w:semiHidden/>
    <w:unhideWhenUsed/>
    <w:qFormat/>
    <w:rsid w:val="00B825F7"/>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PA Heading 1 Char"/>
    <w:link w:val="Heading1"/>
    <w:uiPriority w:val="9"/>
    <w:rsid w:val="00451CC4"/>
    <w:rPr>
      <w:rFonts w:ascii="Arial" w:eastAsia="Times New Roman" w:hAnsi="Arial" w:cs="Arial"/>
      <w:b/>
      <w:bCs/>
      <w:kern w:val="32"/>
      <w:sz w:val="32"/>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uiPriority w:val="9"/>
    <w:rsid w:val="00451CC4"/>
    <w:rPr>
      <w:rFonts w:ascii="Arial" w:eastAsia="Times New Roman" w:hAnsi="Arial" w:cs="Arial"/>
      <w:b/>
      <w:bCs/>
      <w:iCs/>
      <w:sz w:val="28"/>
      <w:szCs w:val="28"/>
    </w:rPr>
  </w:style>
  <w:style w:type="character" w:customStyle="1" w:styleId="Heading3Char">
    <w:name w:val="Heading 3 Char"/>
    <w:aliases w:val="OPA Heading 3 Char"/>
    <w:link w:val="Heading3"/>
    <w:uiPriority w:val="9"/>
    <w:rsid w:val="00451CC4"/>
    <w:rPr>
      <w:rFonts w:ascii="Arial" w:eastAsia="Times New Roman" w:hAnsi="Arial" w:cs="Arial"/>
      <w:b/>
      <w:bCs/>
      <w:sz w:val="26"/>
      <w:szCs w:val="26"/>
    </w:rPr>
  </w:style>
  <w:style w:type="character" w:customStyle="1" w:styleId="Heading4Char">
    <w:name w:val="Heading 4 Char"/>
    <w:link w:val="Heading4"/>
    <w:uiPriority w:val="9"/>
    <w:rsid w:val="00451CC4"/>
    <w:rPr>
      <w:rFonts w:ascii="Arial" w:eastAsia="Times New Roman" w:hAnsi="Arial" w:cs="Arial"/>
      <w:b/>
      <w:bCs/>
      <w:i/>
      <w:sz w:val="24"/>
      <w:szCs w:val="28"/>
    </w:rPr>
  </w:style>
  <w:style w:type="character" w:customStyle="1" w:styleId="Heading5Char">
    <w:name w:val="Heading 5 Char"/>
    <w:link w:val="Heading5"/>
    <w:uiPriority w:val="9"/>
    <w:semiHidden/>
    <w:rsid w:val="00B825F7"/>
    <w:rPr>
      <w:rFonts w:ascii="Arial" w:eastAsia="Times New Roman" w:hAnsi="Arial" w:cs="Arial"/>
      <w:b/>
      <w:bCs/>
      <w:i/>
      <w:iCs/>
      <w:sz w:val="26"/>
      <w:szCs w:val="26"/>
    </w:rPr>
  </w:style>
  <w:style w:type="character" w:customStyle="1" w:styleId="Heading6Char">
    <w:name w:val="Heading 6 Char"/>
    <w:link w:val="Heading6"/>
    <w:uiPriority w:val="9"/>
    <w:semiHidden/>
    <w:rsid w:val="00B825F7"/>
    <w:rPr>
      <w:rFonts w:ascii="Arial" w:eastAsia="Times New Roman" w:hAnsi="Arial" w:cs="Arial"/>
      <w:b/>
      <w:bCs/>
    </w:rPr>
  </w:style>
  <w:style w:type="character" w:customStyle="1" w:styleId="Heading7Char">
    <w:name w:val="Heading 7 Char"/>
    <w:link w:val="Heading7"/>
    <w:uiPriority w:val="9"/>
    <w:semiHidden/>
    <w:rsid w:val="00B825F7"/>
    <w:rPr>
      <w:rFonts w:ascii="Arial" w:eastAsia="Times New Roman" w:hAnsi="Arial" w:cs="Arial"/>
      <w:sz w:val="24"/>
      <w:szCs w:val="24"/>
    </w:rPr>
  </w:style>
  <w:style w:type="character" w:customStyle="1" w:styleId="Heading8Char">
    <w:name w:val="Heading 8 Char"/>
    <w:link w:val="Heading8"/>
    <w:uiPriority w:val="9"/>
    <w:semiHidden/>
    <w:rsid w:val="00B825F7"/>
    <w:rPr>
      <w:rFonts w:ascii="Arial" w:eastAsia="Times New Roman" w:hAnsi="Arial" w:cs="Arial"/>
      <w:i/>
      <w:iCs/>
      <w:sz w:val="24"/>
      <w:szCs w:val="24"/>
    </w:rPr>
  </w:style>
  <w:style w:type="character" w:customStyle="1" w:styleId="Heading9Char">
    <w:name w:val="Heading 9 Char"/>
    <w:link w:val="Heading9"/>
    <w:uiPriority w:val="9"/>
    <w:semiHidden/>
    <w:rsid w:val="00B825F7"/>
    <w:rPr>
      <w:rFonts w:ascii="Arial" w:eastAsia="Times New Roman" w:hAnsi="Arial" w:cs="Arial"/>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rPr>
  </w:style>
  <w:style w:type="character" w:customStyle="1" w:styleId="BalloonTextChar">
    <w:name w:val="Balloon Text Char"/>
    <w:link w:val="BalloonText"/>
    <w:uiPriority w:val="99"/>
    <w:semiHidden/>
    <w:rsid w:val="00B825F7"/>
    <w:rPr>
      <w:rFonts w:ascii="Arial" w:hAnsi="Arial" w:cs="Arial"/>
      <w:sz w:val="18"/>
      <w:szCs w:val="18"/>
    </w:rPr>
  </w:style>
  <w:style w:type="paragraph" w:styleId="Bibliography">
    <w:name w:val="Bibliography"/>
    <w:next w:val="Normal"/>
    <w:uiPriority w:val="37"/>
    <w:semiHidden/>
    <w:unhideWhenUsed/>
    <w:rsid w:val="00B825F7"/>
    <w:rPr>
      <w:rFonts w:cs="Arial"/>
      <w:sz w:val="22"/>
      <w:szCs w:val="22"/>
    </w:rPr>
  </w:style>
  <w:style w:type="paragraph" w:styleId="BlockText">
    <w:name w:val="Block Text"/>
    <w:uiPriority w:val="99"/>
    <w:semiHidden/>
    <w:unhideWhenUsed/>
    <w:rsid w:val="00B825F7"/>
    <w:pPr>
      <w:spacing w:after="120"/>
      <w:ind w:left="1440" w:right="1440"/>
    </w:pPr>
    <w:rPr>
      <w:rFonts w:cs="Arial"/>
      <w:sz w:val="22"/>
      <w:szCs w:val="22"/>
    </w:rPr>
  </w:style>
  <w:style w:type="paragraph" w:styleId="BodyText">
    <w:name w:val="Body Text"/>
    <w:link w:val="BodyTextChar"/>
    <w:uiPriority w:val="99"/>
    <w:semiHidden/>
    <w:unhideWhenUsed/>
    <w:rsid w:val="00B825F7"/>
    <w:pPr>
      <w:spacing w:after="120"/>
    </w:pPr>
    <w:rPr>
      <w:rFonts w:cs="Arial"/>
      <w:sz w:val="22"/>
      <w:szCs w:val="22"/>
    </w:rPr>
  </w:style>
  <w:style w:type="character" w:customStyle="1" w:styleId="BodyTextChar">
    <w:name w:val="Body Text Char"/>
    <w:basedOn w:val="DefaultParagraphFont"/>
    <w:link w:val="BodyText"/>
    <w:uiPriority w:val="99"/>
    <w:semiHidden/>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rPr>
  </w:style>
  <w:style w:type="character" w:customStyle="1" w:styleId="BodyText2Char">
    <w:name w:val="Body Text 2 Char"/>
    <w:basedOn w:val="DefaultParagraphFont"/>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rPr>
  </w:style>
  <w:style w:type="character" w:customStyle="1" w:styleId="BodyTextFirstIndentChar">
    <w:name w:val="Body Text First Indent Char"/>
    <w:basedOn w:val="BodyText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rPr>
  </w:style>
  <w:style w:type="character" w:customStyle="1" w:styleId="BodyTextIndentChar">
    <w:name w:val="Body Text Indent Char"/>
    <w:basedOn w:val="DefaultParagraphFont"/>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rPr>
  </w:style>
  <w:style w:type="character" w:customStyle="1" w:styleId="BodyTextFirstIndent2Char">
    <w:name w:val="Body Text First Indent 2 Char"/>
    <w:basedOn w:val="BodyTextIndent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rPr>
  </w:style>
  <w:style w:type="character" w:customStyle="1" w:styleId="BodyTextIndent2Char">
    <w:name w:val="Body Text Indent 2 Char"/>
    <w:basedOn w:val="DefaultParagraphFont"/>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styleId="BookTitle">
    <w:name w:val="Book Title"/>
    <w:uiPriority w:val="33"/>
    <w:qFormat/>
    <w:rsid w:val="00B825F7"/>
    <w:rPr>
      <w:b/>
      <w:bCs/>
      <w:i/>
      <w:iCs/>
      <w:spacing w:val="5"/>
    </w:rPr>
  </w:style>
  <w:style w:type="paragraph" w:styleId="Caption">
    <w:name w:val="caption"/>
    <w:next w:val="Normal"/>
    <w:uiPriority w:val="35"/>
    <w:semiHidden/>
    <w:unhideWhenUsed/>
    <w:qFormat/>
    <w:rsid w:val="00B825F7"/>
    <w:rPr>
      <w:rFonts w:cs="Arial"/>
      <w:b/>
      <w:bCs/>
    </w:rPr>
  </w:style>
  <w:style w:type="paragraph" w:styleId="Closing">
    <w:name w:val="Closing"/>
    <w:link w:val="ClosingChar"/>
    <w:uiPriority w:val="99"/>
    <w:semiHidden/>
    <w:unhideWhenUsed/>
    <w:rsid w:val="00B825F7"/>
    <w:pPr>
      <w:ind w:left="4252"/>
    </w:pPr>
    <w:rPr>
      <w:rFonts w:cs="Arial"/>
      <w:sz w:val="22"/>
      <w:szCs w:val="22"/>
    </w:rPr>
  </w:style>
  <w:style w:type="character" w:customStyle="1" w:styleId="ClosingChar">
    <w:name w:val="Closing Char"/>
    <w:basedOn w:val="DefaultParagraphFont"/>
    <w:link w:val="Closing"/>
    <w:uiPriority w:val="99"/>
    <w:semiHidden/>
    <w:rsid w:val="00B825F7"/>
    <w:rPr>
      <w:rFonts w:ascii="Arial" w:hAnsi="Arial" w:cs="Arial"/>
    </w:rPr>
  </w:style>
  <w:style w:type="table" w:styleId="ColourfulGrid">
    <w:name w:val="Colorful Grid"/>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CCCCCC"/>
    </w:tcPr>
  </w:style>
  <w:style w:type="table" w:styleId="ColourfulGridAccent1">
    <w:name w:val="Colorful Grid Accent 1"/>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ColourfulGridAccent2">
    <w:name w:val="Colorful Grid Accent 2"/>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ColourfulGridAccent3">
    <w:name w:val="Colorful Grid Accent 3"/>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ColourfulGridAccent4">
    <w:name w:val="Colorful Grid Accent 4"/>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ColourfulGridAccent5">
    <w:name w:val="Colorful Grid Accent 5"/>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ColourfulGridAccent6">
    <w:name w:val="Colorful Grid Accent 6"/>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styleId="ColourfulList">
    <w:name w:val="Colorful List"/>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ColourfulListAccent1">
    <w:name w:val="Colorful List Accent 1"/>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ColourfulListAccent2">
    <w:name w:val="Colorful List Accent 2"/>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ColourfulListAccent3">
    <w:name w:val="Colorful List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ColourfulListAccent4">
    <w:name w:val="Colorful List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ColourfulListAccent5">
    <w:name w:val="Colorful List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ColourfulListAccent6">
    <w:name w:val="Colorful List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styleId="ColourfulShading">
    <w:name w:val="Colorful Shading"/>
    <w:uiPriority w:val="71"/>
    <w:semiHidden/>
    <w:unhideWhenUsed/>
    <w:rsid w:val="00B825F7"/>
    <w:rPr>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ColourfulShadingAccent1">
    <w:name w:val="Colorful Shading Accent 1"/>
    <w:uiPriority w:val="71"/>
    <w:semiHidden/>
    <w:unhideWhenUsed/>
    <w:rsid w:val="00B825F7"/>
    <w:rPr>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ColourfulShadingAccent2">
    <w:name w:val="Colorful Shading Accent 2"/>
    <w:uiPriority w:val="71"/>
    <w:semiHidden/>
    <w:unhideWhenUsed/>
    <w:rsid w:val="00B825F7"/>
    <w:rPr>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ColourfulShadingAccent3">
    <w:name w:val="Colorful Shading Accent 3"/>
    <w:uiPriority w:val="71"/>
    <w:semiHidden/>
    <w:unhideWhenUsed/>
    <w:rsid w:val="00B825F7"/>
    <w:rPr>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ColourfulShadingAccent4">
    <w:name w:val="Colorful Shading Accent 4"/>
    <w:uiPriority w:val="71"/>
    <w:semiHidden/>
    <w:unhideWhenUsed/>
    <w:rsid w:val="00B825F7"/>
    <w:rPr>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ColourfulShadingAccent5">
    <w:name w:val="Colorful Shading Accent 5"/>
    <w:uiPriority w:val="71"/>
    <w:semiHidden/>
    <w:unhideWhenUsed/>
    <w:rsid w:val="00B825F7"/>
    <w:rPr>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styleId="ColourfulShadingAccent6">
    <w:name w:val="Colorful Shading Accent 6"/>
    <w:uiPriority w:val="71"/>
    <w:semiHidden/>
    <w:unhideWhenUsed/>
    <w:rsid w:val="00B825F7"/>
    <w:rPr>
      <w:color w:val="000000"/>
      <w:sz w:val="22"/>
      <w:szCs w:val="22"/>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unhideWhenUsed/>
    <w:rsid w:val="00B825F7"/>
    <w:rPr>
      <w:rFonts w:cs="Arial"/>
    </w:rPr>
  </w:style>
  <w:style w:type="character" w:customStyle="1" w:styleId="CommentTextChar">
    <w:name w:val="Comment Text Char"/>
    <w:link w:val="CommentText"/>
    <w:uiPriority w:val="99"/>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DarkList">
    <w:name w:val="Dark List"/>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DarkList-Accent1">
    <w:name w:val="Dark List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DarkList-Accent2">
    <w:name w:val="Dark List Accent 2"/>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DarkList-Accent3">
    <w:name w:val="Dark List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DarkList-Accent4">
    <w:name w:val="Dark List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DarkList-Accent5">
    <w:name w:val="Dark List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styleId="DarkList-Accent6">
    <w:name w:val="Dark List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rPr>
  </w:style>
  <w:style w:type="character" w:customStyle="1" w:styleId="DateChar">
    <w:name w:val="Date Char"/>
    <w:basedOn w:val="DefaultParagraphFont"/>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rPr>
  </w:style>
  <w:style w:type="character" w:customStyle="1" w:styleId="EmailSignatureChar">
    <w:name w:val="Email Signature Char"/>
    <w:basedOn w:val="DefaultParagraphFont"/>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rPr>
  </w:style>
  <w:style w:type="paragraph" w:styleId="EnvelopeReturn">
    <w:name w:val="envelope return"/>
    <w:uiPriority w:val="99"/>
    <w:semiHidden/>
    <w:unhideWhenUsed/>
    <w:rsid w:val="00B825F7"/>
    <w:rPr>
      <w:rFonts w:eastAsia="Times New Roman" w:cs="Arial"/>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rFonts w:cs="Arial"/>
      <w:sz w:val="22"/>
      <w:szCs w:val="22"/>
    </w:rPr>
  </w:style>
  <w:style w:type="character" w:customStyle="1" w:styleId="FooterChar">
    <w:name w:val="Footer Char"/>
    <w:basedOn w:val="DefaultParagraphFont"/>
    <w:link w:val="Footer"/>
    <w:uiPriority w:val="99"/>
    <w:rsid w:val="00B825F7"/>
    <w:rPr>
      <w:rFonts w:ascii="Arial" w:hAnsi="Arial" w:cs="Arial"/>
    </w:rPr>
  </w:style>
  <w:style w:type="character" w:styleId="FootnoteReference">
    <w:name w:val="footnote reference"/>
    <w:uiPriority w:val="99"/>
    <w:semiHidden/>
    <w:unhideWhenUsed/>
    <w:rsid w:val="00B825F7"/>
    <w:rPr>
      <w:vertAlign w:val="superscript"/>
    </w:rPr>
  </w:style>
  <w:style w:type="paragraph" w:styleId="FootnoteText">
    <w:name w:val="footnote text"/>
    <w:link w:val="FootnoteTextChar"/>
    <w:uiPriority w:val="99"/>
    <w:semiHidden/>
    <w:unhideWhenUsed/>
    <w:rsid w:val="00B825F7"/>
    <w:rPr>
      <w:rFonts w:cs="Arial"/>
    </w:rPr>
  </w:style>
  <w:style w:type="character" w:customStyle="1" w:styleId="FootnoteTextChar">
    <w:name w:val="Footnote Text Char"/>
    <w:link w:val="FootnoteText"/>
    <w:uiPriority w:val="99"/>
    <w:semiHidden/>
    <w:rsid w:val="00B825F7"/>
    <w:rPr>
      <w:rFonts w:ascii="Arial" w:hAnsi="Arial" w:cs="Arial"/>
      <w:sz w:val="20"/>
      <w:szCs w:val="20"/>
    </w:rPr>
  </w:style>
  <w:style w:type="table" w:styleId="GridTable1Light">
    <w:name w:val="Grid Table 1 Light"/>
    <w:uiPriority w:val="46"/>
    <w:rsid w:val="00B825F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styleId="GridTable1Light-Accent1">
    <w:name w:val="Grid Table 1 Light Accent 1"/>
    <w:uiPriority w:val="46"/>
    <w:rsid w:val="00B825F7"/>
    <w:rPr>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styleId="GridTable1LightAccent2">
    <w:name w:val="Grid Table 1 Light Accent 2"/>
    <w:uiPriority w:val="46"/>
    <w:rsid w:val="00B825F7"/>
    <w:rPr>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styleId="GridTable1Light-Accent3">
    <w:name w:val="Grid Table 1 Light Accent 3"/>
    <w:uiPriority w:val="46"/>
    <w:rsid w:val="00B825F7"/>
    <w:rPr>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styleId="GridTable1Light-Accent4">
    <w:name w:val="Grid Table 1 Light Accent 4"/>
    <w:uiPriority w:val="46"/>
    <w:rsid w:val="00B825F7"/>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styleId="GridTable1Light-Accent5">
    <w:name w:val="Grid Table 1 Light Accent 5"/>
    <w:uiPriority w:val="46"/>
    <w:rsid w:val="00B825F7"/>
    <w:rPr>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styleId="GridTable1Light-Accent6">
    <w:name w:val="Grid Table 1 Light Accent 6"/>
    <w:uiPriority w:val="46"/>
    <w:rsid w:val="00B825F7"/>
    <w:rPr>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styleId="GridTable2">
    <w:name w:val="Grid Table 2"/>
    <w:uiPriority w:val="47"/>
    <w:rsid w:val="00B825F7"/>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styleId="GridTable2-Accent1">
    <w:name w:val="Grid Table 2 Accent 1"/>
    <w:uiPriority w:val="47"/>
    <w:rsid w:val="00B825F7"/>
    <w:rPr>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styleId="GridTable2-Accent2">
    <w:name w:val="Grid Table 2 Accent 2"/>
    <w:uiPriority w:val="47"/>
    <w:rsid w:val="00B825F7"/>
    <w:rPr>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styleId="GridTable2-Accent3">
    <w:name w:val="Grid Table 2 Accent 3"/>
    <w:uiPriority w:val="47"/>
    <w:rsid w:val="00B825F7"/>
    <w:rPr>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styleId="GridTable2-Accent4">
    <w:name w:val="Grid Table 2 Accent 4"/>
    <w:uiPriority w:val="47"/>
    <w:rsid w:val="00B825F7"/>
    <w:rPr>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styleId="GridTable2-Accent5">
    <w:name w:val="Grid Table 2 Accent 5"/>
    <w:uiPriority w:val="47"/>
    <w:rsid w:val="00B825F7"/>
    <w:rPr>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styleId="GridTable2-Accent6">
    <w:name w:val="Grid Table 2 Accent 6"/>
    <w:uiPriority w:val="47"/>
    <w:rsid w:val="00B825F7"/>
    <w:rPr>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styleId="GridTable3">
    <w:name w:val="Grid Table 3"/>
    <w:uiPriority w:val="48"/>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3-Accent1">
    <w:name w:val="Grid Table 3 Accent 1"/>
    <w:uiPriority w:val="48"/>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3-Accent2">
    <w:name w:val="Grid Table 3 Accent 2"/>
    <w:uiPriority w:val="48"/>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3-Accent3">
    <w:name w:val="Grid Table 3 Accent 3"/>
    <w:uiPriority w:val="48"/>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3-Accent4">
    <w:name w:val="Grid Table 3 Accent 4"/>
    <w:uiPriority w:val="48"/>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3-Accent5">
    <w:name w:val="Grid Table 3 Accent 5"/>
    <w:uiPriority w:val="48"/>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3-Accent6">
    <w:name w:val="Grid Table 3 Accent 6"/>
    <w:uiPriority w:val="48"/>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4">
    <w:name w:val="Grid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4-Accent1">
    <w:name w:val="Grid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4-Accent2">
    <w:name w:val="Grid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4-Accent3">
    <w:name w:val="Grid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4-Accent4">
    <w:name w:val="Grid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4-Accent5">
    <w:name w:val="Grid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4-Accent6">
    <w:name w:val="Grid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5Dark">
    <w:name w:val="Grid Table 5 Dark"/>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styleId="GridTable5Dark-Accent1">
    <w:name w:val="Grid Table 5 Dark Accent 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styleId="GridTable5Dark-Accent2">
    <w:name w:val="Grid Table 5 Dark Accent 2"/>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styleId="GridTable5Dark-Accent3">
    <w:name w:val="Grid Table 5 Dark Accent 3"/>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styleId="GridTable5Dark-Accent4">
    <w:name w:val="Grid Table 5 Dark Accent 4"/>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styleId="GridTable5Dark-Accent5">
    <w:name w:val="Grid Table 5 Dark Accent 5"/>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styleId="GridTable5Dark-Accent6">
    <w:name w:val="Grid Table 5 Dark Accent 6"/>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styleId="GridTable6Colourful">
    <w:name w:val="Grid Table 6 Colorful"/>
    <w:uiPriority w:val="51"/>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6ColourfulAccent1">
    <w:name w:val="Grid Table 6 Colorful Accent 1"/>
    <w:uiPriority w:val="51"/>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6ColourfulAccent2">
    <w:name w:val="Grid Table 6 Colorful Accent 2"/>
    <w:uiPriority w:val="51"/>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6ColourfulAccent3">
    <w:name w:val="Grid Table 6 Colorful Accent 3"/>
    <w:uiPriority w:val="51"/>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6ColourfulAccent4">
    <w:name w:val="Grid Table 6 Colorful Accent 4"/>
    <w:uiPriority w:val="51"/>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6ColourfulAccent5">
    <w:name w:val="Grid Table 6 Colorful Accent 5"/>
    <w:uiPriority w:val="51"/>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6ColourfulAccent6">
    <w:name w:val="Grid Table 6 Colorful Accent 6"/>
    <w:uiPriority w:val="51"/>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7Colourful">
    <w:name w:val="Grid Table 7 Colorful"/>
    <w:uiPriority w:val="52"/>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7ColourfulAccent1">
    <w:name w:val="Grid Table 7 Colorful Accent 1"/>
    <w:uiPriority w:val="52"/>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7ColourfulAccent2">
    <w:name w:val="Grid Table 7 Colorful Accent 2"/>
    <w:uiPriority w:val="52"/>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7ColourfulAccent3">
    <w:name w:val="Grid Table 7 Colorful Accent 3"/>
    <w:uiPriority w:val="52"/>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7ColourfulAccent4">
    <w:name w:val="Grid Table 7 Colorful Accent 4"/>
    <w:uiPriority w:val="52"/>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7ColourfulAccent5">
    <w:name w:val="Grid Table 7 Colorful Accent 5"/>
    <w:uiPriority w:val="52"/>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7ColourfulAccent6">
    <w:name w:val="Grid Table 7 Colorful Accent 6"/>
    <w:uiPriority w:val="52"/>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rPr>
  </w:style>
  <w:style w:type="character" w:customStyle="1" w:styleId="HeaderChar">
    <w:name w:val="Header Char"/>
    <w:basedOn w:val="DefaultParagraphFont"/>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rPr>
  </w:style>
  <w:style w:type="paragraph" w:styleId="Index2">
    <w:name w:val="index 2"/>
    <w:next w:val="Normal"/>
    <w:autoRedefine/>
    <w:uiPriority w:val="99"/>
    <w:semiHidden/>
    <w:unhideWhenUsed/>
    <w:rsid w:val="00B825F7"/>
    <w:pPr>
      <w:ind w:left="440" w:hanging="220"/>
    </w:pPr>
    <w:rPr>
      <w:rFonts w:cs="Arial"/>
      <w:sz w:val="22"/>
      <w:szCs w:val="22"/>
    </w:rPr>
  </w:style>
  <w:style w:type="paragraph" w:styleId="Index3">
    <w:name w:val="index 3"/>
    <w:next w:val="Normal"/>
    <w:autoRedefine/>
    <w:uiPriority w:val="99"/>
    <w:semiHidden/>
    <w:unhideWhenUsed/>
    <w:rsid w:val="00B825F7"/>
    <w:pPr>
      <w:ind w:left="660" w:hanging="220"/>
    </w:pPr>
    <w:rPr>
      <w:rFonts w:cs="Arial"/>
      <w:sz w:val="22"/>
      <w:szCs w:val="22"/>
    </w:rPr>
  </w:style>
  <w:style w:type="paragraph" w:styleId="Index4">
    <w:name w:val="index 4"/>
    <w:next w:val="Normal"/>
    <w:autoRedefine/>
    <w:uiPriority w:val="99"/>
    <w:semiHidden/>
    <w:unhideWhenUsed/>
    <w:rsid w:val="00B825F7"/>
    <w:pPr>
      <w:ind w:left="880" w:hanging="220"/>
    </w:pPr>
    <w:rPr>
      <w:rFonts w:cs="Arial"/>
      <w:sz w:val="22"/>
      <w:szCs w:val="22"/>
    </w:rPr>
  </w:style>
  <w:style w:type="paragraph" w:styleId="Index5">
    <w:name w:val="index 5"/>
    <w:next w:val="Normal"/>
    <w:autoRedefine/>
    <w:uiPriority w:val="99"/>
    <w:semiHidden/>
    <w:unhideWhenUsed/>
    <w:rsid w:val="00B825F7"/>
    <w:pPr>
      <w:ind w:left="1100" w:hanging="220"/>
    </w:pPr>
    <w:rPr>
      <w:rFonts w:cs="Arial"/>
      <w:sz w:val="22"/>
      <w:szCs w:val="22"/>
    </w:rPr>
  </w:style>
  <w:style w:type="paragraph" w:styleId="Index6">
    <w:name w:val="index 6"/>
    <w:next w:val="Normal"/>
    <w:autoRedefine/>
    <w:uiPriority w:val="99"/>
    <w:semiHidden/>
    <w:unhideWhenUsed/>
    <w:rsid w:val="00B825F7"/>
    <w:pPr>
      <w:ind w:left="1320" w:hanging="220"/>
    </w:pPr>
    <w:rPr>
      <w:rFonts w:cs="Arial"/>
      <w:sz w:val="22"/>
      <w:szCs w:val="22"/>
    </w:rPr>
  </w:style>
  <w:style w:type="paragraph" w:styleId="Index7">
    <w:name w:val="index 7"/>
    <w:next w:val="Normal"/>
    <w:autoRedefine/>
    <w:uiPriority w:val="99"/>
    <w:semiHidden/>
    <w:unhideWhenUsed/>
    <w:rsid w:val="00B825F7"/>
    <w:pPr>
      <w:ind w:left="1540" w:hanging="220"/>
    </w:pPr>
    <w:rPr>
      <w:rFonts w:cs="Arial"/>
      <w:sz w:val="22"/>
      <w:szCs w:val="22"/>
    </w:rPr>
  </w:style>
  <w:style w:type="paragraph" w:styleId="Index8">
    <w:name w:val="index 8"/>
    <w:next w:val="Normal"/>
    <w:autoRedefine/>
    <w:uiPriority w:val="99"/>
    <w:semiHidden/>
    <w:unhideWhenUsed/>
    <w:rsid w:val="00B825F7"/>
    <w:pPr>
      <w:ind w:left="1760" w:hanging="220"/>
    </w:pPr>
    <w:rPr>
      <w:rFonts w:cs="Arial"/>
      <w:sz w:val="22"/>
      <w:szCs w:val="22"/>
    </w:rPr>
  </w:style>
  <w:style w:type="paragraph" w:styleId="Index9">
    <w:name w:val="index 9"/>
    <w:next w:val="Normal"/>
    <w:autoRedefine/>
    <w:uiPriority w:val="99"/>
    <w:semiHidden/>
    <w:unhideWhenUsed/>
    <w:rsid w:val="00B825F7"/>
    <w:pPr>
      <w:ind w:left="1980" w:hanging="220"/>
    </w:pPr>
    <w:rPr>
      <w:rFonts w:cs="Arial"/>
      <w:sz w:val="22"/>
      <w:szCs w:val="22"/>
    </w:rPr>
  </w:style>
  <w:style w:type="paragraph" w:styleId="IndexHeading">
    <w:name w:val="index heading"/>
    <w:next w:val="Index1"/>
    <w:uiPriority w:val="99"/>
    <w:semiHidden/>
    <w:unhideWhenUsed/>
    <w:rsid w:val="00B825F7"/>
    <w:rPr>
      <w:rFonts w:eastAsia="Times New Roman" w:cs="Arial"/>
      <w:b/>
      <w:bCs/>
      <w:sz w:val="22"/>
      <w:szCs w:val="22"/>
    </w:rPr>
  </w:style>
  <w:style w:type="character" w:styleId="IntenseEmphasis">
    <w:name w:val="Intense Emphasis"/>
    <w:uiPriority w:val="21"/>
    <w:qFormat/>
    <w:rsid w:val="00B825F7"/>
    <w:rPr>
      <w:i/>
      <w:iCs/>
      <w:color w:val="5B9BD5"/>
    </w:rPr>
  </w:style>
  <w:style w:type="paragraph" w:styleId="IntenseQuote">
    <w:name w:val="Intense Quote"/>
    <w:next w:val="Normal"/>
    <w:link w:val="IntenseQuote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rPr>
  </w:style>
  <w:style w:type="character" w:customStyle="1" w:styleId="IntenseQuoteChar">
    <w:name w:val="Intense Quote Char"/>
    <w:link w:val="IntenseQuote"/>
    <w:uiPriority w:val="30"/>
    <w:rsid w:val="00451CC4"/>
    <w:rPr>
      <w:rFonts w:ascii="Arial" w:hAnsi="Arial" w:cs="Arial"/>
      <w:i/>
      <w:iCs/>
      <w:color w:val="006DA5"/>
    </w:rPr>
  </w:style>
  <w:style w:type="character" w:styleId="IntenseReference">
    <w:name w:val="Intense Reference"/>
    <w:uiPriority w:val="32"/>
    <w:qFormat/>
    <w:rsid w:val="00B825F7"/>
    <w:rPr>
      <w:b/>
      <w:bCs/>
      <w:smallCaps/>
      <w:color w:val="5B9BD5"/>
      <w:spacing w:val="5"/>
    </w:rPr>
  </w:style>
  <w:style w:type="table" w:styleId="LightGrid">
    <w:name w:val="Light Grid"/>
    <w:uiPriority w:val="62"/>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LightGrid-Accent1">
    <w:name w:val="Light Grid Accent 1"/>
    <w:uiPriority w:val="62"/>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LightGrid-Accent2">
    <w:name w:val="Light Grid Accent 2"/>
    <w:uiPriority w:val="62"/>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LightGrid-Accent3">
    <w:name w:val="Light Grid Accent 3"/>
    <w:uiPriority w:val="62"/>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LightGrid-Accent4">
    <w:name w:val="Light Grid Accent 4"/>
    <w:uiPriority w:val="62"/>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LightGrid-Accent5">
    <w:name w:val="Light Grid Accent 5"/>
    <w:uiPriority w:val="62"/>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LightGrid-Accent6">
    <w:name w:val="Light Grid Accent 6"/>
    <w:uiPriority w:val="62"/>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LightList">
    <w:name w:val="Light List"/>
    <w:uiPriority w:val="61"/>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1">
    <w:name w:val="Light List Accent 1"/>
    <w:uiPriority w:val="61"/>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2">
    <w:name w:val="Light List Accent 2"/>
    <w:uiPriority w:val="61"/>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3">
    <w:name w:val="Light List Accent 3"/>
    <w:uiPriority w:val="61"/>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4">
    <w:name w:val="Light List Accent 4"/>
    <w:uiPriority w:val="61"/>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5">
    <w:name w:val="Light List Accent 5"/>
    <w:uiPriority w:val="61"/>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LightList-Accent6">
    <w:name w:val="Light List Accent 6"/>
    <w:uiPriority w:val="61"/>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LightShading">
    <w:name w:val="Light Shading"/>
    <w:uiPriority w:val="60"/>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LightShading-Accent1">
    <w:name w:val="Light Shading Accent 1"/>
    <w:uiPriority w:val="60"/>
    <w:semiHidden/>
    <w:unhideWhenUsed/>
    <w:rsid w:val="00B825F7"/>
    <w:rPr>
      <w:color w:val="2E74B5"/>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2">
    <w:name w:val="Light Shading Accent 2"/>
    <w:uiPriority w:val="60"/>
    <w:semiHidden/>
    <w:unhideWhenUsed/>
    <w:rsid w:val="00B825F7"/>
    <w:rPr>
      <w:color w:val="C45911"/>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3">
    <w:name w:val="Light Shading Accent 3"/>
    <w:uiPriority w:val="60"/>
    <w:semiHidden/>
    <w:unhideWhenUsed/>
    <w:rsid w:val="00B825F7"/>
    <w:rPr>
      <w:color w:val="7B7B7B"/>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4">
    <w:name w:val="Light Shading Accent 4"/>
    <w:uiPriority w:val="60"/>
    <w:semiHidden/>
    <w:unhideWhenUsed/>
    <w:rsid w:val="00B825F7"/>
    <w:rPr>
      <w:color w:val="BF8F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5">
    <w:name w:val="Light Shading Accent 5"/>
    <w:uiPriority w:val="60"/>
    <w:semiHidden/>
    <w:unhideWhenUsed/>
    <w:rsid w:val="00B825F7"/>
    <w:rPr>
      <w:color w:val="2F5496"/>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LightShading-Accent6">
    <w:name w:val="Light Shading Accent 6"/>
    <w:uiPriority w:val="60"/>
    <w:semiHidden/>
    <w:unhideWhenUsed/>
    <w:rsid w:val="00B825F7"/>
    <w:rPr>
      <w:color w:val="538135"/>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rPr>
  </w:style>
  <w:style w:type="paragraph" w:styleId="List2">
    <w:name w:val="List 2"/>
    <w:uiPriority w:val="99"/>
    <w:semiHidden/>
    <w:unhideWhenUsed/>
    <w:rsid w:val="00B825F7"/>
    <w:pPr>
      <w:ind w:left="566" w:hanging="283"/>
      <w:contextualSpacing/>
    </w:pPr>
    <w:rPr>
      <w:rFonts w:cs="Arial"/>
      <w:sz w:val="22"/>
      <w:szCs w:val="22"/>
    </w:rPr>
  </w:style>
  <w:style w:type="paragraph" w:styleId="List3">
    <w:name w:val="List 3"/>
    <w:uiPriority w:val="99"/>
    <w:semiHidden/>
    <w:unhideWhenUsed/>
    <w:rsid w:val="00B825F7"/>
    <w:pPr>
      <w:ind w:left="849" w:hanging="283"/>
      <w:contextualSpacing/>
    </w:pPr>
    <w:rPr>
      <w:rFonts w:cs="Arial"/>
      <w:sz w:val="22"/>
      <w:szCs w:val="22"/>
    </w:rPr>
  </w:style>
  <w:style w:type="paragraph" w:styleId="List4">
    <w:name w:val="List 4"/>
    <w:uiPriority w:val="99"/>
    <w:semiHidden/>
    <w:unhideWhenUsed/>
    <w:rsid w:val="00B825F7"/>
    <w:pPr>
      <w:ind w:left="1132" w:hanging="283"/>
      <w:contextualSpacing/>
    </w:pPr>
    <w:rPr>
      <w:rFonts w:cs="Arial"/>
      <w:sz w:val="22"/>
      <w:szCs w:val="22"/>
    </w:rPr>
  </w:style>
  <w:style w:type="paragraph" w:styleId="List5">
    <w:name w:val="List 5"/>
    <w:uiPriority w:val="99"/>
    <w:semiHidden/>
    <w:unhideWhenUsed/>
    <w:rsid w:val="00B825F7"/>
    <w:pPr>
      <w:ind w:left="1415" w:hanging="283"/>
      <w:contextualSpacing/>
    </w:pPr>
    <w:rPr>
      <w:rFonts w:cs="Arial"/>
      <w:sz w:val="22"/>
      <w:szCs w:val="22"/>
    </w:rPr>
  </w:style>
  <w:style w:type="paragraph" w:styleId="ListBullet">
    <w:name w:val="List Bullet"/>
    <w:uiPriority w:val="99"/>
    <w:unhideWhenUsed/>
    <w:rsid w:val="00041537"/>
    <w:pPr>
      <w:numPr>
        <w:numId w:val="4"/>
      </w:numPr>
      <w:tabs>
        <w:tab w:val="clear" w:pos="360"/>
      </w:tabs>
      <w:spacing w:after="120"/>
      <w:ind w:left="1418" w:hanging="709"/>
    </w:pPr>
    <w:rPr>
      <w:rFonts w:cs="Arial"/>
      <w:sz w:val="22"/>
      <w:szCs w:val="22"/>
    </w:rPr>
  </w:style>
  <w:style w:type="paragraph" w:styleId="ListBullet2">
    <w:name w:val="List Bullet 2"/>
    <w:uiPriority w:val="99"/>
    <w:semiHidden/>
    <w:unhideWhenUsed/>
    <w:rsid w:val="00B825F7"/>
    <w:pPr>
      <w:numPr>
        <w:numId w:val="5"/>
      </w:numPr>
      <w:contextualSpacing/>
    </w:pPr>
    <w:rPr>
      <w:rFonts w:cs="Arial"/>
      <w:sz w:val="22"/>
      <w:szCs w:val="22"/>
    </w:rPr>
  </w:style>
  <w:style w:type="paragraph" w:styleId="ListBullet3">
    <w:name w:val="List Bullet 3"/>
    <w:uiPriority w:val="99"/>
    <w:semiHidden/>
    <w:unhideWhenUsed/>
    <w:rsid w:val="00B825F7"/>
    <w:pPr>
      <w:numPr>
        <w:numId w:val="6"/>
      </w:numPr>
      <w:contextualSpacing/>
    </w:pPr>
    <w:rPr>
      <w:rFonts w:cs="Arial"/>
      <w:sz w:val="22"/>
      <w:szCs w:val="22"/>
    </w:rPr>
  </w:style>
  <w:style w:type="paragraph" w:styleId="ListBullet4">
    <w:name w:val="List Bullet 4"/>
    <w:uiPriority w:val="99"/>
    <w:semiHidden/>
    <w:unhideWhenUsed/>
    <w:rsid w:val="00B825F7"/>
    <w:pPr>
      <w:numPr>
        <w:numId w:val="7"/>
      </w:numPr>
      <w:contextualSpacing/>
    </w:pPr>
    <w:rPr>
      <w:rFonts w:cs="Arial"/>
      <w:sz w:val="22"/>
      <w:szCs w:val="22"/>
    </w:rPr>
  </w:style>
  <w:style w:type="paragraph" w:styleId="ListBullet5">
    <w:name w:val="List Bullet 5"/>
    <w:uiPriority w:val="99"/>
    <w:semiHidden/>
    <w:unhideWhenUsed/>
    <w:rsid w:val="00B825F7"/>
    <w:pPr>
      <w:numPr>
        <w:numId w:val="8"/>
      </w:numPr>
      <w:contextualSpacing/>
    </w:pPr>
    <w:rPr>
      <w:rFonts w:cs="Arial"/>
      <w:sz w:val="22"/>
      <w:szCs w:val="22"/>
    </w:rPr>
  </w:style>
  <w:style w:type="paragraph" w:styleId="ListContinue">
    <w:name w:val="List Continue"/>
    <w:uiPriority w:val="99"/>
    <w:semiHidden/>
    <w:unhideWhenUsed/>
    <w:rsid w:val="00B825F7"/>
    <w:pPr>
      <w:spacing w:after="120"/>
      <w:ind w:left="283"/>
      <w:contextualSpacing/>
    </w:pPr>
    <w:rPr>
      <w:rFonts w:cs="Arial"/>
      <w:sz w:val="22"/>
      <w:szCs w:val="22"/>
    </w:rPr>
  </w:style>
  <w:style w:type="paragraph" w:styleId="ListContinue2">
    <w:name w:val="List Continue 2"/>
    <w:uiPriority w:val="99"/>
    <w:semiHidden/>
    <w:unhideWhenUsed/>
    <w:rsid w:val="00B825F7"/>
    <w:pPr>
      <w:spacing w:after="120"/>
      <w:ind w:left="566"/>
      <w:contextualSpacing/>
    </w:pPr>
    <w:rPr>
      <w:rFonts w:cs="Arial"/>
      <w:sz w:val="22"/>
      <w:szCs w:val="22"/>
    </w:rPr>
  </w:style>
  <w:style w:type="paragraph" w:styleId="ListContinue3">
    <w:name w:val="List Continue 3"/>
    <w:uiPriority w:val="99"/>
    <w:semiHidden/>
    <w:unhideWhenUsed/>
    <w:rsid w:val="00B825F7"/>
    <w:pPr>
      <w:spacing w:after="120"/>
      <w:ind w:left="849"/>
      <w:contextualSpacing/>
    </w:pPr>
    <w:rPr>
      <w:rFonts w:cs="Arial"/>
      <w:sz w:val="22"/>
      <w:szCs w:val="22"/>
    </w:rPr>
  </w:style>
  <w:style w:type="paragraph" w:styleId="ListContinue4">
    <w:name w:val="List Continue 4"/>
    <w:uiPriority w:val="99"/>
    <w:semiHidden/>
    <w:unhideWhenUsed/>
    <w:rsid w:val="00B825F7"/>
    <w:pPr>
      <w:spacing w:after="120"/>
      <w:ind w:left="1132"/>
      <w:contextualSpacing/>
    </w:pPr>
    <w:rPr>
      <w:rFonts w:cs="Arial"/>
      <w:sz w:val="22"/>
      <w:szCs w:val="22"/>
    </w:rPr>
  </w:style>
  <w:style w:type="paragraph" w:styleId="ListContinue5">
    <w:name w:val="List Continue 5"/>
    <w:uiPriority w:val="99"/>
    <w:semiHidden/>
    <w:unhideWhenUsed/>
    <w:rsid w:val="00B825F7"/>
    <w:pPr>
      <w:spacing w:after="120"/>
      <w:ind w:left="1415"/>
      <w:contextualSpacing/>
    </w:pPr>
    <w:rPr>
      <w:rFonts w:cs="Arial"/>
      <w:sz w:val="22"/>
      <w:szCs w:val="22"/>
    </w:rPr>
  </w:style>
  <w:style w:type="paragraph" w:styleId="ListNumber">
    <w:name w:val="List Number"/>
    <w:uiPriority w:val="99"/>
    <w:unhideWhenUsed/>
    <w:rsid w:val="00041537"/>
    <w:pPr>
      <w:numPr>
        <w:numId w:val="9"/>
      </w:numPr>
      <w:spacing w:after="120"/>
      <w:ind w:left="357" w:hanging="357"/>
    </w:pPr>
    <w:rPr>
      <w:rFonts w:cs="Arial"/>
      <w:sz w:val="22"/>
      <w:szCs w:val="22"/>
    </w:rPr>
  </w:style>
  <w:style w:type="paragraph" w:styleId="ListNumber2">
    <w:name w:val="List Number 2"/>
    <w:uiPriority w:val="99"/>
    <w:semiHidden/>
    <w:unhideWhenUsed/>
    <w:rsid w:val="00B825F7"/>
    <w:pPr>
      <w:numPr>
        <w:numId w:val="10"/>
      </w:numPr>
      <w:contextualSpacing/>
    </w:pPr>
    <w:rPr>
      <w:rFonts w:cs="Arial"/>
      <w:sz w:val="22"/>
      <w:szCs w:val="22"/>
    </w:rPr>
  </w:style>
  <w:style w:type="paragraph" w:styleId="ListNumber3">
    <w:name w:val="List Number 3"/>
    <w:uiPriority w:val="99"/>
    <w:semiHidden/>
    <w:unhideWhenUsed/>
    <w:rsid w:val="00B825F7"/>
    <w:pPr>
      <w:numPr>
        <w:numId w:val="11"/>
      </w:numPr>
      <w:contextualSpacing/>
    </w:pPr>
    <w:rPr>
      <w:rFonts w:cs="Arial"/>
      <w:sz w:val="22"/>
      <w:szCs w:val="22"/>
    </w:rPr>
  </w:style>
  <w:style w:type="paragraph" w:styleId="ListNumber4">
    <w:name w:val="List Number 4"/>
    <w:uiPriority w:val="99"/>
    <w:semiHidden/>
    <w:unhideWhenUsed/>
    <w:rsid w:val="00B825F7"/>
    <w:pPr>
      <w:numPr>
        <w:numId w:val="12"/>
      </w:numPr>
      <w:contextualSpacing/>
    </w:pPr>
    <w:rPr>
      <w:rFonts w:cs="Arial"/>
      <w:sz w:val="22"/>
      <w:szCs w:val="22"/>
    </w:rPr>
  </w:style>
  <w:style w:type="paragraph" w:styleId="ListNumber5">
    <w:name w:val="List Number 5"/>
    <w:uiPriority w:val="99"/>
    <w:semiHidden/>
    <w:unhideWhenUsed/>
    <w:rsid w:val="00B825F7"/>
    <w:pPr>
      <w:numPr>
        <w:numId w:val="13"/>
      </w:numPr>
      <w:contextualSpacing/>
    </w:pPr>
    <w:rPr>
      <w:rFonts w:cs="Arial"/>
      <w:sz w:val="22"/>
      <w:szCs w:val="22"/>
    </w:rPr>
  </w:style>
  <w:style w:type="paragraph" w:styleId="ListParagraph">
    <w:name w:val="List Paragraph"/>
    <w:uiPriority w:val="34"/>
    <w:qFormat/>
    <w:rsid w:val="00451CC4"/>
    <w:pPr>
      <w:ind w:left="720"/>
    </w:pPr>
    <w:rPr>
      <w:rFonts w:cs="Arial"/>
      <w:sz w:val="22"/>
      <w:szCs w:val="22"/>
    </w:rPr>
  </w:style>
  <w:style w:type="table" w:styleId="ListTable1Light">
    <w:name w:val="List Table 1 Light"/>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1">
    <w:name w:val="List Table 1 Light Accent 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2">
    <w:name w:val="List Table 1 Light Accent 2"/>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3">
    <w:name w:val="List Table 1 Light Accent 3"/>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4">
    <w:name w:val="List Table 1 Light Accent 4"/>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5">
    <w:name w:val="List Table 1 Light Accent 5"/>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6">
    <w:name w:val="List Table 1 Light Accent 6"/>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2">
    <w:name w:val="List Table 2"/>
    <w:uiPriority w:val="47"/>
    <w:rsid w:val="00B825F7"/>
    <w:rPr>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styleId="ListTable2-Accent1">
    <w:name w:val="List Table 2 Accent 1"/>
    <w:uiPriority w:val="47"/>
    <w:rsid w:val="00B825F7"/>
    <w:rPr>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styleId="ListTable2-Accent2">
    <w:name w:val="List Table 2 Accent 2"/>
    <w:uiPriority w:val="47"/>
    <w:rsid w:val="00B825F7"/>
    <w:rPr>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styleId="ListTable2-Accent3">
    <w:name w:val="List Table 2 Accent 3"/>
    <w:uiPriority w:val="47"/>
    <w:rsid w:val="00B825F7"/>
    <w:rPr>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styleId="ListTable2-Accent4">
    <w:name w:val="List Table 2 Accent 4"/>
    <w:uiPriority w:val="47"/>
    <w:rsid w:val="00B825F7"/>
    <w:rPr>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styleId="ListTable2-Accent5">
    <w:name w:val="List Table 2 Accent 5"/>
    <w:uiPriority w:val="47"/>
    <w:rsid w:val="00B825F7"/>
    <w:rPr>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styleId="ListTable2-Accent6">
    <w:name w:val="List Table 2 Accent 6"/>
    <w:uiPriority w:val="47"/>
    <w:rsid w:val="00B825F7"/>
    <w:rPr>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styleId="ListTable3">
    <w:name w:val="List Table 3"/>
    <w:uiPriority w:val="48"/>
    <w:rsid w:val="00B825F7"/>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48"/>
    <w:rsid w:val="00B825F7"/>
    <w:rPr>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styleId="ListTable3-Accent2">
    <w:name w:val="List Table 3 Accent 2"/>
    <w:uiPriority w:val="48"/>
    <w:rsid w:val="00B825F7"/>
    <w:rPr>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styleId="ListTable3-Accent3">
    <w:name w:val="List Table 3 Accent 3"/>
    <w:uiPriority w:val="48"/>
    <w:rsid w:val="00B825F7"/>
    <w:rPr>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styleId="ListTable3-Accent4">
    <w:name w:val="List Table 3 Accent 4"/>
    <w:uiPriority w:val="48"/>
    <w:rsid w:val="00B825F7"/>
    <w:rPr>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styleId="ListTable3-Accent5">
    <w:name w:val="List Table 3 Accent 5"/>
    <w:uiPriority w:val="48"/>
    <w:rsid w:val="00B825F7"/>
    <w:rPr>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styleId="ListTable3-Accent6">
    <w:name w:val="List Table 3 Accent 6"/>
    <w:uiPriority w:val="48"/>
    <w:rsid w:val="00B825F7"/>
    <w:rPr>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styleId="ListTable4">
    <w:name w:val="List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styleId="ListTable4-Accent1">
    <w:name w:val="List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styleId="ListTable4-Accent2">
    <w:name w:val="List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styleId="ListTable4-Accent3">
    <w:name w:val="List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styleId="ListTable4-Accent4">
    <w:name w:val="List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styleId="ListTable4-Accent5">
    <w:name w:val="List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styleId="ListTable4-Accent6">
    <w:name w:val="List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styleId="ListTable5Dark">
    <w:name w:val="List Table 5 Dark"/>
    <w:uiPriority w:val="50"/>
    <w:rsid w:val="00B825F7"/>
    <w:rPr>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styleId="ListTable5Dark-Accent1">
    <w:name w:val="List Table 5 Dark Accent 1"/>
    <w:uiPriority w:val="50"/>
    <w:rsid w:val="00B825F7"/>
    <w:rPr>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styleId="ListTable5Dark-Accent2">
    <w:name w:val="List Table 5 Dark Accent 2"/>
    <w:uiPriority w:val="50"/>
    <w:rsid w:val="00B825F7"/>
    <w:rPr>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styleId="ListTable5Dark-Accent3">
    <w:name w:val="List Table 5 Dark Accent 3"/>
    <w:uiPriority w:val="50"/>
    <w:rsid w:val="00B825F7"/>
    <w:rPr>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styleId="ListTable5Dark-Accent4">
    <w:name w:val="List Table 5 Dark Accent 4"/>
    <w:uiPriority w:val="50"/>
    <w:rsid w:val="00B825F7"/>
    <w:rPr>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styleId="ListTable5Dark-Accent5">
    <w:name w:val="List Table 5 Dark Accent 5"/>
    <w:uiPriority w:val="50"/>
    <w:rsid w:val="00B825F7"/>
    <w:rPr>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styleId="ListTable5Dark-Accent6">
    <w:name w:val="List Table 5 Dark Accent 6"/>
    <w:uiPriority w:val="50"/>
    <w:rsid w:val="00B825F7"/>
    <w:rPr>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styleId="ListTable6Colourful">
    <w:name w:val="List Table 6 Colorful"/>
    <w:uiPriority w:val="51"/>
    <w:rsid w:val="00B825F7"/>
    <w:rPr>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styleId="ListTable6ColourfulAccent1">
    <w:name w:val="List Table 6 Colorful Accent 1"/>
    <w:uiPriority w:val="51"/>
    <w:rsid w:val="00B825F7"/>
    <w:rPr>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styleId="ListTable6ColourfulAccent2">
    <w:name w:val="List Table 6 Colorful Accent 2"/>
    <w:uiPriority w:val="51"/>
    <w:rsid w:val="00B825F7"/>
    <w:rPr>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styleId="ListTable6ColourfulAccent3">
    <w:name w:val="List Table 6 Colorful Accent 3"/>
    <w:uiPriority w:val="51"/>
    <w:rsid w:val="00B825F7"/>
    <w:rPr>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styleId="ListTable6ColourfulAccent4">
    <w:name w:val="List Table 6 Colorful Accent 4"/>
    <w:uiPriority w:val="51"/>
    <w:rsid w:val="00B825F7"/>
    <w:rPr>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styleId="ListTable6ColourfulAccent5">
    <w:name w:val="List Table 6 Colorful Accent 5"/>
    <w:uiPriority w:val="51"/>
    <w:rsid w:val="00B825F7"/>
    <w:rPr>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styleId="ListTable6ColourfulAccent6">
    <w:name w:val="List Table 6 Colorful Accent 6"/>
    <w:uiPriority w:val="51"/>
    <w:rsid w:val="00B825F7"/>
    <w:rPr>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styleId="ListTable7Colourful">
    <w:name w:val="List Table 7 Colorful"/>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styleId="ListTable7ColourfulAccent1">
    <w:name w:val="List Table 7 Colorful Accent 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styleId="ListTable7ColourfulAccent2">
    <w:name w:val="List Table 7 Colorful Accent 2"/>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styleId="ListTable7ColourfulAccent3">
    <w:name w:val="List Table 7 Colorful Accent 3"/>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styleId="ListTable7ColourfulAccent4">
    <w:name w:val="List Table 7 Colorful Accent 4"/>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styleId="ListTable7ColourfulAccent5">
    <w:name w:val="List Table 7 Colorful Accent 5"/>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styleId="ListTable7ColourfulAccent6">
    <w:name w:val="List Table 7 Colorful Accent 6"/>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rPr>
  </w:style>
  <w:style w:type="character" w:customStyle="1" w:styleId="MacroTextChar">
    <w:name w:val="Macro Text Char"/>
    <w:link w:val="MacroText"/>
    <w:uiPriority w:val="99"/>
    <w:semiHidden/>
    <w:rsid w:val="00B825F7"/>
    <w:rPr>
      <w:rFonts w:ascii="Arial" w:hAnsi="Arial" w:cs="Arial"/>
      <w:sz w:val="20"/>
      <w:szCs w:val="20"/>
    </w:rPr>
  </w:style>
  <w:style w:type="table" w:styleId="MediumGrid1">
    <w:name w:val="Medium Grid 1"/>
    <w:uiPriority w:val="67"/>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MediumGrid1-Accent1">
    <w:name w:val="Medium Grid 1 Accent 1"/>
    <w:uiPriority w:val="67"/>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MediumGrid1-Accent2">
    <w:name w:val="Medium Grid 1 Accent 2"/>
    <w:uiPriority w:val="67"/>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MediumGrid1-Accent3">
    <w:name w:val="Medium Grid 1 Accent 3"/>
    <w:uiPriority w:val="67"/>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MediumGrid1-Accent4">
    <w:name w:val="Medium Grid 1 Accent 4"/>
    <w:uiPriority w:val="67"/>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MediumGrid1-Accent5">
    <w:name w:val="Medium Grid 1 Accent 5"/>
    <w:uiPriority w:val="67"/>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styleId="MediumGrid1-Accent6">
    <w:name w:val="Medium Grid 1 Accent 6"/>
    <w:uiPriority w:val="67"/>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Grid2">
    <w:name w:val="Medium Grid 2"/>
    <w:uiPriority w:val="68"/>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Grid2-Accent1">
    <w:name w:val="Medium Grid 2 Accent 1"/>
    <w:uiPriority w:val="68"/>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Grid2-Accent2">
    <w:name w:val="Medium Grid 2 Accent 2"/>
    <w:uiPriority w:val="68"/>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Grid2-Accent3">
    <w:name w:val="Medium Grid 2 Accent 3"/>
    <w:uiPriority w:val="68"/>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Grid2-Accent4">
    <w:name w:val="Medium Grid 2 Accent 4"/>
    <w:uiPriority w:val="68"/>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Grid2-Accent5">
    <w:name w:val="Medium Grid 2 Accent 5"/>
    <w:uiPriority w:val="68"/>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styleId="MediumGrid2-Accent6">
    <w:name w:val="Medium Grid 2 Accent 6"/>
    <w:uiPriority w:val="68"/>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Grid3">
    <w:name w:val="Medium Grid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Grid3-Accent1">
    <w:name w:val="Medium Grid 3 Accent 1"/>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Grid3-Accent2">
    <w:name w:val="Medium Grid 3 Accent 2"/>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Grid3-Accent3">
    <w:name w:val="Medium Grid 3 Accent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Grid3-Accent4">
    <w:name w:val="Medium Grid 3 Accent 4"/>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Grid3-Accent5">
    <w:name w:val="Medium Grid 3 Accent 5"/>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styleId="MediumGrid3-Accent6">
    <w:name w:val="Medium Grid 3 Accent 6"/>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MediumList1">
    <w:name w:val="Medium List 1"/>
    <w:uiPriority w:val="65"/>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MediumList1-Accent1">
    <w:name w:val="Medium List 1 Accent 1"/>
    <w:uiPriority w:val="65"/>
    <w:semiHidden/>
    <w:unhideWhenUsed/>
    <w:rsid w:val="00B825F7"/>
    <w:rPr>
      <w:color w:val="000000"/>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List1-Accent2">
    <w:name w:val="Medium List 1 Accent 2"/>
    <w:uiPriority w:val="65"/>
    <w:semiHidden/>
    <w:unhideWhenUsed/>
    <w:rsid w:val="00B825F7"/>
    <w:rPr>
      <w:color w:val="000000"/>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List1-Accent3">
    <w:name w:val="Medium List 1 Accent 3"/>
    <w:uiPriority w:val="65"/>
    <w:semiHidden/>
    <w:unhideWhenUsed/>
    <w:rsid w:val="00B825F7"/>
    <w:rPr>
      <w:color w:val="000000"/>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List1-Accent4">
    <w:name w:val="Medium List 1 Accent 4"/>
    <w:uiPriority w:val="65"/>
    <w:semiHidden/>
    <w:unhideWhenUsed/>
    <w:rsid w:val="00B825F7"/>
    <w:rPr>
      <w:color w:val="0000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List1-Accent5">
    <w:name w:val="Medium List 1 Accent 5"/>
    <w:uiPriority w:val="65"/>
    <w:semiHidden/>
    <w:unhideWhenUsed/>
    <w:rsid w:val="00B825F7"/>
    <w:rPr>
      <w:color w:val="000000"/>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List1-Accent6">
    <w:name w:val="Medium List 1 Accent 6"/>
    <w:uiPriority w:val="65"/>
    <w:semiHidden/>
    <w:unhideWhenUsed/>
    <w:rsid w:val="00B825F7"/>
    <w:rPr>
      <w:color w:val="000000"/>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MediumList2">
    <w:name w:val="Medium List 2"/>
    <w:uiPriority w:val="66"/>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6"/>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MediumList2-Accent2">
    <w:name w:val="Medium List 2 Accent 2"/>
    <w:uiPriority w:val="66"/>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MediumList2-Accent3">
    <w:name w:val="Medium List 2 Accent 3"/>
    <w:uiPriority w:val="66"/>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MediumList2-Accent4">
    <w:name w:val="Medium List 2 Accent 4"/>
    <w:uiPriority w:val="66"/>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MediumList2-Accent5">
    <w:name w:val="Medium List 2 Accent 5"/>
    <w:uiPriority w:val="66"/>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MediumList2-Accent6">
    <w:name w:val="Medium List 2 Accent 6"/>
    <w:uiPriority w:val="66"/>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Shading1">
    <w:name w:val="Medium Shading 1"/>
    <w:uiPriority w:val="63"/>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Shading1-Accent1">
    <w:name w:val="Medium Shading 1 Accent 1"/>
    <w:uiPriority w:val="63"/>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MediumShading1-Accent2">
    <w:name w:val="Medium Shading 1 Accent 2"/>
    <w:uiPriority w:val="63"/>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MediumShading1-Accent3">
    <w:name w:val="Medium Shading 1 Accent 3"/>
    <w:uiPriority w:val="63"/>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MediumShading1-Accent4">
    <w:name w:val="Medium Shading 1 Accent 4"/>
    <w:uiPriority w:val="63"/>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MediumShading1-Accent5">
    <w:name w:val="Medium Shading 1 Accent 5"/>
    <w:uiPriority w:val="63"/>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MediumShading1-Accent6">
    <w:name w:val="Medium Shading 1 Accent 6"/>
    <w:uiPriority w:val="63"/>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MediumShading2">
    <w:name w:val="Medium Shading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1">
    <w:name w:val="Medium Shading 2 Accent 1"/>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2">
    <w:name w:val="Medium Shading 2 Accent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3">
    <w:name w:val="Medium Shading 2 Accent 3"/>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4">
    <w:name w:val="Medium Shading 2 Accent 4"/>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5">
    <w:name w:val="Medium Shading 2 Accent 5"/>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6">
    <w:name w:val="Medium Shading 2 Accent 6"/>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styleId="NoSpacing">
    <w:name w:val="No Spacing"/>
    <w:uiPriority w:val="1"/>
    <w:qFormat/>
    <w:rsid w:val="00451CC4"/>
    <w:rPr>
      <w:rFonts w:cs="Arial"/>
      <w:sz w:val="22"/>
      <w:szCs w:val="22"/>
    </w:rPr>
  </w:style>
  <w:style w:type="paragraph" w:styleId="NormalWeb">
    <w:name w:val="Normal (Web)"/>
    <w:uiPriority w:val="99"/>
    <w:semiHidden/>
    <w:unhideWhenUsed/>
    <w:rsid w:val="00B825F7"/>
    <w:rPr>
      <w:rFonts w:cs="Arial"/>
      <w:sz w:val="24"/>
      <w:szCs w:val="24"/>
    </w:rPr>
  </w:style>
  <w:style w:type="paragraph" w:styleId="NormalIndent">
    <w:name w:val="Normal Indent"/>
    <w:uiPriority w:val="99"/>
    <w:semiHidden/>
    <w:unhideWhenUsed/>
    <w:rsid w:val="00B825F7"/>
    <w:pPr>
      <w:ind w:left="720"/>
    </w:pPr>
    <w:rPr>
      <w:rFonts w:cs="Arial"/>
      <w:sz w:val="22"/>
      <w:szCs w:val="22"/>
    </w:rPr>
  </w:style>
  <w:style w:type="paragraph" w:styleId="NoteHeading">
    <w:name w:val="Note Heading"/>
    <w:next w:val="Normal"/>
    <w:link w:val="NoteHeadingChar"/>
    <w:uiPriority w:val="99"/>
    <w:semiHidden/>
    <w:unhideWhenUsed/>
    <w:rsid w:val="00B825F7"/>
    <w:rPr>
      <w:rFonts w:cs="Arial"/>
      <w:sz w:val="22"/>
      <w:szCs w:val="22"/>
    </w:rPr>
  </w:style>
  <w:style w:type="character" w:customStyle="1" w:styleId="NoteHeadingChar">
    <w:name w:val="Note Heading Char"/>
    <w:basedOn w:val="DefaultParagraphFont"/>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styleId="PlaceholderText">
    <w:name w:val="Placeholder Text"/>
    <w:uiPriority w:val="99"/>
    <w:semiHidden/>
    <w:rsid w:val="00B825F7"/>
    <w:rPr>
      <w:color w:val="808080"/>
    </w:rPr>
  </w:style>
  <w:style w:type="table" w:styleId="PlainTable1">
    <w:name w:val="Plain Table 1"/>
    <w:uiPriority w:val="41"/>
    <w:rsid w:val="00B825F7"/>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PlainTable2">
    <w:name w:val="Plain Table 2"/>
    <w:uiPriority w:val="42"/>
    <w:rsid w:val="00B825F7"/>
    <w:rPr>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styleId="PlainTable3">
    <w:name w:val="Plain Table 3"/>
    <w:uiPriority w:val="43"/>
    <w:rsid w:val="00B825F7"/>
    <w:rPr>
      <w:sz w:val="22"/>
      <w:szCs w:val="22"/>
    </w:rPr>
    <w:tblPr>
      <w:tblStyleRowBandSize w:val="1"/>
      <w:tblStyleColBandSize w:val="1"/>
      <w:tblCellMar>
        <w:top w:w="0" w:type="dxa"/>
        <w:left w:w="0" w:type="dxa"/>
        <w:bottom w:w="0" w:type="dxa"/>
        <w:right w:w="0" w:type="dxa"/>
      </w:tblCellMar>
    </w:tblPr>
  </w:style>
  <w:style w:type="table" w:styleId="PlainTable4">
    <w:name w:val="Plain Table 4"/>
    <w:uiPriority w:val="44"/>
    <w:rsid w:val="00B825F7"/>
    <w:rPr>
      <w:sz w:val="22"/>
      <w:szCs w:val="22"/>
    </w:rPr>
    <w:tblPr>
      <w:tblStyleRowBandSize w:val="1"/>
      <w:tblStyleColBandSize w:val="1"/>
      <w:tblCellMar>
        <w:top w:w="0" w:type="dxa"/>
        <w:left w:w="0" w:type="dxa"/>
        <w:bottom w:w="0" w:type="dxa"/>
        <w:right w:w="0" w:type="dxa"/>
      </w:tblCellMar>
    </w:tblPr>
  </w:style>
  <w:style w:type="table" w:styleId="PlainTable5">
    <w:name w:val="Plain Table 5"/>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rFonts w:cs="Arial"/>
    </w:rPr>
  </w:style>
  <w:style w:type="character" w:customStyle="1" w:styleId="PlainTextChar">
    <w:name w:val="Plain Text Char"/>
    <w:link w:val="PlainText"/>
    <w:uiPriority w:val="99"/>
    <w:semiHidden/>
    <w:rsid w:val="00B825F7"/>
    <w:rPr>
      <w:rFonts w:ascii="Arial" w:hAnsi="Arial" w:cs="Arial"/>
      <w:sz w:val="20"/>
      <w:szCs w:val="20"/>
    </w:rPr>
  </w:style>
  <w:style w:type="paragraph" w:styleId="Quote">
    <w:name w:val="Quote"/>
    <w:next w:val="Normal"/>
    <w:link w:val="QuoteChar"/>
    <w:uiPriority w:val="29"/>
    <w:qFormat/>
    <w:rsid w:val="00B825F7"/>
    <w:pPr>
      <w:spacing w:before="200"/>
      <w:ind w:left="864" w:right="864"/>
      <w:jc w:val="center"/>
    </w:pPr>
    <w:rPr>
      <w:rFonts w:cs="Arial"/>
      <w:i/>
      <w:iCs/>
      <w:color w:val="404040"/>
      <w:sz w:val="22"/>
      <w:szCs w:val="22"/>
    </w:rPr>
  </w:style>
  <w:style w:type="character" w:customStyle="1" w:styleId="QuoteChar">
    <w:name w:val="Quote Char"/>
    <w:link w:val="Quote"/>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rPr>
  </w:style>
  <w:style w:type="character" w:customStyle="1" w:styleId="SalutationChar">
    <w:name w:val="Salutation Char"/>
    <w:basedOn w:val="DefaultParagraphFont"/>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rPr>
  </w:style>
  <w:style w:type="character" w:customStyle="1" w:styleId="SignatureChar">
    <w:name w:val="Signature Char"/>
    <w:basedOn w:val="DefaultParagraphFont"/>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styleId="SubtleEmphasis">
    <w:name w:val="Subtle Emphasis"/>
    <w:uiPriority w:val="19"/>
    <w:qFormat/>
    <w:rsid w:val="00B825F7"/>
    <w:rPr>
      <w:i/>
      <w:iCs/>
      <w:color w:val="404040"/>
    </w:rPr>
  </w:style>
  <w:style w:type="character" w:styleId="SubtleReference">
    <w:name w:val="Subtle Reference"/>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urful1">
    <w:name w:val="Table Colorful 1"/>
    <w:uiPriority w:val="99"/>
    <w:semiHidden/>
    <w:unhideWhenUsed/>
    <w:rsid w:val="00B825F7"/>
    <w:pPr>
      <w:spacing w:after="160" w:line="259" w:lineRule="auto"/>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urful2">
    <w:name w:val="Table Colorful 2"/>
    <w:uiPriority w:val="99"/>
    <w:semiHidden/>
    <w:unhideWhenUsed/>
    <w:rsid w:val="00B825F7"/>
    <w:pPr>
      <w:spacing w:after="160" w:line="259" w:lineRule="auto"/>
    </w:pPr>
    <w:rPr>
      <w:sz w:val="22"/>
      <w:szCs w:val="22"/>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urful3">
    <w:name w:val="Table Colorful 3"/>
    <w:uiPriority w:val="99"/>
    <w:semiHidden/>
    <w:unhideWhenUsed/>
    <w:rsid w:val="00B825F7"/>
    <w:pPr>
      <w:spacing w:after="160" w:line="259" w:lineRule="auto"/>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GridLight">
    <w:name w:val="Grid Table Light"/>
    <w:uiPriority w:val="40"/>
    <w:rsid w:val="00B825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rPr>
  </w:style>
  <w:style w:type="paragraph" w:styleId="TableofFigures">
    <w:name w:val="table of figures"/>
    <w:next w:val="Normal"/>
    <w:uiPriority w:val="99"/>
    <w:semiHidden/>
    <w:unhideWhenUsed/>
    <w:rsid w:val="00B825F7"/>
    <w:rPr>
      <w:rFonts w:cs="Arial"/>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rPr>
  </w:style>
  <w:style w:type="paragraph" w:styleId="TOC1">
    <w:name w:val="toc 1"/>
    <w:next w:val="Normal"/>
    <w:autoRedefine/>
    <w:uiPriority w:val="39"/>
    <w:unhideWhenUsed/>
    <w:rsid w:val="00B825F7"/>
    <w:rPr>
      <w:rFonts w:cs="Arial"/>
      <w:sz w:val="22"/>
      <w:szCs w:val="22"/>
    </w:rPr>
  </w:style>
  <w:style w:type="paragraph" w:styleId="TOC2">
    <w:name w:val="toc 2"/>
    <w:next w:val="Normal"/>
    <w:autoRedefine/>
    <w:uiPriority w:val="39"/>
    <w:unhideWhenUsed/>
    <w:rsid w:val="00B825F7"/>
    <w:pPr>
      <w:ind w:left="220"/>
    </w:pPr>
    <w:rPr>
      <w:rFonts w:cs="Arial"/>
      <w:sz w:val="22"/>
      <w:szCs w:val="22"/>
    </w:rPr>
  </w:style>
  <w:style w:type="paragraph" w:styleId="TOC3">
    <w:name w:val="toc 3"/>
    <w:next w:val="Normal"/>
    <w:autoRedefine/>
    <w:uiPriority w:val="39"/>
    <w:unhideWhenUsed/>
    <w:rsid w:val="00B825F7"/>
    <w:pPr>
      <w:ind w:left="440"/>
    </w:pPr>
    <w:rPr>
      <w:rFonts w:cs="Arial"/>
      <w:sz w:val="22"/>
      <w:szCs w:val="22"/>
    </w:rPr>
  </w:style>
  <w:style w:type="paragraph" w:styleId="TOC4">
    <w:name w:val="toc 4"/>
    <w:next w:val="Normal"/>
    <w:autoRedefine/>
    <w:uiPriority w:val="39"/>
    <w:semiHidden/>
    <w:unhideWhenUsed/>
    <w:rsid w:val="00B825F7"/>
    <w:pPr>
      <w:ind w:left="660"/>
    </w:pPr>
    <w:rPr>
      <w:rFonts w:cs="Arial"/>
      <w:sz w:val="22"/>
      <w:szCs w:val="22"/>
    </w:rPr>
  </w:style>
  <w:style w:type="paragraph" w:styleId="TOC5">
    <w:name w:val="toc 5"/>
    <w:next w:val="Normal"/>
    <w:autoRedefine/>
    <w:uiPriority w:val="39"/>
    <w:semiHidden/>
    <w:unhideWhenUsed/>
    <w:rsid w:val="00B825F7"/>
    <w:pPr>
      <w:ind w:left="880"/>
    </w:pPr>
    <w:rPr>
      <w:rFonts w:cs="Arial"/>
      <w:sz w:val="22"/>
      <w:szCs w:val="22"/>
    </w:rPr>
  </w:style>
  <w:style w:type="paragraph" w:styleId="TOC6">
    <w:name w:val="toc 6"/>
    <w:next w:val="Normal"/>
    <w:autoRedefine/>
    <w:uiPriority w:val="39"/>
    <w:semiHidden/>
    <w:unhideWhenUsed/>
    <w:rsid w:val="00B825F7"/>
    <w:pPr>
      <w:ind w:left="1100"/>
    </w:pPr>
    <w:rPr>
      <w:rFonts w:cs="Arial"/>
      <w:sz w:val="22"/>
      <w:szCs w:val="22"/>
    </w:rPr>
  </w:style>
  <w:style w:type="paragraph" w:styleId="TOC7">
    <w:name w:val="toc 7"/>
    <w:next w:val="Normal"/>
    <w:autoRedefine/>
    <w:uiPriority w:val="39"/>
    <w:semiHidden/>
    <w:unhideWhenUsed/>
    <w:rsid w:val="00B825F7"/>
    <w:pPr>
      <w:ind w:left="1320"/>
    </w:pPr>
    <w:rPr>
      <w:rFonts w:cs="Arial"/>
      <w:sz w:val="22"/>
      <w:szCs w:val="22"/>
    </w:rPr>
  </w:style>
  <w:style w:type="paragraph" w:styleId="TOC8">
    <w:name w:val="toc 8"/>
    <w:next w:val="Normal"/>
    <w:autoRedefine/>
    <w:uiPriority w:val="39"/>
    <w:semiHidden/>
    <w:unhideWhenUsed/>
    <w:rsid w:val="00B825F7"/>
    <w:pPr>
      <w:ind w:left="1540"/>
    </w:pPr>
    <w:rPr>
      <w:rFonts w:cs="Arial"/>
      <w:sz w:val="22"/>
      <w:szCs w:val="22"/>
    </w:rPr>
  </w:style>
  <w:style w:type="paragraph" w:styleId="TOC9">
    <w:name w:val="toc 9"/>
    <w:next w:val="Normal"/>
    <w:autoRedefine/>
    <w:uiPriority w:val="39"/>
    <w:semiHidden/>
    <w:unhideWhenUsed/>
    <w:rsid w:val="00B825F7"/>
    <w:pPr>
      <w:ind w:left="1760"/>
    </w:pPr>
    <w:rPr>
      <w:rFonts w:cs="Arial"/>
      <w:sz w:val="22"/>
      <w:szCs w:val="22"/>
    </w:rPr>
  </w:style>
  <w:style w:type="paragraph" w:styleId="TOCHeading">
    <w:name w:val="TOC Heading"/>
    <w:next w:val="Normal"/>
    <w:uiPriority w:val="39"/>
    <w:unhideWhenUsed/>
    <w:qFormat/>
    <w:rsid w:val="00205C99"/>
    <w:rPr>
      <w:rFonts w:eastAsia="Times New Roman" w:cs="Arial"/>
      <w:b/>
      <w:bCs/>
      <w:kern w:val="32"/>
      <w:sz w:val="32"/>
      <w:szCs w:val="32"/>
    </w:rPr>
  </w:style>
  <w:style w:type="paragraph" w:customStyle="1" w:styleId="DJCStabletext">
    <w:name w:val="DJCS table text"/>
    <w:uiPriority w:val="3"/>
    <w:qFormat/>
    <w:rsid w:val="00205C99"/>
    <w:pPr>
      <w:spacing w:before="80" w:after="60"/>
    </w:pPr>
    <w:rPr>
      <w:rFonts w:eastAsia="Times New Roman"/>
      <w:sz w:val="22"/>
      <w:lang w:eastAsia="en-US"/>
    </w:rPr>
  </w:style>
  <w:style w:type="paragraph" w:customStyle="1" w:styleId="OPAtablebullet2">
    <w:name w:val="OPA table bullet 2"/>
    <w:basedOn w:val="DJCStabletext"/>
    <w:uiPriority w:val="11"/>
    <w:rsid w:val="00205C99"/>
    <w:pPr>
      <w:numPr>
        <w:ilvl w:val="1"/>
        <w:numId w:val="15"/>
      </w:numPr>
    </w:pPr>
  </w:style>
  <w:style w:type="paragraph" w:customStyle="1" w:styleId="OPAtablebullet1">
    <w:name w:val="OPA table bullet 1"/>
    <w:basedOn w:val="DJCStabletext"/>
    <w:uiPriority w:val="3"/>
    <w:qFormat/>
    <w:rsid w:val="00205C99"/>
    <w:pPr>
      <w:numPr>
        <w:numId w:val="15"/>
      </w:numPr>
    </w:pPr>
  </w:style>
  <w:style w:type="numbering" w:customStyle="1" w:styleId="ZZTablebullets">
    <w:name w:val="ZZ Table bullets"/>
    <w:basedOn w:val="NoList"/>
    <w:rsid w:val="00205C99"/>
    <w:pPr>
      <w:numPr>
        <w:numId w:val="14"/>
      </w:numPr>
    </w:pPr>
  </w:style>
  <w:style w:type="paragraph" w:customStyle="1" w:styleId="OPAtablecolheadwhite">
    <w:name w:val="OPA table col head white"/>
    <w:basedOn w:val="Normal"/>
    <w:uiPriority w:val="11"/>
    <w:rsid w:val="00205C99"/>
    <w:pPr>
      <w:spacing w:before="160" w:after="120"/>
    </w:pPr>
    <w:rPr>
      <w:rFonts w:eastAsia="Times New Roman" w:cs="Times New Roman"/>
      <w:b/>
      <w:color w:val="FFFFFF" w:themeColor="background1"/>
      <w:sz w:val="24"/>
      <w:szCs w:val="24"/>
      <w:lang w:eastAsia="en-US"/>
    </w:rPr>
  </w:style>
  <w:style w:type="table" w:customStyle="1" w:styleId="DJRtablestyleNavy">
    <w:name w:val="DJR table style Navy"/>
    <w:basedOn w:val="TableNormal"/>
    <w:uiPriority w:val="99"/>
    <w:rsid w:val="00205C99"/>
    <w:rPr>
      <w:rFonts w:eastAsia="Times New Roman"/>
    </w:rPr>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cPr>
      <w:shd w:val="clear" w:color="auto" w:fill="auto"/>
    </w:tcPr>
    <w:tblStylePr w:type="firstRow">
      <w:tblPr/>
      <w:tcPr>
        <w:tcBorders>
          <w:insideV w:val="single" w:sz="4" w:space="0" w:color="FFFFFF" w:themeColor="background1"/>
        </w:tcBorders>
        <w:shd w:val="clear" w:color="auto" w:fill="44546A" w:themeFill="text2"/>
      </w:tcPr>
    </w:tblStylePr>
  </w:style>
  <w:style w:type="paragraph" w:customStyle="1" w:styleId="OPAreportsubtitlecover">
    <w:name w:val="OPA report subtitle cover"/>
    <w:basedOn w:val="Normal"/>
    <w:uiPriority w:val="4"/>
    <w:rsid w:val="00205C99"/>
    <w:pPr>
      <w:spacing w:before="0" w:after="120" w:line="380" w:lineRule="atLeast"/>
      <w:ind w:left="567"/>
    </w:pPr>
    <w:rPr>
      <w:rFonts w:eastAsia="Times New Roman" w:cs="Times New Roman"/>
      <w:sz w:val="32"/>
      <w:szCs w:val="30"/>
      <w:lang w:eastAsia="en-US"/>
    </w:rPr>
  </w:style>
  <w:style w:type="paragraph" w:customStyle="1" w:styleId="OPAreportmaintitlecover">
    <w:name w:val="OPA report main title cover"/>
    <w:uiPriority w:val="4"/>
    <w:rsid w:val="00205C99"/>
    <w:pPr>
      <w:keepLines/>
      <w:spacing w:after="240" w:line="580" w:lineRule="atLeast"/>
      <w:ind w:left="567"/>
    </w:pPr>
    <w:rPr>
      <w:rFonts w:eastAsia="Times New Roman"/>
      <w:b/>
      <w:bCs/>
      <w:color w:val="A5A5A5" w:themeColor="accent3"/>
      <w:sz w:val="52"/>
      <w:szCs w:val="50"/>
      <w:lang w:eastAsia="en-US"/>
    </w:rPr>
  </w:style>
  <w:style w:type="paragraph" w:customStyle="1" w:styleId="Heading1OPA">
    <w:name w:val="Heading 1 OPA"/>
    <w:basedOn w:val="Heading1"/>
    <w:next w:val="NormalOPA"/>
    <w:link w:val="Heading1OPAChar"/>
    <w:qFormat/>
    <w:rsid w:val="00041537"/>
    <w:pPr>
      <w:keepLines/>
      <w:spacing w:before="360" w:line="260" w:lineRule="atLeast"/>
      <w:ind w:left="709" w:hanging="709"/>
    </w:pPr>
    <w:rPr>
      <w:rFonts w:eastAsia="MS Gothic"/>
      <w:szCs w:val="40"/>
      <w:lang w:eastAsia="en-US"/>
    </w:rPr>
  </w:style>
  <w:style w:type="paragraph" w:customStyle="1" w:styleId="Heading2OPA">
    <w:name w:val="Heading 2 OPA"/>
    <w:basedOn w:val="Heading3"/>
    <w:next w:val="Normal"/>
    <w:link w:val="Heading2OPAChar"/>
    <w:qFormat/>
    <w:rsid w:val="00205C99"/>
    <w:pPr>
      <w:keepLines/>
      <w:spacing w:before="280" w:after="120" w:line="200" w:lineRule="atLeast"/>
      <w:ind w:left="709" w:hanging="709"/>
    </w:pPr>
    <w:rPr>
      <w:rFonts w:eastAsia="MS Gothic"/>
      <w:kern w:val="32"/>
      <w:sz w:val="28"/>
      <w:szCs w:val="28"/>
      <w:lang w:eastAsia="en-US"/>
    </w:rPr>
  </w:style>
  <w:style w:type="character" w:customStyle="1" w:styleId="Heading1OPAChar">
    <w:name w:val="Heading 1 OPA Char"/>
    <w:link w:val="Heading1OPA"/>
    <w:rsid w:val="00041537"/>
    <w:rPr>
      <w:rFonts w:eastAsia="MS Gothic" w:cs="Arial"/>
      <w:b/>
      <w:bCs/>
      <w:kern w:val="32"/>
      <w:sz w:val="32"/>
      <w:szCs w:val="40"/>
      <w:lang w:eastAsia="en-US"/>
    </w:rPr>
  </w:style>
  <w:style w:type="character" w:customStyle="1" w:styleId="Heading2OPAChar">
    <w:name w:val="Heading 2 OPA Char"/>
    <w:link w:val="Heading2OPA"/>
    <w:rsid w:val="00205C99"/>
    <w:rPr>
      <w:rFonts w:eastAsia="MS Gothic" w:cs="Arial"/>
      <w:b/>
      <w:bCs/>
      <w:kern w:val="32"/>
      <w:sz w:val="28"/>
      <w:szCs w:val="28"/>
      <w:lang w:eastAsia="en-US"/>
    </w:rPr>
  </w:style>
  <w:style w:type="paragraph" w:customStyle="1" w:styleId="NormalOPA">
    <w:name w:val="Normal OPA"/>
    <w:basedOn w:val="Normal"/>
    <w:link w:val="NormalOPAChar"/>
    <w:qFormat/>
    <w:rsid w:val="00205C99"/>
    <w:pPr>
      <w:spacing w:before="120" w:after="120" w:line="250" w:lineRule="atLeast"/>
      <w:ind w:left="680"/>
    </w:pPr>
    <w:rPr>
      <w:rFonts w:eastAsia="Times" w:cs="Times New Roman"/>
      <w:szCs w:val="20"/>
      <w:lang w:eastAsia="en-US"/>
    </w:rPr>
  </w:style>
  <w:style w:type="character" w:customStyle="1" w:styleId="NormalOPAChar">
    <w:name w:val="Normal OPA Char"/>
    <w:link w:val="NormalOPA"/>
    <w:rsid w:val="00205C99"/>
    <w:rPr>
      <w:rFonts w:eastAsia="Times"/>
      <w:sz w:val="22"/>
      <w:lang w:eastAsia="en-US"/>
    </w:rPr>
  </w:style>
  <w:style w:type="paragraph" w:customStyle="1" w:styleId="OPAtableheading">
    <w:name w:val="OPA table heading"/>
    <w:basedOn w:val="TableofFigures"/>
    <w:qFormat/>
    <w:rsid w:val="00205C99"/>
    <w:pPr>
      <w:spacing w:before="240" w:after="120"/>
    </w:pPr>
    <w:rPr>
      <w:b/>
      <w:sz w:val="28"/>
      <w:szCs w:val="28"/>
    </w:rPr>
  </w:style>
  <w:style w:type="paragraph" w:customStyle="1" w:styleId="BoldtextOPA">
    <w:name w:val="Bold text OPA"/>
    <w:basedOn w:val="NormalOPA"/>
    <w:next w:val="NormalOPA"/>
    <w:qFormat/>
    <w:rsid w:val="00205C99"/>
    <w:rPr>
      <w:b/>
    </w:rPr>
  </w:style>
  <w:style w:type="paragraph" w:customStyle="1" w:styleId="Heading3OPA">
    <w:name w:val="Heading 3 OPA"/>
    <w:basedOn w:val="Heading3"/>
    <w:next w:val="NormalOPA"/>
    <w:qFormat/>
    <w:rsid w:val="00205C99"/>
    <w:pPr>
      <w:keepLines/>
      <w:numPr>
        <w:ilvl w:val="2"/>
      </w:numPr>
      <w:spacing w:before="360" w:line="260" w:lineRule="atLeast"/>
      <w:ind w:left="709" w:hanging="709"/>
    </w:pPr>
    <w:rPr>
      <w:rFonts w:eastAsia="MS Gothic"/>
      <w:kern w:val="32"/>
      <w:sz w:val="24"/>
      <w:szCs w:val="24"/>
      <w:lang w:eastAsia="en-US"/>
    </w:rPr>
  </w:style>
  <w:style w:type="paragraph" w:customStyle="1" w:styleId="CaseStudyheading">
    <w:name w:val="Case Study heading"/>
    <w:basedOn w:val="BoldtextOPA"/>
    <w:qFormat/>
    <w:rsid w:val="00205C99"/>
    <w:rPr>
      <w:sz w:val="24"/>
    </w:rPr>
  </w:style>
  <w:style w:type="paragraph" w:customStyle="1" w:styleId="casestudybody">
    <w:name w:val="case study body"/>
    <w:basedOn w:val="CaseStudyheading"/>
    <w:qFormat/>
    <w:rsid w:val="00205C99"/>
    <w:pPr>
      <w:spacing w:line="240" w:lineRule="auto"/>
      <w:ind w:right="680"/>
    </w:pPr>
    <w:rPr>
      <w:b w:val="0"/>
    </w:rPr>
  </w:style>
  <w:style w:type="paragraph" w:customStyle="1" w:styleId="paragraph">
    <w:name w:val="paragraph"/>
    <w:basedOn w:val="Normal"/>
    <w:rsid w:val="00051BF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51BFF"/>
  </w:style>
  <w:style w:type="character" w:customStyle="1" w:styleId="scxw176047024">
    <w:name w:val="scxw176047024"/>
    <w:basedOn w:val="DefaultParagraphFont"/>
    <w:rsid w:val="00051BFF"/>
  </w:style>
  <w:style w:type="character" w:customStyle="1" w:styleId="eop">
    <w:name w:val="eop"/>
    <w:basedOn w:val="DefaultParagraphFont"/>
    <w:rsid w:val="00051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90764">
      <w:bodyDiv w:val="1"/>
      <w:marLeft w:val="0"/>
      <w:marRight w:val="0"/>
      <w:marTop w:val="0"/>
      <w:marBottom w:val="0"/>
      <w:divBdr>
        <w:top w:val="none" w:sz="0" w:space="0" w:color="auto"/>
        <w:left w:val="none" w:sz="0" w:space="0" w:color="auto"/>
        <w:bottom w:val="none" w:sz="0" w:space="0" w:color="auto"/>
        <w:right w:val="none" w:sz="0" w:space="0" w:color="auto"/>
      </w:divBdr>
    </w:div>
    <w:div w:id="1554461867">
      <w:bodyDiv w:val="1"/>
      <w:marLeft w:val="0"/>
      <w:marRight w:val="0"/>
      <w:marTop w:val="0"/>
      <w:marBottom w:val="0"/>
      <w:divBdr>
        <w:top w:val="none" w:sz="0" w:space="0" w:color="auto"/>
        <w:left w:val="none" w:sz="0" w:space="0" w:color="auto"/>
        <w:bottom w:val="none" w:sz="0" w:space="0" w:color="auto"/>
        <w:right w:val="none" w:sz="0" w:space="0" w:color="auto"/>
      </w:divBdr>
      <w:divsChild>
        <w:div w:id="1647315355">
          <w:marLeft w:val="0"/>
          <w:marRight w:val="0"/>
          <w:marTop w:val="0"/>
          <w:marBottom w:val="0"/>
          <w:divBdr>
            <w:top w:val="none" w:sz="0" w:space="0" w:color="auto"/>
            <w:left w:val="none" w:sz="0" w:space="0" w:color="auto"/>
            <w:bottom w:val="none" w:sz="0" w:space="0" w:color="auto"/>
            <w:right w:val="none" w:sz="0" w:space="0" w:color="auto"/>
          </w:divBdr>
        </w:div>
        <w:div w:id="2137284829">
          <w:marLeft w:val="0"/>
          <w:marRight w:val="0"/>
          <w:marTop w:val="0"/>
          <w:marBottom w:val="0"/>
          <w:divBdr>
            <w:top w:val="none" w:sz="0" w:space="0" w:color="auto"/>
            <w:left w:val="none" w:sz="0" w:space="0" w:color="auto"/>
            <w:bottom w:val="none" w:sz="0" w:space="0" w:color="auto"/>
            <w:right w:val="none" w:sz="0" w:space="0" w:color="auto"/>
          </w:divBdr>
        </w:div>
        <w:div w:id="523592006">
          <w:marLeft w:val="0"/>
          <w:marRight w:val="0"/>
          <w:marTop w:val="0"/>
          <w:marBottom w:val="0"/>
          <w:divBdr>
            <w:top w:val="none" w:sz="0" w:space="0" w:color="auto"/>
            <w:left w:val="none" w:sz="0" w:space="0" w:color="auto"/>
            <w:bottom w:val="none" w:sz="0" w:space="0" w:color="auto"/>
            <w:right w:val="none" w:sz="0" w:space="0" w:color="auto"/>
          </w:divBdr>
        </w:div>
        <w:div w:id="1711419697">
          <w:marLeft w:val="0"/>
          <w:marRight w:val="0"/>
          <w:marTop w:val="0"/>
          <w:marBottom w:val="0"/>
          <w:divBdr>
            <w:top w:val="none" w:sz="0" w:space="0" w:color="auto"/>
            <w:left w:val="none" w:sz="0" w:space="0" w:color="auto"/>
            <w:bottom w:val="none" w:sz="0" w:space="0" w:color="auto"/>
            <w:right w:val="none" w:sz="0" w:space="0" w:color="auto"/>
          </w:divBdr>
        </w:div>
        <w:div w:id="1239514887">
          <w:marLeft w:val="0"/>
          <w:marRight w:val="0"/>
          <w:marTop w:val="0"/>
          <w:marBottom w:val="0"/>
          <w:divBdr>
            <w:top w:val="none" w:sz="0" w:space="0" w:color="auto"/>
            <w:left w:val="none" w:sz="0" w:space="0" w:color="auto"/>
            <w:bottom w:val="none" w:sz="0" w:space="0" w:color="auto"/>
            <w:right w:val="none" w:sz="0" w:space="0" w:color="auto"/>
          </w:divBdr>
        </w:div>
        <w:div w:id="1311012346">
          <w:marLeft w:val="0"/>
          <w:marRight w:val="0"/>
          <w:marTop w:val="0"/>
          <w:marBottom w:val="0"/>
          <w:divBdr>
            <w:top w:val="none" w:sz="0" w:space="0" w:color="auto"/>
            <w:left w:val="none" w:sz="0" w:space="0" w:color="auto"/>
            <w:bottom w:val="none" w:sz="0" w:space="0" w:color="auto"/>
            <w:right w:val="none" w:sz="0" w:space="0" w:color="auto"/>
          </w:divBdr>
        </w:div>
        <w:div w:id="703871072">
          <w:marLeft w:val="0"/>
          <w:marRight w:val="0"/>
          <w:marTop w:val="0"/>
          <w:marBottom w:val="0"/>
          <w:divBdr>
            <w:top w:val="none" w:sz="0" w:space="0" w:color="auto"/>
            <w:left w:val="none" w:sz="0" w:space="0" w:color="auto"/>
            <w:bottom w:val="none" w:sz="0" w:space="0" w:color="auto"/>
            <w:right w:val="none" w:sz="0" w:space="0" w:color="auto"/>
          </w:divBdr>
        </w:div>
        <w:div w:id="1471630973">
          <w:marLeft w:val="0"/>
          <w:marRight w:val="0"/>
          <w:marTop w:val="0"/>
          <w:marBottom w:val="0"/>
          <w:divBdr>
            <w:top w:val="none" w:sz="0" w:space="0" w:color="auto"/>
            <w:left w:val="none" w:sz="0" w:space="0" w:color="auto"/>
            <w:bottom w:val="none" w:sz="0" w:space="0" w:color="auto"/>
            <w:right w:val="none" w:sz="0" w:space="0" w:color="auto"/>
          </w:divBdr>
        </w:div>
        <w:div w:id="587814881">
          <w:marLeft w:val="0"/>
          <w:marRight w:val="0"/>
          <w:marTop w:val="0"/>
          <w:marBottom w:val="0"/>
          <w:divBdr>
            <w:top w:val="none" w:sz="0" w:space="0" w:color="auto"/>
            <w:left w:val="none" w:sz="0" w:space="0" w:color="auto"/>
            <w:bottom w:val="none" w:sz="0" w:space="0" w:color="auto"/>
            <w:right w:val="none" w:sz="0" w:space="0" w:color="auto"/>
          </w:divBdr>
        </w:div>
        <w:div w:id="1719546282">
          <w:marLeft w:val="0"/>
          <w:marRight w:val="0"/>
          <w:marTop w:val="0"/>
          <w:marBottom w:val="0"/>
          <w:divBdr>
            <w:top w:val="none" w:sz="0" w:space="0" w:color="auto"/>
            <w:left w:val="none" w:sz="0" w:space="0" w:color="auto"/>
            <w:bottom w:val="none" w:sz="0" w:space="0" w:color="auto"/>
            <w:right w:val="none" w:sz="0" w:space="0" w:color="auto"/>
          </w:divBdr>
        </w:div>
        <w:div w:id="1737238667">
          <w:marLeft w:val="0"/>
          <w:marRight w:val="0"/>
          <w:marTop w:val="0"/>
          <w:marBottom w:val="0"/>
          <w:divBdr>
            <w:top w:val="none" w:sz="0" w:space="0" w:color="auto"/>
            <w:left w:val="none" w:sz="0" w:space="0" w:color="auto"/>
            <w:bottom w:val="none" w:sz="0" w:space="0" w:color="auto"/>
            <w:right w:val="none" w:sz="0" w:space="0" w:color="auto"/>
          </w:divBdr>
        </w:div>
        <w:div w:id="2145655379">
          <w:marLeft w:val="0"/>
          <w:marRight w:val="0"/>
          <w:marTop w:val="0"/>
          <w:marBottom w:val="0"/>
          <w:divBdr>
            <w:top w:val="none" w:sz="0" w:space="0" w:color="auto"/>
            <w:left w:val="none" w:sz="0" w:space="0" w:color="auto"/>
            <w:bottom w:val="none" w:sz="0" w:space="0" w:color="auto"/>
            <w:right w:val="none" w:sz="0" w:space="0" w:color="auto"/>
          </w:divBdr>
        </w:div>
        <w:div w:id="1641880209">
          <w:marLeft w:val="0"/>
          <w:marRight w:val="0"/>
          <w:marTop w:val="0"/>
          <w:marBottom w:val="0"/>
          <w:divBdr>
            <w:top w:val="none" w:sz="0" w:space="0" w:color="auto"/>
            <w:left w:val="none" w:sz="0" w:space="0" w:color="auto"/>
            <w:bottom w:val="none" w:sz="0" w:space="0" w:color="auto"/>
            <w:right w:val="none" w:sz="0" w:space="0" w:color="auto"/>
          </w:divBdr>
        </w:div>
        <w:div w:id="864903562">
          <w:marLeft w:val="0"/>
          <w:marRight w:val="0"/>
          <w:marTop w:val="0"/>
          <w:marBottom w:val="0"/>
          <w:divBdr>
            <w:top w:val="none" w:sz="0" w:space="0" w:color="auto"/>
            <w:left w:val="none" w:sz="0" w:space="0" w:color="auto"/>
            <w:bottom w:val="none" w:sz="0" w:space="0" w:color="auto"/>
            <w:right w:val="none" w:sz="0" w:space="0" w:color="auto"/>
          </w:divBdr>
        </w:div>
        <w:div w:id="114713176">
          <w:marLeft w:val="0"/>
          <w:marRight w:val="0"/>
          <w:marTop w:val="0"/>
          <w:marBottom w:val="0"/>
          <w:divBdr>
            <w:top w:val="none" w:sz="0" w:space="0" w:color="auto"/>
            <w:left w:val="none" w:sz="0" w:space="0" w:color="auto"/>
            <w:bottom w:val="none" w:sz="0" w:space="0" w:color="auto"/>
            <w:right w:val="none" w:sz="0" w:space="0" w:color="auto"/>
          </w:divBdr>
        </w:div>
      </w:divsChild>
    </w:div>
    <w:div w:id="1796755377">
      <w:bodyDiv w:val="1"/>
      <w:marLeft w:val="0"/>
      <w:marRight w:val="0"/>
      <w:marTop w:val="0"/>
      <w:marBottom w:val="0"/>
      <w:divBdr>
        <w:top w:val="none" w:sz="0" w:space="0" w:color="auto"/>
        <w:left w:val="none" w:sz="0" w:space="0" w:color="auto"/>
        <w:bottom w:val="none" w:sz="0" w:space="0" w:color="auto"/>
        <w:right w:val="none" w:sz="0" w:space="0" w:color="auto"/>
      </w:divBdr>
      <w:divsChild>
        <w:div w:id="1152216330">
          <w:marLeft w:val="0"/>
          <w:marRight w:val="0"/>
          <w:marTop w:val="0"/>
          <w:marBottom w:val="0"/>
          <w:divBdr>
            <w:top w:val="none" w:sz="0" w:space="0" w:color="auto"/>
            <w:left w:val="none" w:sz="0" w:space="0" w:color="auto"/>
            <w:bottom w:val="none" w:sz="0" w:space="0" w:color="auto"/>
            <w:right w:val="none" w:sz="0" w:space="0" w:color="auto"/>
          </w:divBdr>
        </w:div>
        <w:div w:id="949434909">
          <w:marLeft w:val="0"/>
          <w:marRight w:val="0"/>
          <w:marTop w:val="0"/>
          <w:marBottom w:val="0"/>
          <w:divBdr>
            <w:top w:val="none" w:sz="0" w:space="0" w:color="auto"/>
            <w:left w:val="none" w:sz="0" w:space="0" w:color="auto"/>
            <w:bottom w:val="none" w:sz="0" w:space="0" w:color="auto"/>
            <w:right w:val="none" w:sz="0" w:space="0" w:color="auto"/>
          </w:divBdr>
        </w:div>
        <w:div w:id="2108648931">
          <w:marLeft w:val="0"/>
          <w:marRight w:val="0"/>
          <w:marTop w:val="0"/>
          <w:marBottom w:val="0"/>
          <w:divBdr>
            <w:top w:val="none" w:sz="0" w:space="0" w:color="auto"/>
            <w:left w:val="none" w:sz="0" w:space="0" w:color="auto"/>
            <w:bottom w:val="none" w:sz="0" w:space="0" w:color="auto"/>
            <w:right w:val="none" w:sz="0" w:space="0" w:color="auto"/>
          </w:divBdr>
        </w:div>
        <w:div w:id="951400082">
          <w:marLeft w:val="0"/>
          <w:marRight w:val="0"/>
          <w:marTop w:val="0"/>
          <w:marBottom w:val="0"/>
          <w:divBdr>
            <w:top w:val="none" w:sz="0" w:space="0" w:color="auto"/>
            <w:left w:val="none" w:sz="0" w:space="0" w:color="auto"/>
            <w:bottom w:val="none" w:sz="0" w:space="0" w:color="auto"/>
            <w:right w:val="none" w:sz="0" w:space="0" w:color="auto"/>
          </w:divBdr>
        </w:div>
        <w:div w:id="392850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ublicadvocate.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oke\Downloads\OPA%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0b916b1-c45b-4558-9934-c2f920e19c5f">
      <UserInfo>
        <DisplayName>Aoife E Cooke (DJCS)</DisplayName>
        <AccountId>44</AccountId>
        <AccountType/>
      </UserInfo>
    </SharedWithUsers>
    <Topic xmlns="e3f14bdf-cb12-4ada-b9ea-12209270a436" xsi:nil="true"/>
    <Comments xmlns="e3f14bdf-cb12-4ada-b9ea-12209270a43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87720-1C74-4AB7-813C-60058C9FFAF1}">
  <ds:schemaRefs>
    <ds:schemaRef ds:uri="http://schemas.openxmlformats.org/officeDocument/2006/bibliography"/>
  </ds:schemaRefs>
</ds:datastoreItem>
</file>

<file path=customXml/itemProps2.xml><?xml version="1.0" encoding="utf-8"?>
<ds:datastoreItem xmlns:ds="http://schemas.openxmlformats.org/officeDocument/2006/customXml" ds:itemID="{1D4FB851-B358-4B7D-9396-1A1ACB384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377CB-D2E7-4DDC-9BED-D2BF68C5DEE5}">
  <ds:schemaRefs>
    <ds:schemaRef ds:uri="http://purl.org/dc/terms/"/>
    <ds:schemaRef ds:uri="http://schemas.openxmlformats.org/package/2006/metadata/core-properties"/>
    <ds:schemaRef ds:uri="a288ba13-0020-4551-8e04-85673c50f226"/>
    <ds:schemaRef ds:uri="http://schemas.microsoft.com/office/2006/documentManagement/types"/>
    <ds:schemaRef ds:uri="bbf684ba-f8f5-4c86-9f01-c030c0f000e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80b916b1-c45b-4558-9934-c2f920e19c5f"/>
    <ds:schemaRef ds:uri="e3f14bdf-cb12-4ada-b9ea-12209270a436"/>
  </ds:schemaRefs>
</ds:datastoreItem>
</file>

<file path=customXml/itemProps4.xml><?xml version="1.0" encoding="utf-8"?>
<ds:datastoreItem xmlns:ds="http://schemas.openxmlformats.org/officeDocument/2006/customXml" ds:itemID="{FF2280F6-FB84-4914-838E-D0FFF194F4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OPA%20submission%20template.dotx</Template>
  <TotalTime>0</TotalTime>
  <Pages>1</Pages>
  <Words>3433</Words>
  <Characters>19574</Characters>
  <Application>Microsoft Office Word</Application>
  <DocSecurity>0</DocSecurity>
  <Lines>163</Lines>
  <Paragraphs>45</Paragraphs>
  <ScaleCrop>false</ScaleCrop>
  <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E Cooke (DJCS)</dc:creator>
  <cp:keywords/>
  <dc:description/>
  <cp:lastModifiedBy>Doolan, Brianna</cp:lastModifiedBy>
  <cp:revision>15</cp:revision>
  <cp:lastPrinted>2021-09-10T04:56:00Z</cp:lastPrinted>
  <dcterms:created xsi:type="dcterms:W3CDTF">2022-03-28T07:06:00Z</dcterms:created>
  <dcterms:modified xsi:type="dcterms:W3CDTF">2022-03-28T07:06:00Z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2022-03-28T07:06:08Z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f6e9300a-b495-4426-937e-c91683c0fa8f</vt:lpwstr>
  </property>
  <property fmtid="{D5CDD505-2E9C-101B-9397-08002B2CF9AE}" pid="9" name="MSIP_Label_2b83f8d7-e91f-4eee-a336-52a8061c0503_ContentBits">
    <vt:lpwstr>0</vt:lpwstr>
  </property>
</Properties>
</file>