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B894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  <w:bookmarkStart w:id="0" w:name="_GoBack"/>
      <w:bookmarkEnd w:id="0"/>
    </w:p>
    <w:p w14:paraId="00D8DC9D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</w:p>
    <w:p w14:paraId="1A941428" w14:textId="77777777" w:rsidR="00950004" w:rsidRPr="000A0168" w:rsidRDefault="00950004" w:rsidP="006764B8">
      <w:pPr>
        <w:widowControl w:val="0"/>
        <w:tabs>
          <w:tab w:val="left" w:pos="2506"/>
        </w:tabs>
        <w:spacing w:after="0" w:line="240" w:lineRule="auto"/>
        <w:rPr>
          <w:rFonts w:cs="Arial"/>
        </w:rPr>
      </w:pPr>
      <w:r w:rsidRPr="000A0168">
        <w:rPr>
          <w:rFonts w:cs="Arial"/>
        </w:rPr>
        <w:tab/>
      </w:r>
    </w:p>
    <w:p w14:paraId="3DD600F3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</w:p>
    <w:p w14:paraId="55EF3504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</w:p>
    <w:p w14:paraId="54D1CE97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</w:p>
    <w:p w14:paraId="0FEF6587" w14:textId="77777777" w:rsidR="00950004" w:rsidRPr="000A0168" w:rsidRDefault="00950004" w:rsidP="006764B8">
      <w:pPr>
        <w:widowControl w:val="0"/>
        <w:spacing w:after="0" w:line="240" w:lineRule="auto"/>
        <w:rPr>
          <w:rFonts w:cs="Arial"/>
        </w:rPr>
      </w:pPr>
    </w:p>
    <w:p w14:paraId="6E16AA61" w14:textId="77777777" w:rsidR="00950004" w:rsidRPr="000A0168" w:rsidRDefault="00950004" w:rsidP="006764B8">
      <w:pPr>
        <w:widowControl w:val="0"/>
        <w:spacing w:after="0" w:line="240" w:lineRule="auto"/>
        <w:rPr>
          <w:rFonts w:eastAsia="Times New Roman" w:cs="Arial"/>
          <w:b/>
        </w:rPr>
      </w:pPr>
    </w:p>
    <w:p w14:paraId="1FB49EC1" w14:textId="77777777" w:rsidR="00C52C90" w:rsidRPr="000A0168" w:rsidRDefault="00C52C90" w:rsidP="006764B8">
      <w:pPr>
        <w:pStyle w:val="Title"/>
        <w:widowControl w:val="0"/>
        <w:contextualSpacing w:val="0"/>
        <w:rPr>
          <w:rFonts w:asciiTheme="minorHAnsi" w:hAnsiTheme="minorHAnsi" w:cs="Arial"/>
          <w:sz w:val="22"/>
          <w:szCs w:val="22"/>
        </w:rPr>
      </w:pPr>
    </w:p>
    <w:p w14:paraId="4763573E" w14:textId="46044EA2" w:rsidR="00C52C90" w:rsidRPr="000A0168" w:rsidRDefault="00C52C90" w:rsidP="006764B8">
      <w:pPr>
        <w:pStyle w:val="Title"/>
        <w:widowControl w:val="0"/>
        <w:contextualSpacing w:val="0"/>
        <w:rPr>
          <w:rFonts w:asciiTheme="minorHAnsi" w:hAnsiTheme="minorHAnsi" w:cs="Arial"/>
          <w:sz w:val="22"/>
          <w:szCs w:val="22"/>
        </w:rPr>
      </w:pPr>
    </w:p>
    <w:p w14:paraId="2E4976B1" w14:textId="535B35F9" w:rsidR="00890C1F" w:rsidRPr="000A0168" w:rsidRDefault="00890C1F" w:rsidP="006764B8">
      <w:pPr>
        <w:widowControl w:val="0"/>
        <w:spacing w:after="0" w:line="240" w:lineRule="auto"/>
      </w:pPr>
    </w:p>
    <w:p w14:paraId="6D326AD8" w14:textId="77777777" w:rsidR="00890C1F" w:rsidRPr="000A0168" w:rsidRDefault="00890C1F" w:rsidP="006764B8">
      <w:pPr>
        <w:widowControl w:val="0"/>
        <w:spacing w:after="0" w:line="240" w:lineRule="auto"/>
      </w:pPr>
    </w:p>
    <w:p w14:paraId="077BF2B0" w14:textId="77777777" w:rsidR="00C52C90" w:rsidRPr="000A0168" w:rsidRDefault="00C52C90" w:rsidP="006764B8">
      <w:pPr>
        <w:pStyle w:val="Title"/>
        <w:widowControl w:val="0"/>
        <w:contextualSpacing w:val="0"/>
        <w:rPr>
          <w:rFonts w:asciiTheme="minorHAnsi" w:hAnsiTheme="minorHAnsi" w:cs="Arial"/>
          <w:sz w:val="22"/>
          <w:szCs w:val="22"/>
        </w:rPr>
      </w:pPr>
    </w:p>
    <w:p w14:paraId="4E5E80F9" w14:textId="77777777" w:rsidR="00B8616E" w:rsidRDefault="00B8616E" w:rsidP="006764B8">
      <w:pPr>
        <w:pStyle w:val="Title"/>
        <w:widowControl w:val="0"/>
        <w:contextualSpacing w:val="0"/>
        <w:rPr>
          <w:rFonts w:asciiTheme="minorHAnsi" w:hAnsiTheme="minorHAnsi" w:cs="Arial"/>
          <w:szCs w:val="22"/>
        </w:rPr>
      </w:pPr>
    </w:p>
    <w:p w14:paraId="47E37DBA" w14:textId="0C2DA6A3" w:rsidR="00AA3ED1" w:rsidRDefault="00C52C90" w:rsidP="006764B8">
      <w:pPr>
        <w:pStyle w:val="Title"/>
        <w:widowControl w:val="0"/>
        <w:contextualSpacing w:val="0"/>
        <w:rPr>
          <w:rFonts w:asciiTheme="minorHAnsi" w:hAnsiTheme="minorHAnsi" w:cs="Arial"/>
          <w:szCs w:val="22"/>
        </w:rPr>
      </w:pPr>
      <w:r w:rsidRPr="00AA3ED1">
        <w:rPr>
          <w:rFonts w:asciiTheme="minorHAnsi" w:hAnsiTheme="minorHAnsi" w:cs="Arial"/>
          <w:szCs w:val="22"/>
        </w:rPr>
        <w:t xml:space="preserve">Submission to the </w:t>
      </w:r>
      <w:r w:rsidR="00D568FA">
        <w:rPr>
          <w:rFonts w:asciiTheme="minorHAnsi" w:hAnsiTheme="minorHAnsi" w:cs="Arial"/>
          <w:szCs w:val="22"/>
        </w:rPr>
        <w:t xml:space="preserve">NDIS Support for Decision Making consultation </w:t>
      </w:r>
    </w:p>
    <w:p w14:paraId="610EB701" w14:textId="59E19D4D" w:rsidR="00D568FA" w:rsidRDefault="00D568FA" w:rsidP="006764B8">
      <w:pPr>
        <w:widowControl w:val="0"/>
      </w:pPr>
    </w:p>
    <w:p w14:paraId="3F5C83E4" w14:textId="77777777" w:rsidR="00D568FA" w:rsidRPr="00D568FA" w:rsidRDefault="00D568FA" w:rsidP="006764B8">
      <w:pPr>
        <w:widowControl w:val="0"/>
      </w:pPr>
    </w:p>
    <w:p w14:paraId="2B1BD523" w14:textId="65CC7BA6" w:rsidR="00AA3ED1" w:rsidRDefault="00AA3ED1" w:rsidP="006764B8">
      <w:pPr>
        <w:widowControl w:val="0"/>
      </w:pPr>
    </w:p>
    <w:p w14:paraId="70B08AA2" w14:textId="7F397244" w:rsidR="00AA3ED1" w:rsidRPr="00AA3ED1" w:rsidRDefault="00281D08" w:rsidP="006764B8">
      <w:pPr>
        <w:widowControl w:val="0"/>
        <w:jc w:val="right"/>
        <w:rPr>
          <w:b/>
          <w:sz w:val="36"/>
        </w:rPr>
      </w:pPr>
      <w:r>
        <w:rPr>
          <w:b/>
          <w:sz w:val="36"/>
        </w:rPr>
        <w:t>A</w:t>
      </w:r>
      <w:r w:rsidR="00D568FA">
        <w:rPr>
          <w:b/>
          <w:sz w:val="36"/>
        </w:rPr>
        <w:t>ugust</w:t>
      </w:r>
      <w:r w:rsidR="00AA3ED1" w:rsidRPr="00AA3ED1">
        <w:rPr>
          <w:b/>
          <w:sz w:val="36"/>
        </w:rPr>
        <w:t xml:space="preserve"> 2021</w:t>
      </w:r>
    </w:p>
    <w:p w14:paraId="41B937EA" w14:textId="77777777" w:rsidR="00ED7641" w:rsidRPr="000A0168" w:rsidRDefault="00ED7641" w:rsidP="006764B8">
      <w:pPr>
        <w:widowControl w:val="0"/>
        <w:spacing w:after="0" w:line="240" w:lineRule="auto"/>
      </w:pPr>
    </w:p>
    <w:p w14:paraId="0B4B4775" w14:textId="62010EB2" w:rsidR="00C52C90" w:rsidRPr="000A0168" w:rsidRDefault="00C52C90" w:rsidP="006764B8">
      <w:pPr>
        <w:widowControl w:val="0"/>
        <w:spacing w:after="0" w:line="240" w:lineRule="auto"/>
        <w:rPr>
          <w:rFonts w:cs="Arial"/>
        </w:rPr>
      </w:pPr>
    </w:p>
    <w:p w14:paraId="662D7A80" w14:textId="79C15D09" w:rsidR="00C52C90" w:rsidRPr="000A0168" w:rsidRDefault="00C52C90" w:rsidP="006764B8">
      <w:pPr>
        <w:widowControl w:val="0"/>
        <w:spacing w:after="0" w:line="240" w:lineRule="auto"/>
        <w:rPr>
          <w:rFonts w:cs="Arial"/>
        </w:rPr>
      </w:pPr>
    </w:p>
    <w:p w14:paraId="0A1B08A0" w14:textId="3E554E95" w:rsidR="00C52C90" w:rsidRPr="000A0168" w:rsidRDefault="00C52C90" w:rsidP="006764B8">
      <w:pPr>
        <w:widowControl w:val="0"/>
        <w:spacing w:after="0" w:line="240" w:lineRule="auto"/>
        <w:rPr>
          <w:rFonts w:cs="Arial"/>
        </w:rPr>
      </w:pPr>
    </w:p>
    <w:p w14:paraId="69B483AA" w14:textId="4D2C1348" w:rsidR="00890C1F" w:rsidRPr="000A0168" w:rsidRDefault="00890C1F" w:rsidP="006764B8">
      <w:pPr>
        <w:widowControl w:val="0"/>
        <w:spacing w:after="0" w:line="240" w:lineRule="auto"/>
        <w:rPr>
          <w:rFonts w:cs="Arial"/>
        </w:rPr>
      </w:pPr>
    </w:p>
    <w:p w14:paraId="45FDFE57" w14:textId="69F89605" w:rsidR="00C52C90" w:rsidRPr="000A0168" w:rsidRDefault="00C52C90" w:rsidP="006764B8">
      <w:pPr>
        <w:widowControl w:val="0"/>
        <w:spacing w:after="0" w:line="240" w:lineRule="auto"/>
        <w:jc w:val="right"/>
        <w:rPr>
          <w:rFonts w:cs="Arial"/>
          <w:b/>
        </w:rPr>
      </w:pPr>
      <w:r w:rsidRPr="000A0168">
        <w:rPr>
          <w:rFonts w:cs="Arial"/>
        </w:rPr>
        <w:tab/>
      </w:r>
      <w:r w:rsidRPr="000A0168">
        <w:rPr>
          <w:rFonts w:cs="Arial"/>
        </w:rPr>
        <w:tab/>
      </w:r>
      <w:r w:rsidRPr="000A0168">
        <w:rPr>
          <w:rFonts w:cs="Arial"/>
        </w:rPr>
        <w:tab/>
      </w:r>
      <w:r w:rsidRPr="000A0168">
        <w:rPr>
          <w:rFonts w:cs="Arial"/>
        </w:rPr>
        <w:tab/>
      </w:r>
      <w:r w:rsidRPr="000A0168">
        <w:rPr>
          <w:rFonts w:cs="Arial"/>
        </w:rPr>
        <w:tab/>
      </w:r>
      <w:r w:rsidRPr="000A0168">
        <w:rPr>
          <w:rFonts w:cs="Arial"/>
        </w:rPr>
        <w:tab/>
      </w:r>
      <w:r w:rsidRPr="000A0168">
        <w:rPr>
          <w:rFonts w:cs="Arial"/>
        </w:rPr>
        <w:tab/>
      </w:r>
    </w:p>
    <w:p w14:paraId="70E1BFAB" w14:textId="1F83080C" w:rsidR="00C52C90" w:rsidRPr="000A0168" w:rsidRDefault="00C52C90" w:rsidP="006764B8">
      <w:pPr>
        <w:widowControl w:val="0"/>
        <w:spacing w:after="0" w:line="240" w:lineRule="auto"/>
        <w:rPr>
          <w:rFonts w:cs="Arial"/>
          <w:b/>
        </w:rPr>
      </w:pPr>
    </w:p>
    <w:p w14:paraId="00D870D5" w14:textId="0A6D3EE6" w:rsidR="00C52C90" w:rsidRPr="000A0168" w:rsidRDefault="00C52C90" w:rsidP="006764B8">
      <w:pPr>
        <w:widowControl w:val="0"/>
        <w:spacing w:after="0" w:line="240" w:lineRule="auto"/>
        <w:rPr>
          <w:rFonts w:cs="Arial"/>
          <w:b/>
        </w:rPr>
      </w:pPr>
    </w:p>
    <w:p w14:paraId="1C12B4C8" w14:textId="14AE169E" w:rsidR="00C52C90" w:rsidRPr="000A0168" w:rsidRDefault="00C52C90" w:rsidP="006764B8">
      <w:pPr>
        <w:widowControl w:val="0"/>
        <w:spacing w:after="0" w:line="240" w:lineRule="auto"/>
        <w:rPr>
          <w:rFonts w:cs="Arial"/>
          <w:b/>
        </w:rPr>
      </w:pPr>
    </w:p>
    <w:p w14:paraId="75A65ED5" w14:textId="0A91191D" w:rsidR="00C52C90" w:rsidRPr="000A0168" w:rsidRDefault="00C52C90" w:rsidP="006764B8">
      <w:pPr>
        <w:widowControl w:val="0"/>
        <w:spacing w:after="0" w:line="240" w:lineRule="auto"/>
        <w:rPr>
          <w:rFonts w:cs="Arial"/>
          <w:b/>
        </w:rPr>
      </w:pPr>
    </w:p>
    <w:p w14:paraId="7B7D35D6" w14:textId="0D875DD0" w:rsidR="00C52C90" w:rsidRPr="000A0168" w:rsidRDefault="00C52C90" w:rsidP="006764B8">
      <w:pPr>
        <w:widowControl w:val="0"/>
        <w:spacing w:after="0" w:line="240" w:lineRule="auto"/>
        <w:rPr>
          <w:rFonts w:cs="Arial"/>
          <w:b/>
        </w:rPr>
      </w:pPr>
      <w:r w:rsidRPr="000A0168">
        <w:rPr>
          <w:rFonts w:cs="Arial"/>
          <w:b/>
        </w:rPr>
        <w:br w:type="page"/>
      </w:r>
    </w:p>
    <w:p w14:paraId="1D26ACD6" w14:textId="552ACFCB" w:rsidR="00C52C90" w:rsidRPr="00355AC9" w:rsidRDefault="00C52C90" w:rsidP="006764B8">
      <w:pPr>
        <w:pStyle w:val="Heading1"/>
        <w:keepNext w:val="0"/>
        <w:keepLines w:val="0"/>
        <w:widowControl w:val="0"/>
        <w:spacing w:before="0"/>
        <w:rPr>
          <w:rFonts w:asciiTheme="minorHAnsi" w:hAnsiTheme="minorHAnsi"/>
          <w:b/>
          <w:color w:val="auto"/>
        </w:rPr>
      </w:pPr>
      <w:r w:rsidRPr="00355AC9">
        <w:rPr>
          <w:rFonts w:asciiTheme="minorHAnsi" w:hAnsiTheme="minorHAnsi"/>
          <w:b/>
          <w:color w:val="auto"/>
        </w:rPr>
        <w:lastRenderedPageBreak/>
        <w:t>Background</w:t>
      </w:r>
      <w:r w:rsidR="00C330E2">
        <w:rPr>
          <w:rFonts w:asciiTheme="minorHAnsi" w:hAnsiTheme="minorHAnsi"/>
          <w:b/>
          <w:color w:val="auto"/>
        </w:rPr>
        <w:t xml:space="preserve"> </w:t>
      </w:r>
    </w:p>
    <w:p w14:paraId="67786881" w14:textId="62788173" w:rsidR="00144B45" w:rsidRPr="000A0168" w:rsidRDefault="00144B45" w:rsidP="006764B8">
      <w:pPr>
        <w:pStyle w:val="Body"/>
        <w:widowControl w:val="0"/>
        <w:spacing w:before="120"/>
        <w:rPr>
          <w:rFonts w:asciiTheme="minorHAnsi" w:eastAsia="Helvetica" w:hAnsiTheme="minorHAnsi" w:cs="Arial"/>
        </w:rPr>
      </w:pPr>
      <w:r w:rsidRPr="000A0168">
        <w:rPr>
          <w:rFonts w:asciiTheme="minorHAnsi" w:hAnsiTheme="minorHAnsi" w:cs="Arial"/>
        </w:rPr>
        <w:t>The NSW Ageing and Disability Commission (ADC) commenced on 1 July 2019. The ADC is an independent statutory body</w:t>
      </w:r>
      <w:r w:rsidR="00500A2C">
        <w:rPr>
          <w:rFonts w:asciiTheme="minorHAnsi" w:hAnsiTheme="minorHAnsi" w:cs="Arial"/>
        </w:rPr>
        <w:t xml:space="preserve"> that</w:t>
      </w:r>
      <w:r w:rsidRPr="000A0168">
        <w:rPr>
          <w:rFonts w:asciiTheme="minorHAnsi" w:hAnsiTheme="minorHAnsi" w:cs="Arial"/>
        </w:rPr>
        <w:t xml:space="preserve"> is focused on protecting adults with disability and older </w:t>
      </w:r>
      <w:r w:rsidR="00E4103E">
        <w:rPr>
          <w:rFonts w:asciiTheme="minorHAnsi" w:hAnsiTheme="minorHAnsi" w:cs="Arial"/>
        </w:rPr>
        <w:t>people</w:t>
      </w:r>
      <w:r w:rsidRPr="000A0168">
        <w:rPr>
          <w:rFonts w:asciiTheme="minorHAnsi" w:hAnsiTheme="minorHAnsi" w:cs="Arial"/>
        </w:rPr>
        <w:t xml:space="preserve"> from abuse, neglect and exploitation, and protecting and promoting their rights. Our roles include:</w:t>
      </w:r>
    </w:p>
    <w:p w14:paraId="114DFB20" w14:textId="2147B719" w:rsidR="00144B45" w:rsidRPr="000A0168" w:rsidRDefault="00144B45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 w:val="0"/>
        <w:rPr>
          <w:rFonts w:eastAsia="Helvetica" w:cs="Arial"/>
        </w:rPr>
      </w:pPr>
      <w:r w:rsidRPr="000A0168">
        <w:rPr>
          <w:rFonts w:cs="Arial"/>
        </w:rPr>
        <w:t xml:space="preserve">responding to allegations of abuse, neglect and exploitation of adults with disability (18 years and over) and older </w:t>
      </w:r>
      <w:r w:rsidR="00E4103E">
        <w:rPr>
          <w:rFonts w:cs="Arial"/>
        </w:rPr>
        <w:t>people</w:t>
      </w:r>
      <w:r w:rsidRPr="000A0168">
        <w:rPr>
          <w:rFonts w:cs="Arial"/>
        </w:rPr>
        <w:t xml:space="preserve"> (65 years and over or, if Aboriginal and/or Torres Strait Islander, 50 years and over)</w:t>
      </w:r>
      <w:r w:rsidR="003D0613">
        <w:rPr>
          <w:rFonts w:cs="Arial"/>
        </w:rPr>
        <w:t xml:space="preserve"> –</w:t>
      </w:r>
      <w:r w:rsidRPr="000A0168">
        <w:rPr>
          <w:rFonts w:cs="Arial"/>
        </w:rPr>
        <w:t xml:space="preserve"> including by providing advice, making referrals and conducting investigations</w:t>
      </w:r>
    </w:p>
    <w:p w14:paraId="77A7C16E" w14:textId="65AF0916" w:rsidR="00144B45" w:rsidRPr="000A0168" w:rsidRDefault="00144B45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before="120" w:after="0" w:line="240" w:lineRule="auto"/>
        <w:contextualSpacing w:val="0"/>
        <w:rPr>
          <w:rFonts w:eastAsia="Helvetica" w:cs="Arial"/>
        </w:rPr>
      </w:pPr>
      <w:r w:rsidRPr="000A0168">
        <w:rPr>
          <w:rFonts w:cs="Arial"/>
        </w:rPr>
        <w:t>taking further action that is necessary to protect the adult from abuse, neglect and exploitation</w:t>
      </w:r>
    </w:p>
    <w:p w14:paraId="79B48BBF" w14:textId="5E9163AD" w:rsidR="00144B45" w:rsidRPr="000A0168" w:rsidRDefault="00144B45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before="120" w:after="0" w:line="240" w:lineRule="auto"/>
        <w:contextualSpacing w:val="0"/>
        <w:rPr>
          <w:rFonts w:eastAsia="Helvetica" w:cs="Arial"/>
        </w:rPr>
      </w:pPr>
      <w:r w:rsidRPr="000A0168">
        <w:rPr>
          <w:rFonts w:cs="Arial"/>
        </w:rPr>
        <w:t xml:space="preserve">raising awareness and educating the public about matters relating to the abuse, neglect and exploitation of adults with disability and older </w:t>
      </w:r>
      <w:r w:rsidR="00E4103E">
        <w:rPr>
          <w:rFonts w:cs="Arial"/>
        </w:rPr>
        <w:t>people</w:t>
      </w:r>
    </w:p>
    <w:p w14:paraId="1E622915" w14:textId="6261EF48" w:rsidR="00144B45" w:rsidRPr="00E4103E" w:rsidRDefault="00144B45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before="120" w:after="0" w:line="240" w:lineRule="auto"/>
        <w:contextualSpacing w:val="0"/>
        <w:rPr>
          <w:rFonts w:eastAsia="Helvetica" w:cs="Arial"/>
        </w:rPr>
      </w:pPr>
      <w:r w:rsidRPr="000A0168">
        <w:rPr>
          <w:rFonts w:cs="Arial"/>
        </w:rPr>
        <w:t xml:space="preserve">inquiring into and reporting on systemic issues relating to the protection and promotion of the rights, or the abuse, neglect and exploitation, of adults with disability and older </w:t>
      </w:r>
      <w:r w:rsidR="00CA3763">
        <w:rPr>
          <w:rFonts w:cs="Arial"/>
        </w:rPr>
        <w:t>people</w:t>
      </w:r>
    </w:p>
    <w:p w14:paraId="6E41C88C" w14:textId="1580BE77" w:rsidR="00E4103E" w:rsidRPr="00753B56" w:rsidRDefault="00E4103E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before="120" w:after="0" w:line="240" w:lineRule="auto"/>
        <w:contextualSpacing w:val="0"/>
        <w:rPr>
          <w:rFonts w:eastAsia="Helvetica" w:cs="Arial"/>
        </w:rPr>
      </w:pPr>
      <w:r>
        <w:rPr>
          <w:rFonts w:cs="Arial"/>
        </w:rPr>
        <w:t>providing oversight and coordination of the NSW Official Community Visitor (OCV) scheme</w:t>
      </w:r>
      <w:r w:rsidR="00CA3763">
        <w:rPr>
          <w:rFonts w:cs="Arial"/>
        </w:rPr>
        <w:t xml:space="preserve"> – involving adults living in the care of disability supported accommodation and assisted boarding houses, and children living in residential out-of-home care</w:t>
      </w:r>
    </w:p>
    <w:p w14:paraId="36CEC67F" w14:textId="5880621B" w:rsidR="00144B45" w:rsidRPr="000A0168" w:rsidRDefault="00144B45" w:rsidP="006764B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before="120" w:after="0" w:line="240" w:lineRule="auto"/>
        <w:contextualSpacing w:val="0"/>
        <w:rPr>
          <w:rFonts w:eastAsia="Helvetica" w:cs="Arial"/>
        </w:rPr>
      </w:pPr>
      <w:proofErr w:type="gramStart"/>
      <w:r w:rsidRPr="000A0168">
        <w:rPr>
          <w:rFonts w:cs="Arial"/>
        </w:rPr>
        <w:t>meeting</w:t>
      </w:r>
      <w:proofErr w:type="gramEnd"/>
      <w:r w:rsidRPr="000A0168">
        <w:rPr>
          <w:rFonts w:cs="Arial"/>
        </w:rPr>
        <w:t xml:space="preserve"> other obligations as outlined in the </w:t>
      </w:r>
      <w:r w:rsidRPr="000A0168">
        <w:rPr>
          <w:rFonts w:cs="Arial"/>
          <w:i/>
          <w:iCs/>
        </w:rPr>
        <w:t>Ageing and D</w:t>
      </w:r>
      <w:r w:rsidR="00CA3763">
        <w:rPr>
          <w:rFonts w:cs="Arial"/>
          <w:i/>
          <w:iCs/>
        </w:rPr>
        <w:t>isability Commissioner Act 2019</w:t>
      </w:r>
      <w:r w:rsidRPr="000A0168">
        <w:rPr>
          <w:rFonts w:cs="Arial"/>
        </w:rPr>
        <w:t xml:space="preserve">. </w:t>
      </w:r>
    </w:p>
    <w:p w14:paraId="35A1D4FF" w14:textId="77777777" w:rsidR="00144B45" w:rsidRPr="000A0168" w:rsidRDefault="00144B45" w:rsidP="006764B8">
      <w:pPr>
        <w:pStyle w:val="Body"/>
        <w:widowControl w:val="0"/>
        <w:rPr>
          <w:rFonts w:asciiTheme="minorHAnsi" w:eastAsia="Helvetica" w:hAnsiTheme="minorHAnsi" w:cs="Arial"/>
        </w:rPr>
      </w:pPr>
    </w:p>
    <w:p w14:paraId="1C7512D4" w14:textId="082B76F7" w:rsidR="00144B45" w:rsidRDefault="00144B45" w:rsidP="006764B8">
      <w:pPr>
        <w:pStyle w:val="Body"/>
        <w:widowControl w:val="0"/>
        <w:rPr>
          <w:rFonts w:asciiTheme="minorHAnsi" w:hAnsiTheme="minorHAnsi" w:cs="Arial"/>
        </w:rPr>
      </w:pPr>
      <w:r w:rsidRPr="000A0168">
        <w:rPr>
          <w:rFonts w:asciiTheme="minorHAnsi" w:hAnsiTheme="minorHAnsi" w:cs="Arial"/>
        </w:rPr>
        <w:t>The ADC includes the Ageing and Disability Abuse Helpline</w:t>
      </w:r>
      <w:r w:rsidR="000A0168" w:rsidRPr="000A0168">
        <w:rPr>
          <w:rFonts w:asciiTheme="minorHAnsi" w:hAnsiTheme="minorHAnsi" w:cs="Arial"/>
        </w:rPr>
        <w:t>.</w:t>
      </w:r>
    </w:p>
    <w:p w14:paraId="5A841BAD" w14:textId="77777777" w:rsidR="00DE53BC" w:rsidRDefault="00DE53BC" w:rsidP="006764B8">
      <w:pPr>
        <w:widowControl w:val="0"/>
        <w:spacing w:after="0" w:line="240" w:lineRule="auto"/>
      </w:pPr>
    </w:p>
    <w:p w14:paraId="5444E4EE" w14:textId="299D2A46" w:rsidR="00171D49" w:rsidRDefault="00A1325E" w:rsidP="006764B8">
      <w:pPr>
        <w:widowControl w:val="0"/>
        <w:spacing w:after="0" w:line="240" w:lineRule="auto"/>
      </w:pPr>
      <w:r w:rsidRPr="00E4103E">
        <w:t>The majority</w:t>
      </w:r>
      <w:r>
        <w:t xml:space="preserve"> of the reports handled by the ADC</w:t>
      </w:r>
      <w:r w:rsidR="00E4103E">
        <w:t xml:space="preserve"> relate to adults with disability and older people who are subject to, or at risk of, </w:t>
      </w:r>
      <w:r>
        <w:t xml:space="preserve">abuse, neglect and exploitation </w:t>
      </w:r>
      <w:r w:rsidR="00E4103E">
        <w:t xml:space="preserve">in their family, home and community (including </w:t>
      </w:r>
      <w:r w:rsidR="00DE53BC">
        <w:t>allegations a</w:t>
      </w:r>
      <w:r w:rsidR="00E4103E">
        <w:t>gains</w:t>
      </w:r>
      <w:r w:rsidR="00DE53BC">
        <w:t>t family members, spouses/partners, informal carers, and members of the community</w:t>
      </w:r>
      <w:r w:rsidR="00E4103E">
        <w:t>)</w:t>
      </w:r>
      <w:r>
        <w:t xml:space="preserve">. </w:t>
      </w:r>
    </w:p>
    <w:p w14:paraId="36F6A5A2" w14:textId="4A08B3B8" w:rsidR="00171D49" w:rsidRDefault="00171D49" w:rsidP="006764B8">
      <w:pPr>
        <w:widowControl w:val="0"/>
        <w:spacing w:after="0" w:line="240" w:lineRule="auto"/>
      </w:pPr>
    </w:p>
    <w:p w14:paraId="0DD0CA16" w14:textId="598A92CA" w:rsidR="000041AE" w:rsidRPr="000041AE" w:rsidRDefault="000041AE" w:rsidP="006764B8">
      <w:pPr>
        <w:widowControl w:val="0"/>
        <w:spacing w:after="0" w:line="240" w:lineRule="auto"/>
        <w:rPr>
          <w:b/>
        </w:rPr>
      </w:pPr>
      <w:r w:rsidRPr="000041AE">
        <w:rPr>
          <w:b/>
        </w:rPr>
        <w:t xml:space="preserve">Decision-making and reports </w:t>
      </w:r>
      <w:r>
        <w:rPr>
          <w:b/>
        </w:rPr>
        <w:t xml:space="preserve">to the ADC about adults with disability </w:t>
      </w:r>
    </w:p>
    <w:p w14:paraId="1DE573C1" w14:textId="77777777" w:rsidR="000041AE" w:rsidRPr="007949D3" w:rsidRDefault="000041AE" w:rsidP="006764B8">
      <w:pPr>
        <w:widowControl w:val="0"/>
        <w:spacing w:before="120" w:after="0" w:line="240" w:lineRule="auto"/>
      </w:pPr>
      <w:r w:rsidRPr="007949D3">
        <w:t>From the start of the ADC, a key part of our work in responding to reports has related to decision-making. In particular, seeking to uphold the right</w:t>
      </w:r>
      <w:r>
        <w:t>s</w:t>
      </w:r>
      <w:r w:rsidRPr="007949D3">
        <w:t xml:space="preserve"> of the adult with disability or older person to make their own decisions and have those decisions heard, respected and followed.  </w:t>
      </w:r>
    </w:p>
    <w:p w14:paraId="0586C4F3" w14:textId="77777777" w:rsidR="000C0F2E" w:rsidRDefault="000C0F2E" w:rsidP="006764B8">
      <w:pPr>
        <w:widowControl w:val="0"/>
        <w:spacing w:after="0" w:line="240" w:lineRule="auto"/>
      </w:pPr>
    </w:p>
    <w:p w14:paraId="5388996A" w14:textId="6CB8B864" w:rsidR="000041AE" w:rsidRPr="007949D3" w:rsidRDefault="000041AE" w:rsidP="006764B8">
      <w:pPr>
        <w:widowControl w:val="0"/>
        <w:spacing w:after="0" w:line="240" w:lineRule="auto"/>
      </w:pPr>
      <w:r w:rsidRPr="007949D3">
        <w:t>Among other things, we frequently identify matters in which:</w:t>
      </w:r>
    </w:p>
    <w:p w14:paraId="3A72546B" w14:textId="77777777" w:rsidR="000041AE" w:rsidRPr="007949D3" w:rsidRDefault="000041AE" w:rsidP="006764B8">
      <w:pPr>
        <w:pStyle w:val="ListParagraph"/>
        <w:widowControl w:val="0"/>
        <w:numPr>
          <w:ilvl w:val="0"/>
          <w:numId w:val="22"/>
        </w:numPr>
        <w:adjustRightInd w:val="0"/>
        <w:spacing w:before="120" w:after="0" w:line="240" w:lineRule="auto"/>
        <w:ind w:left="714" w:hanging="357"/>
        <w:contextualSpacing w:val="0"/>
        <w:textAlignment w:val="baseline"/>
      </w:pPr>
      <w:r w:rsidRPr="007949D3">
        <w:t xml:space="preserve">adults with decision-making capacity are not being provided with opportunities to make decisions or support to do so (where needed) </w:t>
      </w:r>
    </w:p>
    <w:p w14:paraId="4F1D6FB3" w14:textId="0381114F" w:rsidR="000041AE" w:rsidRPr="007949D3" w:rsidRDefault="000C0F2E" w:rsidP="006764B8">
      <w:pPr>
        <w:pStyle w:val="ListParagraph"/>
        <w:widowControl w:val="0"/>
        <w:numPr>
          <w:ilvl w:val="0"/>
          <w:numId w:val="22"/>
        </w:numPr>
        <w:adjustRightInd w:val="0"/>
        <w:spacing w:before="120" w:after="0" w:line="240" w:lineRule="auto"/>
        <w:ind w:left="714" w:hanging="357"/>
        <w:contextualSpacing w:val="0"/>
        <w:textAlignment w:val="baseline"/>
      </w:pPr>
      <w:r>
        <w:t xml:space="preserve">service </w:t>
      </w:r>
      <w:r w:rsidR="000041AE" w:rsidRPr="007949D3">
        <w:t>providers are defaulting to the adult’s family or spouse to make decisions, or automatically upholding the decisions of the family/ spouse, because:</w:t>
      </w:r>
    </w:p>
    <w:p w14:paraId="37531645" w14:textId="4A3BFFF8" w:rsidR="000041AE" w:rsidRPr="007949D3" w:rsidRDefault="000041AE" w:rsidP="006764B8">
      <w:pPr>
        <w:pStyle w:val="ListParagraph"/>
        <w:widowControl w:val="0"/>
        <w:numPr>
          <w:ilvl w:val="1"/>
          <w:numId w:val="22"/>
        </w:numPr>
        <w:adjustRightInd w:val="0"/>
        <w:spacing w:before="60" w:after="0" w:line="240" w:lineRule="auto"/>
        <w:ind w:left="1434" w:hanging="357"/>
        <w:contextualSpacing w:val="0"/>
        <w:textAlignment w:val="baseline"/>
      </w:pPr>
      <w:r w:rsidRPr="007949D3">
        <w:t xml:space="preserve">they incorrectly believe the family/spouse is the legal ‘guardian’, nominee, or other decision-making authority </w:t>
      </w:r>
    </w:p>
    <w:p w14:paraId="098A32A8" w14:textId="77777777" w:rsidR="000041AE" w:rsidRPr="007949D3" w:rsidRDefault="000041AE" w:rsidP="006764B8">
      <w:pPr>
        <w:pStyle w:val="ListParagraph"/>
        <w:widowControl w:val="0"/>
        <w:numPr>
          <w:ilvl w:val="1"/>
          <w:numId w:val="22"/>
        </w:numPr>
        <w:adjustRightInd w:val="0"/>
        <w:spacing w:before="60" w:after="0" w:line="240" w:lineRule="auto"/>
        <w:ind w:left="1434" w:hanging="357"/>
        <w:contextualSpacing w:val="0"/>
        <w:textAlignment w:val="baseline"/>
      </w:pPr>
      <w:r w:rsidRPr="007949D3">
        <w:t xml:space="preserve">they incorrectly assume the adult is unable to make their own decisions </w:t>
      </w:r>
    </w:p>
    <w:p w14:paraId="15C6057D" w14:textId="660675CA" w:rsidR="000041AE" w:rsidRPr="007949D3" w:rsidRDefault="000041AE" w:rsidP="006764B8">
      <w:pPr>
        <w:pStyle w:val="ListParagraph"/>
        <w:widowControl w:val="0"/>
        <w:numPr>
          <w:ilvl w:val="1"/>
          <w:numId w:val="22"/>
        </w:numPr>
        <w:adjustRightInd w:val="0"/>
        <w:spacing w:before="60" w:after="0" w:line="240" w:lineRule="auto"/>
        <w:ind w:left="1434" w:hanging="357"/>
        <w:contextualSpacing w:val="0"/>
        <w:textAlignment w:val="baseline"/>
      </w:pPr>
      <w:r w:rsidRPr="007949D3">
        <w:t xml:space="preserve">it is faster and easier to do so – </w:t>
      </w:r>
      <w:r w:rsidR="000C0F2E">
        <w:t>for example,</w:t>
      </w:r>
      <w:r w:rsidRPr="007949D3">
        <w:t xml:space="preserve"> where the adult requires communication support and/or requires other decision-making support</w:t>
      </w:r>
    </w:p>
    <w:p w14:paraId="68CD5790" w14:textId="77777777" w:rsidR="000041AE" w:rsidRPr="007949D3" w:rsidRDefault="000041AE" w:rsidP="006764B8">
      <w:pPr>
        <w:pStyle w:val="ListParagraph"/>
        <w:widowControl w:val="0"/>
        <w:numPr>
          <w:ilvl w:val="1"/>
          <w:numId w:val="22"/>
        </w:numPr>
        <w:adjustRightInd w:val="0"/>
        <w:spacing w:before="60" w:after="0" w:line="240" w:lineRule="auto"/>
        <w:ind w:left="1434" w:hanging="357"/>
        <w:contextualSpacing w:val="0"/>
        <w:textAlignment w:val="baseline"/>
      </w:pPr>
      <w:r w:rsidRPr="007949D3">
        <w:t>the family/ spouse is dominant, difficult, and/or has been making decisions for the adult over an extended period</w:t>
      </w:r>
    </w:p>
    <w:p w14:paraId="5F6E028D" w14:textId="0407D1C8" w:rsidR="000041AE" w:rsidRPr="007949D3" w:rsidRDefault="000C0F2E" w:rsidP="006764B8">
      <w:pPr>
        <w:pStyle w:val="ListParagraph"/>
        <w:widowControl w:val="0"/>
        <w:numPr>
          <w:ilvl w:val="0"/>
          <w:numId w:val="23"/>
        </w:numPr>
        <w:adjustRightInd w:val="0"/>
        <w:spacing w:before="120" w:after="0" w:line="240" w:lineRule="auto"/>
        <w:ind w:left="714" w:hanging="357"/>
        <w:contextualSpacing w:val="0"/>
        <w:textAlignment w:val="baseline"/>
      </w:pPr>
      <w:r>
        <w:t xml:space="preserve">service </w:t>
      </w:r>
      <w:r w:rsidR="000041AE" w:rsidRPr="007949D3">
        <w:t xml:space="preserve">providers and families seek </w:t>
      </w:r>
      <w:r w:rsidR="000041AE">
        <w:t xml:space="preserve">for </w:t>
      </w:r>
      <w:r w:rsidR="000041AE" w:rsidRPr="007949D3">
        <w:t xml:space="preserve">the ADC to override the adult’s decisions (or to apply to </w:t>
      </w:r>
      <w:r>
        <w:t>the NSW Civil and Administrative Tribunal</w:t>
      </w:r>
      <w:r w:rsidR="000041AE" w:rsidRPr="007949D3">
        <w:t xml:space="preserve"> for another party to do so) due to concerns that the decisions are not in the adult’s interests – typically involving high</w:t>
      </w:r>
      <w:r w:rsidR="000041AE">
        <w:t xml:space="preserve"> </w:t>
      </w:r>
      <w:r w:rsidR="000041AE" w:rsidRPr="007949D3">
        <w:t>risk, such as domestic violence</w:t>
      </w:r>
    </w:p>
    <w:p w14:paraId="1A64D31C" w14:textId="6DD9AC6B" w:rsidR="000041AE" w:rsidRPr="007949D3" w:rsidRDefault="000041AE" w:rsidP="006764B8">
      <w:pPr>
        <w:pStyle w:val="ListParagraph"/>
        <w:widowControl w:val="0"/>
        <w:numPr>
          <w:ilvl w:val="0"/>
          <w:numId w:val="23"/>
        </w:numPr>
        <w:adjustRightInd w:val="0"/>
        <w:spacing w:before="120" w:after="0" w:line="240" w:lineRule="auto"/>
        <w:ind w:left="714" w:hanging="357"/>
        <w:contextualSpacing w:val="0"/>
        <w:textAlignment w:val="baseline"/>
      </w:pPr>
      <w:proofErr w:type="gramStart"/>
      <w:r w:rsidRPr="007949D3">
        <w:t>the</w:t>
      </w:r>
      <w:proofErr w:type="gramEnd"/>
      <w:r w:rsidRPr="007949D3">
        <w:t xml:space="preserve"> adult’s family/spouse has become their ‘nominee’ with government agencies (</w:t>
      </w:r>
      <w:r w:rsidR="009471FF">
        <w:t>such as the</w:t>
      </w:r>
      <w:r w:rsidRPr="007949D3">
        <w:t xml:space="preserve"> NDIA, Centrelink) in questionable circumstances and without adequate rigor in the process. </w:t>
      </w:r>
    </w:p>
    <w:p w14:paraId="2882D8E0" w14:textId="77777777" w:rsidR="006764B8" w:rsidRDefault="006764B8" w:rsidP="006764B8">
      <w:pPr>
        <w:widowControl w:val="0"/>
        <w:spacing w:after="0" w:line="240" w:lineRule="auto"/>
      </w:pPr>
    </w:p>
    <w:p w14:paraId="0BCF6499" w14:textId="59979D85" w:rsidR="000041AE" w:rsidRDefault="000041AE" w:rsidP="006764B8">
      <w:pPr>
        <w:widowControl w:val="0"/>
        <w:spacing w:after="0" w:line="240" w:lineRule="auto"/>
      </w:pPr>
      <w:r>
        <w:t xml:space="preserve">In addition to the obvious adverse impact on the adult with disability/older person, the above issues also </w:t>
      </w:r>
      <w:r>
        <w:lastRenderedPageBreak/>
        <w:t xml:space="preserve">present challenges for the ADC in responding to the reports. For example, we have many cases where the information provided to the ADC about the adult’s decision-making capacity is inaccurate; no mechanisms or supports have been put in place to assist the adult to express their views and be involved in decision-making; and there is no readily identifiable party who could fulfil the role of decision-making ‘supporter’. </w:t>
      </w:r>
    </w:p>
    <w:p w14:paraId="37B8A223" w14:textId="7EEF7D64" w:rsidR="000041AE" w:rsidRPr="00944081" w:rsidRDefault="00944081" w:rsidP="006764B8">
      <w:pPr>
        <w:pStyle w:val="Heading1"/>
        <w:keepNext w:val="0"/>
        <w:keepLines w:val="0"/>
        <w:widowControl w:val="0"/>
        <w:spacing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Feedback of the ADC</w:t>
      </w:r>
    </w:p>
    <w:p w14:paraId="76AD37CD" w14:textId="0FC6E075" w:rsidR="0015310C" w:rsidRDefault="0015310C" w:rsidP="006764B8">
      <w:pPr>
        <w:widowControl w:val="0"/>
        <w:spacing w:before="120" w:after="0" w:line="240" w:lineRule="auto"/>
      </w:pPr>
      <w:r>
        <w:t>The ADC welcomes the outline and proposed plan of actions by the NDIA to maximise supports for participants to make their own decisions</w:t>
      </w:r>
      <w:r w:rsidR="00836C96">
        <w:t xml:space="preserve">. We are pleased that the NDIA is taking forward and building on the solid report of the Independent Advisory Council of the NDIS on this topic, </w:t>
      </w:r>
      <w:r w:rsidR="00C0097B">
        <w:t xml:space="preserve">and </w:t>
      </w:r>
      <w:r w:rsidR="00797EBA">
        <w:t xml:space="preserve">embracing </w:t>
      </w:r>
      <w:r w:rsidR="00C0097B">
        <w:t xml:space="preserve">the important role that the Agency can </w:t>
      </w:r>
      <w:r w:rsidR="00797EBA">
        <w:t xml:space="preserve">and should </w:t>
      </w:r>
      <w:r w:rsidR="00C0097B">
        <w:t xml:space="preserve">play in helping to change and lead practice in decision support. </w:t>
      </w:r>
    </w:p>
    <w:p w14:paraId="5B9DACD6" w14:textId="1F687FAB" w:rsidR="00797EBA" w:rsidRDefault="00797EBA" w:rsidP="006764B8">
      <w:pPr>
        <w:widowControl w:val="0"/>
        <w:spacing w:after="0" w:line="240" w:lineRule="auto"/>
      </w:pPr>
    </w:p>
    <w:p w14:paraId="6F311D0C" w14:textId="77777777" w:rsidR="00880E93" w:rsidRDefault="00797EBA" w:rsidP="006764B8">
      <w:pPr>
        <w:widowControl w:val="0"/>
        <w:spacing w:after="0" w:line="240" w:lineRule="auto"/>
      </w:pPr>
      <w:r>
        <w:t xml:space="preserve">Overall, the ADC supports the </w:t>
      </w:r>
      <w:r w:rsidR="007D690F">
        <w:t xml:space="preserve">positive </w:t>
      </w:r>
      <w:r>
        <w:t xml:space="preserve">pathway for reform that is outlined in the consultation paper. The framework and proposed next steps provide </w:t>
      </w:r>
      <w:r w:rsidR="007D690F">
        <w:t>the potential to</w:t>
      </w:r>
      <w:r>
        <w:t xml:space="preserve"> </w:t>
      </w:r>
      <w:r w:rsidR="007D690F">
        <w:t xml:space="preserve">significantly change practice in relation to participant decision-making and support, drive and embed lasting improvements, and influence broader cultural change. </w:t>
      </w:r>
    </w:p>
    <w:p w14:paraId="78354297" w14:textId="77777777" w:rsidR="00880E93" w:rsidRDefault="00880E93" w:rsidP="006764B8">
      <w:pPr>
        <w:widowControl w:val="0"/>
        <w:spacing w:after="0" w:line="240" w:lineRule="auto"/>
      </w:pPr>
    </w:p>
    <w:p w14:paraId="3027E9F2" w14:textId="2DA6DB63" w:rsidR="000041AE" w:rsidRDefault="00880E93" w:rsidP="006764B8">
      <w:pPr>
        <w:widowControl w:val="0"/>
        <w:spacing w:after="0" w:line="240" w:lineRule="auto"/>
      </w:pPr>
      <w:r>
        <w:t xml:space="preserve">In light of this, and in the context of the work of the ADC, our comments are focused on </w:t>
      </w:r>
      <w:r w:rsidR="000041AE">
        <w:t xml:space="preserve">strengthening the </w:t>
      </w:r>
      <w:r w:rsidR="00AC33FF">
        <w:t xml:space="preserve">support for decision-making </w:t>
      </w:r>
      <w:r w:rsidR="000041AE">
        <w:t xml:space="preserve">framework and actions to prevent and address abuse, neglect and exploitation of participants in their family, home and community. </w:t>
      </w:r>
    </w:p>
    <w:p w14:paraId="6E664D6F" w14:textId="77777777" w:rsidR="000041AE" w:rsidRDefault="000041AE" w:rsidP="006764B8">
      <w:pPr>
        <w:widowControl w:val="0"/>
        <w:spacing w:after="0" w:line="240" w:lineRule="auto"/>
      </w:pPr>
    </w:p>
    <w:p w14:paraId="7CF508C4" w14:textId="70649345" w:rsidR="00836C96" w:rsidRPr="00382C0E" w:rsidRDefault="00382C0E" w:rsidP="006764B8">
      <w:pPr>
        <w:widowControl w:val="0"/>
        <w:spacing w:after="0" w:line="240" w:lineRule="auto"/>
        <w:rPr>
          <w:b/>
        </w:rPr>
      </w:pPr>
      <w:r w:rsidRPr="00382C0E">
        <w:rPr>
          <w:b/>
        </w:rPr>
        <w:t>Appointment of nominees</w:t>
      </w:r>
    </w:p>
    <w:p w14:paraId="5A9F8EF3" w14:textId="3FE73EC3" w:rsidR="000C1726" w:rsidRDefault="006764B8" w:rsidP="006764B8">
      <w:pPr>
        <w:widowControl w:val="0"/>
        <w:spacing w:before="120" w:after="0" w:line="240" w:lineRule="auto"/>
      </w:pPr>
      <w:r>
        <w:t>Section 5 of t</w:t>
      </w:r>
      <w:r w:rsidR="00382C0E">
        <w:t>he existing NDIS Nominees Operational Guideline identifies that participants are presumed to have the capacity to make decisions that affect their own lives</w:t>
      </w:r>
      <w:r w:rsidR="00C86F43">
        <w:t>,</w:t>
      </w:r>
      <w:r w:rsidR="000918C0">
        <w:t xml:space="preserve"> and </w:t>
      </w:r>
      <w:r w:rsidR="00C86F43">
        <w:t xml:space="preserve">‘Appointment of a nominee is justified only when it is not possible for a participant to be assisted to make decisions for themselves.’ However, in the experience of the ADC, this guidance is not consistently implemented by the NDIA. </w:t>
      </w:r>
    </w:p>
    <w:p w14:paraId="2A00C734" w14:textId="77777777" w:rsidR="000C1726" w:rsidRDefault="000C1726" w:rsidP="006764B8">
      <w:pPr>
        <w:widowControl w:val="0"/>
        <w:spacing w:after="0" w:line="240" w:lineRule="auto"/>
      </w:pPr>
    </w:p>
    <w:p w14:paraId="7448F7E0" w14:textId="7F987809" w:rsidR="009118B1" w:rsidRDefault="00C86F43" w:rsidP="006764B8">
      <w:pPr>
        <w:widowControl w:val="0"/>
        <w:spacing w:after="0" w:line="240" w:lineRule="auto"/>
      </w:pPr>
      <w:r>
        <w:t xml:space="preserve">As noted earlier, the ADC has handled many reports </w:t>
      </w:r>
      <w:r w:rsidR="000C1726">
        <w:t xml:space="preserve">in which an NDIS Plan Nominee </w:t>
      </w:r>
      <w:r w:rsidR="00C633F7">
        <w:t xml:space="preserve">(typically </w:t>
      </w:r>
      <w:r w:rsidR="0027040F">
        <w:t xml:space="preserve">a </w:t>
      </w:r>
      <w:r w:rsidR="00C633F7">
        <w:t xml:space="preserve">family member or spouse) </w:t>
      </w:r>
      <w:r w:rsidR="000C1726">
        <w:t xml:space="preserve">has been appointed despite the participant having decision-making capacity. In addition to </w:t>
      </w:r>
      <w:r w:rsidR="009118B1">
        <w:t xml:space="preserve">the fact that this </w:t>
      </w:r>
      <w:r w:rsidR="000C1726">
        <w:t>den</w:t>
      </w:r>
      <w:r w:rsidR="009118B1">
        <w:t>ies</w:t>
      </w:r>
      <w:r w:rsidR="000C1726">
        <w:t xml:space="preserve"> the right of the participant to make their own decision</w:t>
      </w:r>
      <w:r w:rsidR="00C633F7">
        <w:t>s</w:t>
      </w:r>
      <w:r w:rsidR="000C1726">
        <w:t xml:space="preserve">, </w:t>
      </w:r>
      <w:r w:rsidR="009118B1">
        <w:t xml:space="preserve">in a range of cases we have found that this has </w:t>
      </w:r>
      <w:r w:rsidR="00C633F7">
        <w:t>served to facilitate and exacerbate abus</w:t>
      </w:r>
      <w:r w:rsidR="0027040F">
        <w:t>e</w:t>
      </w:r>
      <w:r w:rsidR="00C633F7">
        <w:t>. For example, it has</w:t>
      </w:r>
      <w:r w:rsidR="009118B1">
        <w:t xml:space="preserve"> </w:t>
      </w:r>
      <w:r w:rsidR="00C633F7">
        <w:t xml:space="preserve">enabled </w:t>
      </w:r>
      <w:r w:rsidR="009118B1">
        <w:t>the nominee to</w:t>
      </w:r>
      <w:r w:rsidR="00C633F7">
        <w:t xml:space="preserve"> (among other things)</w:t>
      </w:r>
      <w:r w:rsidR="009118B1">
        <w:t>:</w:t>
      </w:r>
    </w:p>
    <w:p w14:paraId="16D59B4C" w14:textId="2E7235B2" w:rsidR="000C1726" w:rsidRDefault="009118B1" w:rsidP="006764B8">
      <w:pPr>
        <w:pStyle w:val="ListParagraph"/>
        <w:widowControl w:val="0"/>
        <w:numPr>
          <w:ilvl w:val="0"/>
          <w:numId w:val="24"/>
        </w:numPr>
        <w:spacing w:before="120" w:after="0" w:line="240" w:lineRule="auto"/>
        <w:ind w:left="765" w:hanging="357"/>
        <w:contextualSpacing w:val="0"/>
      </w:pPr>
      <w:r>
        <w:t>make decisions that are at odds with the will and preference of the participant</w:t>
      </w:r>
    </w:p>
    <w:p w14:paraId="6E82B272" w14:textId="30CF1B06" w:rsidR="009118B1" w:rsidRDefault="009118B1" w:rsidP="006764B8">
      <w:pPr>
        <w:pStyle w:val="ListParagraph"/>
        <w:widowControl w:val="0"/>
        <w:numPr>
          <w:ilvl w:val="0"/>
          <w:numId w:val="24"/>
        </w:numPr>
        <w:spacing w:before="60" w:after="0" w:line="240" w:lineRule="auto"/>
        <w:ind w:left="765" w:hanging="357"/>
        <w:contextualSpacing w:val="0"/>
      </w:pPr>
      <w:r>
        <w:t>make decisions that benefit the nominee at the expense of the participant</w:t>
      </w:r>
    </w:p>
    <w:p w14:paraId="144C89ED" w14:textId="15AEF4AA" w:rsidR="009118B1" w:rsidRDefault="009118B1" w:rsidP="006764B8">
      <w:pPr>
        <w:pStyle w:val="ListParagraph"/>
        <w:widowControl w:val="0"/>
        <w:numPr>
          <w:ilvl w:val="0"/>
          <w:numId w:val="24"/>
        </w:numPr>
        <w:spacing w:before="60" w:after="0" w:line="240" w:lineRule="auto"/>
        <w:ind w:left="765" w:hanging="357"/>
        <w:contextualSpacing w:val="0"/>
      </w:pPr>
      <w:proofErr w:type="gramStart"/>
      <w:r>
        <w:t>cancel</w:t>
      </w:r>
      <w:proofErr w:type="gramEnd"/>
      <w:r>
        <w:t xml:space="preserve"> </w:t>
      </w:r>
      <w:r w:rsidR="006A73B2">
        <w:t>necessary services and supports for reasons that assist the nominee not the participant – including to reduce line of sight over the participant and the conduct of the nominee; to exert coercive control over the participant; and to prevent the participant from seeking help from staff they know and trust.</w:t>
      </w:r>
    </w:p>
    <w:p w14:paraId="1234074F" w14:textId="77777777" w:rsidR="000C1726" w:rsidRDefault="000C1726" w:rsidP="006764B8">
      <w:pPr>
        <w:widowControl w:val="0"/>
        <w:spacing w:after="0" w:line="240" w:lineRule="auto"/>
      </w:pPr>
    </w:p>
    <w:p w14:paraId="33FDD930" w14:textId="1E24D3FC" w:rsidR="00A909E8" w:rsidRDefault="00A909E8" w:rsidP="006764B8">
      <w:pPr>
        <w:widowControl w:val="0"/>
        <w:spacing w:after="0" w:line="240" w:lineRule="auto"/>
      </w:pPr>
      <w:r>
        <w:t>I</w:t>
      </w:r>
      <w:r w:rsidRPr="007949D3">
        <w:t xml:space="preserve">n at least four </w:t>
      </w:r>
      <w:r>
        <w:t xml:space="preserve">reports about adults with disability that were finalised by the ADC </w:t>
      </w:r>
      <w:r w:rsidRPr="007949D3">
        <w:t xml:space="preserve">in 2020/21, the </w:t>
      </w:r>
      <w:r>
        <w:t xml:space="preserve">subject of allegation </w:t>
      </w:r>
      <w:r w:rsidRPr="007949D3">
        <w:t xml:space="preserve">was removed as </w:t>
      </w:r>
      <w:r w:rsidR="00101973">
        <w:t xml:space="preserve">the adult’s </w:t>
      </w:r>
      <w:r w:rsidRPr="007949D3">
        <w:t>NDIS nominee</w:t>
      </w:r>
      <w:r w:rsidR="00101973">
        <w:t>. This was typically action taken by the NDIA following the provision of information by the ADC about the decision-making ability, will and preferen</w:t>
      </w:r>
      <w:r w:rsidR="00612F84">
        <w:t xml:space="preserve">ces of the participant, and the </w:t>
      </w:r>
      <w:r w:rsidR="00101973">
        <w:t xml:space="preserve">concerns that had been identified about the conduct of the appointed nominee. </w:t>
      </w:r>
    </w:p>
    <w:p w14:paraId="4DF89CB9" w14:textId="77777777" w:rsidR="00A909E8" w:rsidRDefault="00A909E8" w:rsidP="006764B8">
      <w:pPr>
        <w:widowControl w:val="0"/>
        <w:spacing w:after="0" w:line="240" w:lineRule="auto"/>
      </w:pPr>
    </w:p>
    <w:p w14:paraId="2540FCEB" w14:textId="6F222E01" w:rsidR="00A909E8" w:rsidRDefault="00101973" w:rsidP="006764B8">
      <w:pPr>
        <w:widowControl w:val="0"/>
        <w:spacing w:after="0" w:line="240" w:lineRule="auto"/>
      </w:pPr>
      <w:r>
        <w:t xml:space="preserve">We welcome the intended actions by the NDIA to overhaul the nominee appointment process, including </w:t>
      </w:r>
      <w:r w:rsidR="00C62A99">
        <w:t>making sure that the</w:t>
      </w:r>
      <w:r w:rsidR="009E5A76">
        <w:t xml:space="preserve"> </w:t>
      </w:r>
      <w:r>
        <w:t xml:space="preserve">decision-making capability </w:t>
      </w:r>
      <w:r w:rsidR="00C62A99">
        <w:t xml:space="preserve">of the participant </w:t>
      </w:r>
      <w:r>
        <w:t xml:space="preserve">is </w:t>
      </w:r>
      <w:r w:rsidR="00C62A99">
        <w:t>‘</w:t>
      </w:r>
      <w:r>
        <w:t>considered and documented</w:t>
      </w:r>
      <w:r w:rsidR="00C62A99">
        <w:t>’</w:t>
      </w:r>
      <w:r w:rsidR="009E5A76">
        <w:t xml:space="preserve"> before appointing a nominee</w:t>
      </w:r>
      <w:r w:rsidR="00C62A99">
        <w:t xml:space="preserve">. However, it will be important to </w:t>
      </w:r>
      <w:r w:rsidR="000B30D7">
        <w:t xml:space="preserve">not only consider the participant’s decision-making capability, but to </w:t>
      </w:r>
      <w:r w:rsidR="00C62A99">
        <w:t>ensure th</w:t>
      </w:r>
      <w:r w:rsidR="00AC36D4">
        <w:t>at any appointment decisions are informed by evidence as to the supports</w:t>
      </w:r>
      <w:r w:rsidR="00C62A99">
        <w:t xml:space="preserve"> </w:t>
      </w:r>
      <w:r w:rsidR="00AC36D4">
        <w:t xml:space="preserve">that have been provided and implemented </w:t>
      </w:r>
      <w:r w:rsidR="00C62A99">
        <w:t>to maximise the participant’s abil</w:t>
      </w:r>
      <w:r w:rsidR="00AC36D4">
        <w:t xml:space="preserve">ity to make their own decisions. We support the NDIA’s planned actions to </w:t>
      </w:r>
      <w:r w:rsidR="009E5A76">
        <w:t xml:space="preserve">implement processes to review existing </w:t>
      </w:r>
      <w:r w:rsidR="009E5A76">
        <w:lastRenderedPageBreak/>
        <w:t>nominee appointments at key life stages and plan review</w:t>
      </w:r>
      <w:r w:rsidR="00AC36D4">
        <w:t xml:space="preserve"> – it is </w:t>
      </w:r>
      <w:r w:rsidR="00B96815">
        <w:t>vital</w:t>
      </w:r>
      <w:r w:rsidR="00AC36D4">
        <w:t xml:space="preserve"> that </w:t>
      </w:r>
      <w:r w:rsidR="000B30D7">
        <w:t>the appointment is regularly and proactively revisited</w:t>
      </w:r>
      <w:r w:rsidR="00DB396E">
        <w:t>,</w:t>
      </w:r>
      <w:r w:rsidR="000B30D7">
        <w:t xml:space="preserve"> and is </w:t>
      </w:r>
      <w:r w:rsidR="00612F84">
        <w:t>treated as</w:t>
      </w:r>
      <w:r w:rsidR="000B30D7">
        <w:t xml:space="preserve"> a temporary measure</w:t>
      </w:r>
      <w:r w:rsidR="009E5A76">
        <w:t>.</w:t>
      </w:r>
      <w:r w:rsidR="000B30D7">
        <w:t xml:space="preserve"> </w:t>
      </w:r>
      <w:r w:rsidR="009E5A76">
        <w:t xml:space="preserve"> </w:t>
      </w:r>
    </w:p>
    <w:p w14:paraId="1F094D7C" w14:textId="77777777" w:rsidR="00A909E8" w:rsidRDefault="00A909E8" w:rsidP="006764B8">
      <w:pPr>
        <w:widowControl w:val="0"/>
        <w:spacing w:after="0" w:line="240" w:lineRule="auto"/>
      </w:pPr>
    </w:p>
    <w:p w14:paraId="2DEB0F10" w14:textId="2011F983" w:rsidR="00A909E8" w:rsidRDefault="00AC156A" w:rsidP="006764B8">
      <w:pPr>
        <w:widowControl w:val="0"/>
        <w:spacing w:after="0" w:line="240" w:lineRule="auto"/>
      </w:pPr>
      <w:r>
        <w:t xml:space="preserve">Against the background of the experience of the ADC, we stress the need to ensure that the </w:t>
      </w:r>
      <w:r w:rsidR="00C62A99">
        <w:t>intended overhaul of the nominee appointment process</w:t>
      </w:r>
      <w:r>
        <w:t xml:space="preserve"> is informed by analysis of the factors that </w:t>
      </w:r>
      <w:r w:rsidR="00DB396E">
        <w:t xml:space="preserve">have </w:t>
      </w:r>
      <w:r>
        <w:t xml:space="preserve">enabled the appointment </w:t>
      </w:r>
      <w:r w:rsidR="00C62A99">
        <w:t xml:space="preserve">of nominees for participants with </w:t>
      </w:r>
      <w:r>
        <w:t>decision-making c</w:t>
      </w:r>
      <w:r w:rsidR="00C62A99">
        <w:t>apa</w:t>
      </w:r>
      <w:r w:rsidR="00DB396E">
        <w:t>city, against</w:t>
      </w:r>
      <w:r>
        <w:t xml:space="preserve"> </w:t>
      </w:r>
      <w:r w:rsidR="00C62A99">
        <w:t>existing clear guidance</w:t>
      </w:r>
      <w:r>
        <w:t xml:space="preserve">. </w:t>
      </w:r>
      <w:r w:rsidR="00120644">
        <w:t xml:space="preserve">It is </w:t>
      </w:r>
      <w:r w:rsidR="00BB13CE">
        <w:t xml:space="preserve">critical </w:t>
      </w:r>
      <w:r w:rsidR="00120644">
        <w:t xml:space="preserve">that these factors are addressed to prevent recurrence under </w:t>
      </w:r>
      <w:r w:rsidR="00C62A99">
        <w:t>the new framework/requirements</w:t>
      </w:r>
      <w:r w:rsidR="00120644">
        <w:t xml:space="preserve">. </w:t>
      </w:r>
    </w:p>
    <w:p w14:paraId="12415DC0" w14:textId="5AF3B859" w:rsidR="00C62A99" w:rsidRDefault="00C62A99" w:rsidP="006764B8">
      <w:pPr>
        <w:widowControl w:val="0"/>
        <w:spacing w:after="0" w:line="240" w:lineRule="auto"/>
      </w:pPr>
    </w:p>
    <w:p w14:paraId="52F40C84" w14:textId="7246B512" w:rsidR="00C62A99" w:rsidRDefault="00BF5C9B" w:rsidP="006764B8">
      <w:pPr>
        <w:widowControl w:val="0"/>
        <w:spacing w:after="0" w:line="240" w:lineRule="auto"/>
      </w:pPr>
      <w:r>
        <w:t xml:space="preserve">Providing opportunities for participants to </w:t>
      </w:r>
      <w:r w:rsidRPr="00BF5C9B">
        <w:rPr>
          <w:i/>
        </w:rPr>
        <w:t>safely</w:t>
      </w:r>
      <w:r>
        <w:t xml:space="preserve"> communicate their views, preferences and decisions is an </w:t>
      </w:r>
      <w:r w:rsidR="00BB13CE">
        <w:t xml:space="preserve">important safeguard in relation to abuse, neglect and </w:t>
      </w:r>
      <w:r>
        <w:t xml:space="preserve">exploitation. There must be proactive and concerted steps to ensure that participants </w:t>
      </w:r>
      <w:r w:rsidR="00293663">
        <w:t>have regular opportunities to</w:t>
      </w:r>
      <w:r>
        <w:t xml:space="preserve"> communicate with the NDIA</w:t>
      </w:r>
      <w:r w:rsidR="00293663">
        <w:t xml:space="preserve"> and NDIS services separately – </w:t>
      </w:r>
      <w:proofErr w:type="spellStart"/>
      <w:r w:rsidR="00293663">
        <w:t>ie</w:t>
      </w:r>
      <w:proofErr w:type="spellEnd"/>
      <w:r w:rsidR="00293663">
        <w:t>: without their informal supporter/‘decision-maker’. This applies across all areas, including in nominee appointment processes (</w:t>
      </w:r>
      <w:r w:rsidR="00EB0E4C">
        <w:t xml:space="preserve">for example, </w:t>
      </w:r>
      <w:r w:rsidR="00293663">
        <w:t xml:space="preserve">to enable </w:t>
      </w:r>
      <w:r w:rsidR="00245088">
        <w:t>the</w:t>
      </w:r>
      <w:r w:rsidR="00293663">
        <w:t xml:space="preserve"> participant to signal that they do not want that person to be the nominee). </w:t>
      </w:r>
    </w:p>
    <w:p w14:paraId="09BD8043" w14:textId="44DE4215" w:rsidR="00BB13CE" w:rsidRDefault="00BB13CE" w:rsidP="006764B8">
      <w:pPr>
        <w:widowControl w:val="0"/>
        <w:spacing w:after="0" w:line="240" w:lineRule="auto"/>
      </w:pPr>
    </w:p>
    <w:p w14:paraId="1D99FC3E" w14:textId="71CC9444" w:rsidR="00BB13CE" w:rsidRPr="00245088" w:rsidRDefault="00C62360" w:rsidP="006764B8">
      <w:pPr>
        <w:widowControl w:val="0"/>
        <w:spacing w:after="0" w:line="240" w:lineRule="auto"/>
        <w:rPr>
          <w:b/>
        </w:rPr>
      </w:pPr>
      <w:r>
        <w:rPr>
          <w:b/>
        </w:rPr>
        <w:t>Proactive and early identification of the need for decision-making supports</w:t>
      </w:r>
    </w:p>
    <w:p w14:paraId="778E2C15" w14:textId="77777777" w:rsidR="00546DA6" w:rsidRDefault="00546DA6" w:rsidP="006764B8">
      <w:pPr>
        <w:widowControl w:val="0"/>
        <w:spacing w:before="120" w:after="0" w:line="240" w:lineRule="auto"/>
      </w:pPr>
      <w:r>
        <w:t xml:space="preserve">We support the proposed actions of the NDIA to introduce a formal process to identify a participant’s need for decision-making supports at an early point. </w:t>
      </w:r>
    </w:p>
    <w:p w14:paraId="261FCF0D" w14:textId="77777777" w:rsidR="00546DA6" w:rsidRDefault="00546DA6" w:rsidP="006764B8">
      <w:pPr>
        <w:widowControl w:val="0"/>
        <w:spacing w:after="0" w:line="240" w:lineRule="auto"/>
      </w:pPr>
    </w:p>
    <w:p w14:paraId="23C3C553" w14:textId="0E77D47F" w:rsidR="005D025F" w:rsidRDefault="007845A6" w:rsidP="006764B8">
      <w:pPr>
        <w:widowControl w:val="0"/>
        <w:spacing w:after="0" w:line="240" w:lineRule="auto"/>
      </w:pPr>
      <w:r>
        <w:t>In the context of the work of the ADC, w</w:t>
      </w:r>
      <w:r w:rsidR="00CB0EC5">
        <w:t xml:space="preserve">e </w:t>
      </w:r>
      <w:r w:rsidR="005D025F">
        <w:t xml:space="preserve">have </w:t>
      </w:r>
      <w:r w:rsidR="00C62360">
        <w:t xml:space="preserve">previously </w:t>
      </w:r>
      <w:r w:rsidR="005D025F">
        <w:t xml:space="preserve">advocated for the NDIA to strengthen its processes for </w:t>
      </w:r>
      <w:r w:rsidR="00832DAE">
        <w:t>identifying</w:t>
      </w:r>
      <w:r w:rsidR="005D025F">
        <w:t xml:space="preserve"> and mitigating risks to NDIS participants at their planning meetings and reviews, including:</w:t>
      </w:r>
    </w:p>
    <w:p w14:paraId="3CEC6249" w14:textId="77777777" w:rsidR="005D025F" w:rsidRDefault="005D025F" w:rsidP="006764B8">
      <w:pPr>
        <w:pStyle w:val="ListParagraph"/>
        <w:widowControl w:val="0"/>
        <w:numPr>
          <w:ilvl w:val="0"/>
          <w:numId w:val="29"/>
        </w:numPr>
        <w:spacing w:before="60" w:after="0" w:line="240" w:lineRule="auto"/>
        <w:ind w:left="765" w:hanging="357"/>
        <w:contextualSpacing w:val="0"/>
      </w:pPr>
      <w:r>
        <w:t>requiring face-to-face NDIS planning and review meetings to be the default option for participants</w:t>
      </w:r>
    </w:p>
    <w:p w14:paraId="0F3F6EE7" w14:textId="7F1D9FC3" w:rsidR="005D025F" w:rsidRDefault="005D025F" w:rsidP="006764B8">
      <w:pPr>
        <w:pStyle w:val="ListParagraph"/>
        <w:widowControl w:val="0"/>
        <w:numPr>
          <w:ilvl w:val="0"/>
          <w:numId w:val="29"/>
        </w:numPr>
        <w:spacing w:before="60" w:after="0" w:line="240" w:lineRule="auto"/>
        <w:ind w:left="765" w:hanging="357"/>
        <w:contextualSpacing w:val="0"/>
      </w:pPr>
      <w:r>
        <w:t xml:space="preserve">undertaking a basic risk assessment as part of the NDIS planning process </w:t>
      </w:r>
    </w:p>
    <w:p w14:paraId="131A5BD8" w14:textId="64E1D5FC" w:rsidR="00BB13CE" w:rsidRDefault="005D025F" w:rsidP="006764B8">
      <w:pPr>
        <w:pStyle w:val="ListParagraph"/>
        <w:widowControl w:val="0"/>
        <w:numPr>
          <w:ilvl w:val="0"/>
          <w:numId w:val="29"/>
        </w:numPr>
        <w:spacing w:before="60" w:after="0" w:line="240" w:lineRule="auto"/>
        <w:ind w:left="765" w:hanging="357"/>
        <w:contextualSpacing w:val="0"/>
      </w:pPr>
      <w:proofErr w:type="gramStart"/>
      <w:r>
        <w:t>ensuring</w:t>
      </w:r>
      <w:proofErr w:type="gramEnd"/>
      <w:r>
        <w:t xml:space="preserve"> that the NDIA/ planner is able to confer with the participant alone (or at least without parties that have a vested interest). </w:t>
      </w:r>
    </w:p>
    <w:p w14:paraId="38857C16" w14:textId="7F324D90" w:rsidR="005D025F" w:rsidRDefault="005D025F" w:rsidP="006764B8">
      <w:pPr>
        <w:widowControl w:val="0"/>
        <w:spacing w:after="0" w:line="240" w:lineRule="auto"/>
      </w:pPr>
    </w:p>
    <w:p w14:paraId="7B38FF1D" w14:textId="7DE56017" w:rsidR="00574297" w:rsidRDefault="00832DAE" w:rsidP="006764B8">
      <w:pPr>
        <w:widowControl w:val="0"/>
        <w:spacing w:after="0" w:line="240" w:lineRule="auto"/>
      </w:pPr>
      <w:r>
        <w:t>Part of the benefit of the above mechanisms, among other things, is the structured and reliable opportunity they provide to better identify participants who require particular sup</w:t>
      </w:r>
      <w:r w:rsidR="00FE1CE9">
        <w:t xml:space="preserve">port to mitigate risks; to link them with key safeguards; and </w:t>
      </w:r>
      <w:r w:rsidR="007845A6">
        <w:t xml:space="preserve">to </w:t>
      </w:r>
      <w:r w:rsidR="004F3221">
        <w:t xml:space="preserve">identify and </w:t>
      </w:r>
      <w:r w:rsidR="00FE1CE9">
        <w:t xml:space="preserve">maximise their ability to </w:t>
      </w:r>
      <w:r w:rsidR="007845A6">
        <w:t xml:space="preserve">participate in the planning process and decisions that affect them. </w:t>
      </w:r>
      <w:r w:rsidR="00574297">
        <w:t xml:space="preserve">In this regard, </w:t>
      </w:r>
      <w:r w:rsidR="007066EE">
        <w:t>we consider that</w:t>
      </w:r>
      <w:r w:rsidR="00C62360">
        <w:t xml:space="preserve"> </w:t>
      </w:r>
      <w:r w:rsidR="00574297">
        <w:t>a</w:t>
      </w:r>
      <w:r w:rsidR="007845A6">
        <w:t>ccess to decision</w:t>
      </w:r>
      <w:r w:rsidR="0015688A">
        <w:t>-</w:t>
      </w:r>
      <w:r w:rsidR="007845A6">
        <w:t>making supports and communication supports should be fundamental component</w:t>
      </w:r>
      <w:r w:rsidR="0015688A">
        <w:t>s</w:t>
      </w:r>
      <w:r w:rsidR="007845A6">
        <w:t xml:space="preserve"> of NDIS plans. </w:t>
      </w:r>
    </w:p>
    <w:p w14:paraId="6FA6AC46" w14:textId="77777777" w:rsidR="00574297" w:rsidRDefault="00574297" w:rsidP="006764B8">
      <w:pPr>
        <w:widowControl w:val="0"/>
        <w:spacing w:after="0" w:line="240" w:lineRule="auto"/>
      </w:pPr>
    </w:p>
    <w:p w14:paraId="31447A9A" w14:textId="21396B94" w:rsidR="00574297" w:rsidRPr="00546DA6" w:rsidRDefault="00546DA6" w:rsidP="006764B8">
      <w:pPr>
        <w:widowControl w:val="0"/>
        <w:spacing w:after="0" w:line="240" w:lineRule="auto"/>
        <w:rPr>
          <w:b/>
        </w:rPr>
      </w:pPr>
      <w:r w:rsidRPr="00546DA6">
        <w:rPr>
          <w:b/>
        </w:rPr>
        <w:t>Building decision-making capacity and accessing quality support</w:t>
      </w:r>
    </w:p>
    <w:p w14:paraId="7D72F210" w14:textId="2AEC43C9" w:rsidR="00546DA6" w:rsidRDefault="00DF4568" w:rsidP="006764B8">
      <w:pPr>
        <w:widowControl w:val="0"/>
        <w:spacing w:before="120" w:after="0" w:line="240" w:lineRule="auto"/>
      </w:pPr>
      <w:r>
        <w:t>Providing quality decision-makin</w:t>
      </w:r>
      <w:r w:rsidR="00AD6F72">
        <w:t xml:space="preserve">g support that is free of undue influence, is tailored to the needs of the participant, and helps to build broader decision-making capability in the participant, requires an informed approach. </w:t>
      </w:r>
      <w:r w:rsidR="007066EE">
        <w:t xml:space="preserve">We welcome the inclusion in the proposed framework of support, guidance and training for decision ‘supporters’, with a focus by the NDIA on identifying and promoting best practice. </w:t>
      </w:r>
    </w:p>
    <w:p w14:paraId="44F1466B" w14:textId="68234D75" w:rsidR="007066EE" w:rsidRDefault="007066EE" w:rsidP="006764B8">
      <w:pPr>
        <w:widowControl w:val="0"/>
        <w:spacing w:after="0" w:line="240" w:lineRule="auto"/>
      </w:pPr>
    </w:p>
    <w:p w14:paraId="2D5F677C" w14:textId="6FC37DF3" w:rsidR="007066EE" w:rsidRDefault="007066EE" w:rsidP="006764B8">
      <w:pPr>
        <w:widowControl w:val="0"/>
        <w:spacing w:after="0" w:line="240" w:lineRule="auto"/>
      </w:pPr>
      <w:r>
        <w:t>In our view, there is an important</w:t>
      </w:r>
      <w:r w:rsidR="00DC2B2F">
        <w:t xml:space="preserve"> – and should be an enhanced – </w:t>
      </w:r>
      <w:r>
        <w:t>role for the Information, Linkages and Capacity Building (ILC) arm of the NDIS</w:t>
      </w:r>
      <w:r w:rsidR="00DC2B2F">
        <w:t xml:space="preserve"> in supporting and building decision-making capacity in relation to participants and their supporters. </w:t>
      </w:r>
      <w:r w:rsidR="005E4C87">
        <w:t xml:space="preserve">In addition, we </w:t>
      </w:r>
      <w:r w:rsidR="0007532B">
        <w:t xml:space="preserve">consider that there is </w:t>
      </w:r>
      <w:r w:rsidR="0079174B">
        <w:t>a</w:t>
      </w:r>
      <w:r w:rsidR="005E4C87">
        <w:t xml:space="preserve"> role for the ILC </w:t>
      </w:r>
      <w:r w:rsidR="00C32B9C">
        <w:t xml:space="preserve">stream </w:t>
      </w:r>
      <w:r w:rsidR="005E4C87">
        <w:t xml:space="preserve">in ‘recruiting’ and upskilling others to be able to provide informal or formal decision-making support to people with disability who need this assistance, enabling proactive development of </w:t>
      </w:r>
      <w:r w:rsidR="0037474C">
        <w:t>wider</w:t>
      </w:r>
      <w:r w:rsidR="00D35BA1">
        <w:t xml:space="preserve"> </w:t>
      </w:r>
      <w:r w:rsidR="005E4C87">
        <w:t xml:space="preserve">decision-support networks. </w:t>
      </w:r>
    </w:p>
    <w:p w14:paraId="61E3E406" w14:textId="69454378" w:rsidR="00C32B9C" w:rsidRDefault="00C32B9C" w:rsidP="006764B8">
      <w:pPr>
        <w:widowControl w:val="0"/>
        <w:spacing w:after="0" w:line="240" w:lineRule="auto"/>
      </w:pPr>
    </w:p>
    <w:p w14:paraId="0CBD3E20" w14:textId="422C44B0" w:rsidR="00836C96" w:rsidRDefault="00C32B9C" w:rsidP="006764B8">
      <w:pPr>
        <w:widowControl w:val="0"/>
        <w:spacing w:after="0" w:line="240" w:lineRule="auto"/>
      </w:pPr>
      <w:r>
        <w:t xml:space="preserve">On a related note, </w:t>
      </w:r>
      <w:r w:rsidR="0079174B">
        <w:t>there would be merit in examining options for funding professional decision support for participants who need it. That is, the ability for a participant to be able to engage, as part of their NDIS plan, a</w:t>
      </w:r>
      <w:r w:rsidR="0007532B">
        <w:t>n appropriately skilled</w:t>
      </w:r>
      <w:r w:rsidR="0079174B">
        <w:t xml:space="preserve"> </w:t>
      </w:r>
      <w:r w:rsidR="006019F3">
        <w:t xml:space="preserve">and independent </w:t>
      </w:r>
      <w:r w:rsidR="0079174B">
        <w:t>decision-making supporter. In our view, this would be particularly beneficial in situations</w:t>
      </w:r>
      <w:r w:rsidR="009961E1">
        <w:t>/ decisions</w:t>
      </w:r>
      <w:r w:rsidR="0079174B">
        <w:t xml:space="preserve"> involving higher levels of risk</w:t>
      </w:r>
      <w:r w:rsidR="009961E1">
        <w:t xml:space="preserve"> or complexity, and/or for participants with complex support needs. </w:t>
      </w:r>
    </w:p>
    <w:sectPr w:rsidR="00836C96" w:rsidSect="006764B8">
      <w:footerReference w:type="default" r:id="rId8"/>
      <w:headerReference w:type="first" r:id="rId9"/>
      <w:footerReference w:type="first" r:id="rId10"/>
      <w:pgSz w:w="11906" w:h="16838" w:code="9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6524" w14:textId="77777777" w:rsidR="00281D08" w:rsidRDefault="00281D08">
      <w:pPr>
        <w:spacing w:after="0" w:line="240" w:lineRule="auto"/>
      </w:pPr>
      <w:r>
        <w:separator/>
      </w:r>
    </w:p>
  </w:endnote>
  <w:endnote w:type="continuationSeparator" w:id="0">
    <w:p w14:paraId="444F565A" w14:textId="77777777" w:rsidR="00281D08" w:rsidRDefault="0028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6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04C1D" w14:textId="444A50F2" w:rsidR="00281D08" w:rsidRDefault="00281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34BECA" w14:textId="77777777" w:rsidR="00281D08" w:rsidRDefault="00281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6E52" w14:textId="77777777" w:rsidR="00281D08" w:rsidRDefault="00281D08">
    <w:pPr>
      <w:pStyle w:val="Footer"/>
    </w:pPr>
    <w:r>
      <w:rPr>
        <w:b/>
        <w:noProof/>
        <w:lang w:eastAsia="en-AU"/>
      </w:rPr>
      <w:drawing>
        <wp:anchor distT="0" distB="0" distL="114300" distR="114300" simplePos="0" relativeHeight="251660288" behindDoc="1" locked="0" layoutInCell="1" allowOverlap="1" wp14:anchorId="4C40608E" wp14:editId="5CC50F23">
          <wp:simplePos x="0" y="0"/>
          <wp:positionH relativeFrom="page">
            <wp:posOffset>-104775</wp:posOffset>
          </wp:positionH>
          <wp:positionV relativeFrom="paragraph">
            <wp:posOffset>-282575</wp:posOffset>
          </wp:positionV>
          <wp:extent cx="2885704" cy="106299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ve - Landscape - Footer - v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82" r="62939"/>
                  <a:stretch/>
                </pic:blipFill>
                <pic:spPr bwMode="auto">
                  <a:xfrm>
                    <a:off x="0" y="0"/>
                    <a:ext cx="2885704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0871" w14:textId="77777777" w:rsidR="00281D08" w:rsidRDefault="00281D08">
      <w:pPr>
        <w:spacing w:after="0" w:line="240" w:lineRule="auto"/>
      </w:pPr>
      <w:r>
        <w:separator/>
      </w:r>
    </w:p>
  </w:footnote>
  <w:footnote w:type="continuationSeparator" w:id="0">
    <w:p w14:paraId="428EDF0D" w14:textId="77777777" w:rsidR="00281D08" w:rsidRDefault="0028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6CFE" w14:textId="77777777" w:rsidR="00281D08" w:rsidRDefault="00281D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383B59" wp14:editId="6949B8B8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14886" cy="180594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W FACS - Ageing and Disability Commission - Letterhead -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886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5D"/>
    <w:multiLevelType w:val="hybridMultilevel"/>
    <w:tmpl w:val="5106E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5CA"/>
    <w:multiLevelType w:val="hybridMultilevel"/>
    <w:tmpl w:val="E4B48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4307"/>
    <w:multiLevelType w:val="hybridMultilevel"/>
    <w:tmpl w:val="6D32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946"/>
    <w:multiLevelType w:val="hybridMultilevel"/>
    <w:tmpl w:val="6B24C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C1"/>
    <w:multiLevelType w:val="hybridMultilevel"/>
    <w:tmpl w:val="D6980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6273"/>
    <w:multiLevelType w:val="hybridMultilevel"/>
    <w:tmpl w:val="62FE14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F27ACF"/>
    <w:multiLevelType w:val="hybridMultilevel"/>
    <w:tmpl w:val="34B20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2CAA"/>
    <w:multiLevelType w:val="hybridMultilevel"/>
    <w:tmpl w:val="71846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177F"/>
    <w:multiLevelType w:val="hybridMultilevel"/>
    <w:tmpl w:val="15D4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E5DC4"/>
    <w:multiLevelType w:val="hybridMultilevel"/>
    <w:tmpl w:val="D340E0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6800BA"/>
    <w:multiLevelType w:val="hybridMultilevel"/>
    <w:tmpl w:val="F6DC08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E5640"/>
    <w:multiLevelType w:val="hybridMultilevel"/>
    <w:tmpl w:val="23C24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2EF"/>
    <w:multiLevelType w:val="hybridMultilevel"/>
    <w:tmpl w:val="3142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4FD7"/>
    <w:multiLevelType w:val="hybridMultilevel"/>
    <w:tmpl w:val="6DAA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15BF5"/>
    <w:multiLevelType w:val="hybridMultilevel"/>
    <w:tmpl w:val="023CFB0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C8E2F12"/>
    <w:multiLevelType w:val="hybridMultilevel"/>
    <w:tmpl w:val="EB7A4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3856"/>
    <w:multiLevelType w:val="hybridMultilevel"/>
    <w:tmpl w:val="11A080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726F22"/>
    <w:multiLevelType w:val="hybridMultilevel"/>
    <w:tmpl w:val="70EEE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9081B"/>
    <w:multiLevelType w:val="hybridMultilevel"/>
    <w:tmpl w:val="52E0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81F"/>
    <w:multiLevelType w:val="hybridMultilevel"/>
    <w:tmpl w:val="9EC225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68A5"/>
    <w:multiLevelType w:val="hybridMultilevel"/>
    <w:tmpl w:val="C358826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2FD429C"/>
    <w:multiLevelType w:val="hybridMultilevel"/>
    <w:tmpl w:val="24CAE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70E2"/>
    <w:multiLevelType w:val="hybridMultilevel"/>
    <w:tmpl w:val="98BE2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2CC2"/>
    <w:multiLevelType w:val="hybridMultilevel"/>
    <w:tmpl w:val="AF3078B6"/>
    <w:lvl w:ilvl="0" w:tplc="0C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100E8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E505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CF62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76E1E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A6FFE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AC920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4E54A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4C3D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7157CC"/>
    <w:multiLevelType w:val="hybridMultilevel"/>
    <w:tmpl w:val="07CA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1C25"/>
    <w:multiLevelType w:val="hybridMultilevel"/>
    <w:tmpl w:val="C338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6012D"/>
    <w:multiLevelType w:val="hybridMultilevel"/>
    <w:tmpl w:val="369440E8"/>
    <w:lvl w:ilvl="0" w:tplc="EE4C7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A31CD"/>
    <w:multiLevelType w:val="multilevel"/>
    <w:tmpl w:val="08E4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9272C79"/>
    <w:multiLevelType w:val="hybridMultilevel"/>
    <w:tmpl w:val="F4F0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5"/>
  </w:num>
  <w:num w:numId="5">
    <w:abstractNumId w:val="24"/>
  </w:num>
  <w:num w:numId="6">
    <w:abstractNumId w:val="27"/>
  </w:num>
  <w:num w:numId="7">
    <w:abstractNumId w:val="6"/>
  </w:num>
  <w:num w:numId="8">
    <w:abstractNumId w:val="13"/>
  </w:num>
  <w:num w:numId="9">
    <w:abstractNumId w:val="26"/>
  </w:num>
  <w:num w:numId="10">
    <w:abstractNumId w:val="0"/>
  </w:num>
  <w:num w:numId="11">
    <w:abstractNumId w:val="22"/>
  </w:num>
  <w:num w:numId="12">
    <w:abstractNumId w:val="1"/>
  </w:num>
  <w:num w:numId="13">
    <w:abstractNumId w:val="15"/>
  </w:num>
  <w:num w:numId="14">
    <w:abstractNumId w:val="2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28"/>
  </w:num>
  <w:num w:numId="20">
    <w:abstractNumId w:val="21"/>
  </w:num>
  <w:num w:numId="21">
    <w:abstractNumId w:val="12"/>
  </w:num>
  <w:num w:numId="22">
    <w:abstractNumId w:val="25"/>
  </w:num>
  <w:num w:numId="23">
    <w:abstractNumId w:val="18"/>
  </w:num>
  <w:num w:numId="24">
    <w:abstractNumId w:val="20"/>
  </w:num>
  <w:num w:numId="25">
    <w:abstractNumId w:val="4"/>
  </w:num>
  <w:num w:numId="26">
    <w:abstractNumId w:val="16"/>
  </w:num>
  <w:num w:numId="27">
    <w:abstractNumId w:val="10"/>
  </w:num>
  <w:num w:numId="28">
    <w:abstractNumId w:val="19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4"/>
    <w:rsid w:val="00001BF3"/>
    <w:rsid w:val="00002BC8"/>
    <w:rsid w:val="000041AE"/>
    <w:rsid w:val="00020272"/>
    <w:rsid w:val="0002142E"/>
    <w:rsid w:val="00022D26"/>
    <w:rsid w:val="00023624"/>
    <w:rsid w:val="0002543B"/>
    <w:rsid w:val="0003049A"/>
    <w:rsid w:val="00040385"/>
    <w:rsid w:val="000423AE"/>
    <w:rsid w:val="00043E25"/>
    <w:rsid w:val="000458A8"/>
    <w:rsid w:val="0005198B"/>
    <w:rsid w:val="00051AE0"/>
    <w:rsid w:val="00052248"/>
    <w:rsid w:val="0005231F"/>
    <w:rsid w:val="00053B00"/>
    <w:rsid w:val="00055F85"/>
    <w:rsid w:val="0005726D"/>
    <w:rsid w:val="00064A08"/>
    <w:rsid w:val="000660C9"/>
    <w:rsid w:val="00070994"/>
    <w:rsid w:val="00072C7E"/>
    <w:rsid w:val="00072E7F"/>
    <w:rsid w:val="0007532B"/>
    <w:rsid w:val="000868D6"/>
    <w:rsid w:val="00090907"/>
    <w:rsid w:val="00091476"/>
    <w:rsid w:val="000918C0"/>
    <w:rsid w:val="00097018"/>
    <w:rsid w:val="00097AC5"/>
    <w:rsid w:val="00097F3E"/>
    <w:rsid w:val="000A0168"/>
    <w:rsid w:val="000A5DB9"/>
    <w:rsid w:val="000A6E56"/>
    <w:rsid w:val="000A6FE5"/>
    <w:rsid w:val="000A7E76"/>
    <w:rsid w:val="000B30D7"/>
    <w:rsid w:val="000B5E19"/>
    <w:rsid w:val="000B6998"/>
    <w:rsid w:val="000B6A21"/>
    <w:rsid w:val="000C0F2E"/>
    <w:rsid w:val="000C1726"/>
    <w:rsid w:val="000C3BAC"/>
    <w:rsid w:val="000C7755"/>
    <w:rsid w:val="000E00AC"/>
    <w:rsid w:val="000E33DE"/>
    <w:rsid w:val="000E48AB"/>
    <w:rsid w:val="000F305D"/>
    <w:rsid w:val="000F5221"/>
    <w:rsid w:val="000F5D6C"/>
    <w:rsid w:val="000F6B23"/>
    <w:rsid w:val="0010142A"/>
    <w:rsid w:val="001015B7"/>
    <w:rsid w:val="0010172D"/>
    <w:rsid w:val="00101973"/>
    <w:rsid w:val="00105DCD"/>
    <w:rsid w:val="00105EF2"/>
    <w:rsid w:val="00105F52"/>
    <w:rsid w:val="00106ED9"/>
    <w:rsid w:val="00113D1B"/>
    <w:rsid w:val="00117025"/>
    <w:rsid w:val="00117DB6"/>
    <w:rsid w:val="00120644"/>
    <w:rsid w:val="001240F5"/>
    <w:rsid w:val="001249A1"/>
    <w:rsid w:val="001413E8"/>
    <w:rsid w:val="00144B45"/>
    <w:rsid w:val="0015310C"/>
    <w:rsid w:val="0015688A"/>
    <w:rsid w:val="00161DEB"/>
    <w:rsid w:val="00171D49"/>
    <w:rsid w:val="00174463"/>
    <w:rsid w:val="00175B92"/>
    <w:rsid w:val="0017797D"/>
    <w:rsid w:val="00180C1A"/>
    <w:rsid w:val="0019131D"/>
    <w:rsid w:val="001927CB"/>
    <w:rsid w:val="00193477"/>
    <w:rsid w:val="00196CD1"/>
    <w:rsid w:val="001973CC"/>
    <w:rsid w:val="001A0FD4"/>
    <w:rsid w:val="001B2A8C"/>
    <w:rsid w:val="001B645F"/>
    <w:rsid w:val="001C0888"/>
    <w:rsid w:val="001C10A9"/>
    <w:rsid w:val="001C5A25"/>
    <w:rsid w:val="001D087D"/>
    <w:rsid w:val="001D2BA4"/>
    <w:rsid w:val="001D3871"/>
    <w:rsid w:val="001E236E"/>
    <w:rsid w:val="001E4F6C"/>
    <w:rsid w:val="001F5886"/>
    <w:rsid w:val="001F79D6"/>
    <w:rsid w:val="00202BB1"/>
    <w:rsid w:val="0020492E"/>
    <w:rsid w:val="002075E9"/>
    <w:rsid w:val="00214D89"/>
    <w:rsid w:val="00222799"/>
    <w:rsid w:val="00223568"/>
    <w:rsid w:val="0022703E"/>
    <w:rsid w:val="00231DAD"/>
    <w:rsid w:val="00232061"/>
    <w:rsid w:val="00234482"/>
    <w:rsid w:val="00243D36"/>
    <w:rsid w:val="00245088"/>
    <w:rsid w:val="002463E2"/>
    <w:rsid w:val="002463FD"/>
    <w:rsid w:val="00252756"/>
    <w:rsid w:val="00257099"/>
    <w:rsid w:val="002633CB"/>
    <w:rsid w:val="0027040F"/>
    <w:rsid w:val="00276DC7"/>
    <w:rsid w:val="00281D08"/>
    <w:rsid w:val="00282947"/>
    <w:rsid w:val="00285BD3"/>
    <w:rsid w:val="00293663"/>
    <w:rsid w:val="002A0E29"/>
    <w:rsid w:val="002C3111"/>
    <w:rsid w:val="002C4322"/>
    <w:rsid w:val="002D1263"/>
    <w:rsid w:val="002D5D94"/>
    <w:rsid w:val="002E05BC"/>
    <w:rsid w:val="002E1C21"/>
    <w:rsid w:val="002E204B"/>
    <w:rsid w:val="002E3E6B"/>
    <w:rsid w:val="002E404D"/>
    <w:rsid w:val="002E7011"/>
    <w:rsid w:val="002F1A6D"/>
    <w:rsid w:val="002F3CA0"/>
    <w:rsid w:val="002F462B"/>
    <w:rsid w:val="00302397"/>
    <w:rsid w:val="00310739"/>
    <w:rsid w:val="00312269"/>
    <w:rsid w:val="00317672"/>
    <w:rsid w:val="00326493"/>
    <w:rsid w:val="00327DAB"/>
    <w:rsid w:val="0033474A"/>
    <w:rsid w:val="003449E5"/>
    <w:rsid w:val="0034754C"/>
    <w:rsid w:val="003512D0"/>
    <w:rsid w:val="00353A9F"/>
    <w:rsid w:val="00353AED"/>
    <w:rsid w:val="00355AC9"/>
    <w:rsid w:val="00357A8F"/>
    <w:rsid w:val="00357CFB"/>
    <w:rsid w:val="00360D61"/>
    <w:rsid w:val="0036142D"/>
    <w:rsid w:val="00361674"/>
    <w:rsid w:val="00371899"/>
    <w:rsid w:val="00371B4B"/>
    <w:rsid w:val="003746E7"/>
    <w:rsid w:val="0037474C"/>
    <w:rsid w:val="0038047B"/>
    <w:rsid w:val="00382C0E"/>
    <w:rsid w:val="00387BD3"/>
    <w:rsid w:val="003902BE"/>
    <w:rsid w:val="0039067D"/>
    <w:rsid w:val="0039330A"/>
    <w:rsid w:val="0039336B"/>
    <w:rsid w:val="0039359C"/>
    <w:rsid w:val="00394882"/>
    <w:rsid w:val="003A3BEB"/>
    <w:rsid w:val="003A3E03"/>
    <w:rsid w:val="003A5281"/>
    <w:rsid w:val="003A6784"/>
    <w:rsid w:val="003B0B65"/>
    <w:rsid w:val="003B3909"/>
    <w:rsid w:val="003C7EF9"/>
    <w:rsid w:val="003D0613"/>
    <w:rsid w:val="003D3B9B"/>
    <w:rsid w:val="003D448B"/>
    <w:rsid w:val="003E02F2"/>
    <w:rsid w:val="003E1E10"/>
    <w:rsid w:val="003E20A6"/>
    <w:rsid w:val="003E2FEA"/>
    <w:rsid w:val="003E4B8E"/>
    <w:rsid w:val="00402A04"/>
    <w:rsid w:val="00405009"/>
    <w:rsid w:val="00411F2F"/>
    <w:rsid w:val="00412232"/>
    <w:rsid w:val="00420DCE"/>
    <w:rsid w:val="004221A6"/>
    <w:rsid w:val="004222EB"/>
    <w:rsid w:val="0042364C"/>
    <w:rsid w:val="00427F28"/>
    <w:rsid w:val="004340BF"/>
    <w:rsid w:val="00445C5E"/>
    <w:rsid w:val="004535E1"/>
    <w:rsid w:val="0045784C"/>
    <w:rsid w:val="00462530"/>
    <w:rsid w:val="004710C8"/>
    <w:rsid w:val="00472D0E"/>
    <w:rsid w:val="00475FCC"/>
    <w:rsid w:val="00477AA9"/>
    <w:rsid w:val="00480F54"/>
    <w:rsid w:val="004837F5"/>
    <w:rsid w:val="00487400"/>
    <w:rsid w:val="00491669"/>
    <w:rsid w:val="00495615"/>
    <w:rsid w:val="0049711C"/>
    <w:rsid w:val="0049750A"/>
    <w:rsid w:val="004B028A"/>
    <w:rsid w:val="004B2A41"/>
    <w:rsid w:val="004D2072"/>
    <w:rsid w:val="004D4B37"/>
    <w:rsid w:val="004E1DBD"/>
    <w:rsid w:val="004E333D"/>
    <w:rsid w:val="004F0DED"/>
    <w:rsid w:val="004F1B78"/>
    <w:rsid w:val="004F3221"/>
    <w:rsid w:val="00500A2C"/>
    <w:rsid w:val="005035CE"/>
    <w:rsid w:val="005038BF"/>
    <w:rsid w:val="00506A2E"/>
    <w:rsid w:val="00512AFA"/>
    <w:rsid w:val="005215C0"/>
    <w:rsid w:val="00522C3F"/>
    <w:rsid w:val="00525E51"/>
    <w:rsid w:val="00527261"/>
    <w:rsid w:val="00531186"/>
    <w:rsid w:val="00532E22"/>
    <w:rsid w:val="00535CFF"/>
    <w:rsid w:val="005402EF"/>
    <w:rsid w:val="005435C7"/>
    <w:rsid w:val="00546467"/>
    <w:rsid w:val="00546DA6"/>
    <w:rsid w:val="0055015A"/>
    <w:rsid w:val="00552E7D"/>
    <w:rsid w:val="005609D9"/>
    <w:rsid w:val="00572AC3"/>
    <w:rsid w:val="00574297"/>
    <w:rsid w:val="005755E8"/>
    <w:rsid w:val="00576620"/>
    <w:rsid w:val="005769E4"/>
    <w:rsid w:val="0058018E"/>
    <w:rsid w:val="005806D4"/>
    <w:rsid w:val="00582805"/>
    <w:rsid w:val="00582D62"/>
    <w:rsid w:val="00583F29"/>
    <w:rsid w:val="005850E0"/>
    <w:rsid w:val="00585D6A"/>
    <w:rsid w:val="0059027C"/>
    <w:rsid w:val="0059331B"/>
    <w:rsid w:val="00596CDE"/>
    <w:rsid w:val="005972BF"/>
    <w:rsid w:val="00597E53"/>
    <w:rsid w:val="00597FA5"/>
    <w:rsid w:val="00597FDE"/>
    <w:rsid w:val="005A09B5"/>
    <w:rsid w:val="005A3F1D"/>
    <w:rsid w:val="005A3FEC"/>
    <w:rsid w:val="005A428D"/>
    <w:rsid w:val="005A77A3"/>
    <w:rsid w:val="005B30A5"/>
    <w:rsid w:val="005B7684"/>
    <w:rsid w:val="005C38C6"/>
    <w:rsid w:val="005C6764"/>
    <w:rsid w:val="005C6A55"/>
    <w:rsid w:val="005D025F"/>
    <w:rsid w:val="005D1122"/>
    <w:rsid w:val="005D2FBF"/>
    <w:rsid w:val="005D5EBF"/>
    <w:rsid w:val="005D75BB"/>
    <w:rsid w:val="005E4C87"/>
    <w:rsid w:val="005F36E1"/>
    <w:rsid w:val="005F3E7C"/>
    <w:rsid w:val="005F5F7B"/>
    <w:rsid w:val="005F7BB0"/>
    <w:rsid w:val="006019F3"/>
    <w:rsid w:val="006069F1"/>
    <w:rsid w:val="006107C6"/>
    <w:rsid w:val="00612F84"/>
    <w:rsid w:val="00613F14"/>
    <w:rsid w:val="00615756"/>
    <w:rsid w:val="00620908"/>
    <w:rsid w:val="00621802"/>
    <w:rsid w:val="00626256"/>
    <w:rsid w:val="006268A3"/>
    <w:rsid w:val="006338D5"/>
    <w:rsid w:val="00633AA9"/>
    <w:rsid w:val="00635105"/>
    <w:rsid w:val="00635764"/>
    <w:rsid w:val="00635AE1"/>
    <w:rsid w:val="0064014A"/>
    <w:rsid w:val="0064306D"/>
    <w:rsid w:val="00644C97"/>
    <w:rsid w:val="00654783"/>
    <w:rsid w:val="006550FB"/>
    <w:rsid w:val="00660C9E"/>
    <w:rsid w:val="006628D9"/>
    <w:rsid w:val="00671897"/>
    <w:rsid w:val="006725F3"/>
    <w:rsid w:val="00674690"/>
    <w:rsid w:val="006764B8"/>
    <w:rsid w:val="0067688A"/>
    <w:rsid w:val="0068104B"/>
    <w:rsid w:val="00682977"/>
    <w:rsid w:val="006829C3"/>
    <w:rsid w:val="00682C67"/>
    <w:rsid w:val="00683192"/>
    <w:rsid w:val="0068352E"/>
    <w:rsid w:val="00684562"/>
    <w:rsid w:val="006A23E7"/>
    <w:rsid w:val="006A305C"/>
    <w:rsid w:val="006A5314"/>
    <w:rsid w:val="006A6234"/>
    <w:rsid w:val="006A6C7B"/>
    <w:rsid w:val="006A73B2"/>
    <w:rsid w:val="006B03BF"/>
    <w:rsid w:val="006B2A8E"/>
    <w:rsid w:val="006B2C0D"/>
    <w:rsid w:val="006C0249"/>
    <w:rsid w:val="006C15F5"/>
    <w:rsid w:val="006C4219"/>
    <w:rsid w:val="006C55B8"/>
    <w:rsid w:val="006C5756"/>
    <w:rsid w:val="006C7FF1"/>
    <w:rsid w:val="006D207A"/>
    <w:rsid w:val="006D752A"/>
    <w:rsid w:val="006F0EEF"/>
    <w:rsid w:val="006F3127"/>
    <w:rsid w:val="00700401"/>
    <w:rsid w:val="00704AAC"/>
    <w:rsid w:val="00705FBE"/>
    <w:rsid w:val="007066EE"/>
    <w:rsid w:val="007079EE"/>
    <w:rsid w:val="00711245"/>
    <w:rsid w:val="00711C8D"/>
    <w:rsid w:val="0071285A"/>
    <w:rsid w:val="00717815"/>
    <w:rsid w:val="00721317"/>
    <w:rsid w:val="00723D83"/>
    <w:rsid w:val="0072500B"/>
    <w:rsid w:val="00726BF2"/>
    <w:rsid w:val="007277F3"/>
    <w:rsid w:val="00731D5C"/>
    <w:rsid w:val="007325FE"/>
    <w:rsid w:val="00732D38"/>
    <w:rsid w:val="00740EED"/>
    <w:rsid w:val="007424BE"/>
    <w:rsid w:val="00751BC4"/>
    <w:rsid w:val="0075267C"/>
    <w:rsid w:val="00753B56"/>
    <w:rsid w:val="00755689"/>
    <w:rsid w:val="00755B44"/>
    <w:rsid w:val="007605AD"/>
    <w:rsid w:val="00760608"/>
    <w:rsid w:val="0076393D"/>
    <w:rsid w:val="00766A5F"/>
    <w:rsid w:val="00767105"/>
    <w:rsid w:val="00767117"/>
    <w:rsid w:val="00771640"/>
    <w:rsid w:val="00771F7E"/>
    <w:rsid w:val="007825BE"/>
    <w:rsid w:val="0078345E"/>
    <w:rsid w:val="007845A6"/>
    <w:rsid w:val="0079174B"/>
    <w:rsid w:val="00797EBA"/>
    <w:rsid w:val="007A5716"/>
    <w:rsid w:val="007A67EC"/>
    <w:rsid w:val="007B14C8"/>
    <w:rsid w:val="007B30C0"/>
    <w:rsid w:val="007B3A23"/>
    <w:rsid w:val="007C172C"/>
    <w:rsid w:val="007C3FD6"/>
    <w:rsid w:val="007C7BB9"/>
    <w:rsid w:val="007D4668"/>
    <w:rsid w:val="007D59DE"/>
    <w:rsid w:val="007D5A38"/>
    <w:rsid w:val="007D690F"/>
    <w:rsid w:val="007E3838"/>
    <w:rsid w:val="007E3A40"/>
    <w:rsid w:val="007F42F3"/>
    <w:rsid w:val="007F4B43"/>
    <w:rsid w:val="007F55F8"/>
    <w:rsid w:val="00801B8A"/>
    <w:rsid w:val="00805F79"/>
    <w:rsid w:val="00813C84"/>
    <w:rsid w:val="008144F7"/>
    <w:rsid w:val="008160BE"/>
    <w:rsid w:val="00830DD0"/>
    <w:rsid w:val="00832DAE"/>
    <w:rsid w:val="00836C96"/>
    <w:rsid w:val="008371D2"/>
    <w:rsid w:val="00850E6E"/>
    <w:rsid w:val="00851A67"/>
    <w:rsid w:val="00855B8B"/>
    <w:rsid w:val="008564CB"/>
    <w:rsid w:val="00864FE9"/>
    <w:rsid w:val="00867732"/>
    <w:rsid w:val="00871302"/>
    <w:rsid w:val="008716C7"/>
    <w:rsid w:val="00880E93"/>
    <w:rsid w:val="00890C1F"/>
    <w:rsid w:val="008931FD"/>
    <w:rsid w:val="00896AAF"/>
    <w:rsid w:val="008A2B5C"/>
    <w:rsid w:val="008A3116"/>
    <w:rsid w:val="008A3660"/>
    <w:rsid w:val="008A3A96"/>
    <w:rsid w:val="008A51B8"/>
    <w:rsid w:val="008B1020"/>
    <w:rsid w:val="008B3298"/>
    <w:rsid w:val="008C4704"/>
    <w:rsid w:val="008C4768"/>
    <w:rsid w:val="008C5859"/>
    <w:rsid w:val="008C6C4F"/>
    <w:rsid w:val="008C7C22"/>
    <w:rsid w:val="008D2BE5"/>
    <w:rsid w:val="008D2DDC"/>
    <w:rsid w:val="008D649F"/>
    <w:rsid w:val="008D65E2"/>
    <w:rsid w:val="008E526B"/>
    <w:rsid w:val="008F697F"/>
    <w:rsid w:val="008F7769"/>
    <w:rsid w:val="0090069D"/>
    <w:rsid w:val="00902062"/>
    <w:rsid w:val="00905E91"/>
    <w:rsid w:val="009118B1"/>
    <w:rsid w:val="00913246"/>
    <w:rsid w:val="0091348F"/>
    <w:rsid w:val="009147C9"/>
    <w:rsid w:val="0091573A"/>
    <w:rsid w:val="00916F55"/>
    <w:rsid w:val="00922114"/>
    <w:rsid w:val="0092692A"/>
    <w:rsid w:val="00931ED9"/>
    <w:rsid w:val="00936F43"/>
    <w:rsid w:val="00941E3A"/>
    <w:rsid w:val="009433C2"/>
    <w:rsid w:val="00944081"/>
    <w:rsid w:val="009471FF"/>
    <w:rsid w:val="00947446"/>
    <w:rsid w:val="00950004"/>
    <w:rsid w:val="0095020D"/>
    <w:rsid w:val="00952E6A"/>
    <w:rsid w:val="00962AA2"/>
    <w:rsid w:val="00963F54"/>
    <w:rsid w:val="009644E9"/>
    <w:rsid w:val="00965AD7"/>
    <w:rsid w:val="00965BFD"/>
    <w:rsid w:val="00966776"/>
    <w:rsid w:val="00970924"/>
    <w:rsid w:val="00970FB0"/>
    <w:rsid w:val="0097134C"/>
    <w:rsid w:val="00973152"/>
    <w:rsid w:val="00973F88"/>
    <w:rsid w:val="00975566"/>
    <w:rsid w:val="009777FA"/>
    <w:rsid w:val="00981566"/>
    <w:rsid w:val="00981BF4"/>
    <w:rsid w:val="00990B03"/>
    <w:rsid w:val="009938EA"/>
    <w:rsid w:val="009942C3"/>
    <w:rsid w:val="00994ED0"/>
    <w:rsid w:val="009961E1"/>
    <w:rsid w:val="00996222"/>
    <w:rsid w:val="009978A9"/>
    <w:rsid w:val="009A0049"/>
    <w:rsid w:val="009A0C93"/>
    <w:rsid w:val="009A16D3"/>
    <w:rsid w:val="009A24E8"/>
    <w:rsid w:val="009A299B"/>
    <w:rsid w:val="009A4B68"/>
    <w:rsid w:val="009A6881"/>
    <w:rsid w:val="009A6E67"/>
    <w:rsid w:val="009B1044"/>
    <w:rsid w:val="009B1720"/>
    <w:rsid w:val="009B17FA"/>
    <w:rsid w:val="009B6A38"/>
    <w:rsid w:val="009B773C"/>
    <w:rsid w:val="009C0628"/>
    <w:rsid w:val="009D54EF"/>
    <w:rsid w:val="009E2698"/>
    <w:rsid w:val="009E5A76"/>
    <w:rsid w:val="009E5F01"/>
    <w:rsid w:val="009E7061"/>
    <w:rsid w:val="009F1744"/>
    <w:rsid w:val="009F189E"/>
    <w:rsid w:val="009F2ADC"/>
    <w:rsid w:val="009F2F50"/>
    <w:rsid w:val="009F3C2F"/>
    <w:rsid w:val="009F4F2F"/>
    <w:rsid w:val="009F6EEE"/>
    <w:rsid w:val="00A0455E"/>
    <w:rsid w:val="00A116CC"/>
    <w:rsid w:val="00A125C4"/>
    <w:rsid w:val="00A1325E"/>
    <w:rsid w:val="00A14D97"/>
    <w:rsid w:val="00A17C21"/>
    <w:rsid w:val="00A24CAC"/>
    <w:rsid w:val="00A3686A"/>
    <w:rsid w:val="00A40D63"/>
    <w:rsid w:val="00A45B13"/>
    <w:rsid w:val="00A46D3A"/>
    <w:rsid w:val="00A47D4D"/>
    <w:rsid w:val="00A5279E"/>
    <w:rsid w:val="00A5506B"/>
    <w:rsid w:val="00A55156"/>
    <w:rsid w:val="00A56E89"/>
    <w:rsid w:val="00A616F9"/>
    <w:rsid w:val="00A62473"/>
    <w:rsid w:val="00A739D8"/>
    <w:rsid w:val="00A75455"/>
    <w:rsid w:val="00A81508"/>
    <w:rsid w:val="00A87B86"/>
    <w:rsid w:val="00A909E8"/>
    <w:rsid w:val="00A914F3"/>
    <w:rsid w:val="00A94293"/>
    <w:rsid w:val="00A95311"/>
    <w:rsid w:val="00A962D0"/>
    <w:rsid w:val="00A976EE"/>
    <w:rsid w:val="00AA132A"/>
    <w:rsid w:val="00AA1606"/>
    <w:rsid w:val="00AA1F2A"/>
    <w:rsid w:val="00AA3E5D"/>
    <w:rsid w:val="00AA3ED1"/>
    <w:rsid w:val="00AB1E56"/>
    <w:rsid w:val="00AB5591"/>
    <w:rsid w:val="00AB75C7"/>
    <w:rsid w:val="00AC10CB"/>
    <w:rsid w:val="00AC156A"/>
    <w:rsid w:val="00AC1771"/>
    <w:rsid w:val="00AC33FF"/>
    <w:rsid w:val="00AC36D4"/>
    <w:rsid w:val="00AC681E"/>
    <w:rsid w:val="00AC6CF2"/>
    <w:rsid w:val="00AD16B5"/>
    <w:rsid w:val="00AD63F7"/>
    <w:rsid w:val="00AD6F72"/>
    <w:rsid w:val="00AD76F1"/>
    <w:rsid w:val="00AD772A"/>
    <w:rsid w:val="00AD7928"/>
    <w:rsid w:val="00AE5230"/>
    <w:rsid w:val="00AE5F0E"/>
    <w:rsid w:val="00AF47C6"/>
    <w:rsid w:val="00B0334F"/>
    <w:rsid w:val="00B04902"/>
    <w:rsid w:val="00B04DF0"/>
    <w:rsid w:val="00B066CE"/>
    <w:rsid w:val="00B07417"/>
    <w:rsid w:val="00B12C6E"/>
    <w:rsid w:val="00B17603"/>
    <w:rsid w:val="00B17E53"/>
    <w:rsid w:val="00B23B93"/>
    <w:rsid w:val="00B37F9A"/>
    <w:rsid w:val="00B43A7E"/>
    <w:rsid w:val="00B514CA"/>
    <w:rsid w:val="00B5392C"/>
    <w:rsid w:val="00B606D6"/>
    <w:rsid w:val="00B70EC1"/>
    <w:rsid w:val="00B72079"/>
    <w:rsid w:val="00B75181"/>
    <w:rsid w:val="00B8214D"/>
    <w:rsid w:val="00B83ACA"/>
    <w:rsid w:val="00B851EB"/>
    <w:rsid w:val="00B8616E"/>
    <w:rsid w:val="00B87F02"/>
    <w:rsid w:val="00B911B9"/>
    <w:rsid w:val="00B96815"/>
    <w:rsid w:val="00B96884"/>
    <w:rsid w:val="00B97555"/>
    <w:rsid w:val="00B978F5"/>
    <w:rsid w:val="00BA468B"/>
    <w:rsid w:val="00BA7ED4"/>
    <w:rsid w:val="00BB13CE"/>
    <w:rsid w:val="00BB1B37"/>
    <w:rsid w:val="00BB3B4E"/>
    <w:rsid w:val="00BB403A"/>
    <w:rsid w:val="00BB5401"/>
    <w:rsid w:val="00BB7465"/>
    <w:rsid w:val="00BC0B1F"/>
    <w:rsid w:val="00BC0BF8"/>
    <w:rsid w:val="00BC646B"/>
    <w:rsid w:val="00BD04D9"/>
    <w:rsid w:val="00BD43DD"/>
    <w:rsid w:val="00BD4930"/>
    <w:rsid w:val="00BE0399"/>
    <w:rsid w:val="00BE117F"/>
    <w:rsid w:val="00BE1238"/>
    <w:rsid w:val="00BE26F6"/>
    <w:rsid w:val="00BE4508"/>
    <w:rsid w:val="00BE6126"/>
    <w:rsid w:val="00BE6876"/>
    <w:rsid w:val="00BF0A53"/>
    <w:rsid w:val="00BF2FE4"/>
    <w:rsid w:val="00BF5C9B"/>
    <w:rsid w:val="00C0097B"/>
    <w:rsid w:val="00C02257"/>
    <w:rsid w:val="00C02396"/>
    <w:rsid w:val="00C02B89"/>
    <w:rsid w:val="00C04253"/>
    <w:rsid w:val="00C0427C"/>
    <w:rsid w:val="00C129A2"/>
    <w:rsid w:val="00C21B69"/>
    <w:rsid w:val="00C25C25"/>
    <w:rsid w:val="00C32B9C"/>
    <w:rsid w:val="00C330E2"/>
    <w:rsid w:val="00C3498E"/>
    <w:rsid w:val="00C35ED5"/>
    <w:rsid w:val="00C37341"/>
    <w:rsid w:val="00C4040C"/>
    <w:rsid w:val="00C43ED6"/>
    <w:rsid w:val="00C45E21"/>
    <w:rsid w:val="00C466C5"/>
    <w:rsid w:val="00C52C90"/>
    <w:rsid w:val="00C56FE2"/>
    <w:rsid w:val="00C60692"/>
    <w:rsid w:val="00C62360"/>
    <w:rsid w:val="00C623CD"/>
    <w:rsid w:val="00C62A99"/>
    <w:rsid w:val="00C633F7"/>
    <w:rsid w:val="00C66864"/>
    <w:rsid w:val="00C7379F"/>
    <w:rsid w:val="00C7446C"/>
    <w:rsid w:val="00C74FD7"/>
    <w:rsid w:val="00C767F5"/>
    <w:rsid w:val="00C7721D"/>
    <w:rsid w:val="00C77B3C"/>
    <w:rsid w:val="00C8108F"/>
    <w:rsid w:val="00C86F43"/>
    <w:rsid w:val="00C87C7E"/>
    <w:rsid w:val="00C90C76"/>
    <w:rsid w:val="00C924E3"/>
    <w:rsid w:val="00C94E67"/>
    <w:rsid w:val="00C94F8B"/>
    <w:rsid w:val="00CA152E"/>
    <w:rsid w:val="00CA3763"/>
    <w:rsid w:val="00CA5C53"/>
    <w:rsid w:val="00CA7CEF"/>
    <w:rsid w:val="00CB035B"/>
    <w:rsid w:val="00CB0EC5"/>
    <w:rsid w:val="00CB1BFF"/>
    <w:rsid w:val="00CB6D97"/>
    <w:rsid w:val="00CC293B"/>
    <w:rsid w:val="00CD6D97"/>
    <w:rsid w:val="00CE56F3"/>
    <w:rsid w:val="00CE5FFF"/>
    <w:rsid w:val="00CF2FA5"/>
    <w:rsid w:val="00D018E1"/>
    <w:rsid w:val="00D05F88"/>
    <w:rsid w:val="00D2059C"/>
    <w:rsid w:val="00D3338C"/>
    <w:rsid w:val="00D34279"/>
    <w:rsid w:val="00D352DA"/>
    <w:rsid w:val="00D35BA1"/>
    <w:rsid w:val="00D3616E"/>
    <w:rsid w:val="00D36D6A"/>
    <w:rsid w:val="00D36E45"/>
    <w:rsid w:val="00D4208B"/>
    <w:rsid w:val="00D4691A"/>
    <w:rsid w:val="00D469B0"/>
    <w:rsid w:val="00D550E2"/>
    <w:rsid w:val="00D568FA"/>
    <w:rsid w:val="00D57046"/>
    <w:rsid w:val="00D57CD4"/>
    <w:rsid w:val="00D60539"/>
    <w:rsid w:val="00D702B1"/>
    <w:rsid w:val="00D70AEF"/>
    <w:rsid w:val="00D76EB9"/>
    <w:rsid w:val="00D8191E"/>
    <w:rsid w:val="00D919FD"/>
    <w:rsid w:val="00D92960"/>
    <w:rsid w:val="00D93D97"/>
    <w:rsid w:val="00D96640"/>
    <w:rsid w:val="00DA1E9C"/>
    <w:rsid w:val="00DA47ED"/>
    <w:rsid w:val="00DA706D"/>
    <w:rsid w:val="00DB0886"/>
    <w:rsid w:val="00DB11F1"/>
    <w:rsid w:val="00DB396E"/>
    <w:rsid w:val="00DB7DD4"/>
    <w:rsid w:val="00DC2B2F"/>
    <w:rsid w:val="00DC694A"/>
    <w:rsid w:val="00DC6ED4"/>
    <w:rsid w:val="00DD2F68"/>
    <w:rsid w:val="00DD3925"/>
    <w:rsid w:val="00DD60D8"/>
    <w:rsid w:val="00DE53BC"/>
    <w:rsid w:val="00DE79CC"/>
    <w:rsid w:val="00DF1242"/>
    <w:rsid w:val="00DF2AE9"/>
    <w:rsid w:val="00DF4568"/>
    <w:rsid w:val="00DF5A2A"/>
    <w:rsid w:val="00DF5E69"/>
    <w:rsid w:val="00DF6385"/>
    <w:rsid w:val="00E0196F"/>
    <w:rsid w:val="00E026B9"/>
    <w:rsid w:val="00E03447"/>
    <w:rsid w:val="00E046BB"/>
    <w:rsid w:val="00E05E79"/>
    <w:rsid w:val="00E073E9"/>
    <w:rsid w:val="00E10396"/>
    <w:rsid w:val="00E156C7"/>
    <w:rsid w:val="00E16C7F"/>
    <w:rsid w:val="00E177EC"/>
    <w:rsid w:val="00E17C9F"/>
    <w:rsid w:val="00E17EF7"/>
    <w:rsid w:val="00E2351B"/>
    <w:rsid w:val="00E26333"/>
    <w:rsid w:val="00E3045A"/>
    <w:rsid w:val="00E34470"/>
    <w:rsid w:val="00E4103E"/>
    <w:rsid w:val="00E463C0"/>
    <w:rsid w:val="00E5217A"/>
    <w:rsid w:val="00E521CA"/>
    <w:rsid w:val="00E5501C"/>
    <w:rsid w:val="00E55481"/>
    <w:rsid w:val="00E55DFC"/>
    <w:rsid w:val="00E61FBD"/>
    <w:rsid w:val="00E660AD"/>
    <w:rsid w:val="00E67CD2"/>
    <w:rsid w:val="00E74393"/>
    <w:rsid w:val="00E75A71"/>
    <w:rsid w:val="00E805F0"/>
    <w:rsid w:val="00E81E61"/>
    <w:rsid w:val="00E81F32"/>
    <w:rsid w:val="00E875AF"/>
    <w:rsid w:val="00E96440"/>
    <w:rsid w:val="00EA1869"/>
    <w:rsid w:val="00EA6CA8"/>
    <w:rsid w:val="00EA75CD"/>
    <w:rsid w:val="00EB0E4C"/>
    <w:rsid w:val="00EB592F"/>
    <w:rsid w:val="00EC072B"/>
    <w:rsid w:val="00EC10CD"/>
    <w:rsid w:val="00EC1212"/>
    <w:rsid w:val="00EC7B4D"/>
    <w:rsid w:val="00ED3418"/>
    <w:rsid w:val="00ED7641"/>
    <w:rsid w:val="00EE23A3"/>
    <w:rsid w:val="00EF1CCA"/>
    <w:rsid w:val="00EF30F4"/>
    <w:rsid w:val="00EF4F04"/>
    <w:rsid w:val="00EF7E22"/>
    <w:rsid w:val="00F054FD"/>
    <w:rsid w:val="00F06EDD"/>
    <w:rsid w:val="00F07C19"/>
    <w:rsid w:val="00F112C8"/>
    <w:rsid w:val="00F1195D"/>
    <w:rsid w:val="00F1222D"/>
    <w:rsid w:val="00F1311E"/>
    <w:rsid w:val="00F147C8"/>
    <w:rsid w:val="00F15F07"/>
    <w:rsid w:val="00F32173"/>
    <w:rsid w:val="00F32CB5"/>
    <w:rsid w:val="00F4167F"/>
    <w:rsid w:val="00F42E08"/>
    <w:rsid w:val="00F439A8"/>
    <w:rsid w:val="00F45738"/>
    <w:rsid w:val="00F46704"/>
    <w:rsid w:val="00F501F9"/>
    <w:rsid w:val="00F5102A"/>
    <w:rsid w:val="00F514DD"/>
    <w:rsid w:val="00F524FC"/>
    <w:rsid w:val="00F53991"/>
    <w:rsid w:val="00F55D91"/>
    <w:rsid w:val="00F6168D"/>
    <w:rsid w:val="00F62DBE"/>
    <w:rsid w:val="00F6527F"/>
    <w:rsid w:val="00F6625B"/>
    <w:rsid w:val="00F67DB4"/>
    <w:rsid w:val="00F7044D"/>
    <w:rsid w:val="00F751C1"/>
    <w:rsid w:val="00F757EB"/>
    <w:rsid w:val="00F76978"/>
    <w:rsid w:val="00F778BB"/>
    <w:rsid w:val="00F82E4D"/>
    <w:rsid w:val="00F83E8C"/>
    <w:rsid w:val="00F909AD"/>
    <w:rsid w:val="00F93ACC"/>
    <w:rsid w:val="00F943FB"/>
    <w:rsid w:val="00F95FE8"/>
    <w:rsid w:val="00F96E88"/>
    <w:rsid w:val="00F97A9A"/>
    <w:rsid w:val="00FA299F"/>
    <w:rsid w:val="00FA352B"/>
    <w:rsid w:val="00FA3715"/>
    <w:rsid w:val="00FA3880"/>
    <w:rsid w:val="00FA38B6"/>
    <w:rsid w:val="00FA4F1B"/>
    <w:rsid w:val="00FB2087"/>
    <w:rsid w:val="00FB28FA"/>
    <w:rsid w:val="00FB4F25"/>
    <w:rsid w:val="00FB7F41"/>
    <w:rsid w:val="00FC49B3"/>
    <w:rsid w:val="00FC5D55"/>
    <w:rsid w:val="00FD0180"/>
    <w:rsid w:val="00FD0736"/>
    <w:rsid w:val="00FD549D"/>
    <w:rsid w:val="00FD703B"/>
    <w:rsid w:val="00FE1CE9"/>
    <w:rsid w:val="00FE26E0"/>
    <w:rsid w:val="00FE5A71"/>
    <w:rsid w:val="00FE5B4B"/>
    <w:rsid w:val="00FF39E8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4836"/>
  <w15:chartTrackingRefBased/>
  <w15:docId w15:val="{9A5655F0-CFC6-456B-A0B2-807DFED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23"/>
  </w:style>
  <w:style w:type="paragraph" w:styleId="Heading1">
    <w:name w:val="heading 1"/>
    <w:basedOn w:val="Normal"/>
    <w:next w:val="Normal"/>
    <w:link w:val="Heading1Char"/>
    <w:uiPriority w:val="9"/>
    <w:qFormat/>
    <w:rsid w:val="00C5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04"/>
  </w:style>
  <w:style w:type="paragraph" w:styleId="Footer">
    <w:name w:val="footer"/>
    <w:basedOn w:val="Normal"/>
    <w:link w:val="FooterChar"/>
    <w:uiPriority w:val="99"/>
    <w:unhideWhenUsed/>
    <w:rsid w:val="0095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04"/>
  </w:style>
  <w:style w:type="paragraph" w:styleId="NoSpacing">
    <w:name w:val="No Spacing"/>
    <w:uiPriority w:val="1"/>
    <w:qFormat/>
    <w:rsid w:val="00950004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5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0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6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C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2C9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5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">
    <w:name w:val="Body"/>
    <w:rsid w:val="00144B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44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B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9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330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9330A"/>
    <w:rPr>
      <w:color w:val="0000FF"/>
      <w:u w:val="single"/>
    </w:rPr>
  </w:style>
  <w:style w:type="character" w:customStyle="1" w:styleId="frag-no">
    <w:name w:val="frag-no"/>
    <w:basedOn w:val="DefaultParagraphFont"/>
    <w:rsid w:val="00E046BB"/>
  </w:style>
  <w:style w:type="character" w:customStyle="1" w:styleId="Heading4Char">
    <w:name w:val="Heading 4 Char"/>
    <w:basedOn w:val="DefaultParagraphFont"/>
    <w:link w:val="Heading4"/>
    <w:uiPriority w:val="9"/>
    <w:rsid w:val="00FB4F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020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18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44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203065C-2468-4817-9BFE-73949DF27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705C1-AD87-4190-BF91-880A9A7FCD57}"/>
</file>

<file path=customXml/itemProps3.xml><?xml version="1.0" encoding="utf-8"?>
<ds:datastoreItem xmlns:ds="http://schemas.openxmlformats.org/officeDocument/2006/customXml" ds:itemID="{1B812BD9-2787-4604-A649-3E9884D3B8D9}"/>
</file>

<file path=customXml/itemProps4.xml><?xml version="1.0" encoding="utf-8"?>
<ds:datastoreItem xmlns:ds="http://schemas.openxmlformats.org/officeDocument/2006/customXml" ds:itemID="{4015076D-BED0-4DBB-8750-ED3A64AAF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1686</Words>
  <Characters>9611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Paneras</dc:creator>
  <cp:keywords/>
  <dc:description/>
  <cp:lastModifiedBy>Kathryn McKenzie</cp:lastModifiedBy>
  <cp:revision>29</cp:revision>
  <cp:lastPrinted>2021-08-26T05:15:00Z</cp:lastPrinted>
  <dcterms:created xsi:type="dcterms:W3CDTF">2021-08-23T08:41:00Z</dcterms:created>
  <dcterms:modified xsi:type="dcterms:W3CDTF">2021-08-26T05:17:00Z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