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9F7B3" w14:textId="77FD9E71" w:rsidR="00187E5E" w:rsidRPr="00DF7A33" w:rsidRDefault="00187E5E" w:rsidP="00187E5E">
      <w:pPr>
        <w:pStyle w:val="Heading1"/>
        <w:rPr>
          <w:sz w:val="36"/>
          <w:szCs w:val="36"/>
        </w:rPr>
      </w:pPr>
      <w:r w:rsidRPr="00DF7A33">
        <w:rPr>
          <w:sz w:val="36"/>
          <w:szCs w:val="36"/>
        </w:rPr>
        <w:t>Specialist Disability Accommodation Price Review 2022-23</w:t>
      </w:r>
    </w:p>
    <w:p w14:paraId="42508071" w14:textId="77777777" w:rsidR="00187E5E" w:rsidRPr="00DF7A33" w:rsidRDefault="00187E5E" w:rsidP="00187E5E">
      <w:pPr>
        <w:pStyle w:val="Heading1"/>
        <w:rPr>
          <w:sz w:val="36"/>
          <w:szCs w:val="36"/>
        </w:rPr>
      </w:pPr>
      <w:r w:rsidRPr="00DF7A33">
        <w:rPr>
          <w:sz w:val="36"/>
          <w:szCs w:val="36"/>
        </w:rPr>
        <w:t>Terms of Reference</w:t>
      </w:r>
    </w:p>
    <w:p w14:paraId="255C56FA" w14:textId="3584EB3D" w:rsidR="00187E5E" w:rsidRDefault="00A9708C" w:rsidP="00187E5E">
      <w:pPr>
        <w:pStyle w:val="Heading2"/>
        <w:rPr>
          <w:color w:val="6B2976"/>
        </w:rPr>
      </w:pPr>
      <w:r>
        <w:rPr>
          <w:color w:val="6B2976"/>
        </w:rPr>
        <w:t>Overview</w:t>
      </w:r>
    </w:p>
    <w:p w14:paraId="3DC784EC" w14:textId="7B699F22" w:rsidR="00A9708C" w:rsidRDefault="00A9708C" w:rsidP="002520F7">
      <w:pPr>
        <w:pStyle w:val="ListParagraph"/>
      </w:pPr>
      <w:r w:rsidRPr="002A3C6D">
        <w:t xml:space="preserve">The </w:t>
      </w:r>
      <w:r w:rsidR="002520F7" w:rsidRPr="002520F7">
        <w:t xml:space="preserve">Specialist Disability Accommodation </w:t>
      </w:r>
      <w:r w:rsidR="002520F7">
        <w:t xml:space="preserve">(SDA) </w:t>
      </w:r>
      <w:r w:rsidR="002520F7" w:rsidRPr="002520F7">
        <w:t>Price Review 2022-23</w:t>
      </w:r>
      <w:r w:rsidR="002520F7">
        <w:t xml:space="preserve"> (“the SDA Price Review”) </w:t>
      </w:r>
      <w:r>
        <w:t>will</w:t>
      </w:r>
      <w:r w:rsidRPr="002A3C6D">
        <w:t xml:space="preserve"> </w:t>
      </w:r>
      <w:r w:rsidRPr="00A9708C">
        <w:t>examine</w:t>
      </w:r>
      <w:r w:rsidRPr="002A3C6D">
        <w:t xml:space="preserve">, through submissions, consultations, research and analysis, whether the existing assumptions </w:t>
      </w:r>
      <w:r>
        <w:t>that underpin</w:t>
      </w:r>
      <w:r w:rsidRPr="002A3C6D">
        <w:t xml:space="preserve"> </w:t>
      </w:r>
      <w:r w:rsidR="002520F7">
        <w:t>SDA</w:t>
      </w:r>
      <w:r>
        <w:t xml:space="preserve"> </w:t>
      </w:r>
      <w:r w:rsidRPr="002A3C6D">
        <w:t>prices will</w:t>
      </w:r>
      <w:r>
        <w:t xml:space="preserve"> support a sustainable SDA market that fosters choice and control, encourages innovation, provides options for participants, continuity of supply and financial sustainability for governments, participants, investors and providers.</w:t>
      </w:r>
      <w:r w:rsidRPr="002A3C6D">
        <w:t xml:space="preserve"> </w:t>
      </w:r>
    </w:p>
    <w:p w14:paraId="474157C1" w14:textId="067059A3" w:rsidR="00A9708C" w:rsidRPr="00A9708C" w:rsidRDefault="00A9708C" w:rsidP="00A9708C">
      <w:pPr>
        <w:pStyle w:val="Heading2"/>
        <w:rPr>
          <w:color w:val="6B2976"/>
        </w:rPr>
      </w:pPr>
      <w:r w:rsidRPr="00A9708C">
        <w:rPr>
          <w:color w:val="6B2976"/>
        </w:rPr>
        <w:t>Background</w:t>
      </w:r>
    </w:p>
    <w:p w14:paraId="07788EDA" w14:textId="059F1E91" w:rsidR="001B2C81" w:rsidRDefault="00C7255A" w:rsidP="006B06DB">
      <w:pPr>
        <w:pStyle w:val="ListParagraph"/>
      </w:pPr>
      <w:r>
        <w:t>SDA</w:t>
      </w:r>
      <w:r w:rsidR="001B2C81">
        <w:t xml:space="preserve"> </w:t>
      </w:r>
      <w:r w:rsidR="001B2C81" w:rsidRPr="001B2C81">
        <w:t xml:space="preserve">is one of the supports that may be funded under the </w:t>
      </w:r>
      <w:r w:rsidR="001B2C81">
        <w:t>National Disability Insurance Scheme (NDIS)</w:t>
      </w:r>
      <w:r w:rsidR="001B2C81" w:rsidRPr="001B2C81">
        <w:t xml:space="preserve"> for some participants. 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p w14:paraId="3AF92661" w14:textId="5EBA9490" w:rsidR="00916729" w:rsidRDefault="00916729" w:rsidP="00916729">
      <w:pPr>
        <w:pStyle w:val="ListParagraph"/>
      </w:pPr>
      <w:bookmarkStart w:id="0" w:name="_Hlk111463780"/>
      <w:r>
        <w:t>As at 3</w:t>
      </w:r>
      <w:r w:rsidR="00710E44">
        <w:t>0</w:t>
      </w:r>
      <w:r>
        <w:t xml:space="preserve"> </w:t>
      </w:r>
      <w:r w:rsidR="005425B2">
        <w:t xml:space="preserve">June </w:t>
      </w:r>
      <w:r>
        <w:t>2022, a total of 1</w:t>
      </w:r>
      <w:r w:rsidR="005425B2">
        <w:t>9</w:t>
      </w:r>
      <w:r>
        <w:t>,</w:t>
      </w:r>
      <w:r w:rsidR="005425B2">
        <w:t xml:space="preserve">358 </w:t>
      </w:r>
      <w:r>
        <w:t xml:space="preserve">participants in </w:t>
      </w:r>
      <w:r w:rsidR="00CC323C">
        <w:t>7,086</w:t>
      </w:r>
      <w:r>
        <w:t xml:space="preserve"> dwellings were receiving SDA supports funded through their NDIS plans. In total, $2</w:t>
      </w:r>
      <w:r w:rsidR="00746208">
        <w:t>71</w:t>
      </w:r>
      <w:r w:rsidRPr="00B40810">
        <w:t xml:space="preserve"> million</w:t>
      </w:r>
      <w:r w:rsidRPr="009D6FFF">
        <w:t xml:space="preserve"> was</w:t>
      </w:r>
      <w:r>
        <w:t xml:space="preserve"> spent from participant plans on SDA supports over the 12 months to 3</w:t>
      </w:r>
      <w:r w:rsidR="00746208">
        <w:t>0</w:t>
      </w:r>
      <w:r>
        <w:t xml:space="preserve"> </w:t>
      </w:r>
      <w:r w:rsidR="00746208">
        <w:t xml:space="preserve">June </w:t>
      </w:r>
      <w:r>
        <w:t>2022.</w:t>
      </w:r>
    </w:p>
    <w:bookmarkEnd w:id="0"/>
    <w:p w14:paraId="175DDF4F" w14:textId="6E5C5C41" w:rsidR="001B2C81" w:rsidRDefault="001B2C81" w:rsidP="006B06DB">
      <w:pPr>
        <w:pStyle w:val="ListParagraph"/>
      </w:pPr>
      <w:r>
        <w:t xml:space="preserve">The legislative framework for providing SDA to participants under the NDIS, including the criteria for when a participant will have SDA included in their NDIS plan, the dwellings that can be used for SDA and the payments that will be paid to providers of SDA are set out in the </w:t>
      </w:r>
      <w:r w:rsidRPr="00DF6B1E">
        <w:rPr>
          <w:i/>
        </w:rPr>
        <w:t>National Disability Insurance Scheme Act 2013</w:t>
      </w:r>
      <w:r>
        <w:t xml:space="preserve"> (the NDIS Act) and the NDIS Rules under the Act, including the NDIS (Specialist Disability Accommodation) Rules 2020 (SDA Rules) and the NDIS (Specialist Disability Accommodation Conditions) Rule 2018 (SDA NDIS Q&amp;SC Rule), which incorporate the NDIS (Specialist Disability Accommodation Conditions) Amendment Rules 2020</w:t>
      </w:r>
      <w:r w:rsidR="0085651B">
        <w:t>.</w:t>
      </w:r>
    </w:p>
    <w:p w14:paraId="62818C2F" w14:textId="53DD1570" w:rsidR="00694703" w:rsidRPr="00DF7A33" w:rsidRDefault="0085651B" w:rsidP="006B06DB">
      <w:pPr>
        <w:pStyle w:val="ListParagraph"/>
      </w:pPr>
      <w:r>
        <w:t>The</w:t>
      </w:r>
      <w:r w:rsidR="00241CE2" w:rsidRPr="00DF7A33">
        <w:t xml:space="preserve"> </w:t>
      </w:r>
      <w:hyperlink r:id="rId11" w:history="1">
        <w:r w:rsidR="00241CE2" w:rsidRPr="00A9708C">
          <w:rPr>
            <w:rStyle w:val="Hyperlink"/>
            <w:i/>
            <w:iCs/>
          </w:rPr>
          <w:t>Specialist Disability Accommodation Pricing and Payments Framework</w:t>
        </w:r>
      </w:hyperlink>
      <w:r>
        <w:t xml:space="preserve"> (“t</w:t>
      </w:r>
      <w:r w:rsidRPr="00DF6B1E">
        <w:t>he Fra</w:t>
      </w:r>
      <w:r>
        <w:t>m</w:t>
      </w:r>
      <w:r w:rsidRPr="00DF6B1E">
        <w:t>ework</w:t>
      </w:r>
      <w:r>
        <w:t>”</w:t>
      </w:r>
      <w:r w:rsidRPr="00DF6B1E">
        <w:t>)</w:t>
      </w:r>
      <w:r w:rsidR="00241CE2" w:rsidRPr="00DF7A33">
        <w:t>,</w:t>
      </w:r>
      <w:r>
        <w:t xml:space="preserve"> which was approved by the Commonwealth and all state and territory ministers in </w:t>
      </w:r>
      <w:r w:rsidR="00DF6B1E">
        <w:t>2020</w:t>
      </w:r>
      <w:r>
        <w:t xml:space="preserve">, </w:t>
      </w:r>
      <w:r w:rsidRPr="0085651B">
        <w:t>sets out the long-term pricing and payments framework for the funding of the land and built elements of S</w:t>
      </w:r>
      <w:r>
        <w:t xml:space="preserve">DA </w:t>
      </w:r>
      <w:r w:rsidRPr="0085651B">
        <w:t xml:space="preserve">under the </w:t>
      </w:r>
      <w:r>
        <w:t>NDIS.</w:t>
      </w:r>
      <w:r w:rsidR="00A9708C">
        <w:t xml:space="preserve"> </w:t>
      </w:r>
      <w:r>
        <w:t xml:space="preserve">Under the Framework, the </w:t>
      </w:r>
      <w:r w:rsidR="00694703" w:rsidRPr="00DF7A33">
        <w:t>National Disability Insurance Agency (</w:t>
      </w:r>
      <w:r w:rsidR="00C7255A">
        <w:t>NDIA</w:t>
      </w:r>
      <w:r w:rsidR="00694703" w:rsidRPr="00DF7A33">
        <w:t xml:space="preserve">) </w:t>
      </w:r>
      <w:r w:rsidR="00241CE2" w:rsidRPr="00DF7A33">
        <w:t xml:space="preserve">is </w:t>
      </w:r>
      <w:r>
        <w:t xml:space="preserve">responsible for setting the pricing arrangements for SDA and is required to set the </w:t>
      </w:r>
      <w:r w:rsidRPr="0085651B">
        <w:t>funding amounts for SDA at a level sufficient to cover the full lifecycle costs of appropriate accommodation, after accounting for a reasonable rent contribution from the participant and land price inflation.</w:t>
      </w:r>
      <w:r w:rsidR="00A9708C">
        <w:t xml:space="preserve"> </w:t>
      </w:r>
      <w:r>
        <w:t xml:space="preserve">The </w:t>
      </w:r>
      <w:r w:rsidR="00C7255A">
        <w:t>NDIA</w:t>
      </w:r>
      <w:r>
        <w:t xml:space="preserve"> is also </w:t>
      </w:r>
      <w:r w:rsidR="00241CE2" w:rsidRPr="00DF7A33">
        <w:t xml:space="preserve">required to undertake a review every five years of the specific underlying assumptions </w:t>
      </w:r>
      <w:r w:rsidR="001B2C81">
        <w:t>that underpin</w:t>
      </w:r>
      <w:r w:rsidR="001B2C81" w:rsidRPr="00DF7A33">
        <w:t xml:space="preserve"> </w:t>
      </w:r>
      <w:r w:rsidR="00241CE2" w:rsidRPr="00DF7A33">
        <w:t xml:space="preserve">the pricing methodology for </w:t>
      </w:r>
      <w:r w:rsidR="00791E43" w:rsidRPr="00DF7A33">
        <w:t>SDA</w:t>
      </w:r>
      <w:r w:rsidR="00A9708C">
        <w:t>.</w:t>
      </w:r>
      <w:r w:rsidR="005271B7" w:rsidRPr="00DF7A33">
        <w:t xml:space="preserve"> </w:t>
      </w:r>
    </w:p>
    <w:p w14:paraId="0E9DB637" w14:textId="7D045147" w:rsidR="008F01E2" w:rsidRPr="00DF7A33" w:rsidRDefault="00701383" w:rsidP="000A3D81">
      <w:pPr>
        <w:pStyle w:val="ListParagraph"/>
      </w:pPr>
      <w:r>
        <w:t xml:space="preserve">The current pricing arrangements for </w:t>
      </w:r>
      <w:r w:rsidR="001B2C81">
        <w:t>SDA</w:t>
      </w:r>
      <w:r>
        <w:t xml:space="preserve"> are set out in the </w:t>
      </w:r>
      <w:hyperlink r:id="rId12" w:history="1">
        <w:r w:rsidR="00571E08" w:rsidRPr="000A3D81">
          <w:rPr>
            <w:rStyle w:val="Hyperlink"/>
            <w:i/>
            <w:iCs/>
          </w:rPr>
          <w:t>NDIS Pricing Arrangements for Specialist Disability Accommodation 2021-22</w:t>
        </w:r>
      </w:hyperlink>
      <w:r>
        <w:t>.</w:t>
      </w:r>
      <w:r w:rsidR="001B2C81">
        <w:t xml:space="preserve"> Appendix A of the </w:t>
      </w:r>
      <w:r w:rsidR="001B2C81" w:rsidRPr="00DF6B1E">
        <w:t xml:space="preserve">Pricing Arrangements </w:t>
      </w:r>
      <w:r w:rsidR="00554F89">
        <w:t>for SDA</w:t>
      </w:r>
      <w:r w:rsidR="001B2C81" w:rsidRPr="00DF6B1E">
        <w:t xml:space="preserve"> </w:t>
      </w:r>
      <w:r w:rsidR="001B2C81">
        <w:t xml:space="preserve">provides a summary of the </w:t>
      </w:r>
      <w:r w:rsidR="00F91DC3">
        <w:t>current</w:t>
      </w:r>
      <w:r w:rsidR="00791E43" w:rsidRPr="00DF7A33">
        <w:t xml:space="preserve"> </w:t>
      </w:r>
      <w:r w:rsidR="00DF6B1E">
        <w:t xml:space="preserve">set of </w:t>
      </w:r>
      <w:r w:rsidR="00DF6B1E" w:rsidRPr="00DF7A33">
        <w:t xml:space="preserve">specific underlying assumptions </w:t>
      </w:r>
      <w:r w:rsidR="00DF6B1E">
        <w:t>that underpin</w:t>
      </w:r>
      <w:r w:rsidR="00DF6B1E" w:rsidRPr="00DF7A33">
        <w:t xml:space="preserve"> the pricing methodology for SDA</w:t>
      </w:r>
      <w:r w:rsidR="00DF6B1E">
        <w:t>.</w:t>
      </w:r>
      <w:r w:rsidR="000A3D81">
        <w:t xml:space="preserve"> </w:t>
      </w:r>
      <w:r w:rsidR="000A3D81" w:rsidRPr="000A3D81">
        <w:t xml:space="preserve">A Background Paper that sets out the pricing methodology in </w:t>
      </w:r>
      <w:r w:rsidR="000A3D81" w:rsidRPr="000A3D81">
        <w:lastRenderedPageBreak/>
        <w:t>detail, will be made available as part of a submissions process (refer paragraph 7, Scope of SDA Price Review).</w:t>
      </w:r>
    </w:p>
    <w:p w14:paraId="65D30690" w14:textId="25CEB059" w:rsidR="00A9708C" w:rsidRPr="00A9708C" w:rsidRDefault="00A9708C" w:rsidP="00A9708C">
      <w:pPr>
        <w:pStyle w:val="Heading2"/>
        <w:rPr>
          <w:color w:val="6B2976"/>
        </w:rPr>
      </w:pPr>
      <w:r>
        <w:rPr>
          <w:color w:val="6B2976"/>
        </w:rPr>
        <w:t>Sc</w:t>
      </w:r>
      <w:r w:rsidRPr="00A9708C">
        <w:rPr>
          <w:color w:val="6B2976"/>
        </w:rPr>
        <w:t xml:space="preserve">ope of </w:t>
      </w:r>
      <w:r w:rsidR="00C7255A">
        <w:rPr>
          <w:color w:val="6B2976"/>
        </w:rPr>
        <w:t>the SDA Price Review</w:t>
      </w:r>
    </w:p>
    <w:p w14:paraId="1DAB7575" w14:textId="439FFDB2" w:rsidR="00282FE6" w:rsidRPr="002A3C6D" w:rsidRDefault="00A9708C" w:rsidP="006B06DB">
      <w:pPr>
        <w:pStyle w:val="ListParagraph"/>
      </w:pPr>
      <w:r>
        <w:t xml:space="preserve">The </w:t>
      </w:r>
      <w:r w:rsidR="00C7255A">
        <w:t xml:space="preserve">SDA Price </w:t>
      </w:r>
      <w:r>
        <w:t>Review will</w:t>
      </w:r>
      <w:r w:rsidR="00C7255A">
        <w:t xml:space="preserve">, </w:t>
      </w:r>
      <w:r w:rsidR="00C7255A" w:rsidRPr="002A3C6D">
        <w:t>through submissions, consu</w:t>
      </w:r>
      <w:r w:rsidR="00C7255A">
        <w:t>ltations, research and analysis</w:t>
      </w:r>
      <w:r>
        <w:t>:</w:t>
      </w:r>
    </w:p>
    <w:p w14:paraId="55C5D960" w14:textId="4C14F922" w:rsidR="00282FE6" w:rsidRPr="002A3C6D" w:rsidRDefault="00282FE6" w:rsidP="006B06DB">
      <w:pPr>
        <w:pStyle w:val="ListParagraph"/>
        <w:numPr>
          <w:ilvl w:val="1"/>
          <w:numId w:val="34"/>
        </w:numPr>
      </w:pPr>
      <w:r w:rsidRPr="002A3C6D">
        <w:t>Develop benchmark estimates of the efficient construction cost in a benchmark Region (excluding the cost of land) for each of the 96 allowable combinations of Building Type and Design Category that are funded as SDA by the NDIS.</w:t>
      </w:r>
    </w:p>
    <w:p w14:paraId="223129D8" w14:textId="77777777" w:rsidR="00282FE6" w:rsidRPr="002A3C6D" w:rsidRDefault="00282FE6" w:rsidP="006B06DB">
      <w:pPr>
        <w:pStyle w:val="ListParagraph"/>
        <w:numPr>
          <w:ilvl w:val="1"/>
          <w:numId w:val="34"/>
        </w:numPr>
      </w:pPr>
      <w:r w:rsidRPr="002A3C6D">
        <w:t>Develop statistical estimates of the cost per square meter of undeveloped and vacant land in each of the 88 SA4 regions, where the land is valued based on its highest and best permitted use.</w:t>
      </w:r>
    </w:p>
    <w:p w14:paraId="531F0182" w14:textId="77777777" w:rsidR="00282FE6" w:rsidRPr="002A3C6D" w:rsidRDefault="00282FE6" w:rsidP="006B06DB">
      <w:pPr>
        <w:pStyle w:val="ListParagraph"/>
        <w:numPr>
          <w:ilvl w:val="1"/>
          <w:numId w:val="34"/>
        </w:numPr>
      </w:pPr>
      <w:r w:rsidRPr="002A3C6D">
        <w:t>Estimate the future rate of growth in the cost per square meter of undeveloped and vacant land, including the extent to which different future growth rates are likely to apply to different SA4 regions.</w:t>
      </w:r>
    </w:p>
    <w:p w14:paraId="6789C159" w14:textId="784A81A6" w:rsidR="00282FE6" w:rsidRPr="002A3C6D" w:rsidRDefault="00282FE6" w:rsidP="006B06DB">
      <w:pPr>
        <w:pStyle w:val="ListParagraph"/>
        <w:numPr>
          <w:ilvl w:val="1"/>
          <w:numId w:val="34"/>
        </w:numPr>
      </w:pPr>
      <w:r w:rsidRPr="002A3C6D">
        <w:t xml:space="preserve">Review the current methodology by which the </w:t>
      </w:r>
      <w:r w:rsidR="00C7255A">
        <w:t>NDIA</w:t>
      </w:r>
      <w:r w:rsidRPr="002A3C6D">
        <w:t xml:space="preserve"> accounts for the differences in construction costs between geographic locations and the assumptions in that methodology, including whether it is appropriate to use the same relative construction cost multiplier for all Building Types and Design Categories in a given region.</w:t>
      </w:r>
    </w:p>
    <w:p w14:paraId="2ACB6D77" w14:textId="7D8B328F" w:rsidR="00694703" w:rsidRPr="002A3C6D" w:rsidRDefault="00694703" w:rsidP="006B06DB">
      <w:pPr>
        <w:pStyle w:val="ListParagraph"/>
        <w:numPr>
          <w:ilvl w:val="1"/>
          <w:numId w:val="34"/>
        </w:numPr>
      </w:pPr>
      <w:r w:rsidRPr="002A3C6D">
        <w:t xml:space="preserve">Review the current methodology by which the </w:t>
      </w:r>
      <w:r w:rsidR="00C7255A">
        <w:t>NDIA</w:t>
      </w:r>
      <w:r w:rsidRPr="002A3C6D">
        <w:t xml:space="preserve"> accounts for the presence of sprinklers in estimating the construction cost of a New Build, including whether it is appropriate to use the same adjustment for all Building Types, Design Categories and Regions. The </w:t>
      </w:r>
      <w:r w:rsidR="00C7255A">
        <w:t>NDIA</w:t>
      </w:r>
      <w:r w:rsidRPr="002A3C6D">
        <w:t xml:space="preserve"> will also examine whether the pricing arrangements provide an appropriate incentive for the installation of sprinklers given the mobility needs of some participants and test if it might not be more appropriate to require the installation of sprinklers in all New Builds.</w:t>
      </w:r>
    </w:p>
    <w:p w14:paraId="59334AEA" w14:textId="77777777" w:rsidR="00282FE6" w:rsidRPr="002A3C6D" w:rsidRDefault="00282FE6" w:rsidP="006B06DB">
      <w:pPr>
        <w:pStyle w:val="ListParagraph"/>
        <w:numPr>
          <w:ilvl w:val="1"/>
          <w:numId w:val="34"/>
        </w:numPr>
      </w:pPr>
      <w:r w:rsidRPr="002A3C6D">
        <w:t>Estimate the loss in value that can be expected to occur on the conversion of SDA property to general property at the end of an investment, including the extent to which this varies by Building Type and Size, Design Category and Region.</w:t>
      </w:r>
    </w:p>
    <w:p w14:paraId="1FCDE74C" w14:textId="77777777" w:rsidR="00282FE6" w:rsidRPr="002A3C6D" w:rsidRDefault="00282FE6" w:rsidP="006B06DB">
      <w:pPr>
        <w:pStyle w:val="ListParagraph"/>
        <w:numPr>
          <w:ilvl w:val="1"/>
          <w:numId w:val="34"/>
        </w:numPr>
      </w:pPr>
      <w:r w:rsidRPr="002A3C6D">
        <w:t>Estimate the fees that are incurred on the sale of SDA properties, including the extent to which these fees vary by Building Type and Size, Design Category and Region.</w:t>
      </w:r>
    </w:p>
    <w:p w14:paraId="392F24DA" w14:textId="77777777" w:rsidR="00282FE6" w:rsidRPr="002A3C6D" w:rsidRDefault="00282FE6" w:rsidP="006B06DB">
      <w:pPr>
        <w:pStyle w:val="ListParagraph"/>
        <w:numPr>
          <w:ilvl w:val="1"/>
          <w:numId w:val="34"/>
        </w:numPr>
      </w:pPr>
      <w:r w:rsidRPr="002A3C6D">
        <w:t>Estimate the vacancy rates that efficient SDA providers can expect to encounter, including the extent to which these rates vary by Building Type and Size, Design Category and Region.</w:t>
      </w:r>
    </w:p>
    <w:p w14:paraId="60A59BA8" w14:textId="77777777" w:rsidR="00282FE6" w:rsidRPr="002A3C6D" w:rsidRDefault="00282FE6" w:rsidP="006B06DB">
      <w:pPr>
        <w:pStyle w:val="ListParagraph"/>
        <w:numPr>
          <w:ilvl w:val="1"/>
          <w:numId w:val="34"/>
        </w:numPr>
      </w:pPr>
      <w:r w:rsidRPr="002A3C6D">
        <w:t>Estimate the efficient costs of ownership, including maintenance, property management and vacancy management, and examine whether these costs significantly vary by Design Category, Building Type and Size, and Region.</w:t>
      </w:r>
    </w:p>
    <w:p w14:paraId="4C515B6A" w14:textId="77777777" w:rsidR="00282FE6" w:rsidRPr="002A3C6D" w:rsidRDefault="00282FE6" w:rsidP="006B06DB">
      <w:pPr>
        <w:pStyle w:val="ListParagraph"/>
        <w:numPr>
          <w:ilvl w:val="1"/>
          <w:numId w:val="34"/>
        </w:numPr>
      </w:pPr>
      <w:r w:rsidRPr="002A3C6D">
        <w:t>Estimate the key parameters of a Capital Assets Pricing Model for SDA investments, including:</w:t>
      </w:r>
      <w:r w:rsidRPr="002A3C6D">
        <w:tab/>
      </w:r>
    </w:p>
    <w:p w14:paraId="682CD41C" w14:textId="77777777" w:rsidR="00282FE6" w:rsidRPr="002A3C6D" w:rsidRDefault="00282FE6" w:rsidP="006B06DB">
      <w:pPr>
        <w:pStyle w:val="ListParagraph"/>
        <w:numPr>
          <w:ilvl w:val="2"/>
          <w:numId w:val="34"/>
        </w:numPr>
      </w:pPr>
      <w:r w:rsidRPr="002A3C6D">
        <w:t>The Equity Beta for SDA investments;</w:t>
      </w:r>
    </w:p>
    <w:p w14:paraId="1AD237E0" w14:textId="77777777" w:rsidR="00282FE6" w:rsidRPr="002A3C6D" w:rsidRDefault="00282FE6" w:rsidP="006B06DB">
      <w:pPr>
        <w:pStyle w:val="ListParagraph"/>
        <w:numPr>
          <w:ilvl w:val="2"/>
          <w:numId w:val="34"/>
        </w:numPr>
      </w:pPr>
      <w:r w:rsidRPr="002A3C6D">
        <w:t>The efficient Gearing Ratio for SDA investments; and</w:t>
      </w:r>
    </w:p>
    <w:p w14:paraId="0DB64FF7" w14:textId="77777777" w:rsidR="00282FE6" w:rsidRPr="002A3C6D" w:rsidRDefault="00282FE6" w:rsidP="006B06DB">
      <w:pPr>
        <w:pStyle w:val="ListParagraph"/>
        <w:numPr>
          <w:ilvl w:val="2"/>
          <w:numId w:val="34"/>
        </w:numPr>
      </w:pPr>
      <w:r w:rsidRPr="002A3C6D">
        <w:t>The extent to which the typical equity investor in SDA can use the franking credits attached to its dividends because of the payment of company tax.</w:t>
      </w:r>
    </w:p>
    <w:p w14:paraId="26266410" w14:textId="77777777" w:rsidR="00282FE6" w:rsidRPr="002A3C6D" w:rsidRDefault="00282FE6" w:rsidP="006B06DB">
      <w:pPr>
        <w:pStyle w:val="ListParagraph"/>
        <w:numPr>
          <w:ilvl w:val="1"/>
          <w:numId w:val="34"/>
        </w:numPr>
      </w:pPr>
      <w:r w:rsidRPr="002A3C6D">
        <w:lastRenderedPageBreak/>
        <w:t>Estimate the typical gross rental yields that can be expected from SDA type properties in the Australian economy, including the extent to which gross rental yields significantly vary by Design Category, Building Type and Size, and Region.</w:t>
      </w:r>
    </w:p>
    <w:p w14:paraId="29D98F88" w14:textId="17041BA8" w:rsidR="00187E5E" w:rsidRPr="00701383" w:rsidRDefault="00282FE6" w:rsidP="006B06DB">
      <w:pPr>
        <w:pStyle w:val="ListParagraph"/>
        <w:numPr>
          <w:ilvl w:val="1"/>
          <w:numId w:val="34"/>
        </w:numPr>
        <w:rPr>
          <w:rFonts w:cstheme="minorBidi"/>
        </w:rPr>
      </w:pPr>
      <w:r w:rsidRPr="002A3C6D">
        <w:t>Examine any other factors that have the potential to impact on the ability of the Scheme to attract the required level of investment over the next twenty years across the range of SDA to meet the reasonable and necessary support needs of participants.</w:t>
      </w:r>
    </w:p>
    <w:p w14:paraId="1A642675" w14:textId="6ACD9A27" w:rsidR="00F46966" w:rsidRPr="006C7AD1" w:rsidRDefault="00F46966" w:rsidP="006B06DB">
      <w:pPr>
        <w:pStyle w:val="ListParagraph"/>
      </w:pPr>
      <w:r w:rsidRPr="002A3C6D">
        <w:t xml:space="preserve">In </w:t>
      </w:r>
      <w:r w:rsidRPr="006B06DB">
        <w:t>developing</w:t>
      </w:r>
      <w:r w:rsidRPr="002A3C6D">
        <w:t xml:space="preserve"> the new SDA Benchmark Prices, the </w:t>
      </w:r>
      <w:r w:rsidR="00C7255A">
        <w:t xml:space="preserve">SDA Price </w:t>
      </w:r>
      <w:r w:rsidR="00A9708C">
        <w:t>Review</w:t>
      </w:r>
      <w:r w:rsidRPr="002A3C6D">
        <w:t xml:space="preserve"> will </w:t>
      </w:r>
      <w:r w:rsidRPr="006C7AD1">
        <w:t>be cognisant of the need to both attract investment to meet current demand and support investment to meet changing demand on a regional basis.</w:t>
      </w:r>
    </w:p>
    <w:p w14:paraId="0F240603" w14:textId="2A198313" w:rsidR="008973C7" w:rsidRPr="008973C7" w:rsidRDefault="008973C7" w:rsidP="006B06DB">
      <w:pPr>
        <w:pStyle w:val="ListParagraph"/>
      </w:pPr>
      <w:r w:rsidRPr="006B06DB">
        <w:t>The</w:t>
      </w:r>
      <w:r w:rsidRPr="008973C7">
        <w:t xml:space="preserve"> </w:t>
      </w:r>
      <w:r w:rsidR="00C7255A">
        <w:t xml:space="preserve">SDA Price </w:t>
      </w:r>
      <w:r w:rsidR="00A9708C">
        <w:t>Review</w:t>
      </w:r>
      <w:r w:rsidRPr="008973C7">
        <w:t xml:space="preserve"> will </w:t>
      </w:r>
      <w:r w:rsidR="00A9708C">
        <w:t xml:space="preserve">also </w:t>
      </w:r>
      <w:r w:rsidR="00701383">
        <w:t>develop</w:t>
      </w:r>
      <w:r w:rsidR="00701383" w:rsidRPr="008973C7">
        <w:t xml:space="preserve"> </w:t>
      </w:r>
      <w:r w:rsidRPr="008973C7">
        <w:t>supply and demand projections for SDA properties and examine the extent to which the demand mix will change in the medium to long term</w:t>
      </w:r>
      <w:r>
        <w:t>.</w:t>
      </w:r>
    </w:p>
    <w:p w14:paraId="74075AB5" w14:textId="585C34D4" w:rsidR="00F91DC3" w:rsidRPr="00261F2E" w:rsidRDefault="00F46966" w:rsidP="006B06DB">
      <w:pPr>
        <w:pStyle w:val="ListParagraph"/>
      </w:pPr>
      <w:r w:rsidRPr="002A3C6D">
        <w:t xml:space="preserve">The </w:t>
      </w:r>
      <w:r w:rsidR="00C7255A">
        <w:t xml:space="preserve">SDA Price </w:t>
      </w:r>
      <w:r w:rsidR="00A9708C">
        <w:t>Review</w:t>
      </w:r>
      <w:r w:rsidRPr="002A3C6D">
        <w:t xml:space="preserve"> will also examine the implications for SDA pricing of the decision on 30 April 2022 by building ministers to include minimum accessibility standards in the 2022 National Construction Code (NCC). The new standards will come into effect in September 2022.</w:t>
      </w:r>
    </w:p>
    <w:p w14:paraId="592FC5BE" w14:textId="4A6A059D" w:rsidR="00A253AB" w:rsidRPr="00A253AB" w:rsidRDefault="00F91DC3" w:rsidP="006B06DB">
      <w:pPr>
        <w:pStyle w:val="ListParagraph"/>
      </w:pPr>
      <w:r w:rsidRPr="002A3C6D">
        <w:t xml:space="preserve">In framing its recommendations, </w:t>
      </w:r>
      <w:r>
        <w:t>t</w:t>
      </w:r>
      <w:r w:rsidR="00F46966" w:rsidRPr="001A075C">
        <w:t xml:space="preserve">he </w:t>
      </w:r>
      <w:r w:rsidR="00C7255A">
        <w:t xml:space="preserve">SDA Price </w:t>
      </w:r>
      <w:r w:rsidR="00A9708C">
        <w:t>Review</w:t>
      </w:r>
      <w:r w:rsidR="00F46966" w:rsidRPr="001A075C">
        <w:t xml:space="preserve"> will be cognisant of the provisions in paragraphs 99-101 of the </w:t>
      </w:r>
      <w:r w:rsidR="00F46966" w:rsidRPr="00C7255A">
        <w:rPr>
          <w:i/>
        </w:rPr>
        <w:t xml:space="preserve">Specialist Disability Accommodation Pricing and Payments Framework, </w:t>
      </w:r>
      <w:r w:rsidR="00F46966" w:rsidRPr="001A075C">
        <w:t xml:space="preserve">which provide that the </w:t>
      </w:r>
      <w:r w:rsidR="00C7255A">
        <w:t>NDIA</w:t>
      </w:r>
      <w:r w:rsidR="00F46966" w:rsidRPr="001A075C">
        <w:t xml:space="preserve"> can make other payments in respect of housing or accommodation arrangements that are consistent with the NDIS Act, including funding arrangements to facilitate the supply of SDA where the market is not responding appropriately to the demand for places, and/or where innovative built forms or financing arrangements are needed. The Consultation Paper will seek submissions on locations or building types where it may be appropriate to use these alternative approaches and on the pricing arrangements that should apply in those case</w:t>
      </w:r>
      <w:r w:rsidR="0034058D" w:rsidRPr="001A075C">
        <w:t>s</w:t>
      </w:r>
      <w:r w:rsidR="00A253AB">
        <w:t>.</w:t>
      </w:r>
    </w:p>
    <w:p w14:paraId="18C1EAC2" w14:textId="778AFD79" w:rsidR="00694703" w:rsidRPr="002A3C6D" w:rsidRDefault="00694703" w:rsidP="006B06DB">
      <w:pPr>
        <w:pStyle w:val="ListParagraph"/>
      </w:pPr>
      <w:r w:rsidRPr="002A3C6D">
        <w:t xml:space="preserve">In framing its recommendations, the </w:t>
      </w:r>
      <w:r w:rsidR="00C7255A">
        <w:t xml:space="preserve">SDA Price </w:t>
      </w:r>
      <w:r w:rsidR="00A9708C">
        <w:t>Review</w:t>
      </w:r>
      <w:r w:rsidRPr="002A3C6D">
        <w:t xml:space="preserve"> will </w:t>
      </w:r>
      <w:r w:rsidR="00F91DC3">
        <w:t xml:space="preserve">also </w:t>
      </w:r>
      <w:r w:rsidRPr="002A3C6D">
        <w:t xml:space="preserve">be cognisant of the objectives and principles of the NDIS, as set out in the </w:t>
      </w:r>
      <w:r w:rsidR="00C7255A">
        <w:t>NDIS Act</w:t>
      </w:r>
      <w:r w:rsidRPr="002A3C6D">
        <w:t>, including that the NDIS should:</w:t>
      </w:r>
    </w:p>
    <w:p w14:paraId="6257DB0F" w14:textId="77777777" w:rsidR="00694703" w:rsidRPr="002A3C6D" w:rsidRDefault="00694703" w:rsidP="006B06DB">
      <w:pPr>
        <w:pStyle w:val="ListParagraph"/>
        <w:numPr>
          <w:ilvl w:val="1"/>
          <w:numId w:val="34"/>
        </w:numPr>
      </w:pPr>
      <w:r w:rsidRPr="002A3C6D">
        <w:t>Support the independence and social and economic participation of people with disability.</w:t>
      </w:r>
    </w:p>
    <w:p w14:paraId="5F7BAC55" w14:textId="77777777" w:rsidR="00694703" w:rsidRPr="002A3C6D" w:rsidRDefault="00694703" w:rsidP="006B06DB">
      <w:pPr>
        <w:pStyle w:val="ListParagraph"/>
        <w:numPr>
          <w:ilvl w:val="1"/>
          <w:numId w:val="34"/>
        </w:numPr>
      </w:pPr>
      <w:r w:rsidRPr="002A3C6D">
        <w:t>Enable people with disability to exercise choice and control in the pursuit of their goals and the planning and delivery of their supports.</w:t>
      </w:r>
    </w:p>
    <w:p w14:paraId="268F2993" w14:textId="77777777" w:rsidR="00694703" w:rsidRPr="002A3C6D" w:rsidRDefault="00694703" w:rsidP="006B06DB">
      <w:pPr>
        <w:pStyle w:val="ListParagraph"/>
        <w:numPr>
          <w:ilvl w:val="1"/>
          <w:numId w:val="34"/>
        </w:numPr>
      </w:pPr>
      <w:r w:rsidRPr="002A3C6D">
        <w:t>Facilitate the development of a nationally consistent approach to the access to, and the planning and funding of, supports for people with disability.</w:t>
      </w:r>
    </w:p>
    <w:p w14:paraId="5D3AA712" w14:textId="77777777" w:rsidR="00694703" w:rsidRPr="002A3C6D" w:rsidRDefault="00694703" w:rsidP="006B06DB">
      <w:pPr>
        <w:pStyle w:val="ListParagraph"/>
        <w:numPr>
          <w:ilvl w:val="1"/>
          <w:numId w:val="34"/>
        </w:numPr>
      </w:pPr>
      <w:r w:rsidRPr="002A3C6D">
        <w:t>Promote the provision of high quality and innovative supports that enable people with disability to maximise independent lifestyles and full inclusion in the community.</w:t>
      </w:r>
    </w:p>
    <w:p w14:paraId="2E283FFF" w14:textId="77777777" w:rsidR="00694703" w:rsidRPr="002A3C6D" w:rsidRDefault="00694703" w:rsidP="006B06DB">
      <w:pPr>
        <w:pStyle w:val="ListParagraph"/>
        <w:numPr>
          <w:ilvl w:val="1"/>
          <w:numId w:val="34"/>
        </w:numPr>
      </w:pPr>
      <w:r w:rsidRPr="002A3C6D">
        <w:t>Adopt an insurance based approach, informed by actuarial analysis, to the provision and funding of supports for people with disability.</w:t>
      </w:r>
    </w:p>
    <w:p w14:paraId="592BE709" w14:textId="77777777" w:rsidR="00694703" w:rsidRPr="002A3C6D" w:rsidRDefault="00694703" w:rsidP="006B06DB">
      <w:pPr>
        <w:pStyle w:val="ListParagraph"/>
        <w:numPr>
          <w:ilvl w:val="1"/>
          <w:numId w:val="34"/>
        </w:numPr>
      </w:pPr>
      <w:r w:rsidRPr="002A3C6D">
        <w:t>Be financially sustainable.</w:t>
      </w:r>
    </w:p>
    <w:p w14:paraId="7D5D8AC3" w14:textId="41581F36" w:rsidR="00DF6B1E" w:rsidRDefault="00A9708C" w:rsidP="00187E5E">
      <w:pPr>
        <w:pStyle w:val="Heading2"/>
        <w:rPr>
          <w:color w:val="6B2976"/>
        </w:rPr>
      </w:pPr>
      <w:r>
        <w:rPr>
          <w:color w:val="6B2976"/>
        </w:rPr>
        <w:t>Process</w:t>
      </w:r>
      <w:r w:rsidR="002D5F8F">
        <w:rPr>
          <w:color w:val="6B2976"/>
        </w:rPr>
        <w:t xml:space="preserve"> and Timing</w:t>
      </w:r>
    </w:p>
    <w:p w14:paraId="1A8D0413" w14:textId="7681A733" w:rsidR="002D5F8F" w:rsidRDefault="00FE7881" w:rsidP="006B06DB">
      <w:pPr>
        <w:pStyle w:val="ListParagraph"/>
      </w:pPr>
      <w:r>
        <w:t xml:space="preserve">In accordance with the Framework, </w:t>
      </w:r>
      <w:r w:rsidR="00C7255A">
        <w:t>the SDA Price Review</w:t>
      </w:r>
      <w:r w:rsidR="002520F7">
        <w:t>, including any consultations,</w:t>
      </w:r>
      <w:r w:rsidR="00A9708C">
        <w:t xml:space="preserve"> will be undertaken by the </w:t>
      </w:r>
      <w:r w:rsidR="00C7255A">
        <w:t>NDIA</w:t>
      </w:r>
      <w:r>
        <w:t xml:space="preserve">. </w:t>
      </w:r>
    </w:p>
    <w:p w14:paraId="7E8BDC62" w14:textId="043EF6DF" w:rsidR="00C7255A" w:rsidRDefault="00C7255A" w:rsidP="00E55548">
      <w:pPr>
        <w:pStyle w:val="ListParagraph"/>
      </w:pPr>
      <w:r>
        <w:t>A panel of independent experts with relevant skills and expertise in pricing (“the Expert Panel”) will work with the NDIA to oversee the work of the SDA Price Review. The role of the Expert Panel will be to:</w:t>
      </w:r>
    </w:p>
    <w:p w14:paraId="5692A9D0" w14:textId="77777777" w:rsidR="00C7255A" w:rsidRDefault="00C7255A" w:rsidP="00C7255A">
      <w:pPr>
        <w:pStyle w:val="ListParagraph"/>
        <w:numPr>
          <w:ilvl w:val="1"/>
          <w:numId w:val="34"/>
        </w:numPr>
      </w:pPr>
      <w:r>
        <w:lastRenderedPageBreak/>
        <w:t>Provide advice to the NDIA on the conduct of the SDA Price Review; and</w:t>
      </w:r>
    </w:p>
    <w:p w14:paraId="53898779" w14:textId="77777777" w:rsidR="00C7255A" w:rsidRDefault="00C7255A" w:rsidP="00C7255A">
      <w:pPr>
        <w:pStyle w:val="ListParagraph"/>
        <w:numPr>
          <w:ilvl w:val="1"/>
          <w:numId w:val="34"/>
        </w:numPr>
      </w:pPr>
      <w:r>
        <w:t>Provide advice to the Board of the NDIA, through the CEO, on options and recommendations developed by the SDA Price Review.</w:t>
      </w:r>
    </w:p>
    <w:p w14:paraId="406EF679" w14:textId="18C0BF64" w:rsidR="00FE7881" w:rsidRDefault="00C7255A" w:rsidP="006B06DB">
      <w:pPr>
        <w:pStyle w:val="ListParagraph"/>
      </w:pPr>
      <w:r>
        <w:t>The NDIA</w:t>
      </w:r>
      <w:r w:rsidR="00FE7881">
        <w:t xml:space="preserve"> will invite submissions from the public and consult with stakeholders, including </w:t>
      </w:r>
      <w:r w:rsidR="00FE7881" w:rsidRPr="00FE7881">
        <w:t>governments, partici</w:t>
      </w:r>
      <w:r w:rsidR="00FE7881">
        <w:t>pants, investors and providers.</w:t>
      </w:r>
    </w:p>
    <w:p w14:paraId="57EFE2BF" w14:textId="0E3EF7E1" w:rsidR="004A3ACF" w:rsidRDefault="004A3ACF" w:rsidP="007B6562">
      <w:pPr>
        <w:pStyle w:val="ListParagraph"/>
      </w:pPr>
      <w:bookmarkStart w:id="1" w:name="_Hlk111463970"/>
      <w:r>
        <w:t>The NDIA will consult with and take into account any early findings of the broader NDIS Review to improve the NDIS design, operation and sustainability as well as build a more responsive and supportive market and workforce to improve the effectiveness of the NDIS.</w:t>
      </w:r>
    </w:p>
    <w:p w14:paraId="3FF719FF" w14:textId="1E0F4D24" w:rsidR="004A3ACF" w:rsidRPr="00FE7881" w:rsidRDefault="004A3ACF" w:rsidP="006B06DB">
      <w:pPr>
        <w:pStyle w:val="ListParagraph"/>
      </w:pPr>
      <w:r>
        <w:t>The NDIA will test changes in the specific assumptions underpinning the SDA methodology with stakeholders, including governments, participants, investors and providers.</w:t>
      </w:r>
    </w:p>
    <w:p w14:paraId="6FAF950E" w14:textId="1DD0531C" w:rsidR="002D5F8F" w:rsidRPr="002D5F8F" w:rsidRDefault="00FE7881" w:rsidP="006B06DB">
      <w:pPr>
        <w:pStyle w:val="ListParagraph"/>
      </w:pPr>
      <w:r w:rsidRPr="002D5F8F">
        <w:t>The</w:t>
      </w:r>
      <w:r w:rsidR="00A660C5">
        <w:t xml:space="preserve"> SDA Price Review and </w:t>
      </w:r>
      <w:r w:rsidR="002D5F8F" w:rsidRPr="002D5F8F">
        <w:t>the NDIA</w:t>
      </w:r>
      <w:r w:rsidR="00A660C5">
        <w:t xml:space="preserve"> Board</w:t>
      </w:r>
      <w:r w:rsidR="002D5F8F" w:rsidRPr="002D5F8F">
        <w:t>’s decisions about any changes to specific underlying assumptions underpinning the SDA methodology will be released</w:t>
      </w:r>
      <w:r w:rsidR="00C7255A">
        <w:t xml:space="preserve"> by the NDIA </w:t>
      </w:r>
      <w:r w:rsidR="00C7255A" w:rsidRPr="00715780">
        <w:t xml:space="preserve">in </w:t>
      </w:r>
      <w:r w:rsidR="00953B56" w:rsidRPr="00C80359">
        <w:t>April</w:t>
      </w:r>
      <w:r w:rsidR="00953B56" w:rsidRPr="00715780">
        <w:t xml:space="preserve"> </w:t>
      </w:r>
      <w:r w:rsidR="00C7255A" w:rsidRPr="00715780">
        <w:t>2023</w:t>
      </w:r>
      <w:r w:rsidR="00A660C5">
        <w:t>.</w:t>
      </w:r>
      <w:r w:rsidR="00C7255A" w:rsidRPr="00C7255A">
        <w:rPr>
          <w:lang w:eastAsia="en-AU"/>
        </w:rPr>
        <w:t xml:space="preserve"> </w:t>
      </w:r>
    </w:p>
    <w:bookmarkEnd w:id="1"/>
    <w:p w14:paraId="3FA1613A" w14:textId="5E29C140" w:rsidR="002D5F8F" w:rsidRPr="00FE7881" w:rsidRDefault="002D5F8F" w:rsidP="006B06DB">
      <w:pPr>
        <w:pStyle w:val="ListParagraph"/>
      </w:pPr>
      <w:r>
        <w:t xml:space="preserve">Final prices for 2023-24, </w:t>
      </w:r>
      <w:r w:rsidRPr="002D5F8F">
        <w:t xml:space="preserve">following CPI indexation of </w:t>
      </w:r>
      <w:r w:rsidR="00C7255A">
        <w:t>the SDA Price Review</w:t>
      </w:r>
      <w:r w:rsidRPr="002D5F8F">
        <w:t>’s outcomes</w:t>
      </w:r>
      <w:r w:rsidR="00D33952">
        <w:t xml:space="preserve">, will be </w:t>
      </w:r>
      <w:r>
        <w:t xml:space="preserve">released </w:t>
      </w:r>
      <w:r w:rsidRPr="00715780">
        <w:t>in May 2023.</w:t>
      </w:r>
      <w:r w:rsidRPr="002D5F8F">
        <w:t xml:space="preserve"> </w:t>
      </w:r>
    </w:p>
    <w:p w14:paraId="1DD24836" w14:textId="69A444BC" w:rsidR="00FE7881" w:rsidRPr="00A9708C" w:rsidRDefault="002D5F8F" w:rsidP="006B06DB">
      <w:pPr>
        <w:pStyle w:val="ListParagraph"/>
      </w:pPr>
      <w:r>
        <w:t>Any new pricing arrangements will come into effect on 1 July 2023.</w:t>
      </w:r>
    </w:p>
    <w:p w14:paraId="044B3677" w14:textId="0369D4BC" w:rsidR="00187E5E" w:rsidRPr="00DF7A33" w:rsidRDefault="002D5F8F" w:rsidP="00187E5E">
      <w:pPr>
        <w:pStyle w:val="Heading2"/>
        <w:rPr>
          <w:color w:val="6B2976"/>
        </w:rPr>
      </w:pPr>
      <w:r>
        <w:rPr>
          <w:color w:val="6B2976"/>
        </w:rPr>
        <w:t>Expert Panel</w:t>
      </w:r>
    </w:p>
    <w:p w14:paraId="3DB3BC2A" w14:textId="69CF19B1" w:rsidR="002520F7" w:rsidRDefault="002520F7" w:rsidP="002520F7">
      <w:pPr>
        <w:pStyle w:val="ListParagraph"/>
      </w:pPr>
      <w:r>
        <w:t xml:space="preserve">The Expert Panel will be </w:t>
      </w:r>
      <w:r w:rsidR="00396579" w:rsidRPr="00396579">
        <w:t>convened by a senior executive of the NDIA</w:t>
      </w:r>
      <w:r>
        <w:t xml:space="preserve"> and</w:t>
      </w:r>
      <w:r w:rsidR="00396579">
        <w:t xml:space="preserve"> comprised of</w:t>
      </w:r>
      <w:r>
        <w:t xml:space="preserve"> between six (6) and eight (8) independent members as follows:</w:t>
      </w:r>
    </w:p>
    <w:p w14:paraId="329864CC" w14:textId="77777777" w:rsidR="002520F7" w:rsidRDefault="002520F7" w:rsidP="002520F7">
      <w:pPr>
        <w:pStyle w:val="ListParagraph"/>
        <w:numPr>
          <w:ilvl w:val="1"/>
          <w:numId w:val="34"/>
        </w:numPr>
      </w:pPr>
      <w:r>
        <w:t>Independent Members appointed by the CEO, reflecting an appropriate diversity of skills, experience and geography, including strong understanding of and experience in one or more of the following:</w:t>
      </w:r>
    </w:p>
    <w:p w14:paraId="1B5FA367" w14:textId="77777777" w:rsidR="002520F7" w:rsidRDefault="002520F7" w:rsidP="002520F7">
      <w:pPr>
        <w:pStyle w:val="ListParagraph"/>
        <w:numPr>
          <w:ilvl w:val="2"/>
          <w:numId w:val="34"/>
        </w:numPr>
      </w:pPr>
      <w:r>
        <w:t xml:space="preserve">The objectives and operations of the NDIS </w:t>
      </w:r>
    </w:p>
    <w:p w14:paraId="3F0C7039" w14:textId="77777777" w:rsidR="002520F7" w:rsidRDefault="002520F7" w:rsidP="002520F7">
      <w:pPr>
        <w:pStyle w:val="ListParagraph"/>
        <w:numPr>
          <w:ilvl w:val="2"/>
          <w:numId w:val="34"/>
        </w:numPr>
      </w:pPr>
      <w:r>
        <w:t>The SDA sector</w:t>
      </w:r>
    </w:p>
    <w:p w14:paraId="5B3A1153" w14:textId="77777777" w:rsidR="002520F7" w:rsidRDefault="002520F7" w:rsidP="002520F7">
      <w:pPr>
        <w:pStyle w:val="ListParagraph"/>
        <w:numPr>
          <w:ilvl w:val="2"/>
          <w:numId w:val="34"/>
        </w:numPr>
      </w:pPr>
      <w:r>
        <w:t>The SDA Building Design Standards</w:t>
      </w:r>
    </w:p>
    <w:p w14:paraId="5DB77617" w14:textId="77777777" w:rsidR="002520F7" w:rsidRDefault="002520F7" w:rsidP="002520F7">
      <w:pPr>
        <w:pStyle w:val="ListParagraph"/>
        <w:numPr>
          <w:ilvl w:val="2"/>
          <w:numId w:val="34"/>
        </w:numPr>
      </w:pPr>
      <w:r>
        <w:t>The residential building industry and building costs</w:t>
      </w:r>
    </w:p>
    <w:p w14:paraId="623A417F" w14:textId="77777777" w:rsidR="002520F7" w:rsidRDefault="002520F7" w:rsidP="002520F7">
      <w:pPr>
        <w:pStyle w:val="ListParagraph"/>
        <w:numPr>
          <w:ilvl w:val="2"/>
          <w:numId w:val="34"/>
        </w:numPr>
      </w:pPr>
      <w:r>
        <w:t>Land costs and movement over time in land costs</w:t>
      </w:r>
    </w:p>
    <w:p w14:paraId="6FEF899D" w14:textId="77777777" w:rsidR="002520F7" w:rsidRDefault="002520F7" w:rsidP="002520F7">
      <w:pPr>
        <w:pStyle w:val="ListParagraph"/>
        <w:numPr>
          <w:ilvl w:val="2"/>
          <w:numId w:val="34"/>
        </w:numPr>
      </w:pPr>
      <w:r>
        <w:t>Property ownership costs, including vacancy management, tenancy management and property management</w:t>
      </w:r>
    </w:p>
    <w:p w14:paraId="537F3C21" w14:textId="77777777" w:rsidR="002520F7" w:rsidRDefault="002520F7" w:rsidP="002520F7">
      <w:pPr>
        <w:pStyle w:val="ListParagraph"/>
        <w:numPr>
          <w:ilvl w:val="2"/>
          <w:numId w:val="34"/>
        </w:numPr>
      </w:pPr>
      <w:r>
        <w:t>Investment structures and strategies relevant to SDA, including taxation</w:t>
      </w:r>
    </w:p>
    <w:p w14:paraId="53328DA3" w14:textId="77777777" w:rsidR="002520F7" w:rsidRDefault="002520F7" w:rsidP="002520F7">
      <w:pPr>
        <w:pStyle w:val="ListParagraph"/>
        <w:numPr>
          <w:ilvl w:val="2"/>
          <w:numId w:val="34"/>
        </w:numPr>
      </w:pPr>
      <w:r>
        <w:t>The pricing of regulated assets</w:t>
      </w:r>
    </w:p>
    <w:p w14:paraId="55708346" w14:textId="77777777" w:rsidR="002520F7" w:rsidRDefault="002520F7" w:rsidP="002520F7">
      <w:pPr>
        <w:pStyle w:val="ListParagraph"/>
        <w:numPr>
          <w:ilvl w:val="2"/>
          <w:numId w:val="34"/>
        </w:numPr>
      </w:pPr>
      <w:r>
        <w:t>Capital Assets Pricing Models</w:t>
      </w:r>
    </w:p>
    <w:p w14:paraId="279D7CD5" w14:textId="40165603" w:rsidR="002520F7" w:rsidRPr="002D69C9" w:rsidRDefault="002520F7" w:rsidP="002520F7">
      <w:pPr>
        <w:pStyle w:val="ListParagraph"/>
      </w:pPr>
      <w:r>
        <w:t>To assist the Expert Panel provide advice to the Board of the NDIA, the NDIA will provide the Expert Panel with an impact assessment of any proposed op</w:t>
      </w:r>
      <w:r w:rsidRPr="002D69C9">
        <w:t>tions and recommendations that considers:</w:t>
      </w:r>
    </w:p>
    <w:p w14:paraId="5FCACCDF" w14:textId="77777777" w:rsidR="002520F7" w:rsidRDefault="002520F7" w:rsidP="002520F7">
      <w:pPr>
        <w:pStyle w:val="ListParagraph"/>
        <w:numPr>
          <w:ilvl w:val="1"/>
          <w:numId w:val="34"/>
        </w:numPr>
      </w:pPr>
      <w:r>
        <w:t>M</w:t>
      </w:r>
      <w:r w:rsidRPr="002D69C9">
        <w:t xml:space="preserve">arket prices and factors influencing markets, including market monitoring activities and </w:t>
      </w:r>
      <w:r>
        <w:t>any market issues that arise</w:t>
      </w:r>
      <w:r w:rsidRPr="002D69C9">
        <w:t xml:space="preserve"> </w:t>
      </w:r>
      <w:r>
        <w:t>based on analysis of Scheme data and external data sources;</w:t>
      </w:r>
    </w:p>
    <w:p w14:paraId="02226A85" w14:textId="77777777" w:rsidR="002520F7" w:rsidRPr="002D69C9" w:rsidRDefault="002520F7" w:rsidP="002520F7">
      <w:pPr>
        <w:pStyle w:val="ListParagraph"/>
        <w:numPr>
          <w:ilvl w:val="1"/>
          <w:numId w:val="34"/>
        </w:numPr>
      </w:pPr>
      <w:r w:rsidRPr="002D69C9">
        <w:t>Expected costs and benefits for participants, providers and other relevant stakeholders, including the distribution of these costs and benefits</w:t>
      </w:r>
      <w:r>
        <w:t>;</w:t>
      </w:r>
    </w:p>
    <w:p w14:paraId="7D5D2C2E" w14:textId="77777777" w:rsidR="002520F7" w:rsidRPr="002D69C9" w:rsidRDefault="002520F7" w:rsidP="002520F7">
      <w:pPr>
        <w:pStyle w:val="ListParagraph"/>
        <w:numPr>
          <w:ilvl w:val="1"/>
          <w:numId w:val="34"/>
        </w:numPr>
      </w:pPr>
      <w:r w:rsidRPr="002D69C9">
        <w:lastRenderedPageBreak/>
        <w:t>Risks, along with any options to manage/mitigate these risks; and</w:t>
      </w:r>
    </w:p>
    <w:p w14:paraId="34AE82D4" w14:textId="7B4C16F3" w:rsidR="002520F7" w:rsidRDefault="002520F7" w:rsidP="002520F7">
      <w:pPr>
        <w:pStyle w:val="ListParagraph"/>
        <w:numPr>
          <w:ilvl w:val="1"/>
          <w:numId w:val="34"/>
        </w:numPr>
      </w:pPr>
      <w:r w:rsidRPr="002D69C9">
        <w:t xml:space="preserve">Any other impacts that are relevant to the successful delivery of the </w:t>
      </w:r>
      <w:r>
        <w:t>NDIS</w:t>
      </w:r>
      <w:r w:rsidRPr="002D69C9">
        <w:t>.</w:t>
      </w:r>
    </w:p>
    <w:p w14:paraId="24E7E12A" w14:textId="1F2C9364" w:rsidR="006B06DB" w:rsidRPr="00FE7FBE" w:rsidRDefault="002520F7" w:rsidP="00D33952">
      <w:pPr>
        <w:pStyle w:val="ListParagraph"/>
      </w:pPr>
      <w:r w:rsidRPr="006B7531">
        <w:t xml:space="preserve">The </w:t>
      </w:r>
      <w:r w:rsidR="00D33952">
        <w:t xml:space="preserve">Expert Panel will provide its advice to the Board of the NDIA on the basis of the impact assessment. </w:t>
      </w:r>
    </w:p>
    <w:p w14:paraId="331A9E60" w14:textId="77777777" w:rsidR="00187E5E" w:rsidRPr="00DF7A33" w:rsidRDefault="00187E5E" w:rsidP="00187E5E">
      <w:pPr>
        <w:pStyle w:val="Heading2"/>
        <w:rPr>
          <w:color w:val="6B2976"/>
        </w:rPr>
      </w:pPr>
      <w:r w:rsidRPr="00DF7A33">
        <w:rPr>
          <w:color w:val="6B2976"/>
        </w:rPr>
        <w:t>Further information</w:t>
      </w:r>
    </w:p>
    <w:p w14:paraId="1F3A948E" w14:textId="1D79A70D" w:rsidR="00187E5E" w:rsidRPr="00DF7A33" w:rsidRDefault="00187E5E" w:rsidP="006B06DB">
      <w:pPr>
        <w:pStyle w:val="ListParagraph"/>
      </w:pPr>
      <w:r w:rsidRPr="00DF7A33">
        <w:t xml:space="preserve">Further information on </w:t>
      </w:r>
      <w:r w:rsidR="00C7255A">
        <w:t>the SDA Price Review</w:t>
      </w:r>
      <w:r w:rsidRPr="00DF7A33">
        <w:t xml:space="preserve"> is found on the NDIS website </w:t>
      </w:r>
      <w:r w:rsidR="006B1EB0" w:rsidRPr="00DF7A33">
        <w:t xml:space="preserve">at </w:t>
      </w:r>
      <w:hyperlink r:id="rId13" w:history="1">
        <w:r w:rsidR="0073431C" w:rsidRPr="00936B0D">
          <w:rPr>
            <w:rStyle w:val="Hyperlink"/>
          </w:rPr>
          <w:t>https://www.ndis.gov.au/news/7696-updates-ndia-pricing-reviews</w:t>
        </w:r>
      </w:hyperlink>
      <w:r w:rsidRPr="00DF7A33">
        <w:t>.</w:t>
      </w:r>
    </w:p>
    <w:sectPr w:rsidR="00187E5E" w:rsidRPr="00DF7A33" w:rsidSect="0081773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8C87D" w14:textId="77777777" w:rsidR="00F15360" w:rsidRDefault="00F15360" w:rsidP="00187E5E">
      <w:pPr>
        <w:spacing w:before="0" w:after="0" w:line="240" w:lineRule="auto"/>
      </w:pPr>
      <w:r>
        <w:separator/>
      </w:r>
    </w:p>
  </w:endnote>
  <w:endnote w:type="continuationSeparator" w:id="0">
    <w:p w14:paraId="758274D6" w14:textId="77777777" w:rsidR="00F15360" w:rsidRDefault="00F15360" w:rsidP="00187E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Arial Unicode MS"/>
    <w:panose1 w:val="020B0304020202020204"/>
    <w:charset w:val="DE"/>
    <w:family w:val="swiss"/>
    <w:pitch w:val="variable"/>
    <w:sig w:usb0="00000000"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C0F88" w14:textId="77777777" w:rsidR="00C8360C" w:rsidRDefault="00C83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938F5" w14:textId="32ACA092" w:rsidR="00817736" w:rsidRPr="00187E5E" w:rsidRDefault="00241CE2" w:rsidP="0030621F">
    <w:pPr>
      <w:pStyle w:val="Style1"/>
      <w:rPr>
        <w:noProof/>
      </w:rPr>
    </w:pPr>
    <w:r w:rsidRPr="00187E5E">
      <w:t>ndis.gov.au</w:t>
    </w:r>
    <w:r w:rsidR="00C8360C">
      <w:t xml:space="preserve">                                                                                                                             </w:t>
    </w:r>
    <w:r w:rsidRPr="00187E5E">
      <w:t xml:space="preserve"> </w:t>
    </w:r>
    <w:sdt>
      <w:sdtPr>
        <w:id w:val="-1303768285"/>
        <w:docPartObj>
          <w:docPartGallery w:val="Page Numbers (Top of Page)"/>
          <w:docPartUnique/>
        </w:docPartObj>
      </w:sdtPr>
      <w:sdtEndPr>
        <w:rPr>
          <w:noProof/>
        </w:rPr>
      </w:sdtEndPr>
      <w:sdtContent>
        <w:r w:rsidRPr="00187E5E">
          <w:tab/>
        </w:r>
        <w:r w:rsidRPr="00187E5E">
          <w:fldChar w:fldCharType="begin"/>
        </w:r>
        <w:r w:rsidRPr="00187E5E">
          <w:instrText xml:space="preserve"> PAGE   \* MERGEFORMAT </w:instrText>
        </w:r>
        <w:r w:rsidRPr="00187E5E">
          <w:fldChar w:fldCharType="separate"/>
        </w:r>
        <w:r w:rsidR="000C7A38">
          <w:rPr>
            <w:noProof/>
          </w:rPr>
          <w:t>5</w:t>
        </w:r>
        <w:r w:rsidRPr="00187E5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BEF7C" w14:textId="50C8DC46" w:rsidR="00817736" w:rsidRPr="00187E5E" w:rsidRDefault="00241CE2" w:rsidP="007C4834">
    <w:pPr>
      <w:pStyle w:val="Style1"/>
      <w:rPr>
        <w:noProof/>
      </w:rPr>
    </w:pPr>
    <w:r w:rsidRPr="00187E5E">
      <w:t xml:space="preserve">ndis.gov.au </w:t>
    </w:r>
    <w:sdt>
      <w:sdtPr>
        <w:id w:val="1139694551"/>
        <w:docPartObj>
          <w:docPartGallery w:val="Page Numbers (Top of Page)"/>
          <w:docPartUnique/>
        </w:docPartObj>
      </w:sdtPr>
      <w:sdtEndPr>
        <w:rPr>
          <w:noProof/>
        </w:rPr>
      </w:sdtEndPr>
      <w:sdtContent>
        <w:r w:rsidR="007C4834">
          <w:t xml:space="preserve">               </w:t>
        </w:r>
        <w:r w:rsidR="00C8360C">
          <w:t xml:space="preserve">                                                                                                              </w:t>
        </w:r>
        <w:r w:rsidR="000C7A38">
          <w:tab/>
        </w:r>
        <w:bookmarkStart w:id="2" w:name="_GoBack"/>
        <w:bookmarkEnd w:id="2"/>
        <w:r w:rsidR="00C8360C">
          <w:t xml:space="preserve">  </w:t>
        </w:r>
        <w:r w:rsidRPr="00187E5E">
          <w:fldChar w:fldCharType="begin"/>
        </w:r>
        <w:r w:rsidRPr="00187E5E">
          <w:instrText xml:space="preserve"> PAGE   \* MERGEFORMAT </w:instrText>
        </w:r>
        <w:r w:rsidRPr="00187E5E">
          <w:fldChar w:fldCharType="separate"/>
        </w:r>
        <w:r w:rsidR="000C7A38">
          <w:rPr>
            <w:noProof/>
          </w:rPr>
          <w:t>1</w:t>
        </w:r>
        <w:r w:rsidRPr="00187E5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72CAF" w14:textId="77777777" w:rsidR="00F15360" w:rsidRDefault="00F15360" w:rsidP="00187E5E">
      <w:pPr>
        <w:spacing w:before="0" w:after="0" w:line="240" w:lineRule="auto"/>
      </w:pPr>
      <w:r>
        <w:separator/>
      </w:r>
    </w:p>
  </w:footnote>
  <w:footnote w:type="continuationSeparator" w:id="0">
    <w:p w14:paraId="352E5D18" w14:textId="77777777" w:rsidR="00F15360" w:rsidRDefault="00F15360" w:rsidP="00187E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3782" w14:textId="3261EC1F" w:rsidR="00C8360C" w:rsidRDefault="00C83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5CB56" w14:textId="33B47A63" w:rsidR="00817736" w:rsidRPr="00187E5E" w:rsidRDefault="00682188" w:rsidP="00682188">
    <w:pPr>
      <w:pStyle w:val="Style2"/>
      <w:jc w:val="right"/>
    </w:pPr>
    <w:r w:rsidRPr="00682188">
      <w:t xml:space="preserve">SDA </w:t>
    </w:r>
    <w:r w:rsidR="00187E5E" w:rsidRPr="00187E5E">
      <w:t>Price Review – Terms of Reference</w:t>
    </w:r>
  </w:p>
  <w:p w14:paraId="33A69855" w14:textId="77777777" w:rsidR="00817736" w:rsidRPr="00146453" w:rsidRDefault="00817736" w:rsidP="00817736">
    <w:pPr>
      <w:pStyle w:val="Header"/>
      <w:jc w:val="center"/>
      <w:rPr>
        <w:b/>
        <w:color w:val="FAA41A" w:themeColor="accent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7D554" w14:textId="45C7A592" w:rsidR="00512DC9" w:rsidRDefault="00241CE2" w:rsidP="00512DC9">
    <w:pPr>
      <w:pStyle w:val="Header"/>
      <w:jc w:val="right"/>
      <w:rPr>
        <w:b/>
        <w:color w:val="FF0000"/>
      </w:rPr>
    </w:pPr>
    <w:r w:rsidRPr="00CD07EA">
      <w:rPr>
        <w:rFonts w:cs="Arial"/>
        <w:b/>
        <w:noProof/>
        <w:color w:val="FAA41A" w:themeColor="accent4"/>
        <w:sz w:val="32"/>
        <w:szCs w:val="32"/>
        <w:lang w:eastAsia="en-AU"/>
      </w:rPr>
      <w:drawing>
        <wp:inline distT="0" distB="0" distL="0" distR="0" wp14:anchorId="5CCE442B" wp14:editId="701A170F">
          <wp:extent cx="3111500" cy="777875"/>
          <wp:effectExtent l="0" t="0" r="0" b="3175"/>
          <wp:docPr id="2" name="Picture 5" descr="Scheme and Agency Logo"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3111500" cy="777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253E"/>
    <w:multiLevelType w:val="hybridMultilevel"/>
    <w:tmpl w:val="F6EC48FA"/>
    <w:lvl w:ilvl="0" w:tplc="5A5A98E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62CC5"/>
    <w:multiLevelType w:val="hybridMultilevel"/>
    <w:tmpl w:val="F360412A"/>
    <w:lvl w:ilvl="0" w:tplc="15A855B8">
      <w:start w:val="1"/>
      <w:numFmt w:val="bulle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8A7B52"/>
    <w:multiLevelType w:val="multilevel"/>
    <w:tmpl w:val="F9A2464E"/>
    <w:lvl w:ilvl="0">
      <w:start w:val="1"/>
      <w:numFmt w:val="decimal"/>
      <w:pStyle w:val="ListParagraph"/>
      <w:lvlText w:val="%1."/>
      <w:lvlJc w:val="left"/>
      <w:pPr>
        <w:ind w:left="425" w:hanging="425"/>
      </w:pPr>
      <w:rPr>
        <w:rFonts w:hint="default"/>
        <w:color w:val="6B2976" w:themeColor="text1"/>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2953E2"/>
    <w:multiLevelType w:val="hybridMultilevel"/>
    <w:tmpl w:val="85EC30C2"/>
    <w:lvl w:ilvl="0" w:tplc="E39677FA">
      <w:start w:val="1"/>
      <w:numFmt w:val="bullet"/>
      <w:lvlText w:val="•"/>
      <w:lvlJc w:val="left"/>
      <w:pPr>
        <w:tabs>
          <w:tab w:val="num" w:pos="720"/>
        </w:tabs>
        <w:ind w:left="720" w:hanging="360"/>
      </w:pPr>
      <w:rPr>
        <w:rFonts w:ascii="Arial" w:hAnsi="Arial" w:hint="default"/>
      </w:rPr>
    </w:lvl>
    <w:lvl w:ilvl="1" w:tplc="30D497C2" w:tentative="1">
      <w:start w:val="1"/>
      <w:numFmt w:val="bullet"/>
      <w:lvlText w:val="•"/>
      <w:lvlJc w:val="left"/>
      <w:pPr>
        <w:tabs>
          <w:tab w:val="num" w:pos="1440"/>
        </w:tabs>
        <w:ind w:left="1440" w:hanging="360"/>
      </w:pPr>
      <w:rPr>
        <w:rFonts w:ascii="Arial" w:hAnsi="Arial" w:hint="default"/>
      </w:rPr>
    </w:lvl>
    <w:lvl w:ilvl="2" w:tplc="7984639E" w:tentative="1">
      <w:start w:val="1"/>
      <w:numFmt w:val="bullet"/>
      <w:lvlText w:val="•"/>
      <w:lvlJc w:val="left"/>
      <w:pPr>
        <w:tabs>
          <w:tab w:val="num" w:pos="2160"/>
        </w:tabs>
        <w:ind w:left="2160" w:hanging="360"/>
      </w:pPr>
      <w:rPr>
        <w:rFonts w:ascii="Arial" w:hAnsi="Arial" w:hint="default"/>
      </w:rPr>
    </w:lvl>
    <w:lvl w:ilvl="3" w:tplc="44889550" w:tentative="1">
      <w:start w:val="1"/>
      <w:numFmt w:val="bullet"/>
      <w:lvlText w:val="•"/>
      <w:lvlJc w:val="left"/>
      <w:pPr>
        <w:tabs>
          <w:tab w:val="num" w:pos="2880"/>
        </w:tabs>
        <w:ind w:left="2880" w:hanging="360"/>
      </w:pPr>
      <w:rPr>
        <w:rFonts w:ascii="Arial" w:hAnsi="Arial" w:hint="default"/>
      </w:rPr>
    </w:lvl>
    <w:lvl w:ilvl="4" w:tplc="8D3E2ADC" w:tentative="1">
      <w:start w:val="1"/>
      <w:numFmt w:val="bullet"/>
      <w:lvlText w:val="•"/>
      <w:lvlJc w:val="left"/>
      <w:pPr>
        <w:tabs>
          <w:tab w:val="num" w:pos="3600"/>
        </w:tabs>
        <w:ind w:left="3600" w:hanging="360"/>
      </w:pPr>
      <w:rPr>
        <w:rFonts w:ascii="Arial" w:hAnsi="Arial" w:hint="default"/>
      </w:rPr>
    </w:lvl>
    <w:lvl w:ilvl="5" w:tplc="A53ECECA" w:tentative="1">
      <w:start w:val="1"/>
      <w:numFmt w:val="bullet"/>
      <w:lvlText w:val="•"/>
      <w:lvlJc w:val="left"/>
      <w:pPr>
        <w:tabs>
          <w:tab w:val="num" w:pos="4320"/>
        </w:tabs>
        <w:ind w:left="4320" w:hanging="360"/>
      </w:pPr>
      <w:rPr>
        <w:rFonts w:ascii="Arial" w:hAnsi="Arial" w:hint="default"/>
      </w:rPr>
    </w:lvl>
    <w:lvl w:ilvl="6" w:tplc="C762AACA" w:tentative="1">
      <w:start w:val="1"/>
      <w:numFmt w:val="bullet"/>
      <w:lvlText w:val="•"/>
      <w:lvlJc w:val="left"/>
      <w:pPr>
        <w:tabs>
          <w:tab w:val="num" w:pos="5040"/>
        </w:tabs>
        <w:ind w:left="5040" w:hanging="360"/>
      </w:pPr>
      <w:rPr>
        <w:rFonts w:ascii="Arial" w:hAnsi="Arial" w:hint="default"/>
      </w:rPr>
    </w:lvl>
    <w:lvl w:ilvl="7" w:tplc="937C9F6A" w:tentative="1">
      <w:start w:val="1"/>
      <w:numFmt w:val="bullet"/>
      <w:lvlText w:val="•"/>
      <w:lvlJc w:val="left"/>
      <w:pPr>
        <w:tabs>
          <w:tab w:val="num" w:pos="5760"/>
        </w:tabs>
        <w:ind w:left="5760" w:hanging="360"/>
      </w:pPr>
      <w:rPr>
        <w:rFonts w:ascii="Arial" w:hAnsi="Arial" w:hint="default"/>
      </w:rPr>
    </w:lvl>
    <w:lvl w:ilvl="8" w:tplc="46E2D3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0C6C6C"/>
    <w:multiLevelType w:val="hybridMultilevel"/>
    <w:tmpl w:val="61383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5765D1"/>
    <w:multiLevelType w:val="multilevel"/>
    <w:tmpl w:val="E8F49B9C"/>
    <w:lvl w:ilvl="0">
      <w:start w:val="1"/>
      <w:numFmt w:val="decimal"/>
      <w:pStyle w:val="DotPoin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83359A5"/>
    <w:multiLevelType w:val="multilevel"/>
    <w:tmpl w:val="69B264F0"/>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88F2518"/>
    <w:multiLevelType w:val="hybridMultilevel"/>
    <w:tmpl w:val="77DA4692"/>
    <w:lvl w:ilvl="0" w:tplc="5A5A98E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C9555F"/>
    <w:multiLevelType w:val="hybridMultilevel"/>
    <w:tmpl w:val="ED126866"/>
    <w:lvl w:ilvl="0" w:tplc="5A5A98E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DF6014"/>
    <w:multiLevelType w:val="hybridMultilevel"/>
    <w:tmpl w:val="76AAEA3A"/>
    <w:lvl w:ilvl="0" w:tplc="44C464E6">
      <w:start w:val="1"/>
      <w:numFmt w:val="bullet"/>
      <w:lvlText w:val="•"/>
      <w:lvlJc w:val="left"/>
      <w:pPr>
        <w:tabs>
          <w:tab w:val="num" w:pos="720"/>
        </w:tabs>
        <w:ind w:left="720" w:hanging="360"/>
      </w:pPr>
      <w:rPr>
        <w:rFonts w:ascii="Arial" w:hAnsi="Arial" w:hint="default"/>
      </w:rPr>
    </w:lvl>
    <w:lvl w:ilvl="1" w:tplc="653AF0F6" w:tentative="1">
      <w:start w:val="1"/>
      <w:numFmt w:val="bullet"/>
      <w:lvlText w:val="•"/>
      <w:lvlJc w:val="left"/>
      <w:pPr>
        <w:tabs>
          <w:tab w:val="num" w:pos="1440"/>
        </w:tabs>
        <w:ind w:left="1440" w:hanging="360"/>
      </w:pPr>
      <w:rPr>
        <w:rFonts w:ascii="Arial" w:hAnsi="Arial" w:hint="default"/>
      </w:rPr>
    </w:lvl>
    <w:lvl w:ilvl="2" w:tplc="B12EB14E" w:tentative="1">
      <w:start w:val="1"/>
      <w:numFmt w:val="bullet"/>
      <w:lvlText w:val="•"/>
      <w:lvlJc w:val="left"/>
      <w:pPr>
        <w:tabs>
          <w:tab w:val="num" w:pos="2160"/>
        </w:tabs>
        <w:ind w:left="2160" w:hanging="360"/>
      </w:pPr>
      <w:rPr>
        <w:rFonts w:ascii="Arial" w:hAnsi="Arial" w:hint="default"/>
      </w:rPr>
    </w:lvl>
    <w:lvl w:ilvl="3" w:tplc="8E2461DA" w:tentative="1">
      <w:start w:val="1"/>
      <w:numFmt w:val="bullet"/>
      <w:lvlText w:val="•"/>
      <w:lvlJc w:val="left"/>
      <w:pPr>
        <w:tabs>
          <w:tab w:val="num" w:pos="2880"/>
        </w:tabs>
        <w:ind w:left="2880" w:hanging="360"/>
      </w:pPr>
      <w:rPr>
        <w:rFonts w:ascii="Arial" w:hAnsi="Arial" w:hint="default"/>
      </w:rPr>
    </w:lvl>
    <w:lvl w:ilvl="4" w:tplc="5E88E154" w:tentative="1">
      <w:start w:val="1"/>
      <w:numFmt w:val="bullet"/>
      <w:lvlText w:val="•"/>
      <w:lvlJc w:val="left"/>
      <w:pPr>
        <w:tabs>
          <w:tab w:val="num" w:pos="3600"/>
        </w:tabs>
        <w:ind w:left="3600" w:hanging="360"/>
      </w:pPr>
      <w:rPr>
        <w:rFonts w:ascii="Arial" w:hAnsi="Arial" w:hint="default"/>
      </w:rPr>
    </w:lvl>
    <w:lvl w:ilvl="5" w:tplc="006A2BF0" w:tentative="1">
      <w:start w:val="1"/>
      <w:numFmt w:val="bullet"/>
      <w:lvlText w:val="•"/>
      <w:lvlJc w:val="left"/>
      <w:pPr>
        <w:tabs>
          <w:tab w:val="num" w:pos="4320"/>
        </w:tabs>
        <w:ind w:left="4320" w:hanging="360"/>
      </w:pPr>
      <w:rPr>
        <w:rFonts w:ascii="Arial" w:hAnsi="Arial" w:hint="default"/>
      </w:rPr>
    </w:lvl>
    <w:lvl w:ilvl="6" w:tplc="E4BEF260" w:tentative="1">
      <w:start w:val="1"/>
      <w:numFmt w:val="bullet"/>
      <w:lvlText w:val="•"/>
      <w:lvlJc w:val="left"/>
      <w:pPr>
        <w:tabs>
          <w:tab w:val="num" w:pos="5040"/>
        </w:tabs>
        <w:ind w:left="5040" w:hanging="360"/>
      </w:pPr>
      <w:rPr>
        <w:rFonts w:ascii="Arial" w:hAnsi="Arial" w:hint="default"/>
      </w:rPr>
    </w:lvl>
    <w:lvl w:ilvl="7" w:tplc="16BA4550" w:tentative="1">
      <w:start w:val="1"/>
      <w:numFmt w:val="bullet"/>
      <w:lvlText w:val="•"/>
      <w:lvlJc w:val="left"/>
      <w:pPr>
        <w:tabs>
          <w:tab w:val="num" w:pos="5760"/>
        </w:tabs>
        <w:ind w:left="5760" w:hanging="360"/>
      </w:pPr>
      <w:rPr>
        <w:rFonts w:ascii="Arial" w:hAnsi="Arial" w:hint="default"/>
      </w:rPr>
    </w:lvl>
    <w:lvl w:ilvl="8" w:tplc="A1FCB25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35427B"/>
    <w:multiLevelType w:val="hybridMultilevel"/>
    <w:tmpl w:val="657E1C54"/>
    <w:lvl w:ilvl="0" w:tplc="45DC68B2">
      <w:start w:val="1"/>
      <w:numFmt w:val="bullet"/>
      <w:lvlText w:val="•"/>
      <w:lvlJc w:val="left"/>
      <w:pPr>
        <w:tabs>
          <w:tab w:val="num" w:pos="720"/>
        </w:tabs>
        <w:ind w:left="720" w:hanging="360"/>
      </w:pPr>
      <w:rPr>
        <w:rFonts w:ascii="Arial" w:hAnsi="Arial" w:hint="default"/>
      </w:rPr>
    </w:lvl>
    <w:lvl w:ilvl="1" w:tplc="01D0F406" w:tentative="1">
      <w:start w:val="1"/>
      <w:numFmt w:val="bullet"/>
      <w:lvlText w:val="•"/>
      <w:lvlJc w:val="left"/>
      <w:pPr>
        <w:tabs>
          <w:tab w:val="num" w:pos="1440"/>
        </w:tabs>
        <w:ind w:left="1440" w:hanging="360"/>
      </w:pPr>
      <w:rPr>
        <w:rFonts w:ascii="Arial" w:hAnsi="Arial" w:hint="default"/>
      </w:rPr>
    </w:lvl>
    <w:lvl w:ilvl="2" w:tplc="332C8D1C" w:tentative="1">
      <w:start w:val="1"/>
      <w:numFmt w:val="bullet"/>
      <w:lvlText w:val="•"/>
      <w:lvlJc w:val="left"/>
      <w:pPr>
        <w:tabs>
          <w:tab w:val="num" w:pos="2160"/>
        </w:tabs>
        <w:ind w:left="2160" w:hanging="360"/>
      </w:pPr>
      <w:rPr>
        <w:rFonts w:ascii="Arial" w:hAnsi="Arial" w:hint="default"/>
      </w:rPr>
    </w:lvl>
    <w:lvl w:ilvl="3" w:tplc="DD882528" w:tentative="1">
      <w:start w:val="1"/>
      <w:numFmt w:val="bullet"/>
      <w:lvlText w:val="•"/>
      <w:lvlJc w:val="left"/>
      <w:pPr>
        <w:tabs>
          <w:tab w:val="num" w:pos="2880"/>
        </w:tabs>
        <w:ind w:left="2880" w:hanging="360"/>
      </w:pPr>
      <w:rPr>
        <w:rFonts w:ascii="Arial" w:hAnsi="Arial" w:hint="default"/>
      </w:rPr>
    </w:lvl>
    <w:lvl w:ilvl="4" w:tplc="E632A90E" w:tentative="1">
      <w:start w:val="1"/>
      <w:numFmt w:val="bullet"/>
      <w:lvlText w:val="•"/>
      <w:lvlJc w:val="left"/>
      <w:pPr>
        <w:tabs>
          <w:tab w:val="num" w:pos="3600"/>
        </w:tabs>
        <w:ind w:left="3600" w:hanging="360"/>
      </w:pPr>
      <w:rPr>
        <w:rFonts w:ascii="Arial" w:hAnsi="Arial" w:hint="default"/>
      </w:rPr>
    </w:lvl>
    <w:lvl w:ilvl="5" w:tplc="E7FC3D16" w:tentative="1">
      <w:start w:val="1"/>
      <w:numFmt w:val="bullet"/>
      <w:lvlText w:val="•"/>
      <w:lvlJc w:val="left"/>
      <w:pPr>
        <w:tabs>
          <w:tab w:val="num" w:pos="4320"/>
        </w:tabs>
        <w:ind w:left="4320" w:hanging="360"/>
      </w:pPr>
      <w:rPr>
        <w:rFonts w:ascii="Arial" w:hAnsi="Arial" w:hint="default"/>
      </w:rPr>
    </w:lvl>
    <w:lvl w:ilvl="6" w:tplc="E68049AC" w:tentative="1">
      <w:start w:val="1"/>
      <w:numFmt w:val="bullet"/>
      <w:lvlText w:val="•"/>
      <w:lvlJc w:val="left"/>
      <w:pPr>
        <w:tabs>
          <w:tab w:val="num" w:pos="5040"/>
        </w:tabs>
        <w:ind w:left="5040" w:hanging="360"/>
      </w:pPr>
      <w:rPr>
        <w:rFonts w:ascii="Arial" w:hAnsi="Arial" w:hint="default"/>
      </w:rPr>
    </w:lvl>
    <w:lvl w:ilvl="7" w:tplc="DC8C67B6" w:tentative="1">
      <w:start w:val="1"/>
      <w:numFmt w:val="bullet"/>
      <w:lvlText w:val="•"/>
      <w:lvlJc w:val="left"/>
      <w:pPr>
        <w:tabs>
          <w:tab w:val="num" w:pos="5760"/>
        </w:tabs>
        <w:ind w:left="5760" w:hanging="360"/>
      </w:pPr>
      <w:rPr>
        <w:rFonts w:ascii="Arial" w:hAnsi="Arial" w:hint="default"/>
      </w:rPr>
    </w:lvl>
    <w:lvl w:ilvl="8" w:tplc="1A741E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BC2536"/>
    <w:multiLevelType w:val="hybridMultilevel"/>
    <w:tmpl w:val="9B0A5EC6"/>
    <w:lvl w:ilvl="0" w:tplc="269A6AD4">
      <w:start w:val="1"/>
      <w:numFmt w:val="bullet"/>
      <w:lvlText w:val="•"/>
      <w:lvlJc w:val="left"/>
      <w:pPr>
        <w:tabs>
          <w:tab w:val="num" w:pos="720"/>
        </w:tabs>
        <w:ind w:left="720" w:hanging="360"/>
      </w:pPr>
      <w:rPr>
        <w:rFonts w:ascii="Arial" w:hAnsi="Arial" w:hint="default"/>
      </w:rPr>
    </w:lvl>
    <w:lvl w:ilvl="1" w:tplc="BAF0382C" w:tentative="1">
      <w:start w:val="1"/>
      <w:numFmt w:val="bullet"/>
      <w:lvlText w:val="•"/>
      <w:lvlJc w:val="left"/>
      <w:pPr>
        <w:tabs>
          <w:tab w:val="num" w:pos="1440"/>
        </w:tabs>
        <w:ind w:left="1440" w:hanging="360"/>
      </w:pPr>
      <w:rPr>
        <w:rFonts w:ascii="Arial" w:hAnsi="Arial" w:hint="default"/>
      </w:rPr>
    </w:lvl>
    <w:lvl w:ilvl="2" w:tplc="5D2254BE" w:tentative="1">
      <w:start w:val="1"/>
      <w:numFmt w:val="bullet"/>
      <w:lvlText w:val="•"/>
      <w:lvlJc w:val="left"/>
      <w:pPr>
        <w:tabs>
          <w:tab w:val="num" w:pos="2160"/>
        </w:tabs>
        <w:ind w:left="2160" w:hanging="360"/>
      </w:pPr>
      <w:rPr>
        <w:rFonts w:ascii="Arial" w:hAnsi="Arial" w:hint="default"/>
      </w:rPr>
    </w:lvl>
    <w:lvl w:ilvl="3" w:tplc="92B6FB88" w:tentative="1">
      <w:start w:val="1"/>
      <w:numFmt w:val="bullet"/>
      <w:lvlText w:val="•"/>
      <w:lvlJc w:val="left"/>
      <w:pPr>
        <w:tabs>
          <w:tab w:val="num" w:pos="2880"/>
        </w:tabs>
        <w:ind w:left="2880" w:hanging="360"/>
      </w:pPr>
      <w:rPr>
        <w:rFonts w:ascii="Arial" w:hAnsi="Arial" w:hint="default"/>
      </w:rPr>
    </w:lvl>
    <w:lvl w:ilvl="4" w:tplc="3D1E0FCA" w:tentative="1">
      <w:start w:val="1"/>
      <w:numFmt w:val="bullet"/>
      <w:lvlText w:val="•"/>
      <w:lvlJc w:val="left"/>
      <w:pPr>
        <w:tabs>
          <w:tab w:val="num" w:pos="3600"/>
        </w:tabs>
        <w:ind w:left="3600" w:hanging="360"/>
      </w:pPr>
      <w:rPr>
        <w:rFonts w:ascii="Arial" w:hAnsi="Arial" w:hint="default"/>
      </w:rPr>
    </w:lvl>
    <w:lvl w:ilvl="5" w:tplc="0608AF2A" w:tentative="1">
      <w:start w:val="1"/>
      <w:numFmt w:val="bullet"/>
      <w:lvlText w:val="•"/>
      <w:lvlJc w:val="left"/>
      <w:pPr>
        <w:tabs>
          <w:tab w:val="num" w:pos="4320"/>
        </w:tabs>
        <w:ind w:left="4320" w:hanging="360"/>
      </w:pPr>
      <w:rPr>
        <w:rFonts w:ascii="Arial" w:hAnsi="Arial" w:hint="default"/>
      </w:rPr>
    </w:lvl>
    <w:lvl w:ilvl="6" w:tplc="8AD8FD24" w:tentative="1">
      <w:start w:val="1"/>
      <w:numFmt w:val="bullet"/>
      <w:lvlText w:val="•"/>
      <w:lvlJc w:val="left"/>
      <w:pPr>
        <w:tabs>
          <w:tab w:val="num" w:pos="5040"/>
        </w:tabs>
        <w:ind w:left="5040" w:hanging="360"/>
      </w:pPr>
      <w:rPr>
        <w:rFonts w:ascii="Arial" w:hAnsi="Arial" w:hint="default"/>
      </w:rPr>
    </w:lvl>
    <w:lvl w:ilvl="7" w:tplc="D45C51A6" w:tentative="1">
      <w:start w:val="1"/>
      <w:numFmt w:val="bullet"/>
      <w:lvlText w:val="•"/>
      <w:lvlJc w:val="left"/>
      <w:pPr>
        <w:tabs>
          <w:tab w:val="num" w:pos="5760"/>
        </w:tabs>
        <w:ind w:left="5760" w:hanging="360"/>
      </w:pPr>
      <w:rPr>
        <w:rFonts w:ascii="Arial" w:hAnsi="Arial" w:hint="default"/>
      </w:rPr>
    </w:lvl>
    <w:lvl w:ilvl="8" w:tplc="E0AA747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6C1521C"/>
    <w:multiLevelType w:val="hybridMultilevel"/>
    <w:tmpl w:val="ABCA127C"/>
    <w:lvl w:ilvl="0" w:tplc="7554A210">
      <w:start w:val="1"/>
      <w:numFmt w:val="bullet"/>
      <w:lvlText w:val="•"/>
      <w:lvlJc w:val="left"/>
      <w:pPr>
        <w:tabs>
          <w:tab w:val="num" w:pos="720"/>
        </w:tabs>
        <w:ind w:left="720" w:hanging="360"/>
      </w:pPr>
      <w:rPr>
        <w:rFonts w:ascii="Arial" w:hAnsi="Arial" w:hint="default"/>
      </w:rPr>
    </w:lvl>
    <w:lvl w:ilvl="1" w:tplc="E62EF9AA" w:tentative="1">
      <w:start w:val="1"/>
      <w:numFmt w:val="bullet"/>
      <w:lvlText w:val="•"/>
      <w:lvlJc w:val="left"/>
      <w:pPr>
        <w:tabs>
          <w:tab w:val="num" w:pos="1440"/>
        </w:tabs>
        <w:ind w:left="1440" w:hanging="360"/>
      </w:pPr>
      <w:rPr>
        <w:rFonts w:ascii="Arial" w:hAnsi="Arial" w:hint="default"/>
      </w:rPr>
    </w:lvl>
    <w:lvl w:ilvl="2" w:tplc="7A7ED24C" w:tentative="1">
      <w:start w:val="1"/>
      <w:numFmt w:val="bullet"/>
      <w:lvlText w:val="•"/>
      <w:lvlJc w:val="left"/>
      <w:pPr>
        <w:tabs>
          <w:tab w:val="num" w:pos="2160"/>
        </w:tabs>
        <w:ind w:left="2160" w:hanging="360"/>
      </w:pPr>
      <w:rPr>
        <w:rFonts w:ascii="Arial" w:hAnsi="Arial" w:hint="default"/>
      </w:rPr>
    </w:lvl>
    <w:lvl w:ilvl="3" w:tplc="3A5A1250" w:tentative="1">
      <w:start w:val="1"/>
      <w:numFmt w:val="bullet"/>
      <w:lvlText w:val="•"/>
      <w:lvlJc w:val="left"/>
      <w:pPr>
        <w:tabs>
          <w:tab w:val="num" w:pos="2880"/>
        </w:tabs>
        <w:ind w:left="2880" w:hanging="360"/>
      </w:pPr>
      <w:rPr>
        <w:rFonts w:ascii="Arial" w:hAnsi="Arial" w:hint="default"/>
      </w:rPr>
    </w:lvl>
    <w:lvl w:ilvl="4" w:tplc="CCF6B07E" w:tentative="1">
      <w:start w:val="1"/>
      <w:numFmt w:val="bullet"/>
      <w:lvlText w:val="•"/>
      <w:lvlJc w:val="left"/>
      <w:pPr>
        <w:tabs>
          <w:tab w:val="num" w:pos="3600"/>
        </w:tabs>
        <w:ind w:left="3600" w:hanging="360"/>
      </w:pPr>
      <w:rPr>
        <w:rFonts w:ascii="Arial" w:hAnsi="Arial" w:hint="default"/>
      </w:rPr>
    </w:lvl>
    <w:lvl w:ilvl="5" w:tplc="5E02115C" w:tentative="1">
      <w:start w:val="1"/>
      <w:numFmt w:val="bullet"/>
      <w:lvlText w:val="•"/>
      <w:lvlJc w:val="left"/>
      <w:pPr>
        <w:tabs>
          <w:tab w:val="num" w:pos="4320"/>
        </w:tabs>
        <w:ind w:left="4320" w:hanging="360"/>
      </w:pPr>
      <w:rPr>
        <w:rFonts w:ascii="Arial" w:hAnsi="Arial" w:hint="default"/>
      </w:rPr>
    </w:lvl>
    <w:lvl w:ilvl="6" w:tplc="429E0794" w:tentative="1">
      <w:start w:val="1"/>
      <w:numFmt w:val="bullet"/>
      <w:lvlText w:val="•"/>
      <w:lvlJc w:val="left"/>
      <w:pPr>
        <w:tabs>
          <w:tab w:val="num" w:pos="5040"/>
        </w:tabs>
        <w:ind w:left="5040" w:hanging="360"/>
      </w:pPr>
      <w:rPr>
        <w:rFonts w:ascii="Arial" w:hAnsi="Arial" w:hint="default"/>
      </w:rPr>
    </w:lvl>
    <w:lvl w:ilvl="7" w:tplc="0F9656B0" w:tentative="1">
      <w:start w:val="1"/>
      <w:numFmt w:val="bullet"/>
      <w:lvlText w:val="•"/>
      <w:lvlJc w:val="left"/>
      <w:pPr>
        <w:tabs>
          <w:tab w:val="num" w:pos="5760"/>
        </w:tabs>
        <w:ind w:left="5760" w:hanging="360"/>
      </w:pPr>
      <w:rPr>
        <w:rFonts w:ascii="Arial" w:hAnsi="Arial" w:hint="default"/>
      </w:rPr>
    </w:lvl>
    <w:lvl w:ilvl="8" w:tplc="039CC3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8B25089"/>
    <w:multiLevelType w:val="hybridMultilevel"/>
    <w:tmpl w:val="C39A874A"/>
    <w:lvl w:ilvl="0" w:tplc="C2C8EAB4">
      <w:start w:val="1"/>
      <w:numFmt w:val="bullet"/>
      <w:lvlText w:val="•"/>
      <w:lvlJc w:val="left"/>
      <w:pPr>
        <w:tabs>
          <w:tab w:val="num" w:pos="720"/>
        </w:tabs>
        <w:ind w:left="720" w:hanging="360"/>
      </w:pPr>
      <w:rPr>
        <w:rFonts w:ascii="Arial" w:hAnsi="Arial" w:hint="default"/>
      </w:rPr>
    </w:lvl>
    <w:lvl w:ilvl="1" w:tplc="8996C2A8" w:tentative="1">
      <w:start w:val="1"/>
      <w:numFmt w:val="bullet"/>
      <w:lvlText w:val="•"/>
      <w:lvlJc w:val="left"/>
      <w:pPr>
        <w:tabs>
          <w:tab w:val="num" w:pos="1440"/>
        </w:tabs>
        <w:ind w:left="1440" w:hanging="360"/>
      </w:pPr>
      <w:rPr>
        <w:rFonts w:ascii="Arial" w:hAnsi="Arial" w:hint="default"/>
      </w:rPr>
    </w:lvl>
    <w:lvl w:ilvl="2" w:tplc="5E24E6FE" w:tentative="1">
      <w:start w:val="1"/>
      <w:numFmt w:val="bullet"/>
      <w:lvlText w:val="•"/>
      <w:lvlJc w:val="left"/>
      <w:pPr>
        <w:tabs>
          <w:tab w:val="num" w:pos="2160"/>
        </w:tabs>
        <w:ind w:left="2160" w:hanging="360"/>
      </w:pPr>
      <w:rPr>
        <w:rFonts w:ascii="Arial" w:hAnsi="Arial" w:hint="default"/>
      </w:rPr>
    </w:lvl>
    <w:lvl w:ilvl="3" w:tplc="2320F418" w:tentative="1">
      <w:start w:val="1"/>
      <w:numFmt w:val="bullet"/>
      <w:lvlText w:val="•"/>
      <w:lvlJc w:val="left"/>
      <w:pPr>
        <w:tabs>
          <w:tab w:val="num" w:pos="2880"/>
        </w:tabs>
        <w:ind w:left="2880" w:hanging="360"/>
      </w:pPr>
      <w:rPr>
        <w:rFonts w:ascii="Arial" w:hAnsi="Arial" w:hint="default"/>
      </w:rPr>
    </w:lvl>
    <w:lvl w:ilvl="4" w:tplc="EF0E93B2" w:tentative="1">
      <w:start w:val="1"/>
      <w:numFmt w:val="bullet"/>
      <w:lvlText w:val="•"/>
      <w:lvlJc w:val="left"/>
      <w:pPr>
        <w:tabs>
          <w:tab w:val="num" w:pos="3600"/>
        </w:tabs>
        <w:ind w:left="3600" w:hanging="360"/>
      </w:pPr>
      <w:rPr>
        <w:rFonts w:ascii="Arial" w:hAnsi="Arial" w:hint="default"/>
      </w:rPr>
    </w:lvl>
    <w:lvl w:ilvl="5" w:tplc="B5BC7F54" w:tentative="1">
      <w:start w:val="1"/>
      <w:numFmt w:val="bullet"/>
      <w:lvlText w:val="•"/>
      <w:lvlJc w:val="left"/>
      <w:pPr>
        <w:tabs>
          <w:tab w:val="num" w:pos="4320"/>
        </w:tabs>
        <w:ind w:left="4320" w:hanging="360"/>
      </w:pPr>
      <w:rPr>
        <w:rFonts w:ascii="Arial" w:hAnsi="Arial" w:hint="default"/>
      </w:rPr>
    </w:lvl>
    <w:lvl w:ilvl="6" w:tplc="2C3090AC" w:tentative="1">
      <w:start w:val="1"/>
      <w:numFmt w:val="bullet"/>
      <w:lvlText w:val="•"/>
      <w:lvlJc w:val="left"/>
      <w:pPr>
        <w:tabs>
          <w:tab w:val="num" w:pos="5040"/>
        </w:tabs>
        <w:ind w:left="5040" w:hanging="360"/>
      </w:pPr>
      <w:rPr>
        <w:rFonts w:ascii="Arial" w:hAnsi="Arial" w:hint="default"/>
      </w:rPr>
    </w:lvl>
    <w:lvl w:ilvl="7" w:tplc="A9164D48" w:tentative="1">
      <w:start w:val="1"/>
      <w:numFmt w:val="bullet"/>
      <w:lvlText w:val="•"/>
      <w:lvlJc w:val="left"/>
      <w:pPr>
        <w:tabs>
          <w:tab w:val="num" w:pos="5760"/>
        </w:tabs>
        <w:ind w:left="5760" w:hanging="360"/>
      </w:pPr>
      <w:rPr>
        <w:rFonts w:ascii="Arial" w:hAnsi="Arial" w:hint="default"/>
      </w:rPr>
    </w:lvl>
    <w:lvl w:ilvl="8" w:tplc="21E2289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33E5AA3"/>
    <w:multiLevelType w:val="hybridMultilevel"/>
    <w:tmpl w:val="D71E2326"/>
    <w:lvl w:ilvl="0" w:tplc="E4843DCA">
      <w:start w:val="1"/>
      <w:numFmt w:val="bullet"/>
      <w:lvlText w:val="•"/>
      <w:lvlJc w:val="left"/>
      <w:pPr>
        <w:tabs>
          <w:tab w:val="num" w:pos="720"/>
        </w:tabs>
        <w:ind w:left="720" w:hanging="360"/>
      </w:pPr>
      <w:rPr>
        <w:rFonts w:ascii="Arial" w:hAnsi="Arial" w:hint="default"/>
      </w:rPr>
    </w:lvl>
    <w:lvl w:ilvl="1" w:tplc="D04818A4" w:tentative="1">
      <w:start w:val="1"/>
      <w:numFmt w:val="bullet"/>
      <w:lvlText w:val="•"/>
      <w:lvlJc w:val="left"/>
      <w:pPr>
        <w:tabs>
          <w:tab w:val="num" w:pos="1440"/>
        </w:tabs>
        <w:ind w:left="1440" w:hanging="360"/>
      </w:pPr>
      <w:rPr>
        <w:rFonts w:ascii="Arial" w:hAnsi="Arial" w:hint="default"/>
      </w:rPr>
    </w:lvl>
    <w:lvl w:ilvl="2" w:tplc="8A8213B0" w:tentative="1">
      <w:start w:val="1"/>
      <w:numFmt w:val="bullet"/>
      <w:lvlText w:val="•"/>
      <w:lvlJc w:val="left"/>
      <w:pPr>
        <w:tabs>
          <w:tab w:val="num" w:pos="2160"/>
        </w:tabs>
        <w:ind w:left="2160" w:hanging="360"/>
      </w:pPr>
      <w:rPr>
        <w:rFonts w:ascii="Arial" w:hAnsi="Arial" w:hint="default"/>
      </w:rPr>
    </w:lvl>
    <w:lvl w:ilvl="3" w:tplc="CCD8F8EA" w:tentative="1">
      <w:start w:val="1"/>
      <w:numFmt w:val="bullet"/>
      <w:lvlText w:val="•"/>
      <w:lvlJc w:val="left"/>
      <w:pPr>
        <w:tabs>
          <w:tab w:val="num" w:pos="2880"/>
        </w:tabs>
        <w:ind w:left="2880" w:hanging="360"/>
      </w:pPr>
      <w:rPr>
        <w:rFonts w:ascii="Arial" w:hAnsi="Arial" w:hint="default"/>
      </w:rPr>
    </w:lvl>
    <w:lvl w:ilvl="4" w:tplc="F42E1866" w:tentative="1">
      <w:start w:val="1"/>
      <w:numFmt w:val="bullet"/>
      <w:lvlText w:val="•"/>
      <w:lvlJc w:val="left"/>
      <w:pPr>
        <w:tabs>
          <w:tab w:val="num" w:pos="3600"/>
        </w:tabs>
        <w:ind w:left="3600" w:hanging="360"/>
      </w:pPr>
      <w:rPr>
        <w:rFonts w:ascii="Arial" w:hAnsi="Arial" w:hint="default"/>
      </w:rPr>
    </w:lvl>
    <w:lvl w:ilvl="5" w:tplc="67940B22" w:tentative="1">
      <w:start w:val="1"/>
      <w:numFmt w:val="bullet"/>
      <w:lvlText w:val="•"/>
      <w:lvlJc w:val="left"/>
      <w:pPr>
        <w:tabs>
          <w:tab w:val="num" w:pos="4320"/>
        </w:tabs>
        <w:ind w:left="4320" w:hanging="360"/>
      </w:pPr>
      <w:rPr>
        <w:rFonts w:ascii="Arial" w:hAnsi="Arial" w:hint="default"/>
      </w:rPr>
    </w:lvl>
    <w:lvl w:ilvl="6" w:tplc="638ECDE2" w:tentative="1">
      <w:start w:val="1"/>
      <w:numFmt w:val="bullet"/>
      <w:lvlText w:val="•"/>
      <w:lvlJc w:val="left"/>
      <w:pPr>
        <w:tabs>
          <w:tab w:val="num" w:pos="5040"/>
        </w:tabs>
        <w:ind w:left="5040" w:hanging="360"/>
      </w:pPr>
      <w:rPr>
        <w:rFonts w:ascii="Arial" w:hAnsi="Arial" w:hint="default"/>
      </w:rPr>
    </w:lvl>
    <w:lvl w:ilvl="7" w:tplc="EE48055E" w:tentative="1">
      <w:start w:val="1"/>
      <w:numFmt w:val="bullet"/>
      <w:lvlText w:val="•"/>
      <w:lvlJc w:val="left"/>
      <w:pPr>
        <w:tabs>
          <w:tab w:val="num" w:pos="5760"/>
        </w:tabs>
        <w:ind w:left="5760" w:hanging="360"/>
      </w:pPr>
      <w:rPr>
        <w:rFonts w:ascii="Arial" w:hAnsi="Arial" w:hint="default"/>
      </w:rPr>
    </w:lvl>
    <w:lvl w:ilvl="8" w:tplc="3DE86D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3A72A08"/>
    <w:multiLevelType w:val="multilevel"/>
    <w:tmpl w:val="81F4D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9"/>
  </w:num>
  <w:num w:numId="3">
    <w:abstractNumId w:val="12"/>
  </w:num>
  <w:num w:numId="4">
    <w:abstractNumId w:val="13"/>
  </w:num>
  <w:num w:numId="5">
    <w:abstractNumId w:val="11"/>
  </w:num>
  <w:num w:numId="6">
    <w:abstractNumId w:val="14"/>
  </w:num>
  <w:num w:numId="7">
    <w:abstractNumId w:val="4"/>
  </w:num>
  <w:num w:numId="8">
    <w:abstractNumId w:val="7"/>
  </w:num>
  <w:num w:numId="9">
    <w:abstractNumId w:val="3"/>
  </w:num>
  <w:num w:numId="10">
    <w:abstractNumId w:val="8"/>
  </w:num>
  <w:num w:numId="11">
    <w:abstractNumId w:val="0"/>
  </w:num>
  <w:num w:numId="12">
    <w:abstractNumId w:val="2"/>
  </w:num>
  <w:num w:numId="13">
    <w:abstractNumId w:val="1"/>
  </w:num>
  <w:num w:numId="14">
    <w:abstractNumId w:val="5"/>
  </w:num>
  <w:num w:numId="15">
    <w:abstractNumId w:val="10"/>
  </w:num>
  <w:num w:numId="16">
    <w:abstractNumId w:val="15"/>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2"/>
    <w:lvlOverride w:ilvl="0">
      <w:lvl w:ilvl="0">
        <w:start w:val="1"/>
        <w:numFmt w:val="decimal"/>
        <w:pStyle w:val="ListParagraph"/>
        <w:lvlText w:val="%1."/>
        <w:lvlJc w:val="left"/>
        <w:pPr>
          <w:ind w:left="425" w:hanging="425"/>
        </w:pPr>
        <w:rPr>
          <w:rFonts w:hint="default"/>
          <w:color w:val="auto"/>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
    <w:lvlOverride w:ilvl="0">
      <w:lvl w:ilvl="0">
        <w:start w:val="1"/>
        <w:numFmt w:val="decimal"/>
        <w:pStyle w:val="ListParagraph"/>
        <w:lvlText w:val="%1."/>
        <w:lvlJc w:val="left"/>
        <w:pPr>
          <w:ind w:left="425" w:hanging="425"/>
        </w:pPr>
        <w:rPr>
          <w:rFonts w:hint="default"/>
          <w:color w:val="auto"/>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
    <w:lvlOverride w:ilvl="0">
      <w:lvl w:ilvl="0">
        <w:start w:val="1"/>
        <w:numFmt w:val="decimal"/>
        <w:pStyle w:val="ListParagraph"/>
        <w:lvlText w:val="%1."/>
        <w:lvlJc w:val="left"/>
        <w:pPr>
          <w:ind w:left="425" w:hanging="425"/>
        </w:pPr>
        <w:rPr>
          <w:rFonts w:hint="default"/>
          <w:color w:val="auto"/>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2"/>
    <w:lvlOverride w:ilvl="0">
      <w:lvl w:ilvl="0">
        <w:start w:val="1"/>
        <w:numFmt w:val="decimal"/>
        <w:pStyle w:val="ListParagraph"/>
        <w:lvlText w:val="%1."/>
        <w:lvlJc w:val="left"/>
        <w:pPr>
          <w:ind w:left="425" w:hanging="425"/>
        </w:pPr>
        <w:rPr>
          <w:rFonts w:hint="default"/>
          <w:color w:val="auto"/>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
    <w:lvlOverride w:ilvl="0">
      <w:lvl w:ilvl="0">
        <w:start w:val="1"/>
        <w:numFmt w:val="decimal"/>
        <w:pStyle w:val="ListParagraph"/>
        <w:lvlText w:val="%1."/>
        <w:lvlJc w:val="left"/>
        <w:pPr>
          <w:ind w:left="425" w:hanging="425"/>
        </w:pPr>
        <w:rPr>
          <w:rFonts w:hint="default"/>
          <w:color w:val="auto"/>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BE"/>
    <w:rsid w:val="00022F41"/>
    <w:rsid w:val="000A36F7"/>
    <w:rsid w:val="000A3D81"/>
    <w:rsid w:val="000B64A1"/>
    <w:rsid w:val="000C7A38"/>
    <w:rsid w:val="000D5221"/>
    <w:rsid w:val="00105108"/>
    <w:rsid w:val="0013351A"/>
    <w:rsid w:val="00141C15"/>
    <w:rsid w:val="00187E5E"/>
    <w:rsid w:val="001A075C"/>
    <w:rsid w:val="001B2C81"/>
    <w:rsid w:val="001B4806"/>
    <w:rsid w:val="001C7AC3"/>
    <w:rsid w:val="001F132A"/>
    <w:rsid w:val="00217041"/>
    <w:rsid w:val="00241CE2"/>
    <w:rsid w:val="002520F7"/>
    <w:rsid w:val="00261F2E"/>
    <w:rsid w:val="00263F8E"/>
    <w:rsid w:val="00266A20"/>
    <w:rsid w:val="00282FE6"/>
    <w:rsid w:val="002834C2"/>
    <w:rsid w:val="002A3C6D"/>
    <w:rsid w:val="002D5F8F"/>
    <w:rsid w:val="002E2349"/>
    <w:rsid w:val="003054BC"/>
    <w:rsid w:val="0030621F"/>
    <w:rsid w:val="00317F05"/>
    <w:rsid w:val="0034058D"/>
    <w:rsid w:val="00393A6C"/>
    <w:rsid w:val="00396579"/>
    <w:rsid w:val="003A348D"/>
    <w:rsid w:val="003A3B2E"/>
    <w:rsid w:val="003B491E"/>
    <w:rsid w:val="00445228"/>
    <w:rsid w:val="0045317E"/>
    <w:rsid w:val="00472BAC"/>
    <w:rsid w:val="004753E9"/>
    <w:rsid w:val="004A3ACF"/>
    <w:rsid w:val="004B429F"/>
    <w:rsid w:val="00512DC9"/>
    <w:rsid w:val="005271B7"/>
    <w:rsid w:val="00527604"/>
    <w:rsid w:val="005425B2"/>
    <w:rsid w:val="00554F89"/>
    <w:rsid w:val="005668B4"/>
    <w:rsid w:val="00571E08"/>
    <w:rsid w:val="00575457"/>
    <w:rsid w:val="005868B8"/>
    <w:rsid w:val="00611284"/>
    <w:rsid w:val="00647721"/>
    <w:rsid w:val="00651664"/>
    <w:rsid w:val="006645E0"/>
    <w:rsid w:val="00682188"/>
    <w:rsid w:val="00691894"/>
    <w:rsid w:val="00693802"/>
    <w:rsid w:val="00694703"/>
    <w:rsid w:val="006A1D0B"/>
    <w:rsid w:val="006A2485"/>
    <w:rsid w:val="006B06DB"/>
    <w:rsid w:val="006B1EB0"/>
    <w:rsid w:val="006B2245"/>
    <w:rsid w:val="006B62E8"/>
    <w:rsid w:val="006C0B71"/>
    <w:rsid w:val="006C36FD"/>
    <w:rsid w:val="006C7AD1"/>
    <w:rsid w:val="006D5582"/>
    <w:rsid w:val="00701383"/>
    <w:rsid w:val="00710E44"/>
    <w:rsid w:val="00715780"/>
    <w:rsid w:val="00727B29"/>
    <w:rsid w:val="007317F9"/>
    <w:rsid w:val="0073431C"/>
    <w:rsid w:val="00746208"/>
    <w:rsid w:val="00791E43"/>
    <w:rsid w:val="007A2107"/>
    <w:rsid w:val="007A763D"/>
    <w:rsid w:val="007B6562"/>
    <w:rsid w:val="007C4834"/>
    <w:rsid w:val="007D108C"/>
    <w:rsid w:val="007E6985"/>
    <w:rsid w:val="007E747F"/>
    <w:rsid w:val="00817736"/>
    <w:rsid w:val="0083380C"/>
    <w:rsid w:val="00833C38"/>
    <w:rsid w:val="0085651B"/>
    <w:rsid w:val="00856E75"/>
    <w:rsid w:val="008973C7"/>
    <w:rsid w:val="008B7F18"/>
    <w:rsid w:val="008F01E2"/>
    <w:rsid w:val="008F7096"/>
    <w:rsid w:val="00916729"/>
    <w:rsid w:val="00953B56"/>
    <w:rsid w:val="00967358"/>
    <w:rsid w:val="009B42E8"/>
    <w:rsid w:val="009C67F7"/>
    <w:rsid w:val="009D6FFF"/>
    <w:rsid w:val="009E643C"/>
    <w:rsid w:val="00A028F0"/>
    <w:rsid w:val="00A07B23"/>
    <w:rsid w:val="00A175A6"/>
    <w:rsid w:val="00A20B9E"/>
    <w:rsid w:val="00A253AB"/>
    <w:rsid w:val="00A264B8"/>
    <w:rsid w:val="00A360A7"/>
    <w:rsid w:val="00A54FCE"/>
    <w:rsid w:val="00A660C5"/>
    <w:rsid w:val="00A86733"/>
    <w:rsid w:val="00A9262F"/>
    <w:rsid w:val="00A9708C"/>
    <w:rsid w:val="00AA22D6"/>
    <w:rsid w:val="00AA4099"/>
    <w:rsid w:val="00AC7DBE"/>
    <w:rsid w:val="00AD168F"/>
    <w:rsid w:val="00AE3FDB"/>
    <w:rsid w:val="00B40810"/>
    <w:rsid w:val="00B46398"/>
    <w:rsid w:val="00B721A5"/>
    <w:rsid w:val="00B8612F"/>
    <w:rsid w:val="00BA0568"/>
    <w:rsid w:val="00BB22F5"/>
    <w:rsid w:val="00BF0B92"/>
    <w:rsid w:val="00C45DF1"/>
    <w:rsid w:val="00C7255A"/>
    <w:rsid w:val="00C80122"/>
    <w:rsid w:val="00C80359"/>
    <w:rsid w:val="00C8360C"/>
    <w:rsid w:val="00C84D6A"/>
    <w:rsid w:val="00CB5718"/>
    <w:rsid w:val="00CC323C"/>
    <w:rsid w:val="00CD2CF0"/>
    <w:rsid w:val="00CE39C8"/>
    <w:rsid w:val="00D06083"/>
    <w:rsid w:val="00D20BEE"/>
    <w:rsid w:val="00D33952"/>
    <w:rsid w:val="00D462D4"/>
    <w:rsid w:val="00D74990"/>
    <w:rsid w:val="00DA66A8"/>
    <w:rsid w:val="00DF6B1E"/>
    <w:rsid w:val="00DF7A33"/>
    <w:rsid w:val="00E02CFE"/>
    <w:rsid w:val="00E2172E"/>
    <w:rsid w:val="00E52719"/>
    <w:rsid w:val="00E7130F"/>
    <w:rsid w:val="00E74D04"/>
    <w:rsid w:val="00E7765F"/>
    <w:rsid w:val="00EA3A18"/>
    <w:rsid w:val="00EA439D"/>
    <w:rsid w:val="00EA657A"/>
    <w:rsid w:val="00EB11E7"/>
    <w:rsid w:val="00EC387A"/>
    <w:rsid w:val="00ED072B"/>
    <w:rsid w:val="00ED6789"/>
    <w:rsid w:val="00EE283B"/>
    <w:rsid w:val="00F15360"/>
    <w:rsid w:val="00F45489"/>
    <w:rsid w:val="00F46966"/>
    <w:rsid w:val="00F65DB3"/>
    <w:rsid w:val="00F700A9"/>
    <w:rsid w:val="00F91DC3"/>
    <w:rsid w:val="00FA5A2B"/>
    <w:rsid w:val="00FC1B55"/>
    <w:rsid w:val="00FC6712"/>
    <w:rsid w:val="00FE7881"/>
    <w:rsid w:val="00FF1DC9"/>
    <w:rsid w:val="00FF6FD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68A28"/>
  <w15:chartTrackingRefBased/>
  <w15:docId w15:val="{61A20449-3EF8-4053-B3F7-0AAE7087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6DB"/>
    <w:pPr>
      <w:spacing w:before="140" w:after="140" w:line="280" w:lineRule="atLeast"/>
    </w:pPr>
  </w:style>
  <w:style w:type="paragraph" w:styleId="Heading1">
    <w:name w:val="heading 1"/>
    <w:basedOn w:val="Normal"/>
    <w:next w:val="Normal"/>
    <w:link w:val="Heading1Char"/>
    <w:uiPriority w:val="9"/>
    <w:qFormat/>
    <w:rsid w:val="00187E5E"/>
    <w:pPr>
      <w:keepNext/>
      <w:keepLines/>
      <w:spacing w:before="280" w:after="280"/>
      <w:jc w:val="center"/>
      <w:outlineLvl w:val="0"/>
    </w:pPr>
    <w:rPr>
      <w:rFonts w:eastAsiaTheme="majorEastAsia" w:cstheme="majorBidi"/>
      <w:b/>
      <w:color w:val="6B2976"/>
      <w:sz w:val="32"/>
      <w:szCs w:val="32"/>
    </w:rPr>
  </w:style>
  <w:style w:type="paragraph" w:styleId="Heading2">
    <w:name w:val="heading 2"/>
    <w:basedOn w:val="Normal"/>
    <w:next w:val="Normal"/>
    <w:link w:val="Heading2Char"/>
    <w:uiPriority w:val="9"/>
    <w:unhideWhenUsed/>
    <w:qFormat/>
    <w:rsid w:val="00187E5E"/>
    <w:pPr>
      <w:keepNext/>
      <w:keepLines/>
      <w:spacing w:before="280"/>
      <w:outlineLvl w:val="1"/>
    </w:pPr>
    <w:rPr>
      <w:rFonts w:eastAsiaTheme="majorEastAsia" w:cstheme="majorBidi"/>
      <w:b/>
      <w:color w:val="FAA41A" w:themeColor="accent4"/>
      <w:sz w:val="26"/>
      <w:szCs w:val="26"/>
    </w:rPr>
  </w:style>
  <w:style w:type="paragraph" w:styleId="Heading3">
    <w:name w:val="heading 3"/>
    <w:basedOn w:val="Normal"/>
    <w:next w:val="Normal"/>
    <w:link w:val="Heading3Char"/>
    <w:uiPriority w:val="9"/>
    <w:unhideWhenUsed/>
    <w:qFormat/>
    <w:rsid w:val="006B06DB"/>
    <w:pPr>
      <w:keepNext/>
      <w:keepLines/>
      <w:spacing w:before="40" w:after="0"/>
      <w:outlineLvl w:val="2"/>
    </w:pPr>
    <w:rPr>
      <w:rFonts w:asciiTheme="majorHAnsi" w:eastAsiaTheme="majorEastAsia" w:hAnsiTheme="majorHAnsi" w:cstheme="majorBidi"/>
      <w:color w:val="34143A" w:themeColor="accent1" w:themeShade="7F"/>
      <w:sz w:val="24"/>
      <w:szCs w:val="24"/>
    </w:rPr>
  </w:style>
  <w:style w:type="paragraph" w:styleId="Heading5">
    <w:name w:val="heading 5"/>
    <w:basedOn w:val="Normal"/>
    <w:next w:val="Normal"/>
    <w:link w:val="Heading5Char"/>
    <w:uiPriority w:val="9"/>
    <w:unhideWhenUsed/>
    <w:rsid w:val="00282FE6"/>
    <w:pPr>
      <w:numPr>
        <w:ilvl w:val="4"/>
        <w:numId w:val="14"/>
      </w:numPr>
      <w:spacing w:before="400" w:after="100" w:line="300" w:lineRule="atLeast"/>
      <w:outlineLvl w:val="4"/>
    </w:pPr>
    <w:rPr>
      <w:rFonts w:ascii="Arial" w:eastAsiaTheme="minorEastAsia" w:hAnsi="Arial"/>
      <w:b/>
      <w:szCs w:val="24"/>
      <w:lang w:eastAsia="ja-JP"/>
    </w:rPr>
  </w:style>
  <w:style w:type="paragraph" w:styleId="Heading6">
    <w:name w:val="heading 6"/>
    <w:basedOn w:val="Normal"/>
    <w:next w:val="Normal"/>
    <w:link w:val="Heading6Char"/>
    <w:uiPriority w:val="9"/>
    <w:unhideWhenUsed/>
    <w:rsid w:val="00282FE6"/>
    <w:pPr>
      <w:numPr>
        <w:ilvl w:val="5"/>
        <w:numId w:val="14"/>
      </w:numPr>
      <w:spacing w:before="100" w:after="0" w:line="271" w:lineRule="auto"/>
      <w:outlineLvl w:val="5"/>
    </w:pPr>
    <w:rPr>
      <w:rFonts w:ascii="Arial" w:eastAsiaTheme="majorEastAsia" w:hAnsi="Arial" w:cstheme="majorBidi"/>
      <w:b/>
      <w:bCs/>
      <w:i/>
      <w:iCs/>
      <w:color w:val="C57CD1" w:themeColor="text1" w:themeTint="80"/>
      <w:szCs w:val="24"/>
      <w:lang w:eastAsia="ja-JP"/>
    </w:rPr>
  </w:style>
  <w:style w:type="paragraph" w:styleId="Heading7">
    <w:name w:val="heading 7"/>
    <w:basedOn w:val="Normal"/>
    <w:next w:val="Normal"/>
    <w:link w:val="Heading7Char"/>
    <w:uiPriority w:val="9"/>
    <w:unhideWhenUsed/>
    <w:rsid w:val="00282FE6"/>
    <w:pPr>
      <w:numPr>
        <w:ilvl w:val="6"/>
        <w:numId w:val="14"/>
      </w:numPr>
      <w:spacing w:before="100" w:after="0" w:line="300" w:lineRule="atLeast"/>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282FE6"/>
    <w:pPr>
      <w:numPr>
        <w:ilvl w:val="7"/>
        <w:numId w:val="14"/>
      </w:numPr>
      <w:spacing w:before="100" w:after="0" w:line="300" w:lineRule="atLeast"/>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282FE6"/>
    <w:pPr>
      <w:numPr>
        <w:ilvl w:val="8"/>
        <w:numId w:val="14"/>
      </w:numPr>
      <w:spacing w:before="100" w:after="0" w:line="300" w:lineRule="atLeast"/>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E5E"/>
    <w:rPr>
      <w:rFonts w:eastAsiaTheme="majorEastAsia" w:cstheme="majorBidi"/>
      <w:b/>
      <w:color w:val="6B2976"/>
      <w:sz w:val="32"/>
      <w:szCs w:val="32"/>
    </w:rPr>
  </w:style>
  <w:style w:type="character" w:customStyle="1" w:styleId="Heading2Char">
    <w:name w:val="Heading 2 Char"/>
    <w:basedOn w:val="DefaultParagraphFont"/>
    <w:link w:val="Heading2"/>
    <w:uiPriority w:val="9"/>
    <w:rsid w:val="00187E5E"/>
    <w:rPr>
      <w:rFonts w:eastAsiaTheme="majorEastAsia" w:cstheme="majorBidi"/>
      <w:b/>
      <w:color w:val="FAA41A" w:themeColor="accent4"/>
      <w:sz w:val="26"/>
      <w:szCs w:val="26"/>
    </w:r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Number"/>
    <w:basedOn w:val="Normal"/>
    <w:link w:val="ListParagraphChar"/>
    <w:uiPriority w:val="34"/>
    <w:qFormat/>
    <w:rsid w:val="006B06DB"/>
    <w:pPr>
      <w:numPr>
        <w:numId w:val="34"/>
      </w:numPr>
    </w:pPr>
    <w:rPr>
      <w:rFonts w:cs="Arial"/>
    </w:rPr>
  </w:style>
  <w:style w:type="table" w:styleId="TableGridLight">
    <w:name w:val="Grid Table Light"/>
    <w:basedOn w:val="TableNormal"/>
    <w:uiPriority w:val="40"/>
    <w:rsid w:val="00187E5E"/>
    <w:pPr>
      <w:spacing w:before="140" w:after="0" w:line="240" w:lineRule="auto"/>
    </w:pPr>
    <w:tblPr>
      <w:tblBorders>
        <w:top w:val="single" w:sz="4" w:space="0" w:color="7EFFFF" w:themeColor="background1" w:themeShade="BF"/>
        <w:left w:val="single" w:sz="4" w:space="0" w:color="7EFFFF" w:themeColor="background1" w:themeShade="BF"/>
        <w:bottom w:val="single" w:sz="4" w:space="0" w:color="7EFFFF" w:themeColor="background1" w:themeShade="BF"/>
        <w:right w:val="single" w:sz="4" w:space="0" w:color="7EFFFF" w:themeColor="background1" w:themeShade="BF"/>
        <w:insideH w:val="single" w:sz="4" w:space="0" w:color="7EFFFF" w:themeColor="background1" w:themeShade="BF"/>
        <w:insideV w:val="single" w:sz="4" w:space="0" w:color="7EFFFF" w:themeColor="background1" w:themeShade="BF"/>
      </w:tblBorders>
    </w:tblPr>
  </w:style>
  <w:style w:type="paragraph" w:styleId="Caption">
    <w:name w:val="caption"/>
    <w:basedOn w:val="Normal"/>
    <w:next w:val="Normal"/>
    <w:uiPriority w:val="35"/>
    <w:unhideWhenUsed/>
    <w:qFormat/>
    <w:rsid w:val="00187E5E"/>
    <w:pPr>
      <w:jc w:val="center"/>
    </w:pPr>
    <w:rPr>
      <w:b/>
      <w:i/>
      <w:iCs/>
      <w:color w:val="FAA41A" w:themeColor="accent4"/>
      <w:sz w:val="18"/>
      <w:szCs w:val="18"/>
    </w:rPr>
  </w:style>
  <w:style w:type="paragraph" w:styleId="Header">
    <w:name w:val="header"/>
    <w:basedOn w:val="Normal"/>
    <w:link w:val="HeaderChar"/>
    <w:uiPriority w:val="99"/>
    <w:unhideWhenUsed/>
    <w:rsid w:val="00187E5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7E5E"/>
  </w:style>
  <w:style w:type="character" w:customStyle="1" w:styleId="ListParagraphChar">
    <w:name w:val="List Paragraph Char"/>
    <w:aliases w:val="List Paragraph11 Char,List Paragraph1 Char,L Char,Bullet point Char,List Paragraph111 Char,F5 List Paragraph Char,Dot pt Char,CV text Char,Table text Char,Medium Grid 1 - Accent 21 Char,Numbered Paragraph Char,List Paragraph2 Char"/>
    <w:link w:val="ListParagraph"/>
    <w:uiPriority w:val="34"/>
    <w:locked/>
    <w:rsid w:val="006B06DB"/>
    <w:rPr>
      <w:rFonts w:cs="Arial"/>
    </w:rPr>
  </w:style>
  <w:style w:type="character" w:styleId="Hyperlink">
    <w:name w:val="Hyperlink"/>
    <w:basedOn w:val="DefaultParagraphFont"/>
    <w:uiPriority w:val="99"/>
    <w:unhideWhenUsed/>
    <w:rsid w:val="00187E5E"/>
    <w:rPr>
      <w:color w:val="0432FF" w:themeColor="hyperlink"/>
      <w:u w:val="single"/>
    </w:rPr>
  </w:style>
  <w:style w:type="paragraph" w:styleId="Footer">
    <w:name w:val="footer"/>
    <w:basedOn w:val="Normal"/>
    <w:link w:val="FooterChar"/>
    <w:uiPriority w:val="99"/>
    <w:unhideWhenUsed/>
    <w:rsid w:val="00187E5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7E5E"/>
  </w:style>
  <w:style w:type="paragraph" w:customStyle="1" w:styleId="Style1">
    <w:name w:val="Style1"/>
    <w:basedOn w:val="Header"/>
    <w:link w:val="Style1Char"/>
    <w:qFormat/>
    <w:rsid w:val="0030621F"/>
    <w:pPr>
      <w:pBdr>
        <w:top w:val="single" w:sz="18" w:space="1" w:color="6B2976"/>
      </w:pBdr>
      <w:tabs>
        <w:tab w:val="clear" w:pos="4513"/>
      </w:tabs>
    </w:pPr>
    <w:rPr>
      <w:rFonts w:cs="Arial"/>
      <w:b/>
      <w:color w:val="6B2976"/>
    </w:rPr>
  </w:style>
  <w:style w:type="paragraph" w:customStyle="1" w:styleId="Style2">
    <w:name w:val="Style2"/>
    <w:basedOn w:val="Header"/>
    <w:link w:val="Style2Char"/>
    <w:qFormat/>
    <w:rsid w:val="0030621F"/>
    <w:pPr>
      <w:pBdr>
        <w:bottom w:val="single" w:sz="18" w:space="1" w:color="6B2976"/>
      </w:pBdr>
      <w:jc w:val="center"/>
    </w:pPr>
    <w:rPr>
      <w:i/>
      <w:color w:val="6B2976"/>
    </w:rPr>
  </w:style>
  <w:style w:type="character" w:customStyle="1" w:styleId="Style1Char">
    <w:name w:val="Style1 Char"/>
    <w:basedOn w:val="HeaderChar"/>
    <w:link w:val="Style1"/>
    <w:rsid w:val="0030621F"/>
    <w:rPr>
      <w:rFonts w:cs="Arial"/>
      <w:b/>
      <w:color w:val="6B2976"/>
    </w:rPr>
  </w:style>
  <w:style w:type="character" w:styleId="FollowedHyperlink">
    <w:name w:val="FollowedHyperlink"/>
    <w:basedOn w:val="DefaultParagraphFont"/>
    <w:uiPriority w:val="99"/>
    <w:semiHidden/>
    <w:unhideWhenUsed/>
    <w:rsid w:val="00AD168F"/>
    <w:rPr>
      <w:color w:val="929292" w:themeColor="followedHyperlink"/>
      <w:u w:val="single"/>
    </w:rPr>
  </w:style>
  <w:style w:type="character" w:customStyle="1" w:styleId="Style2Char">
    <w:name w:val="Style2 Char"/>
    <w:basedOn w:val="HeaderChar"/>
    <w:link w:val="Style2"/>
    <w:rsid w:val="0030621F"/>
    <w:rPr>
      <w:i/>
      <w:color w:val="6B2976"/>
    </w:rPr>
  </w:style>
  <w:style w:type="character" w:customStyle="1" w:styleId="Heading5Char">
    <w:name w:val="Heading 5 Char"/>
    <w:basedOn w:val="DefaultParagraphFont"/>
    <w:link w:val="Heading5"/>
    <w:uiPriority w:val="9"/>
    <w:rsid w:val="00282FE6"/>
    <w:rPr>
      <w:rFonts w:ascii="Arial" w:eastAsiaTheme="minorEastAsia" w:hAnsi="Arial"/>
      <w:b/>
      <w:szCs w:val="24"/>
      <w:lang w:eastAsia="ja-JP"/>
    </w:rPr>
  </w:style>
  <w:style w:type="character" w:customStyle="1" w:styleId="Heading6Char">
    <w:name w:val="Heading 6 Char"/>
    <w:basedOn w:val="DefaultParagraphFont"/>
    <w:link w:val="Heading6"/>
    <w:uiPriority w:val="9"/>
    <w:rsid w:val="00282FE6"/>
    <w:rPr>
      <w:rFonts w:ascii="Arial" w:eastAsiaTheme="majorEastAsia" w:hAnsi="Arial" w:cstheme="majorBidi"/>
      <w:b/>
      <w:bCs/>
      <w:i/>
      <w:iCs/>
      <w:color w:val="C57CD1" w:themeColor="text1" w:themeTint="80"/>
      <w:szCs w:val="24"/>
      <w:lang w:eastAsia="ja-JP"/>
    </w:rPr>
  </w:style>
  <w:style w:type="character" w:customStyle="1" w:styleId="Heading7Char">
    <w:name w:val="Heading 7 Char"/>
    <w:basedOn w:val="DefaultParagraphFont"/>
    <w:link w:val="Heading7"/>
    <w:uiPriority w:val="9"/>
    <w:rsid w:val="00282FE6"/>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282FE6"/>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282FE6"/>
    <w:rPr>
      <w:rFonts w:ascii="Arial" w:eastAsiaTheme="majorEastAsia" w:hAnsi="Arial" w:cstheme="majorBidi"/>
      <w:i/>
      <w:iCs/>
      <w:spacing w:val="5"/>
      <w:sz w:val="20"/>
      <w:szCs w:val="20"/>
      <w:lang w:eastAsia="ja-JP"/>
    </w:rPr>
  </w:style>
  <w:style w:type="paragraph" w:customStyle="1" w:styleId="DotPoint">
    <w:name w:val="Dot Point"/>
    <w:basedOn w:val="Normal"/>
    <w:link w:val="DotPointChar"/>
    <w:qFormat/>
    <w:rsid w:val="00282FE6"/>
    <w:pPr>
      <w:numPr>
        <w:numId w:val="14"/>
      </w:numPr>
      <w:spacing w:before="100" w:after="100" w:line="300" w:lineRule="atLeast"/>
      <w:ind w:left="567" w:hanging="283"/>
    </w:pPr>
    <w:rPr>
      <w:rFonts w:ascii="Arial" w:eastAsiaTheme="minorEastAsia" w:hAnsi="Arial"/>
      <w:szCs w:val="24"/>
      <w:lang w:eastAsia="ja-JP"/>
    </w:rPr>
  </w:style>
  <w:style w:type="character" w:customStyle="1" w:styleId="DotPointChar">
    <w:name w:val="Dot Point Char"/>
    <w:basedOn w:val="DefaultParagraphFont"/>
    <w:link w:val="DotPoint"/>
    <w:locked/>
    <w:rsid w:val="00282FE6"/>
    <w:rPr>
      <w:rFonts w:ascii="Arial" w:eastAsiaTheme="minorEastAsia" w:hAnsi="Arial"/>
      <w:szCs w:val="24"/>
      <w:lang w:eastAsia="ja-JP"/>
    </w:rPr>
  </w:style>
  <w:style w:type="paragraph" w:styleId="BalloonText">
    <w:name w:val="Balloon Text"/>
    <w:basedOn w:val="Normal"/>
    <w:link w:val="BalloonTextChar"/>
    <w:uiPriority w:val="99"/>
    <w:semiHidden/>
    <w:unhideWhenUsed/>
    <w:rsid w:val="002A3C6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C6D"/>
    <w:rPr>
      <w:rFonts w:ascii="Segoe UI" w:hAnsi="Segoe UI" w:cs="Segoe UI"/>
      <w:sz w:val="18"/>
      <w:szCs w:val="18"/>
    </w:rPr>
  </w:style>
  <w:style w:type="character" w:styleId="CommentReference">
    <w:name w:val="annotation reference"/>
    <w:basedOn w:val="DefaultParagraphFont"/>
    <w:uiPriority w:val="99"/>
    <w:semiHidden/>
    <w:unhideWhenUsed/>
    <w:rsid w:val="00266A20"/>
    <w:rPr>
      <w:sz w:val="16"/>
      <w:szCs w:val="16"/>
    </w:rPr>
  </w:style>
  <w:style w:type="paragraph" w:styleId="CommentText">
    <w:name w:val="annotation text"/>
    <w:basedOn w:val="Normal"/>
    <w:link w:val="CommentTextChar"/>
    <w:uiPriority w:val="99"/>
    <w:semiHidden/>
    <w:unhideWhenUsed/>
    <w:rsid w:val="00266A20"/>
    <w:pPr>
      <w:spacing w:line="240" w:lineRule="auto"/>
    </w:pPr>
    <w:rPr>
      <w:sz w:val="20"/>
      <w:szCs w:val="20"/>
    </w:rPr>
  </w:style>
  <w:style w:type="character" w:customStyle="1" w:styleId="CommentTextChar">
    <w:name w:val="Comment Text Char"/>
    <w:basedOn w:val="DefaultParagraphFont"/>
    <w:link w:val="CommentText"/>
    <w:uiPriority w:val="99"/>
    <w:semiHidden/>
    <w:rsid w:val="00266A20"/>
    <w:rPr>
      <w:sz w:val="20"/>
      <w:szCs w:val="20"/>
    </w:rPr>
  </w:style>
  <w:style w:type="paragraph" w:styleId="CommentSubject">
    <w:name w:val="annotation subject"/>
    <w:basedOn w:val="CommentText"/>
    <w:next w:val="CommentText"/>
    <w:link w:val="CommentSubjectChar"/>
    <w:uiPriority w:val="99"/>
    <w:semiHidden/>
    <w:unhideWhenUsed/>
    <w:rsid w:val="00266A20"/>
    <w:rPr>
      <w:b/>
      <w:bCs/>
    </w:rPr>
  </w:style>
  <w:style w:type="character" w:customStyle="1" w:styleId="CommentSubjectChar">
    <w:name w:val="Comment Subject Char"/>
    <w:basedOn w:val="CommentTextChar"/>
    <w:link w:val="CommentSubject"/>
    <w:uiPriority w:val="99"/>
    <w:semiHidden/>
    <w:rsid w:val="00266A20"/>
    <w:rPr>
      <w:b/>
      <w:bCs/>
      <w:sz w:val="20"/>
      <w:szCs w:val="20"/>
    </w:rPr>
  </w:style>
  <w:style w:type="character" w:customStyle="1" w:styleId="Heading3Char">
    <w:name w:val="Heading 3 Char"/>
    <w:basedOn w:val="DefaultParagraphFont"/>
    <w:link w:val="Heading3"/>
    <w:uiPriority w:val="9"/>
    <w:rsid w:val="006B06DB"/>
    <w:rPr>
      <w:rFonts w:asciiTheme="majorHAnsi" w:eastAsiaTheme="majorEastAsia" w:hAnsiTheme="majorHAnsi" w:cstheme="majorBidi"/>
      <w:color w:val="34143A" w:themeColor="accent1" w:themeShade="7F"/>
      <w:sz w:val="24"/>
      <w:szCs w:val="24"/>
    </w:rPr>
  </w:style>
  <w:style w:type="character" w:customStyle="1" w:styleId="UnresolvedMention1">
    <w:name w:val="Unresolved Mention1"/>
    <w:basedOn w:val="DefaultParagraphFont"/>
    <w:uiPriority w:val="99"/>
    <w:semiHidden/>
    <w:unhideWhenUsed/>
    <w:rsid w:val="00571E08"/>
    <w:rPr>
      <w:color w:val="605E5C"/>
      <w:shd w:val="clear" w:color="auto" w:fill="E1DFDD"/>
    </w:rPr>
  </w:style>
  <w:style w:type="paragraph" w:styleId="Revision">
    <w:name w:val="Revision"/>
    <w:hidden/>
    <w:uiPriority w:val="99"/>
    <w:semiHidden/>
    <w:rsid w:val="00554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947">
      <w:bodyDiv w:val="1"/>
      <w:marLeft w:val="0"/>
      <w:marRight w:val="0"/>
      <w:marTop w:val="0"/>
      <w:marBottom w:val="0"/>
      <w:divBdr>
        <w:top w:val="none" w:sz="0" w:space="0" w:color="auto"/>
        <w:left w:val="none" w:sz="0" w:space="0" w:color="auto"/>
        <w:bottom w:val="none" w:sz="0" w:space="0" w:color="auto"/>
        <w:right w:val="none" w:sz="0" w:space="0" w:color="auto"/>
      </w:divBdr>
    </w:div>
    <w:div w:id="191114766">
      <w:bodyDiv w:val="1"/>
      <w:marLeft w:val="0"/>
      <w:marRight w:val="0"/>
      <w:marTop w:val="0"/>
      <w:marBottom w:val="0"/>
      <w:divBdr>
        <w:top w:val="none" w:sz="0" w:space="0" w:color="auto"/>
        <w:left w:val="none" w:sz="0" w:space="0" w:color="auto"/>
        <w:bottom w:val="none" w:sz="0" w:space="0" w:color="auto"/>
        <w:right w:val="none" w:sz="0" w:space="0" w:color="auto"/>
      </w:divBdr>
      <w:divsChild>
        <w:div w:id="311641980">
          <w:marLeft w:val="533"/>
          <w:marRight w:val="0"/>
          <w:marTop w:val="115"/>
          <w:marBottom w:val="0"/>
          <w:divBdr>
            <w:top w:val="none" w:sz="0" w:space="0" w:color="auto"/>
            <w:left w:val="none" w:sz="0" w:space="0" w:color="auto"/>
            <w:bottom w:val="none" w:sz="0" w:space="0" w:color="auto"/>
            <w:right w:val="none" w:sz="0" w:space="0" w:color="auto"/>
          </w:divBdr>
        </w:div>
      </w:divsChild>
    </w:div>
    <w:div w:id="203563190">
      <w:bodyDiv w:val="1"/>
      <w:marLeft w:val="0"/>
      <w:marRight w:val="0"/>
      <w:marTop w:val="0"/>
      <w:marBottom w:val="0"/>
      <w:divBdr>
        <w:top w:val="none" w:sz="0" w:space="0" w:color="auto"/>
        <w:left w:val="none" w:sz="0" w:space="0" w:color="auto"/>
        <w:bottom w:val="none" w:sz="0" w:space="0" w:color="auto"/>
        <w:right w:val="none" w:sz="0" w:space="0" w:color="auto"/>
      </w:divBdr>
      <w:divsChild>
        <w:div w:id="1779638898">
          <w:marLeft w:val="446"/>
          <w:marRight w:val="0"/>
          <w:marTop w:val="0"/>
          <w:marBottom w:val="0"/>
          <w:divBdr>
            <w:top w:val="none" w:sz="0" w:space="0" w:color="auto"/>
            <w:left w:val="none" w:sz="0" w:space="0" w:color="auto"/>
            <w:bottom w:val="none" w:sz="0" w:space="0" w:color="auto"/>
            <w:right w:val="none" w:sz="0" w:space="0" w:color="auto"/>
          </w:divBdr>
        </w:div>
      </w:divsChild>
    </w:div>
    <w:div w:id="210382732">
      <w:bodyDiv w:val="1"/>
      <w:marLeft w:val="0"/>
      <w:marRight w:val="0"/>
      <w:marTop w:val="0"/>
      <w:marBottom w:val="0"/>
      <w:divBdr>
        <w:top w:val="none" w:sz="0" w:space="0" w:color="auto"/>
        <w:left w:val="none" w:sz="0" w:space="0" w:color="auto"/>
        <w:bottom w:val="none" w:sz="0" w:space="0" w:color="auto"/>
        <w:right w:val="none" w:sz="0" w:space="0" w:color="auto"/>
      </w:divBdr>
      <w:divsChild>
        <w:div w:id="1817917451">
          <w:marLeft w:val="533"/>
          <w:marRight w:val="0"/>
          <w:marTop w:val="115"/>
          <w:marBottom w:val="0"/>
          <w:divBdr>
            <w:top w:val="none" w:sz="0" w:space="0" w:color="auto"/>
            <w:left w:val="none" w:sz="0" w:space="0" w:color="auto"/>
            <w:bottom w:val="none" w:sz="0" w:space="0" w:color="auto"/>
            <w:right w:val="none" w:sz="0" w:space="0" w:color="auto"/>
          </w:divBdr>
        </w:div>
      </w:divsChild>
    </w:div>
    <w:div w:id="435440286">
      <w:bodyDiv w:val="1"/>
      <w:marLeft w:val="0"/>
      <w:marRight w:val="0"/>
      <w:marTop w:val="0"/>
      <w:marBottom w:val="0"/>
      <w:divBdr>
        <w:top w:val="none" w:sz="0" w:space="0" w:color="auto"/>
        <w:left w:val="none" w:sz="0" w:space="0" w:color="auto"/>
        <w:bottom w:val="none" w:sz="0" w:space="0" w:color="auto"/>
        <w:right w:val="none" w:sz="0" w:space="0" w:color="auto"/>
      </w:divBdr>
    </w:div>
    <w:div w:id="438456166">
      <w:bodyDiv w:val="1"/>
      <w:marLeft w:val="0"/>
      <w:marRight w:val="0"/>
      <w:marTop w:val="0"/>
      <w:marBottom w:val="0"/>
      <w:divBdr>
        <w:top w:val="none" w:sz="0" w:space="0" w:color="auto"/>
        <w:left w:val="none" w:sz="0" w:space="0" w:color="auto"/>
        <w:bottom w:val="none" w:sz="0" w:space="0" w:color="auto"/>
        <w:right w:val="none" w:sz="0" w:space="0" w:color="auto"/>
      </w:divBdr>
    </w:div>
    <w:div w:id="460421157">
      <w:bodyDiv w:val="1"/>
      <w:marLeft w:val="0"/>
      <w:marRight w:val="0"/>
      <w:marTop w:val="0"/>
      <w:marBottom w:val="0"/>
      <w:divBdr>
        <w:top w:val="none" w:sz="0" w:space="0" w:color="auto"/>
        <w:left w:val="none" w:sz="0" w:space="0" w:color="auto"/>
        <w:bottom w:val="none" w:sz="0" w:space="0" w:color="auto"/>
        <w:right w:val="none" w:sz="0" w:space="0" w:color="auto"/>
      </w:divBdr>
      <w:divsChild>
        <w:div w:id="386613333">
          <w:marLeft w:val="446"/>
          <w:marRight w:val="0"/>
          <w:marTop w:val="0"/>
          <w:marBottom w:val="0"/>
          <w:divBdr>
            <w:top w:val="none" w:sz="0" w:space="0" w:color="auto"/>
            <w:left w:val="none" w:sz="0" w:space="0" w:color="auto"/>
            <w:bottom w:val="none" w:sz="0" w:space="0" w:color="auto"/>
            <w:right w:val="none" w:sz="0" w:space="0" w:color="auto"/>
          </w:divBdr>
        </w:div>
        <w:div w:id="504322345">
          <w:marLeft w:val="446"/>
          <w:marRight w:val="0"/>
          <w:marTop w:val="0"/>
          <w:marBottom w:val="0"/>
          <w:divBdr>
            <w:top w:val="none" w:sz="0" w:space="0" w:color="auto"/>
            <w:left w:val="none" w:sz="0" w:space="0" w:color="auto"/>
            <w:bottom w:val="none" w:sz="0" w:space="0" w:color="auto"/>
            <w:right w:val="none" w:sz="0" w:space="0" w:color="auto"/>
          </w:divBdr>
        </w:div>
      </w:divsChild>
    </w:div>
    <w:div w:id="600335798">
      <w:bodyDiv w:val="1"/>
      <w:marLeft w:val="0"/>
      <w:marRight w:val="0"/>
      <w:marTop w:val="0"/>
      <w:marBottom w:val="0"/>
      <w:divBdr>
        <w:top w:val="none" w:sz="0" w:space="0" w:color="auto"/>
        <w:left w:val="none" w:sz="0" w:space="0" w:color="auto"/>
        <w:bottom w:val="none" w:sz="0" w:space="0" w:color="auto"/>
        <w:right w:val="none" w:sz="0" w:space="0" w:color="auto"/>
      </w:divBdr>
    </w:div>
    <w:div w:id="877476404">
      <w:bodyDiv w:val="1"/>
      <w:marLeft w:val="0"/>
      <w:marRight w:val="0"/>
      <w:marTop w:val="0"/>
      <w:marBottom w:val="0"/>
      <w:divBdr>
        <w:top w:val="none" w:sz="0" w:space="0" w:color="auto"/>
        <w:left w:val="none" w:sz="0" w:space="0" w:color="auto"/>
        <w:bottom w:val="none" w:sz="0" w:space="0" w:color="auto"/>
        <w:right w:val="none" w:sz="0" w:space="0" w:color="auto"/>
      </w:divBdr>
    </w:div>
    <w:div w:id="1162702717">
      <w:bodyDiv w:val="1"/>
      <w:marLeft w:val="0"/>
      <w:marRight w:val="0"/>
      <w:marTop w:val="0"/>
      <w:marBottom w:val="0"/>
      <w:divBdr>
        <w:top w:val="none" w:sz="0" w:space="0" w:color="auto"/>
        <w:left w:val="none" w:sz="0" w:space="0" w:color="auto"/>
        <w:bottom w:val="none" w:sz="0" w:space="0" w:color="auto"/>
        <w:right w:val="none" w:sz="0" w:space="0" w:color="auto"/>
      </w:divBdr>
      <w:divsChild>
        <w:div w:id="1802184772">
          <w:marLeft w:val="547"/>
          <w:marRight w:val="0"/>
          <w:marTop w:val="115"/>
          <w:marBottom w:val="0"/>
          <w:divBdr>
            <w:top w:val="none" w:sz="0" w:space="0" w:color="auto"/>
            <w:left w:val="none" w:sz="0" w:space="0" w:color="auto"/>
            <w:bottom w:val="none" w:sz="0" w:space="0" w:color="auto"/>
            <w:right w:val="none" w:sz="0" w:space="0" w:color="auto"/>
          </w:divBdr>
        </w:div>
      </w:divsChild>
    </w:div>
    <w:div w:id="1193180134">
      <w:bodyDiv w:val="1"/>
      <w:marLeft w:val="0"/>
      <w:marRight w:val="0"/>
      <w:marTop w:val="0"/>
      <w:marBottom w:val="0"/>
      <w:divBdr>
        <w:top w:val="none" w:sz="0" w:space="0" w:color="auto"/>
        <w:left w:val="none" w:sz="0" w:space="0" w:color="auto"/>
        <w:bottom w:val="none" w:sz="0" w:space="0" w:color="auto"/>
        <w:right w:val="none" w:sz="0" w:space="0" w:color="auto"/>
      </w:divBdr>
    </w:div>
    <w:div w:id="1207567931">
      <w:bodyDiv w:val="1"/>
      <w:marLeft w:val="0"/>
      <w:marRight w:val="0"/>
      <w:marTop w:val="0"/>
      <w:marBottom w:val="0"/>
      <w:divBdr>
        <w:top w:val="none" w:sz="0" w:space="0" w:color="auto"/>
        <w:left w:val="none" w:sz="0" w:space="0" w:color="auto"/>
        <w:bottom w:val="none" w:sz="0" w:space="0" w:color="auto"/>
        <w:right w:val="none" w:sz="0" w:space="0" w:color="auto"/>
      </w:divBdr>
      <w:divsChild>
        <w:div w:id="454754903">
          <w:marLeft w:val="533"/>
          <w:marRight w:val="0"/>
          <w:marTop w:val="115"/>
          <w:marBottom w:val="0"/>
          <w:divBdr>
            <w:top w:val="none" w:sz="0" w:space="0" w:color="auto"/>
            <w:left w:val="none" w:sz="0" w:space="0" w:color="auto"/>
            <w:bottom w:val="none" w:sz="0" w:space="0" w:color="auto"/>
            <w:right w:val="none" w:sz="0" w:space="0" w:color="auto"/>
          </w:divBdr>
        </w:div>
      </w:divsChild>
    </w:div>
    <w:div w:id="1485006363">
      <w:bodyDiv w:val="1"/>
      <w:marLeft w:val="0"/>
      <w:marRight w:val="0"/>
      <w:marTop w:val="0"/>
      <w:marBottom w:val="0"/>
      <w:divBdr>
        <w:top w:val="none" w:sz="0" w:space="0" w:color="auto"/>
        <w:left w:val="none" w:sz="0" w:space="0" w:color="auto"/>
        <w:bottom w:val="none" w:sz="0" w:space="0" w:color="auto"/>
        <w:right w:val="none" w:sz="0" w:space="0" w:color="auto"/>
      </w:divBdr>
    </w:div>
    <w:div w:id="1893232275">
      <w:bodyDiv w:val="1"/>
      <w:marLeft w:val="0"/>
      <w:marRight w:val="0"/>
      <w:marTop w:val="0"/>
      <w:marBottom w:val="0"/>
      <w:divBdr>
        <w:top w:val="none" w:sz="0" w:space="0" w:color="auto"/>
        <w:left w:val="none" w:sz="0" w:space="0" w:color="auto"/>
        <w:bottom w:val="none" w:sz="0" w:space="0" w:color="auto"/>
        <w:right w:val="none" w:sz="0" w:space="0" w:color="auto"/>
      </w:divBdr>
      <w:divsChild>
        <w:div w:id="424352366">
          <w:marLeft w:val="533"/>
          <w:marRight w:val="0"/>
          <w:marTop w:val="115"/>
          <w:marBottom w:val="0"/>
          <w:divBdr>
            <w:top w:val="none" w:sz="0" w:space="0" w:color="auto"/>
            <w:left w:val="none" w:sz="0" w:space="0" w:color="auto"/>
            <w:bottom w:val="none" w:sz="0" w:space="0" w:color="auto"/>
            <w:right w:val="none" w:sz="0" w:space="0" w:color="auto"/>
          </w:divBdr>
        </w:div>
        <w:div w:id="1208487260">
          <w:marLeft w:val="533"/>
          <w:marRight w:val="0"/>
          <w:marTop w:val="115"/>
          <w:marBottom w:val="0"/>
          <w:divBdr>
            <w:top w:val="none" w:sz="0" w:space="0" w:color="auto"/>
            <w:left w:val="none" w:sz="0" w:space="0" w:color="auto"/>
            <w:bottom w:val="none" w:sz="0" w:space="0" w:color="auto"/>
            <w:right w:val="none" w:sz="0" w:space="0" w:color="auto"/>
          </w:divBdr>
        </w:div>
        <w:div w:id="1663657540">
          <w:marLeft w:val="533"/>
          <w:marRight w:val="0"/>
          <w:marTop w:val="115"/>
          <w:marBottom w:val="0"/>
          <w:divBdr>
            <w:top w:val="none" w:sz="0" w:space="0" w:color="auto"/>
            <w:left w:val="none" w:sz="0" w:space="0" w:color="auto"/>
            <w:bottom w:val="none" w:sz="0" w:space="0" w:color="auto"/>
            <w:right w:val="none" w:sz="0" w:space="0" w:color="auto"/>
          </w:divBdr>
        </w:div>
      </w:divsChild>
    </w:div>
    <w:div w:id="1941714418">
      <w:bodyDiv w:val="1"/>
      <w:marLeft w:val="0"/>
      <w:marRight w:val="0"/>
      <w:marTop w:val="0"/>
      <w:marBottom w:val="0"/>
      <w:divBdr>
        <w:top w:val="none" w:sz="0" w:space="0" w:color="auto"/>
        <w:left w:val="none" w:sz="0" w:space="0" w:color="auto"/>
        <w:bottom w:val="none" w:sz="0" w:space="0" w:color="auto"/>
        <w:right w:val="none" w:sz="0" w:space="0" w:color="auto"/>
      </w:divBdr>
    </w:div>
    <w:div w:id="1988894525">
      <w:bodyDiv w:val="1"/>
      <w:marLeft w:val="0"/>
      <w:marRight w:val="0"/>
      <w:marTop w:val="0"/>
      <w:marBottom w:val="0"/>
      <w:divBdr>
        <w:top w:val="none" w:sz="0" w:space="0" w:color="auto"/>
        <w:left w:val="none" w:sz="0" w:space="0" w:color="auto"/>
        <w:bottom w:val="none" w:sz="0" w:space="0" w:color="auto"/>
        <w:right w:val="none" w:sz="0" w:space="0" w:color="auto"/>
      </w:divBdr>
      <w:divsChild>
        <w:div w:id="1156186929">
          <w:marLeft w:val="533"/>
          <w:marRight w:val="0"/>
          <w:marTop w:val="125"/>
          <w:marBottom w:val="0"/>
          <w:divBdr>
            <w:top w:val="none" w:sz="0" w:space="0" w:color="auto"/>
            <w:left w:val="none" w:sz="0" w:space="0" w:color="auto"/>
            <w:bottom w:val="none" w:sz="0" w:space="0" w:color="auto"/>
            <w:right w:val="none" w:sz="0" w:space="0" w:color="auto"/>
          </w:divBdr>
        </w:div>
      </w:divsChild>
    </w:div>
    <w:div w:id="20295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news/7696-updates-ndia-pricing-review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dis.gov.au/providers/housing-and-living-supports-and-services/specialist-disability-accommodation/sda-pricing-and-paym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ss.gov.au/disability-and-carers-programs-services-government-international-disability-reform-council/specialist-disability-accommodation-pricing-and-payments-framewor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DIA">
      <a:dk1>
        <a:srgbClr val="6B2976"/>
      </a:dk1>
      <a:lt1>
        <a:srgbClr val="FEFFFF"/>
      </a:lt1>
      <a:dk2>
        <a:srgbClr val="8AC640"/>
      </a:dk2>
      <a:lt2>
        <a:srgbClr val="6B2976"/>
      </a:lt2>
      <a:accent1>
        <a:srgbClr val="6B2976"/>
      </a:accent1>
      <a:accent2>
        <a:srgbClr val="8AC640"/>
      </a:accent2>
      <a:accent3>
        <a:srgbClr val="009EAD"/>
      </a:accent3>
      <a:accent4>
        <a:srgbClr val="FAA41A"/>
      </a:accent4>
      <a:accent5>
        <a:srgbClr val="F26322"/>
      </a:accent5>
      <a:accent6>
        <a:srgbClr val="E35205"/>
      </a:accent6>
      <a:hlink>
        <a:srgbClr val="0432FF"/>
      </a:hlink>
      <a:folHlink>
        <a:srgbClr val="92929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5F5A4637587743BE290EDCC7786CC2" ma:contentTypeVersion="8" ma:contentTypeDescription="Create a new document." ma:contentTypeScope="" ma:versionID="cebd453b87e0e2aa7af3155d63b2879a">
  <xsd:schema xmlns:xsd="http://www.w3.org/2001/XMLSchema" xmlns:xs="http://www.w3.org/2001/XMLSchema" xmlns:p="http://schemas.microsoft.com/office/2006/metadata/properties" xmlns:ns3="852fea68-460f-492c-b644-5f67a57ba50e" targetNamespace="http://schemas.microsoft.com/office/2006/metadata/properties" ma:root="true" ma:fieldsID="ba5142bfd57c53f486f4bea04b90a3f4" ns3:_="">
    <xsd:import namespace="852fea68-460f-492c-b644-5f67a57ba5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fea68-460f-492c-b644-5f67a57ba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E358E-9A1B-4FED-A2E8-F3FB699819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01EE14-6343-42B3-8469-6FCDBEDBD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fea68-460f-492c-b644-5f67a57ba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A2FE2-DF2C-4EE2-B7DC-A0279B1FAD67}">
  <ds:schemaRefs>
    <ds:schemaRef ds:uri="http://schemas.microsoft.com/sharepoint/v3/contenttype/forms"/>
  </ds:schemaRefs>
</ds:datastoreItem>
</file>

<file path=customXml/itemProps4.xml><?xml version="1.0" encoding="utf-8"?>
<ds:datastoreItem xmlns:ds="http://schemas.openxmlformats.org/officeDocument/2006/customXml" ds:itemID="{32684383-7D17-4C23-B177-9206F2B2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Cottom, Lachlan</dc:creator>
  <cp:keywords>[SEC=OFFICIAL]</cp:keywords>
  <dc:description/>
  <cp:lastModifiedBy>Levett, Bernadette</cp:lastModifiedBy>
  <cp:revision>5</cp:revision>
  <dcterms:created xsi:type="dcterms:W3CDTF">2022-08-21T03:23:00Z</dcterms:created>
  <dcterms:modified xsi:type="dcterms:W3CDTF">2022-08-21T03:34:00Z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0x0101005B5F5A4637587743BE290EDCC7786CC2</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B42A23B9663B462299E3D350AAF00985</vt:lpwstr>
  </property>
  <property fmtid="{D5CDD505-2E9C-101B-9397-08002B2CF9AE}" pid="10" name="PM_ProtectiveMarkingValue_Footer">
    <vt:lpwstr>OFFICIAL</vt:lpwstr>
  </property>
  <property fmtid="{D5CDD505-2E9C-101B-9397-08002B2CF9AE}" pid="11" name="PM_Originator_Hash_SHA1">
    <vt:lpwstr>63BE86525FD5C5D4EFD24AD01F9278A0FE68BBFF</vt:lpwstr>
  </property>
  <property fmtid="{D5CDD505-2E9C-101B-9397-08002B2CF9AE}" pid="12" name="PM_OriginationTimeStamp">
    <vt:lpwstr>2022-05-18T05:30:53Z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2018.1</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61F629AF6515B77D305B58087CE93F40</vt:lpwstr>
  </property>
  <property fmtid="{D5CDD505-2E9C-101B-9397-08002B2CF9AE}" pid="22" name="PM_Hash_Salt">
    <vt:lpwstr>CE56A0496ABA3AE4FB3F8904C8CD3937</vt:lpwstr>
  </property>
  <property fmtid="{D5CDD505-2E9C-101B-9397-08002B2CF9AE}" pid="23" name="PM_Hash_SHA1">
    <vt:lpwstr>213CE089AE452C3F20B77165D4F3C0419C9B3323</vt:lpwstr>
  </property>
  <property fmtid="{D5CDD505-2E9C-101B-9397-08002B2CF9AE}" pid="24" name="PM_OriginatorUserAccountName_SHA256">
    <vt:lpwstr>31DF479F6D233B2CF8ED1875FC0DFC3DED126C1667D051D252A734D12515BCD7</vt:lpwstr>
  </property>
  <property fmtid="{D5CDD505-2E9C-101B-9397-08002B2CF9AE}" pid="25" name="PM_OriginatorDomainName_SHA256">
    <vt:lpwstr>E83A2A66C4061446A7E3732E8D44762184B6B377D962B96C83DC624302585857</vt:lpwstr>
  </property>
  <property fmtid="{D5CDD505-2E9C-101B-9397-08002B2CF9AE}" pid="26" name="PM_MinimumSecurityClassification">
    <vt:lpwstr/>
  </property>
  <property fmtid="{D5CDD505-2E9C-101B-9397-08002B2CF9AE}" pid="27" name="MSIP_Label_2b83f8d7-e91f-4eee-a336-52a8061c0503_Enabled">
    <vt:lpwstr>true</vt:lpwstr>
  </property>
  <property fmtid="{D5CDD505-2E9C-101B-9397-08002B2CF9AE}" pid="28" name="MSIP_Label_2b83f8d7-e91f-4eee-a336-52a8061c0503_SetDate">
    <vt:lpwstr>2022-05-26T04:34:34Z</vt:lpwstr>
  </property>
  <property fmtid="{D5CDD505-2E9C-101B-9397-08002B2CF9AE}" pid="29" name="MSIP_Label_2b83f8d7-e91f-4eee-a336-52a8061c0503_Method">
    <vt:lpwstr>Privileged</vt:lpwstr>
  </property>
  <property fmtid="{D5CDD505-2E9C-101B-9397-08002B2CF9AE}" pid="30" name="MSIP_Label_2b83f8d7-e91f-4eee-a336-52a8061c0503_Name">
    <vt:lpwstr>OFFICIAL</vt:lpwstr>
  </property>
  <property fmtid="{D5CDD505-2E9C-101B-9397-08002B2CF9AE}" pid="31" name="MSIP_Label_2b83f8d7-e91f-4eee-a336-52a8061c0503_SiteId">
    <vt:lpwstr>cd778b65-752d-454a-87cf-b9990fe58993</vt:lpwstr>
  </property>
  <property fmtid="{D5CDD505-2E9C-101B-9397-08002B2CF9AE}" pid="32" name="MSIP_Label_2b83f8d7-e91f-4eee-a336-52a8061c0503_ActionId">
    <vt:lpwstr>9b1a95e7-8490-4c96-beea-2f6bcf4d01c1</vt:lpwstr>
  </property>
  <property fmtid="{D5CDD505-2E9C-101B-9397-08002B2CF9AE}" pid="33" name="MSIP_Label_2b83f8d7-e91f-4eee-a336-52a8061c0503_ContentBits">
    <vt:lpwstr>0</vt:lpwstr>
  </property>
</Properties>
</file>