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086B" w14:textId="77777777" w:rsidR="002278DF" w:rsidRPr="002278DF" w:rsidRDefault="002278DF" w:rsidP="002278DF">
      <w:pPr>
        <w:spacing w:after="0" w:line="240" w:lineRule="auto"/>
        <w:rPr>
          <w:rFonts w:ascii="Century Gothic" w:eastAsiaTheme="minorHAnsi" w:hAnsi="Century Gothic" w:cs="Tahoma"/>
          <w:sz w:val="72"/>
          <w:szCs w:val="72"/>
          <w:lang w:val="en-AU" w:eastAsia="en-US"/>
        </w:rPr>
      </w:pPr>
      <w:bookmarkStart w:id="0" w:name="_Toc50972639"/>
      <w:bookmarkStart w:id="1" w:name="_Toc50973153"/>
      <w:bookmarkStart w:id="2" w:name="_Toc50973236"/>
      <w:bookmarkStart w:id="3" w:name="_Toc50973257"/>
      <w:bookmarkStart w:id="4" w:name="_Toc50975009"/>
      <w:bookmarkStart w:id="5" w:name="_Toc50975180"/>
      <w:bookmarkStart w:id="6" w:name="_Toc50975281"/>
      <w:bookmarkStart w:id="7" w:name="_Toc51149122"/>
      <w:bookmarkStart w:id="8" w:name="_Toc51154996"/>
      <w:bookmarkStart w:id="9" w:name="_Toc52890127"/>
      <w:bookmarkStart w:id="10" w:name="_Toc52890158"/>
      <w:bookmarkStart w:id="11" w:name="_Toc53150349"/>
      <w:bookmarkStart w:id="12" w:name="_Toc53589088"/>
      <w:bookmarkStart w:id="13" w:name="_Toc53589156"/>
      <w:bookmarkStart w:id="14" w:name="_Toc53589577"/>
      <w:bookmarkStart w:id="15" w:name="_Toc53755556"/>
      <w:bookmarkStart w:id="16" w:name="_Toc53755605"/>
      <w:bookmarkStart w:id="17" w:name="_Toc54101918"/>
      <w:bookmarkStart w:id="18" w:name="_Toc54102121"/>
      <w:bookmarkStart w:id="19" w:name="_Toc54102181"/>
      <w:bookmarkStart w:id="20" w:name="_Toc55397236"/>
      <w:bookmarkStart w:id="21" w:name="_Toc55496640"/>
      <w:bookmarkStart w:id="22" w:name="_Toc55988343"/>
      <w:bookmarkStart w:id="23" w:name="_Toc55991386"/>
      <w:bookmarkStart w:id="24" w:name="_Toc55992978"/>
      <w:bookmarkStart w:id="25" w:name="_Toc55576715"/>
      <w:bookmarkStart w:id="26" w:name="_Toc55496655"/>
      <w:bookmarkStart w:id="27" w:name="_Toc57025520"/>
      <w:bookmarkStart w:id="28" w:name="_Toc57110784"/>
    </w:p>
    <w:p w14:paraId="74B8D679"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r w:rsidRPr="002278DF">
        <w:rPr>
          <w:rFonts w:ascii="Century Gothic" w:eastAsiaTheme="minorHAnsi" w:hAnsi="Century Gothic" w:cs="Tahoma"/>
          <w:sz w:val="48"/>
          <w:szCs w:val="48"/>
          <w:lang w:val="en-AU" w:eastAsia="en-US"/>
        </w:rPr>
        <w:t xml:space="preserve">Australian Association of Psychologists incorporated (AAPi) </w:t>
      </w:r>
    </w:p>
    <w:p w14:paraId="7208C57B"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p>
    <w:p w14:paraId="558D04AE"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r w:rsidRPr="002278DF">
        <w:rPr>
          <w:rFonts w:ascii="Century Gothic" w:eastAsiaTheme="minorHAnsi" w:hAnsi="Century Gothic" w:cs="Tahoma"/>
          <w:noProof/>
          <w:sz w:val="48"/>
          <w:szCs w:val="48"/>
          <w:lang w:val="en-AU" w:eastAsia="en-US"/>
        </w:rPr>
        <w:drawing>
          <wp:inline distT="0" distB="0" distL="0" distR="0" wp14:anchorId="5D14CE26" wp14:editId="02356BC3">
            <wp:extent cx="5727700" cy="4801235"/>
            <wp:effectExtent l="0" t="0" r="0" b="0"/>
            <wp:docPr id="5" name="Picture 5"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lage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27700" cy="4801235"/>
                    </a:xfrm>
                    <a:prstGeom prst="rect">
                      <a:avLst/>
                    </a:prstGeom>
                  </pic:spPr>
                </pic:pic>
              </a:graphicData>
            </a:graphic>
          </wp:inline>
        </w:drawing>
      </w:r>
    </w:p>
    <w:p w14:paraId="1DF970F0"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p>
    <w:p w14:paraId="056E65FB" w14:textId="77777777" w:rsidR="002278DF" w:rsidRPr="002278DF" w:rsidRDefault="002278DF" w:rsidP="002278DF">
      <w:pPr>
        <w:spacing w:after="0" w:line="240" w:lineRule="auto"/>
        <w:rPr>
          <w:rFonts w:ascii="Century Gothic" w:eastAsiaTheme="minorHAnsi" w:hAnsi="Century Gothic" w:cs="Tahoma"/>
          <w:sz w:val="48"/>
          <w:szCs w:val="48"/>
          <w:lang w:val="en-AU" w:eastAsia="en-US"/>
        </w:rPr>
      </w:pPr>
    </w:p>
    <w:p w14:paraId="25B8E46D" w14:textId="2DE3DE7F" w:rsidR="002278DF" w:rsidRPr="0021412C" w:rsidRDefault="002278DF" w:rsidP="002278DF">
      <w:pPr>
        <w:pStyle w:val="H1"/>
        <w:rPr>
          <w:rStyle w:val="Emphasis"/>
          <w:rFonts w:ascii="Century Gothic" w:hAnsi="Century Gothic"/>
          <w:b/>
          <w:bCs w:val="0"/>
          <w:i w:val="0"/>
          <w:iCs w:val="0"/>
          <w:color w:val="auto"/>
          <w:sz w:val="36"/>
          <w:szCs w:val="36"/>
        </w:rPr>
      </w:pPr>
      <w:r w:rsidRPr="0021412C">
        <w:rPr>
          <w:rFonts w:ascii="Century Gothic" w:hAnsi="Century Gothic"/>
          <w:b w:val="0"/>
          <w:bCs/>
          <w:color w:val="auto"/>
          <w:sz w:val="36"/>
          <w:szCs w:val="36"/>
        </w:rPr>
        <w:t>NDIS Consultation Questions: Access and Eligibility Policy with independent assessments</w:t>
      </w:r>
    </w:p>
    <w:p w14:paraId="3D6CEB5D" w14:textId="77777777" w:rsidR="002278DF" w:rsidRDefault="002278DF" w:rsidP="002278DF">
      <w:pPr>
        <w:spacing w:after="0" w:line="240" w:lineRule="auto"/>
        <w:rPr>
          <w:rFonts w:ascii="Century Gothic" w:eastAsiaTheme="minorHAnsi" w:hAnsi="Century Gothic"/>
          <w:sz w:val="24"/>
          <w:lang w:val="en-AU" w:eastAsia="en-US"/>
        </w:rPr>
      </w:pPr>
    </w:p>
    <w:p w14:paraId="68DE5B18" w14:textId="77777777" w:rsidR="002278DF" w:rsidRDefault="002278DF" w:rsidP="002278DF">
      <w:pPr>
        <w:spacing w:after="0" w:line="240" w:lineRule="auto"/>
        <w:rPr>
          <w:rFonts w:ascii="Century Gothic" w:eastAsiaTheme="minorHAnsi" w:hAnsi="Century Gothic"/>
          <w:sz w:val="24"/>
          <w:lang w:val="en-AU" w:eastAsia="en-US"/>
        </w:rPr>
      </w:pPr>
    </w:p>
    <w:p w14:paraId="4880DD74" w14:textId="77777777" w:rsidR="002278DF" w:rsidRDefault="002278DF" w:rsidP="002278DF">
      <w:pPr>
        <w:spacing w:after="0" w:line="240" w:lineRule="auto"/>
        <w:rPr>
          <w:rFonts w:ascii="Century Gothic" w:eastAsiaTheme="minorHAnsi" w:hAnsi="Century Gothic"/>
          <w:sz w:val="24"/>
          <w:lang w:val="en-AU" w:eastAsia="en-US"/>
        </w:rPr>
      </w:pPr>
    </w:p>
    <w:p w14:paraId="65D8FC42" w14:textId="77777777" w:rsidR="002278DF" w:rsidRDefault="002278DF" w:rsidP="002278DF">
      <w:pPr>
        <w:spacing w:after="0" w:line="240" w:lineRule="auto"/>
        <w:rPr>
          <w:rFonts w:ascii="Century Gothic" w:eastAsiaTheme="minorHAnsi" w:hAnsi="Century Gothic"/>
          <w:sz w:val="24"/>
          <w:lang w:val="en-AU" w:eastAsia="en-US"/>
        </w:rPr>
      </w:pPr>
    </w:p>
    <w:p w14:paraId="0E750040" w14:textId="77777777" w:rsidR="002278DF" w:rsidRPr="002278DF" w:rsidRDefault="002278DF" w:rsidP="002278DF">
      <w:pPr>
        <w:spacing w:after="240" w:line="240" w:lineRule="auto"/>
        <w:rPr>
          <w:rFonts w:ascii="Century Gothic" w:eastAsia="Times New Roman" w:hAnsi="Century Gothic" w:cs="Times New Roman"/>
          <w:b/>
          <w:bCs/>
          <w:color w:val="000000"/>
          <w:sz w:val="24"/>
          <w:lang w:val="en-AU" w:eastAsia="en-GB"/>
        </w:rPr>
      </w:pPr>
    </w:p>
    <w:p w14:paraId="39974E79" w14:textId="77777777" w:rsidR="002278DF" w:rsidRPr="002278DF" w:rsidRDefault="002278DF" w:rsidP="002278DF">
      <w:pPr>
        <w:keepNext/>
        <w:keepLines/>
        <w:spacing w:before="240" w:after="0" w:line="240" w:lineRule="auto"/>
        <w:outlineLvl w:val="0"/>
        <w:rPr>
          <w:rFonts w:asciiTheme="majorHAnsi" w:eastAsiaTheme="majorEastAsia" w:hAnsiTheme="majorHAnsi" w:cstheme="majorBidi"/>
          <w:color w:val="2F5496" w:themeColor="accent1" w:themeShade="BF"/>
          <w:sz w:val="32"/>
          <w:szCs w:val="32"/>
          <w:lang w:val="en-AU" w:eastAsia="en-US"/>
        </w:rPr>
      </w:pPr>
      <w:r w:rsidRPr="002278DF">
        <w:rPr>
          <w:rFonts w:asciiTheme="majorHAnsi" w:eastAsiaTheme="majorEastAsia" w:hAnsiTheme="majorHAnsi" w:cstheme="majorBidi"/>
          <w:color w:val="2F5496" w:themeColor="accent1" w:themeShade="BF"/>
          <w:sz w:val="32"/>
          <w:szCs w:val="32"/>
          <w:lang w:val="en-AU" w:eastAsia="en-US"/>
        </w:rPr>
        <w:t>Introduction</w:t>
      </w:r>
    </w:p>
    <w:p w14:paraId="7CAA4CC6"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 </w:t>
      </w:r>
    </w:p>
    <w:p w14:paraId="1D889910" w14:textId="5FFA6770" w:rsidR="00934C2A" w:rsidRPr="00934C2A" w:rsidRDefault="002278DF" w:rsidP="002278DF">
      <w:pPr>
        <w:spacing w:before="240" w:after="240" w:line="240" w:lineRule="auto"/>
      </w:pPr>
      <w:r w:rsidRPr="002278DF">
        <w:rPr>
          <w:rFonts w:ascii="Century Gothic" w:eastAsia="Times New Roman" w:hAnsi="Century Gothic" w:cs="Times New Roman"/>
          <w:color w:val="000000"/>
          <w:sz w:val="24"/>
          <w:lang w:val="en-AU" w:eastAsia="en-GB"/>
        </w:rPr>
        <w:t xml:space="preserve">The Australian Association of Psychologists incorporated (AAPi) thanks the </w:t>
      </w:r>
      <w:r w:rsidR="00934C2A">
        <w:rPr>
          <w:rFonts w:ascii="Century Gothic" w:eastAsia="Times New Roman" w:hAnsi="Century Gothic" w:cs="Times New Roman"/>
          <w:color w:val="000000"/>
          <w:sz w:val="24"/>
          <w:lang w:val="en-AU" w:eastAsia="en-GB"/>
        </w:rPr>
        <w:t>National Disability Insurance Agency</w:t>
      </w:r>
      <w:r w:rsidRPr="002278DF">
        <w:rPr>
          <w:rFonts w:ascii="Century Gothic" w:eastAsia="Times New Roman" w:hAnsi="Century Gothic" w:cs="Times New Roman"/>
          <w:color w:val="000000"/>
          <w:sz w:val="24"/>
          <w:lang w:val="en-AU" w:eastAsia="en-GB"/>
        </w:rPr>
        <w:t xml:space="preserve"> for the opportunity to provide information and recommendations </w:t>
      </w:r>
      <w:r w:rsidR="00934C2A">
        <w:rPr>
          <w:rFonts w:ascii="Century Gothic" w:eastAsia="Times New Roman" w:hAnsi="Century Gothic" w:cs="Times New Roman"/>
          <w:color w:val="000000"/>
          <w:sz w:val="24"/>
          <w:lang w:val="en-AU" w:eastAsia="en-GB"/>
        </w:rPr>
        <w:t xml:space="preserve">on the </w:t>
      </w:r>
      <w:r w:rsidR="00934C2A" w:rsidRPr="00934C2A">
        <w:rPr>
          <w:rFonts w:ascii="Century Gothic" w:hAnsi="Century Gothic"/>
          <w:bCs/>
          <w:sz w:val="24"/>
        </w:rPr>
        <w:t>NDIS Access and Eligibility Policy.</w:t>
      </w:r>
      <w:r w:rsidR="00934C2A" w:rsidRPr="00934C2A">
        <w:t xml:space="preserve"> </w:t>
      </w:r>
    </w:p>
    <w:p w14:paraId="5FF83669" w14:textId="6153201E"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AAPi represents psychologists traversing a wide range of areas of practice around the country</w:t>
      </w:r>
      <w:r w:rsidR="00934C2A">
        <w:rPr>
          <w:rFonts w:ascii="Century Gothic" w:eastAsia="Times New Roman" w:hAnsi="Century Gothic" w:cs="Times New Roman"/>
          <w:color w:val="000000"/>
          <w:sz w:val="24"/>
          <w:lang w:val="en-AU" w:eastAsia="en-GB"/>
        </w:rPr>
        <w:t>,</w:t>
      </w:r>
      <w:r w:rsidRPr="002278DF">
        <w:rPr>
          <w:rFonts w:ascii="Century Gothic" w:eastAsia="Times New Roman" w:hAnsi="Century Gothic" w:cs="Times New Roman"/>
          <w:color w:val="000000"/>
          <w:sz w:val="24"/>
          <w:lang w:val="en-AU" w:eastAsia="en-GB"/>
        </w:rPr>
        <w:t xml:space="preserve"> </w:t>
      </w:r>
      <w:r w:rsidR="00934C2A">
        <w:rPr>
          <w:rFonts w:ascii="Century Gothic" w:eastAsia="Times New Roman" w:hAnsi="Century Gothic" w:cs="Times New Roman"/>
          <w:color w:val="000000"/>
          <w:sz w:val="24"/>
          <w:lang w:val="en-AU" w:eastAsia="en-GB"/>
        </w:rPr>
        <w:t xml:space="preserve">including working within the National Disability Insurance Scheme, </w:t>
      </w:r>
      <w:r w:rsidRPr="002278DF">
        <w:rPr>
          <w:rFonts w:ascii="Century Gothic" w:eastAsia="Times New Roman" w:hAnsi="Century Gothic" w:cs="Times New Roman"/>
          <w:color w:val="000000"/>
          <w:sz w:val="24"/>
          <w:lang w:val="en-AU" w:eastAsia="en-GB"/>
        </w:rPr>
        <w:t>who are on the front line of dealing with the increasingly fragile mental health of Australians</w:t>
      </w:r>
      <w:r w:rsidR="00934C2A">
        <w:rPr>
          <w:rFonts w:ascii="Century Gothic" w:eastAsia="Times New Roman" w:hAnsi="Century Gothic" w:cs="Times New Roman"/>
          <w:color w:val="000000"/>
          <w:sz w:val="24"/>
          <w:lang w:val="en-AU" w:eastAsia="en-GB"/>
        </w:rPr>
        <w:t>.</w:t>
      </w:r>
      <w:r w:rsidRPr="002278DF">
        <w:rPr>
          <w:rFonts w:ascii="Century Gothic" w:eastAsia="Times New Roman" w:hAnsi="Century Gothic" w:cs="Times New Roman"/>
          <w:color w:val="000000"/>
          <w:sz w:val="24"/>
          <w:lang w:val="en-AU" w:eastAsia="en-GB"/>
        </w:rPr>
        <w:t> </w:t>
      </w:r>
    </w:p>
    <w:p w14:paraId="504C4C69" w14:textId="60F3AA0F" w:rsidR="002278DF" w:rsidRPr="002278DF" w:rsidRDefault="002278DF" w:rsidP="002278DF">
      <w:pPr>
        <w:spacing w:before="240" w:after="240" w:line="240" w:lineRule="auto"/>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 xml:space="preserve">Using these insights, we would urge the </w:t>
      </w:r>
      <w:r w:rsidR="00934C2A">
        <w:rPr>
          <w:rFonts w:ascii="Century Gothic" w:eastAsia="Times New Roman" w:hAnsi="Century Gothic" w:cs="Times New Roman"/>
          <w:color w:val="000000"/>
          <w:sz w:val="24"/>
          <w:lang w:val="en-AU" w:eastAsia="en-GB"/>
        </w:rPr>
        <w:t>NDIA</w:t>
      </w:r>
      <w:r w:rsidRPr="002278DF">
        <w:rPr>
          <w:rFonts w:ascii="Century Gothic" w:eastAsia="Times New Roman" w:hAnsi="Century Gothic" w:cs="Times New Roman"/>
          <w:color w:val="000000"/>
          <w:sz w:val="24"/>
          <w:lang w:val="en-AU" w:eastAsia="en-GB"/>
        </w:rPr>
        <w:t xml:space="preserve"> to strongly consider our recommendations to address a developing national mental health crisis.</w:t>
      </w:r>
    </w:p>
    <w:p w14:paraId="1A1C3210"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Sincerely,</w:t>
      </w:r>
    </w:p>
    <w:p w14:paraId="46B94217" w14:textId="77777777" w:rsidR="002278DF" w:rsidRPr="002278DF" w:rsidRDefault="002278DF" w:rsidP="002278DF">
      <w:pPr>
        <w:spacing w:before="240" w:after="240" w:line="240" w:lineRule="auto"/>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noProof/>
          <w:color w:val="000000"/>
          <w:sz w:val="24"/>
          <w:lang w:val="en-AU" w:eastAsia="en-GB"/>
        </w:rPr>
        <w:drawing>
          <wp:inline distT="0" distB="0" distL="0" distR="0" wp14:anchorId="4FD1D61E" wp14:editId="40102FEA">
            <wp:extent cx="2819545" cy="571529"/>
            <wp:effectExtent l="0" t="0" r="0" b="0"/>
            <wp:docPr id="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white backgroun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819545" cy="571529"/>
                    </a:xfrm>
                    <a:prstGeom prst="rect">
                      <a:avLst/>
                    </a:prstGeom>
                  </pic:spPr>
                </pic:pic>
              </a:graphicData>
            </a:graphic>
          </wp:inline>
        </w:drawing>
      </w:r>
      <w:r w:rsidRPr="002278DF">
        <w:rPr>
          <w:rFonts w:ascii="Century Gothic" w:eastAsia="Times New Roman" w:hAnsi="Century Gothic" w:cs="Times New Roman"/>
          <w:color w:val="000000"/>
          <w:sz w:val="24"/>
          <w:lang w:val="en-AU" w:eastAsia="en-GB"/>
        </w:rPr>
        <w:t> </w:t>
      </w:r>
    </w:p>
    <w:p w14:paraId="4C2941A0"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Tegan Carrison</w:t>
      </w:r>
    </w:p>
    <w:p w14:paraId="65C765B9"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Executive Director</w:t>
      </w:r>
    </w:p>
    <w:p w14:paraId="2D9658CD"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Australian Association of Psychologists Inc</w:t>
      </w:r>
    </w:p>
    <w:p w14:paraId="7BD98E34"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p>
    <w:p w14:paraId="64316A02"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Phone 0488770044</w:t>
      </w:r>
    </w:p>
    <w:p w14:paraId="56BCB826"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 xml:space="preserve">Email </w:t>
      </w:r>
      <w:hyperlink r:id="rId9" w:history="1">
        <w:r w:rsidRPr="002278DF">
          <w:rPr>
            <w:rFonts w:ascii="Century Gothic" w:eastAsiaTheme="minorHAnsi" w:hAnsi="Century Gothic"/>
            <w:color w:val="0000FF"/>
            <w:sz w:val="24"/>
            <w:u w:val="single"/>
            <w:lang w:val="en-AU" w:eastAsia="en-US"/>
          </w:rPr>
          <w:t>admin@aapi.org.au</w:t>
        </w:r>
      </w:hyperlink>
    </w:p>
    <w:p w14:paraId="20F17973" w14:textId="77777777"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 xml:space="preserve">Website </w:t>
      </w:r>
      <w:hyperlink r:id="rId10" w:history="1">
        <w:r w:rsidRPr="002278DF">
          <w:rPr>
            <w:rFonts w:ascii="Century Gothic" w:eastAsiaTheme="minorHAnsi" w:hAnsi="Century Gothic"/>
            <w:color w:val="0000FF"/>
            <w:sz w:val="24"/>
            <w:u w:val="single"/>
            <w:lang w:val="en-AU" w:eastAsia="en-US"/>
          </w:rPr>
          <w:t>www.aapi.org.au</w:t>
        </w:r>
      </w:hyperlink>
    </w:p>
    <w:p w14:paraId="6ACCFCFA" w14:textId="19DEBC94" w:rsidR="002278DF" w:rsidRPr="002278DF" w:rsidRDefault="002278DF" w:rsidP="002278DF">
      <w:pPr>
        <w:spacing w:after="0" w:line="240" w:lineRule="auto"/>
        <w:rPr>
          <w:rFonts w:ascii="Century Gothic" w:eastAsiaTheme="minorHAnsi" w:hAnsi="Century Gothic"/>
          <w:color w:val="000000"/>
          <w:sz w:val="24"/>
          <w:lang w:val="en-AU" w:eastAsia="en-US"/>
        </w:rPr>
      </w:pPr>
      <w:r w:rsidRPr="002278DF">
        <w:rPr>
          <w:rFonts w:ascii="Century Gothic" w:eastAsiaTheme="minorHAnsi" w:hAnsi="Century Gothic"/>
          <w:color w:val="000000"/>
          <w:sz w:val="24"/>
          <w:lang w:val="en-AU" w:eastAsia="en-US"/>
        </w:rPr>
        <w:t>Postal Address PO Box 107 North Melbourne, Vic 30</w:t>
      </w:r>
      <w:r w:rsidR="0021412C">
        <w:rPr>
          <w:rFonts w:ascii="Century Gothic" w:eastAsiaTheme="minorHAnsi" w:hAnsi="Century Gothic"/>
          <w:color w:val="000000"/>
          <w:sz w:val="24"/>
          <w:lang w:val="en-AU" w:eastAsia="en-US"/>
        </w:rPr>
        <w:t>51</w:t>
      </w:r>
    </w:p>
    <w:p w14:paraId="5511F89B" w14:textId="77777777" w:rsidR="002278DF" w:rsidRPr="002278DF" w:rsidRDefault="002278DF" w:rsidP="002278DF">
      <w:pPr>
        <w:spacing w:after="0" w:line="240" w:lineRule="auto"/>
        <w:rPr>
          <w:rFonts w:ascii="Century Gothic" w:eastAsia="Times New Roman" w:hAnsi="Century Gothic" w:cs="Times New Roman"/>
          <w:color w:val="000000"/>
          <w:sz w:val="24"/>
          <w:lang w:val="en-AU" w:eastAsia="en-GB"/>
        </w:rPr>
      </w:pPr>
      <w:r w:rsidRPr="002278DF">
        <w:rPr>
          <w:rFonts w:ascii="Century Gothic" w:eastAsiaTheme="minorHAnsi" w:hAnsi="Century Gothic"/>
          <w:color w:val="000000"/>
          <w:sz w:val="24"/>
          <w:lang w:val="en-AU" w:eastAsia="en-US"/>
        </w:rPr>
        <w:br w:type="page"/>
      </w:r>
    </w:p>
    <w:p w14:paraId="2D7B40D4"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p>
    <w:p w14:paraId="6C72DBC8" w14:textId="77777777" w:rsidR="002278DF" w:rsidRPr="002278DF" w:rsidRDefault="002278DF" w:rsidP="002278DF">
      <w:pPr>
        <w:spacing w:before="240" w:after="240" w:line="240" w:lineRule="auto"/>
        <w:rPr>
          <w:rFonts w:ascii="Century Gothic" w:eastAsia="Times New Roman" w:hAnsi="Century Gothic" w:cs="Times New Roman"/>
          <w:b/>
          <w:bCs/>
          <w:color w:val="000000"/>
          <w:sz w:val="24"/>
          <w:lang w:val="en-AU" w:eastAsia="en-GB"/>
        </w:rPr>
      </w:pPr>
    </w:p>
    <w:p w14:paraId="0D666E89" w14:textId="77777777" w:rsidR="002278DF" w:rsidRPr="002278DF" w:rsidRDefault="002278DF" w:rsidP="002278DF">
      <w:pPr>
        <w:keepNext/>
        <w:keepLines/>
        <w:spacing w:before="240" w:after="0" w:line="240" w:lineRule="auto"/>
        <w:outlineLvl w:val="0"/>
        <w:rPr>
          <w:rFonts w:asciiTheme="majorHAnsi" w:eastAsiaTheme="majorEastAsia" w:hAnsiTheme="majorHAnsi" w:cstheme="majorBidi"/>
          <w:color w:val="2F5496" w:themeColor="accent1" w:themeShade="BF"/>
          <w:sz w:val="32"/>
          <w:szCs w:val="32"/>
          <w:lang w:val="en-AU" w:eastAsia="en-US"/>
        </w:rPr>
      </w:pPr>
      <w:r w:rsidRPr="002278DF">
        <w:rPr>
          <w:rFonts w:asciiTheme="majorHAnsi" w:eastAsiaTheme="majorEastAsia" w:hAnsiTheme="majorHAnsi" w:cstheme="majorBidi"/>
          <w:color w:val="2F5496" w:themeColor="accent1" w:themeShade="BF"/>
          <w:sz w:val="32"/>
          <w:szCs w:val="32"/>
          <w:lang w:val="en-AU" w:eastAsia="en-US"/>
        </w:rPr>
        <w:t>About AAPi</w:t>
      </w:r>
    </w:p>
    <w:p w14:paraId="2DAB4062"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The AAPi is the leading not-for-profit peak body representing all psychologists Australia-wide. Our members include psychologists from all areas of endorsement as well as those who have chosen not to pursue endorsement, from graduates through to university lecturers and leaders in their field.</w:t>
      </w:r>
    </w:p>
    <w:p w14:paraId="1DD1B570"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A group of passionate psychologists formed our organisation in 2010 to:</w:t>
      </w:r>
    </w:p>
    <w:p w14:paraId="112A4841" w14:textId="77777777" w:rsidR="002278DF" w:rsidRPr="002278DF" w:rsidRDefault="002278DF" w:rsidP="002278DF">
      <w:pPr>
        <w:numPr>
          <w:ilvl w:val="0"/>
          <w:numId w:val="7"/>
        </w:numPr>
        <w:spacing w:before="240"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Represent a united voice for psychologists to government and funding bodies </w:t>
      </w:r>
    </w:p>
    <w:p w14:paraId="1E22B2CB"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Promote the recognition, professionalism, skills, and expertise of psychologists</w:t>
      </w:r>
    </w:p>
    <w:p w14:paraId="3431CCAB"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Improve access and equity to psychological services in Australia by removing barriers to effective treatment </w:t>
      </w:r>
    </w:p>
    <w:p w14:paraId="75859B6D"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Advocate for the removal of the two-tier funding system and reinstate one Medicare rebate for the clients of all psychologists</w:t>
      </w:r>
    </w:p>
    <w:p w14:paraId="21A8A69A" w14:textId="77777777" w:rsidR="002278DF" w:rsidRPr="002278DF" w:rsidRDefault="002278DF" w:rsidP="002278DF">
      <w:pPr>
        <w:numPr>
          <w:ilvl w:val="0"/>
          <w:numId w:val="7"/>
        </w:numPr>
        <w:spacing w:after="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Uphold the value of all psychological expertise and pathways to registration</w:t>
      </w:r>
    </w:p>
    <w:p w14:paraId="5E0C1B1D" w14:textId="77777777" w:rsidR="002278DF" w:rsidRPr="002278DF" w:rsidRDefault="002278DF" w:rsidP="002278DF">
      <w:pPr>
        <w:numPr>
          <w:ilvl w:val="0"/>
          <w:numId w:val="8"/>
        </w:numPr>
        <w:spacing w:after="240" w:line="240" w:lineRule="auto"/>
        <w:textAlignment w:val="baseline"/>
        <w:rPr>
          <w:rFonts w:ascii="Century Gothic" w:eastAsia="Times New Roman" w:hAnsi="Century Gothic" w:cs="Times New Roman"/>
          <w:color w:val="000000"/>
          <w:sz w:val="24"/>
          <w:lang w:val="en-AU" w:eastAsia="en-GB"/>
        </w:rPr>
      </w:pPr>
      <w:r w:rsidRPr="002278DF">
        <w:rPr>
          <w:rFonts w:ascii="Century Gothic" w:eastAsia="Times New Roman" w:hAnsi="Century Gothic" w:cs="Times New Roman"/>
          <w:color w:val="000000"/>
          <w:sz w:val="24"/>
          <w:lang w:val="en-AU" w:eastAsia="en-GB"/>
        </w:rPr>
        <w:t>Serve the professional needs of all psychologists by providing members with quality professional development opportunities, expert support, and guidance</w:t>
      </w:r>
    </w:p>
    <w:p w14:paraId="11791815"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By advocating for equality for psychologists, the AAPi is also fighting for equitable access to mental health services for all Australians. </w:t>
      </w:r>
    </w:p>
    <w:p w14:paraId="6D9D8A5C" w14:textId="77777777" w:rsidR="002278DF" w:rsidRPr="002278DF" w:rsidRDefault="002278DF" w:rsidP="002278DF">
      <w:pPr>
        <w:spacing w:before="240" w:after="240" w:line="240" w:lineRule="auto"/>
        <w:rPr>
          <w:rFonts w:ascii="Times New Roman" w:eastAsia="Times New Roman" w:hAnsi="Times New Roman" w:cs="Times New Roman"/>
          <w:sz w:val="24"/>
          <w:lang w:val="en-AU" w:eastAsia="en-GB"/>
        </w:rPr>
      </w:pPr>
      <w:r w:rsidRPr="002278DF">
        <w:rPr>
          <w:rFonts w:ascii="Century Gothic" w:eastAsia="Times New Roman" w:hAnsi="Century Gothic" w:cs="Times New Roman"/>
          <w:color w:val="000000"/>
          <w:sz w:val="24"/>
          <w:lang w:val="en-AU" w:eastAsia="en-GB"/>
        </w:rPr>
        <w:t>AAPi represents the interests and integrity of all psychologists regardless of endorsement status, with members in all States and Territories of Australia.</w:t>
      </w:r>
    </w:p>
    <w:p w14:paraId="69019183" w14:textId="77777777" w:rsidR="002278DF" w:rsidRDefault="002278DF">
      <w:pPr>
        <w:spacing w:after="160" w:line="259" w:lineRule="auto"/>
        <w:rPr>
          <w:rFonts w:ascii="Century Gothic" w:eastAsiaTheme="minorHAnsi" w:hAnsi="Century Gothic"/>
          <w:sz w:val="24"/>
          <w:lang w:val="en-AU" w:eastAsia="en-US"/>
        </w:rPr>
      </w:pPr>
      <w:r>
        <w:rPr>
          <w:rFonts w:ascii="Century Gothic" w:eastAsiaTheme="minorHAnsi" w:hAnsi="Century Gothic"/>
          <w:sz w:val="24"/>
          <w:lang w:val="en-AU" w:eastAsia="en-US"/>
        </w:rPr>
        <w:br w:type="page"/>
      </w:r>
    </w:p>
    <w:p w14:paraId="6E239F60" w14:textId="77777777" w:rsidR="00934C2A" w:rsidRDefault="00934C2A" w:rsidP="002278DF">
      <w:pPr>
        <w:spacing w:after="0" w:line="240" w:lineRule="auto"/>
        <w:rPr>
          <w:rFonts w:ascii="Century Gothic" w:eastAsiaTheme="minorHAnsi" w:hAnsi="Century Gothic"/>
          <w:sz w:val="24"/>
          <w:lang w:val="en-AU" w:eastAsia="en-US"/>
        </w:rPr>
      </w:pPr>
    </w:p>
    <w:p w14:paraId="41200323" w14:textId="02199ECE" w:rsidR="002278DF" w:rsidRPr="00B52E32" w:rsidRDefault="002278DF" w:rsidP="002278DF">
      <w:pPr>
        <w:spacing w:after="0" w:line="240" w:lineRule="auto"/>
        <w:rPr>
          <w:rFonts w:ascii="Century Gothic" w:eastAsiaTheme="minorHAnsi" w:hAnsi="Century Gothic"/>
          <w:sz w:val="24"/>
          <w:lang w:val="en-AU" w:eastAsia="en-US"/>
        </w:rPr>
      </w:pPr>
      <w:r>
        <w:rPr>
          <w:rFonts w:ascii="Century Gothic" w:eastAsiaTheme="minorHAnsi" w:hAnsi="Century Gothic"/>
          <w:sz w:val="24"/>
          <w:lang w:val="en-AU" w:eastAsia="en-US"/>
        </w:rPr>
        <w:t xml:space="preserve">AAPi opposes the introduction of </w:t>
      </w:r>
      <w:r w:rsidR="00934C2A">
        <w:rPr>
          <w:rFonts w:ascii="Century Gothic" w:eastAsiaTheme="minorHAnsi" w:hAnsi="Century Gothic"/>
          <w:sz w:val="24"/>
          <w:lang w:val="en-AU" w:eastAsia="en-US"/>
        </w:rPr>
        <w:t>m</w:t>
      </w:r>
      <w:r>
        <w:rPr>
          <w:rFonts w:ascii="Century Gothic" w:eastAsiaTheme="minorHAnsi" w:hAnsi="Century Gothic"/>
          <w:sz w:val="24"/>
          <w:lang w:val="en-AU" w:eastAsia="en-US"/>
        </w:rPr>
        <w:t>andatory Independent Assessments. I</w:t>
      </w:r>
      <w:r w:rsidRPr="00B52E32">
        <w:rPr>
          <w:rFonts w:ascii="Century Gothic" w:eastAsiaTheme="minorHAnsi" w:hAnsi="Century Gothic"/>
          <w:sz w:val="24"/>
          <w:lang w:val="en-AU" w:eastAsia="en-US"/>
        </w:rPr>
        <w:t>f there are additional assessment measures that the NDIA requires, they need to be communicating this</w:t>
      </w:r>
      <w:r w:rsidR="0021412C">
        <w:rPr>
          <w:rFonts w:ascii="Century Gothic" w:eastAsiaTheme="minorHAnsi" w:hAnsi="Century Gothic"/>
          <w:sz w:val="24"/>
          <w:lang w:val="en-AU" w:eastAsia="en-US"/>
        </w:rPr>
        <w:t xml:space="preserve"> </w:t>
      </w:r>
      <w:r w:rsidRPr="00B52E32">
        <w:rPr>
          <w:rFonts w:ascii="Century Gothic" w:eastAsiaTheme="minorHAnsi" w:hAnsi="Century Gothic"/>
          <w:sz w:val="24"/>
          <w:lang w:val="en-AU" w:eastAsia="en-US"/>
        </w:rPr>
        <w:t>clearly to providers so that they can be included in reports, removing the need for independent assessors.</w:t>
      </w:r>
    </w:p>
    <w:p w14:paraId="042531E1" w14:textId="77777777" w:rsidR="002278DF" w:rsidRPr="00B52E32" w:rsidRDefault="002278DF" w:rsidP="002278DF">
      <w:pPr>
        <w:spacing w:after="0" w:line="240" w:lineRule="auto"/>
        <w:rPr>
          <w:rFonts w:ascii="Century Gothic" w:eastAsiaTheme="minorHAnsi" w:hAnsi="Century Gothic"/>
          <w:sz w:val="24"/>
          <w:lang w:val="en-AU" w:eastAsia="en-US"/>
        </w:rPr>
      </w:pPr>
    </w:p>
    <w:p w14:paraId="21F74840" w14:textId="77777777" w:rsidR="002278DF" w:rsidRPr="00B52E32" w:rsidRDefault="002278DF" w:rsidP="002278DF">
      <w:pPr>
        <w:shd w:val="clear" w:color="auto" w:fill="FFFFFF"/>
        <w:spacing w:after="0" w:line="240" w:lineRule="auto"/>
        <w:rPr>
          <w:rFonts w:ascii="Century Gothic" w:eastAsia="Times New Roman" w:hAnsi="Century Gothic" w:cs="Tahoma"/>
          <w:color w:val="212121"/>
          <w:sz w:val="24"/>
          <w:lang w:val="en-AU" w:eastAsia="en-AU"/>
        </w:rPr>
      </w:pPr>
      <w:r>
        <w:rPr>
          <w:rFonts w:ascii="Century Gothic" w:eastAsia="Times New Roman" w:hAnsi="Century Gothic" w:cs="Tahoma"/>
          <w:color w:val="212121"/>
          <w:sz w:val="24"/>
          <w:lang w:val="en-AU" w:eastAsia="en-AU"/>
        </w:rPr>
        <w:t>The</w:t>
      </w:r>
      <w:r w:rsidRPr="00B52E32">
        <w:rPr>
          <w:rFonts w:ascii="Century Gothic" w:eastAsia="Times New Roman" w:hAnsi="Century Gothic" w:cs="Tahoma"/>
          <w:color w:val="212121"/>
          <w:sz w:val="24"/>
          <w:lang w:val="en-AU" w:eastAsia="en-AU"/>
        </w:rPr>
        <w:t xml:space="preserve"> likely impacts for people with disability</w:t>
      </w:r>
      <w:r>
        <w:rPr>
          <w:rFonts w:ascii="Century Gothic" w:eastAsia="Times New Roman" w:hAnsi="Century Gothic" w:cs="Tahoma"/>
          <w:color w:val="212121"/>
          <w:sz w:val="24"/>
          <w:lang w:val="en-AU" w:eastAsia="en-AU"/>
        </w:rPr>
        <w:t xml:space="preserve"> if Independent Assessments are introduced are</w:t>
      </w:r>
      <w:r w:rsidRPr="00B52E32">
        <w:rPr>
          <w:rFonts w:ascii="Century Gothic" w:eastAsia="Times New Roman" w:hAnsi="Century Gothic" w:cs="Tahoma"/>
          <w:color w:val="212121"/>
          <w:sz w:val="24"/>
          <w:lang w:val="en-AU" w:eastAsia="en-AU"/>
        </w:rPr>
        <w:t>:</w:t>
      </w:r>
    </w:p>
    <w:p w14:paraId="269B8BFA" w14:textId="77777777" w:rsidR="002278DF" w:rsidRPr="00B52E32" w:rsidRDefault="002278DF" w:rsidP="002278DF">
      <w:pPr>
        <w:numPr>
          <w:ilvl w:val="0"/>
          <w:numId w:val="3"/>
        </w:numPr>
        <w:shd w:val="clear" w:color="auto" w:fill="FFFFFF"/>
        <w:spacing w:after="0" w:line="240" w:lineRule="auto"/>
        <w:rPr>
          <w:rFonts w:ascii="Century Gothic" w:eastAsia="Times New Roman" w:hAnsi="Century Gothic" w:cs="Tahoma"/>
          <w:color w:val="212121"/>
          <w:sz w:val="24"/>
          <w:lang w:val="en-AU" w:eastAsia="en-US"/>
        </w:rPr>
      </w:pPr>
      <w:r w:rsidRPr="00B52E32">
        <w:rPr>
          <w:rFonts w:ascii="Century Gothic" w:eastAsia="Times New Roman" w:hAnsi="Century Gothic" w:cs="Tahoma"/>
          <w:color w:val="212121"/>
          <w:sz w:val="24"/>
          <w:lang w:val="en-AU" w:eastAsia="en-US"/>
        </w:rPr>
        <w:t>Being forced to explain their situation/history/needs to an unfamiliar ‘independent assessor’ each year (and when a review is required for change of circumstance);</w:t>
      </w:r>
    </w:p>
    <w:p w14:paraId="3855CFA9" w14:textId="77777777" w:rsidR="002278DF" w:rsidRPr="00B52E32" w:rsidRDefault="002278DF" w:rsidP="002278DF">
      <w:pPr>
        <w:numPr>
          <w:ilvl w:val="0"/>
          <w:numId w:val="3"/>
        </w:numPr>
        <w:shd w:val="clear" w:color="auto" w:fill="FFFFFF"/>
        <w:spacing w:after="0" w:line="240" w:lineRule="auto"/>
        <w:rPr>
          <w:rFonts w:ascii="Century Gothic" w:eastAsia="Times New Roman" w:hAnsi="Century Gothic" w:cs="Tahoma"/>
          <w:color w:val="212121"/>
          <w:sz w:val="24"/>
          <w:lang w:val="en-AU" w:eastAsia="en-US"/>
        </w:rPr>
      </w:pPr>
      <w:r w:rsidRPr="00B52E32">
        <w:rPr>
          <w:rFonts w:ascii="Century Gothic" w:eastAsia="Times New Roman" w:hAnsi="Century Gothic" w:cs="Tahoma"/>
          <w:color w:val="212121"/>
          <w:sz w:val="24"/>
          <w:lang w:val="en-AU" w:eastAsia="en-US"/>
        </w:rPr>
        <w:t>Facing the review without their allied health team’s involvement or recommendations (this is particularly concerning for people with rarer diseases and syndromes);</w:t>
      </w:r>
    </w:p>
    <w:p w14:paraId="4F0C5811" w14:textId="77777777" w:rsidR="002278DF" w:rsidRPr="00B52E32" w:rsidRDefault="002278DF" w:rsidP="002278DF">
      <w:pPr>
        <w:numPr>
          <w:ilvl w:val="0"/>
          <w:numId w:val="3"/>
        </w:numPr>
        <w:shd w:val="clear" w:color="auto" w:fill="FFFFFF"/>
        <w:spacing w:after="0" w:line="240" w:lineRule="auto"/>
        <w:rPr>
          <w:rFonts w:ascii="Century Gothic" w:eastAsia="Times New Roman" w:hAnsi="Century Gothic" w:cs="Tahoma"/>
          <w:color w:val="212121"/>
          <w:sz w:val="24"/>
          <w:lang w:val="en-AU" w:eastAsia="en-US"/>
        </w:rPr>
      </w:pPr>
      <w:r w:rsidRPr="00B52E32">
        <w:rPr>
          <w:rFonts w:ascii="Century Gothic" w:eastAsia="Times New Roman" w:hAnsi="Century Gothic" w:cs="Tahoma"/>
          <w:color w:val="212121"/>
          <w:sz w:val="24"/>
          <w:lang w:val="en-AU" w:eastAsia="en-US"/>
        </w:rPr>
        <w:t>For people with social, cultural and language barriers as well as those with complex communication or sensory needs, unfamiliar ‘independent assessors’ are unlikely to be able to understand and assess their needs;</w:t>
      </w:r>
    </w:p>
    <w:p w14:paraId="279B5D91" w14:textId="77777777" w:rsidR="002278DF" w:rsidRPr="00B52E32" w:rsidRDefault="002278DF" w:rsidP="002278DF">
      <w:pPr>
        <w:numPr>
          <w:ilvl w:val="0"/>
          <w:numId w:val="3"/>
        </w:numPr>
        <w:shd w:val="clear" w:color="auto" w:fill="FFFFFF"/>
        <w:spacing w:after="0" w:line="240" w:lineRule="auto"/>
        <w:rPr>
          <w:rFonts w:ascii="Century Gothic" w:eastAsia="Times New Roman" w:hAnsi="Century Gothic" w:cs="Tahoma"/>
          <w:color w:val="212121"/>
          <w:sz w:val="24"/>
          <w:lang w:val="en-AU" w:eastAsia="en-US"/>
        </w:rPr>
      </w:pPr>
      <w:r w:rsidRPr="00B52E32">
        <w:rPr>
          <w:rFonts w:ascii="Century Gothic" w:eastAsia="Times New Roman" w:hAnsi="Century Gothic" w:cs="Tahoma"/>
          <w:color w:val="212121"/>
          <w:sz w:val="24"/>
          <w:lang w:val="en-AU" w:eastAsia="en-US"/>
        </w:rPr>
        <w:t xml:space="preserve">Higher likelihood of being denied access or having a reduction in funding due to the standardised ‘tick and flick’ one-size-fits-all approach being adopted by the NDIA; </w:t>
      </w:r>
    </w:p>
    <w:p w14:paraId="0E6151E7" w14:textId="77777777" w:rsidR="002278DF" w:rsidRPr="00B52E32" w:rsidRDefault="002278DF" w:rsidP="002278DF">
      <w:pPr>
        <w:numPr>
          <w:ilvl w:val="0"/>
          <w:numId w:val="3"/>
        </w:numPr>
        <w:shd w:val="clear" w:color="auto" w:fill="FFFFFF"/>
        <w:spacing w:after="0" w:line="240" w:lineRule="auto"/>
        <w:rPr>
          <w:rFonts w:ascii="Century Gothic" w:eastAsia="Times New Roman" w:hAnsi="Century Gothic" w:cs="Tahoma"/>
          <w:color w:val="212121"/>
          <w:sz w:val="24"/>
          <w:lang w:val="en-AU" w:eastAsia="en-US"/>
        </w:rPr>
      </w:pPr>
      <w:r w:rsidRPr="00B52E32">
        <w:rPr>
          <w:rFonts w:ascii="Century Gothic" w:eastAsia="Times New Roman" w:hAnsi="Century Gothic" w:cs="Tahoma"/>
          <w:color w:val="212121"/>
          <w:sz w:val="24"/>
          <w:lang w:val="en-AU" w:eastAsia="en-US"/>
        </w:rPr>
        <w:t xml:space="preserve">The proposed assessment instruments are unlikely to capture the complex and diverse needs of all people with disabilities; and  </w:t>
      </w:r>
    </w:p>
    <w:p w14:paraId="468FD6AC" w14:textId="77777777" w:rsidR="002278DF" w:rsidRPr="00B52E32" w:rsidRDefault="002278DF" w:rsidP="002278DF">
      <w:pPr>
        <w:numPr>
          <w:ilvl w:val="0"/>
          <w:numId w:val="3"/>
        </w:numPr>
        <w:shd w:val="clear" w:color="auto" w:fill="FFFFFF"/>
        <w:spacing w:after="0" w:line="240" w:lineRule="auto"/>
        <w:rPr>
          <w:rFonts w:ascii="Century Gothic" w:eastAsia="Times New Roman" w:hAnsi="Century Gothic" w:cs="Tahoma"/>
          <w:color w:val="212121"/>
          <w:sz w:val="24"/>
          <w:lang w:val="en-AU" w:eastAsia="en-US"/>
        </w:rPr>
      </w:pPr>
      <w:r w:rsidRPr="00B52E32">
        <w:rPr>
          <w:rFonts w:ascii="Century Gothic" w:eastAsia="Times New Roman" w:hAnsi="Century Gothic" w:cs="Tahoma"/>
          <w:color w:val="212121"/>
          <w:sz w:val="24"/>
          <w:lang w:val="en-AU" w:eastAsia="en-US"/>
        </w:rPr>
        <w:t>Participants could lose access to the long-term professional supports who have completed tailored plans and treatments for them. A therapeutic relationship is paramount in any therapy and takes time to develop - even more so with people with disabilities who have histories of abuse, neglect, or rapid and unexplained changeover of support staff. Psychologists and other medical professionals spend time earning the trust of patients, so that they can open up and share their true health and wellbeing realities. A short Q&amp;A with a stranger is not going to uncover debilitating mental illness or negative circumstances that might be embarrassing or deeply personal to share, yet these are important insights to have when assessing needs.</w:t>
      </w:r>
    </w:p>
    <w:p w14:paraId="172B5077" w14:textId="77777777" w:rsidR="002278DF" w:rsidRPr="00B52E32" w:rsidRDefault="002278DF" w:rsidP="002278DF">
      <w:pPr>
        <w:shd w:val="clear" w:color="auto" w:fill="FFFFFF"/>
        <w:spacing w:after="0" w:line="240" w:lineRule="auto"/>
        <w:rPr>
          <w:rFonts w:ascii="Century Gothic" w:eastAsia="Helvetica Neue" w:hAnsi="Century Gothic" w:cs="Helvetica Neue"/>
          <w:color w:val="000000" w:themeColor="text1"/>
          <w:sz w:val="24"/>
          <w:lang w:val="en-AU" w:eastAsia="en-US"/>
        </w:rPr>
      </w:pPr>
      <w:r w:rsidRPr="00B52E32">
        <w:rPr>
          <w:rFonts w:ascii="Century Gothic" w:eastAsia="Times New Roman" w:hAnsi="Century Gothic" w:cs="Tahoma"/>
          <w:color w:val="212121"/>
          <w:sz w:val="24"/>
          <w:lang w:val="en-AU" w:eastAsia="en-AU"/>
        </w:rPr>
        <w:t> </w:t>
      </w:r>
      <w:r w:rsidRPr="00B52E32">
        <w:rPr>
          <w:rFonts w:ascii="Century Gothic" w:eastAsia="Helvetica Neue" w:hAnsi="Century Gothic" w:cs="Helvetica Neue"/>
          <w:color w:val="000000" w:themeColor="text1"/>
          <w:sz w:val="24"/>
          <w:lang w:val="en-AU" w:eastAsia="en-US"/>
        </w:rPr>
        <w:t xml:space="preserve"> </w:t>
      </w:r>
    </w:p>
    <w:p w14:paraId="413001FC" w14:textId="77777777" w:rsidR="00A7002F" w:rsidRDefault="00A7002F">
      <w:pPr>
        <w:spacing w:after="160" w:line="259" w:lineRule="auto"/>
        <w:rPr>
          <w:rFonts w:asciiTheme="majorHAnsi" w:eastAsiaTheme="majorEastAsia" w:hAnsiTheme="majorHAnsi" w:cstheme="majorBidi"/>
          <w:color w:val="2F5496" w:themeColor="accent1" w:themeShade="BF"/>
          <w:sz w:val="32"/>
          <w:szCs w:val="32"/>
          <w:lang w:val="en-AU"/>
        </w:rPr>
      </w:pPr>
      <w:r>
        <w:rPr>
          <w:lang w:val="en-AU"/>
        </w:rPr>
        <w:br w:type="page"/>
      </w:r>
    </w:p>
    <w:p w14:paraId="074AE24E" w14:textId="27995A75" w:rsidR="002278DF" w:rsidRDefault="002278DF" w:rsidP="00A7002F">
      <w:pPr>
        <w:pStyle w:val="Heading1"/>
        <w:ind w:firstLine="360"/>
        <w:rPr>
          <w:lang w:val="en-AU"/>
        </w:rPr>
      </w:pPr>
      <w:r>
        <w:rPr>
          <w:lang w:val="en-AU"/>
        </w:rPr>
        <w:lastRenderedPageBreak/>
        <w:t>Consultation Questions</w:t>
      </w:r>
    </w:p>
    <w:p w14:paraId="5ED89197" w14:textId="77777777" w:rsidR="002278DF" w:rsidRPr="00B52E32" w:rsidRDefault="002278DF" w:rsidP="00A7002F">
      <w:pPr>
        <w:pStyle w:val="Heading5"/>
        <w:spacing w:before="0" w:after="0" w:line="240" w:lineRule="auto"/>
        <w:ind w:firstLine="360"/>
        <w:rPr>
          <w:rFonts w:ascii="Century Gothic" w:hAnsi="Century Gothic"/>
          <w:sz w:val="24"/>
          <w:lang w:val="en-AU"/>
        </w:rPr>
      </w:pPr>
      <w:r w:rsidRPr="00B52E32">
        <w:rPr>
          <w:rFonts w:ascii="Century Gothic" w:hAnsi="Century Gothic"/>
          <w:sz w:val="24"/>
          <w:lang w:val="en-AU"/>
        </w:rPr>
        <w:t xml:space="preserve">Learning about the NDIS </w:t>
      </w:r>
    </w:p>
    <w:p w14:paraId="35564418" w14:textId="11CB9C5D" w:rsidR="002278DF"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What will people who apply for the NDIS need to know about the independent assessments process? How this information is best provided?</w:t>
      </w:r>
    </w:p>
    <w:p w14:paraId="4B3A43A6" w14:textId="77777777" w:rsidR="0021412C" w:rsidRDefault="0021412C" w:rsidP="0021412C">
      <w:pPr>
        <w:pStyle w:val="ListParagraph"/>
        <w:spacing w:after="0" w:line="240" w:lineRule="auto"/>
        <w:rPr>
          <w:rFonts w:ascii="Century Gothic" w:hAnsi="Century Gothic" w:cs="Arial"/>
          <w:b/>
          <w:bCs/>
          <w:sz w:val="24"/>
          <w:lang w:val="en-AU"/>
        </w:rPr>
      </w:pPr>
    </w:p>
    <w:p w14:paraId="497F1852" w14:textId="0CB29668" w:rsidR="002278DF" w:rsidRPr="00B52E32" w:rsidRDefault="002278DF" w:rsidP="002278DF">
      <w:pPr>
        <w:spacing w:after="0" w:line="240" w:lineRule="auto"/>
        <w:ind w:left="360"/>
        <w:rPr>
          <w:rFonts w:ascii="Century Gothic" w:hAnsi="Century Gothic" w:cs="Arial"/>
          <w:sz w:val="24"/>
          <w:lang w:val="en-AU"/>
        </w:rPr>
      </w:pPr>
      <w:r w:rsidRPr="00B52E32">
        <w:rPr>
          <w:rFonts w:ascii="Century Gothic" w:hAnsi="Century Gothic" w:cs="Arial"/>
          <w:sz w:val="24"/>
          <w:lang w:val="en-AU"/>
        </w:rPr>
        <w:t>People with disabilities who are applying to access the NDIS need to know what the process is</w:t>
      </w:r>
      <w:r w:rsidR="00041BBB">
        <w:rPr>
          <w:rFonts w:ascii="Century Gothic" w:hAnsi="Century Gothic" w:cs="Arial"/>
          <w:sz w:val="24"/>
          <w:lang w:val="en-AU"/>
        </w:rPr>
        <w:t>;</w:t>
      </w:r>
      <w:r w:rsidRPr="00B52E32">
        <w:rPr>
          <w:rFonts w:ascii="Century Gothic" w:hAnsi="Century Gothic" w:cs="Arial"/>
          <w:sz w:val="24"/>
          <w:lang w:val="en-AU"/>
        </w:rPr>
        <w:t xml:space="preserve"> what the assessments are</w:t>
      </w:r>
      <w:r w:rsidR="00041BBB">
        <w:rPr>
          <w:rFonts w:ascii="Century Gothic" w:hAnsi="Century Gothic" w:cs="Arial"/>
          <w:sz w:val="24"/>
          <w:lang w:val="en-AU"/>
        </w:rPr>
        <w:t>;</w:t>
      </w:r>
      <w:r w:rsidRPr="00B52E32">
        <w:rPr>
          <w:rFonts w:ascii="Century Gothic" w:hAnsi="Century Gothic" w:cs="Arial"/>
          <w:sz w:val="24"/>
          <w:lang w:val="en-AU"/>
        </w:rPr>
        <w:t xml:space="preserve"> how they will be administered</w:t>
      </w:r>
      <w:r w:rsidR="00041BBB">
        <w:rPr>
          <w:rFonts w:ascii="Century Gothic" w:hAnsi="Century Gothic" w:cs="Arial"/>
          <w:sz w:val="24"/>
          <w:lang w:val="en-AU"/>
        </w:rPr>
        <w:t>;</w:t>
      </w:r>
      <w:r w:rsidRPr="00B52E32">
        <w:rPr>
          <w:rFonts w:ascii="Century Gothic" w:hAnsi="Century Gothic" w:cs="Arial"/>
          <w:sz w:val="24"/>
          <w:lang w:val="en-AU"/>
        </w:rPr>
        <w:t xml:space="preserve"> who the assessor is and what qualifications they have, as well as what their rights are regarding Independent Assessments. </w:t>
      </w:r>
      <w:r w:rsidR="0021412C">
        <w:rPr>
          <w:rFonts w:ascii="Century Gothic" w:hAnsi="Century Gothic" w:cs="Arial"/>
          <w:sz w:val="24"/>
          <w:lang w:val="en-AU"/>
        </w:rPr>
        <w:t>T</w:t>
      </w:r>
      <w:r>
        <w:rPr>
          <w:rFonts w:ascii="Century Gothic" w:hAnsi="Century Gothic" w:cs="Arial"/>
          <w:sz w:val="24"/>
          <w:lang w:val="en-AU"/>
        </w:rPr>
        <w:t xml:space="preserve">hey also need to know how they can appeal if the assessment results in adequate funding or the plan that has been developed does not meet their support needs. </w:t>
      </w:r>
      <w:r w:rsidRPr="00B52E32">
        <w:rPr>
          <w:rFonts w:ascii="Century Gothic" w:hAnsi="Century Gothic" w:cs="Arial"/>
          <w:sz w:val="24"/>
          <w:lang w:val="en-AU"/>
        </w:rPr>
        <w:t xml:space="preserve">There is </w:t>
      </w:r>
      <w:r w:rsidR="008E7ABC">
        <w:rPr>
          <w:rFonts w:ascii="Century Gothic" w:hAnsi="Century Gothic" w:cs="Arial"/>
          <w:sz w:val="24"/>
          <w:lang w:val="en-AU"/>
        </w:rPr>
        <w:t>increasing</w:t>
      </w:r>
      <w:r w:rsidRPr="00B52E32">
        <w:rPr>
          <w:rFonts w:ascii="Century Gothic" w:hAnsi="Century Gothic" w:cs="Arial"/>
          <w:sz w:val="24"/>
          <w:lang w:val="en-AU"/>
        </w:rPr>
        <w:t xml:space="preserve"> anxiety around not being able to access or challenge independent assessments</w:t>
      </w:r>
      <w:r w:rsidR="008E7ABC">
        <w:rPr>
          <w:rFonts w:ascii="Century Gothic" w:hAnsi="Century Gothic" w:cs="Arial"/>
          <w:sz w:val="24"/>
          <w:lang w:val="en-AU"/>
        </w:rPr>
        <w:t>. C</w:t>
      </w:r>
      <w:r w:rsidRPr="00B52E32">
        <w:rPr>
          <w:rFonts w:ascii="Century Gothic" w:hAnsi="Century Gothic" w:cs="Arial"/>
          <w:sz w:val="24"/>
          <w:lang w:val="en-AU"/>
        </w:rPr>
        <w:t xml:space="preserve">lients need to </w:t>
      </w:r>
      <w:r w:rsidR="008E7ABC">
        <w:rPr>
          <w:rFonts w:ascii="Century Gothic" w:hAnsi="Century Gothic" w:cs="Arial"/>
          <w:sz w:val="24"/>
          <w:lang w:val="en-AU"/>
        </w:rPr>
        <w:t>be informed of their rights to appeal</w:t>
      </w:r>
      <w:r w:rsidR="00041BBB">
        <w:rPr>
          <w:rFonts w:ascii="Century Gothic" w:hAnsi="Century Gothic" w:cs="Arial"/>
          <w:sz w:val="24"/>
          <w:lang w:val="en-AU"/>
        </w:rPr>
        <w:t xml:space="preserve"> and what this process will involve</w:t>
      </w:r>
      <w:r w:rsidR="008E7ABC">
        <w:rPr>
          <w:rFonts w:ascii="Century Gothic" w:hAnsi="Century Gothic" w:cs="Arial"/>
          <w:sz w:val="24"/>
          <w:lang w:val="en-AU"/>
        </w:rPr>
        <w:t>.</w:t>
      </w:r>
      <w:r w:rsidRPr="00B52E32">
        <w:rPr>
          <w:rFonts w:ascii="Century Gothic" w:hAnsi="Century Gothic" w:cs="Arial"/>
          <w:sz w:val="24"/>
          <w:lang w:val="en-AU"/>
        </w:rPr>
        <w:t xml:space="preserve"> This information is best provided in many different formats so that it is accessible to all disability types.  </w:t>
      </w:r>
    </w:p>
    <w:p w14:paraId="26FE97AA" w14:textId="77777777" w:rsidR="00934C2A" w:rsidRDefault="00934C2A" w:rsidP="002278DF">
      <w:pPr>
        <w:pStyle w:val="Heading5"/>
        <w:spacing w:before="0" w:after="0" w:line="240" w:lineRule="auto"/>
        <w:rPr>
          <w:rFonts w:ascii="Century Gothic" w:hAnsi="Century Gothic"/>
          <w:sz w:val="24"/>
          <w:lang w:val="en-AU"/>
        </w:rPr>
      </w:pPr>
    </w:p>
    <w:p w14:paraId="2BD4E632" w14:textId="6A3FA735" w:rsidR="002278DF" w:rsidRPr="00B52E32" w:rsidRDefault="002278DF" w:rsidP="00A7002F">
      <w:pPr>
        <w:pStyle w:val="Heading5"/>
        <w:spacing w:before="0" w:after="0" w:line="240" w:lineRule="auto"/>
        <w:ind w:firstLine="360"/>
        <w:rPr>
          <w:rFonts w:ascii="Century Gothic" w:hAnsi="Century Gothic"/>
          <w:sz w:val="24"/>
          <w:lang w:val="en-AU"/>
        </w:rPr>
      </w:pPr>
      <w:r w:rsidRPr="00B52E32">
        <w:rPr>
          <w:rFonts w:ascii="Century Gothic" w:hAnsi="Century Gothic"/>
          <w:sz w:val="24"/>
          <w:lang w:val="en-AU"/>
        </w:rPr>
        <w:t xml:space="preserve">Accessing the NDIS  </w:t>
      </w:r>
    </w:p>
    <w:p w14:paraId="218FCEED" w14:textId="1542030F" w:rsidR="002278DF" w:rsidRPr="0021412C"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b/>
          <w:bCs/>
          <w:sz w:val="24"/>
        </w:rPr>
        <w:t xml:space="preserve">What should we consider in removing the access lists?  </w:t>
      </w:r>
    </w:p>
    <w:p w14:paraId="207C226E" w14:textId="77777777" w:rsidR="0021412C" w:rsidRPr="00A1344D" w:rsidRDefault="0021412C" w:rsidP="0021412C">
      <w:pPr>
        <w:pStyle w:val="ListParagraph"/>
        <w:spacing w:after="0" w:line="240" w:lineRule="auto"/>
        <w:rPr>
          <w:rFonts w:ascii="Century Gothic" w:hAnsi="Century Gothic" w:cs="Arial"/>
          <w:b/>
          <w:bCs/>
          <w:sz w:val="24"/>
          <w:lang w:val="en-AU"/>
        </w:rPr>
      </w:pPr>
    </w:p>
    <w:p w14:paraId="25022DDF" w14:textId="43ED3192" w:rsidR="002278DF" w:rsidRDefault="002278DF" w:rsidP="0021412C">
      <w:pPr>
        <w:spacing w:after="0" w:line="240" w:lineRule="auto"/>
        <w:ind w:left="360"/>
        <w:rPr>
          <w:rFonts w:ascii="Century Gothic" w:hAnsi="Century Gothic" w:cs="Arial"/>
          <w:sz w:val="24"/>
          <w:lang w:val="en-AU"/>
        </w:rPr>
      </w:pPr>
      <w:r w:rsidRPr="00B52E32">
        <w:rPr>
          <w:rFonts w:ascii="Century Gothic" w:hAnsi="Century Gothic" w:cs="Arial"/>
          <w:sz w:val="24"/>
          <w:lang w:val="en-AU"/>
        </w:rPr>
        <w:t>It is important to consider whether this creates a barrier for people with disabilities accessing supports that they require.  Some of the disabilities identified on the access lists have disabilities that require high level supports and waiting long periods of time for access to NDIS or being denied access based on inaccurate assessment will create decline in their function and create health emergencies or increase risk of harm for some individuals.</w:t>
      </w:r>
      <w:r w:rsidR="00041BBB">
        <w:rPr>
          <w:rFonts w:ascii="Century Gothic" w:hAnsi="Century Gothic" w:cs="Arial"/>
          <w:sz w:val="24"/>
          <w:lang w:val="en-AU"/>
        </w:rPr>
        <w:t xml:space="preserve">  </w:t>
      </w:r>
    </w:p>
    <w:p w14:paraId="3B23E76C" w14:textId="77777777" w:rsidR="00934C2A" w:rsidRPr="00B52E32" w:rsidRDefault="00934C2A" w:rsidP="002278DF">
      <w:pPr>
        <w:spacing w:after="0" w:line="240" w:lineRule="auto"/>
        <w:ind w:left="360"/>
        <w:jc w:val="both"/>
        <w:rPr>
          <w:rFonts w:ascii="Century Gothic" w:hAnsi="Century Gothic" w:cs="Arial"/>
          <w:sz w:val="24"/>
          <w:lang w:val="en-AU"/>
        </w:rPr>
      </w:pPr>
    </w:p>
    <w:p w14:paraId="5FA67A55" w14:textId="5541907B" w:rsidR="002278DF"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 xml:space="preserve">How can we clarify evidence requirements from health professionals about a person’s disability and whether or not it is, or is likely to be, permanent and life long? </w:t>
      </w:r>
    </w:p>
    <w:p w14:paraId="4F509334" w14:textId="77777777" w:rsidR="0021412C" w:rsidRPr="00A1344D" w:rsidRDefault="0021412C" w:rsidP="0021412C">
      <w:pPr>
        <w:pStyle w:val="ListParagraph"/>
        <w:spacing w:after="0" w:line="240" w:lineRule="auto"/>
        <w:rPr>
          <w:rFonts w:ascii="Century Gothic" w:hAnsi="Century Gothic" w:cs="Arial"/>
          <w:b/>
          <w:bCs/>
          <w:sz w:val="24"/>
          <w:lang w:val="en-AU"/>
        </w:rPr>
      </w:pPr>
    </w:p>
    <w:p w14:paraId="10B0032C" w14:textId="77777777" w:rsidR="002278DF" w:rsidRPr="00B52E32" w:rsidRDefault="002278DF" w:rsidP="002278DF">
      <w:pPr>
        <w:spacing w:after="0" w:line="240" w:lineRule="auto"/>
        <w:ind w:left="360"/>
        <w:rPr>
          <w:rFonts w:ascii="Century Gothic" w:hAnsi="Century Gothic" w:cs="Arial"/>
          <w:sz w:val="24"/>
          <w:lang w:val="en-AU"/>
        </w:rPr>
      </w:pPr>
      <w:r w:rsidRPr="00B52E32">
        <w:rPr>
          <w:rFonts w:ascii="Century Gothic" w:hAnsi="Century Gothic" w:cs="Arial"/>
          <w:sz w:val="24"/>
          <w:lang w:val="en-AU"/>
        </w:rPr>
        <w:t xml:space="preserve">Currently this is identified in the Supporting Evidence Form through the question – is the impairment likely to be lifelong?  </w:t>
      </w:r>
    </w:p>
    <w:p w14:paraId="4B765EDD" w14:textId="3A40C802" w:rsidR="002278DF" w:rsidRDefault="002278DF" w:rsidP="002278DF">
      <w:pPr>
        <w:spacing w:after="0" w:line="240" w:lineRule="auto"/>
        <w:ind w:left="360"/>
        <w:rPr>
          <w:rFonts w:ascii="Century Gothic" w:hAnsi="Century Gothic" w:cs="Arial"/>
          <w:sz w:val="24"/>
          <w:lang w:val="en-AU"/>
        </w:rPr>
      </w:pPr>
      <w:r w:rsidRPr="00B52E32">
        <w:rPr>
          <w:rFonts w:ascii="Century Gothic" w:hAnsi="Century Gothic" w:cs="Arial"/>
          <w:sz w:val="24"/>
          <w:lang w:val="en-AU"/>
        </w:rPr>
        <w:t xml:space="preserve">If the treating professional has indicated yes on this form further clarification is not needed. Professional opinion should be sufficient evidence if the clinician is qualified to offer such an opinion. </w:t>
      </w:r>
    </w:p>
    <w:p w14:paraId="0C853BE6" w14:textId="77777777" w:rsidR="00934C2A" w:rsidRPr="00B52E32" w:rsidRDefault="00934C2A" w:rsidP="002278DF">
      <w:pPr>
        <w:spacing w:after="0" w:line="240" w:lineRule="auto"/>
        <w:ind w:left="360"/>
        <w:rPr>
          <w:rFonts w:ascii="Century Gothic" w:hAnsi="Century Gothic" w:cs="Arial"/>
          <w:sz w:val="24"/>
          <w:lang w:val="en-AU"/>
        </w:rPr>
      </w:pPr>
    </w:p>
    <w:p w14:paraId="172220C0" w14:textId="612C0788" w:rsidR="002278DF"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 xml:space="preserve">How should we make the distinction between disability and chronic, acute or palliative health conditions clearer?  </w:t>
      </w:r>
    </w:p>
    <w:p w14:paraId="7129DDD8" w14:textId="77777777" w:rsidR="0021412C" w:rsidRDefault="0021412C" w:rsidP="0021412C">
      <w:pPr>
        <w:pStyle w:val="ListParagraph"/>
        <w:spacing w:after="0" w:line="240" w:lineRule="auto"/>
        <w:rPr>
          <w:rFonts w:ascii="Century Gothic" w:hAnsi="Century Gothic" w:cs="Arial"/>
          <w:b/>
          <w:bCs/>
          <w:sz w:val="24"/>
          <w:lang w:val="en-AU"/>
        </w:rPr>
      </w:pPr>
    </w:p>
    <w:p w14:paraId="134F1EC6" w14:textId="6E579C20" w:rsidR="002278DF" w:rsidRPr="00A7002F" w:rsidRDefault="002278DF" w:rsidP="00A7002F">
      <w:pPr>
        <w:spacing w:after="0" w:line="240" w:lineRule="auto"/>
        <w:ind w:left="360"/>
        <w:rPr>
          <w:rFonts w:ascii="Century Gothic" w:hAnsi="Century Gothic" w:cs="Arial"/>
          <w:sz w:val="24"/>
          <w:lang w:val="en-AU"/>
        </w:rPr>
      </w:pPr>
      <w:r w:rsidRPr="00A7002F">
        <w:rPr>
          <w:rFonts w:ascii="Century Gothic" w:hAnsi="Century Gothic" w:cs="Arial"/>
          <w:sz w:val="24"/>
          <w:lang w:val="en-AU"/>
        </w:rPr>
        <w:lastRenderedPageBreak/>
        <w:t>If their condition causes disability, functional deficits, is permanent and they are able to achieve functional improvements through NDIS supports they should be included in the scheme.</w:t>
      </w:r>
    </w:p>
    <w:p w14:paraId="320D72F5" w14:textId="77777777" w:rsidR="00934C2A" w:rsidRPr="00E232F1" w:rsidRDefault="00934C2A" w:rsidP="002278DF">
      <w:pPr>
        <w:pStyle w:val="ListParagraph"/>
        <w:spacing w:after="0" w:line="240" w:lineRule="auto"/>
        <w:rPr>
          <w:rFonts w:ascii="Century Gothic" w:hAnsi="Century Gothic" w:cs="Arial"/>
          <w:sz w:val="24"/>
          <w:lang w:val="en-AU"/>
        </w:rPr>
      </w:pPr>
    </w:p>
    <w:p w14:paraId="5D5C4E2C" w14:textId="77777777" w:rsidR="002278DF" w:rsidRPr="00B52E32" w:rsidRDefault="002278DF" w:rsidP="00A7002F">
      <w:pPr>
        <w:pStyle w:val="Heading5"/>
        <w:spacing w:before="0" w:after="0" w:line="240" w:lineRule="auto"/>
        <w:ind w:firstLine="360"/>
        <w:rPr>
          <w:rFonts w:ascii="Century Gothic" w:hAnsi="Century Gothic"/>
          <w:sz w:val="24"/>
          <w:lang w:val="en-AU"/>
        </w:rPr>
      </w:pPr>
      <w:r w:rsidRPr="00B52E32">
        <w:rPr>
          <w:rFonts w:ascii="Century Gothic" w:hAnsi="Century Gothic"/>
          <w:sz w:val="24"/>
          <w:lang w:val="en-AU"/>
        </w:rPr>
        <w:t>Undertaking an independent assessment</w:t>
      </w:r>
    </w:p>
    <w:p w14:paraId="392FC953" w14:textId="77777777" w:rsidR="002278DF" w:rsidRPr="00A1344D"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 xml:space="preserve">What are the traits and skills that you most want in an assessor? </w:t>
      </w:r>
    </w:p>
    <w:p w14:paraId="794B38BC" w14:textId="77777777" w:rsidR="002278DF" w:rsidRDefault="002278DF" w:rsidP="002278DF">
      <w:pPr>
        <w:pStyle w:val="ListParagraph"/>
        <w:spacing w:after="0" w:line="240" w:lineRule="auto"/>
        <w:rPr>
          <w:rFonts w:ascii="Century Gothic" w:eastAsiaTheme="minorHAnsi" w:hAnsi="Century Gothic"/>
          <w:sz w:val="24"/>
          <w:lang w:val="en-AU" w:eastAsia="en-US"/>
        </w:rPr>
      </w:pPr>
    </w:p>
    <w:p w14:paraId="55CC7E5B" w14:textId="77777777" w:rsidR="002278DF" w:rsidRPr="00A7002F" w:rsidRDefault="002278DF" w:rsidP="00A7002F">
      <w:pPr>
        <w:spacing w:after="0" w:line="240" w:lineRule="auto"/>
        <w:ind w:left="360"/>
        <w:rPr>
          <w:rFonts w:ascii="Century Gothic" w:eastAsiaTheme="minorHAnsi" w:hAnsi="Century Gothic"/>
          <w:sz w:val="24"/>
          <w:lang w:val="en-AU" w:eastAsia="en-US"/>
        </w:rPr>
      </w:pPr>
      <w:r w:rsidRPr="00A7002F">
        <w:rPr>
          <w:rFonts w:ascii="Century Gothic" w:eastAsiaTheme="minorHAnsi" w:hAnsi="Century Gothic"/>
          <w:sz w:val="24"/>
          <w:lang w:val="en-AU" w:eastAsia="en-US"/>
        </w:rPr>
        <w:t xml:space="preserve">It is of great concern that the allied health professionals who are known to participants will have little input (if any) into the participant’s eligibility determination, plan development and reviews.  </w:t>
      </w:r>
    </w:p>
    <w:p w14:paraId="21183EDB" w14:textId="77777777" w:rsidR="002278DF" w:rsidRPr="00B52E32" w:rsidRDefault="002278DF" w:rsidP="002278DF">
      <w:pPr>
        <w:spacing w:after="0" w:line="240" w:lineRule="auto"/>
        <w:rPr>
          <w:rFonts w:ascii="Century Gothic" w:eastAsiaTheme="minorHAnsi" w:hAnsi="Century Gothic"/>
          <w:sz w:val="24"/>
          <w:lang w:val="en-AU" w:eastAsia="en-US"/>
        </w:rPr>
      </w:pPr>
    </w:p>
    <w:p w14:paraId="3A300A36" w14:textId="0E100D13" w:rsidR="002278DF" w:rsidRPr="00A7002F" w:rsidRDefault="002278DF" w:rsidP="00A7002F">
      <w:pPr>
        <w:spacing w:after="0" w:line="240" w:lineRule="auto"/>
        <w:ind w:left="360"/>
        <w:rPr>
          <w:rFonts w:ascii="Century Gothic" w:eastAsiaTheme="minorHAnsi" w:hAnsi="Century Gothic"/>
          <w:sz w:val="24"/>
          <w:lang w:val="en-AU" w:eastAsia="en-US"/>
        </w:rPr>
      </w:pPr>
      <w:r w:rsidRPr="00A7002F">
        <w:rPr>
          <w:rFonts w:ascii="Century Gothic" w:eastAsiaTheme="minorHAnsi" w:hAnsi="Century Gothic"/>
          <w:sz w:val="24"/>
          <w:lang w:val="en-AU" w:eastAsia="en-US"/>
        </w:rPr>
        <w:t>Simplistic assessment by unfamiliar assessors will likely be traumatic for participants and their families, a</w:t>
      </w:r>
      <w:r w:rsidR="00041BBB">
        <w:rPr>
          <w:rFonts w:ascii="Century Gothic" w:eastAsiaTheme="minorHAnsi" w:hAnsi="Century Gothic"/>
          <w:sz w:val="24"/>
          <w:lang w:val="en-AU" w:eastAsia="en-US"/>
        </w:rPr>
        <w:t xml:space="preserve">s will </w:t>
      </w:r>
      <w:r w:rsidRPr="00A7002F">
        <w:rPr>
          <w:rFonts w:ascii="Century Gothic" w:eastAsiaTheme="minorHAnsi" w:hAnsi="Century Gothic"/>
          <w:sz w:val="24"/>
          <w:lang w:val="en-AU" w:eastAsia="en-US"/>
        </w:rPr>
        <w:t xml:space="preserve">the use of one-size-fits-all assessment tools, will most likely result in people with complex disabilities not being assessed properly. Poor assessments are likely to lead to people being denied access to the Scheme and for those deemed eligible, they are likely to be granted inadequate funding.  </w:t>
      </w:r>
    </w:p>
    <w:p w14:paraId="60048B5D" w14:textId="77777777" w:rsidR="002278DF" w:rsidRPr="00B52E32" w:rsidRDefault="002278DF" w:rsidP="002278DF">
      <w:pPr>
        <w:spacing w:after="0" w:line="240" w:lineRule="auto"/>
        <w:ind w:left="360"/>
        <w:jc w:val="both"/>
        <w:rPr>
          <w:rFonts w:ascii="Century Gothic" w:eastAsiaTheme="minorHAnsi" w:hAnsi="Century Gothic" w:cs="Arial"/>
          <w:sz w:val="24"/>
          <w:lang w:val="en-AU" w:eastAsia="en-US"/>
        </w:rPr>
      </w:pPr>
    </w:p>
    <w:p w14:paraId="29634F25" w14:textId="18D24A40" w:rsidR="002278DF" w:rsidRDefault="002278DF" w:rsidP="00A7002F">
      <w:pPr>
        <w:spacing w:after="0" w:line="240" w:lineRule="auto"/>
        <w:ind w:left="360"/>
        <w:rPr>
          <w:rFonts w:ascii="Century Gothic" w:eastAsiaTheme="minorHAnsi" w:hAnsi="Century Gothic" w:cs="Arial"/>
          <w:sz w:val="24"/>
          <w:lang w:val="en-AU" w:eastAsia="en-US"/>
        </w:rPr>
      </w:pPr>
      <w:r w:rsidRPr="00B52E32">
        <w:rPr>
          <w:rFonts w:ascii="Century Gothic" w:eastAsiaTheme="minorHAnsi" w:hAnsi="Century Gothic" w:cs="Arial"/>
          <w:sz w:val="24"/>
          <w:lang w:val="en-AU" w:eastAsia="en-US"/>
        </w:rPr>
        <w:t>NDIA appointed independent assessors will not have the depth or breadth of knowledge about a range of disabilities, particularly uncommon disabilities, to be able to adequately understand the complexity of various participant needs.</w:t>
      </w:r>
    </w:p>
    <w:p w14:paraId="61E0088B" w14:textId="77777777" w:rsidR="002278DF" w:rsidRDefault="002278DF" w:rsidP="002278DF">
      <w:pPr>
        <w:spacing w:after="0" w:line="240" w:lineRule="auto"/>
        <w:ind w:left="720"/>
        <w:rPr>
          <w:rFonts w:ascii="Century Gothic" w:eastAsiaTheme="minorHAnsi" w:hAnsi="Century Gothic" w:cs="Arial"/>
          <w:sz w:val="24"/>
          <w:lang w:val="en-AU" w:eastAsia="en-US"/>
        </w:rPr>
      </w:pPr>
    </w:p>
    <w:p w14:paraId="6AB4AEFC" w14:textId="2143E7A3" w:rsidR="002278DF" w:rsidRPr="00B52E32" w:rsidRDefault="002278DF" w:rsidP="00A7002F">
      <w:pPr>
        <w:spacing w:after="0" w:line="240" w:lineRule="auto"/>
        <w:ind w:left="360"/>
        <w:rPr>
          <w:rFonts w:ascii="Century Gothic" w:eastAsiaTheme="minorHAnsi" w:hAnsi="Century Gothic" w:cs="Arial"/>
          <w:sz w:val="24"/>
          <w:lang w:val="en-AU" w:eastAsia="en-US"/>
        </w:rPr>
      </w:pPr>
      <w:r w:rsidRPr="00B52E32">
        <w:rPr>
          <w:rFonts w:ascii="Century Gothic" w:eastAsiaTheme="minorHAnsi" w:hAnsi="Century Gothic" w:cs="Arial"/>
          <w:sz w:val="24"/>
          <w:lang w:val="en-AU" w:eastAsia="en-US"/>
        </w:rPr>
        <w:t xml:space="preserve">It is the position of AAPi that functional assessments and access assessments should be </w:t>
      </w:r>
      <w:r w:rsidR="008E7ABC">
        <w:rPr>
          <w:rFonts w:ascii="Century Gothic" w:eastAsiaTheme="minorHAnsi" w:hAnsi="Century Gothic" w:cs="Arial"/>
          <w:sz w:val="24"/>
          <w:lang w:val="en-AU" w:eastAsia="en-US"/>
        </w:rPr>
        <w:t>undertaken</w:t>
      </w:r>
      <w:r w:rsidRPr="00B52E32">
        <w:rPr>
          <w:rFonts w:ascii="Century Gothic" w:eastAsiaTheme="minorHAnsi" w:hAnsi="Century Gothic" w:cs="Arial"/>
          <w:sz w:val="24"/>
          <w:lang w:val="en-AU" w:eastAsia="en-US"/>
        </w:rPr>
        <w:t xml:space="preserve"> by providers who are assessors</w:t>
      </w:r>
      <w:r w:rsidR="008E7ABC">
        <w:rPr>
          <w:rFonts w:ascii="Century Gothic" w:eastAsiaTheme="minorHAnsi" w:hAnsi="Century Gothic" w:cs="Arial"/>
          <w:sz w:val="24"/>
          <w:lang w:val="en-AU" w:eastAsia="en-US"/>
        </w:rPr>
        <w:t>,</w:t>
      </w:r>
      <w:r w:rsidRPr="00B52E32">
        <w:rPr>
          <w:rFonts w:ascii="Century Gothic" w:eastAsiaTheme="minorHAnsi" w:hAnsi="Century Gothic" w:cs="Arial"/>
          <w:sz w:val="24"/>
          <w:lang w:val="en-AU" w:eastAsia="en-US"/>
        </w:rPr>
        <w:t xml:space="preserve"> are specialists in the disability being assessed</w:t>
      </w:r>
      <w:r w:rsidR="008E7ABC">
        <w:rPr>
          <w:rFonts w:ascii="Century Gothic" w:eastAsiaTheme="minorHAnsi" w:hAnsi="Century Gothic" w:cs="Arial"/>
          <w:sz w:val="24"/>
          <w:lang w:val="en-AU" w:eastAsia="en-US"/>
        </w:rPr>
        <w:t>,</w:t>
      </w:r>
      <w:r w:rsidRPr="00B52E32">
        <w:rPr>
          <w:rFonts w:ascii="Century Gothic" w:eastAsiaTheme="minorHAnsi" w:hAnsi="Century Gothic" w:cs="Arial"/>
          <w:sz w:val="24"/>
          <w:lang w:val="en-AU" w:eastAsia="en-US"/>
        </w:rPr>
        <w:t xml:space="preserve"> and have experience in treatment of that disability in a community setting. </w:t>
      </w:r>
      <w:r w:rsidR="0021412C">
        <w:rPr>
          <w:rFonts w:ascii="Century Gothic" w:eastAsiaTheme="minorHAnsi" w:hAnsi="Century Gothic" w:cs="Arial"/>
          <w:sz w:val="24"/>
          <w:lang w:val="en-AU" w:eastAsia="en-US"/>
        </w:rPr>
        <w:t>T</w:t>
      </w:r>
      <w:r w:rsidRPr="00B52E32">
        <w:rPr>
          <w:rFonts w:ascii="Century Gothic" w:eastAsiaTheme="minorHAnsi" w:hAnsi="Century Gothic" w:cs="Arial"/>
          <w:sz w:val="24"/>
          <w:lang w:val="en-AU" w:eastAsia="en-US"/>
        </w:rPr>
        <w:t>he most appropriate assessor may indeed be the treatment provider as they have an in</w:t>
      </w:r>
      <w:r w:rsidR="008E7ABC">
        <w:rPr>
          <w:rFonts w:ascii="Century Gothic" w:eastAsiaTheme="minorHAnsi" w:hAnsi="Century Gothic" w:cs="Arial"/>
          <w:sz w:val="24"/>
          <w:lang w:val="en-AU" w:eastAsia="en-US"/>
        </w:rPr>
        <w:t>-</w:t>
      </w:r>
      <w:r w:rsidRPr="00B52E32">
        <w:rPr>
          <w:rFonts w:ascii="Century Gothic" w:eastAsiaTheme="minorHAnsi" w:hAnsi="Century Gothic" w:cs="Arial"/>
          <w:sz w:val="24"/>
          <w:lang w:val="en-AU" w:eastAsia="en-US"/>
        </w:rPr>
        <w:t>depth view of the functional capacity of the individual</w:t>
      </w:r>
      <w:r w:rsidR="0021412C">
        <w:rPr>
          <w:rFonts w:ascii="Century Gothic" w:eastAsiaTheme="minorHAnsi" w:hAnsi="Century Gothic" w:cs="Arial"/>
          <w:sz w:val="24"/>
          <w:lang w:val="en-AU" w:eastAsia="en-US"/>
        </w:rPr>
        <w:t>,</w:t>
      </w:r>
      <w:r w:rsidRPr="00B52E32">
        <w:rPr>
          <w:rFonts w:ascii="Century Gothic" w:eastAsiaTheme="minorHAnsi" w:hAnsi="Century Gothic" w:cs="Arial"/>
          <w:sz w:val="24"/>
          <w:lang w:val="en-AU" w:eastAsia="en-US"/>
        </w:rPr>
        <w:t xml:space="preserve"> they have been providing therapeutic support to and would have an existing professional relationship, </w:t>
      </w:r>
      <w:r w:rsidR="00E43A59">
        <w:rPr>
          <w:rFonts w:ascii="Century Gothic" w:eastAsiaTheme="minorHAnsi" w:hAnsi="Century Gothic" w:cs="Arial"/>
          <w:sz w:val="24"/>
          <w:lang w:val="en-AU" w:eastAsia="en-US"/>
        </w:rPr>
        <w:t xml:space="preserve">thereby </w:t>
      </w:r>
      <w:r w:rsidRPr="00B52E32">
        <w:rPr>
          <w:rFonts w:ascii="Century Gothic" w:eastAsiaTheme="minorHAnsi" w:hAnsi="Century Gothic" w:cs="Arial"/>
          <w:sz w:val="24"/>
          <w:lang w:val="en-AU" w:eastAsia="en-US"/>
        </w:rPr>
        <w:t>reducing stress for participants</w:t>
      </w:r>
      <w:r w:rsidR="00E43A59">
        <w:rPr>
          <w:rFonts w:ascii="Century Gothic" w:eastAsiaTheme="minorHAnsi" w:hAnsi="Century Gothic" w:cs="Arial"/>
          <w:sz w:val="24"/>
          <w:lang w:val="en-AU" w:eastAsia="en-US"/>
        </w:rPr>
        <w:t xml:space="preserve"> and their carers</w:t>
      </w:r>
      <w:r w:rsidR="0021412C">
        <w:rPr>
          <w:rFonts w:ascii="Century Gothic" w:eastAsiaTheme="minorHAnsi" w:hAnsi="Century Gothic" w:cs="Arial"/>
          <w:sz w:val="24"/>
          <w:lang w:val="en-AU" w:eastAsia="en-US"/>
        </w:rPr>
        <w:t>’</w:t>
      </w:r>
      <w:r w:rsidRPr="00B52E32">
        <w:rPr>
          <w:rFonts w:ascii="Century Gothic" w:eastAsiaTheme="minorHAnsi" w:hAnsi="Century Gothic" w:cs="Arial"/>
          <w:sz w:val="24"/>
          <w:lang w:val="en-AU" w:eastAsia="en-US"/>
        </w:rPr>
        <w:t xml:space="preserve">. We disagree with the viewpoint that there is inherent compassion bias and challenge the validity of this concept in its entirety. </w:t>
      </w:r>
      <w:r w:rsidR="005D0F30">
        <w:rPr>
          <w:rFonts w:ascii="Century Gothic" w:eastAsiaTheme="minorHAnsi" w:hAnsi="Century Gothic" w:cs="Arial"/>
          <w:sz w:val="24"/>
          <w:lang w:val="en-AU" w:eastAsia="en-US"/>
        </w:rPr>
        <w:t>The term c</w:t>
      </w:r>
      <w:r w:rsidR="008E7ABC">
        <w:rPr>
          <w:rFonts w:ascii="Century Gothic" w:eastAsiaTheme="minorHAnsi" w:hAnsi="Century Gothic" w:cs="Arial"/>
          <w:sz w:val="24"/>
          <w:lang w:val="en-AU" w:eastAsia="en-US"/>
        </w:rPr>
        <w:t>ompassion-bias</w:t>
      </w:r>
      <w:r w:rsidR="005D0F30">
        <w:rPr>
          <w:rFonts w:ascii="Century Gothic" w:eastAsiaTheme="minorHAnsi" w:hAnsi="Century Gothic" w:cs="Arial"/>
          <w:sz w:val="24"/>
          <w:lang w:val="en-AU" w:eastAsia="en-US"/>
        </w:rPr>
        <w:t xml:space="preserve"> appears to be pejorative and is used to undermine effective and efficient assessment and treatment. It appears to be </w:t>
      </w:r>
      <w:proofErr w:type="spellStart"/>
      <w:r w:rsidR="005D0F30">
        <w:rPr>
          <w:rFonts w:ascii="Century Gothic" w:eastAsiaTheme="minorHAnsi" w:hAnsi="Century Gothic" w:cs="Arial"/>
          <w:sz w:val="24"/>
          <w:lang w:val="en-AU" w:eastAsia="en-US"/>
        </w:rPr>
        <w:t>utliised</w:t>
      </w:r>
      <w:proofErr w:type="spellEnd"/>
      <w:r w:rsidR="005D0F30">
        <w:rPr>
          <w:rFonts w:ascii="Century Gothic" w:eastAsiaTheme="minorHAnsi" w:hAnsi="Century Gothic" w:cs="Arial"/>
          <w:sz w:val="24"/>
          <w:lang w:val="en-AU" w:eastAsia="en-US"/>
        </w:rPr>
        <w:t xml:space="preserve"> by people who do not understand the benefits of compassion </w:t>
      </w:r>
      <w:r w:rsidR="00E43A59">
        <w:rPr>
          <w:rFonts w:ascii="Century Gothic" w:eastAsiaTheme="minorHAnsi" w:hAnsi="Century Gothic" w:cs="Arial"/>
          <w:sz w:val="24"/>
          <w:lang w:val="en-AU" w:eastAsia="en-US"/>
        </w:rPr>
        <w:t>and connection as part of the assessment process</w:t>
      </w:r>
      <w:r w:rsidR="005D0F30">
        <w:rPr>
          <w:rFonts w:ascii="Century Gothic" w:eastAsiaTheme="minorHAnsi" w:hAnsi="Century Gothic" w:cs="Arial"/>
          <w:sz w:val="24"/>
          <w:lang w:val="en-AU" w:eastAsia="en-US"/>
        </w:rPr>
        <w:t xml:space="preserve">, and who believe that lack of humanity is somehow more actuarial and economically astute. </w:t>
      </w:r>
      <w:r w:rsidR="008E7ABC">
        <w:rPr>
          <w:rFonts w:ascii="Century Gothic" w:eastAsiaTheme="minorHAnsi" w:hAnsi="Century Gothic" w:cs="Arial"/>
          <w:sz w:val="24"/>
          <w:lang w:val="en-AU" w:eastAsia="en-US"/>
        </w:rPr>
        <w:t>Compassion is the ability to be present</w:t>
      </w:r>
      <w:r w:rsidR="005D0F30">
        <w:rPr>
          <w:rFonts w:ascii="Century Gothic" w:eastAsiaTheme="minorHAnsi" w:hAnsi="Century Gothic" w:cs="Arial"/>
          <w:sz w:val="24"/>
          <w:lang w:val="en-AU" w:eastAsia="en-US"/>
        </w:rPr>
        <w:t xml:space="preserve"> (highly attentive) </w:t>
      </w:r>
      <w:r w:rsidR="008E7ABC">
        <w:rPr>
          <w:rFonts w:ascii="Century Gothic" w:eastAsiaTheme="minorHAnsi" w:hAnsi="Century Gothic" w:cs="Arial"/>
          <w:sz w:val="24"/>
          <w:lang w:val="en-AU" w:eastAsia="en-US"/>
        </w:rPr>
        <w:t>and listen deeply.</w:t>
      </w:r>
      <w:r w:rsidR="0021412C">
        <w:rPr>
          <w:rFonts w:ascii="Century Gothic" w:eastAsiaTheme="minorHAnsi" w:hAnsi="Century Gothic" w:cs="Arial"/>
          <w:sz w:val="24"/>
          <w:lang w:val="en-AU" w:eastAsia="en-US"/>
        </w:rPr>
        <w:t xml:space="preserve"> </w:t>
      </w:r>
      <w:r w:rsidR="005D0F30">
        <w:rPr>
          <w:rFonts w:ascii="Century Gothic" w:eastAsiaTheme="minorHAnsi" w:hAnsi="Century Gothic" w:cs="Arial"/>
          <w:sz w:val="24"/>
          <w:lang w:val="en-AU" w:eastAsia="en-US"/>
        </w:rPr>
        <w:t>Compassion bias</w:t>
      </w:r>
      <w:r w:rsidR="008E7ABC">
        <w:rPr>
          <w:rFonts w:ascii="Century Gothic" w:eastAsiaTheme="minorHAnsi" w:hAnsi="Century Gothic" w:cs="Arial"/>
          <w:sz w:val="24"/>
          <w:lang w:val="en-AU" w:eastAsia="en-US"/>
        </w:rPr>
        <w:t xml:space="preserve"> appears to be confused</w:t>
      </w:r>
      <w:r w:rsidR="005D0F30">
        <w:rPr>
          <w:rFonts w:ascii="Century Gothic" w:eastAsiaTheme="minorHAnsi" w:hAnsi="Century Gothic" w:cs="Arial"/>
          <w:sz w:val="24"/>
          <w:lang w:val="en-AU" w:eastAsia="en-US"/>
        </w:rPr>
        <w:t xml:space="preserve"> </w:t>
      </w:r>
      <w:r w:rsidR="008E7ABC">
        <w:rPr>
          <w:rFonts w:ascii="Century Gothic" w:eastAsiaTheme="minorHAnsi" w:hAnsi="Century Gothic" w:cs="Arial"/>
          <w:sz w:val="24"/>
          <w:lang w:val="en-AU" w:eastAsia="en-US"/>
        </w:rPr>
        <w:t>with</w:t>
      </w:r>
      <w:r w:rsidR="005D0F30">
        <w:rPr>
          <w:rFonts w:ascii="Century Gothic" w:eastAsiaTheme="minorHAnsi" w:hAnsi="Century Gothic" w:cs="Arial"/>
          <w:sz w:val="24"/>
          <w:lang w:val="en-AU" w:eastAsia="en-US"/>
        </w:rPr>
        <w:t xml:space="preserve"> unprofessional</w:t>
      </w:r>
      <w:r w:rsidR="008E7ABC">
        <w:rPr>
          <w:rFonts w:ascii="Century Gothic" w:eastAsiaTheme="minorHAnsi" w:hAnsi="Century Gothic" w:cs="Arial"/>
          <w:sz w:val="24"/>
          <w:lang w:val="en-AU" w:eastAsia="en-US"/>
        </w:rPr>
        <w:t xml:space="preserve"> sentimentality</w:t>
      </w:r>
      <w:r w:rsidR="005D0F30">
        <w:rPr>
          <w:rFonts w:ascii="Century Gothic" w:eastAsiaTheme="minorHAnsi" w:hAnsi="Century Gothic" w:cs="Arial"/>
          <w:sz w:val="24"/>
          <w:lang w:val="en-AU" w:eastAsia="en-US"/>
        </w:rPr>
        <w:t>.</w:t>
      </w:r>
      <w:r w:rsidR="008E7ABC">
        <w:rPr>
          <w:rFonts w:ascii="Century Gothic" w:eastAsiaTheme="minorHAnsi" w:hAnsi="Century Gothic" w:cs="Arial"/>
          <w:sz w:val="24"/>
          <w:lang w:val="en-AU" w:eastAsia="en-US"/>
        </w:rPr>
        <w:t xml:space="preserve"> </w:t>
      </w:r>
      <w:r w:rsidRPr="00B52E32">
        <w:rPr>
          <w:rFonts w:ascii="Century Gothic" w:eastAsiaTheme="minorHAnsi" w:hAnsi="Century Gothic" w:cs="Arial"/>
          <w:sz w:val="24"/>
          <w:lang w:val="en-AU" w:eastAsia="en-US"/>
        </w:rPr>
        <w:t>Psychologists and other professions providing therapeutic supports are bound by their registration to be ethical and evidence</w:t>
      </w:r>
      <w:r w:rsidR="00E43A59">
        <w:rPr>
          <w:rFonts w:ascii="Century Gothic" w:eastAsiaTheme="minorHAnsi" w:hAnsi="Century Gothic" w:cs="Arial"/>
          <w:sz w:val="24"/>
          <w:lang w:val="en-AU" w:eastAsia="en-US"/>
        </w:rPr>
        <w:t>-</w:t>
      </w:r>
      <w:r w:rsidRPr="00B52E32">
        <w:rPr>
          <w:rFonts w:ascii="Century Gothic" w:eastAsiaTheme="minorHAnsi" w:hAnsi="Century Gothic" w:cs="Arial"/>
          <w:sz w:val="24"/>
          <w:lang w:val="en-AU" w:eastAsia="en-US"/>
        </w:rPr>
        <w:t>based in their decision-making process</w:t>
      </w:r>
      <w:r w:rsidR="00E43A59">
        <w:rPr>
          <w:rFonts w:ascii="Century Gothic" w:eastAsiaTheme="minorHAnsi" w:hAnsi="Century Gothic" w:cs="Arial"/>
          <w:sz w:val="24"/>
          <w:lang w:val="en-AU" w:eastAsia="en-US"/>
        </w:rPr>
        <w:t>es</w:t>
      </w:r>
      <w:r w:rsidRPr="00B52E32">
        <w:rPr>
          <w:rFonts w:ascii="Century Gothic" w:eastAsiaTheme="minorHAnsi" w:hAnsi="Century Gothic" w:cs="Arial"/>
          <w:sz w:val="24"/>
          <w:lang w:val="en-AU" w:eastAsia="en-US"/>
        </w:rPr>
        <w:t xml:space="preserve"> particularly around treatment choice and efficacy. It would be </w:t>
      </w:r>
      <w:proofErr w:type="gramStart"/>
      <w:r w:rsidRPr="00B52E32">
        <w:rPr>
          <w:rFonts w:ascii="Century Gothic" w:eastAsiaTheme="minorHAnsi" w:hAnsi="Century Gothic" w:cs="Arial"/>
          <w:sz w:val="24"/>
          <w:lang w:val="en-AU" w:eastAsia="en-US"/>
        </w:rPr>
        <w:lastRenderedPageBreak/>
        <w:t>unethical</w:t>
      </w:r>
      <w:proofErr w:type="gramEnd"/>
      <w:r w:rsidRPr="00B52E32">
        <w:rPr>
          <w:rFonts w:ascii="Century Gothic" w:eastAsiaTheme="minorHAnsi" w:hAnsi="Century Gothic" w:cs="Arial"/>
          <w:sz w:val="24"/>
          <w:lang w:val="en-AU" w:eastAsia="en-US"/>
        </w:rPr>
        <w:t xml:space="preserve"> and psychologists would not remain registered if they were inappropriately inflating treatment needs of clients.</w:t>
      </w:r>
    </w:p>
    <w:p w14:paraId="30A9E85E" w14:textId="77777777" w:rsidR="002278DF" w:rsidRPr="00A1344D" w:rsidRDefault="002278DF" w:rsidP="002278DF">
      <w:pPr>
        <w:spacing w:after="0" w:line="240" w:lineRule="auto"/>
        <w:rPr>
          <w:rFonts w:ascii="Century Gothic" w:hAnsi="Century Gothic" w:cs="Arial"/>
          <w:sz w:val="24"/>
          <w:lang w:val="en-AU"/>
        </w:rPr>
      </w:pPr>
    </w:p>
    <w:p w14:paraId="01442A6E" w14:textId="6E30A7D2" w:rsidR="002278DF"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 xml:space="preserve">What makes this process the most accessible that it can be? For example, is it by holding the assessment in your home? </w:t>
      </w:r>
    </w:p>
    <w:p w14:paraId="5BA302F9" w14:textId="77777777" w:rsidR="0021412C" w:rsidRPr="00A1344D" w:rsidRDefault="0021412C" w:rsidP="0021412C">
      <w:pPr>
        <w:pStyle w:val="ListParagraph"/>
        <w:spacing w:after="0" w:line="240" w:lineRule="auto"/>
        <w:rPr>
          <w:rFonts w:ascii="Century Gothic" w:hAnsi="Century Gothic" w:cs="Arial"/>
          <w:b/>
          <w:bCs/>
          <w:sz w:val="24"/>
          <w:lang w:val="en-AU"/>
        </w:rPr>
      </w:pPr>
    </w:p>
    <w:p w14:paraId="2F1C6DFE" w14:textId="4006FD03" w:rsidR="002278DF" w:rsidRPr="00B52E32" w:rsidRDefault="002278DF" w:rsidP="00A7002F">
      <w:pPr>
        <w:spacing w:after="0" w:line="240" w:lineRule="auto"/>
        <w:ind w:left="360"/>
        <w:rPr>
          <w:rFonts w:ascii="Century Gothic" w:hAnsi="Century Gothic" w:cs="Arial"/>
          <w:sz w:val="24"/>
          <w:lang w:val="en-AU"/>
        </w:rPr>
      </w:pPr>
      <w:r w:rsidRPr="00B52E32">
        <w:rPr>
          <w:rFonts w:ascii="Century Gothic" w:hAnsi="Century Gothic" w:cs="Arial"/>
          <w:sz w:val="24"/>
          <w:lang w:val="en-AU"/>
        </w:rPr>
        <w:t>Being able to choose whether you participate in the assessment or not</w:t>
      </w:r>
      <w:r w:rsidR="00E43A59">
        <w:rPr>
          <w:rFonts w:ascii="Century Gothic" w:hAnsi="Century Gothic" w:cs="Arial"/>
          <w:sz w:val="24"/>
          <w:lang w:val="en-AU"/>
        </w:rPr>
        <w:t xml:space="preserve"> and </w:t>
      </w:r>
      <w:r w:rsidRPr="00B52E32">
        <w:rPr>
          <w:rFonts w:ascii="Century Gothic" w:hAnsi="Century Gothic" w:cs="Arial"/>
          <w:sz w:val="24"/>
          <w:lang w:val="en-AU"/>
        </w:rPr>
        <w:t>being able to choose a provider of your choice would be the most respectful and accessible option</w:t>
      </w:r>
      <w:r w:rsidR="00E43A59">
        <w:rPr>
          <w:rFonts w:ascii="Century Gothic" w:hAnsi="Century Gothic" w:cs="Arial"/>
          <w:sz w:val="24"/>
          <w:lang w:val="en-AU"/>
        </w:rPr>
        <w:t>. Being able</w:t>
      </w:r>
      <w:r w:rsidRPr="00B52E32">
        <w:rPr>
          <w:rFonts w:ascii="Century Gothic" w:hAnsi="Century Gothic" w:cs="Arial"/>
          <w:sz w:val="24"/>
          <w:lang w:val="en-AU"/>
        </w:rPr>
        <w:t xml:space="preserve"> to choose where the assessment is to take place</w:t>
      </w:r>
      <w:r w:rsidR="00E43A59">
        <w:rPr>
          <w:rFonts w:ascii="Century Gothic" w:hAnsi="Century Gothic" w:cs="Arial"/>
          <w:sz w:val="24"/>
          <w:lang w:val="en-AU"/>
        </w:rPr>
        <w:t xml:space="preserve"> is also important</w:t>
      </w:r>
      <w:r w:rsidRPr="00B52E32">
        <w:rPr>
          <w:rFonts w:ascii="Century Gothic" w:hAnsi="Century Gothic" w:cs="Arial"/>
          <w:sz w:val="24"/>
          <w:lang w:val="en-AU"/>
        </w:rPr>
        <w:t xml:space="preserve">. For some participants the requirement to participate in an independent assessment will cause extremely high levels of distress. They will not be able to participate fully in the assessment process due to their distress. Some participants with health vulnerabilities will not be safe to meet with unknown assessors due to the current COVID-19 pandemic. Many with such vulnerabilities are choosing to engage in therapeutic supports via telehealth and this needs to be an </w:t>
      </w:r>
      <w:r w:rsidR="00E43A59">
        <w:rPr>
          <w:rFonts w:ascii="Century Gothic" w:hAnsi="Century Gothic" w:cs="Arial"/>
          <w:sz w:val="24"/>
          <w:lang w:val="en-AU"/>
        </w:rPr>
        <w:t xml:space="preserve">available </w:t>
      </w:r>
      <w:r w:rsidRPr="00B52E32">
        <w:rPr>
          <w:rFonts w:ascii="Century Gothic" w:hAnsi="Century Gothic" w:cs="Arial"/>
          <w:sz w:val="24"/>
          <w:lang w:val="en-AU"/>
        </w:rPr>
        <w:t>option as well.</w:t>
      </w:r>
    </w:p>
    <w:p w14:paraId="70B46D4F" w14:textId="77777777" w:rsidR="002278DF" w:rsidRPr="00B52E32" w:rsidRDefault="002278DF" w:rsidP="002278DF">
      <w:pPr>
        <w:pStyle w:val="ListParagraph"/>
        <w:spacing w:after="0" w:line="240" w:lineRule="auto"/>
        <w:rPr>
          <w:rFonts w:ascii="Century Gothic" w:hAnsi="Century Gothic" w:cs="Arial"/>
          <w:sz w:val="24"/>
          <w:lang w:val="en-AU"/>
        </w:rPr>
      </w:pPr>
    </w:p>
    <w:p w14:paraId="54D25257" w14:textId="17B5E2A7" w:rsidR="002278DF"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 xml:space="preserve">How can we ensure independent assessments are delivered in a way that considers and promotes cultural safety and inclusion? </w:t>
      </w:r>
    </w:p>
    <w:p w14:paraId="37C4CC21" w14:textId="77777777" w:rsidR="0021412C" w:rsidRPr="00A1344D" w:rsidRDefault="0021412C" w:rsidP="0021412C">
      <w:pPr>
        <w:pStyle w:val="ListParagraph"/>
        <w:spacing w:after="0" w:line="240" w:lineRule="auto"/>
        <w:rPr>
          <w:rFonts w:ascii="Century Gothic" w:hAnsi="Century Gothic" w:cs="Arial"/>
          <w:b/>
          <w:bCs/>
          <w:sz w:val="24"/>
          <w:lang w:val="en-AU"/>
        </w:rPr>
      </w:pPr>
    </w:p>
    <w:p w14:paraId="23ADC5B9" w14:textId="672520DF" w:rsidR="002278DF" w:rsidRDefault="002278DF" w:rsidP="00A7002F">
      <w:pPr>
        <w:spacing w:after="0" w:line="240" w:lineRule="auto"/>
        <w:ind w:left="360"/>
        <w:rPr>
          <w:rFonts w:ascii="Century Gothic" w:hAnsi="Century Gothic" w:cs="Arial"/>
          <w:sz w:val="24"/>
          <w:lang w:val="en-AU"/>
        </w:rPr>
      </w:pPr>
      <w:r w:rsidRPr="00B52E32">
        <w:rPr>
          <w:rFonts w:ascii="Century Gothic" w:hAnsi="Century Gothic" w:cs="Arial"/>
          <w:sz w:val="24"/>
          <w:lang w:val="en-AU"/>
        </w:rPr>
        <w:t xml:space="preserve">Assessors </w:t>
      </w:r>
      <w:r>
        <w:rPr>
          <w:rFonts w:ascii="Century Gothic" w:hAnsi="Century Gothic" w:cs="Arial"/>
          <w:sz w:val="24"/>
          <w:lang w:val="en-AU"/>
        </w:rPr>
        <w:t xml:space="preserve">of their own choice or </w:t>
      </w:r>
      <w:r w:rsidRPr="00B52E32">
        <w:rPr>
          <w:rFonts w:ascii="Century Gothic" w:hAnsi="Century Gothic" w:cs="Arial"/>
          <w:sz w:val="24"/>
          <w:lang w:val="en-AU"/>
        </w:rPr>
        <w:t>from their own cultural group</w:t>
      </w:r>
      <w:r w:rsidR="00E43A59">
        <w:rPr>
          <w:rFonts w:ascii="Century Gothic" w:hAnsi="Century Gothic" w:cs="Arial"/>
          <w:sz w:val="24"/>
          <w:lang w:val="en-AU"/>
        </w:rPr>
        <w:t>;</w:t>
      </w:r>
      <w:r>
        <w:rPr>
          <w:rFonts w:ascii="Century Gothic" w:hAnsi="Century Gothic" w:cs="Arial"/>
          <w:sz w:val="24"/>
          <w:lang w:val="en-AU"/>
        </w:rPr>
        <w:t xml:space="preserve"> interpreters present during assessment</w:t>
      </w:r>
      <w:r w:rsidR="00E43A59">
        <w:rPr>
          <w:rFonts w:ascii="Century Gothic" w:hAnsi="Century Gothic" w:cs="Arial"/>
          <w:sz w:val="24"/>
          <w:lang w:val="en-AU"/>
        </w:rPr>
        <w:t>; and/</w:t>
      </w:r>
      <w:r>
        <w:rPr>
          <w:rFonts w:ascii="Century Gothic" w:hAnsi="Century Gothic" w:cs="Arial"/>
          <w:sz w:val="24"/>
          <w:lang w:val="en-AU"/>
        </w:rPr>
        <w:t>or an allowance for a support person from their own cultural group being present during assessment</w:t>
      </w:r>
      <w:r w:rsidR="00E43A59">
        <w:rPr>
          <w:rFonts w:ascii="Century Gothic" w:hAnsi="Century Gothic" w:cs="Arial"/>
          <w:sz w:val="24"/>
          <w:lang w:val="en-AU"/>
        </w:rPr>
        <w:t>,</w:t>
      </w:r>
      <w:r w:rsidRPr="00B52E32">
        <w:rPr>
          <w:rFonts w:ascii="Century Gothic" w:hAnsi="Century Gothic" w:cs="Arial"/>
          <w:sz w:val="24"/>
          <w:lang w:val="en-AU"/>
        </w:rPr>
        <w:t xml:space="preserve"> would be the most respectful option in these cases.</w:t>
      </w:r>
      <w:r>
        <w:rPr>
          <w:rFonts w:ascii="Century Gothic" w:hAnsi="Century Gothic" w:cs="Arial"/>
          <w:sz w:val="24"/>
          <w:lang w:val="en-AU"/>
        </w:rPr>
        <w:t xml:space="preserve"> Be mindful that some disability types may have their own identified community (</w:t>
      </w:r>
      <w:proofErr w:type="gramStart"/>
      <w:r>
        <w:rPr>
          <w:rFonts w:ascii="Century Gothic" w:hAnsi="Century Gothic" w:cs="Arial"/>
          <w:sz w:val="24"/>
          <w:lang w:val="en-AU"/>
        </w:rPr>
        <w:t>e.g.</w:t>
      </w:r>
      <w:proofErr w:type="gramEnd"/>
      <w:r>
        <w:rPr>
          <w:rFonts w:ascii="Century Gothic" w:hAnsi="Century Gothic" w:cs="Arial"/>
          <w:sz w:val="24"/>
          <w:lang w:val="en-AU"/>
        </w:rPr>
        <w:t xml:space="preserve"> deaf community and autistic community) and prefer their inclusion in th</w:t>
      </w:r>
      <w:r w:rsidR="00E43A59">
        <w:rPr>
          <w:rFonts w:ascii="Century Gothic" w:hAnsi="Century Gothic" w:cs="Arial"/>
          <w:sz w:val="24"/>
          <w:lang w:val="en-AU"/>
        </w:rPr>
        <w:t>is</w:t>
      </w:r>
      <w:r>
        <w:rPr>
          <w:rFonts w:ascii="Century Gothic" w:hAnsi="Century Gothic" w:cs="Arial"/>
          <w:sz w:val="24"/>
          <w:lang w:val="en-AU"/>
        </w:rPr>
        <w:t xml:space="preserve"> process.  </w:t>
      </w:r>
    </w:p>
    <w:p w14:paraId="1F30032D" w14:textId="77777777" w:rsidR="00934C2A" w:rsidRPr="00B52E32" w:rsidRDefault="00934C2A" w:rsidP="002278DF">
      <w:pPr>
        <w:spacing w:after="0" w:line="240" w:lineRule="auto"/>
        <w:ind w:left="720"/>
        <w:rPr>
          <w:rFonts w:ascii="Century Gothic" w:hAnsi="Century Gothic" w:cs="Arial"/>
          <w:sz w:val="24"/>
          <w:lang w:val="en-AU"/>
        </w:rPr>
      </w:pPr>
    </w:p>
    <w:p w14:paraId="5C87162F" w14:textId="77777777" w:rsidR="002278DF" w:rsidRPr="00B52E32" w:rsidRDefault="002278DF" w:rsidP="00A7002F">
      <w:pPr>
        <w:pStyle w:val="Heading5"/>
        <w:spacing w:before="0" w:after="0" w:line="240" w:lineRule="auto"/>
        <w:ind w:firstLine="360"/>
        <w:rPr>
          <w:rFonts w:ascii="Century Gothic" w:hAnsi="Century Gothic"/>
          <w:sz w:val="24"/>
          <w:lang w:val="en-AU"/>
        </w:rPr>
      </w:pPr>
      <w:r w:rsidRPr="00B52E32">
        <w:rPr>
          <w:rFonts w:ascii="Century Gothic" w:hAnsi="Century Gothic"/>
          <w:sz w:val="24"/>
        </w:rPr>
        <w:t>Exemptions</w:t>
      </w:r>
      <w:r w:rsidRPr="00B52E32">
        <w:rPr>
          <w:rFonts w:ascii="Century Gothic" w:hAnsi="Century Gothic"/>
          <w:sz w:val="24"/>
          <w:lang w:val="en-AU"/>
        </w:rPr>
        <w:t xml:space="preserve"> </w:t>
      </w:r>
    </w:p>
    <w:p w14:paraId="456AE9F5" w14:textId="13D7CEF4" w:rsidR="002278DF" w:rsidRDefault="002278DF" w:rsidP="002278DF">
      <w:pPr>
        <w:pStyle w:val="ListParagraph"/>
        <w:numPr>
          <w:ilvl w:val="0"/>
          <w:numId w:val="1"/>
        </w:numPr>
        <w:spacing w:after="0" w:line="240" w:lineRule="auto"/>
        <w:rPr>
          <w:rFonts w:ascii="Century Gothic" w:hAnsi="Century Gothic" w:cs="Arial"/>
          <w:b/>
          <w:bCs/>
          <w:sz w:val="24"/>
          <w:lang w:val="en-AU"/>
        </w:rPr>
      </w:pPr>
      <w:r w:rsidRPr="00A1344D">
        <w:rPr>
          <w:rFonts w:ascii="Century Gothic" w:hAnsi="Century Gothic" w:cs="Arial"/>
          <w:b/>
          <w:bCs/>
          <w:sz w:val="24"/>
          <w:lang w:val="en-AU"/>
        </w:rPr>
        <w:t xml:space="preserve">What are the limited circumstances which may lead to a person not needing to complete an independent assessment? </w:t>
      </w:r>
    </w:p>
    <w:p w14:paraId="592B2C9F" w14:textId="77777777" w:rsidR="0021412C" w:rsidRPr="00A1344D" w:rsidRDefault="0021412C" w:rsidP="0021412C">
      <w:pPr>
        <w:pStyle w:val="ListParagraph"/>
        <w:spacing w:after="0" w:line="240" w:lineRule="auto"/>
        <w:rPr>
          <w:rFonts w:ascii="Century Gothic" w:hAnsi="Century Gothic" w:cs="Arial"/>
          <w:b/>
          <w:bCs/>
          <w:sz w:val="24"/>
          <w:lang w:val="en-AU"/>
        </w:rPr>
      </w:pPr>
    </w:p>
    <w:p w14:paraId="1CB85A53" w14:textId="1D106079" w:rsidR="002278DF" w:rsidRDefault="006F5B37" w:rsidP="00E43A59">
      <w:pPr>
        <w:spacing w:after="0" w:line="240" w:lineRule="auto"/>
        <w:ind w:left="360"/>
        <w:rPr>
          <w:rFonts w:ascii="Century Gothic" w:hAnsi="Century Gothic" w:cs="Arial"/>
          <w:sz w:val="24"/>
          <w:lang w:val="en-AU"/>
        </w:rPr>
      </w:pPr>
      <w:r>
        <w:rPr>
          <w:rFonts w:ascii="Century Gothic" w:hAnsi="Century Gothic" w:cs="Arial"/>
          <w:sz w:val="24"/>
          <w:lang w:val="en-AU"/>
        </w:rPr>
        <w:t>Participants with communication difficulties will likely need</w:t>
      </w:r>
      <w:r w:rsidR="00A7002F">
        <w:rPr>
          <w:rFonts w:ascii="Century Gothic" w:hAnsi="Century Gothic" w:cs="Arial"/>
          <w:sz w:val="24"/>
          <w:lang w:val="en-AU"/>
        </w:rPr>
        <w:t xml:space="preserve"> </w:t>
      </w:r>
      <w:r w:rsidR="002278DF" w:rsidRPr="00A7002F">
        <w:rPr>
          <w:rFonts w:ascii="Century Gothic" w:hAnsi="Century Gothic" w:cs="Arial"/>
          <w:sz w:val="24"/>
          <w:lang w:val="en-AU"/>
        </w:rPr>
        <w:t xml:space="preserve">access to assistive technology during </w:t>
      </w:r>
      <w:r>
        <w:rPr>
          <w:rFonts w:ascii="Century Gothic" w:hAnsi="Century Gothic" w:cs="Arial"/>
          <w:sz w:val="24"/>
          <w:lang w:val="en-AU"/>
        </w:rPr>
        <w:t xml:space="preserve">the </w:t>
      </w:r>
      <w:r w:rsidR="002278DF" w:rsidRPr="00A7002F">
        <w:rPr>
          <w:rFonts w:ascii="Century Gothic" w:hAnsi="Century Gothic" w:cs="Arial"/>
          <w:sz w:val="24"/>
          <w:lang w:val="en-AU"/>
        </w:rPr>
        <w:t xml:space="preserve">assessment </w:t>
      </w:r>
      <w:r>
        <w:rPr>
          <w:rFonts w:ascii="Century Gothic" w:hAnsi="Century Gothic" w:cs="Arial"/>
          <w:sz w:val="24"/>
          <w:lang w:val="en-AU"/>
        </w:rPr>
        <w:t>process. For some individuals, they may be unable to participate meaningfully in the assessment process.</w:t>
      </w:r>
      <w:r w:rsidR="0021412C">
        <w:rPr>
          <w:rFonts w:ascii="Century Gothic" w:hAnsi="Century Gothic" w:cs="Arial"/>
          <w:sz w:val="24"/>
          <w:lang w:val="en-AU"/>
        </w:rPr>
        <w:t xml:space="preserve"> </w:t>
      </w:r>
      <w:r w:rsidR="002278DF" w:rsidRPr="00A7002F">
        <w:rPr>
          <w:rFonts w:ascii="Century Gothic" w:hAnsi="Century Gothic" w:cs="Arial"/>
          <w:sz w:val="24"/>
          <w:lang w:val="en-AU"/>
        </w:rPr>
        <w:t xml:space="preserve">This needs to be interpreted as an inability to participate rather than a refusal to participate, although it may look like the latter if the individual is distressed by the process. </w:t>
      </w:r>
      <w:r w:rsidR="0021412C">
        <w:rPr>
          <w:rFonts w:ascii="Century Gothic" w:hAnsi="Century Gothic" w:cs="Arial"/>
          <w:sz w:val="24"/>
          <w:lang w:val="en-AU"/>
        </w:rPr>
        <w:t>T</w:t>
      </w:r>
      <w:r w:rsidR="002278DF" w:rsidRPr="00A7002F">
        <w:rPr>
          <w:rFonts w:ascii="Century Gothic" w:hAnsi="Century Gothic" w:cs="Arial"/>
          <w:sz w:val="24"/>
          <w:lang w:val="en-AU"/>
        </w:rPr>
        <w:t>his requires a high level of disability specific knowledge and experience to navigate from an assessment perspective. Their treatment provider may need to be present during the assessment to facilitate assessment and even then</w:t>
      </w:r>
      <w:r w:rsidR="0021412C">
        <w:rPr>
          <w:rFonts w:ascii="Century Gothic" w:hAnsi="Century Gothic" w:cs="Arial"/>
          <w:sz w:val="24"/>
          <w:lang w:val="en-AU"/>
        </w:rPr>
        <w:t>,</w:t>
      </w:r>
      <w:r w:rsidR="002278DF" w:rsidRPr="00A7002F">
        <w:rPr>
          <w:rFonts w:ascii="Century Gothic" w:hAnsi="Century Gothic" w:cs="Arial"/>
          <w:sz w:val="24"/>
          <w:lang w:val="en-AU"/>
        </w:rPr>
        <w:t xml:space="preserve"> the individual may not be able to participate.</w:t>
      </w:r>
    </w:p>
    <w:p w14:paraId="3C77F0B4" w14:textId="77777777" w:rsidR="006F5B37" w:rsidRPr="00A7002F" w:rsidRDefault="006F5B37" w:rsidP="00A7002F">
      <w:pPr>
        <w:spacing w:after="0" w:line="240" w:lineRule="auto"/>
        <w:ind w:left="360"/>
        <w:rPr>
          <w:rFonts w:ascii="Century Gothic" w:hAnsi="Century Gothic" w:cs="Arial"/>
          <w:sz w:val="24"/>
          <w:lang w:val="en-AU"/>
        </w:rPr>
      </w:pPr>
    </w:p>
    <w:p w14:paraId="676DED3A" w14:textId="4416E252" w:rsidR="002278DF" w:rsidRDefault="002278DF" w:rsidP="00A7002F">
      <w:pPr>
        <w:spacing w:after="0" w:line="240" w:lineRule="auto"/>
        <w:ind w:left="360"/>
        <w:rPr>
          <w:rFonts w:ascii="Century Gothic" w:eastAsiaTheme="minorHAnsi" w:hAnsi="Century Gothic"/>
          <w:sz w:val="24"/>
          <w:lang w:val="en-AU" w:eastAsia="en-US"/>
        </w:rPr>
      </w:pPr>
      <w:r w:rsidRPr="00B52E32">
        <w:rPr>
          <w:rFonts w:ascii="Century Gothic" w:eastAsiaTheme="minorHAnsi" w:hAnsi="Century Gothic"/>
          <w:sz w:val="24"/>
          <w:lang w:val="en-AU" w:eastAsia="en-US"/>
        </w:rPr>
        <w:lastRenderedPageBreak/>
        <w:t>Participants should be given the power to choose to either undergo the ‘independent assessment’ process or use reports from their trusted allied health providers. People living with disabilities are often subjected to the prejudice and quick judgement of others, as well as loss of control and choice (a central tenet of the NDIS). This change cements that experience for participants. It takes away the participant’s right to have a tailored assessment and treatment program to improve their function and achieve goals of their choice.</w:t>
      </w:r>
    </w:p>
    <w:p w14:paraId="04CB6033" w14:textId="77777777" w:rsidR="00934C2A" w:rsidRPr="00B52E32" w:rsidRDefault="00934C2A" w:rsidP="002278DF">
      <w:pPr>
        <w:spacing w:after="0" w:line="240" w:lineRule="auto"/>
        <w:ind w:left="720"/>
        <w:rPr>
          <w:rFonts w:ascii="Century Gothic" w:hAnsi="Century Gothic" w:cs="Arial"/>
          <w:sz w:val="24"/>
          <w:lang w:val="en-AU"/>
        </w:rPr>
      </w:pPr>
    </w:p>
    <w:p w14:paraId="7F32CA6B" w14:textId="77777777" w:rsidR="002278DF" w:rsidRPr="00B52E32" w:rsidRDefault="002278DF" w:rsidP="00A7002F">
      <w:pPr>
        <w:pStyle w:val="Heading5"/>
        <w:spacing w:before="0" w:after="0" w:line="240" w:lineRule="auto"/>
        <w:ind w:firstLine="360"/>
        <w:rPr>
          <w:rFonts w:ascii="Century Gothic" w:hAnsi="Century Gothic"/>
          <w:sz w:val="24"/>
          <w:lang w:val="en-AU"/>
        </w:rPr>
      </w:pPr>
      <w:r w:rsidRPr="00B52E32">
        <w:rPr>
          <w:rFonts w:ascii="Century Gothic" w:hAnsi="Century Gothic"/>
          <w:sz w:val="24"/>
          <w:lang w:val="en-AU"/>
        </w:rPr>
        <w:t xml:space="preserve">Quality assurance </w:t>
      </w:r>
    </w:p>
    <w:p w14:paraId="5A8C70D7" w14:textId="77777777" w:rsidR="002278DF" w:rsidRPr="002278DF" w:rsidRDefault="002278DF" w:rsidP="002278DF">
      <w:pPr>
        <w:pStyle w:val="ListParagraph"/>
        <w:numPr>
          <w:ilvl w:val="0"/>
          <w:numId w:val="1"/>
        </w:numPr>
        <w:spacing w:after="0" w:line="240" w:lineRule="auto"/>
        <w:rPr>
          <w:rFonts w:ascii="Century Gothic" w:hAnsi="Century Gothic" w:cs="Arial"/>
          <w:b/>
          <w:bCs/>
          <w:sz w:val="24"/>
          <w:lang w:val="en-AU"/>
        </w:rPr>
      </w:pPr>
      <w:r w:rsidRPr="002278DF">
        <w:rPr>
          <w:rFonts w:ascii="Century Gothic" w:hAnsi="Century Gothic" w:cs="Arial"/>
          <w:b/>
          <w:bCs/>
          <w:sz w:val="24"/>
          <w:lang w:val="en-AU"/>
        </w:rPr>
        <w:t xml:space="preserve">How can we best monitor the quality of independent assessments being delivered and ensure the process is meeting participant expectations? </w:t>
      </w:r>
    </w:p>
    <w:p w14:paraId="58D1DF9D" w14:textId="77777777" w:rsidR="002278DF" w:rsidRDefault="002278DF" w:rsidP="002278DF">
      <w:pPr>
        <w:pStyle w:val="ListParagraph"/>
        <w:spacing w:after="0" w:line="240" w:lineRule="auto"/>
        <w:rPr>
          <w:rFonts w:ascii="Century Gothic" w:hAnsi="Century Gothic" w:cs="Arial"/>
          <w:sz w:val="24"/>
          <w:lang w:val="en-AU"/>
        </w:rPr>
      </w:pPr>
    </w:p>
    <w:p w14:paraId="067C7F60" w14:textId="40A86BE0" w:rsidR="002278DF" w:rsidRDefault="002278DF" w:rsidP="00A7002F">
      <w:pPr>
        <w:spacing w:after="0" w:line="240" w:lineRule="auto"/>
        <w:ind w:left="360"/>
        <w:rPr>
          <w:rFonts w:ascii="Century Gothic" w:eastAsiaTheme="minorHAnsi" w:hAnsi="Century Gothic"/>
          <w:sz w:val="24"/>
          <w:lang w:val="en-AU" w:eastAsia="en-US"/>
        </w:rPr>
      </w:pPr>
      <w:r>
        <w:rPr>
          <w:rFonts w:ascii="Century Gothic" w:hAnsi="Century Gothic" w:cs="Arial"/>
          <w:sz w:val="24"/>
          <w:lang w:val="en-AU"/>
        </w:rPr>
        <w:t xml:space="preserve">We do not support Independent Assessments being mandatory. </w:t>
      </w:r>
      <w:r w:rsidRPr="00B52E32">
        <w:rPr>
          <w:rFonts w:ascii="Century Gothic" w:eastAsiaTheme="minorHAnsi" w:hAnsi="Century Gothic"/>
          <w:sz w:val="24"/>
          <w:lang w:val="en-AU" w:eastAsia="en-US"/>
        </w:rPr>
        <w:t xml:space="preserve">Allied health professionals appreciate that it takes a considerable amount of time to understand an individual’s specific disability and support needs. These practitioners have taken the time to build rapport and trust with participants before discussing personal issues and their complex disability-related needs. Other areas such as communication difficulties and sensory differences can also impact on the quality of the assessment process.  </w:t>
      </w:r>
    </w:p>
    <w:p w14:paraId="712F4A95" w14:textId="77777777" w:rsidR="002278DF" w:rsidRDefault="002278DF" w:rsidP="002278DF">
      <w:pPr>
        <w:spacing w:after="0" w:line="240" w:lineRule="auto"/>
        <w:ind w:left="360"/>
        <w:rPr>
          <w:rFonts w:ascii="Century Gothic" w:eastAsiaTheme="minorHAnsi" w:hAnsi="Century Gothic"/>
          <w:sz w:val="24"/>
          <w:lang w:val="en-AU" w:eastAsia="en-US"/>
        </w:rPr>
      </w:pPr>
    </w:p>
    <w:p w14:paraId="30A92964" w14:textId="77777777" w:rsidR="002278DF" w:rsidRPr="00B52E32" w:rsidRDefault="002278DF" w:rsidP="002278DF">
      <w:pPr>
        <w:pStyle w:val="ListParagraph"/>
        <w:spacing w:after="0" w:line="240" w:lineRule="auto"/>
        <w:rPr>
          <w:rFonts w:ascii="Century Gothic" w:hAnsi="Century Gothic" w:cs="Arial"/>
          <w:sz w:val="24"/>
          <w:lang w:val="en-AU"/>
        </w:rPr>
      </w:pPr>
    </w:p>
    <w:p w14:paraId="64A5B8FE" w14:textId="77777777" w:rsidR="002278DF" w:rsidRPr="00B52E32" w:rsidRDefault="002278DF" w:rsidP="00A7002F">
      <w:pPr>
        <w:pStyle w:val="Heading5"/>
        <w:spacing w:before="0" w:after="0" w:line="240" w:lineRule="auto"/>
        <w:ind w:firstLine="360"/>
        <w:rPr>
          <w:rFonts w:ascii="Century Gothic" w:hAnsi="Century Gothic"/>
          <w:sz w:val="24"/>
          <w:lang w:val="en-AU"/>
        </w:rPr>
      </w:pPr>
      <w:r w:rsidRPr="00B52E32">
        <w:rPr>
          <w:rFonts w:ascii="Century Gothic" w:hAnsi="Century Gothic"/>
          <w:sz w:val="24"/>
          <w:lang w:val="en-AU"/>
        </w:rPr>
        <w:t xml:space="preserve">Communications and </w:t>
      </w:r>
      <w:r w:rsidRPr="00B52E32">
        <w:rPr>
          <w:rFonts w:ascii="Century Gothic" w:hAnsi="Century Gothic"/>
          <w:sz w:val="24"/>
        </w:rPr>
        <w:t>accessibility</w:t>
      </w:r>
      <w:r w:rsidRPr="00B52E32">
        <w:rPr>
          <w:rFonts w:ascii="Century Gothic" w:hAnsi="Century Gothic"/>
          <w:sz w:val="24"/>
          <w:lang w:val="en-AU"/>
        </w:rPr>
        <w:t xml:space="preserve"> of information </w:t>
      </w:r>
    </w:p>
    <w:p w14:paraId="44B6D60B" w14:textId="77777777" w:rsidR="002278DF" w:rsidRPr="002278DF" w:rsidRDefault="002278DF" w:rsidP="002278DF">
      <w:pPr>
        <w:pStyle w:val="ListParagraph"/>
        <w:numPr>
          <w:ilvl w:val="0"/>
          <w:numId w:val="1"/>
        </w:numPr>
        <w:spacing w:after="0" w:line="240" w:lineRule="auto"/>
        <w:rPr>
          <w:rFonts w:ascii="Century Gothic" w:hAnsi="Century Gothic" w:cs="Arial"/>
          <w:b/>
          <w:bCs/>
          <w:sz w:val="24"/>
          <w:lang w:val="en-AU"/>
        </w:rPr>
      </w:pPr>
      <w:r w:rsidRPr="002278DF">
        <w:rPr>
          <w:rFonts w:ascii="Century Gothic" w:hAnsi="Century Gothic" w:cs="Arial"/>
          <w:b/>
          <w:bCs/>
          <w:sz w:val="24"/>
          <w:lang w:val="en-AU"/>
        </w:rPr>
        <w:t xml:space="preserve">How should we provide the assessment results to the person applying for the NDIS? </w:t>
      </w:r>
    </w:p>
    <w:p w14:paraId="353E41CF" w14:textId="77777777" w:rsidR="002278DF" w:rsidRPr="00B52E32" w:rsidRDefault="002278DF" w:rsidP="002278DF">
      <w:pPr>
        <w:pStyle w:val="ListParagraph"/>
        <w:spacing w:after="0" w:line="240" w:lineRule="auto"/>
        <w:rPr>
          <w:rFonts w:ascii="Century Gothic" w:hAnsi="Century Gothic" w:cs="Arial"/>
          <w:sz w:val="24"/>
          <w:lang w:val="en-AU"/>
        </w:rPr>
      </w:pPr>
    </w:p>
    <w:p w14:paraId="306F6590" w14:textId="20DC5B54" w:rsidR="002278DF" w:rsidRPr="00A7002F" w:rsidRDefault="002278DF" w:rsidP="00A7002F">
      <w:pPr>
        <w:spacing w:after="0" w:line="240" w:lineRule="auto"/>
        <w:ind w:left="360"/>
        <w:rPr>
          <w:rFonts w:ascii="Century Gothic" w:hAnsi="Century Gothic" w:cs="Arial"/>
          <w:sz w:val="24"/>
          <w:lang w:val="en-AU"/>
        </w:rPr>
      </w:pPr>
      <w:r w:rsidRPr="00A7002F">
        <w:rPr>
          <w:rFonts w:ascii="Century Gothic" w:hAnsi="Century Gothic" w:cs="Arial"/>
          <w:sz w:val="24"/>
          <w:lang w:val="en-AU"/>
        </w:rPr>
        <w:t>In every other service, particularly health and disability services, the client has the right to access their records unless doing so would be harmful to their health and well-being.</w:t>
      </w:r>
      <w:r w:rsidR="0021412C">
        <w:rPr>
          <w:rFonts w:ascii="Century Gothic" w:hAnsi="Century Gothic" w:cs="Arial"/>
          <w:sz w:val="24"/>
          <w:lang w:val="en-AU"/>
        </w:rPr>
        <w:t xml:space="preserve"> </w:t>
      </w:r>
      <w:r w:rsidRPr="00A7002F">
        <w:rPr>
          <w:rFonts w:ascii="Century Gothic" w:hAnsi="Century Gothic" w:cs="Arial"/>
          <w:sz w:val="24"/>
          <w:lang w:val="en-AU"/>
        </w:rPr>
        <w:t>This should also apply to assessment results.</w:t>
      </w:r>
      <w:r w:rsidR="0021412C">
        <w:rPr>
          <w:rFonts w:ascii="Century Gothic" w:hAnsi="Century Gothic" w:cs="Arial"/>
          <w:sz w:val="24"/>
          <w:lang w:val="en-AU"/>
        </w:rPr>
        <w:t xml:space="preserve"> </w:t>
      </w:r>
      <w:r w:rsidRPr="00A7002F">
        <w:rPr>
          <w:rFonts w:ascii="Century Gothic" w:hAnsi="Century Gothic" w:cs="Arial"/>
          <w:sz w:val="24"/>
          <w:lang w:val="en-AU"/>
        </w:rPr>
        <w:t xml:space="preserve">If the assessor considers that the participant or applicant needs to be supported to understand their results they should be provided with that support in </w:t>
      </w:r>
      <w:r w:rsidR="008553C1">
        <w:rPr>
          <w:rFonts w:ascii="Century Gothic" w:hAnsi="Century Gothic" w:cs="Arial"/>
          <w:sz w:val="24"/>
          <w:lang w:val="en-AU"/>
        </w:rPr>
        <w:t xml:space="preserve">a </w:t>
      </w:r>
      <w:r w:rsidRPr="00A7002F">
        <w:rPr>
          <w:rFonts w:ascii="Century Gothic" w:hAnsi="Century Gothic" w:cs="Arial"/>
          <w:sz w:val="24"/>
          <w:lang w:val="en-AU"/>
        </w:rPr>
        <w:t xml:space="preserve">timely manner and with the support that they request.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2278DF" w:rsidRPr="00A7002F" w:rsidSect="00934C2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82D5" w14:textId="77777777" w:rsidR="00E555C5" w:rsidRDefault="00E555C5" w:rsidP="00934C2A">
      <w:pPr>
        <w:spacing w:after="0" w:line="240" w:lineRule="auto"/>
      </w:pPr>
      <w:r>
        <w:separator/>
      </w:r>
    </w:p>
  </w:endnote>
  <w:endnote w:type="continuationSeparator" w:id="0">
    <w:p w14:paraId="51A0E78E" w14:textId="77777777" w:rsidR="00E555C5" w:rsidRDefault="00E555C5" w:rsidP="0093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Body CS)">
    <w:altName w:val="Times New Roman"/>
    <w:charset w:val="00"/>
    <w:family w:val="roman"/>
    <w:pitch w:val="default"/>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CF41" w14:textId="77777777" w:rsidR="00E555C5" w:rsidRDefault="00E555C5" w:rsidP="00934C2A">
      <w:pPr>
        <w:spacing w:after="0" w:line="240" w:lineRule="auto"/>
      </w:pPr>
      <w:r>
        <w:separator/>
      </w:r>
    </w:p>
  </w:footnote>
  <w:footnote w:type="continuationSeparator" w:id="0">
    <w:p w14:paraId="43735CBD" w14:textId="77777777" w:rsidR="00E555C5" w:rsidRDefault="00E555C5" w:rsidP="0093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3566" w14:textId="03770005" w:rsidR="00934C2A" w:rsidRDefault="00934C2A" w:rsidP="00934C2A">
    <w:pPr>
      <w:pStyle w:val="Header"/>
      <w:jc w:val="right"/>
    </w:pPr>
    <w:r>
      <w:rPr>
        <w:noProof/>
      </w:rPr>
      <w:drawing>
        <wp:inline distT="0" distB="0" distL="0" distR="0" wp14:anchorId="07487F22" wp14:editId="0655FF11">
          <wp:extent cx="1623680" cy="984298"/>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7132" cy="992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4FBF"/>
    <w:multiLevelType w:val="hybridMultilevel"/>
    <w:tmpl w:val="456CD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321012"/>
    <w:multiLevelType w:val="multilevel"/>
    <w:tmpl w:val="506E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04A98"/>
    <w:multiLevelType w:val="multilevel"/>
    <w:tmpl w:val="EF9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20983"/>
    <w:multiLevelType w:val="multilevel"/>
    <w:tmpl w:val="45C2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07402C"/>
    <w:multiLevelType w:val="multilevel"/>
    <w:tmpl w:val="362E0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B2495"/>
    <w:multiLevelType w:val="multilevel"/>
    <w:tmpl w:val="2B12C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2C3E98"/>
    <w:multiLevelType w:val="multilevel"/>
    <w:tmpl w:val="2714A562"/>
    <w:lvl w:ilvl="0">
      <w:start w:val="1"/>
      <w:numFmt w:val="decimal"/>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pStyle w:val="Heading4"/>
      <w:lvlText w:val="%1.%2.%3"/>
      <w:lvlJc w:val="left"/>
      <w:pPr>
        <w:ind w:left="45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68E8523D"/>
    <w:multiLevelType w:val="multilevel"/>
    <w:tmpl w:val="5B368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DQysDQyNzAwNzRW0lEKTi0uzszPAykwqQUAu8NqjiwAAAA="/>
  </w:docVars>
  <w:rsids>
    <w:rsidRoot w:val="00B42DFE"/>
    <w:rsid w:val="00041BBB"/>
    <w:rsid w:val="00047F4C"/>
    <w:rsid w:val="000C75E6"/>
    <w:rsid w:val="00154024"/>
    <w:rsid w:val="001E33A6"/>
    <w:rsid w:val="00207B65"/>
    <w:rsid w:val="0021412C"/>
    <w:rsid w:val="002278DF"/>
    <w:rsid w:val="00304A58"/>
    <w:rsid w:val="00417E98"/>
    <w:rsid w:val="005814AE"/>
    <w:rsid w:val="00585D4B"/>
    <w:rsid w:val="005D0F30"/>
    <w:rsid w:val="00666EFF"/>
    <w:rsid w:val="006C4948"/>
    <w:rsid w:val="006F5B37"/>
    <w:rsid w:val="00711BC5"/>
    <w:rsid w:val="007225CA"/>
    <w:rsid w:val="00747220"/>
    <w:rsid w:val="0081308A"/>
    <w:rsid w:val="00823B45"/>
    <w:rsid w:val="008553C1"/>
    <w:rsid w:val="008E7ABC"/>
    <w:rsid w:val="00934C2A"/>
    <w:rsid w:val="00A1344D"/>
    <w:rsid w:val="00A54B8F"/>
    <w:rsid w:val="00A7002F"/>
    <w:rsid w:val="00B42DFE"/>
    <w:rsid w:val="00B52E32"/>
    <w:rsid w:val="00B85685"/>
    <w:rsid w:val="00C000E8"/>
    <w:rsid w:val="00C12C15"/>
    <w:rsid w:val="00CA4B78"/>
    <w:rsid w:val="00D37C4B"/>
    <w:rsid w:val="00DF0D0D"/>
    <w:rsid w:val="00E232F1"/>
    <w:rsid w:val="00E43A59"/>
    <w:rsid w:val="00E555C5"/>
    <w:rsid w:val="00E56598"/>
    <w:rsid w:val="00F04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175AE"/>
  <w15:chartTrackingRefBased/>
  <w15:docId w15:val="{3A9314B8-0DD5-4BD2-86F3-EF210353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FE"/>
    <w:pPr>
      <w:spacing w:after="200" w:line="288" w:lineRule="auto"/>
    </w:pPr>
    <w:rPr>
      <w:rFonts w:ascii="Arial" w:eastAsiaTheme="minorEastAsia" w:hAnsi="Arial"/>
      <w:szCs w:val="24"/>
      <w:lang w:val="en-US" w:eastAsia="ja-JP"/>
    </w:rPr>
  </w:style>
  <w:style w:type="paragraph" w:styleId="Heading1">
    <w:name w:val="heading 1"/>
    <w:basedOn w:val="Normal"/>
    <w:next w:val="Normal"/>
    <w:link w:val="Heading1Char"/>
    <w:uiPriority w:val="9"/>
    <w:qFormat/>
    <w:rsid w:val="00227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DFE"/>
    <w:pPr>
      <w:spacing w:before="200" w:after="240"/>
      <w:outlineLvl w:val="1"/>
    </w:pPr>
    <w:rPr>
      <w:rFonts w:eastAsiaTheme="majorEastAsia" w:cstheme="majorBidi"/>
      <w:bCs/>
      <w:color w:val="C5276D"/>
      <w:sz w:val="44"/>
      <w:szCs w:val="26"/>
    </w:rPr>
  </w:style>
  <w:style w:type="paragraph" w:styleId="Heading4">
    <w:name w:val="heading 4"/>
    <w:basedOn w:val="Normal"/>
    <w:next w:val="Normal"/>
    <w:link w:val="Heading4Char"/>
    <w:autoRedefine/>
    <w:uiPriority w:val="9"/>
    <w:unhideWhenUsed/>
    <w:qFormat/>
    <w:rsid w:val="00B42DFE"/>
    <w:pPr>
      <w:numPr>
        <w:ilvl w:val="2"/>
        <w:numId w:val="2"/>
      </w:numPr>
      <w:shd w:val="clear" w:color="auto" w:fill="EFD1D7"/>
      <w:spacing w:before="360" w:after="180"/>
      <w:ind w:left="0" w:hanging="11"/>
      <w:outlineLvl w:val="3"/>
    </w:pPr>
    <w:rPr>
      <w:rFonts w:cs="Times New Roman (Body CS)"/>
      <w:color w:val="000000"/>
      <w:sz w:val="24"/>
      <w:shd w:val="clear" w:color="auto" w:fill="FFFFFF"/>
    </w:rPr>
  </w:style>
  <w:style w:type="paragraph" w:styleId="Heading5">
    <w:name w:val="heading 5"/>
    <w:basedOn w:val="Normal"/>
    <w:next w:val="Normal"/>
    <w:link w:val="Heading5Char"/>
    <w:uiPriority w:val="9"/>
    <w:unhideWhenUsed/>
    <w:qFormat/>
    <w:rsid w:val="00B42DFE"/>
    <w:pPr>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DFE"/>
    <w:rPr>
      <w:rFonts w:ascii="Arial" w:eastAsiaTheme="majorEastAsia" w:hAnsi="Arial" w:cstheme="majorBidi"/>
      <w:bCs/>
      <w:color w:val="C5276D"/>
      <w:sz w:val="44"/>
      <w:szCs w:val="26"/>
      <w:lang w:val="en-US" w:eastAsia="ja-JP"/>
    </w:rPr>
  </w:style>
  <w:style w:type="character" w:customStyle="1" w:styleId="Heading4Char">
    <w:name w:val="Heading 4 Char"/>
    <w:basedOn w:val="DefaultParagraphFont"/>
    <w:link w:val="Heading4"/>
    <w:uiPriority w:val="9"/>
    <w:rsid w:val="00B42DFE"/>
    <w:rPr>
      <w:rFonts w:ascii="Arial" w:eastAsiaTheme="minorEastAsia" w:hAnsi="Arial" w:cs="Times New Roman (Body CS)"/>
      <w:color w:val="000000"/>
      <w:sz w:val="24"/>
      <w:szCs w:val="24"/>
      <w:shd w:val="clear" w:color="auto" w:fill="EFD1D7"/>
      <w:lang w:val="en-US" w:eastAsia="ja-JP"/>
    </w:rPr>
  </w:style>
  <w:style w:type="character" w:customStyle="1" w:styleId="Heading5Char">
    <w:name w:val="Heading 5 Char"/>
    <w:basedOn w:val="DefaultParagraphFont"/>
    <w:link w:val="Heading5"/>
    <w:uiPriority w:val="9"/>
    <w:rsid w:val="00B42DFE"/>
    <w:rPr>
      <w:rFonts w:ascii="Arial" w:eastAsiaTheme="minorEastAsia" w:hAnsi="Arial"/>
      <w:b/>
      <w:szCs w:val="24"/>
      <w:lang w:val="en-US"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B42DFE"/>
    <w:pPr>
      <w:ind w:left="720"/>
      <w:contextualSpacing/>
    </w:p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B42DFE"/>
    <w:rPr>
      <w:rFonts w:ascii="Arial" w:eastAsiaTheme="minorEastAsia" w:hAnsi="Arial"/>
      <w:szCs w:val="24"/>
      <w:lang w:val="en-US" w:eastAsia="ja-JP"/>
    </w:rPr>
  </w:style>
  <w:style w:type="character" w:styleId="Emphasis">
    <w:name w:val="Emphasis"/>
    <w:uiPriority w:val="20"/>
    <w:qFormat/>
    <w:rsid w:val="00B42DFE"/>
    <w:rPr>
      <w:b/>
      <w:bCs/>
      <w:i/>
      <w:iCs/>
      <w:color w:val="63256D"/>
      <w:spacing w:val="10"/>
      <w:bdr w:val="none" w:sz="0" w:space="0" w:color="auto"/>
      <w:shd w:val="clear" w:color="auto" w:fill="auto"/>
    </w:rPr>
  </w:style>
  <w:style w:type="paragraph" w:customStyle="1" w:styleId="H1">
    <w:name w:val="H1"/>
    <w:basedOn w:val="Normal"/>
    <w:qFormat/>
    <w:rsid w:val="00B42DFE"/>
    <w:pPr>
      <w:outlineLvl w:val="0"/>
    </w:pPr>
    <w:rPr>
      <w:rFonts w:cs="Arial"/>
      <w:b/>
      <w:noProof/>
      <w:color w:val="FFFFFF" w:themeColor="background1"/>
      <w:sz w:val="56"/>
      <w:szCs w:val="44"/>
      <w:lang w:val="en-AU" w:eastAsia="en-AU"/>
    </w:rPr>
  </w:style>
  <w:style w:type="paragraph" w:styleId="BalloonText">
    <w:name w:val="Balloon Text"/>
    <w:basedOn w:val="Normal"/>
    <w:link w:val="BalloonTextChar"/>
    <w:uiPriority w:val="99"/>
    <w:semiHidden/>
    <w:unhideWhenUsed/>
    <w:rsid w:val="00B85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85"/>
    <w:rPr>
      <w:rFonts w:ascii="Segoe UI" w:eastAsiaTheme="minorEastAsia" w:hAnsi="Segoe UI" w:cs="Segoe UI"/>
      <w:sz w:val="18"/>
      <w:szCs w:val="18"/>
      <w:lang w:val="en-US" w:eastAsia="ja-JP"/>
    </w:rPr>
  </w:style>
  <w:style w:type="character" w:styleId="CommentReference">
    <w:name w:val="annotation reference"/>
    <w:basedOn w:val="DefaultParagraphFont"/>
    <w:uiPriority w:val="99"/>
    <w:semiHidden/>
    <w:unhideWhenUsed/>
    <w:rsid w:val="00711BC5"/>
    <w:rPr>
      <w:sz w:val="16"/>
      <w:szCs w:val="16"/>
    </w:rPr>
  </w:style>
  <w:style w:type="paragraph" w:styleId="CommentText">
    <w:name w:val="annotation text"/>
    <w:basedOn w:val="Normal"/>
    <w:link w:val="CommentTextChar"/>
    <w:uiPriority w:val="99"/>
    <w:semiHidden/>
    <w:unhideWhenUsed/>
    <w:rsid w:val="00711BC5"/>
    <w:pPr>
      <w:spacing w:after="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semiHidden/>
    <w:rsid w:val="00711BC5"/>
    <w:rPr>
      <w:sz w:val="20"/>
      <w:szCs w:val="20"/>
    </w:rPr>
  </w:style>
  <w:style w:type="paragraph" w:styleId="CommentSubject">
    <w:name w:val="annotation subject"/>
    <w:basedOn w:val="CommentText"/>
    <w:next w:val="CommentText"/>
    <w:link w:val="CommentSubjectChar"/>
    <w:uiPriority w:val="99"/>
    <w:semiHidden/>
    <w:unhideWhenUsed/>
    <w:rsid w:val="00CA4B78"/>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CA4B78"/>
    <w:rPr>
      <w:rFonts w:ascii="Arial" w:eastAsiaTheme="minorEastAsia" w:hAnsi="Arial"/>
      <w:b/>
      <w:bCs/>
      <w:sz w:val="20"/>
      <w:szCs w:val="20"/>
      <w:lang w:val="en-US" w:eastAsia="ja-JP"/>
    </w:rPr>
  </w:style>
  <w:style w:type="character" w:customStyle="1" w:styleId="Heading1Char">
    <w:name w:val="Heading 1 Char"/>
    <w:basedOn w:val="DefaultParagraphFont"/>
    <w:link w:val="Heading1"/>
    <w:uiPriority w:val="9"/>
    <w:rsid w:val="002278DF"/>
    <w:rPr>
      <w:rFonts w:asciiTheme="majorHAnsi" w:eastAsiaTheme="majorEastAsia" w:hAnsiTheme="majorHAnsi" w:cstheme="majorBidi"/>
      <w:color w:val="2F5496" w:themeColor="accent1" w:themeShade="BF"/>
      <w:sz w:val="32"/>
      <w:szCs w:val="32"/>
      <w:lang w:val="en-US" w:eastAsia="ja-JP"/>
    </w:rPr>
  </w:style>
  <w:style w:type="paragraph" w:styleId="Header">
    <w:name w:val="header"/>
    <w:basedOn w:val="Normal"/>
    <w:link w:val="HeaderChar"/>
    <w:uiPriority w:val="99"/>
    <w:unhideWhenUsed/>
    <w:rsid w:val="00934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C2A"/>
    <w:rPr>
      <w:rFonts w:ascii="Arial" w:eastAsiaTheme="minorEastAsia" w:hAnsi="Arial"/>
      <w:szCs w:val="24"/>
      <w:lang w:val="en-US" w:eastAsia="ja-JP"/>
    </w:rPr>
  </w:style>
  <w:style w:type="paragraph" w:styleId="Footer">
    <w:name w:val="footer"/>
    <w:basedOn w:val="Normal"/>
    <w:link w:val="FooterChar"/>
    <w:uiPriority w:val="99"/>
    <w:unhideWhenUsed/>
    <w:rsid w:val="0093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C2A"/>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api.org.au" TargetMode="External"/><Relationship Id="rId4" Type="http://schemas.openxmlformats.org/officeDocument/2006/relationships/webSettings" Target="webSettings.xml"/><Relationship Id="rId9" Type="http://schemas.openxmlformats.org/officeDocument/2006/relationships/hyperlink" Target="mailto:admin@aapi.org.a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20CDC-955C-4C1B-B4AD-C39B3037B6F7}"/>
</file>

<file path=customXml/itemProps2.xml><?xml version="1.0" encoding="utf-8"?>
<ds:datastoreItem xmlns:ds="http://schemas.openxmlformats.org/officeDocument/2006/customXml" ds:itemID="{95535D5A-569E-4EF6-A384-15D2FE935382}"/>
</file>

<file path=customXml/itemProps3.xml><?xml version="1.0" encoding="utf-8"?>
<ds:datastoreItem xmlns:ds="http://schemas.openxmlformats.org/officeDocument/2006/customXml" ds:itemID="{C9840498-7C69-48F7-8057-0D1DEBB2E209}"/>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Curran</dc:creator>
  <cp:keywords/>
  <dc:description/>
  <cp:lastModifiedBy>Amanda Curran</cp:lastModifiedBy>
  <cp:revision>2</cp:revision>
  <dcterms:created xsi:type="dcterms:W3CDTF">2021-02-22T11:31:00Z</dcterms:created>
  <dcterms:modified xsi:type="dcterms:W3CDTF">2021-02-22T11:31:00Z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