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F2E4" w14:textId="3ADC019E" w:rsidR="003B3F1F" w:rsidRDefault="00EB2187" w:rsidP="00F8697A">
      <w:pPr>
        <w:pStyle w:val="Heading1Reporttitletwolines"/>
        <w:shd w:val="clear" w:color="auto" w:fill="6B2976"/>
      </w:pPr>
      <w:bookmarkStart w:id="0" w:name="_Toc97027343"/>
      <w:bookmarkStart w:id="1" w:name="_Toc97028766"/>
      <w:bookmarkStart w:id="2" w:name="_Toc98252159"/>
      <w:bookmarkStart w:id="3" w:name="_Toc98252431"/>
      <w:bookmarkStart w:id="4" w:name="_Toc99463566"/>
      <w:bookmarkStart w:id="5" w:name="_Toc99617097"/>
      <w:r>
        <w:rPr>
          <w:noProof/>
          <w:lang w:eastAsia="en-AU"/>
        </w:rPr>
        <w:drawing>
          <wp:anchor distT="0" distB="0" distL="114300" distR="114300" simplePos="0" relativeHeight="251661312" behindDoc="1" locked="0" layoutInCell="1" allowOverlap="1" wp14:anchorId="1B940626" wp14:editId="0173668A">
            <wp:simplePos x="0" y="0"/>
            <wp:positionH relativeFrom="column">
              <wp:posOffset>-1036320</wp:posOffset>
            </wp:positionH>
            <wp:positionV relativeFrom="paragraph">
              <wp:posOffset>3024876</wp:posOffset>
            </wp:positionV>
            <wp:extent cx="7668260" cy="6783070"/>
            <wp:effectExtent l="0" t="0" r="889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37462"/>
                    <a:stretch/>
                  </pic:blipFill>
                  <pic:spPr bwMode="auto">
                    <a:xfrm>
                      <a:off x="0" y="0"/>
                      <a:ext cx="7668260" cy="678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79F4276C" wp14:editId="2536E7B0">
            <wp:simplePos x="0" y="0"/>
            <wp:positionH relativeFrom="page">
              <wp:posOffset>-221986</wp:posOffset>
            </wp:positionH>
            <wp:positionV relativeFrom="paragraph">
              <wp:posOffset>-1778000</wp:posOffset>
            </wp:positionV>
            <wp:extent cx="7782560" cy="11674475"/>
            <wp:effectExtent l="0" t="0" r="8890" b="3175"/>
            <wp:wrapNone/>
            <wp:docPr id="6"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782560" cy="1167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865" w:rsidRPr="00EA7CE6">
        <w:rPr>
          <w:b w:val="0"/>
          <w:bCs/>
        </w:rPr>
        <w:t>Corporate Plan</w:t>
      </w:r>
      <w:r w:rsidR="00021A6C">
        <w:t xml:space="preserve"> 2022-2026</w:t>
      </w:r>
      <w:bookmarkEnd w:id="0"/>
      <w:bookmarkEnd w:id="1"/>
      <w:bookmarkEnd w:id="2"/>
      <w:bookmarkEnd w:id="3"/>
      <w:bookmarkEnd w:id="4"/>
      <w:bookmarkEnd w:id="5"/>
    </w:p>
    <w:p w14:paraId="08F3F7E3" w14:textId="77777777" w:rsidR="00FA334F" w:rsidRPr="003B3F1F" w:rsidRDefault="001665A1" w:rsidP="00F8697A">
      <w:pPr>
        <w:pStyle w:val="Versionanddate"/>
        <w:shd w:val="clear" w:color="auto" w:fill="6B2976"/>
        <w:rPr>
          <w:rStyle w:val="WebsiteChar"/>
          <w:sz w:val="80"/>
          <w:szCs w:val="96"/>
          <w:lang w:val="en-AU"/>
        </w:rPr>
      </w:pPr>
      <w:r w:rsidRPr="006765FF">
        <w:rPr>
          <w:rStyle w:val="WebsiteChar"/>
        </w:rPr>
        <w:t>ndis.gov.au</w:t>
      </w:r>
    </w:p>
    <w:p w14:paraId="127977E4" w14:textId="56A3C89C" w:rsidR="003B3F1F" w:rsidRDefault="003B3F1F" w:rsidP="007A2767">
      <w:pPr>
        <w:pStyle w:val="Versionanddate"/>
        <w:spacing w:after="720"/>
        <w:ind w:right="95"/>
        <w:rPr>
          <w:b/>
          <w:color w:val="FF0000"/>
          <w:sz w:val="24"/>
          <w:szCs w:val="24"/>
        </w:rPr>
      </w:pPr>
      <w:r w:rsidRPr="00A63C5B">
        <w:rPr>
          <w:noProof/>
          <w:lang w:eastAsia="en-AU"/>
        </w:rPr>
        <w:drawing>
          <wp:inline distT="0" distB="0" distL="0" distR="0" wp14:anchorId="344BBCAC" wp14:editId="5891D16C">
            <wp:extent cx="966470" cy="509270"/>
            <wp:effectExtent l="0" t="0" r="5080" b="5080"/>
            <wp:docPr id="3"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inline>
        </w:drawing>
      </w:r>
    </w:p>
    <w:p w14:paraId="4F85BEB6" w14:textId="6E460715" w:rsidR="00BB6843" w:rsidRDefault="00BB6843">
      <w:pPr>
        <w:spacing w:after="0" w:line="240" w:lineRule="auto"/>
        <w:rPr>
          <w:b/>
          <w:bCs/>
          <w:color w:val="6B2976"/>
          <w:sz w:val="44"/>
          <w:szCs w:val="26"/>
        </w:rPr>
      </w:pPr>
      <w:bookmarkStart w:id="6" w:name="_Toc80953503"/>
      <w:bookmarkStart w:id="7" w:name="_Toc97027344"/>
      <w:bookmarkStart w:id="8" w:name="_Toc97028767"/>
      <w:bookmarkStart w:id="9" w:name="_Toc98251601"/>
      <w:bookmarkStart w:id="10" w:name="_Toc98252160"/>
      <w:bookmarkStart w:id="11" w:name="_Toc98252432"/>
      <w:bookmarkStart w:id="12" w:name="_Toc99463567"/>
      <w:bookmarkStart w:id="13" w:name="_Toc99617098"/>
      <w:r>
        <w:br w:type="page"/>
      </w:r>
    </w:p>
    <w:p w14:paraId="660205E1" w14:textId="4D98C6CC" w:rsidR="00001A32" w:rsidRPr="00001A32" w:rsidRDefault="00D23249" w:rsidP="00CA07C2">
      <w:pPr>
        <w:pStyle w:val="Heading2"/>
        <w:numPr>
          <w:ilvl w:val="0"/>
          <w:numId w:val="0"/>
        </w:numPr>
        <w:rPr>
          <w:lang w:eastAsia="en-AU"/>
        </w:rPr>
      </w:pPr>
      <w:r>
        <w:t>Introduction and Statement of Preparation</w:t>
      </w:r>
      <w:bookmarkEnd w:id="6"/>
      <w:bookmarkEnd w:id="7"/>
      <w:bookmarkEnd w:id="8"/>
      <w:bookmarkEnd w:id="9"/>
      <w:bookmarkEnd w:id="10"/>
      <w:bookmarkEnd w:id="11"/>
      <w:bookmarkEnd w:id="12"/>
      <w:bookmarkEnd w:id="13"/>
      <w:r w:rsidR="00A12ACF">
        <w:t xml:space="preserve"> </w:t>
      </w:r>
    </w:p>
    <w:p w14:paraId="76A86FB0" w14:textId="1A653952" w:rsidR="00001A32" w:rsidRDefault="00001A32" w:rsidP="00001A32">
      <w:r>
        <w:t xml:space="preserve">We, the Board of the National Disability Insurance Agency, as the accountable authority, present the 2022–26 NDIA Corporate Plan, as required under section 35 (1)(b) of the </w:t>
      </w:r>
      <w:r>
        <w:rPr>
          <w:i/>
          <w:iCs/>
        </w:rPr>
        <w:t>Public Governance, Performance and Accountability Act 2013</w:t>
      </w:r>
      <w:r>
        <w:t xml:space="preserve"> (PGPA Act) and section 177(1) of the </w:t>
      </w:r>
      <w:r>
        <w:rPr>
          <w:i/>
          <w:iCs/>
        </w:rPr>
        <w:t xml:space="preserve">National Disability Insurance Scheme Act 2013 </w:t>
      </w:r>
      <w:r>
        <w:t>(NDIS Act).</w:t>
      </w:r>
      <w:r w:rsidR="00A12ACF">
        <w:t xml:space="preserve"> </w:t>
      </w:r>
    </w:p>
    <w:p w14:paraId="36D1A2CE" w14:textId="3854BA95" w:rsidR="00001A32" w:rsidRDefault="00001A32" w:rsidP="00001A32">
      <w:r w:rsidRPr="00A76F5B">
        <w:t xml:space="preserve">The Corporate Plan has been prepared in accordance with the </w:t>
      </w:r>
      <w:r w:rsidRPr="00A76F5B">
        <w:rPr>
          <w:i/>
          <w:iCs/>
        </w:rPr>
        <w:t>Public Governance, Performance and Accountability Rule 2014</w:t>
      </w:r>
      <w:r w:rsidRPr="00A76F5B">
        <w:t xml:space="preserve"> (PGPA Rule).</w:t>
      </w:r>
      <w:r w:rsidR="00A12ACF">
        <w:t xml:space="preserve"> </w:t>
      </w:r>
    </w:p>
    <w:p w14:paraId="235F9A05" w14:textId="0E1FE711" w:rsidR="00001A32" w:rsidRDefault="00001A32" w:rsidP="00001A32">
      <w:r>
        <w:t>A final draft of the 2022</w:t>
      </w:r>
      <w:r w:rsidR="00882F66">
        <w:t>–</w:t>
      </w:r>
      <w:r>
        <w:t xml:space="preserve">26 NDIA Corporate Plan was provided to the responsible Minister and Chair of the Ministerial Council on 30 June 2022. </w:t>
      </w:r>
    </w:p>
    <w:p w14:paraId="25A47BD9" w14:textId="2586BE06" w:rsidR="00001A32" w:rsidRDefault="00001A32" w:rsidP="00001A32">
      <w:r>
        <w:t>The NDIA Corporate Plan provides strategic direction to guide our activities for the financial years 2022–23 through to 2026</w:t>
      </w:r>
      <w:r w:rsidR="00C567B0">
        <w:t>–</w:t>
      </w:r>
      <w:r>
        <w:t>27.</w:t>
      </w:r>
      <w:r w:rsidR="00A12ACF">
        <w:t xml:space="preserve"> </w:t>
      </w:r>
    </w:p>
    <w:p w14:paraId="322FF8FE" w14:textId="3D34A221" w:rsidR="00985BED" w:rsidRDefault="00985BED" w:rsidP="00985BED">
      <w:r>
        <w:t>In this document, we refer to the National Disability Insurance Agency as the NDIA or the Agency and the National Disability Insurance Scheme as the NDIS or the Scheme.</w:t>
      </w:r>
      <w:r w:rsidR="00A12ACF">
        <w:t xml:space="preserve"> </w:t>
      </w:r>
    </w:p>
    <w:p w14:paraId="756FF4D9" w14:textId="273C9D70" w:rsidR="00001A32" w:rsidRDefault="00001A32" w:rsidP="00001A32">
      <w:r>
        <w:t>The Board acknowledges the objectives of the United Nations Convention on the Rights of Persons with Disabilities (UNCRPD).</w:t>
      </w:r>
      <w:r w:rsidR="00A12ACF">
        <w:t xml:space="preserve"> </w:t>
      </w:r>
    </w:p>
    <w:p w14:paraId="63111B19" w14:textId="77777777" w:rsidR="00D23249" w:rsidRPr="00BC1C1C" w:rsidRDefault="00001A32" w:rsidP="00BC1C1C">
      <w:r>
        <w:t>The NDIA acknowledges the Traditional Owners and Custodians of country throughout Australia and their continuing connection to land, sea and community. We pay our respects to their Elders, past, present and emerging.</w:t>
      </w:r>
      <w:r>
        <w:rPr>
          <w:rFonts w:ascii="Times New Roman" w:hAnsi="Times New Roman"/>
          <w:lang w:eastAsia="en-AU"/>
        </w:rPr>
        <w:t xml:space="preserve"> </w:t>
      </w:r>
      <w:r w:rsidR="00D23249">
        <w:br w:type="page"/>
      </w:r>
    </w:p>
    <w:p w14:paraId="22496813" w14:textId="34E8542B" w:rsidR="007219F1" w:rsidRDefault="007219F1" w:rsidP="00BE632A">
      <w:pPr>
        <w:pStyle w:val="Heading2"/>
        <w:numPr>
          <w:ilvl w:val="0"/>
          <w:numId w:val="0"/>
        </w:numPr>
      </w:pPr>
      <w:bookmarkStart w:id="14" w:name="_Toc97028768"/>
      <w:bookmarkStart w:id="15" w:name="_Toc98251602"/>
      <w:bookmarkStart w:id="16" w:name="_Toc98252161"/>
      <w:bookmarkStart w:id="17" w:name="_Toc98252433"/>
      <w:bookmarkStart w:id="18" w:name="_Toc99463568"/>
      <w:bookmarkStart w:id="19" w:name="_Toc99617099"/>
      <w:r>
        <w:t>Contents</w:t>
      </w:r>
      <w:bookmarkEnd w:id="14"/>
      <w:bookmarkEnd w:id="15"/>
      <w:bookmarkEnd w:id="16"/>
      <w:bookmarkEnd w:id="17"/>
      <w:bookmarkEnd w:id="18"/>
      <w:bookmarkEnd w:id="19"/>
      <w:r w:rsidR="00A12ACF">
        <w:t xml:space="preserve"> </w:t>
      </w:r>
    </w:p>
    <w:p w14:paraId="752A5A25" w14:textId="4A96B1EE" w:rsidR="00235FFC" w:rsidRDefault="0040062A" w:rsidP="00202F6D">
      <w:pPr>
        <w:pStyle w:val="TOC1"/>
        <w:rPr>
          <w:rFonts w:asciiTheme="minorHAnsi" w:eastAsiaTheme="minorEastAsia" w:hAnsiTheme="minorHAnsi" w:cstheme="minorBidi"/>
          <w:noProof/>
          <w:szCs w:val="28"/>
          <w:lang w:eastAsia="zh-CN" w:bidi="th-TH"/>
        </w:rPr>
      </w:pPr>
      <w:r>
        <w:fldChar w:fldCharType="begin"/>
      </w:r>
      <w:r>
        <w:instrText xml:space="preserve"> TOC \o "1-5" \h \z \u </w:instrText>
      </w:r>
      <w:r>
        <w:fldChar w:fldCharType="separate"/>
      </w:r>
      <w:hyperlink w:anchor="_Toc99617097" w:history="1">
        <w:r w:rsidR="00235FFC" w:rsidRPr="00B27A6A">
          <w:rPr>
            <w:rStyle w:val="Hyperlink"/>
            <w:bCs/>
            <w:noProof/>
          </w:rPr>
          <w:t>Corporate Plan</w:t>
        </w:r>
        <w:r w:rsidR="00235FFC" w:rsidRPr="00B27A6A">
          <w:rPr>
            <w:rStyle w:val="Hyperlink"/>
            <w:noProof/>
          </w:rPr>
          <w:t xml:space="preserve"> 2022-2026</w:t>
        </w:r>
        <w:r w:rsidR="00235FFC">
          <w:rPr>
            <w:noProof/>
            <w:webHidden/>
          </w:rPr>
          <w:tab/>
        </w:r>
        <w:r w:rsidR="00235FFC">
          <w:rPr>
            <w:noProof/>
            <w:webHidden/>
          </w:rPr>
          <w:fldChar w:fldCharType="begin"/>
        </w:r>
        <w:r w:rsidR="00235FFC">
          <w:rPr>
            <w:noProof/>
            <w:webHidden/>
          </w:rPr>
          <w:instrText xml:space="preserve"> PAGEREF _Toc99617097 \h </w:instrText>
        </w:r>
        <w:r w:rsidR="00235FFC">
          <w:rPr>
            <w:noProof/>
            <w:webHidden/>
          </w:rPr>
        </w:r>
        <w:r w:rsidR="00235FFC">
          <w:rPr>
            <w:noProof/>
            <w:webHidden/>
          </w:rPr>
          <w:fldChar w:fldCharType="separate"/>
        </w:r>
        <w:r w:rsidR="00DF4DCE">
          <w:rPr>
            <w:noProof/>
            <w:webHidden/>
          </w:rPr>
          <w:t>1</w:t>
        </w:r>
        <w:r w:rsidR="00235FFC">
          <w:rPr>
            <w:noProof/>
            <w:webHidden/>
          </w:rPr>
          <w:fldChar w:fldCharType="end"/>
        </w:r>
      </w:hyperlink>
    </w:p>
    <w:p w14:paraId="74D134F3" w14:textId="0C5E4BA5" w:rsidR="00235FFC" w:rsidRDefault="007E35D3">
      <w:pPr>
        <w:pStyle w:val="TOC2"/>
        <w:rPr>
          <w:rFonts w:asciiTheme="minorHAnsi" w:eastAsiaTheme="minorEastAsia" w:hAnsiTheme="minorHAnsi" w:cstheme="minorBidi"/>
          <w:noProof/>
          <w:szCs w:val="28"/>
          <w:lang w:eastAsia="zh-CN" w:bidi="th-TH"/>
        </w:rPr>
      </w:pPr>
      <w:hyperlink w:anchor="_Toc99617098" w:history="1">
        <w:r w:rsidR="00235FFC" w:rsidRPr="00B27A6A">
          <w:rPr>
            <w:rStyle w:val="Hyperlink"/>
            <w:noProof/>
          </w:rPr>
          <w:t>Introduction and Statement of Preparation</w:t>
        </w:r>
        <w:r w:rsidR="00235FFC">
          <w:rPr>
            <w:noProof/>
            <w:webHidden/>
          </w:rPr>
          <w:tab/>
        </w:r>
        <w:r w:rsidR="00235FFC">
          <w:rPr>
            <w:noProof/>
            <w:webHidden/>
          </w:rPr>
          <w:fldChar w:fldCharType="begin"/>
        </w:r>
        <w:r w:rsidR="00235FFC">
          <w:rPr>
            <w:noProof/>
            <w:webHidden/>
          </w:rPr>
          <w:instrText xml:space="preserve"> PAGEREF _Toc99617098 \h </w:instrText>
        </w:r>
        <w:r w:rsidR="00235FFC">
          <w:rPr>
            <w:noProof/>
            <w:webHidden/>
          </w:rPr>
        </w:r>
        <w:r w:rsidR="00235FFC">
          <w:rPr>
            <w:noProof/>
            <w:webHidden/>
          </w:rPr>
          <w:fldChar w:fldCharType="separate"/>
        </w:r>
        <w:r w:rsidR="00DF4DCE">
          <w:rPr>
            <w:noProof/>
            <w:webHidden/>
          </w:rPr>
          <w:t>2</w:t>
        </w:r>
        <w:r w:rsidR="00235FFC">
          <w:rPr>
            <w:noProof/>
            <w:webHidden/>
          </w:rPr>
          <w:fldChar w:fldCharType="end"/>
        </w:r>
      </w:hyperlink>
    </w:p>
    <w:p w14:paraId="18E943B1" w14:textId="52F06866" w:rsidR="00235FFC" w:rsidRDefault="007E35D3">
      <w:pPr>
        <w:pStyle w:val="TOC2"/>
        <w:rPr>
          <w:rFonts w:asciiTheme="minorHAnsi" w:eastAsiaTheme="minorEastAsia" w:hAnsiTheme="minorHAnsi" w:cstheme="minorBidi"/>
          <w:noProof/>
          <w:szCs w:val="28"/>
          <w:lang w:eastAsia="zh-CN" w:bidi="th-TH"/>
        </w:rPr>
      </w:pPr>
      <w:hyperlink w:anchor="_Toc99617099" w:history="1">
        <w:r w:rsidR="00235FFC" w:rsidRPr="00B27A6A">
          <w:rPr>
            <w:rStyle w:val="Hyperlink"/>
            <w:noProof/>
          </w:rPr>
          <w:t>Contents</w:t>
        </w:r>
        <w:r w:rsidR="00235FFC">
          <w:rPr>
            <w:noProof/>
            <w:webHidden/>
          </w:rPr>
          <w:tab/>
        </w:r>
        <w:r w:rsidR="00235FFC">
          <w:rPr>
            <w:noProof/>
            <w:webHidden/>
          </w:rPr>
          <w:fldChar w:fldCharType="begin"/>
        </w:r>
        <w:r w:rsidR="00235FFC">
          <w:rPr>
            <w:noProof/>
            <w:webHidden/>
          </w:rPr>
          <w:instrText xml:space="preserve"> PAGEREF _Toc99617099 \h </w:instrText>
        </w:r>
        <w:r w:rsidR="00235FFC">
          <w:rPr>
            <w:noProof/>
            <w:webHidden/>
          </w:rPr>
        </w:r>
        <w:r w:rsidR="00235FFC">
          <w:rPr>
            <w:noProof/>
            <w:webHidden/>
          </w:rPr>
          <w:fldChar w:fldCharType="separate"/>
        </w:r>
        <w:r w:rsidR="00DF4DCE">
          <w:rPr>
            <w:noProof/>
            <w:webHidden/>
          </w:rPr>
          <w:t>3</w:t>
        </w:r>
        <w:r w:rsidR="00235FFC">
          <w:rPr>
            <w:noProof/>
            <w:webHidden/>
          </w:rPr>
          <w:fldChar w:fldCharType="end"/>
        </w:r>
      </w:hyperlink>
    </w:p>
    <w:p w14:paraId="47D6A90E" w14:textId="4D0C2537" w:rsidR="00235FFC" w:rsidRDefault="007E35D3">
      <w:pPr>
        <w:pStyle w:val="TOC2"/>
        <w:rPr>
          <w:rFonts w:asciiTheme="minorHAnsi" w:eastAsiaTheme="minorEastAsia" w:hAnsiTheme="minorHAnsi" w:cstheme="minorBidi"/>
          <w:noProof/>
          <w:szCs w:val="28"/>
          <w:lang w:eastAsia="zh-CN" w:bidi="th-TH"/>
        </w:rPr>
      </w:pPr>
      <w:hyperlink w:anchor="_Toc99617100" w:history="1">
        <w:r w:rsidR="00235FFC" w:rsidRPr="00B27A6A">
          <w:rPr>
            <w:rStyle w:val="Hyperlink"/>
            <w:noProof/>
          </w:rPr>
          <w:t>Executive summary</w:t>
        </w:r>
        <w:r w:rsidR="00235FFC">
          <w:rPr>
            <w:noProof/>
            <w:webHidden/>
          </w:rPr>
          <w:tab/>
        </w:r>
        <w:r w:rsidR="00235FFC">
          <w:rPr>
            <w:noProof/>
            <w:webHidden/>
          </w:rPr>
          <w:fldChar w:fldCharType="begin"/>
        </w:r>
        <w:r w:rsidR="00235FFC">
          <w:rPr>
            <w:noProof/>
            <w:webHidden/>
          </w:rPr>
          <w:instrText xml:space="preserve"> PAGEREF _Toc99617100 \h </w:instrText>
        </w:r>
        <w:r w:rsidR="00235FFC">
          <w:rPr>
            <w:noProof/>
            <w:webHidden/>
          </w:rPr>
        </w:r>
        <w:r w:rsidR="00235FFC">
          <w:rPr>
            <w:noProof/>
            <w:webHidden/>
          </w:rPr>
          <w:fldChar w:fldCharType="separate"/>
        </w:r>
        <w:r w:rsidR="00DF4DCE">
          <w:rPr>
            <w:noProof/>
            <w:webHidden/>
          </w:rPr>
          <w:t>4</w:t>
        </w:r>
        <w:r w:rsidR="00235FFC">
          <w:rPr>
            <w:noProof/>
            <w:webHidden/>
          </w:rPr>
          <w:fldChar w:fldCharType="end"/>
        </w:r>
      </w:hyperlink>
    </w:p>
    <w:p w14:paraId="11204A11" w14:textId="6353D65E" w:rsidR="00235FFC" w:rsidRDefault="007E35D3">
      <w:pPr>
        <w:pStyle w:val="TOC2"/>
        <w:rPr>
          <w:rFonts w:asciiTheme="minorHAnsi" w:eastAsiaTheme="minorEastAsia" w:hAnsiTheme="minorHAnsi" w:cstheme="minorBidi"/>
          <w:noProof/>
          <w:szCs w:val="28"/>
          <w:lang w:eastAsia="zh-CN" w:bidi="th-TH"/>
        </w:rPr>
      </w:pPr>
      <w:hyperlink w:anchor="_Toc99617101" w:history="1">
        <w:r w:rsidR="00235FFC" w:rsidRPr="00B27A6A">
          <w:rPr>
            <w:rStyle w:val="Hyperlink"/>
            <w:noProof/>
          </w:rPr>
          <w:t>1.</w:t>
        </w:r>
        <w:r w:rsidR="00235FFC">
          <w:rPr>
            <w:rFonts w:asciiTheme="minorHAnsi" w:eastAsiaTheme="minorEastAsia" w:hAnsiTheme="minorHAnsi" w:cstheme="minorBidi"/>
            <w:noProof/>
            <w:szCs w:val="28"/>
            <w:lang w:eastAsia="zh-CN" w:bidi="th-TH"/>
          </w:rPr>
          <w:tab/>
        </w:r>
        <w:r w:rsidR="00235FFC" w:rsidRPr="00B27A6A">
          <w:rPr>
            <w:rStyle w:val="Hyperlink"/>
            <w:noProof/>
          </w:rPr>
          <w:t>NDIS delivered by the NDIA</w:t>
        </w:r>
        <w:r w:rsidR="00235FFC">
          <w:rPr>
            <w:noProof/>
            <w:webHidden/>
          </w:rPr>
          <w:tab/>
        </w:r>
        <w:r w:rsidR="00235FFC">
          <w:rPr>
            <w:noProof/>
            <w:webHidden/>
          </w:rPr>
          <w:fldChar w:fldCharType="begin"/>
        </w:r>
        <w:r w:rsidR="00235FFC">
          <w:rPr>
            <w:noProof/>
            <w:webHidden/>
          </w:rPr>
          <w:instrText xml:space="preserve"> PAGEREF _Toc99617101 \h </w:instrText>
        </w:r>
        <w:r w:rsidR="00235FFC">
          <w:rPr>
            <w:noProof/>
            <w:webHidden/>
          </w:rPr>
        </w:r>
        <w:r w:rsidR="00235FFC">
          <w:rPr>
            <w:noProof/>
            <w:webHidden/>
          </w:rPr>
          <w:fldChar w:fldCharType="separate"/>
        </w:r>
        <w:r w:rsidR="00DF4DCE">
          <w:rPr>
            <w:noProof/>
            <w:webHidden/>
          </w:rPr>
          <w:t>6</w:t>
        </w:r>
        <w:r w:rsidR="00235FFC">
          <w:rPr>
            <w:noProof/>
            <w:webHidden/>
          </w:rPr>
          <w:fldChar w:fldCharType="end"/>
        </w:r>
      </w:hyperlink>
    </w:p>
    <w:p w14:paraId="1EC628B2" w14:textId="51BEF185" w:rsidR="00235FFC" w:rsidRDefault="007E35D3">
      <w:pPr>
        <w:pStyle w:val="TOC2"/>
        <w:rPr>
          <w:rFonts w:asciiTheme="minorHAnsi" w:eastAsiaTheme="minorEastAsia" w:hAnsiTheme="minorHAnsi" w:cstheme="minorBidi"/>
          <w:noProof/>
          <w:szCs w:val="28"/>
          <w:lang w:eastAsia="zh-CN" w:bidi="th-TH"/>
        </w:rPr>
      </w:pPr>
      <w:hyperlink w:anchor="_Toc99617106" w:history="1">
        <w:r w:rsidR="00235FFC" w:rsidRPr="00B27A6A">
          <w:rPr>
            <w:rStyle w:val="Hyperlink"/>
            <w:noProof/>
          </w:rPr>
          <w:t>2.</w:t>
        </w:r>
        <w:r w:rsidR="00235FFC">
          <w:rPr>
            <w:rFonts w:asciiTheme="minorHAnsi" w:eastAsiaTheme="minorEastAsia" w:hAnsiTheme="minorHAnsi" w:cstheme="minorBidi"/>
            <w:noProof/>
            <w:szCs w:val="28"/>
            <w:lang w:eastAsia="zh-CN" w:bidi="th-TH"/>
          </w:rPr>
          <w:tab/>
        </w:r>
        <w:r w:rsidR="00235FFC" w:rsidRPr="00B27A6A">
          <w:rPr>
            <w:rStyle w:val="Hyperlink"/>
            <w:noProof/>
          </w:rPr>
          <w:t>Our operating environment</w:t>
        </w:r>
        <w:r w:rsidR="00235FFC">
          <w:rPr>
            <w:noProof/>
            <w:webHidden/>
          </w:rPr>
          <w:tab/>
        </w:r>
        <w:r w:rsidR="00235FFC">
          <w:rPr>
            <w:noProof/>
            <w:webHidden/>
          </w:rPr>
          <w:fldChar w:fldCharType="begin"/>
        </w:r>
        <w:r w:rsidR="00235FFC">
          <w:rPr>
            <w:noProof/>
            <w:webHidden/>
          </w:rPr>
          <w:instrText xml:space="preserve"> PAGEREF _Toc99617106 \h </w:instrText>
        </w:r>
        <w:r w:rsidR="00235FFC">
          <w:rPr>
            <w:noProof/>
            <w:webHidden/>
          </w:rPr>
        </w:r>
        <w:r w:rsidR="00235FFC">
          <w:rPr>
            <w:noProof/>
            <w:webHidden/>
          </w:rPr>
          <w:fldChar w:fldCharType="separate"/>
        </w:r>
        <w:r w:rsidR="00DF4DCE">
          <w:rPr>
            <w:noProof/>
            <w:webHidden/>
          </w:rPr>
          <w:t>8</w:t>
        </w:r>
        <w:r w:rsidR="00235FFC">
          <w:rPr>
            <w:noProof/>
            <w:webHidden/>
          </w:rPr>
          <w:fldChar w:fldCharType="end"/>
        </w:r>
      </w:hyperlink>
    </w:p>
    <w:p w14:paraId="3314092F" w14:textId="05D63E1F" w:rsidR="00235FFC" w:rsidRDefault="007E35D3">
      <w:pPr>
        <w:pStyle w:val="TOC2"/>
        <w:rPr>
          <w:rFonts w:asciiTheme="minorHAnsi" w:eastAsiaTheme="minorEastAsia" w:hAnsiTheme="minorHAnsi" w:cstheme="minorBidi"/>
          <w:noProof/>
          <w:szCs w:val="28"/>
          <w:lang w:eastAsia="zh-CN" w:bidi="th-TH"/>
        </w:rPr>
      </w:pPr>
      <w:hyperlink w:anchor="_Toc99617113" w:history="1">
        <w:r w:rsidR="00235FFC" w:rsidRPr="00B27A6A">
          <w:rPr>
            <w:rStyle w:val="Hyperlink"/>
            <w:noProof/>
          </w:rPr>
          <w:t>3.</w:t>
        </w:r>
        <w:r w:rsidR="00235FFC">
          <w:rPr>
            <w:rFonts w:asciiTheme="minorHAnsi" w:eastAsiaTheme="minorEastAsia" w:hAnsiTheme="minorHAnsi" w:cstheme="minorBidi"/>
            <w:noProof/>
            <w:szCs w:val="28"/>
            <w:lang w:eastAsia="zh-CN" w:bidi="th-TH"/>
          </w:rPr>
          <w:tab/>
        </w:r>
        <w:r w:rsidR="00235FFC" w:rsidRPr="00B27A6A">
          <w:rPr>
            <w:rStyle w:val="Hyperlink"/>
            <w:noProof/>
          </w:rPr>
          <w:t>Our Strategy</w:t>
        </w:r>
        <w:r w:rsidR="00235FFC">
          <w:rPr>
            <w:noProof/>
            <w:webHidden/>
          </w:rPr>
          <w:tab/>
        </w:r>
        <w:r w:rsidR="00235FFC">
          <w:rPr>
            <w:noProof/>
            <w:webHidden/>
          </w:rPr>
          <w:fldChar w:fldCharType="begin"/>
        </w:r>
        <w:r w:rsidR="00235FFC">
          <w:rPr>
            <w:noProof/>
            <w:webHidden/>
          </w:rPr>
          <w:instrText xml:space="preserve"> PAGEREF _Toc99617113 \h </w:instrText>
        </w:r>
        <w:r w:rsidR="00235FFC">
          <w:rPr>
            <w:noProof/>
            <w:webHidden/>
          </w:rPr>
        </w:r>
        <w:r w:rsidR="00235FFC">
          <w:rPr>
            <w:noProof/>
            <w:webHidden/>
          </w:rPr>
          <w:fldChar w:fldCharType="separate"/>
        </w:r>
        <w:r w:rsidR="00DF4DCE">
          <w:rPr>
            <w:noProof/>
            <w:webHidden/>
          </w:rPr>
          <w:t>17</w:t>
        </w:r>
        <w:r w:rsidR="00235FFC">
          <w:rPr>
            <w:noProof/>
            <w:webHidden/>
          </w:rPr>
          <w:fldChar w:fldCharType="end"/>
        </w:r>
      </w:hyperlink>
    </w:p>
    <w:p w14:paraId="22B125B8" w14:textId="07D3EB73" w:rsidR="00235FFC" w:rsidRDefault="007E35D3">
      <w:pPr>
        <w:pStyle w:val="TOC3"/>
        <w:rPr>
          <w:rFonts w:asciiTheme="minorHAnsi" w:eastAsiaTheme="minorEastAsia" w:hAnsiTheme="minorHAnsi" w:cstheme="minorBidi"/>
          <w:noProof/>
          <w:szCs w:val="28"/>
          <w:lang w:eastAsia="zh-CN" w:bidi="th-TH"/>
        </w:rPr>
      </w:pPr>
      <w:hyperlink w:anchor="_Toc99617114" w:history="1">
        <w:r w:rsidR="00235FFC" w:rsidRPr="00B27A6A">
          <w:rPr>
            <w:rStyle w:val="Hyperlink"/>
            <w:bCs/>
            <w:noProof/>
          </w:rPr>
          <w:t>Our aspirations</w:t>
        </w:r>
        <w:r w:rsidR="00235FFC">
          <w:rPr>
            <w:noProof/>
            <w:webHidden/>
          </w:rPr>
          <w:tab/>
        </w:r>
        <w:r w:rsidR="00235FFC">
          <w:rPr>
            <w:noProof/>
            <w:webHidden/>
          </w:rPr>
          <w:fldChar w:fldCharType="begin"/>
        </w:r>
        <w:r w:rsidR="00235FFC">
          <w:rPr>
            <w:noProof/>
            <w:webHidden/>
          </w:rPr>
          <w:instrText xml:space="preserve"> PAGEREF _Toc99617114 \h </w:instrText>
        </w:r>
        <w:r w:rsidR="00235FFC">
          <w:rPr>
            <w:noProof/>
            <w:webHidden/>
          </w:rPr>
        </w:r>
        <w:r w:rsidR="00235FFC">
          <w:rPr>
            <w:noProof/>
            <w:webHidden/>
          </w:rPr>
          <w:fldChar w:fldCharType="separate"/>
        </w:r>
        <w:r w:rsidR="00DF4DCE">
          <w:rPr>
            <w:noProof/>
            <w:webHidden/>
          </w:rPr>
          <w:t>19</w:t>
        </w:r>
        <w:r w:rsidR="00235FFC">
          <w:rPr>
            <w:noProof/>
            <w:webHidden/>
          </w:rPr>
          <w:fldChar w:fldCharType="end"/>
        </w:r>
      </w:hyperlink>
    </w:p>
    <w:p w14:paraId="0100CEED" w14:textId="50E3D5B7" w:rsidR="00235FFC" w:rsidRDefault="007E35D3">
      <w:pPr>
        <w:pStyle w:val="TOC3"/>
        <w:rPr>
          <w:rFonts w:asciiTheme="minorHAnsi" w:eastAsiaTheme="minorEastAsia" w:hAnsiTheme="minorHAnsi" w:cstheme="minorBidi"/>
          <w:noProof/>
          <w:szCs w:val="28"/>
          <w:lang w:eastAsia="zh-CN" w:bidi="th-TH"/>
        </w:rPr>
      </w:pPr>
      <w:hyperlink w:anchor="_Toc99617116" w:history="1">
        <w:r w:rsidR="00235FFC" w:rsidRPr="00B27A6A">
          <w:rPr>
            <w:rStyle w:val="Hyperlink"/>
            <w:noProof/>
          </w:rPr>
          <w:t>Aspiration 1 – A quality experience and improved outcomes for participants</w:t>
        </w:r>
        <w:r w:rsidR="00235FFC">
          <w:rPr>
            <w:noProof/>
            <w:webHidden/>
          </w:rPr>
          <w:tab/>
        </w:r>
        <w:r w:rsidR="00235FFC">
          <w:rPr>
            <w:noProof/>
            <w:webHidden/>
          </w:rPr>
          <w:fldChar w:fldCharType="begin"/>
        </w:r>
        <w:r w:rsidR="00235FFC">
          <w:rPr>
            <w:noProof/>
            <w:webHidden/>
          </w:rPr>
          <w:instrText xml:space="preserve"> PAGEREF _Toc99617116 \h </w:instrText>
        </w:r>
        <w:r w:rsidR="00235FFC">
          <w:rPr>
            <w:noProof/>
            <w:webHidden/>
          </w:rPr>
        </w:r>
        <w:r w:rsidR="00235FFC">
          <w:rPr>
            <w:noProof/>
            <w:webHidden/>
          </w:rPr>
          <w:fldChar w:fldCharType="separate"/>
        </w:r>
        <w:r w:rsidR="00DF4DCE">
          <w:rPr>
            <w:noProof/>
            <w:webHidden/>
          </w:rPr>
          <w:t>20</w:t>
        </w:r>
        <w:r w:rsidR="00235FFC">
          <w:rPr>
            <w:noProof/>
            <w:webHidden/>
          </w:rPr>
          <w:fldChar w:fldCharType="end"/>
        </w:r>
      </w:hyperlink>
    </w:p>
    <w:p w14:paraId="170F0DBA" w14:textId="77E12F45" w:rsidR="00235FFC" w:rsidRDefault="007E35D3">
      <w:pPr>
        <w:pStyle w:val="TOC3"/>
        <w:rPr>
          <w:rFonts w:asciiTheme="minorHAnsi" w:eastAsiaTheme="minorEastAsia" w:hAnsiTheme="minorHAnsi" w:cstheme="minorBidi"/>
          <w:noProof/>
          <w:szCs w:val="28"/>
          <w:lang w:eastAsia="zh-CN" w:bidi="th-TH"/>
        </w:rPr>
      </w:pPr>
      <w:hyperlink w:anchor="_Toc99617117" w:history="1">
        <w:r w:rsidR="00235FFC" w:rsidRPr="00B27A6A">
          <w:rPr>
            <w:rStyle w:val="Hyperlink"/>
            <w:noProof/>
          </w:rPr>
          <w:t>Aspiration 2 – A competitive market with innovative supports</w:t>
        </w:r>
        <w:r w:rsidR="00235FFC">
          <w:rPr>
            <w:noProof/>
            <w:webHidden/>
          </w:rPr>
          <w:tab/>
        </w:r>
        <w:r w:rsidR="00235FFC">
          <w:rPr>
            <w:noProof/>
            <w:webHidden/>
          </w:rPr>
          <w:fldChar w:fldCharType="begin"/>
        </w:r>
        <w:r w:rsidR="00235FFC">
          <w:rPr>
            <w:noProof/>
            <w:webHidden/>
          </w:rPr>
          <w:instrText xml:space="preserve"> PAGEREF _Toc99617117 \h </w:instrText>
        </w:r>
        <w:r w:rsidR="00235FFC">
          <w:rPr>
            <w:noProof/>
            <w:webHidden/>
          </w:rPr>
        </w:r>
        <w:r w:rsidR="00235FFC">
          <w:rPr>
            <w:noProof/>
            <w:webHidden/>
          </w:rPr>
          <w:fldChar w:fldCharType="separate"/>
        </w:r>
        <w:r w:rsidR="00DF4DCE">
          <w:rPr>
            <w:noProof/>
            <w:webHidden/>
          </w:rPr>
          <w:t>22</w:t>
        </w:r>
        <w:r w:rsidR="00235FFC">
          <w:rPr>
            <w:noProof/>
            <w:webHidden/>
          </w:rPr>
          <w:fldChar w:fldCharType="end"/>
        </w:r>
      </w:hyperlink>
    </w:p>
    <w:p w14:paraId="378E51D1" w14:textId="6AF04DF2" w:rsidR="00235FFC" w:rsidRDefault="007E35D3">
      <w:pPr>
        <w:pStyle w:val="TOC3"/>
        <w:rPr>
          <w:rFonts w:asciiTheme="minorHAnsi" w:eastAsiaTheme="minorEastAsia" w:hAnsiTheme="minorHAnsi" w:cstheme="minorBidi"/>
          <w:noProof/>
          <w:szCs w:val="28"/>
          <w:lang w:eastAsia="zh-CN" w:bidi="th-TH"/>
        </w:rPr>
      </w:pPr>
      <w:hyperlink w:anchor="_Toc99617118" w:history="1">
        <w:r w:rsidR="00235FFC" w:rsidRPr="00B27A6A">
          <w:rPr>
            <w:rStyle w:val="Hyperlink"/>
            <w:noProof/>
          </w:rPr>
          <w:t>Aspiration 3 – A genuinely connected and engaged stakeholder sector</w:t>
        </w:r>
        <w:r w:rsidR="00235FFC">
          <w:rPr>
            <w:noProof/>
            <w:webHidden/>
          </w:rPr>
          <w:tab/>
        </w:r>
        <w:r w:rsidR="00235FFC">
          <w:rPr>
            <w:noProof/>
            <w:webHidden/>
          </w:rPr>
          <w:fldChar w:fldCharType="begin"/>
        </w:r>
        <w:r w:rsidR="00235FFC">
          <w:rPr>
            <w:noProof/>
            <w:webHidden/>
          </w:rPr>
          <w:instrText xml:space="preserve"> PAGEREF _Toc99617118 \h </w:instrText>
        </w:r>
        <w:r w:rsidR="00235FFC">
          <w:rPr>
            <w:noProof/>
            <w:webHidden/>
          </w:rPr>
        </w:r>
        <w:r w:rsidR="00235FFC">
          <w:rPr>
            <w:noProof/>
            <w:webHidden/>
          </w:rPr>
          <w:fldChar w:fldCharType="separate"/>
        </w:r>
        <w:r w:rsidR="00DF4DCE">
          <w:rPr>
            <w:noProof/>
            <w:webHidden/>
          </w:rPr>
          <w:t>24</w:t>
        </w:r>
        <w:r w:rsidR="00235FFC">
          <w:rPr>
            <w:noProof/>
            <w:webHidden/>
          </w:rPr>
          <w:fldChar w:fldCharType="end"/>
        </w:r>
      </w:hyperlink>
    </w:p>
    <w:p w14:paraId="69E59B93" w14:textId="6CD4FA6A" w:rsidR="00235FFC" w:rsidRDefault="007E35D3">
      <w:pPr>
        <w:pStyle w:val="TOC3"/>
        <w:rPr>
          <w:rFonts w:asciiTheme="minorHAnsi" w:eastAsiaTheme="minorEastAsia" w:hAnsiTheme="minorHAnsi" w:cstheme="minorBidi"/>
          <w:noProof/>
          <w:szCs w:val="28"/>
          <w:lang w:eastAsia="zh-CN" w:bidi="th-TH"/>
        </w:rPr>
      </w:pPr>
      <w:hyperlink w:anchor="_Toc99617119" w:history="1">
        <w:r w:rsidR="00235FFC" w:rsidRPr="00B27A6A">
          <w:rPr>
            <w:rStyle w:val="Hyperlink"/>
            <w:noProof/>
          </w:rPr>
          <w:t>Aspiration 4 – A high-performing NDIA</w:t>
        </w:r>
        <w:r w:rsidR="00235FFC">
          <w:rPr>
            <w:noProof/>
            <w:webHidden/>
          </w:rPr>
          <w:tab/>
        </w:r>
        <w:r w:rsidR="00235FFC">
          <w:rPr>
            <w:noProof/>
            <w:webHidden/>
          </w:rPr>
          <w:fldChar w:fldCharType="begin"/>
        </w:r>
        <w:r w:rsidR="00235FFC">
          <w:rPr>
            <w:noProof/>
            <w:webHidden/>
          </w:rPr>
          <w:instrText xml:space="preserve"> PAGEREF _Toc99617119 \h </w:instrText>
        </w:r>
        <w:r w:rsidR="00235FFC">
          <w:rPr>
            <w:noProof/>
            <w:webHidden/>
          </w:rPr>
        </w:r>
        <w:r w:rsidR="00235FFC">
          <w:rPr>
            <w:noProof/>
            <w:webHidden/>
          </w:rPr>
          <w:fldChar w:fldCharType="separate"/>
        </w:r>
        <w:r w:rsidR="00DF4DCE">
          <w:rPr>
            <w:noProof/>
            <w:webHidden/>
          </w:rPr>
          <w:t>26</w:t>
        </w:r>
        <w:r w:rsidR="00235FFC">
          <w:rPr>
            <w:noProof/>
            <w:webHidden/>
          </w:rPr>
          <w:fldChar w:fldCharType="end"/>
        </w:r>
      </w:hyperlink>
    </w:p>
    <w:p w14:paraId="288E3411" w14:textId="36FC7839" w:rsidR="00235FFC" w:rsidRDefault="007E35D3">
      <w:pPr>
        <w:pStyle w:val="TOC3"/>
        <w:rPr>
          <w:rFonts w:asciiTheme="minorHAnsi" w:eastAsiaTheme="minorEastAsia" w:hAnsiTheme="minorHAnsi" w:cstheme="minorBidi"/>
          <w:noProof/>
          <w:szCs w:val="28"/>
          <w:lang w:eastAsia="zh-CN" w:bidi="th-TH"/>
        </w:rPr>
      </w:pPr>
      <w:hyperlink w:anchor="_Toc99617121" w:history="1">
        <w:r w:rsidR="00235FFC" w:rsidRPr="00B27A6A">
          <w:rPr>
            <w:rStyle w:val="Hyperlink"/>
            <w:noProof/>
          </w:rPr>
          <w:t>Aspiration 5 – A financially sustainable NDIS</w:t>
        </w:r>
        <w:r w:rsidR="00235FFC">
          <w:rPr>
            <w:noProof/>
            <w:webHidden/>
          </w:rPr>
          <w:tab/>
        </w:r>
        <w:r w:rsidR="00235FFC">
          <w:rPr>
            <w:noProof/>
            <w:webHidden/>
          </w:rPr>
          <w:fldChar w:fldCharType="begin"/>
        </w:r>
        <w:r w:rsidR="00235FFC">
          <w:rPr>
            <w:noProof/>
            <w:webHidden/>
          </w:rPr>
          <w:instrText xml:space="preserve"> PAGEREF _Toc99617121 \h </w:instrText>
        </w:r>
        <w:r w:rsidR="00235FFC">
          <w:rPr>
            <w:noProof/>
            <w:webHidden/>
          </w:rPr>
        </w:r>
        <w:r w:rsidR="00235FFC">
          <w:rPr>
            <w:noProof/>
            <w:webHidden/>
          </w:rPr>
          <w:fldChar w:fldCharType="separate"/>
        </w:r>
        <w:r w:rsidR="00DF4DCE">
          <w:rPr>
            <w:noProof/>
            <w:webHidden/>
          </w:rPr>
          <w:t>28</w:t>
        </w:r>
        <w:r w:rsidR="00235FFC">
          <w:rPr>
            <w:noProof/>
            <w:webHidden/>
          </w:rPr>
          <w:fldChar w:fldCharType="end"/>
        </w:r>
      </w:hyperlink>
    </w:p>
    <w:p w14:paraId="72702599" w14:textId="15AD6ABA" w:rsidR="00235FFC" w:rsidRDefault="007E35D3">
      <w:pPr>
        <w:pStyle w:val="TOC2"/>
        <w:rPr>
          <w:rFonts w:asciiTheme="minorHAnsi" w:eastAsiaTheme="minorEastAsia" w:hAnsiTheme="minorHAnsi" w:cstheme="minorBidi"/>
          <w:noProof/>
          <w:szCs w:val="28"/>
          <w:lang w:eastAsia="zh-CN" w:bidi="th-TH"/>
        </w:rPr>
      </w:pPr>
      <w:hyperlink w:anchor="_Toc99617122" w:history="1">
        <w:r w:rsidR="00235FFC" w:rsidRPr="00B27A6A">
          <w:rPr>
            <w:rStyle w:val="Hyperlink"/>
            <w:noProof/>
          </w:rPr>
          <w:t>4.</w:t>
        </w:r>
        <w:r w:rsidR="00235FFC">
          <w:rPr>
            <w:rFonts w:asciiTheme="minorHAnsi" w:eastAsiaTheme="minorEastAsia" w:hAnsiTheme="minorHAnsi" w:cstheme="minorBidi"/>
            <w:noProof/>
            <w:szCs w:val="28"/>
            <w:lang w:eastAsia="zh-CN" w:bidi="th-TH"/>
          </w:rPr>
          <w:tab/>
        </w:r>
        <w:r w:rsidR="00235FFC" w:rsidRPr="00B27A6A">
          <w:rPr>
            <w:rStyle w:val="Hyperlink"/>
            <w:noProof/>
          </w:rPr>
          <w:t>Performance measures and targets</w:t>
        </w:r>
        <w:r w:rsidR="00235FFC">
          <w:rPr>
            <w:noProof/>
            <w:webHidden/>
          </w:rPr>
          <w:tab/>
        </w:r>
        <w:r w:rsidR="00235FFC">
          <w:rPr>
            <w:noProof/>
            <w:webHidden/>
          </w:rPr>
          <w:fldChar w:fldCharType="begin"/>
        </w:r>
        <w:r w:rsidR="00235FFC">
          <w:rPr>
            <w:noProof/>
            <w:webHidden/>
          </w:rPr>
          <w:instrText xml:space="preserve"> PAGEREF _Toc99617122 \h </w:instrText>
        </w:r>
        <w:r w:rsidR="00235FFC">
          <w:rPr>
            <w:noProof/>
            <w:webHidden/>
          </w:rPr>
        </w:r>
        <w:r w:rsidR="00235FFC">
          <w:rPr>
            <w:noProof/>
            <w:webHidden/>
          </w:rPr>
          <w:fldChar w:fldCharType="separate"/>
        </w:r>
        <w:r w:rsidR="00DF4DCE">
          <w:rPr>
            <w:noProof/>
            <w:webHidden/>
          </w:rPr>
          <w:t>31</w:t>
        </w:r>
        <w:r w:rsidR="00235FFC">
          <w:rPr>
            <w:noProof/>
            <w:webHidden/>
          </w:rPr>
          <w:fldChar w:fldCharType="end"/>
        </w:r>
      </w:hyperlink>
    </w:p>
    <w:p w14:paraId="535F4BFA" w14:textId="4CAC41EF" w:rsidR="00235FFC" w:rsidRDefault="007E35D3">
      <w:pPr>
        <w:pStyle w:val="TOC2"/>
        <w:rPr>
          <w:rFonts w:asciiTheme="minorHAnsi" w:eastAsiaTheme="minorEastAsia" w:hAnsiTheme="minorHAnsi" w:cstheme="minorBidi"/>
          <w:noProof/>
          <w:szCs w:val="28"/>
          <w:lang w:eastAsia="zh-CN" w:bidi="th-TH"/>
        </w:rPr>
      </w:pPr>
      <w:hyperlink w:anchor="_Toc99617129" w:history="1">
        <w:r w:rsidR="00235FFC" w:rsidRPr="00B27A6A">
          <w:rPr>
            <w:rStyle w:val="Hyperlink"/>
            <w:noProof/>
          </w:rPr>
          <w:t>5.</w:t>
        </w:r>
        <w:r w:rsidR="00235FFC">
          <w:rPr>
            <w:rFonts w:asciiTheme="minorHAnsi" w:eastAsiaTheme="minorEastAsia" w:hAnsiTheme="minorHAnsi" w:cstheme="minorBidi"/>
            <w:noProof/>
            <w:szCs w:val="28"/>
            <w:lang w:eastAsia="zh-CN" w:bidi="th-TH"/>
          </w:rPr>
          <w:tab/>
        </w:r>
        <w:r w:rsidR="00235FFC" w:rsidRPr="00B27A6A">
          <w:rPr>
            <w:rStyle w:val="Hyperlink"/>
            <w:noProof/>
          </w:rPr>
          <w:t>Financials</w:t>
        </w:r>
        <w:r w:rsidR="00235FFC">
          <w:rPr>
            <w:noProof/>
            <w:webHidden/>
          </w:rPr>
          <w:tab/>
        </w:r>
        <w:r w:rsidR="00235FFC">
          <w:rPr>
            <w:noProof/>
            <w:webHidden/>
          </w:rPr>
          <w:fldChar w:fldCharType="begin"/>
        </w:r>
        <w:r w:rsidR="00235FFC">
          <w:rPr>
            <w:noProof/>
            <w:webHidden/>
          </w:rPr>
          <w:instrText xml:space="preserve"> PAGEREF _Toc99617129 \h </w:instrText>
        </w:r>
        <w:r w:rsidR="00235FFC">
          <w:rPr>
            <w:noProof/>
            <w:webHidden/>
          </w:rPr>
        </w:r>
        <w:r w:rsidR="00235FFC">
          <w:rPr>
            <w:noProof/>
            <w:webHidden/>
          </w:rPr>
          <w:fldChar w:fldCharType="separate"/>
        </w:r>
        <w:r w:rsidR="00DF4DCE">
          <w:rPr>
            <w:noProof/>
            <w:webHidden/>
          </w:rPr>
          <w:t>36</w:t>
        </w:r>
        <w:r w:rsidR="00235FFC">
          <w:rPr>
            <w:noProof/>
            <w:webHidden/>
          </w:rPr>
          <w:fldChar w:fldCharType="end"/>
        </w:r>
      </w:hyperlink>
    </w:p>
    <w:p w14:paraId="09F29728" w14:textId="0A919B82" w:rsidR="00235FFC" w:rsidRDefault="007E35D3">
      <w:pPr>
        <w:pStyle w:val="TOC2"/>
        <w:rPr>
          <w:rFonts w:asciiTheme="minorHAnsi" w:eastAsiaTheme="minorEastAsia" w:hAnsiTheme="minorHAnsi" w:cstheme="minorBidi"/>
          <w:noProof/>
          <w:szCs w:val="28"/>
          <w:lang w:eastAsia="zh-CN" w:bidi="th-TH"/>
        </w:rPr>
      </w:pPr>
      <w:hyperlink w:anchor="_Toc99617132" w:history="1">
        <w:r w:rsidR="00235FFC" w:rsidRPr="00B27A6A">
          <w:rPr>
            <w:rStyle w:val="Hyperlink"/>
            <w:noProof/>
          </w:rPr>
          <w:t>6.</w:t>
        </w:r>
        <w:r w:rsidR="00235FFC">
          <w:rPr>
            <w:rFonts w:asciiTheme="minorHAnsi" w:eastAsiaTheme="minorEastAsia" w:hAnsiTheme="minorHAnsi" w:cstheme="minorBidi"/>
            <w:noProof/>
            <w:szCs w:val="28"/>
            <w:lang w:eastAsia="zh-CN" w:bidi="th-TH"/>
          </w:rPr>
          <w:tab/>
        </w:r>
        <w:r w:rsidR="00235FFC" w:rsidRPr="00B27A6A">
          <w:rPr>
            <w:rStyle w:val="Hyperlink"/>
            <w:noProof/>
          </w:rPr>
          <w:t>Risk governance</w:t>
        </w:r>
        <w:r w:rsidR="00235FFC">
          <w:rPr>
            <w:noProof/>
            <w:webHidden/>
          </w:rPr>
          <w:tab/>
        </w:r>
        <w:r w:rsidR="00235FFC">
          <w:rPr>
            <w:noProof/>
            <w:webHidden/>
          </w:rPr>
          <w:fldChar w:fldCharType="begin"/>
        </w:r>
        <w:r w:rsidR="00235FFC">
          <w:rPr>
            <w:noProof/>
            <w:webHidden/>
          </w:rPr>
          <w:instrText xml:space="preserve"> PAGEREF _Toc99617132 \h </w:instrText>
        </w:r>
        <w:r w:rsidR="00235FFC">
          <w:rPr>
            <w:noProof/>
            <w:webHidden/>
          </w:rPr>
        </w:r>
        <w:r w:rsidR="00235FFC">
          <w:rPr>
            <w:noProof/>
            <w:webHidden/>
          </w:rPr>
          <w:fldChar w:fldCharType="separate"/>
        </w:r>
        <w:r w:rsidR="00DF4DCE">
          <w:rPr>
            <w:noProof/>
            <w:webHidden/>
          </w:rPr>
          <w:t>39</w:t>
        </w:r>
        <w:r w:rsidR="00235FFC">
          <w:rPr>
            <w:noProof/>
            <w:webHidden/>
          </w:rPr>
          <w:fldChar w:fldCharType="end"/>
        </w:r>
      </w:hyperlink>
    </w:p>
    <w:p w14:paraId="3A9D8B22" w14:textId="67BF36F1" w:rsidR="00235FFC" w:rsidRDefault="007E35D3">
      <w:pPr>
        <w:pStyle w:val="TOC2"/>
        <w:rPr>
          <w:rFonts w:asciiTheme="minorHAnsi" w:eastAsiaTheme="minorEastAsia" w:hAnsiTheme="minorHAnsi" w:cstheme="minorBidi"/>
          <w:noProof/>
          <w:szCs w:val="28"/>
          <w:lang w:eastAsia="zh-CN" w:bidi="th-TH"/>
        </w:rPr>
      </w:pPr>
      <w:hyperlink w:anchor="_Toc99617137" w:history="1">
        <w:r w:rsidR="00235FFC" w:rsidRPr="00B27A6A">
          <w:rPr>
            <w:rStyle w:val="Hyperlink"/>
            <w:noProof/>
          </w:rPr>
          <w:t>7.</w:t>
        </w:r>
        <w:r w:rsidR="00235FFC">
          <w:rPr>
            <w:rFonts w:asciiTheme="minorHAnsi" w:eastAsiaTheme="minorEastAsia" w:hAnsiTheme="minorHAnsi" w:cstheme="minorBidi"/>
            <w:noProof/>
            <w:szCs w:val="28"/>
            <w:lang w:eastAsia="zh-CN" w:bidi="th-TH"/>
          </w:rPr>
          <w:tab/>
        </w:r>
        <w:r w:rsidR="00235FFC" w:rsidRPr="00B27A6A">
          <w:rPr>
            <w:rStyle w:val="Hyperlink"/>
            <w:noProof/>
          </w:rPr>
          <w:t>Appendices</w:t>
        </w:r>
        <w:r w:rsidR="00235FFC">
          <w:rPr>
            <w:noProof/>
            <w:webHidden/>
          </w:rPr>
          <w:tab/>
        </w:r>
        <w:r w:rsidR="00235FFC">
          <w:rPr>
            <w:noProof/>
            <w:webHidden/>
          </w:rPr>
          <w:fldChar w:fldCharType="begin"/>
        </w:r>
        <w:r w:rsidR="00235FFC">
          <w:rPr>
            <w:noProof/>
            <w:webHidden/>
          </w:rPr>
          <w:instrText xml:space="preserve"> PAGEREF _Toc99617137 \h </w:instrText>
        </w:r>
        <w:r w:rsidR="00235FFC">
          <w:rPr>
            <w:noProof/>
            <w:webHidden/>
          </w:rPr>
        </w:r>
        <w:r w:rsidR="00235FFC">
          <w:rPr>
            <w:noProof/>
            <w:webHidden/>
          </w:rPr>
          <w:fldChar w:fldCharType="separate"/>
        </w:r>
        <w:r w:rsidR="00DF4DCE">
          <w:rPr>
            <w:noProof/>
            <w:webHidden/>
          </w:rPr>
          <w:t>42</w:t>
        </w:r>
        <w:r w:rsidR="00235FFC">
          <w:rPr>
            <w:noProof/>
            <w:webHidden/>
          </w:rPr>
          <w:fldChar w:fldCharType="end"/>
        </w:r>
      </w:hyperlink>
    </w:p>
    <w:p w14:paraId="48EF7AA2" w14:textId="77777777" w:rsidR="004D32B5" w:rsidRDefault="0040062A" w:rsidP="00235FFC">
      <w:r>
        <w:fldChar w:fldCharType="end"/>
      </w:r>
      <w:r w:rsidR="004D32B5">
        <w:br w:type="page"/>
      </w:r>
    </w:p>
    <w:p w14:paraId="2640662E" w14:textId="4FF1B8E8" w:rsidR="00237F12" w:rsidRDefault="004D32B5" w:rsidP="009D5AD7">
      <w:pPr>
        <w:pStyle w:val="Heading2"/>
        <w:numPr>
          <w:ilvl w:val="0"/>
          <w:numId w:val="0"/>
        </w:numPr>
        <w:ind w:left="720" w:hanging="720"/>
      </w:pPr>
      <w:bookmarkStart w:id="20" w:name="_Toc99617100"/>
      <w:r w:rsidRPr="00A21351">
        <w:t>Executive summary</w:t>
      </w:r>
      <w:bookmarkEnd w:id="20"/>
      <w:r w:rsidR="00A12ACF">
        <w:t xml:space="preserve"> </w:t>
      </w:r>
    </w:p>
    <w:p w14:paraId="595FC312" w14:textId="77777777" w:rsidR="00C300D8" w:rsidRDefault="00FC3B99" w:rsidP="001D65B1">
      <w:r>
        <w:t>The NDIS was established in 2013 to support Australians living with permanent or significant disability to</w:t>
      </w:r>
      <w:r w:rsidR="00F8037B">
        <w:t xml:space="preserve"> build their capacity, increase</w:t>
      </w:r>
      <w:r w:rsidR="00006DBD">
        <w:t xml:space="preserve"> their</w:t>
      </w:r>
      <w:r w:rsidR="00F8037B">
        <w:t xml:space="preserve"> independence and establish stronger social and economic participation. </w:t>
      </w:r>
    </w:p>
    <w:p w14:paraId="4454C7B9" w14:textId="4D5A7DDF" w:rsidR="00F8037B" w:rsidRDefault="00C300D8" w:rsidP="001D65B1">
      <w:r>
        <w:t>W</w:t>
      </w:r>
      <w:r w:rsidR="00F8037B">
        <w:t>e are</w:t>
      </w:r>
      <w:r w:rsidR="006A62F3">
        <w:t xml:space="preserve"> celebrating</w:t>
      </w:r>
      <w:r w:rsidR="00F8037B">
        <w:t xml:space="preserve"> the 10th year of the NDIS. Over the last nine years, we have welcomed </w:t>
      </w:r>
      <w:r w:rsidR="00F8037B" w:rsidRPr="004847B4">
        <w:t xml:space="preserve">approximately </w:t>
      </w:r>
      <w:r w:rsidR="00F8037B" w:rsidRPr="009C01F9">
        <w:t>5</w:t>
      </w:r>
      <w:r w:rsidR="00067AB5">
        <w:t>35</w:t>
      </w:r>
      <w:r w:rsidR="00F8037B" w:rsidRPr="009C01F9">
        <w:t>,000</w:t>
      </w:r>
      <w:r w:rsidR="00F8037B">
        <w:t xml:space="preserve"> participants into the Scheme, with around </w:t>
      </w:r>
      <w:r w:rsidR="007B33EE">
        <w:t>314</w:t>
      </w:r>
      <w:r w:rsidR="00F8037B">
        <w:t xml:space="preserve">,000 of these participants receiving disability-related supports for the first time. </w:t>
      </w:r>
      <w:r w:rsidR="00F8037B" w:rsidRPr="00BB7DBA">
        <w:t xml:space="preserve">This includes </w:t>
      </w:r>
      <w:r w:rsidR="00F8037B">
        <w:t xml:space="preserve">approximately </w:t>
      </w:r>
      <w:r w:rsidR="00E94EC7">
        <w:t>8</w:t>
      </w:r>
      <w:r w:rsidR="007B33EE">
        <w:t>3</w:t>
      </w:r>
      <w:r w:rsidR="00E94EC7">
        <w:t>,000</w:t>
      </w:r>
      <w:r w:rsidR="00F8037B">
        <w:t xml:space="preserve"> </w:t>
      </w:r>
      <w:r w:rsidR="00F8037B" w:rsidRPr="00BB7DBA">
        <w:t xml:space="preserve">children </w:t>
      </w:r>
      <w:r w:rsidR="00E94EC7">
        <w:t xml:space="preserve">under the age of seven years </w:t>
      </w:r>
      <w:r w:rsidR="00F8037B" w:rsidRPr="00BB7DBA">
        <w:t xml:space="preserve">with developmental delay or disability, ensuring they receive supports early in life so that they can </w:t>
      </w:r>
      <w:r w:rsidR="008E2FAD">
        <w:t xml:space="preserve">be as independent as possible </w:t>
      </w:r>
      <w:r w:rsidR="00F8037B" w:rsidRPr="00BB7DBA">
        <w:t xml:space="preserve">and achieve </w:t>
      </w:r>
      <w:r w:rsidR="008E2FAD">
        <w:t xml:space="preserve">positive </w:t>
      </w:r>
      <w:r w:rsidR="00F8037B" w:rsidRPr="00BB7DBA">
        <w:t>outcomes throughout their lives.</w:t>
      </w:r>
      <w:r w:rsidR="00A12ACF">
        <w:t xml:space="preserve"> </w:t>
      </w:r>
    </w:p>
    <w:p w14:paraId="32E8BD40" w14:textId="0F1A0D70" w:rsidR="00F8037B" w:rsidRDefault="00F8037B" w:rsidP="001D65B1">
      <w:r>
        <w:t xml:space="preserve">We continue to focus on essential service delivery and support for participants </w:t>
      </w:r>
      <w:r w:rsidR="00006DBD">
        <w:t>t</w:t>
      </w:r>
      <w:r>
        <w:t xml:space="preserve">hrough the coronavirus (COVID-19) pandemic. </w:t>
      </w:r>
      <w:r>
        <w:rPr>
          <w:rFonts w:eastAsia="Arial" w:cs="Arial"/>
        </w:rPr>
        <w:t>Participant safety is paramount, and we</w:t>
      </w:r>
      <w:r>
        <w:t xml:space="preserve"> recognise the challenges participants have experienced</w:t>
      </w:r>
      <w:r w:rsidR="00006DBD">
        <w:t xml:space="preserve"> during this time</w:t>
      </w:r>
      <w:r>
        <w:t>. In response, we regularly update</w:t>
      </w:r>
      <w:r w:rsidR="006C7767">
        <w:t>d</w:t>
      </w:r>
      <w:r>
        <w:t xml:space="preserve"> our COVID-19 action plan and measures to support participants and providers. </w:t>
      </w:r>
      <w:r w:rsidR="00FC6CE4">
        <w:t>This included</w:t>
      </w:r>
      <w:r>
        <w:t xml:space="preserve"> work with Commonwealth and state and territory governments to </w:t>
      </w:r>
      <w:r w:rsidR="00EB5060">
        <w:t>lift the vaccination rates of participants and provider workers, and assistance to ensure participants impacted by COVID-19 continued to receive essential disability-related supports.</w:t>
      </w:r>
      <w:r w:rsidR="00A12ACF">
        <w:t xml:space="preserve"> </w:t>
      </w:r>
    </w:p>
    <w:p w14:paraId="0B9A6303" w14:textId="7AF2F3E1" w:rsidR="000279E0" w:rsidRDefault="00481D5E" w:rsidP="000279E0">
      <w:r w:rsidRPr="00481D5E">
        <w:t>In the last decade</w:t>
      </w:r>
      <w:r w:rsidR="003D310F">
        <w:t>,</w:t>
      </w:r>
      <w:r w:rsidRPr="00481D5E">
        <w:t xml:space="preserve"> the sector has </w:t>
      </w:r>
      <w:r w:rsidRPr="00A76F5B">
        <w:t>reimagined</w:t>
      </w:r>
      <w:r w:rsidRPr="00481D5E">
        <w:t xml:space="preserve"> an NDIS for Australians with disability but there is still more to do.</w:t>
      </w:r>
      <w:r w:rsidR="00A46D2B">
        <w:t xml:space="preserve"> </w:t>
      </w:r>
      <w:r w:rsidR="000279E0">
        <w:t xml:space="preserve">Under the newly elected Government, the NDIA Board and management are committed to contributing </w:t>
      </w:r>
      <w:r w:rsidR="00FD1044" w:rsidRPr="00FD1044">
        <w:t xml:space="preserve">data and information </w:t>
      </w:r>
      <w:r w:rsidR="000279E0">
        <w:t xml:space="preserve">to a review of the </w:t>
      </w:r>
      <w:r w:rsidR="000279E0" w:rsidRPr="000650B8">
        <w:t>NDIS design, operation and sustainability</w:t>
      </w:r>
      <w:r w:rsidR="000279E0">
        <w:t>, to continue to improve the Scheme.</w:t>
      </w:r>
      <w:r w:rsidR="000D75BC">
        <w:t xml:space="preserve"> </w:t>
      </w:r>
    </w:p>
    <w:p w14:paraId="44B95F51" w14:textId="77777777" w:rsidR="003348C8" w:rsidRDefault="00F11460" w:rsidP="000279E0">
      <w:r w:rsidRPr="00C300D8">
        <w:rPr>
          <w:rFonts w:eastAsia="Arial" w:cs="Arial"/>
        </w:rPr>
        <w:t xml:space="preserve">People with disability are </w:t>
      </w:r>
      <w:r w:rsidR="00840372" w:rsidRPr="00C300D8">
        <w:rPr>
          <w:rFonts w:eastAsia="Arial" w:cs="Arial"/>
        </w:rPr>
        <w:t xml:space="preserve">at </w:t>
      </w:r>
      <w:r w:rsidRPr="00C300D8">
        <w:rPr>
          <w:rFonts w:eastAsia="Arial" w:cs="Arial"/>
        </w:rPr>
        <w:t>the cent</w:t>
      </w:r>
      <w:r w:rsidR="00840372" w:rsidRPr="00C300D8">
        <w:rPr>
          <w:rFonts w:eastAsia="Arial" w:cs="Arial"/>
        </w:rPr>
        <w:t>re</w:t>
      </w:r>
      <w:r w:rsidRPr="00C300D8">
        <w:rPr>
          <w:rFonts w:eastAsia="Arial" w:cs="Arial"/>
        </w:rPr>
        <w:t xml:space="preserve"> of the NDIS</w:t>
      </w:r>
      <w:r w:rsidR="00C300D8" w:rsidRPr="003348C8">
        <w:rPr>
          <w:rFonts w:eastAsia="Arial" w:cs="Arial"/>
        </w:rPr>
        <w:t>. W</w:t>
      </w:r>
      <w:r w:rsidR="00F377A4" w:rsidRPr="003348C8">
        <w:rPr>
          <w:rFonts w:eastAsia="Arial" w:cs="Arial"/>
        </w:rPr>
        <w:t>e</w:t>
      </w:r>
      <w:r w:rsidR="00F377A4" w:rsidRPr="00C300D8">
        <w:rPr>
          <w:rFonts w:eastAsia="Arial" w:cs="Arial"/>
        </w:rPr>
        <w:t xml:space="preserve"> understand that for the Scheme to succeed</w:t>
      </w:r>
      <w:r w:rsidR="003348C8">
        <w:rPr>
          <w:rFonts w:eastAsia="Arial" w:cs="Arial"/>
        </w:rPr>
        <w:t>,</w:t>
      </w:r>
      <w:r w:rsidR="00F377A4" w:rsidRPr="00C300D8">
        <w:rPr>
          <w:rFonts w:eastAsia="Arial" w:cs="Arial"/>
        </w:rPr>
        <w:t xml:space="preserve"> it is critical that we listen and work with our participants,</w:t>
      </w:r>
      <w:r w:rsidRPr="00C300D8">
        <w:rPr>
          <w:rFonts w:eastAsia="Arial" w:cs="Arial"/>
        </w:rPr>
        <w:t xml:space="preserve"> their families and carers and the disability community to make sure each improvement is a step in the right direction and the Scheme is available for generations to come.</w:t>
      </w:r>
      <w:r w:rsidR="00275206">
        <w:t xml:space="preserve"> </w:t>
      </w:r>
      <w:bookmarkStart w:id="21" w:name="_Hlk105502349"/>
    </w:p>
    <w:p w14:paraId="579F4DFB" w14:textId="75822BDF" w:rsidR="00F11460" w:rsidRPr="005B5C8A" w:rsidRDefault="00275206" w:rsidP="000279E0">
      <w:r>
        <w:t>Our</w:t>
      </w:r>
      <w:r w:rsidR="003348C8">
        <w:t xml:space="preserve"> </w:t>
      </w:r>
      <w:r w:rsidR="00F11460">
        <w:t>Engagement Framework</w:t>
      </w:r>
      <w:r>
        <w:t>, c</w:t>
      </w:r>
      <w:r w:rsidR="00B738ED">
        <w:t>o-developed with the disability community,</w:t>
      </w:r>
      <w:r w:rsidR="00F11460">
        <w:t xml:space="preserve"> ensure</w:t>
      </w:r>
      <w:r w:rsidR="00B738ED">
        <w:t>s</w:t>
      </w:r>
      <w:r w:rsidR="00F11460">
        <w:t xml:space="preserve"> the views and experiences of people with disability are </w:t>
      </w:r>
      <w:r w:rsidR="00B738ED">
        <w:t xml:space="preserve">central </w:t>
      </w:r>
      <w:r w:rsidR="005107BF">
        <w:t xml:space="preserve">to </w:t>
      </w:r>
      <w:r w:rsidR="00F11460">
        <w:t xml:space="preserve">the decisions we make. This Framework explains what the disability community can expect from us during these engagement activities. It sets out </w:t>
      </w:r>
      <w:r w:rsidR="003348C8">
        <w:t xml:space="preserve">the </w:t>
      </w:r>
      <w:r w:rsidR="00F11460">
        <w:t>ways we will engage – through co-design, consultation and information sharing – and how each of these processes work.</w:t>
      </w:r>
      <w:bookmarkEnd w:id="21"/>
      <w:r w:rsidR="00A12ACF">
        <w:t xml:space="preserve"> </w:t>
      </w:r>
    </w:p>
    <w:p w14:paraId="3AD2F05E" w14:textId="30E3CED4" w:rsidR="003348C8" w:rsidRDefault="000D75BC" w:rsidP="00210D47">
      <w:pPr>
        <w:rPr>
          <w:i/>
        </w:rPr>
      </w:pPr>
      <w:r>
        <w:t xml:space="preserve">The Participant Service Charter, Participant Service Guarantee and Participant Service Improvement Plan </w:t>
      </w:r>
      <w:r w:rsidR="00C346BB">
        <w:t xml:space="preserve">(SIP) </w:t>
      </w:r>
      <w:r>
        <w:t>set out our objectives to deliver a Scheme that meets the expectation</w:t>
      </w:r>
      <w:r w:rsidR="003348C8">
        <w:t>s</w:t>
      </w:r>
      <w:r>
        <w:t xml:space="preserve"> of participants and improves outcomes and experiences. </w:t>
      </w:r>
    </w:p>
    <w:p w14:paraId="5B0169BD" w14:textId="495C156C" w:rsidR="00210D47" w:rsidRDefault="00F8456A" w:rsidP="00210D47">
      <w:r>
        <w:t>Additionally, t</w:t>
      </w:r>
      <w:r w:rsidR="00210D47">
        <w:rPr>
          <w:rFonts w:cs="Arial"/>
          <w:color w:val="222222"/>
          <w:shd w:val="clear" w:color="auto" w:fill="FFFFFF"/>
        </w:rPr>
        <w:t xml:space="preserve">he implementation of the </w:t>
      </w:r>
      <w:r w:rsidR="00210D47" w:rsidRPr="003348C8">
        <w:rPr>
          <w:rFonts w:cs="Arial"/>
          <w:i/>
          <w:color w:val="222222"/>
          <w:shd w:val="clear" w:color="auto" w:fill="FFFFFF"/>
        </w:rPr>
        <w:t>NDIS Amendment (Participant Service Guarantee and Other Measures) Bill 2021</w:t>
      </w:r>
      <w:r w:rsidR="00210D47">
        <w:rPr>
          <w:rFonts w:cs="Arial"/>
          <w:color w:val="222222"/>
          <w:shd w:val="clear" w:color="auto" w:fill="FFFFFF"/>
        </w:rPr>
        <w:t xml:space="preserve"> from 1</w:t>
      </w:r>
      <w:r w:rsidR="00840372">
        <w:rPr>
          <w:rFonts w:cs="Arial"/>
          <w:color w:val="222222"/>
          <w:shd w:val="clear" w:color="auto" w:fill="FFFFFF"/>
        </w:rPr>
        <w:t> </w:t>
      </w:r>
      <w:r w:rsidR="00210D47">
        <w:rPr>
          <w:rFonts w:cs="Arial"/>
          <w:color w:val="222222"/>
          <w:shd w:val="clear" w:color="auto" w:fill="FFFFFF"/>
        </w:rPr>
        <w:t>July</w:t>
      </w:r>
      <w:r w:rsidR="00840372">
        <w:rPr>
          <w:rFonts w:cs="Arial"/>
          <w:color w:val="222222"/>
          <w:shd w:val="clear" w:color="auto" w:fill="FFFFFF"/>
        </w:rPr>
        <w:t> </w:t>
      </w:r>
      <w:r w:rsidR="00210D47">
        <w:rPr>
          <w:rFonts w:cs="Arial"/>
          <w:color w:val="222222"/>
          <w:shd w:val="clear" w:color="auto" w:fill="FFFFFF"/>
        </w:rPr>
        <w:t xml:space="preserve">2022 will increase efficiency and simplify processes for participants, their families and carers. </w:t>
      </w:r>
      <w:r w:rsidR="00CC64FB">
        <w:rPr>
          <w:rFonts w:cs="Arial"/>
          <w:color w:val="222222"/>
          <w:shd w:val="clear" w:color="auto" w:fill="FFFFFF"/>
        </w:rPr>
        <w:t>T</w:t>
      </w:r>
      <w:r w:rsidR="00210D47">
        <w:rPr>
          <w:rFonts w:cs="Arial"/>
          <w:color w:val="222222"/>
          <w:shd w:val="clear" w:color="auto" w:fill="FFFFFF"/>
        </w:rPr>
        <w:t xml:space="preserve">he Act </w:t>
      </w:r>
      <w:r w:rsidR="00CC64FB">
        <w:rPr>
          <w:rFonts w:cs="Arial"/>
          <w:color w:val="222222"/>
          <w:shd w:val="clear" w:color="auto" w:fill="FFFFFF"/>
        </w:rPr>
        <w:t>amendment</w:t>
      </w:r>
      <w:r w:rsidR="006576FB">
        <w:rPr>
          <w:rFonts w:cs="Arial"/>
          <w:color w:val="222222"/>
          <w:shd w:val="clear" w:color="auto" w:fill="FFFFFF"/>
        </w:rPr>
        <w:t xml:space="preserve"> </w:t>
      </w:r>
      <w:r w:rsidR="00272AFD">
        <w:rPr>
          <w:rFonts w:cs="Arial"/>
          <w:color w:val="222222"/>
          <w:shd w:val="clear" w:color="auto" w:fill="FFFFFF"/>
        </w:rPr>
        <w:t xml:space="preserve">will </w:t>
      </w:r>
      <w:r w:rsidR="006576FB">
        <w:rPr>
          <w:rFonts w:cs="Arial"/>
          <w:color w:val="222222"/>
          <w:shd w:val="clear" w:color="auto" w:fill="FFFFFF"/>
        </w:rPr>
        <w:t xml:space="preserve">also </w:t>
      </w:r>
      <w:r w:rsidR="004639B8">
        <w:rPr>
          <w:rFonts w:cs="Arial"/>
          <w:color w:val="222222"/>
          <w:shd w:val="clear" w:color="auto" w:fill="FFFFFF"/>
        </w:rPr>
        <w:t>make</w:t>
      </w:r>
      <w:r w:rsidR="00210D47">
        <w:rPr>
          <w:rFonts w:cs="Arial"/>
          <w:color w:val="222222"/>
          <w:shd w:val="clear" w:color="auto" w:fill="FFFFFF"/>
        </w:rPr>
        <w:t xml:space="preserve"> it easier for participants to vary their plans, without the need for a lengthy review. </w:t>
      </w:r>
    </w:p>
    <w:p w14:paraId="5052CDAD" w14:textId="4719CD60" w:rsidR="003016CC" w:rsidRDefault="003348C8" w:rsidP="003016CC">
      <w:r>
        <w:t xml:space="preserve">The </w:t>
      </w:r>
      <w:r w:rsidR="00B25148">
        <w:t xml:space="preserve">2022-26 </w:t>
      </w:r>
      <w:r w:rsidR="003016CC">
        <w:t>Corporate Plan outlines how we plan to keep improving the NDIS in line with the participant-</w:t>
      </w:r>
      <w:r w:rsidR="0098592F">
        <w:t>centred</w:t>
      </w:r>
      <w:r w:rsidR="003016CC">
        <w:t xml:space="preserve"> vision outlined in the 2011 Productivity Commission </w:t>
      </w:r>
      <w:proofErr w:type="gramStart"/>
      <w:r w:rsidR="003016CC">
        <w:t>Report</w:t>
      </w:r>
      <w:r>
        <w:t>,</w:t>
      </w:r>
      <w:r w:rsidR="00B25148">
        <w:t xml:space="preserve"> and</w:t>
      </w:r>
      <w:proofErr w:type="gramEnd"/>
      <w:r w:rsidR="00B25148">
        <w:t xml:space="preserve"> ensure this world-leading Scheme remains in place for future generations of Australians with disability.</w:t>
      </w:r>
      <w:r w:rsidR="00043EE2">
        <w:t xml:space="preserve"> </w:t>
      </w:r>
    </w:p>
    <w:p w14:paraId="3501FC83" w14:textId="23871F2E" w:rsidR="003348C8" w:rsidRDefault="00EC627D" w:rsidP="001D65B1">
      <w:r>
        <w:t>Efficient, fair and investment focused decision</w:t>
      </w:r>
      <w:r w:rsidR="00BC1C1C">
        <w:t xml:space="preserve"> </w:t>
      </w:r>
      <w:r>
        <w:t xml:space="preserve">making is a priority for participants, and we continue to look at ways to deliver consistent and better outcomes. </w:t>
      </w:r>
      <w:r w:rsidR="000D75BC">
        <w:t xml:space="preserve">In 2022 and beyond, we will focus on improving our processes and systems – getting the basics right and </w:t>
      </w:r>
      <w:r w:rsidR="000D75BC" w:rsidRPr="007E0B61">
        <w:rPr>
          <w:rFonts w:cs="Arial"/>
          <w:color w:val="222222"/>
          <w:szCs w:val="22"/>
          <w:lang w:eastAsia="zh-CN" w:bidi="th-TH"/>
        </w:rPr>
        <w:t>making things as simple as we can</w:t>
      </w:r>
      <w:r w:rsidR="00122961">
        <w:rPr>
          <w:rFonts w:cs="Arial"/>
          <w:color w:val="222222"/>
          <w:szCs w:val="22"/>
          <w:lang w:eastAsia="zh-CN" w:bidi="th-TH"/>
        </w:rPr>
        <w:t>.</w:t>
      </w:r>
      <w:r w:rsidR="00D00C21">
        <w:rPr>
          <w:szCs w:val="22"/>
        </w:rPr>
        <w:t xml:space="preserve"> </w:t>
      </w:r>
      <w:r w:rsidR="001D65B1">
        <w:t xml:space="preserve">We </w:t>
      </w:r>
      <w:r w:rsidR="00D00C21">
        <w:t xml:space="preserve">continue to update </w:t>
      </w:r>
      <w:r w:rsidR="001D65B1">
        <w:t xml:space="preserve">our Operational Guidelines, </w:t>
      </w:r>
      <w:r w:rsidR="00043EE2">
        <w:t xml:space="preserve">sharing with </w:t>
      </w:r>
      <w:r w:rsidR="001D65B1">
        <w:t xml:space="preserve">participants </w:t>
      </w:r>
      <w:r w:rsidR="00043EE2">
        <w:t>clearer information about the NDIS and their plans,</w:t>
      </w:r>
      <w:r w:rsidR="00043EE2" w:rsidDel="00043EE2">
        <w:t xml:space="preserve"> </w:t>
      </w:r>
      <w:r w:rsidR="001D65B1">
        <w:t>how we make decisions</w:t>
      </w:r>
      <w:r w:rsidR="0059685E">
        <w:t xml:space="preserve">, </w:t>
      </w:r>
      <w:r w:rsidR="001D65B1">
        <w:t>and how they can best use their NDIS funds. This follows our commitment to make the Scheme more transparent and easier to understand.</w:t>
      </w:r>
      <w:r w:rsidR="003348C8">
        <w:t xml:space="preserve"> </w:t>
      </w:r>
    </w:p>
    <w:p w14:paraId="20A770EA" w14:textId="0D55996D" w:rsidR="00CB157A" w:rsidRDefault="0059685E" w:rsidP="00290E94">
      <w:r>
        <w:t xml:space="preserve">The NDIA is also committed to reducing the number </w:t>
      </w:r>
      <w:r w:rsidR="00E4224A">
        <w:t xml:space="preserve">of </w:t>
      </w:r>
      <w:r>
        <w:t>matters that progress to the Administrative Appeals Tribunal (AAT). This will be achieved through improving internal review processes and introducing better early resolution processes</w:t>
      </w:r>
      <w:r w:rsidR="00A9602E">
        <w:t>.</w:t>
      </w:r>
      <w:r w:rsidR="00CB157A">
        <w:t xml:space="preserve"> </w:t>
      </w:r>
      <w:r w:rsidR="00A9602E">
        <w:t>A</w:t>
      </w:r>
      <w:r w:rsidR="00CB157A">
        <w:t>lternative dispute resolution processes for participants appealing NDIS decisions</w:t>
      </w:r>
      <w:r w:rsidR="00A9602E">
        <w:t xml:space="preserve"> will also be considered</w:t>
      </w:r>
      <w:r w:rsidR="00CB157A">
        <w:t xml:space="preserve">. </w:t>
      </w:r>
    </w:p>
    <w:p w14:paraId="60F685B3" w14:textId="1DD9EDF8" w:rsidR="001D65B1" w:rsidRDefault="001D65B1" w:rsidP="00290E94">
      <w:r>
        <w:t>We have strengthen</w:t>
      </w:r>
      <w:r w:rsidR="00277D7A">
        <w:t>ed</w:t>
      </w:r>
      <w:r>
        <w:t xml:space="preserve"> our fraud and compliance measures through a multi-agency partnership between the Australian Federal Police, NDIA and Services Australia. We are boost</w:t>
      </w:r>
      <w:r w:rsidR="00277D7A">
        <w:t>ing</w:t>
      </w:r>
      <w:r>
        <w:t xml:space="preserve"> our efforts to </w:t>
      </w:r>
      <w:r w:rsidR="002656F9">
        <w:t xml:space="preserve">prevent </w:t>
      </w:r>
      <w:r>
        <w:t>fraud and protect participants from the risk of fraud.</w:t>
      </w:r>
      <w:r w:rsidR="00A12ACF">
        <w:t xml:space="preserve"> </w:t>
      </w:r>
    </w:p>
    <w:p w14:paraId="32BF88F3" w14:textId="4C8B028F" w:rsidR="0005050B" w:rsidRDefault="0005050B" w:rsidP="00290E94">
      <w:r>
        <w:t>Delivering improvements and ensuring the Scheme is participant-</w:t>
      </w:r>
      <w:r w:rsidR="00463A03">
        <w:t>centred</w:t>
      </w:r>
      <w:r>
        <w:t xml:space="preserve"> is only possible through the commitment of our dedicated staff and partners. We are investing in training</w:t>
      </w:r>
      <w:r w:rsidR="00507C1C">
        <w:t>,</w:t>
      </w:r>
      <w:r>
        <w:t xml:space="preserve"> </w:t>
      </w:r>
      <w:r w:rsidR="00D771AE">
        <w:t>improving</w:t>
      </w:r>
      <w:r>
        <w:t xml:space="preserve"> our systems and simplify</w:t>
      </w:r>
      <w:r w:rsidR="003348C8">
        <w:t>ing</w:t>
      </w:r>
      <w:r w:rsidR="00C41F89">
        <w:t xml:space="preserve"> our</w:t>
      </w:r>
      <w:r>
        <w:t xml:space="preserve"> processes.</w:t>
      </w:r>
      <w:r w:rsidR="00A12ACF">
        <w:t xml:space="preserve"> </w:t>
      </w:r>
    </w:p>
    <w:p w14:paraId="47844F97" w14:textId="0BEDFC06" w:rsidR="00547222" w:rsidRDefault="001D65B1" w:rsidP="003D2071">
      <w:r>
        <w:t>The NDIA, our Board</w:t>
      </w:r>
      <w:r w:rsidR="00176556">
        <w:t xml:space="preserve"> </w:t>
      </w:r>
      <w:r>
        <w:t>and senior executives have a shared commitment to work towards better outcomes for people with disability</w:t>
      </w:r>
      <w:r w:rsidR="00400D66">
        <w:t xml:space="preserve">. </w:t>
      </w:r>
      <w:r w:rsidR="00D74BC6">
        <w:t>W</w:t>
      </w:r>
      <w:r w:rsidR="007E5C91">
        <w:t xml:space="preserve">e support people with disability to live the life they choose and contribute to a more inclusive Australia. </w:t>
      </w:r>
      <w:r w:rsidR="00D74BC6">
        <w:t>Together w</w:t>
      </w:r>
      <w:r w:rsidR="00400D66">
        <w:t>e are committed to a better future for the NDIS.</w:t>
      </w:r>
      <w:r w:rsidR="00A12ACF">
        <w:t xml:space="preserve"> </w:t>
      </w:r>
    </w:p>
    <w:p w14:paraId="39F26338" w14:textId="313C1951" w:rsidR="009D5AD7" w:rsidRDefault="009D5AD7" w:rsidP="003D2071">
      <w:pPr>
        <w:rPr>
          <w:b/>
          <w:color w:val="6B2976"/>
          <w:sz w:val="30"/>
          <w:szCs w:val="30"/>
        </w:rPr>
      </w:pPr>
      <w:r>
        <w:br w:type="page"/>
      </w:r>
    </w:p>
    <w:p w14:paraId="22D51C02" w14:textId="43EA1E03" w:rsidR="004D32B5" w:rsidRPr="00EC4364" w:rsidRDefault="009D5AD7" w:rsidP="009D5AD7">
      <w:pPr>
        <w:pStyle w:val="Heading2"/>
      </w:pPr>
      <w:bookmarkStart w:id="22" w:name="_Toc99617101"/>
      <w:r>
        <w:t>NDIS delivered by the NDIA</w:t>
      </w:r>
      <w:bookmarkEnd w:id="22"/>
      <w:r w:rsidR="00A12ACF">
        <w:t xml:space="preserve"> </w:t>
      </w:r>
    </w:p>
    <w:p w14:paraId="64A04933" w14:textId="078E3CE6" w:rsidR="004D4CD4" w:rsidRDefault="004D4CD4" w:rsidP="004D4CD4">
      <w:r w:rsidRPr="6DC7C1F3">
        <w:t xml:space="preserve">The </w:t>
      </w:r>
      <w:r>
        <w:t>NDIS</w:t>
      </w:r>
      <w:r w:rsidRPr="6DC7C1F3">
        <w:t xml:space="preserve"> provides Australians with a permanent and significant disability with financial support to build capacity, increase independence and establish stronger con</w:t>
      </w:r>
      <w:r>
        <w:t>nections with their community</w:t>
      </w:r>
      <w:r w:rsidR="00466096">
        <w:t xml:space="preserve"> and workplace.</w:t>
      </w:r>
      <w:r w:rsidR="00A12ACF">
        <w:t xml:space="preserve"> </w:t>
      </w:r>
    </w:p>
    <w:p w14:paraId="74250683" w14:textId="76C2F4EE" w:rsidR="004D4CD4" w:rsidRDefault="004D4CD4" w:rsidP="004D4CD4">
      <w:r w:rsidRPr="6DC7C1F3">
        <w:t xml:space="preserve">The </w:t>
      </w:r>
      <w:r>
        <w:t>NDIA</w:t>
      </w:r>
      <w:r w:rsidRPr="6DC7C1F3">
        <w:t xml:space="preserve"> is the </w:t>
      </w:r>
      <w:r w:rsidR="0067262D">
        <w:t xml:space="preserve">Corporate </w:t>
      </w:r>
      <w:r w:rsidRPr="00B83EFA">
        <w:t xml:space="preserve">Commonwealth </w:t>
      </w:r>
      <w:r w:rsidRPr="6DC7C1F3">
        <w:t>entity responsible for managi</w:t>
      </w:r>
      <w:r>
        <w:t>ng the NDIS. Our purpose is to:</w:t>
      </w:r>
      <w:r w:rsidR="00A12ACF">
        <w:t xml:space="preserve"> </w:t>
      </w:r>
    </w:p>
    <w:p w14:paraId="4B77B963" w14:textId="303B4333" w:rsidR="004D4CD4" w:rsidRPr="007E1351" w:rsidRDefault="004D4CD4" w:rsidP="004D4CD4">
      <w:r w:rsidRPr="00E63634">
        <w:t>‘Support individuals with a significant and permanent disability (participants) to be more independent and engage socially and economically, while delivering a financially sustainable NDIS that builds genuinely connected and engaged communities and stakeholders’</w:t>
      </w:r>
      <w:r>
        <w:t>.</w:t>
      </w:r>
      <w:r w:rsidR="00A12ACF">
        <w:t xml:space="preserve"> </w:t>
      </w:r>
    </w:p>
    <w:p w14:paraId="4B0FF716" w14:textId="6C27B20A" w:rsidR="00E97591" w:rsidRDefault="004D4CD4" w:rsidP="00237F12">
      <w:r>
        <w:t>In its nine</w:t>
      </w:r>
      <w:r w:rsidRPr="00BB7DBA">
        <w:t xml:space="preserve"> years of operation, the NDIS has grown to support </w:t>
      </w:r>
      <w:r w:rsidR="746845C7">
        <w:t>approximately</w:t>
      </w:r>
      <w:r w:rsidRPr="00BB7DBA">
        <w:t xml:space="preserve"> </w:t>
      </w:r>
      <w:r w:rsidR="003F530A" w:rsidRPr="00CC6D4A">
        <w:t>5</w:t>
      </w:r>
      <w:r w:rsidR="003D5F11">
        <w:t>35</w:t>
      </w:r>
      <w:r w:rsidR="003F530A" w:rsidRPr="00CC6D4A">
        <w:t>,000</w:t>
      </w:r>
      <w:r w:rsidRPr="00BB7DBA">
        <w:t xml:space="preserve"> Australians with disabilities to access the services and supports they need to live a more independent life. This includes supporting</w:t>
      </w:r>
      <w:r w:rsidRPr="00BB7DBA" w:rsidDel="00985BED">
        <w:t xml:space="preserve"> </w:t>
      </w:r>
      <w:r w:rsidR="00985BED">
        <w:t xml:space="preserve">approximately </w:t>
      </w:r>
      <w:r w:rsidR="00BE092C" w:rsidRPr="00BE092C">
        <w:t>8</w:t>
      </w:r>
      <w:r w:rsidR="003D5F11">
        <w:t>3</w:t>
      </w:r>
      <w:r w:rsidR="00BE092C" w:rsidRPr="00BE092C">
        <w:t xml:space="preserve">,000 </w:t>
      </w:r>
      <w:r w:rsidRPr="00BB7DBA">
        <w:t>children with developmental delay, ensuring they receive supports early in life so that they can take part in daily activities and achieve the best outcomes throughout their lives.</w:t>
      </w:r>
      <w:r w:rsidR="00A12ACF">
        <w:t xml:space="preserve"> </w:t>
      </w:r>
    </w:p>
    <w:p w14:paraId="3E86E4F4" w14:textId="2DABA1FB" w:rsidR="00237F12" w:rsidRPr="004C22FC" w:rsidRDefault="00237F12" w:rsidP="004C22FC">
      <w:r>
        <w:t xml:space="preserve">As a </w:t>
      </w:r>
      <w:r w:rsidR="004870C7">
        <w:t xml:space="preserve">Corporate </w:t>
      </w:r>
      <w:r>
        <w:t xml:space="preserve">Commonwealth </w:t>
      </w:r>
      <w:r w:rsidR="00BA4344">
        <w:t>e</w:t>
      </w:r>
      <w:r>
        <w:t xml:space="preserve">ntity, we are subject to the </w:t>
      </w:r>
      <w:hyperlink r:id="rId14" w:history="1">
        <w:r w:rsidR="00E95138">
          <w:rPr>
            <w:rStyle w:val="Hyperlink"/>
          </w:rPr>
          <w:t>Commonwealth Performance Framework</w:t>
        </w:r>
      </w:hyperlink>
      <w:r w:rsidR="00E95138">
        <w:t>.</w:t>
      </w:r>
      <w:r>
        <w:t xml:space="preserve"> The Corporate Plan is a key element of this framework, outlining the aspirations and strategic goals that will ensure we achieve our purpose.</w:t>
      </w:r>
      <w:r w:rsidR="000E2DC5" w:rsidRPr="004C22FC">
        <w:t xml:space="preserve"> </w:t>
      </w:r>
    </w:p>
    <w:p w14:paraId="580A35F0" w14:textId="183F48D3" w:rsidR="00237F12" w:rsidRDefault="00237F12" w:rsidP="004C22FC">
      <w:r>
        <w:t>We also provide an annual performance statement in the annual report</w:t>
      </w:r>
      <w:r w:rsidR="00882F66">
        <w:t>,</w:t>
      </w:r>
      <w:r>
        <w:t xml:space="preserve"> and detailed quarterly reports to the Disability Ministerial Council on NDIS performance.</w:t>
      </w:r>
      <w:r w:rsidR="00A12ACF">
        <w:t xml:space="preserve"> </w:t>
      </w:r>
    </w:p>
    <w:p w14:paraId="1AC4151A" w14:textId="2C71D946" w:rsidR="00237F12" w:rsidRDefault="00237F12" w:rsidP="004C22FC">
      <w:r>
        <w:t xml:space="preserve">All </w:t>
      </w:r>
      <w:r w:rsidR="00D5338A">
        <w:t xml:space="preserve">of </w:t>
      </w:r>
      <w:r>
        <w:t>our reports are</w:t>
      </w:r>
      <w:r w:rsidR="00D5338A">
        <w:t xml:space="preserve"> </w:t>
      </w:r>
      <w:r w:rsidR="00196672">
        <w:t>publicly</w:t>
      </w:r>
      <w:r>
        <w:t xml:space="preserve"> available for download on the </w:t>
      </w:r>
      <w:hyperlink r:id="rId15" w:history="1">
        <w:r w:rsidR="00E95138">
          <w:rPr>
            <w:rStyle w:val="Hyperlink"/>
          </w:rPr>
          <w:t>NDIS website</w:t>
        </w:r>
      </w:hyperlink>
      <w:r w:rsidR="00E95138">
        <w:t>.</w:t>
      </w:r>
      <w:r w:rsidR="00A12ACF">
        <w:t xml:space="preserve"> </w:t>
      </w:r>
    </w:p>
    <w:p w14:paraId="5A95D4E3" w14:textId="58452638" w:rsidR="00237F12" w:rsidRDefault="002842C7" w:rsidP="00E95138">
      <w:pPr>
        <w:spacing w:after="0" w:line="240" w:lineRule="auto"/>
      </w:pPr>
      <w:r>
        <w:t xml:space="preserve">The NDIA Board is the accountable authority of the NDIA as set out in subdivision A of the PGPA Act. </w:t>
      </w:r>
    </w:p>
    <w:p w14:paraId="4114E633" w14:textId="0823962E" w:rsidR="00237F12" w:rsidRDefault="00237F12" w:rsidP="00CA07C2">
      <w:pPr>
        <w:pStyle w:val="Heading3"/>
      </w:pPr>
      <w:bookmarkStart w:id="23" w:name="_Toc80953508"/>
      <w:bookmarkStart w:id="24" w:name="_Toc76038758"/>
      <w:bookmarkStart w:id="25" w:name="_Toc77690756"/>
      <w:bookmarkStart w:id="26" w:name="_Toc349520206"/>
      <w:bookmarkStart w:id="27" w:name="_Toc98251607"/>
      <w:bookmarkStart w:id="28" w:name="_Toc98252166"/>
      <w:bookmarkStart w:id="29" w:name="_Toc98252438"/>
      <w:bookmarkStart w:id="30" w:name="_Toc99463572"/>
      <w:bookmarkStart w:id="31" w:name="_Toc99617102"/>
      <w:r>
        <w:t>Our insurance principles</w:t>
      </w:r>
      <w:bookmarkEnd w:id="23"/>
      <w:bookmarkEnd w:id="24"/>
      <w:bookmarkEnd w:id="25"/>
      <w:bookmarkEnd w:id="26"/>
      <w:bookmarkEnd w:id="27"/>
      <w:bookmarkEnd w:id="28"/>
      <w:bookmarkEnd w:id="29"/>
      <w:bookmarkEnd w:id="30"/>
      <w:bookmarkEnd w:id="31"/>
      <w:r w:rsidR="00A12ACF">
        <w:t xml:space="preserve"> </w:t>
      </w:r>
    </w:p>
    <w:p w14:paraId="59D01548" w14:textId="6FD8256E" w:rsidR="00237F12" w:rsidRDefault="00237F12" w:rsidP="00237F12">
      <w:r>
        <w:t>The NDIS is based on the guiding principles that people with a disability:</w:t>
      </w:r>
      <w:r w:rsidR="00A12ACF">
        <w:t xml:space="preserve"> </w:t>
      </w:r>
    </w:p>
    <w:p w14:paraId="1ECD546F" w14:textId="5220ED2A" w:rsidR="00237F12" w:rsidRDefault="00191D39" w:rsidP="00562112">
      <w:pPr>
        <w:pStyle w:val="ListParagraph"/>
        <w:numPr>
          <w:ilvl w:val="0"/>
          <w:numId w:val="2"/>
        </w:numPr>
        <w:spacing w:after="160" w:line="256" w:lineRule="auto"/>
      </w:pPr>
      <w:r>
        <w:t>H</w:t>
      </w:r>
      <w:r w:rsidR="00237F12">
        <w:t>ave the same rights as all Australians to realise their potential for physical, social, emotional and intellectual development</w:t>
      </w:r>
      <w:r>
        <w:t>.</w:t>
      </w:r>
      <w:r w:rsidR="00A12ACF">
        <w:t xml:space="preserve"> </w:t>
      </w:r>
    </w:p>
    <w:p w14:paraId="462CE1AB" w14:textId="54373601" w:rsidR="00286D63" w:rsidRPr="00507C1C" w:rsidRDefault="00BC1C1C" w:rsidP="00562112">
      <w:pPr>
        <w:pStyle w:val="ListParagraph"/>
        <w:numPr>
          <w:ilvl w:val="0"/>
          <w:numId w:val="2"/>
        </w:numPr>
        <w:spacing w:after="0" w:line="240" w:lineRule="auto"/>
      </w:pPr>
      <w:r>
        <w:t>Are</w:t>
      </w:r>
      <w:r w:rsidR="00237F12">
        <w:t xml:space="preserve"> supported to participate in and contribute to social and economic life</w:t>
      </w:r>
      <w:r w:rsidR="00792518">
        <w:t>.</w:t>
      </w:r>
      <w:r w:rsidR="00A12ACF">
        <w:t xml:space="preserve"> </w:t>
      </w:r>
    </w:p>
    <w:p w14:paraId="47AC565A" w14:textId="1B3873F0" w:rsidR="00237F12" w:rsidRDefault="00237F12" w:rsidP="000A7450">
      <w:pPr>
        <w:spacing w:before="360"/>
      </w:pPr>
      <w:r>
        <w:t xml:space="preserve">The NDIS is founded on </w:t>
      </w:r>
      <w:r w:rsidR="00AD041A">
        <w:t>five</w:t>
      </w:r>
      <w:r>
        <w:t xml:space="preserve"> insurance principles:</w:t>
      </w:r>
      <w:r w:rsidR="000A7450">
        <w:t xml:space="preserve"> </w:t>
      </w:r>
    </w:p>
    <w:p w14:paraId="397989E5" w14:textId="5FC4758F" w:rsidR="00237F12" w:rsidRDefault="00052BC7" w:rsidP="00562112">
      <w:pPr>
        <w:pStyle w:val="ListParagraph"/>
        <w:numPr>
          <w:ilvl w:val="0"/>
          <w:numId w:val="3"/>
        </w:numPr>
        <w:spacing w:after="160" w:line="256" w:lineRule="auto"/>
      </w:pPr>
      <w:r>
        <w:t>Evidence-based decision making</w:t>
      </w:r>
      <w:r w:rsidR="00191D39">
        <w:t>.</w:t>
      </w:r>
      <w:r w:rsidR="000A7450">
        <w:t xml:space="preserve"> </w:t>
      </w:r>
    </w:p>
    <w:p w14:paraId="06ABEFCF" w14:textId="0EDED1B5" w:rsidR="00237F12" w:rsidRDefault="00052BC7" w:rsidP="00562112">
      <w:pPr>
        <w:pStyle w:val="ListParagraph"/>
        <w:numPr>
          <w:ilvl w:val="0"/>
          <w:numId w:val="3"/>
        </w:numPr>
        <w:spacing w:after="160" w:line="256" w:lineRule="auto"/>
      </w:pPr>
      <w:r>
        <w:t>Consistency in decision making</w:t>
      </w:r>
      <w:r w:rsidR="00191D39">
        <w:t>.</w:t>
      </w:r>
      <w:r w:rsidR="000A7450">
        <w:t xml:space="preserve"> </w:t>
      </w:r>
    </w:p>
    <w:p w14:paraId="0D1B94F8" w14:textId="151FCFAB" w:rsidR="00237F12" w:rsidRDefault="00237F12" w:rsidP="00562112">
      <w:pPr>
        <w:pStyle w:val="ListParagraph"/>
        <w:numPr>
          <w:ilvl w:val="0"/>
          <w:numId w:val="3"/>
        </w:numPr>
        <w:spacing w:after="160" w:line="256" w:lineRule="auto"/>
      </w:pPr>
      <w:r>
        <w:t>Regular monitoring of expe</w:t>
      </w:r>
      <w:r w:rsidR="00052BC7">
        <w:t>rience to manage emerging risks</w:t>
      </w:r>
      <w:r w:rsidR="00191D39">
        <w:t>.</w:t>
      </w:r>
      <w:r w:rsidR="000A7450">
        <w:t xml:space="preserve"> </w:t>
      </w:r>
    </w:p>
    <w:p w14:paraId="762EAD7B" w14:textId="006E8E78" w:rsidR="00237F12" w:rsidRDefault="00237F12" w:rsidP="00562112">
      <w:pPr>
        <w:pStyle w:val="ListParagraph"/>
        <w:numPr>
          <w:ilvl w:val="0"/>
          <w:numId w:val="3"/>
        </w:numPr>
        <w:spacing w:after="160" w:line="256" w:lineRule="auto"/>
      </w:pPr>
      <w:r>
        <w:t>Lifetime and perso</w:t>
      </w:r>
      <w:r w:rsidR="00052BC7">
        <w:t>n-centric approach</w:t>
      </w:r>
      <w:r w:rsidR="00191D39">
        <w:t>.</w:t>
      </w:r>
      <w:r w:rsidR="000A7450">
        <w:t xml:space="preserve"> </w:t>
      </w:r>
    </w:p>
    <w:p w14:paraId="61B953E1" w14:textId="5EC6AF3D" w:rsidR="00BB6843" w:rsidRPr="00392D5C" w:rsidRDefault="00237F12" w:rsidP="00392D5C">
      <w:pPr>
        <w:pStyle w:val="ListParagraph"/>
        <w:numPr>
          <w:ilvl w:val="0"/>
          <w:numId w:val="3"/>
        </w:numPr>
        <w:spacing w:after="160" w:line="256" w:lineRule="auto"/>
      </w:pPr>
      <w:r>
        <w:t>Early investment to drive lifetime participant outcomes</w:t>
      </w:r>
      <w:r w:rsidR="000B2E41">
        <w:t>.</w:t>
      </w:r>
      <w:r w:rsidR="000A7450">
        <w:t xml:space="preserve"> </w:t>
      </w:r>
      <w:bookmarkStart w:id="32" w:name="_Toc98251608"/>
      <w:bookmarkStart w:id="33" w:name="_Toc98252167"/>
      <w:bookmarkStart w:id="34" w:name="_Toc98252439"/>
      <w:bookmarkStart w:id="35" w:name="_Toc99463573"/>
      <w:bookmarkStart w:id="36" w:name="_Toc99617103"/>
      <w:bookmarkStart w:id="37" w:name="_Hlk98243693"/>
    </w:p>
    <w:p w14:paraId="5183E942" w14:textId="4AEC2E4E" w:rsidR="004D32B5" w:rsidRDefault="009D5AD7" w:rsidP="00CA07C2">
      <w:pPr>
        <w:pStyle w:val="Heading3"/>
      </w:pPr>
      <w:r>
        <w:t xml:space="preserve">Key </w:t>
      </w:r>
      <w:r w:rsidR="00E47897">
        <w:t>h</w:t>
      </w:r>
      <w:r>
        <w:t>ighlights</w:t>
      </w:r>
      <w:bookmarkEnd w:id="32"/>
      <w:bookmarkEnd w:id="33"/>
      <w:bookmarkEnd w:id="34"/>
      <w:bookmarkEnd w:id="35"/>
      <w:bookmarkEnd w:id="36"/>
      <w:r w:rsidR="000A7450">
        <w:t xml:space="preserve"> </w:t>
      </w:r>
    </w:p>
    <w:p w14:paraId="50E6DB65" w14:textId="77777777" w:rsidR="00762627" w:rsidRDefault="00762627" w:rsidP="00762627">
      <w:pPr>
        <w:pStyle w:val="Heading4"/>
      </w:pPr>
      <w:bookmarkStart w:id="38" w:name="_Toc99463574"/>
      <w:bookmarkStart w:id="39" w:name="_Toc99617104"/>
      <w:bookmarkStart w:id="40" w:name="_Toc183634710"/>
      <w:bookmarkStart w:id="41" w:name="_Toc77690764"/>
      <w:bookmarkStart w:id="42" w:name="_Toc76038764"/>
      <w:bookmarkEnd w:id="37"/>
      <w:r>
        <w:t>Participant outcomes</w:t>
      </w:r>
      <w:bookmarkEnd w:id="38"/>
      <w:bookmarkEnd w:id="39"/>
      <w:r>
        <w:t xml:space="preserve"> </w:t>
      </w:r>
    </w:p>
    <w:p w14:paraId="2D92BB2E" w14:textId="74310593" w:rsidR="001A0B98" w:rsidRDefault="00DE2EFF" w:rsidP="00762627">
      <w:r>
        <w:t xml:space="preserve">The NDIS Outcomes Framework was developed </w:t>
      </w:r>
      <w:r w:rsidR="008E2FAD">
        <w:t xml:space="preserve">in </w:t>
      </w:r>
      <w:r>
        <w:t xml:space="preserve">collaboration </w:t>
      </w:r>
      <w:r w:rsidR="008E2FAD">
        <w:t xml:space="preserve">with the </w:t>
      </w:r>
      <w:r w:rsidR="001A0B98">
        <w:t xml:space="preserve">Independent Advisory Council </w:t>
      </w:r>
      <w:r w:rsidR="00B760F7">
        <w:t xml:space="preserve">and </w:t>
      </w:r>
      <w:r w:rsidR="00B11CDA">
        <w:t>key</w:t>
      </w:r>
      <w:r w:rsidR="003B5408">
        <w:t xml:space="preserve"> </w:t>
      </w:r>
      <w:r w:rsidR="00B760F7">
        <w:t>stakeholder groups</w:t>
      </w:r>
      <w:r w:rsidR="009F594B">
        <w:t xml:space="preserve">. This </w:t>
      </w:r>
      <w:r w:rsidR="00B760F7">
        <w:t>O</w:t>
      </w:r>
      <w:r w:rsidR="001A0B98">
        <w:t xml:space="preserve">utcomes </w:t>
      </w:r>
      <w:r w:rsidR="00B760F7">
        <w:t>F</w:t>
      </w:r>
      <w:r w:rsidR="001A0B98">
        <w:t>ramework consider</w:t>
      </w:r>
      <w:r w:rsidR="00B760F7">
        <w:t>s</w:t>
      </w:r>
      <w:r w:rsidR="001A0B98">
        <w:t xml:space="preserve"> various life domains such as </w:t>
      </w:r>
      <w:r w:rsidR="008E2FAD">
        <w:t xml:space="preserve">children </w:t>
      </w:r>
      <w:r w:rsidR="00B760F7">
        <w:t xml:space="preserve">gaining functional, developmental and coping skills, </w:t>
      </w:r>
      <w:r w:rsidR="008E2FAD">
        <w:t xml:space="preserve">and </w:t>
      </w:r>
      <w:r w:rsidR="00A06E00">
        <w:t xml:space="preserve">independence </w:t>
      </w:r>
      <w:r w:rsidR="00B760F7">
        <w:t>in everyday lives</w:t>
      </w:r>
      <w:r w:rsidR="006E4FBF">
        <w:t>, employment</w:t>
      </w:r>
      <w:r w:rsidR="00B760F7">
        <w:t xml:space="preserve"> and community participation</w:t>
      </w:r>
      <w:r w:rsidR="008E2FAD">
        <w:t xml:space="preserve"> - </w:t>
      </w:r>
      <w:r w:rsidR="009F594B">
        <w:t xml:space="preserve">all of </w:t>
      </w:r>
      <w:r w:rsidR="001A0B98">
        <w:t>which are considered important</w:t>
      </w:r>
      <w:r w:rsidR="006E4FBF">
        <w:t xml:space="preserve"> outcomes</w:t>
      </w:r>
      <w:r w:rsidR="008E2FAD">
        <w:t xml:space="preserve"> to participants of the Scheme</w:t>
      </w:r>
      <w:r w:rsidR="009F594B">
        <w:t xml:space="preserve">. </w:t>
      </w:r>
    </w:p>
    <w:p w14:paraId="437B8A55" w14:textId="27E55562" w:rsidR="00762627" w:rsidRDefault="00762627" w:rsidP="00762627">
      <w:r>
        <w:t>For children between birth and starting school, 95</w:t>
      </w:r>
      <w:r w:rsidR="00CF141B">
        <w:t xml:space="preserve"> per cent</w:t>
      </w:r>
      <w:r>
        <w:t xml:space="preserve"> of parents and carers thought the NDIS improved their child’s development at their most recent plan review, compared to 91</w:t>
      </w:r>
      <w:r w:rsidR="00CF141B">
        <w:t xml:space="preserve"> per cent </w:t>
      </w:r>
      <w:r>
        <w:t xml:space="preserve">at their first </w:t>
      </w:r>
      <w:r w:rsidR="00D5338A">
        <w:t xml:space="preserve">plan </w:t>
      </w:r>
      <w:r>
        <w:t>revie</w:t>
      </w:r>
      <w:r w:rsidR="00740A91">
        <w:t>w.</w:t>
      </w:r>
      <w:r w:rsidR="000A7450">
        <w:t xml:space="preserve"> </w:t>
      </w:r>
    </w:p>
    <w:p w14:paraId="7576B425" w14:textId="2409528A" w:rsidR="00762627" w:rsidRDefault="00762627" w:rsidP="00762627">
      <w:r>
        <w:t xml:space="preserve">For children </w:t>
      </w:r>
      <w:r w:rsidR="00BC1C1C">
        <w:t>starting school to 14 years, 73 per cent</w:t>
      </w:r>
      <w:r>
        <w:t xml:space="preserve"> of parents and carers felt their child had become more independent as a result of the NDIS at their most rec</w:t>
      </w:r>
      <w:r w:rsidR="00BC1C1C">
        <w:t>ent plan review, compared to 61 per cent</w:t>
      </w:r>
      <w:r>
        <w:t xml:space="preserve"> at their first</w:t>
      </w:r>
      <w:r w:rsidR="00D5338A">
        <w:t xml:space="preserve"> plan</w:t>
      </w:r>
      <w:r>
        <w:t xml:space="preserve"> review.</w:t>
      </w:r>
      <w:r w:rsidR="000A7450">
        <w:t xml:space="preserve"> </w:t>
      </w:r>
    </w:p>
    <w:p w14:paraId="47B75833" w14:textId="3BC769B6" w:rsidR="00A06E00" w:rsidRDefault="00762627" w:rsidP="00762627">
      <w:r>
        <w:t xml:space="preserve">For </w:t>
      </w:r>
      <w:r w:rsidR="00A06E00">
        <w:t xml:space="preserve">participants </w:t>
      </w:r>
      <w:r>
        <w:t>aged 15 years</w:t>
      </w:r>
      <w:r w:rsidR="00A06E00">
        <w:t xml:space="preserve"> and over who have been in the Scheme for at least two </w:t>
      </w:r>
      <w:r w:rsidR="003B5408">
        <w:t>years, social</w:t>
      </w:r>
      <w:r w:rsidR="00A06E00">
        <w:t xml:space="preserve"> and community participation has increased by </w:t>
      </w:r>
      <w:r w:rsidR="001D3849">
        <w:t>seven</w:t>
      </w:r>
      <w:r w:rsidR="00A06E00">
        <w:t xml:space="preserve"> percentage points (from 36</w:t>
      </w:r>
      <w:r w:rsidR="00BC1C1C">
        <w:t xml:space="preserve"> per cent to 4</w:t>
      </w:r>
      <w:r w:rsidR="001D3849">
        <w:t>3</w:t>
      </w:r>
      <w:r w:rsidR="00BC1C1C">
        <w:t xml:space="preserve"> per cent</w:t>
      </w:r>
      <w:r w:rsidR="00A06E00">
        <w:t xml:space="preserve">). </w:t>
      </w:r>
    </w:p>
    <w:p w14:paraId="72E4F861" w14:textId="14B04BFB" w:rsidR="00A06E00" w:rsidRDefault="00A06E00" w:rsidP="00A06E00">
      <w:r>
        <w:t>For ad</w:t>
      </w:r>
      <w:r w:rsidR="00507C1C">
        <w:t>ults aged 25 years and over, 83 per cent</w:t>
      </w:r>
      <w:r>
        <w:t xml:space="preserve"> of participants said the NDIS had helped them with daily activities at their mos</w:t>
      </w:r>
      <w:r w:rsidR="00507C1C">
        <w:t>t recent review, compared to 72 per cent</w:t>
      </w:r>
      <w:r>
        <w:t xml:space="preserve"> at their first plan review. </w:t>
      </w:r>
      <w:r w:rsidR="001921C2">
        <w:t>Help</w:t>
      </w:r>
      <w:r>
        <w:t xml:space="preserve"> with daily activities assist</w:t>
      </w:r>
      <w:r w:rsidR="001921C2">
        <w:t>s</w:t>
      </w:r>
      <w:r>
        <w:t xml:space="preserve"> participants to be more independent in their everyday lives.</w:t>
      </w:r>
      <w:r w:rsidR="000A7450">
        <w:t xml:space="preserve"> </w:t>
      </w:r>
    </w:p>
    <w:p w14:paraId="6DFF5A7A" w14:textId="1152047E" w:rsidR="00A06E00" w:rsidRDefault="00A06E00" w:rsidP="00762627">
      <w:r>
        <w:t xml:space="preserve">Employment of families/carers of participants </w:t>
      </w:r>
      <w:r w:rsidR="009B7599">
        <w:t xml:space="preserve">who </w:t>
      </w:r>
      <w:r>
        <w:t xml:space="preserve">have been </w:t>
      </w:r>
      <w:r w:rsidR="009B7599">
        <w:t>in</w:t>
      </w:r>
      <w:r w:rsidR="00373FAE">
        <w:t xml:space="preserve"> </w:t>
      </w:r>
      <w:r>
        <w:t>the Scheme for at least five years has increased by nine percentage points (from 4</w:t>
      </w:r>
      <w:r w:rsidR="001E6872">
        <w:t>6</w:t>
      </w:r>
      <w:r w:rsidR="00507C1C">
        <w:t xml:space="preserve"> per cent to 5</w:t>
      </w:r>
      <w:r w:rsidR="001E6872">
        <w:t>5</w:t>
      </w:r>
      <w:r w:rsidR="00507C1C">
        <w:t xml:space="preserve"> per cent</w:t>
      </w:r>
      <w:r>
        <w:t>).</w:t>
      </w:r>
    </w:p>
    <w:p w14:paraId="784A5AB1" w14:textId="665BC6FC" w:rsidR="00DF4DCE" w:rsidRDefault="00762627" w:rsidP="00762627">
      <w:r>
        <w:t>The NDIA continued to support participants during the COVID-19 pandemic. This included initiatives to lift the vaccination rates of participants and provider workers, and assistance to ensure participants impacted by COVID-19 continued to receive essential disability-related supports.</w:t>
      </w:r>
      <w:r w:rsidR="000A7450">
        <w:t xml:space="preserve"> </w:t>
      </w:r>
    </w:p>
    <w:p w14:paraId="69ED8E75" w14:textId="77777777" w:rsidR="00DF4DCE" w:rsidRDefault="00DF4DCE">
      <w:pPr>
        <w:spacing w:after="0" w:line="240" w:lineRule="auto"/>
      </w:pPr>
      <w:r>
        <w:br w:type="page"/>
      </w:r>
    </w:p>
    <w:p w14:paraId="57863D4C" w14:textId="668FE935" w:rsidR="00762627" w:rsidRDefault="00762627" w:rsidP="00762627">
      <w:pPr>
        <w:pStyle w:val="Heading4"/>
      </w:pPr>
      <w:bookmarkStart w:id="43" w:name="_Toc99617105"/>
      <w:bookmarkStart w:id="44" w:name="_Toc99463575"/>
      <w:r>
        <w:t>Service delivery</w:t>
      </w:r>
      <w:bookmarkEnd w:id="43"/>
      <w:bookmarkEnd w:id="44"/>
    </w:p>
    <w:p w14:paraId="53EA7655" w14:textId="66961498" w:rsidR="00762627" w:rsidRDefault="00762627" w:rsidP="00562112">
      <w:pPr>
        <w:pStyle w:val="ListParagraph"/>
        <w:numPr>
          <w:ilvl w:val="0"/>
          <w:numId w:val="12"/>
        </w:numPr>
      </w:pPr>
      <w:r>
        <w:t>100</w:t>
      </w:r>
      <w:r w:rsidR="00507C1C">
        <w:t xml:space="preserve"> </w:t>
      </w:r>
      <w:r>
        <w:t xml:space="preserve">per cent of access decisions were made within the 21-day timeframe over the last </w:t>
      </w:r>
      <w:r w:rsidR="001E0B70">
        <w:t>two years</w:t>
      </w:r>
      <w:r>
        <w:t>.</w:t>
      </w:r>
      <w:r w:rsidR="000A7450">
        <w:t xml:space="preserve"> </w:t>
      </w:r>
    </w:p>
    <w:p w14:paraId="64CA8008" w14:textId="2F6E21C6" w:rsidR="00762627" w:rsidRDefault="001E0B70" w:rsidP="00562112">
      <w:pPr>
        <w:pStyle w:val="ListParagraph"/>
        <w:numPr>
          <w:ilvl w:val="0"/>
          <w:numId w:val="12"/>
        </w:numPr>
      </w:pPr>
      <w:r>
        <w:t>90</w:t>
      </w:r>
      <w:r w:rsidR="00762627">
        <w:t xml:space="preserve"> per cent</w:t>
      </w:r>
      <w:r w:rsidR="00507C1C">
        <w:t xml:space="preserve"> </w:t>
      </w:r>
      <w:r w:rsidR="00762627">
        <w:t xml:space="preserve">of first plans were approved for participants aged 7 and above within the 56-day timeframe in </w:t>
      </w:r>
      <w:r w:rsidR="00A06886">
        <w:t xml:space="preserve">the </w:t>
      </w:r>
      <w:r>
        <w:t>latest quarter</w:t>
      </w:r>
      <w:r w:rsidR="00762627">
        <w:t xml:space="preserve">. </w:t>
      </w:r>
    </w:p>
    <w:p w14:paraId="479E94FD" w14:textId="2B83B67A" w:rsidR="00762627" w:rsidRDefault="00507C1C" w:rsidP="00562112">
      <w:pPr>
        <w:pStyle w:val="ListParagraph"/>
        <w:numPr>
          <w:ilvl w:val="0"/>
          <w:numId w:val="12"/>
        </w:numPr>
      </w:pPr>
      <w:r>
        <w:t>8</w:t>
      </w:r>
      <w:r w:rsidR="00A55DF4">
        <w:t>5</w:t>
      </w:r>
      <w:r w:rsidR="00762627">
        <w:t xml:space="preserve"> per cent of participants rated the planning process as either good or very good in the latest quarter.</w:t>
      </w:r>
      <w:r w:rsidR="000A7450">
        <w:t xml:space="preserve"> </w:t>
      </w:r>
    </w:p>
    <w:p w14:paraId="29C67ED6" w14:textId="4E9D5799" w:rsidR="00762627" w:rsidRDefault="00762627" w:rsidP="00562112">
      <w:pPr>
        <w:pStyle w:val="ListParagraph"/>
        <w:numPr>
          <w:ilvl w:val="0"/>
          <w:numId w:val="12"/>
        </w:numPr>
      </w:pPr>
      <w:r>
        <w:t>9</w:t>
      </w:r>
      <w:r w:rsidR="00A55DF4">
        <w:t>3</w:t>
      </w:r>
      <w:r>
        <w:t xml:space="preserve"> per cent of complaints </w:t>
      </w:r>
      <w:r w:rsidR="00507C1C">
        <w:t xml:space="preserve">were </w:t>
      </w:r>
      <w:r>
        <w:t>closed within the 21-day timeframe in the latest quarter.</w:t>
      </w:r>
      <w:r w:rsidR="000A7450">
        <w:t xml:space="preserve"> </w:t>
      </w:r>
    </w:p>
    <w:p w14:paraId="3EFC91D0" w14:textId="073D9580" w:rsidR="00762627" w:rsidRPr="00507C1C" w:rsidRDefault="00A55DF4" w:rsidP="00562112">
      <w:pPr>
        <w:pStyle w:val="ListParagraph"/>
        <w:numPr>
          <w:ilvl w:val="0"/>
          <w:numId w:val="12"/>
        </w:numPr>
        <w:spacing w:after="0" w:line="240" w:lineRule="auto"/>
        <w:rPr>
          <w:rFonts w:ascii="Arial Unicode MS" w:eastAsia="Arial Unicode MS" w:hAnsi="Arial Unicode MS" w:cs="Arial Unicode MS"/>
        </w:rPr>
      </w:pPr>
      <w:r>
        <w:t>96</w:t>
      </w:r>
      <w:r w:rsidR="00507C1C">
        <w:t xml:space="preserve"> per cent</w:t>
      </w:r>
      <w:r w:rsidR="00762627">
        <w:t xml:space="preserve"> of internal reviews of reviewable decisions completed within the 60</w:t>
      </w:r>
      <w:r w:rsidR="007D7530">
        <w:noBreakHyphen/>
      </w:r>
      <w:r w:rsidR="00762627">
        <w:t>day timeframe in the latest quarter.</w:t>
      </w:r>
    </w:p>
    <w:p w14:paraId="12F97EDB" w14:textId="2F72F4DD" w:rsidR="008430A4" w:rsidRDefault="008430A4" w:rsidP="008430A4">
      <w:pPr>
        <w:pStyle w:val="Heading3"/>
      </w:pPr>
      <w:bookmarkStart w:id="45" w:name="_Toc99617106"/>
      <w:bookmarkStart w:id="46" w:name="_Toc876749672"/>
      <w:bookmarkEnd w:id="40"/>
      <w:bookmarkEnd w:id="41"/>
      <w:bookmarkEnd w:id="42"/>
      <w:r>
        <w:t>Case study</w:t>
      </w:r>
    </w:p>
    <w:p w14:paraId="51BD42FB" w14:textId="5113CC02" w:rsidR="008430A4" w:rsidRDefault="00205B7C" w:rsidP="00205B7C">
      <w:pPr>
        <w:pStyle w:val="Heading4"/>
        <w:ind w:left="0" w:firstLine="0"/>
      </w:pPr>
      <w:r>
        <w:t>Refugee, author, social worker, mum, and disability advocate, Esther connects CALD communities to NDIS support.</w:t>
      </w:r>
      <w:r w:rsidR="000A7450">
        <w:t xml:space="preserve"> </w:t>
      </w:r>
    </w:p>
    <w:p w14:paraId="65C2EB76" w14:textId="6AA38C30" w:rsidR="00813564" w:rsidRDefault="00813564" w:rsidP="00813564">
      <w:r>
        <w:t xml:space="preserve">NDIS participant Esther </w:t>
      </w:r>
      <w:proofErr w:type="spellStart"/>
      <w:r>
        <w:t>Simbi</w:t>
      </w:r>
      <w:proofErr w:type="spellEnd"/>
      <w:r>
        <w:t xml:space="preserve"> had survived a war in South Sudan, life-threatening polio, and nearly two decades in refugee camps in Uganda, but it wasn’t until she was living in Adelaide as a mum with a disability, that she reached her lowest ebb. </w:t>
      </w:r>
    </w:p>
    <w:p w14:paraId="4D142573" w14:textId="7F864D5A" w:rsidR="00B16FB0" w:rsidRDefault="00813564" w:rsidP="00813564">
      <w:r>
        <w:t>A series of events led to what Esther describes as the ‘darkest moments of my life’.</w:t>
      </w:r>
      <w:r w:rsidR="000A7450">
        <w:t xml:space="preserve"> </w:t>
      </w:r>
    </w:p>
    <w:p w14:paraId="5BDD1986" w14:textId="5E5273B9" w:rsidR="00813564" w:rsidRDefault="00813564" w:rsidP="00813564">
      <w:r>
        <w:t>Without employment or adequate support, Esther became isolated and struggled emotionally.</w:t>
      </w:r>
      <w:r w:rsidR="000A7450">
        <w:t xml:space="preserve"> </w:t>
      </w:r>
    </w:p>
    <w:p w14:paraId="7AE0DE4F" w14:textId="1C2E6E21" w:rsidR="00813564" w:rsidRDefault="00813564" w:rsidP="00813564">
      <w:r>
        <w:t>“I used to stay in the house almost all the time,”</w:t>
      </w:r>
      <w:r w:rsidR="00B16FB0">
        <w:t xml:space="preserve"> </w:t>
      </w:r>
      <w:r>
        <w:t>she said. “I felt very out of place, like I didn’t</w:t>
      </w:r>
      <w:r w:rsidR="00B16FB0">
        <w:t xml:space="preserve"> </w:t>
      </w:r>
      <w:r>
        <w:t>belong in my community.”</w:t>
      </w:r>
      <w:r w:rsidR="000A7450">
        <w:t xml:space="preserve"> </w:t>
      </w:r>
    </w:p>
    <w:p w14:paraId="4267E75C" w14:textId="3C43AD5F" w:rsidR="00813564" w:rsidRDefault="00813564" w:rsidP="00813564">
      <w:r>
        <w:t>Just as Esther was despairing for her future, she</w:t>
      </w:r>
      <w:r w:rsidR="00B16FB0">
        <w:t xml:space="preserve"> </w:t>
      </w:r>
      <w:r>
        <w:t>joined the NDIS – and her life turned</w:t>
      </w:r>
      <w:r w:rsidR="00B16FB0">
        <w:t xml:space="preserve"> </w:t>
      </w:r>
      <w:r>
        <w:t>around.</w:t>
      </w:r>
      <w:r w:rsidR="000A7450">
        <w:t xml:space="preserve"> </w:t>
      </w:r>
    </w:p>
    <w:p w14:paraId="247BA9B6" w14:textId="7A3CFF9A" w:rsidR="00813564" w:rsidRDefault="00813564" w:rsidP="00813564">
      <w:r>
        <w:t xml:space="preserve">“The NDIS came at just the right time for me and it changed my life” she said. </w:t>
      </w:r>
      <w:proofErr w:type="gramStart"/>
      <w:r>
        <w:t>”I’m</w:t>
      </w:r>
      <w:proofErr w:type="gramEnd"/>
      <w:r>
        <w:t xml:space="preserve"> happy</w:t>
      </w:r>
      <w:r w:rsidR="00B16FB0">
        <w:t xml:space="preserve"> </w:t>
      </w:r>
      <w:r>
        <w:t xml:space="preserve">now and I have all the support I need. </w:t>
      </w:r>
    </w:p>
    <w:p w14:paraId="01E28A2E" w14:textId="0B5EF6FF" w:rsidR="00813564" w:rsidRDefault="00813564" w:rsidP="00813564">
      <w:r>
        <w:t>“With the NDIS, I have a voice, I have a choice and I can live my life my way. I didn’t have that before. And now I’m part of my community. I</w:t>
      </w:r>
      <w:r w:rsidR="00C725C3">
        <w:t xml:space="preserve"> </w:t>
      </w:r>
      <w:r>
        <w:t>belong.”</w:t>
      </w:r>
      <w:r w:rsidR="000A7450">
        <w:t xml:space="preserve"> </w:t>
      </w:r>
    </w:p>
    <w:p w14:paraId="0AC490CF" w14:textId="5536542D" w:rsidR="00813564" w:rsidRDefault="00813564" w:rsidP="00813564">
      <w:r>
        <w:t xml:space="preserve">Esther, 39, was born in South Sudan, which at the time did not have polio vaccines. </w:t>
      </w:r>
      <w:r w:rsidR="00C725C3">
        <w:t>P</w:t>
      </w:r>
      <w:r>
        <w:t>aralysed</w:t>
      </w:r>
      <w:r w:rsidR="00C725C3">
        <w:t xml:space="preserve"> </w:t>
      </w:r>
      <w:r>
        <w:t>at four, she regained some mobility but lives with post-polio syndrome. She uses a walker or wheelchair and lives with muscle atrophy,</w:t>
      </w:r>
      <w:r w:rsidR="00C725C3">
        <w:t xml:space="preserve"> </w:t>
      </w:r>
      <w:r>
        <w:t>scoliosis, and debilitating fatigue and pain.</w:t>
      </w:r>
      <w:r w:rsidR="000A7450">
        <w:t xml:space="preserve"> </w:t>
      </w:r>
    </w:p>
    <w:p w14:paraId="34E80280" w14:textId="20481D63" w:rsidR="00205B7C" w:rsidRDefault="00813564" w:rsidP="00813564">
      <w:r>
        <w:t>Today, with help from NDIS support workers,</w:t>
      </w:r>
      <w:r w:rsidR="00013687">
        <w:t xml:space="preserve"> </w:t>
      </w:r>
      <w:r>
        <w:t>Esther takes her children to the park or</w:t>
      </w:r>
      <w:r w:rsidR="00013687">
        <w:t xml:space="preserve"> </w:t>
      </w:r>
      <w:r>
        <w:t>shopping for clothes, and attends school, sports and</w:t>
      </w:r>
      <w:r w:rsidR="00013687">
        <w:t xml:space="preserve"> </w:t>
      </w:r>
      <w:r>
        <w:t>community events.</w:t>
      </w:r>
      <w:r w:rsidR="000A7450">
        <w:t xml:space="preserve"> </w:t>
      </w:r>
    </w:p>
    <w:p w14:paraId="1BEC38AA" w14:textId="77777777" w:rsidR="00013687" w:rsidRDefault="00013687" w:rsidP="00813564">
      <w:r>
        <w:t xml:space="preserve">She is also a dedicated human rights and disability advocate, working several days a week helping others with disability from Culturally and Linguistically Diverse (CALD) communities to understand and access the NDIS. </w:t>
      </w:r>
    </w:p>
    <w:p w14:paraId="3F2F80EA" w14:textId="77777777" w:rsidR="00013687" w:rsidRDefault="00013687" w:rsidP="00813564">
      <w:r>
        <w:t xml:space="preserve">Esther works as a Project Officer with Social Profit Organisation, JFA Purple Orange. She supports people with disability from non-English speaking communities and hosts NDIS capacity-building workshops. </w:t>
      </w:r>
    </w:p>
    <w:p w14:paraId="7C79F669" w14:textId="77777777" w:rsidR="003E3E53" w:rsidRDefault="00013687" w:rsidP="00813564">
      <w:r>
        <w:t xml:space="preserve">“Many people in CALD communities don’t know anything about the NDIS, they don’t understand what it is,” Esther said. “I want to help to educate those people about what support is available.” </w:t>
      </w:r>
    </w:p>
    <w:p w14:paraId="056E8124" w14:textId="77777777" w:rsidR="003E3E53" w:rsidRDefault="00013687" w:rsidP="00813564">
      <w:r>
        <w:t xml:space="preserve">Esther’s NDIS plan provides assistive technologies, including modifications for her car. She has daily support workers who help her with activities at home, taking her children to school, and accessing her community. </w:t>
      </w:r>
    </w:p>
    <w:p w14:paraId="1E1AD0BA" w14:textId="099C2D0B" w:rsidR="00013687" w:rsidRPr="008430A4" w:rsidRDefault="00013687" w:rsidP="00813564">
      <w:r>
        <w:t>“I don’t know what I would have done without the NDIS,” she said. “Having the NDIS makes me feel really good, it makes me feel privileged, being in this country and receiving this kind of support,” she said.</w:t>
      </w:r>
      <w:r w:rsidR="000A7450">
        <w:t xml:space="preserve"> </w:t>
      </w:r>
    </w:p>
    <w:p w14:paraId="0EB09563" w14:textId="1AB793B2" w:rsidR="005B4C7A" w:rsidRDefault="005B4C7A" w:rsidP="008430A4">
      <w:pPr>
        <w:pStyle w:val="BodyText1"/>
      </w:pPr>
      <w:r>
        <w:br w:type="page"/>
      </w:r>
    </w:p>
    <w:p w14:paraId="07C63926" w14:textId="4778BCD0" w:rsidR="00237F12" w:rsidRDefault="006B088C" w:rsidP="00237F12">
      <w:pPr>
        <w:pStyle w:val="Heading2"/>
      </w:pPr>
      <w:r>
        <w:t>Our operating environment</w:t>
      </w:r>
      <w:bookmarkEnd w:id="45"/>
      <w:r w:rsidR="000A7450">
        <w:t xml:space="preserve"> </w:t>
      </w:r>
    </w:p>
    <w:p w14:paraId="5A8B103D" w14:textId="7DF04BC7" w:rsidR="000A4D38" w:rsidRPr="00EA7CE6" w:rsidRDefault="000A4D38" w:rsidP="00DC2E8C">
      <w:r w:rsidRPr="00EA7CE6">
        <w:t xml:space="preserve">We know people with disability achieve the best outcomes when they have access to the same services and facilities as the broader community, such as housing, healthcare, education, justice and community safety, shops, sports clubs, transport, </w:t>
      </w:r>
      <w:r w:rsidR="000543BA">
        <w:t>technologies</w:t>
      </w:r>
      <w:r w:rsidRPr="00EA7CE6">
        <w:t xml:space="preserve"> and </w:t>
      </w:r>
      <w:r w:rsidR="00425A43">
        <w:t>employment.</w:t>
      </w:r>
      <w:r w:rsidR="000A7450">
        <w:t xml:space="preserve"> </w:t>
      </w:r>
    </w:p>
    <w:p w14:paraId="23FADF29" w14:textId="069817CB" w:rsidR="000A4D38" w:rsidRPr="00EA7CE6" w:rsidRDefault="000A4D38" w:rsidP="00DC2E8C">
      <w:r w:rsidRPr="00EA7CE6">
        <w:t xml:space="preserve">The NDIS is a key part of this ecosystem of supports that Australians with disability rely on. Our role </w:t>
      </w:r>
      <w:r w:rsidR="00643EC7" w:rsidRPr="00EA7CE6">
        <w:t>is</w:t>
      </w:r>
      <w:r w:rsidRPr="00EA7CE6">
        <w:t xml:space="preserve"> to work with all levels of government,</w:t>
      </w:r>
      <w:r w:rsidR="006B7BD3" w:rsidRPr="00EA7CE6">
        <w:t xml:space="preserve"> the NDIS Independent Advisory Council (the Council), disability and carer representative organisations (DCROs), the</w:t>
      </w:r>
      <w:r w:rsidR="00BA24C4">
        <w:t xml:space="preserve"> </w:t>
      </w:r>
      <w:r w:rsidR="00547222">
        <w:t>Department of Social Services (</w:t>
      </w:r>
      <w:r w:rsidR="00BA24C4">
        <w:t>DSS</w:t>
      </w:r>
      <w:r w:rsidR="00547222">
        <w:t>)</w:t>
      </w:r>
      <w:r w:rsidR="006B7BD3" w:rsidRPr="00EA7CE6">
        <w:t>,</w:t>
      </w:r>
      <w:r w:rsidRPr="00EA7CE6">
        <w:t xml:space="preserve"> people with disability and the sector to build a strong mutual understanding of:</w:t>
      </w:r>
      <w:r w:rsidR="000A7450">
        <w:t xml:space="preserve"> </w:t>
      </w:r>
    </w:p>
    <w:p w14:paraId="6A4FEA0E" w14:textId="26A92A06" w:rsidR="000A4D38" w:rsidRPr="00DC2E8C" w:rsidRDefault="00DF7C16" w:rsidP="00562112">
      <w:pPr>
        <w:pStyle w:val="ListParagraph"/>
        <w:numPr>
          <w:ilvl w:val="0"/>
          <w:numId w:val="6"/>
        </w:numPr>
      </w:pPr>
      <w:r>
        <w:t>W</w:t>
      </w:r>
      <w:r w:rsidR="000A4D38" w:rsidRPr="00DC2E8C">
        <w:t>hat is considered a reasonable and necessary support and </w:t>
      </w:r>
      <w:hyperlink r:id="rId16" w:tooltip="Supports funded by the NDIS" w:history="1">
        <w:r w:rsidR="000A4D38" w:rsidRPr="00DC2E8C">
          <w:t>whether these supports should be provided by the NDIS</w:t>
        </w:r>
      </w:hyperlink>
      <w:r w:rsidR="000A4D38" w:rsidRPr="00DC2E8C">
        <w:t> or other m</w:t>
      </w:r>
      <w:r w:rsidR="00052BC7">
        <w:t>ainstream or community services</w:t>
      </w:r>
      <w:r>
        <w:t>.</w:t>
      </w:r>
      <w:r w:rsidR="000A7450">
        <w:t xml:space="preserve"> </w:t>
      </w:r>
    </w:p>
    <w:p w14:paraId="16D303D7" w14:textId="7E472C68" w:rsidR="000A4D38" w:rsidRPr="00DC2E8C" w:rsidRDefault="00DF7C16" w:rsidP="00562112">
      <w:pPr>
        <w:pStyle w:val="ListParagraph"/>
        <w:numPr>
          <w:ilvl w:val="0"/>
          <w:numId w:val="6"/>
        </w:numPr>
      </w:pPr>
      <w:r>
        <w:t>H</w:t>
      </w:r>
      <w:r w:rsidR="000A4D38" w:rsidRPr="00DC2E8C">
        <w:t>ow the NDIS and other service delivery systems interact and complement one another</w:t>
      </w:r>
      <w:r>
        <w:t>.</w:t>
      </w:r>
      <w:r w:rsidR="000A7450">
        <w:t xml:space="preserve"> </w:t>
      </w:r>
    </w:p>
    <w:p w14:paraId="38470009" w14:textId="0B7F99B4" w:rsidR="00623062" w:rsidRPr="00DC2E8C" w:rsidRDefault="00DF7C16" w:rsidP="00562112">
      <w:pPr>
        <w:pStyle w:val="ListParagraph"/>
        <w:numPr>
          <w:ilvl w:val="0"/>
          <w:numId w:val="6"/>
        </w:numPr>
      </w:pPr>
      <w:r>
        <w:t>H</w:t>
      </w:r>
      <w:r w:rsidR="000A4D38" w:rsidRPr="00DC2E8C">
        <w:t>ow to determine the most appropriate funding and service delivery approach.</w:t>
      </w:r>
      <w:r w:rsidR="000A7450">
        <w:t xml:space="preserve"> </w:t>
      </w:r>
    </w:p>
    <w:p w14:paraId="16D92433" w14:textId="3938550C" w:rsidR="00307455" w:rsidRPr="00DC2E8C" w:rsidRDefault="00307455" w:rsidP="00DC2E8C">
      <w:r>
        <w:t>The NDIA works with stakeholders to build a stable and sustainable provider marketplace that serves the needs of all participants.</w:t>
      </w:r>
      <w:r w:rsidRPr="00DC2E8C">
        <w:t xml:space="preserve"> </w:t>
      </w:r>
      <w:r>
        <w:t>Some of the activities the NDIA undertakes are:</w:t>
      </w:r>
      <w:r w:rsidR="000A7450">
        <w:t xml:space="preserve"> </w:t>
      </w:r>
    </w:p>
    <w:p w14:paraId="234E8495" w14:textId="41239237" w:rsidR="00307455" w:rsidRPr="00DC2E8C" w:rsidRDefault="000729CD" w:rsidP="00562112">
      <w:pPr>
        <w:pStyle w:val="ListParagraph"/>
        <w:numPr>
          <w:ilvl w:val="0"/>
          <w:numId w:val="6"/>
        </w:numPr>
      </w:pPr>
      <w:r>
        <w:t>S</w:t>
      </w:r>
      <w:r w:rsidR="00307455" w:rsidRPr="00DC2E8C">
        <w:t>timulating market supply to meet current and future demand</w:t>
      </w:r>
      <w:r>
        <w:t>.</w:t>
      </w:r>
      <w:r w:rsidR="000A7450">
        <w:t xml:space="preserve"> </w:t>
      </w:r>
    </w:p>
    <w:p w14:paraId="1641099E" w14:textId="0CAD0E31" w:rsidR="00307455" w:rsidRPr="00DC2E8C" w:rsidRDefault="0052384F" w:rsidP="00562112">
      <w:pPr>
        <w:pStyle w:val="ListParagraph"/>
        <w:numPr>
          <w:ilvl w:val="0"/>
          <w:numId w:val="6"/>
        </w:numPr>
      </w:pPr>
      <w:r>
        <w:t>I</w:t>
      </w:r>
      <w:r w:rsidR="00307455" w:rsidRPr="00DC2E8C">
        <w:t>dentifying and responding to market supply gaps</w:t>
      </w:r>
      <w:r>
        <w:t>.</w:t>
      </w:r>
      <w:r w:rsidR="000A7450">
        <w:t xml:space="preserve"> </w:t>
      </w:r>
    </w:p>
    <w:p w14:paraId="581AC2CC" w14:textId="660628D8" w:rsidR="00307455" w:rsidRPr="00DC2E8C" w:rsidRDefault="0052384F" w:rsidP="00562112">
      <w:pPr>
        <w:pStyle w:val="ListParagraph"/>
        <w:numPr>
          <w:ilvl w:val="0"/>
          <w:numId w:val="6"/>
        </w:numPr>
      </w:pPr>
      <w:r>
        <w:t>M</w:t>
      </w:r>
      <w:r w:rsidR="00307455" w:rsidRPr="00DC2E8C">
        <w:t>anaging price regulation</w:t>
      </w:r>
      <w:r>
        <w:t>.</w:t>
      </w:r>
      <w:r w:rsidR="000A7450">
        <w:t xml:space="preserve"> </w:t>
      </w:r>
    </w:p>
    <w:p w14:paraId="15AFE221" w14:textId="1559C568" w:rsidR="00307455" w:rsidRPr="00DC2E8C" w:rsidRDefault="0052384F" w:rsidP="00562112">
      <w:pPr>
        <w:pStyle w:val="ListParagraph"/>
        <w:numPr>
          <w:ilvl w:val="0"/>
          <w:numId w:val="6"/>
        </w:numPr>
      </w:pPr>
      <w:r>
        <w:t>S</w:t>
      </w:r>
      <w:r w:rsidR="00307455" w:rsidRPr="00DC2E8C">
        <w:t>haring market data and information.</w:t>
      </w:r>
      <w:r w:rsidR="000A7450">
        <w:t xml:space="preserve"> </w:t>
      </w:r>
    </w:p>
    <w:p w14:paraId="1782D38C" w14:textId="42BDE89E" w:rsidR="000A4D38" w:rsidRPr="0058237C" w:rsidRDefault="00650F65" w:rsidP="00DC2E8C">
      <w:pPr>
        <w:rPr>
          <w:rFonts w:cs="Arial"/>
          <w:szCs w:val="22"/>
        </w:rPr>
      </w:pPr>
      <w:r>
        <w:t xml:space="preserve">Australians with a disability </w:t>
      </w:r>
      <w:r w:rsidR="00375C58">
        <w:t>who are not participants of the Scheme are also supported by our</w:t>
      </w:r>
      <w:r w:rsidR="000A7450">
        <w:t xml:space="preserve"> </w:t>
      </w:r>
      <w:hyperlink r:id="rId17" w:tooltip="Who's delivering the NDIS" w:history="1">
        <w:r w:rsidR="00FE5403">
          <w:rPr>
            <w:rStyle w:val="Hyperlink"/>
            <w:rFonts w:cs="Arial"/>
            <w:szCs w:val="22"/>
          </w:rPr>
          <w:t>P</w:t>
        </w:r>
        <w:r w:rsidR="000A4D38" w:rsidRPr="0058237C">
          <w:rPr>
            <w:rStyle w:val="Hyperlink"/>
            <w:rFonts w:cs="Arial"/>
            <w:szCs w:val="22"/>
          </w:rPr>
          <w:t xml:space="preserve">artners in the </w:t>
        </w:r>
        <w:r w:rsidR="00FE5403">
          <w:rPr>
            <w:rStyle w:val="Hyperlink"/>
            <w:rFonts w:cs="Arial"/>
            <w:szCs w:val="22"/>
          </w:rPr>
          <w:t>C</w:t>
        </w:r>
        <w:r w:rsidR="000A4D38" w:rsidRPr="0058237C">
          <w:rPr>
            <w:rStyle w:val="Hyperlink"/>
            <w:rFonts w:cs="Arial"/>
            <w:szCs w:val="22"/>
          </w:rPr>
          <w:t>ommunity</w:t>
        </w:r>
      </w:hyperlink>
      <w:r w:rsidR="00052BC7">
        <w:rPr>
          <w:rStyle w:val="Hyperlink"/>
          <w:rFonts w:cs="Arial"/>
          <w:szCs w:val="22"/>
        </w:rPr>
        <w:t>.</w:t>
      </w:r>
      <w:r w:rsidR="00530C88">
        <w:t xml:space="preserve"> </w:t>
      </w:r>
      <w:r w:rsidR="00D2277D">
        <w:t xml:space="preserve">Our </w:t>
      </w:r>
      <w:r w:rsidR="009F55D3">
        <w:t xml:space="preserve">Partners in the Community connect </w:t>
      </w:r>
      <w:r w:rsidR="00641810">
        <w:t>non-participants</w:t>
      </w:r>
      <w:r w:rsidR="00145080">
        <w:t xml:space="preserve"> with disability, their families and carers to </w:t>
      </w:r>
      <w:r w:rsidR="000A4D38" w:rsidRPr="00DC2E8C">
        <w:t xml:space="preserve">a broad range of community and government services. In this way, we aim to support </w:t>
      </w:r>
      <w:r w:rsidR="00931776">
        <w:t xml:space="preserve">all </w:t>
      </w:r>
      <w:r w:rsidR="000A4D38" w:rsidRPr="00DC2E8C">
        <w:t>Australians with disability to access services available.</w:t>
      </w:r>
      <w:r w:rsidR="000A4D38" w:rsidRPr="0058237C">
        <w:rPr>
          <w:rFonts w:cs="Arial"/>
          <w:szCs w:val="22"/>
        </w:rPr>
        <w:t xml:space="preserve"> </w:t>
      </w:r>
    </w:p>
    <w:p w14:paraId="10FA673F" w14:textId="0A91D755" w:rsidR="000A4D38" w:rsidRDefault="000A4D38" w:rsidP="000A4D38">
      <w:pPr>
        <w:rPr>
          <w:rStyle w:val="Hyperlink"/>
          <w:rFonts w:eastAsia="Arial Unicode MS" w:cs="Arial"/>
          <w:szCs w:val="22"/>
        </w:rPr>
      </w:pPr>
      <w:r w:rsidRPr="00FE5403">
        <w:t>For further information</w:t>
      </w:r>
      <w:r w:rsidR="000D3B35" w:rsidRPr="00FE5403">
        <w:t>,</w:t>
      </w:r>
      <w:r w:rsidRPr="00FE5403">
        <w:t xml:space="preserve"> read the</w:t>
      </w:r>
      <w:r w:rsidRPr="0058237C">
        <w:rPr>
          <w:rFonts w:eastAsia="Arial Unicode MS" w:cs="Arial"/>
          <w:szCs w:val="22"/>
        </w:rPr>
        <w:t xml:space="preserve"> </w:t>
      </w:r>
      <w:hyperlink r:id="rId18" w:history="1">
        <w:r w:rsidRPr="0058237C">
          <w:rPr>
            <w:rStyle w:val="Hyperlink"/>
            <w:rFonts w:eastAsia="Arial Unicode MS" w:cs="Arial"/>
            <w:szCs w:val="22"/>
          </w:rPr>
          <w:t>Council of Australian Governments’ Principles to Determine the Responsibilities of the NDIS and other service systems.</w:t>
        </w:r>
      </w:hyperlink>
      <w:r w:rsidR="000A7450">
        <w:rPr>
          <w:rStyle w:val="Hyperlink"/>
          <w:rFonts w:eastAsia="Arial Unicode MS" w:cs="Arial"/>
          <w:szCs w:val="22"/>
        </w:rPr>
        <w:t xml:space="preserve"> </w:t>
      </w:r>
    </w:p>
    <w:p w14:paraId="71579701" w14:textId="7995AD8B" w:rsidR="00495988" w:rsidRPr="000D3B35" w:rsidRDefault="00495988" w:rsidP="00514915">
      <w:pPr>
        <w:pStyle w:val="Heading3a"/>
      </w:pPr>
      <w:bookmarkStart w:id="47" w:name="_Toc97027352"/>
      <w:bookmarkStart w:id="48" w:name="_Toc97028775"/>
      <w:bookmarkStart w:id="49" w:name="_Toc98251614"/>
      <w:bookmarkStart w:id="50" w:name="_Toc98252173"/>
      <w:bookmarkStart w:id="51" w:name="_Toc98252445"/>
      <w:bookmarkStart w:id="52" w:name="_Toc99463577"/>
      <w:bookmarkStart w:id="53" w:name="_Toc99617107"/>
      <w:bookmarkStart w:id="54" w:name="_Hlk99611170"/>
      <w:r w:rsidRPr="000D3B35">
        <w:t xml:space="preserve">Playing a pivotal role in driving outcomes through </w:t>
      </w:r>
      <w:r w:rsidRPr="000D3B35">
        <w:rPr>
          <w:rFonts w:eastAsia="Arial Unicode MS"/>
        </w:rPr>
        <w:t>Australia’s</w:t>
      </w:r>
      <w:r w:rsidRPr="000D3B35">
        <w:t xml:space="preserve"> Disability Strategy</w:t>
      </w:r>
      <w:bookmarkEnd w:id="46"/>
      <w:bookmarkEnd w:id="47"/>
      <w:bookmarkEnd w:id="48"/>
      <w:bookmarkEnd w:id="49"/>
      <w:bookmarkEnd w:id="50"/>
      <w:bookmarkEnd w:id="51"/>
      <w:bookmarkEnd w:id="52"/>
      <w:bookmarkEnd w:id="53"/>
      <w:r w:rsidR="000A7450">
        <w:t xml:space="preserve"> </w:t>
      </w:r>
    </w:p>
    <w:p w14:paraId="4848E744" w14:textId="0E45B86A" w:rsidR="00495988" w:rsidRPr="00495988" w:rsidRDefault="00495988" w:rsidP="00495988">
      <w:r w:rsidRPr="00495988">
        <w:t xml:space="preserve">We all benefit from a more inclusive Australia where everyone has the same opportunity to participate – both socially and economically. </w:t>
      </w:r>
    </w:p>
    <w:p w14:paraId="2FDCF6BE" w14:textId="7484D6C2" w:rsidR="00495988" w:rsidRPr="00495988" w:rsidRDefault="00495988" w:rsidP="00495988">
      <w:r w:rsidRPr="00495988">
        <w:t>Collaboration across government, private and community sectors, as well as the broader community, is central to breaking down the attitudes, practices and structures that can prevent people with disability from:</w:t>
      </w:r>
    </w:p>
    <w:p w14:paraId="4AF2A519" w14:textId="7E2FB88F" w:rsidR="00495988" w:rsidRPr="00DC2E8C" w:rsidRDefault="00495988" w:rsidP="00562112">
      <w:pPr>
        <w:pStyle w:val="ListParagraph"/>
        <w:numPr>
          <w:ilvl w:val="0"/>
          <w:numId w:val="6"/>
        </w:numPr>
      </w:pPr>
      <w:r w:rsidRPr="00DC2E8C">
        <w:t>participating fully in work</w:t>
      </w:r>
      <w:r w:rsidR="000A7450">
        <w:t xml:space="preserve"> </w:t>
      </w:r>
    </w:p>
    <w:p w14:paraId="59B49443" w14:textId="07C84AF3" w:rsidR="00495988" w:rsidRPr="00DC2E8C" w:rsidRDefault="00495988" w:rsidP="00562112">
      <w:pPr>
        <w:pStyle w:val="ListParagraph"/>
        <w:numPr>
          <w:ilvl w:val="0"/>
          <w:numId w:val="6"/>
        </w:numPr>
      </w:pPr>
      <w:r w:rsidRPr="00DC2E8C">
        <w:t>staying co</w:t>
      </w:r>
      <w:r w:rsidR="00052BC7">
        <w:t>nnected with family and friends</w:t>
      </w:r>
      <w:r w:rsidR="000A7450">
        <w:t xml:space="preserve"> </w:t>
      </w:r>
    </w:p>
    <w:p w14:paraId="7FA8A28E" w14:textId="29F00FA4" w:rsidR="00495988" w:rsidRPr="00DC2E8C" w:rsidRDefault="00495988" w:rsidP="00562112">
      <w:pPr>
        <w:pStyle w:val="ListParagraph"/>
        <w:numPr>
          <w:ilvl w:val="0"/>
          <w:numId w:val="6"/>
        </w:numPr>
      </w:pPr>
      <w:r w:rsidRPr="00DC2E8C">
        <w:t>engaging with their community</w:t>
      </w:r>
      <w:r w:rsidR="0024045A" w:rsidRPr="00DC2E8C">
        <w:t>.</w:t>
      </w:r>
      <w:r w:rsidR="000A7450">
        <w:t xml:space="preserve"> </w:t>
      </w:r>
    </w:p>
    <w:p w14:paraId="03712816" w14:textId="17FE9ADE" w:rsidR="00495988" w:rsidRPr="00495988" w:rsidRDefault="007E35D3" w:rsidP="000A4D38">
      <w:hyperlink r:id="rId19" w:history="1">
        <w:r w:rsidR="00495988" w:rsidRPr="00D82F40">
          <w:rPr>
            <w:rStyle w:val="Hyperlink"/>
          </w:rPr>
          <w:t>Australia’s Disability Strategy 2021</w:t>
        </w:r>
        <w:r w:rsidR="00AD041A" w:rsidRPr="00D82F40">
          <w:rPr>
            <w:rStyle w:val="Hyperlink"/>
          </w:rPr>
          <w:t>–</w:t>
        </w:r>
        <w:r w:rsidR="00495988" w:rsidRPr="00D82F40">
          <w:rPr>
            <w:rStyle w:val="Hyperlink"/>
          </w:rPr>
          <w:t>2031 (the Strategy)</w:t>
        </w:r>
      </w:hyperlink>
      <w:r w:rsidR="00643EC7">
        <w:t xml:space="preserve"> </w:t>
      </w:r>
      <w:r w:rsidR="00682AA6">
        <w:t>was</w:t>
      </w:r>
      <w:r w:rsidR="00682AA6" w:rsidRPr="00495988">
        <w:t xml:space="preserve"> launched</w:t>
      </w:r>
      <w:r w:rsidR="00495988" w:rsidRPr="00495988">
        <w:t xml:space="preserve"> on 3 December 2021</w:t>
      </w:r>
      <w:r w:rsidR="00643EC7">
        <w:t xml:space="preserve"> and</w:t>
      </w:r>
      <w:r w:rsidR="00495988" w:rsidRPr="00495988">
        <w:t xml:space="preserve"> is Australia’s national disability policy framework. It sets out a plan for continuing to improve the lives of people with disability in Australia over the next </w:t>
      </w:r>
      <w:r w:rsidR="00E16F70">
        <w:t>10</w:t>
      </w:r>
      <w:r w:rsidR="00E16F70" w:rsidRPr="00495988">
        <w:t xml:space="preserve"> </w:t>
      </w:r>
      <w:r w:rsidR="00052BC7">
        <w:t>years.</w:t>
      </w:r>
      <w:r w:rsidR="000A7450">
        <w:t xml:space="preserve"> </w:t>
      </w:r>
    </w:p>
    <w:p w14:paraId="271B8945" w14:textId="5B64893A" w:rsidR="00495988" w:rsidRPr="00495988" w:rsidRDefault="00495988" w:rsidP="00495988">
      <w:r w:rsidRPr="00495988">
        <w:t>Actions by governments under the Strategy will ensure people with disability can access the same services and facilities as the broader community</w:t>
      </w:r>
      <w:r w:rsidRPr="007F7615">
        <w:t>, including healthcare, education, transport, housing services and community clubs and organisations</w:t>
      </w:r>
      <w:r w:rsidRPr="00495988">
        <w:t>.</w:t>
      </w:r>
      <w:r w:rsidR="000A7450">
        <w:t xml:space="preserve"> </w:t>
      </w:r>
    </w:p>
    <w:p w14:paraId="666DD529" w14:textId="0C3304DA" w:rsidR="000A4D38" w:rsidRDefault="00495988" w:rsidP="000A4D38">
      <w:bookmarkStart w:id="55" w:name="_Hlk99611105"/>
      <w:r w:rsidRPr="00495988">
        <w:t xml:space="preserve">The Strategy is supported by Targeted Action Plans and a robust outcomes framework to help drive change for people with disability over the next </w:t>
      </w:r>
      <w:r w:rsidR="00E16F70">
        <w:t>decade</w:t>
      </w:r>
      <w:r w:rsidRPr="00495988">
        <w:t>. The NDIA will continue working with all levels of government, people with disability, mainstream and other support services, and the disability sector</w:t>
      </w:r>
      <w:r w:rsidR="00E16F70">
        <w:t>,</w:t>
      </w:r>
      <w:r w:rsidRPr="00495988">
        <w:t xml:space="preserve"> to improve outcomes for participants.</w:t>
      </w:r>
      <w:r w:rsidR="000A7450">
        <w:t xml:space="preserve"> </w:t>
      </w:r>
    </w:p>
    <w:p w14:paraId="1E976F79" w14:textId="70C26E64" w:rsidR="00BE632A" w:rsidRDefault="00495988" w:rsidP="00E16F70">
      <w:r w:rsidRPr="00495988">
        <w:t xml:space="preserve">The National Agreement on Closing the Gap </w:t>
      </w:r>
      <w:r w:rsidRPr="000A4D38">
        <w:t xml:space="preserve">commits all Australian Governments to </w:t>
      </w:r>
      <w:r w:rsidRPr="00495988">
        <w:t xml:space="preserve">work in partnership with Aboriginal and Torres Strait Islander people to overcome inequality and to achieve life outcomes equal to all Australians. </w:t>
      </w:r>
    </w:p>
    <w:p w14:paraId="6E11E8B6" w14:textId="1C4DE2DC" w:rsidR="00E4224A" w:rsidRDefault="00E4224A" w:rsidP="00E16F70">
      <w:r>
        <w:t>W</w:t>
      </w:r>
      <w:r w:rsidRPr="00E4224A">
        <w:t>e are going to ensure that like the Strategy, all of our strategies and initiatives are measurable and accountable, to ensure improved outcomes for participants</w:t>
      </w:r>
      <w:r>
        <w:t>.</w:t>
      </w:r>
      <w:r w:rsidR="000A7450">
        <w:t xml:space="preserve"> </w:t>
      </w:r>
    </w:p>
    <w:p w14:paraId="706F460D" w14:textId="2C7064D5" w:rsidR="001077EF" w:rsidRPr="000650B8" w:rsidRDefault="001077EF" w:rsidP="00514915">
      <w:pPr>
        <w:pStyle w:val="Heading3a"/>
      </w:pPr>
      <w:r w:rsidRPr="000650B8">
        <w:t>Engaging with participants, families, caregivers and other stakeholders</w:t>
      </w:r>
      <w:r w:rsidR="000A7450">
        <w:t xml:space="preserve">. </w:t>
      </w:r>
    </w:p>
    <w:p w14:paraId="77DF4BB8" w14:textId="19354A4F" w:rsidR="001077EF" w:rsidRDefault="001077EF" w:rsidP="001077EF">
      <w:r>
        <w:t>We are committed to working closely with participants, their families and carers, and strengthening our relationship with the disability community. We know that listening to, and learning from, participants and the disability community is funda</w:t>
      </w:r>
      <w:r w:rsidR="00052BC7">
        <w:t>mental to improving the Scheme.</w:t>
      </w:r>
      <w:r w:rsidR="000A7450">
        <w:t xml:space="preserve"> </w:t>
      </w:r>
    </w:p>
    <w:p w14:paraId="789D93CC" w14:textId="1D87F8F6" w:rsidR="001077EF" w:rsidRPr="00052BC7" w:rsidRDefault="001077EF" w:rsidP="001077EF">
      <w:r>
        <w:t xml:space="preserve">The </w:t>
      </w:r>
      <w:hyperlink r:id="rId20" w:history="1">
        <w:r w:rsidRPr="00F72B24">
          <w:rPr>
            <w:rStyle w:val="Hyperlink"/>
          </w:rPr>
          <w:t>NDIS Engagement Framework</w:t>
        </w:r>
      </w:hyperlink>
      <w:r>
        <w:t xml:space="preserve"> has been developed to ensure the views and experiences of people with disability underpin the decisions we make</w:t>
      </w:r>
      <w:r w:rsidR="007F61FE">
        <w:t>.</w:t>
      </w:r>
      <w:r>
        <w:t xml:space="preserve"> Input from the disability community is critical to addressing the challenges the Scheme faces. The </w:t>
      </w:r>
      <w:r w:rsidR="00F72B24" w:rsidRPr="00507C1C">
        <w:t>NDIS Engagement Framework</w:t>
      </w:r>
      <w:r>
        <w:t xml:space="preserve"> has been </w:t>
      </w:r>
      <w:r w:rsidR="00FB2735">
        <w:t>co-developed with</w:t>
      </w:r>
      <w:r>
        <w:t xml:space="preserve"> the disability sector as well as the Independent Advisory Council and the Co-design Advisory Group</w:t>
      </w:r>
      <w:r w:rsidR="00117E69">
        <w:t>.</w:t>
      </w:r>
      <w:r w:rsidR="007F61FE">
        <w:t xml:space="preserve"> </w:t>
      </w:r>
      <w:bookmarkStart w:id="56" w:name="_Hlk107389633"/>
      <w:r w:rsidR="007F61FE">
        <w:t>Our commitment to genuine co</w:t>
      </w:r>
      <w:r w:rsidR="00117E69">
        <w:t>-</w:t>
      </w:r>
      <w:r w:rsidR="007F61FE">
        <w:t xml:space="preserve">design on </w:t>
      </w:r>
      <w:r w:rsidR="00A9602E">
        <w:t xml:space="preserve">major </w:t>
      </w:r>
      <w:r w:rsidR="007F61FE">
        <w:t xml:space="preserve">issues is a critical component of our </w:t>
      </w:r>
      <w:r w:rsidR="00117E69">
        <w:t>E</w:t>
      </w:r>
      <w:r w:rsidR="007F61FE">
        <w:t>ngagement Framework.</w:t>
      </w:r>
      <w:r>
        <w:t xml:space="preserve"> </w:t>
      </w:r>
      <w:bookmarkEnd w:id="56"/>
      <w:r>
        <w:t>We have</w:t>
      </w:r>
      <w:r w:rsidRPr="006613E7">
        <w:t xml:space="preserve"> established </w:t>
      </w:r>
      <w:r w:rsidRPr="001F4AA6">
        <w:t xml:space="preserve">the </w:t>
      </w:r>
      <w:r w:rsidRPr="006613E7">
        <w:t>priorit</w:t>
      </w:r>
      <w:r w:rsidRPr="001F4AA6">
        <w:t>y areas</w:t>
      </w:r>
      <w:r w:rsidRPr="006613E7">
        <w:t xml:space="preserve"> for co-design </w:t>
      </w:r>
      <w:r w:rsidRPr="001F4AA6">
        <w:t xml:space="preserve">and have commenced our engagement </w:t>
      </w:r>
      <w:r w:rsidRPr="006613E7">
        <w:t>to develop policies</w:t>
      </w:r>
      <w:r w:rsidRPr="001F4AA6">
        <w:t xml:space="preserve"> for information gathering for access and planning, home and living, support for decision making, </w:t>
      </w:r>
      <w:r>
        <w:t xml:space="preserve">and </w:t>
      </w:r>
      <w:r w:rsidRPr="001F4AA6">
        <w:t>participant safety. Co-design has also co</w:t>
      </w:r>
      <w:r w:rsidR="00AB23E7">
        <w:t>mmenced for the Culturally and Linguistically Diverse S</w:t>
      </w:r>
      <w:r w:rsidRPr="001F4AA6">
        <w:t>trategy and the Aborigi</w:t>
      </w:r>
      <w:r w:rsidR="00AB23E7">
        <w:t>nal and Torres Strait Islander S</w:t>
      </w:r>
      <w:r w:rsidRPr="001F4AA6">
        <w:t>trategy.</w:t>
      </w:r>
      <w:r w:rsidR="000A7450">
        <w:t xml:space="preserve"> </w:t>
      </w:r>
    </w:p>
    <w:p w14:paraId="2E66538F" w14:textId="6ED918B1" w:rsidR="0052688F" w:rsidRPr="0052688F" w:rsidRDefault="003415E7" w:rsidP="001077EF">
      <w:pPr>
        <w:rPr>
          <w:b/>
        </w:rPr>
      </w:pPr>
      <w:r w:rsidRPr="0052688F">
        <w:rPr>
          <w:b/>
        </w:rPr>
        <w:t>Continuing support for COVID-19 responses</w:t>
      </w:r>
      <w:r w:rsidR="000A7450">
        <w:rPr>
          <w:b/>
        </w:rPr>
        <w:t>.</w:t>
      </w:r>
      <w:r w:rsidRPr="0052688F">
        <w:rPr>
          <w:b/>
        </w:rPr>
        <w:t xml:space="preserve"> </w:t>
      </w:r>
    </w:p>
    <w:p w14:paraId="2770C878" w14:textId="0AC2CCB0" w:rsidR="001077EF" w:rsidRDefault="001077EF" w:rsidP="001077EF">
      <w:pPr>
        <w:rPr>
          <w:rFonts w:ascii="Calibri" w:hAnsi="Calibri"/>
          <w:szCs w:val="22"/>
          <w:lang w:eastAsia="en-US"/>
        </w:rPr>
      </w:pPr>
      <w:r>
        <w:t xml:space="preserve">The NDIA is committed to supporting our participants and the wider NDIS ecosystem with continuing adjustments </w:t>
      </w:r>
      <w:r w:rsidR="007F6902">
        <w:t xml:space="preserve">for </w:t>
      </w:r>
      <w:r>
        <w:t>COVID-19. We will continue to support national priority activities such as the vaccination program roll out and Rapid Antigen Test distribution.</w:t>
      </w:r>
      <w:r w:rsidR="000A7450">
        <w:t xml:space="preserve"> </w:t>
      </w:r>
    </w:p>
    <w:p w14:paraId="2CC7587F" w14:textId="3B97F3BA" w:rsidR="001077EF" w:rsidRDefault="001077EF" w:rsidP="001077EF">
      <w:r>
        <w:t>We will deliver new and enhanced capability that ensures participants are able to access the supports they need from service providers. Our p</w:t>
      </w:r>
      <w:r w:rsidRPr="00391894">
        <w:t>articipant</w:t>
      </w:r>
      <w:r>
        <w:t xml:space="preserve"> check-ins are an ongoing feature and complement scheduled plan reviews.</w:t>
      </w:r>
      <w:r w:rsidR="000A7450">
        <w:t xml:space="preserve"> </w:t>
      </w:r>
    </w:p>
    <w:p w14:paraId="27B3191E" w14:textId="6E332825" w:rsidR="001077EF" w:rsidRDefault="001077EF" w:rsidP="001077EF">
      <w:pPr>
        <w:rPr>
          <w:b/>
        </w:rPr>
      </w:pPr>
      <w:r>
        <w:t>We are ready to support participants in the event of further outbreaks or other</w:t>
      </w:r>
      <w:r w:rsidR="00507C1C">
        <w:t xml:space="preserve"> </w:t>
      </w:r>
      <w:r>
        <w:t>COVID-19 impacts.</w:t>
      </w:r>
      <w:r w:rsidR="000A7450">
        <w:t xml:space="preserve"> </w:t>
      </w:r>
    </w:p>
    <w:p w14:paraId="1CD76174" w14:textId="46AE74DF" w:rsidR="001077EF" w:rsidRPr="00951182" w:rsidRDefault="001077EF" w:rsidP="00514915">
      <w:pPr>
        <w:pStyle w:val="Heading3a"/>
      </w:pPr>
      <w:r w:rsidRPr="00951182">
        <w:t xml:space="preserve">Supporting a safe environment for </w:t>
      </w:r>
      <w:r w:rsidRPr="00AD041A">
        <w:t>participants</w:t>
      </w:r>
      <w:r w:rsidR="000A7450">
        <w:t xml:space="preserve">. </w:t>
      </w:r>
    </w:p>
    <w:p w14:paraId="0DC2528B" w14:textId="77777777" w:rsidR="001077EF" w:rsidRPr="00951182" w:rsidRDefault="001077EF" w:rsidP="001077EF">
      <w:r>
        <w:t xml:space="preserve">We recognise the importance of a participant’s ability to experience the ‘dignity of risk’, and their right to make decisions for themselves on how they choose to live their life. We are working to improve NDIA processes and communicate our expectations to the sector on how to support a participant’s decision making. </w:t>
      </w:r>
    </w:p>
    <w:p w14:paraId="72E56932" w14:textId="608249C4" w:rsidR="001077EF" w:rsidRDefault="001077EF" w:rsidP="001077EF">
      <w:r w:rsidRPr="00A0689E">
        <w:rPr>
          <w:rFonts w:cs="Arial"/>
          <w:iCs/>
          <w:color w:val="000000" w:themeColor="text1"/>
          <w:szCs w:val="22"/>
        </w:rPr>
        <w:t>In March 2022, the NDIA established a Participant Safety Policy Co-Design Steering Committee to collectively engage with the NDIS Commission, Department of Social Services, participants, staff, partners, and sector stakeholders</w:t>
      </w:r>
      <w:r w:rsidR="00F72B24">
        <w:rPr>
          <w:rFonts w:cs="Arial"/>
          <w:iCs/>
          <w:color w:val="000000" w:themeColor="text1"/>
          <w:szCs w:val="22"/>
        </w:rPr>
        <w:t>,</w:t>
      </w:r>
      <w:r w:rsidRPr="00A0689E">
        <w:rPr>
          <w:rFonts w:cs="Arial"/>
          <w:iCs/>
          <w:color w:val="000000" w:themeColor="text1"/>
          <w:szCs w:val="22"/>
        </w:rPr>
        <w:t xml:space="preserve"> and ensure we get the best outcomes for people with disability. We maintain our deep commitment to supporting Australians with disability to exercise choice and control to live in a safe environment</w:t>
      </w:r>
      <w:r w:rsidRPr="00F8697A">
        <w:rPr>
          <w:rFonts w:cs="Arial"/>
          <w:i/>
          <w:iCs/>
          <w:szCs w:val="22"/>
        </w:rPr>
        <w:t>.</w:t>
      </w:r>
      <w:r>
        <w:t xml:space="preserve"> We do not tolerate violence, abuse, neglect and exploitation of people with disability as it has no place in Australian society. </w:t>
      </w:r>
    </w:p>
    <w:p w14:paraId="6601A709" w14:textId="057CE874" w:rsidR="001077EF" w:rsidRDefault="001077EF" w:rsidP="001077EF">
      <w:r>
        <w:t xml:space="preserve">It is important that these activities in all settings and contexts are exposed and examined. Many participants, their </w:t>
      </w:r>
      <w:proofErr w:type="spellStart"/>
      <w:r>
        <w:t>carers</w:t>
      </w:r>
      <w:proofErr w:type="spellEnd"/>
      <w:r>
        <w:t xml:space="preserve"> and family members</w:t>
      </w:r>
      <w:r w:rsidR="00B27AD5">
        <w:t>,</w:t>
      </w:r>
      <w:r>
        <w:t xml:space="preserve"> have given evidence in inquiries and we acknowledge their courage and strength to share their personal stories. We support the NDIS network to make a safe environment for people with disability. </w:t>
      </w:r>
    </w:p>
    <w:p w14:paraId="586A1FC4" w14:textId="3229A86B" w:rsidR="00314C2E" w:rsidRPr="0052688F" w:rsidRDefault="00B5692E" w:rsidP="001077EF">
      <w:pPr>
        <w:rPr>
          <w:b/>
        </w:rPr>
      </w:pPr>
      <w:r w:rsidRPr="0052688F">
        <w:rPr>
          <w:b/>
        </w:rPr>
        <w:t xml:space="preserve">Participant </w:t>
      </w:r>
      <w:r w:rsidR="00314C2E" w:rsidRPr="0052688F">
        <w:rPr>
          <w:b/>
        </w:rPr>
        <w:t>Employm</w:t>
      </w:r>
      <w:r w:rsidR="00D600E6" w:rsidRPr="0052688F">
        <w:rPr>
          <w:b/>
        </w:rPr>
        <w:t>e</w:t>
      </w:r>
      <w:r w:rsidR="00314C2E" w:rsidRPr="0052688F">
        <w:rPr>
          <w:b/>
        </w:rPr>
        <w:t>nt Strategy with DSS</w:t>
      </w:r>
      <w:r w:rsidR="000A7450">
        <w:rPr>
          <w:b/>
        </w:rPr>
        <w:t xml:space="preserve">. </w:t>
      </w:r>
    </w:p>
    <w:p w14:paraId="07477479" w14:textId="032ED1FD" w:rsidR="00B859A6" w:rsidRDefault="00901FE8" w:rsidP="00901FE8">
      <w:r>
        <w:t>Our vision is that NDIS participants have the same opportunities to work as other Australians, and the confidence, support and skills to take advantage of those opportunities. Th</w:t>
      </w:r>
      <w:r w:rsidR="007F7615">
        <w:t>e</w:t>
      </w:r>
      <w:r>
        <w:t xml:space="preserve"> </w:t>
      </w:r>
      <w:r w:rsidR="00F72B24" w:rsidRPr="007F7615">
        <w:t xml:space="preserve">Participant Employment </w:t>
      </w:r>
      <w:r w:rsidRPr="007F7615">
        <w:t>Strategy</w:t>
      </w:r>
      <w:r>
        <w:t xml:space="preserve"> guides us to enable NDIS participants to achieve their employment goals, by raising the aspiration of NDIS participants, their families and carers, increasing choice of providers and improving the way NDIS works with other systems.</w:t>
      </w:r>
      <w:r w:rsidR="000A7450">
        <w:t xml:space="preserve"> </w:t>
      </w:r>
    </w:p>
    <w:p w14:paraId="0C9837B7" w14:textId="0466C5B2" w:rsidR="00901FE8" w:rsidRPr="00DB5B1B" w:rsidRDefault="00DB5B1B" w:rsidP="007F7615">
      <w:pPr>
        <w:shd w:val="clear" w:color="auto" w:fill="FFFFFF"/>
        <w:spacing w:after="100" w:afterAutospacing="1"/>
      </w:pPr>
      <w:r>
        <w:t>T</w:t>
      </w:r>
      <w:r w:rsidR="00901FE8" w:rsidRPr="007E0B61">
        <w:t xml:space="preserve">he </w:t>
      </w:r>
      <w:r w:rsidR="00D644A9">
        <w:t xml:space="preserve">Employment </w:t>
      </w:r>
      <w:r w:rsidR="00901FE8" w:rsidRPr="007E0B61">
        <w:t xml:space="preserve">Strategy </w:t>
      </w:r>
      <w:r>
        <w:t xml:space="preserve">was developed </w:t>
      </w:r>
      <w:r w:rsidR="00901FE8" w:rsidRPr="007E0B61">
        <w:t>through extensive consultation with people with disability, families, carers, advocates, providers and other areas of government. </w:t>
      </w:r>
      <w:r w:rsidR="00D644A9">
        <w:t xml:space="preserve">We have </w:t>
      </w:r>
      <w:r>
        <w:t xml:space="preserve">also </w:t>
      </w:r>
      <w:r w:rsidR="00D644A9">
        <w:t xml:space="preserve">developed an </w:t>
      </w:r>
      <w:hyperlink r:id="rId21" w:anchor="employment" w:history="1">
        <w:r w:rsidR="00D644A9" w:rsidRPr="00DB5B1B">
          <w:rPr>
            <w:rStyle w:val="Hyperlink"/>
          </w:rPr>
          <w:t>Employment</w:t>
        </w:r>
        <w:r w:rsidRPr="00DB5B1B">
          <w:rPr>
            <w:rStyle w:val="Hyperlink"/>
          </w:rPr>
          <w:t xml:space="preserve"> </w:t>
        </w:r>
        <w:r w:rsidR="003206BC" w:rsidRPr="00DB5B1B">
          <w:rPr>
            <w:rStyle w:val="Hyperlink"/>
          </w:rPr>
          <w:t>Strategy</w:t>
        </w:r>
        <w:r w:rsidR="00D644A9" w:rsidRPr="00DB5B1B">
          <w:rPr>
            <w:rStyle w:val="Hyperlink"/>
          </w:rPr>
          <w:t xml:space="preserve"> Action </w:t>
        </w:r>
        <w:r>
          <w:rPr>
            <w:rStyle w:val="Hyperlink"/>
          </w:rPr>
          <w:t>P</w:t>
        </w:r>
        <w:r w:rsidR="00D644A9" w:rsidRPr="00DB5B1B">
          <w:rPr>
            <w:rStyle w:val="Hyperlink"/>
          </w:rPr>
          <w:t>lan</w:t>
        </w:r>
      </w:hyperlink>
      <w:r w:rsidR="00D644A9">
        <w:t xml:space="preserve"> that outlines finer details of the actions the NDIA will take to deliver th</w:t>
      </w:r>
      <w:r w:rsidR="00273052">
        <w:t xml:space="preserve">e </w:t>
      </w:r>
      <w:r w:rsidR="00995A66">
        <w:t>Participant Empl</w:t>
      </w:r>
      <w:r w:rsidR="002E06B0">
        <w:t>oyment S</w:t>
      </w:r>
      <w:r w:rsidR="00273052">
        <w:t>trategy.</w:t>
      </w:r>
      <w:r w:rsidR="000A7450">
        <w:t xml:space="preserve"> </w:t>
      </w:r>
    </w:p>
    <w:p w14:paraId="0F683B95" w14:textId="4918B53F" w:rsidR="003F0A69" w:rsidRPr="006D56F2" w:rsidRDefault="003F0A69" w:rsidP="00514915">
      <w:pPr>
        <w:pStyle w:val="Heading3a"/>
      </w:pPr>
      <w:bookmarkStart w:id="57" w:name="_Toc99617108"/>
      <w:bookmarkEnd w:id="54"/>
      <w:bookmarkEnd w:id="55"/>
      <w:r>
        <w:t xml:space="preserve">NDIA commitments delivered through the </w:t>
      </w:r>
      <w:r w:rsidRPr="006D56F2">
        <w:t>Participant Service Charter and the Participant Service Guarantee</w:t>
      </w:r>
      <w:r w:rsidR="000A7450">
        <w:t xml:space="preserve">. </w:t>
      </w:r>
    </w:p>
    <w:p w14:paraId="2CC273AF" w14:textId="75BAE659" w:rsidR="003F0A69" w:rsidRDefault="003F0A69" w:rsidP="003F0A69">
      <w:r w:rsidRPr="00391F2F">
        <w:t xml:space="preserve">Our </w:t>
      </w:r>
      <w:hyperlink r:id="rId22" w:history="1">
        <w:r w:rsidRPr="00730D0A">
          <w:rPr>
            <w:rStyle w:val="Hyperlink"/>
          </w:rPr>
          <w:t>Participant Service Charter</w:t>
        </w:r>
      </w:hyperlink>
      <w:r w:rsidRPr="00391F2F">
        <w:t xml:space="preserve"> sets out what </w:t>
      </w:r>
      <w:r>
        <w:t>participants</w:t>
      </w:r>
      <w:r w:rsidRPr="00391F2F">
        <w:t xml:space="preserve"> can expect from </w:t>
      </w:r>
      <w:r>
        <w:t>the NDIA</w:t>
      </w:r>
      <w:r w:rsidRPr="00391F2F">
        <w:t>. It provides overall principle</w:t>
      </w:r>
      <w:r>
        <w:t xml:space="preserve">s for the way the NDIA interacts with participants and details </w:t>
      </w:r>
      <w:r w:rsidRPr="00391F2F">
        <w:t>clear se</w:t>
      </w:r>
      <w:r>
        <w:t>rvice standards and timeframes.</w:t>
      </w:r>
      <w:r w:rsidR="000A7450">
        <w:t xml:space="preserve"> </w:t>
      </w:r>
    </w:p>
    <w:p w14:paraId="3ADCCF06" w14:textId="5FE3E608" w:rsidR="003F0A69" w:rsidRDefault="003F0A69" w:rsidP="003F0A69">
      <w:r>
        <w:t>T</w:t>
      </w:r>
      <w:r w:rsidRPr="005D1766">
        <w:t xml:space="preserve">he </w:t>
      </w:r>
      <w:hyperlink r:id="rId23" w:anchor="participant-service-guarantee" w:history="1">
        <w:r w:rsidRPr="001B173E">
          <w:rPr>
            <w:rStyle w:val="Hyperlink"/>
          </w:rPr>
          <w:t>Participant Service Guarantee</w:t>
        </w:r>
      </w:hyperlink>
      <w:r>
        <w:t xml:space="preserve"> sets t</w:t>
      </w:r>
      <w:r w:rsidRPr="005D1766">
        <w:t>imeframes</w:t>
      </w:r>
      <w:r>
        <w:t xml:space="preserve"> </w:t>
      </w:r>
      <w:r w:rsidRPr="00730D0A">
        <w:t xml:space="preserve">for key NDIS processes such as access, plan approvals, plan reviews and nominee changes. </w:t>
      </w:r>
      <w:r>
        <w:t xml:space="preserve">Since mid-2020, we have been </w:t>
      </w:r>
      <w:r w:rsidRPr="00B83EFA">
        <w:t>reporting</w:t>
      </w:r>
      <w:r>
        <w:t xml:space="preserve"> against these standards in our </w:t>
      </w:r>
      <w:hyperlink r:id="rId24" w:history="1">
        <w:r w:rsidRPr="00730D0A">
          <w:rPr>
            <w:rStyle w:val="Hyperlink"/>
          </w:rPr>
          <w:t>quarterly reports</w:t>
        </w:r>
      </w:hyperlink>
      <w:r>
        <w:t>.</w:t>
      </w:r>
      <w:r w:rsidR="000A7450">
        <w:t xml:space="preserve"> </w:t>
      </w:r>
    </w:p>
    <w:p w14:paraId="43FEF9D6" w14:textId="4CB4B930" w:rsidR="003F0A69" w:rsidRDefault="003F0A69" w:rsidP="003F0A69">
      <w:r>
        <w:t>T</w:t>
      </w:r>
      <w:r w:rsidRPr="006C496E">
        <w:t xml:space="preserve">he timeframes outlined in the Participant Service Guarantee </w:t>
      </w:r>
      <w:r>
        <w:t>are now</w:t>
      </w:r>
      <w:r w:rsidRPr="006C496E">
        <w:t xml:space="preserve"> legislated</w:t>
      </w:r>
      <w:r>
        <w:t xml:space="preserve"> by </w:t>
      </w:r>
      <w:r w:rsidRPr="00AB23E7">
        <w:t>The National Disability Insurance Scheme Amendment (Participant Service Guarantee and Other Measures) Bill 2022 (the Bill)</w:t>
      </w:r>
      <w:r w:rsidRPr="00282E71">
        <w:t xml:space="preserve"> </w:t>
      </w:r>
      <w:r>
        <w:t xml:space="preserve">and </w:t>
      </w:r>
      <w:r w:rsidRPr="00282E71">
        <w:t>will implement significant improvements for participants, their families and carers by reducing red tape, increasing flexibility and cla</w:t>
      </w:r>
      <w:r w:rsidR="002614BF">
        <w:t xml:space="preserve">rifying timeframes for decision </w:t>
      </w:r>
      <w:r w:rsidRPr="00282E71">
        <w:t>making</w:t>
      </w:r>
      <w:r>
        <w:t>.</w:t>
      </w:r>
      <w:r w:rsidR="000A7450">
        <w:t xml:space="preserve"> </w:t>
      </w:r>
    </w:p>
    <w:p w14:paraId="27C36CB9" w14:textId="4C314645" w:rsidR="003F0A69" w:rsidRDefault="003F0A69" w:rsidP="003F0A69">
      <w:r>
        <w:t>Service standards are defined in the Service Charter through five engagement principles. We work to ensure that every interaction with a participant is:</w:t>
      </w:r>
      <w:r w:rsidR="000A7450">
        <w:t xml:space="preserve"> </w:t>
      </w:r>
    </w:p>
    <w:p w14:paraId="0F2EB0DA" w14:textId="1961AB1F" w:rsidR="003F0A69" w:rsidRPr="00DC2E8C" w:rsidRDefault="003F0A69" w:rsidP="00562112">
      <w:pPr>
        <w:pStyle w:val="ListParagraph"/>
        <w:numPr>
          <w:ilvl w:val="0"/>
          <w:numId w:val="7"/>
        </w:numPr>
        <w:rPr>
          <w:rFonts w:cs="Arial"/>
          <w:szCs w:val="22"/>
        </w:rPr>
      </w:pPr>
      <w:r w:rsidRPr="00DC2E8C">
        <w:rPr>
          <w:rFonts w:cs="Arial"/>
          <w:b/>
          <w:bCs/>
          <w:szCs w:val="22"/>
        </w:rPr>
        <w:t>Transparent:</w:t>
      </w:r>
      <w:r w:rsidRPr="00DC2E8C">
        <w:rPr>
          <w:rFonts w:cs="Arial"/>
          <w:szCs w:val="22"/>
        </w:rPr>
        <w:t xml:space="preserve"> we will make it easy to access and understand our information and decisions</w:t>
      </w:r>
      <w:r w:rsidR="00B27AD5">
        <w:rPr>
          <w:rFonts w:cs="Arial"/>
          <w:szCs w:val="22"/>
        </w:rPr>
        <w:t>.</w:t>
      </w:r>
      <w:r w:rsidR="000A7450">
        <w:rPr>
          <w:rFonts w:cs="Arial"/>
          <w:szCs w:val="22"/>
        </w:rPr>
        <w:t xml:space="preserve"> </w:t>
      </w:r>
    </w:p>
    <w:p w14:paraId="0D436527" w14:textId="52EE86DF" w:rsidR="003F0A69" w:rsidRPr="00DC2E8C" w:rsidRDefault="003F0A69" w:rsidP="00562112">
      <w:pPr>
        <w:pStyle w:val="ListParagraph"/>
        <w:numPr>
          <w:ilvl w:val="0"/>
          <w:numId w:val="7"/>
        </w:numPr>
        <w:rPr>
          <w:rFonts w:cs="Arial"/>
          <w:szCs w:val="22"/>
        </w:rPr>
      </w:pPr>
      <w:r w:rsidRPr="00DC2E8C">
        <w:rPr>
          <w:rFonts w:cs="Arial"/>
          <w:b/>
          <w:bCs/>
          <w:szCs w:val="22"/>
        </w:rPr>
        <w:t>Responsive:</w:t>
      </w:r>
      <w:r w:rsidRPr="00DC2E8C">
        <w:rPr>
          <w:rFonts w:cs="Arial"/>
          <w:szCs w:val="22"/>
        </w:rPr>
        <w:t xml:space="preserve"> we will respond to individual needs and circumstances</w:t>
      </w:r>
      <w:r w:rsidR="00B27AD5">
        <w:rPr>
          <w:rFonts w:cs="Arial"/>
          <w:szCs w:val="22"/>
        </w:rPr>
        <w:t>.</w:t>
      </w:r>
      <w:r w:rsidR="000A7450">
        <w:rPr>
          <w:rFonts w:cs="Arial"/>
          <w:szCs w:val="22"/>
        </w:rPr>
        <w:t xml:space="preserve"> </w:t>
      </w:r>
    </w:p>
    <w:p w14:paraId="6D8C475B" w14:textId="23B90536" w:rsidR="003F0A69" w:rsidRPr="00DC2E8C" w:rsidRDefault="003F0A69" w:rsidP="00562112">
      <w:pPr>
        <w:pStyle w:val="ListParagraph"/>
        <w:numPr>
          <w:ilvl w:val="0"/>
          <w:numId w:val="7"/>
        </w:numPr>
        <w:rPr>
          <w:rFonts w:cs="Arial"/>
          <w:szCs w:val="22"/>
        </w:rPr>
      </w:pPr>
      <w:r w:rsidRPr="00DC2E8C">
        <w:rPr>
          <w:rFonts w:cs="Arial"/>
          <w:b/>
          <w:bCs/>
          <w:szCs w:val="22"/>
        </w:rPr>
        <w:t>Respectful:</w:t>
      </w:r>
      <w:r w:rsidRPr="00DC2E8C">
        <w:rPr>
          <w:rFonts w:cs="Arial"/>
          <w:szCs w:val="22"/>
        </w:rPr>
        <w:t xml:space="preserve"> we will recognise your individual experience and acknowledge you are an expert in your own life</w:t>
      </w:r>
      <w:r w:rsidR="00B27AD5">
        <w:rPr>
          <w:rFonts w:cs="Arial"/>
          <w:szCs w:val="22"/>
        </w:rPr>
        <w:t>.</w:t>
      </w:r>
      <w:r w:rsidR="000A7450">
        <w:rPr>
          <w:rFonts w:cs="Arial"/>
          <w:szCs w:val="22"/>
        </w:rPr>
        <w:t xml:space="preserve"> </w:t>
      </w:r>
    </w:p>
    <w:p w14:paraId="399A651F" w14:textId="103B0B8A" w:rsidR="003F0A69" w:rsidRPr="00DC2E8C" w:rsidRDefault="003F0A69" w:rsidP="00562112">
      <w:pPr>
        <w:pStyle w:val="ListParagraph"/>
        <w:numPr>
          <w:ilvl w:val="0"/>
          <w:numId w:val="7"/>
        </w:numPr>
        <w:rPr>
          <w:rFonts w:cs="Arial"/>
          <w:szCs w:val="22"/>
        </w:rPr>
      </w:pPr>
      <w:r w:rsidRPr="00DC2E8C">
        <w:rPr>
          <w:rFonts w:cs="Arial"/>
          <w:b/>
          <w:bCs/>
          <w:szCs w:val="22"/>
        </w:rPr>
        <w:t>Empowering:</w:t>
      </w:r>
      <w:r w:rsidRPr="00DC2E8C">
        <w:rPr>
          <w:rFonts w:cs="Arial"/>
          <w:szCs w:val="22"/>
        </w:rPr>
        <w:t xml:space="preserve"> we will make it</w:t>
      </w:r>
      <w:r w:rsidR="000A7450">
        <w:rPr>
          <w:rFonts w:cs="Arial"/>
          <w:szCs w:val="22"/>
        </w:rPr>
        <w:t xml:space="preserve"> </w:t>
      </w:r>
      <w:r w:rsidRPr="00DC2E8C">
        <w:rPr>
          <w:rFonts w:cs="Arial"/>
          <w:szCs w:val="22"/>
        </w:rPr>
        <w:t>easy to access information and be supported by the NDIS to lead your life</w:t>
      </w:r>
      <w:r w:rsidR="00B27AD5">
        <w:rPr>
          <w:rFonts w:cs="Arial"/>
          <w:szCs w:val="22"/>
        </w:rPr>
        <w:t>.</w:t>
      </w:r>
      <w:r w:rsidR="000A7450">
        <w:rPr>
          <w:rFonts w:cs="Arial"/>
          <w:szCs w:val="22"/>
        </w:rPr>
        <w:t xml:space="preserve"> </w:t>
      </w:r>
    </w:p>
    <w:p w14:paraId="732621DD" w14:textId="44366614" w:rsidR="003F0A69" w:rsidRPr="00FD162F" w:rsidRDefault="003F0A69" w:rsidP="00562112">
      <w:pPr>
        <w:pStyle w:val="ListParagraph"/>
        <w:numPr>
          <w:ilvl w:val="0"/>
          <w:numId w:val="7"/>
        </w:numPr>
      </w:pPr>
      <w:r w:rsidRPr="00DC2E8C">
        <w:rPr>
          <w:rFonts w:cs="Arial"/>
          <w:b/>
          <w:bCs/>
          <w:szCs w:val="22"/>
        </w:rPr>
        <w:t>Connected:</w:t>
      </w:r>
      <w:r w:rsidRPr="00DC2E8C">
        <w:rPr>
          <w:rFonts w:cs="Arial"/>
          <w:szCs w:val="22"/>
        </w:rPr>
        <w:t xml:space="preserve"> we will support</w:t>
      </w:r>
      <w:r w:rsidRPr="00FD162F">
        <w:t xml:space="preserve"> you to access the services and supports you need.</w:t>
      </w:r>
      <w:r w:rsidR="000A7450">
        <w:t xml:space="preserve"> </w:t>
      </w:r>
    </w:p>
    <w:p w14:paraId="18EDFFB1" w14:textId="44FCB3D9" w:rsidR="003F0A69" w:rsidRDefault="003F0A69" w:rsidP="003F0A69">
      <w:r w:rsidRPr="00730D0A">
        <w:t>The</w:t>
      </w:r>
      <w:r w:rsidRPr="00BF1848">
        <w:rPr>
          <w:color w:val="000000" w:themeColor="text1"/>
        </w:rPr>
        <w:t xml:space="preserve"> </w:t>
      </w:r>
      <w:hyperlink r:id="rId25" w:history="1">
        <w:r w:rsidRPr="00730D0A">
          <w:rPr>
            <w:rStyle w:val="Hyperlink"/>
          </w:rPr>
          <w:t>Participant Service Improvement Plan</w:t>
        </w:r>
      </w:hyperlink>
      <w:r w:rsidRPr="00730D0A">
        <w:t xml:space="preserve"> is the key to making real our promises in the Participant Service Charter and</w:t>
      </w:r>
      <w:r w:rsidR="00052BC7">
        <w:t xml:space="preserve"> Participant Service Guarantee.</w:t>
      </w:r>
      <w:r w:rsidR="000A7450">
        <w:t xml:space="preserve"> </w:t>
      </w:r>
    </w:p>
    <w:p w14:paraId="1FAF285C" w14:textId="77777777" w:rsidR="00A9602E" w:rsidRDefault="003F0A69" w:rsidP="00A9602E">
      <w:r w:rsidRPr="00F2274C">
        <w:t>We are dedicated to increase consistency, transparency and rigour of our decision making and appeal process through clearer policies, operational procedures guidelines and controls</w:t>
      </w:r>
      <w:r w:rsidR="008C3EBB" w:rsidRPr="00F2274C">
        <w:t xml:space="preserve">. </w:t>
      </w:r>
    </w:p>
    <w:p w14:paraId="2DEE07D4" w14:textId="6BBF1411" w:rsidR="00A9602E" w:rsidRDefault="00A9602E" w:rsidP="00A9602E">
      <w:r>
        <w:t xml:space="preserve">The NDIA is also committed to reducing the number of matters that progress to the Administrative Appeals Tribunal (AAT). This will be achieved through improving internal review processes and introducing better early resolution processes. Alternative dispute resolution processes for participants appealing NDIS decisions will also be considered. </w:t>
      </w:r>
    </w:p>
    <w:p w14:paraId="564AF595" w14:textId="2D8C57BC" w:rsidR="003F0A69" w:rsidRPr="00661884" w:rsidRDefault="003F0A69" w:rsidP="003F0A69">
      <w:r>
        <w:t xml:space="preserve">The NDIA remains committed to making improvements that are important to </w:t>
      </w:r>
      <w:proofErr w:type="gramStart"/>
      <w:r>
        <w:t>participants</w:t>
      </w:r>
      <w:r w:rsidR="00AB23E7">
        <w:t>,</w:t>
      </w:r>
      <w:r>
        <w:t xml:space="preserve"> and</w:t>
      </w:r>
      <w:proofErr w:type="gramEnd"/>
      <w:r>
        <w:t xml:space="preserve"> </w:t>
      </w:r>
      <w:r w:rsidR="00E422CF">
        <w:t>being</w:t>
      </w:r>
      <w:r>
        <w:t xml:space="preserve"> accountable and transparent </w:t>
      </w:r>
      <w:r w:rsidR="00E422CF">
        <w:t>about our progress</w:t>
      </w:r>
      <w:r>
        <w:t xml:space="preserve">. The </w:t>
      </w:r>
      <w:hyperlink r:id="rId26" w:history="1">
        <w:r w:rsidRPr="006A6FF3">
          <w:rPr>
            <w:rStyle w:val="Hyperlink"/>
          </w:rPr>
          <w:t xml:space="preserve">full list of commitments and </w:t>
        </w:r>
        <w:r>
          <w:rPr>
            <w:rStyle w:val="Hyperlink"/>
          </w:rPr>
          <w:t xml:space="preserve">our </w:t>
        </w:r>
        <w:r w:rsidRPr="006A6FF3">
          <w:rPr>
            <w:rStyle w:val="Hyperlink"/>
          </w:rPr>
          <w:t>progress</w:t>
        </w:r>
      </w:hyperlink>
      <w:r>
        <w:t xml:space="preserve"> towards achieving them is published in the Quarterly R</w:t>
      </w:r>
      <w:r w:rsidR="00052BC7">
        <w:t>eports to Disability Ministers.</w:t>
      </w:r>
      <w:r w:rsidR="000A7450">
        <w:t xml:space="preserve"> </w:t>
      </w:r>
    </w:p>
    <w:p w14:paraId="0DE4914B" w14:textId="3A63DD61" w:rsidR="007C0D29" w:rsidRPr="006613E7" w:rsidRDefault="003F0A69" w:rsidP="009C01F9">
      <w:r>
        <w:t>W</w:t>
      </w:r>
      <w:r w:rsidRPr="004C2B55">
        <w:t xml:space="preserve">e </w:t>
      </w:r>
      <w:r>
        <w:t xml:space="preserve">will </w:t>
      </w:r>
      <w:r w:rsidRPr="004C2B55">
        <w:t>continue to listen to and work closely with participants, their families and carers to</w:t>
      </w:r>
      <w:r>
        <w:t xml:space="preserve"> deliver on the commitments.</w:t>
      </w:r>
      <w:bookmarkEnd w:id="57"/>
      <w:r w:rsidR="000A7450">
        <w:t xml:space="preserve"> </w:t>
      </w:r>
    </w:p>
    <w:p w14:paraId="7F06D56C" w14:textId="78F03C53" w:rsidR="005F6919" w:rsidRPr="00B43404" w:rsidRDefault="005F6919" w:rsidP="00514915">
      <w:pPr>
        <w:pStyle w:val="Heading3a"/>
      </w:pPr>
      <w:bookmarkStart w:id="58" w:name="_Toc99617110"/>
      <w:r w:rsidRPr="00B43404">
        <w:t xml:space="preserve">A new </w:t>
      </w:r>
      <w:r w:rsidR="00AB1CAB">
        <w:t>Customer Relationship Management (CRM)</w:t>
      </w:r>
      <w:r w:rsidRPr="00B43404">
        <w:t xml:space="preserve"> business system</w:t>
      </w:r>
      <w:bookmarkEnd w:id="58"/>
      <w:r w:rsidR="000A7450">
        <w:t xml:space="preserve">. </w:t>
      </w:r>
    </w:p>
    <w:p w14:paraId="44369CCD" w14:textId="78BFA69E" w:rsidR="005F6919" w:rsidRDefault="005F6919" w:rsidP="005F6919">
      <w:bookmarkStart w:id="59" w:name="_Hlk104198525"/>
      <w:r>
        <w:t xml:space="preserve">We are designing and building a new </w:t>
      </w:r>
      <w:r w:rsidR="007C73A0">
        <w:t>information and communications technology (</w:t>
      </w:r>
      <w:r>
        <w:t>ICT</w:t>
      </w:r>
      <w:r w:rsidR="007C73A0">
        <w:t>)</w:t>
      </w:r>
      <w:r>
        <w:t xml:space="preserve"> business system to improve the end-to-end participant journey and planning process. The new CRM is a fit-for-purpose business system to replace the NDIA’s current </w:t>
      </w:r>
      <w:r w:rsidRPr="00D1466D">
        <w:t>CRM</w:t>
      </w:r>
      <w:r>
        <w:t xml:space="preserve">, portal and payment systems. </w:t>
      </w:r>
    </w:p>
    <w:p w14:paraId="1838B82C" w14:textId="331F9886" w:rsidR="007C73A0" w:rsidRDefault="005F6919" w:rsidP="005F6919">
      <w:r>
        <w:t>The new system will deliver medium and long</w:t>
      </w:r>
      <w:r w:rsidR="00DC67C3">
        <w:t>-</w:t>
      </w:r>
      <w:r>
        <w:t xml:space="preserve">term </w:t>
      </w:r>
      <w:r w:rsidR="00E34BD1">
        <w:t>impr</w:t>
      </w:r>
      <w:r w:rsidR="0013520F">
        <w:t>o</w:t>
      </w:r>
      <w:r w:rsidR="00E34BD1">
        <w:t xml:space="preserve">vements </w:t>
      </w:r>
      <w:r>
        <w:t xml:space="preserve">to the </w:t>
      </w:r>
      <w:r w:rsidR="008416EC">
        <w:t xml:space="preserve">efficiency of </w:t>
      </w:r>
      <w:r>
        <w:t>planning process</w:t>
      </w:r>
      <w:r w:rsidR="008416EC">
        <w:t xml:space="preserve">es and </w:t>
      </w:r>
      <w:r w:rsidR="00833C51">
        <w:t xml:space="preserve">the </w:t>
      </w:r>
      <w:r w:rsidR="008416EC">
        <w:t>participant experience</w:t>
      </w:r>
      <w:r w:rsidR="00833C51">
        <w:t xml:space="preserve">. </w:t>
      </w:r>
    </w:p>
    <w:p w14:paraId="627C8A48" w14:textId="5AAAAB2F" w:rsidR="00E34BD1" w:rsidRDefault="00833C51" w:rsidP="005F6919">
      <w:pPr>
        <w:rPr>
          <w:lang w:val="en-GB" w:eastAsia="zh-CN" w:bidi="th-TH"/>
        </w:rPr>
      </w:pPr>
      <w:r>
        <w:t xml:space="preserve">This system </w:t>
      </w:r>
      <w:r w:rsidR="0013520F" w:rsidRPr="0052347F">
        <w:rPr>
          <w:lang w:eastAsia="zh-CN" w:bidi="th-TH"/>
        </w:rPr>
        <w:t>can be easily enhanced with the outputs of co-design and consultation</w:t>
      </w:r>
      <w:r w:rsidR="00616E1A">
        <w:t xml:space="preserve"> </w:t>
      </w:r>
      <w:r w:rsidR="003206BC">
        <w:t>and enable</w:t>
      </w:r>
      <w:r w:rsidR="005F6919">
        <w:t xml:space="preserve"> the NDIA to deliver on many of the commitments in the </w:t>
      </w:r>
      <w:r w:rsidR="00ED6486">
        <w:t>Participant Service Improvement Plan</w:t>
      </w:r>
      <w:r w:rsidR="005F6919">
        <w:t xml:space="preserve"> and ongoing implementation of Tune Review recommendations. </w:t>
      </w:r>
    </w:p>
    <w:p w14:paraId="7E2A3504" w14:textId="1C646DE8" w:rsidR="005F6919" w:rsidRDefault="005F6919" w:rsidP="005F6919">
      <w:r>
        <w:t xml:space="preserve">The new CRM is designed to be more </w:t>
      </w:r>
      <w:proofErr w:type="gramStart"/>
      <w:r>
        <w:t>user-friendly, and</w:t>
      </w:r>
      <w:proofErr w:type="gramEnd"/>
      <w:r>
        <w:t xml:space="preserve"> will make it easier for NDIA staff and partners to do their job, giving them more time to deliver a quality experience for participants. </w:t>
      </w:r>
    </w:p>
    <w:p w14:paraId="3440E4C6" w14:textId="77777777" w:rsidR="005F6919" w:rsidRDefault="005F6919" w:rsidP="005F6919">
      <w:r>
        <w:t xml:space="preserve">Improvements to be delivered over the next two years include: </w:t>
      </w:r>
    </w:p>
    <w:p w14:paraId="38953F65" w14:textId="33473397" w:rsidR="005F6919" w:rsidRDefault="00DC67C3" w:rsidP="00562112">
      <w:pPr>
        <w:pStyle w:val="ListParagraph"/>
        <w:numPr>
          <w:ilvl w:val="0"/>
          <w:numId w:val="6"/>
        </w:numPr>
      </w:pPr>
      <w:r>
        <w:t>P</w:t>
      </w:r>
      <w:r w:rsidR="005F6919">
        <w:t>roviding more options for changing a participant’s plan to meet their need</w:t>
      </w:r>
      <w:r w:rsidR="00620689">
        <w:t>s</w:t>
      </w:r>
      <w:r>
        <w:t>.</w:t>
      </w:r>
      <w:r w:rsidR="000A7450">
        <w:t xml:space="preserve"> </w:t>
      </w:r>
    </w:p>
    <w:p w14:paraId="50ADD9C3" w14:textId="4D92F003" w:rsidR="005F6919" w:rsidRDefault="00DC67C3" w:rsidP="00562112">
      <w:pPr>
        <w:pStyle w:val="ListParagraph"/>
        <w:numPr>
          <w:ilvl w:val="0"/>
          <w:numId w:val="6"/>
        </w:numPr>
      </w:pPr>
      <w:r>
        <w:t>I</w:t>
      </w:r>
      <w:r w:rsidR="005F6919">
        <w:t>ntroducing new ways of capturing goals and clearer referral processes to mainstream and community supports</w:t>
      </w:r>
      <w:r>
        <w:t>.</w:t>
      </w:r>
      <w:r w:rsidR="000A7450">
        <w:t xml:space="preserve"> </w:t>
      </w:r>
    </w:p>
    <w:p w14:paraId="3887E009" w14:textId="13AC201C" w:rsidR="005F6919" w:rsidRDefault="00DC67C3" w:rsidP="00562112">
      <w:pPr>
        <w:pStyle w:val="ListParagraph"/>
        <w:numPr>
          <w:ilvl w:val="0"/>
          <w:numId w:val="6"/>
        </w:numPr>
      </w:pPr>
      <w:r>
        <w:t>S</w:t>
      </w:r>
      <w:r w:rsidR="005F6919">
        <w:t>treamlining access, with prospective participants being supported by Local Area Coordinators (LAC) and Early Childhood partners in the community (PiTC)</w:t>
      </w:r>
      <w:r>
        <w:t>.</w:t>
      </w:r>
      <w:r w:rsidR="005F6919">
        <w:t xml:space="preserve"> </w:t>
      </w:r>
    </w:p>
    <w:p w14:paraId="4FAA9D13" w14:textId="190E79DC" w:rsidR="005F6919" w:rsidRDefault="00DC67C3" w:rsidP="00562112">
      <w:pPr>
        <w:pStyle w:val="ListParagraph"/>
        <w:numPr>
          <w:ilvl w:val="0"/>
          <w:numId w:val="6"/>
        </w:numPr>
      </w:pPr>
      <w:r>
        <w:t>I</w:t>
      </w:r>
      <w:r w:rsidR="005F6919">
        <w:t>ntegrating NDIA systems and participant portals, meaning participants can manage more of their own information and monitor progress on their requests</w:t>
      </w:r>
      <w:r>
        <w:t>.</w:t>
      </w:r>
      <w:r w:rsidR="000A7450">
        <w:t xml:space="preserve"> </w:t>
      </w:r>
    </w:p>
    <w:p w14:paraId="5F58B9A4" w14:textId="5B65AD6F" w:rsidR="005F6919" w:rsidRDefault="00DC67C3" w:rsidP="00562112">
      <w:pPr>
        <w:pStyle w:val="ListParagraph"/>
        <w:numPr>
          <w:ilvl w:val="0"/>
          <w:numId w:val="6"/>
        </w:numPr>
      </w:pPr>
      <w:r>
        <w:t>A</w:t>
      </w:r>
      <w:r w:rsidR="005F6919">
        <w:t>utomating work allocation. This means tasks are completed more efficiently and matched to staff with the appropriate skills.</w:t>
      </w:r>
      <w:r w:rsidR="000A7450">
        <w:t xml:space="preserve"> </w:t>
      </w:r>
    </w:p>
    <w:p w14:paraId="6E29A61D" w14:textId="58013FBD" w:rsidR="005F6919" w:rsidRDefault="00DC67C3" w:rsidP="00562112">
      <w:pPr>
        <w:pStyle w:val="ListParagraph"/>
        <w:numPr>
          <w:ilvl w:val="0"/>
          <w:numId w:val="6"/>
        </w:numPr>
      </w:pPr>
      <w:r>
        <w:t>M</w:t>
      </w:r>
      <w:r w:rsidR="005F6919">
        <w:t xml:space="preserve">onitoring across the entire ICT system, supporting the NDIA to proactively identify and check-in when it appears a participant may need support. </w:t>
      </w:r>
    </w:p>
    <w:p w14:paraId="4ED690A2" w14:textId="12639341" w:rsidR="005F6919" w:rsidRDefault="005F6919" w:rsidP="006D79C0">
      <w:r>
        <w:t xml:space="preserve">We are working with participants, providers, the wider disability community and staff to design and build the new system, which will progressively </w:t>
      </w:r>
      <w:r w:rsidR="00A4079B">
        <w:t xml:space="preserve">be </w:t>
      </w:r>
      <w:r>
        <w:t xml:space="preserve">rolled out from </w:t>
      </w:r>
      <w:r w:rsidR="0038602E">
        <w:t>the end of</w:t>
      </w:r>
      <w:r w:rsidR="007C73A0">
        <w:t xml:space="preserve"> </w:t>
      </w:r>
      <w:r>
        <w:t>2022.</w:t>
      </w:r>
    </w:p>
    <w:p w14:paraId="23F8003A" w14:textId="3E00C3F0" w:rsidR="003C04D1" w:rsidRDefault="003C04D1" w:rsidP="00514915">
      <w:pPr>
        <w:pStyle w:val="Heading3a"/>
      </w:pPr>
      <w:bookmarkStart w:id="60" w:name="_Toc99617111"/>
      <w:bookmarkEnd w:id="59"/>
      <w:r>
        <w:t xml:space="preserve">Investment </w:t>
      </w:r>
      <w:r w:rsidR="00547222" w:rsidRPr="003206BC">
        <w:t>e</w:t>
      </w:r>
      <w:r w:rsidR="006E468B">
        <w:t>ffectiveness and Research and Evaluation Strategy</w:t>
      </w:r>
      <w:r w:rsidR="000A7450">
        <w:t xml:space="preserve">. </w:t>
      </w:r>
    </w:p>
    <w:p w14:paraId="45CE1381" w14:textId="3D11D528" w:rsidR="00A65D51" w:rsidRPr="00290E94" w:rsidRDefault="00E759D5" w:rsidP="007E0B61">
      <w:r>
        <w:t xml:space="preserve">We will be </w:t>
      </w:r>
      <w:r w:rsidR="00547222">
        <w:t xml:space="preserve">undertaking work </w:t>
      </w:r>
      <w:r>
        <w:t xml:space="preserve">to understand the relationship between expenditure and outcomes </w:t>
      </w:r>
      <w:r w:rsidR="00FB18C5">
        <w:t xml:space="preserve">and </w:t>
      </w:r>
      <w:r>
        <w:t xml:space="preserve">quantify </w:t>
      </w:r>
      <w:r w:rsidR="00FB18C5">
        <w:t xml:space="preserve">the </w:t>
      </w:r>
      <w:r>
        <w:t>value delivered by the Scheme</w:t>
      </w:r>
      <w:r w:rsidR="00A06886">
        <w:t xml:space="preserve"> to </w:t>
      </w:r>
      <w:r w:rsidR="00E4467D">
        <w:t xml:space="preserve">Australian </w:t>
      </w:r>
      <w:r w:rsidR="00A06886">
        <w:t>society</w:t>
      </w:r>
      <w:r>
        <w:t xml:space="preserve">. </w:t>
      </w:r>
      <w:r w:rsidR="00AD6C27">
        <w:t>To support this,</w:t>
      </w:r>
      <w:r>
        <w:t xml:space="preserve"> our </w:t>
      </w:r>
      <w:r w:rsidR="00AD6C27">
        <w:t xml:space="preserve">refreshed </w:t>
      </w:r>
      <w:r w:rsidRPr="007F7615">
        <w:t>Research and Evaluation Strategy</w:t>
      </w:r>
      <w:r>
        <w:t xml:space="preserve"> will focus on measuring the outcomes and benefits of a range of supports and services funded through the NDI</w:t>
      </w:r>
      <w:r w:rsidR="00AD6C27">
        <w:t>S</w:t>
      </w:r>
      <w:r>
        <w:t xml:space="preserve"> and explore new innovative approaches and technologies </w:t>
      </w:r>
      <w:r w:rsidR="00AD6C27">
        <w:t xml:space="preserve">of </w:t>
      </w:r>
      <w:r>
        <w:t xml:space="preserve">benefit </w:t>
      </w:r>
      <w:r w:rsidR="00AD6C27">
        <w:t xml:space="preserve">to </w:t>
      </w:r>
      <w:r>
        <w:t>our participants.</w:t>
      </w:r>
      <w:r w:rsidR="00FB18C5">
        <w:t xml:space="preserve"> This will assist participants and their families and carers in implementing their plans, as there will be more evidence on what works well and what </w:t>
      </w:r>
      <w:r w:rsidR="00C91C19">
        <w:t>does not</w:t>
      </w:r>
      <w:r w:rsidR="007C73A0">
        <w:t xml:space="preserve"> work well.</w:t>
      </w:r>
      <w:r w:rsidR="000A7450">
        <w:t xml:space="preserve"> </w:t>
      </w:r>
    </w:p>
    <w:p w14:paraId="1877787C" w14:textId="72E7AE2C" w:rsidR="006D79C0" w:rsidRDefault="006D79C0" w:rsidP="00514915">
      <w:pPr>
        <w:pStyle w:val="Heading3a"/>
        <w:rPr>
          <w:szCs w:val="22"/>
          <w:lang w:eastAsia="en-US"/>
        </w:rPr>
      </w:pPr>
      <w:r>
        <w:t>Protecting the Scheme from non-compliant and fraudulent practices</w:t>
      </w:r>
      <w:bookmarkEnd w:id="60"/>
      <w:r w:rsidR="000A7450">
        <w:t xml:space="preserve">. </w:t>
      </w:r>
    </w:p>
    <w:p w14:paraId="3A55FA86" w14:textId="2AC0AC43" w:rsidR="006D79C0" w:rsidRDefault="006D79C0" w:rsidP="006D79C0">
      <w:r>
        <w:t>We are committed to preventing, detecting and responding to non-compliance and fraud and, most importantly, protecting all participants. We maintain a zero-tolerance approach to fraud.</w:t>
      </w:r>
      <w:r w:rsidR="00E422CF" w:rsidRPr="00E422CF">
        <w:t xml:space="preserve"> </w:t>
      </w:r>
    </w:p>
    <w:p w14:paraId="0F78B97B" w14:textId="1E536E0F" w:rsidR="006D79C0" w:rsidRDefault="006D79C0" w:rsidP="006D79C0">
      <w:r>
        <w:t xml:space="preserve">We have a range of proactive and reactive </w:t>
      </w:r>
      <w:r w:rsidR="00E422CF">
        <w:t xml:space="preserve">methods </w:t>
      </w:r>
      <w:r>
        <w:t xml:space="preserve">to act on non-compliant and fraudulent activity in relation to the NDIS. This includes our partnership with the Australian Federal Police and other Commonwealth agencies to identify, investigate and prosecute offenders. </w:t>
      </w:r>
    </w:p>
    <w:p w14:paraId="293003E1" w14:textId="77777777" w:rsidR="00E422CF" w:rsidRDefault="006D79C0" w:rsidP="006D79C0">
      <w:r>
        <w:t xml:space="preserve">We are aware of some providers engaging in unacceptable behaviour, including inappropriately charging NDIS participants for services that are </w:t>
      </w:r>
      <w:r w:rsidR="00385A6E">
        <w:t>not delivered</w:t>
      </w:r>
      <w:r w:rsidR="004C2B9D">
        <w:t>.</w:t>
      </w:r>
      <w:r w:rsidR="00A06886">
        <w:t xml:space="preserve"> </w:t>
      </w:r>
    </w:p>
    <w:p w14:paraId="25704C26" w14:textId="702B2D14" w:rsidR="006D79C0" w:rsidRDefault="006D79C0" w:rsidP="006D79C0">
      <w:r>
        <w:t>The</w:t>
      </w:r>
      <w:r w:rsidR="004C2B9D">
        <w:t xml:space="preserve"> </w:t>
      </w:r>
      <w:r>
        <w:t xml:space="preserve">Government is providing $30 million over two years (2021–22 and 2022–23) to the Agency and the National Disability Insurance Scheme Quality and Safeguards Commission, to develop and test new compliance capabilities, targeting fraudulent and unethical provider </w:t>
      </w:r>
      <w:r w:rsidR="00B13F04">
        <w:t>behaviours</w:t>
      </w:r>
      <w:r>
        <w:t xml:space="preserve">. We will use this funding to identify patterns of provider fraud and unethical </w:t>
      </w:r>
      <w:r w:rsidR="00B13F04">
        <w:t>behaviours</w:t>
      </w:r>
      <w:r>
        <w:t>, to ensure the integrity of the NDIS and protect participants from fraudulent practices.</w:t>
      </w:r>
      <w:r w:rsidR="000A7450">
        <w:t xml:space="preserve"> </w:t>
      </w:r>
    </w:p>
    <w:p w14:paraId="5D9DBE9F" w14:textId="5C8BDCC4" w:rsidR="00392D5C" w:rsidRDefault="003B7075" w:rsidP="006D79C0">
      <w:r w:rsidRPr="003B7075">
        <w:t xml:space="preserve">We want to support participants to get the most out of their NDIS funded </w:t>
      </w:r>
      <w:proofErr w:type="gramStart"/>
      <w:r w:rsidRPr="003B7075">
        <w:t>supports, and</w:t>
      </w:r>
      <w:proofErr w:type="gramEnd"/>
      <w:r w:rsidRPr="003B7075">
        <w:t xml:space="preserve"> will focus on building participant knowledge and capability on what fraud looks like, how to report it and how to use their NDIS funds appropriately, in accordance with relevant laws and regulation</w:t>
      </w:r>
      <w:r>
        <w:t>.</w:t>
      </w:r>
      <w:r w:rsidR="000A7450">
        <w:t xml:space="preserve"> </w:t>
      </w:r>
    </w:p>
    <w:p w14:paraId="7CA129D6" w14:textId="77777777" w:rsidR="00392D5C" w:rsidRDefault="00392D5C">
      <w:pPr>
        <w:spacing w:after="0" w:line="240" w:lineRule="auto"/>
      </w:pPr>
      <w:r>
        <w:br w:type="page"/>
      </w:r>
    </w:p>
    <w:p w14:paraId="2C21D3E4" w14:textId="77777777" w:rsidR="00BB2B38" w:rsidRDefault="00BB2B38" w:rsidP="00392D5C">
      <w:pPr>
        <w:pStyle w:val="Heading3"/>
        <w:spacing w:line="276" w:lineRule="auto"/>
      </w:pPr>
      <w:r>
        <w:t>Case study</w:t>
      </w:r>
    </w:p>
    <w:p w14:paraId="28CA95B7" w14:textId="78963985" w:rsidR="00BB2B38" w:rsidRDefault="00BB2B38" w:rsidP="00392D5C">
      <w:pPr>
        <w:pStyle w:val="Heading4"/>
        <w:spacing w:line="276" w:lineRule="auto"/>
      </w:pPr>
      <w:r>
        <w:t>Lin discovers new passion for life after sudden vision loss</w:t>
      </w:r>
      <w:r w:rsidR="000A7450">
        <w:t xml:space="preserve">. </w:t>
      </w:r>
    </w:p>
    <w:p w14:paraId="56CD0637" w14:textId="597B4CCE" w:rsidR="007905EA" w:rsidRDefault="0007559D" w:rsidP="00392D5C">
      <w:pPr>
        <w:spacing w:line="276" w:lineRule="auto"/>
      </w:pPr>
      <w:r>
        <w:t xml:space="preserve">When NDIS participant Zhen Hua Lin arrived in Australia, he had high hopes of an exciting new life in the country he’d long dreamed of. </w:t>
      </w:r>
    </w:p>
    <w:p w14:paraId="10BE8571" w14:textId="77777777" w:rsidR="007905EA" w:rsidRDefault="0007559D" w:rsidP="00392D5C">
      <w:pPr>
        <w:spacing w:line="276" w:lineRule="auto"/>
      </w:pPr>
      <w:r>
        <w:t xml:space="preserve">But soon after migrating from Southern China, Lin faced a change he’d never imagined—losing his vision. </w:t>
      </w:r>
    </w:p>
    <w:p w14:paraId="61EF4847" w14:textId="1E2629ED" w:rsidR="007905EA" w:rsidRDefault="0007559D" w:rsidP="00392D5C">
      <w:pPr>
        <w:spacing w:line="276" w:lineRule="auto"/>
      </w:pPr>
      <w:r>
        <w:t xml:space="preserve">Lin had an allergic reaction, which left him blind. Within a few weeks, his life turned upside down. He moved into </w:t>
      </w:r>
      <w:r w:rsidR="0088225A">
        <w:t>residential aged care</w:t>
      </w:r>
      <w:r>
        <w:t xml:space="preserve"> and was reliant on others. </w:t>
      </w:r>
    </w:p>
    <w:p w14:paraId="34AA84DE" w14:textId="77777777" w:rsidR="007905EA" w:rsidRDefault="0007559D" w:rsidP="00392D5C">
      <w:pPr>
        <w:spacing w:line="276" w:lineRule="auto"/>
      </w:pPr>
      <w:r>
        <w:t xml:space="preserve">Adjusting to his new life was challenging and distressing. Lin faced the added barrier of being a non-English speaker, making it difficult to find support. </w:t>
      </w:r>
    </w:p>
    <w:p w14:paraId="0D5C4F11" w14:textId="77777777" w:rsidR="007905EA" w:rsidRDefault="0007559D" w:rsidP="00392D5C">
      <w:pPr>
        <w:spacing w:line="276" w:lineRule="auto"/>
      </w:pPr>
      <w:r>
        <w:t xml:space="preserve">Lin spent much of the next few years, cut off from his new community and his dreams. </w:t>
      </w:r>
    </w:p>
    <w:p w14:paraId="49B9AC9D" w14:textId="77777777" w:rsidR="007905EA" w:rsidRDefault="0007559D" w:rsidP="00392D5C">
      <w:pPr>
        <w:spacing w:line="276" w:lineRule="auto"/>
      </w:pPr>
      <w:r>
        <w:t xml:space="preserve">“I felt extremely devastated,” Lin, 50, of Strathfield said. “I wasn’t sure what to </w:t>
      </w:r>
      <w:proofErr w:type="gramStart"/>
      <w:r>
        <w:t>do, because</w:t>
      </w:r>
      <w:proofErr w:type="gramEnd"/>
      <w:r>
        <w:t xml:space="preserve"> it was such a shock. It was a very difficult time for me.” </w:t>
      </w:r>
    </w:p>
    <w:p w14:paraId="06204BEC" w14:textId="2AC175B6" w:rsidR="000D3132" w:rsidRDefault="0007559D" w:rsidP="00392D5C">
      <w:pPr>
        <w:spacing w:line="276" w:lineRule="auto"/>
      </w:pPr>
      <w:r>
        <w:t xml:space="preserve">Today, Lin is once again living life to the full. </w:t>
      </w:r>
      <w:r w:rsidR="00530498" w:rsidRPr="00530498">
        <w:t xml:space="preserve">He </w:t>
      </w:r>
      <w:r w:rsidR="007F6902">
        <w:t xml:space="preserve">now </w:t>
      </w:r>
      <w:r w:rsidR="00530498" w:rsidRPr="00530498">
        <w:t>lives in an apartment in the community</w:t>
      </w:r>
      <w:r w:rsidR="007F6902">
        <w:t xml:space="preserve">, </w:t>
      </w:r>
      <w:r>
        <w:t>has discovered a new passion for running</w:t>
      </w:r>
      <w:r w:rsidR="007F6902">
        <w:t>,</w:t>
      </w:r>
      <w:r>
        <w:t xml:space="preserve"> and has developed plans for his own small business. </w:t>
      </w:r>
    </w:p>
    <w:p w14:paraId="3C20DE64" w14:textId="77777777" w:rsidR="000D3132" w:rsidRDefault="0007559D" w:rsidP="00392D5C">
      <w:pPr>
        <w:spacing w:line="276" w:lineRule="auto"/>
      </w:pPr>
      <w:r>
        <w:t xml:space="preserve">Lin says the turning point was joining the NDIS— with help from NDIS Partner in the Community (PITC), Settlement Services International (SSI). </w:t>
      </w:r>
    </w:p>
    <w:p w14:paraId="7EDE56AF" w14:textId="54006E88" w:rsidR="00BB2B38" w:rsidRDefault="0007559D" w:rsidP="00392D5C">
      <w:pPr>
        <w:spacing w:line="276" w:lineRule="auto"/>
      </w:pPr>
      <w:r>
        <w:t>“SSI has supported me in so many ways,” Lin said. “They helped me find a group to continue running for fitness and encouraged me to attend community activities. This has given me the opportunity to connect with others and share my experiences.”</w:t>
      </w:r>
      <w:r w:rsidR="00BB2B38">
        <w:t xml:space="preserve"> </w:t>
      </w:r>
    </w:p>
    <w:p w14:paraId="3EF3F737" w14:textId="77777777" w:rsidR="00E34C36" w:rsidRDefault="000D3132" w:rsidP="00392D5C">
      <w:pPr>
        <w:spacing w:line="276" w:lineRule="auto"/>
      </w:pPr>
      <w:r>
        <w:t xml:space="preserve">SSI specialises in supporting people with disability from Culturally and Linguistically Diverse (CALD) backgrounds. Bi-lingual staff member Li Hua Chu helped Lin to understand the Scheme. </w:t>
      </w:r>
    </w:p>
    <w:p w14:paraId="67BD0D3C" w14:textId="77777777" w:rsidR="00E34C36" w:rsidRDefault="000D3132" w:rsidP="00392D5C">
      <w:pPr>
        <w:spacing w:line="276" w:lineRule="auto"/>
      </w:pPr>
      <w:r>
        <w:t xml:space="preserve">Li accompanied Lin to his first review meeting as his supporter and advocate to help explain his situation and needs. </w:t>
      </w:r>
    </w:p>
    <w:p w14:paraId="6B56B43E" w14:textId="77777777" w:rsidR="00E34C36" w:rsidRDefault="000D3132" w:rsidP="00392D5C">
      <w:pPr>
        <w:spacing w:line="276" w:lineRule="auto"/>
      </w:pPr>
      <w:r>
        <w:t xml:space="preserve">Lin’s new NDIS plan provided the support he needed to pursue his goals of increased independence and community participation. With a newfound self-confidence, he began to take an active role in his community. </w:t>
      </w:r>
    </w:p>
    <w:p w14:paraId="5665F0A1" w14:textId="77777777" w:rsidR="00E34C36" w:rsidRDefault="000D3132" w:rsidP="00392D5C">
      <w:pPr>
        <w:spacing w:line="276" w:lineRule="auto"/>
      </w:pPr>
      <w:r>
        <w:t xml:space="preserve">Lin now runs regularly and is enjoying ‘giving back’ to his community by helping others. </w:t>
      </w:r>
    </w:p>
    <w:p w14:paraId="2F9D26D5" w14:textId="362999C7" w:rsidR="000D3132" w:rsidRDefault="000D3132" w:rsidP="00392D5C">
      <w:pPr>
        <w:spacing w:line="276" w:lineRule="auto"/>
      </w:pPr>
      <w:r>
        <w:t>“Through the knowledge I gained from SSI, I have been able to assist other Chinese-speaking people with a disability to help get them the support they need,” Lin said</w:t>
      </w:r>
      <w:r w:rsidR="00E34C36">
        <w:t>.</w:t>
      </w:r>
      <w:r w:rsidR="000A7450">
        <w:t xml:space="preserve"> </w:t>
      </w:r>
    </w:p>
    <w:p w14:paraId="6B929D27" w14:textId="30E204BB" w:rsidR="00176CE8" w:rsidRDefault="00176CE8" w:rsidP="00176CE8">
      <w:pPr>
        <w:pStyle w:val="Heading2"/>
      </w:pPr>
      <w:bookmarkStart w:id="61" w:name="_Toc99617113"/>
      <w:r>
        <w:t>Our Strategy</w:t>
      </w:r>
      <w:bookmarkEnd w:id="61"/>
      <w:r w:rsidR="000A7450">
        <w:t xml:space="preserve"> </w:t>
      </w:r>
    </w:p>
    <w:p w14:paraId="72A3CBB7" w14:textId="38B056DD" w:rsidR="00A745A1" w:rsidRPr="00FD162F" w:rsidRDefault="00A745A1" w:rsidP="00A745A1">
      <w:r w:rsidRPr="00FD162F">
        <w:t xml:space="preserve">Our high-level strategic roadmap for 2022–26 </w:t>
      </w:r>
      <w:r w:rsidR="000A1F65" w:rsidRPr="00FD162F">
        <w:t>is aligned to the</w:t>
      </w:r>
      <w:r w:rsidRPr="00FD162F">
        <w:t xml:space="preserve"> three phases outlined in the 2020–24 Corporate Plan. </w:t>
      </w:r>
    </w:p>
    <w:p w14:paraId="10CB10B6" w14:textId="74FD47DF" w:rsidR="00A745A1" w:rsidRPr="00FD162F" w:rsidRDefault="000A1F65" w:rsidP="00A745A1">
      <w:r w:rsidRPr="00FD162F">
        <w:t xml:space="preserve">Activities relating </w:t>
      </w:r>
      <w:r w:rsidR="00ED3611" w:rsidRPr="00FD162F">
        <w:t xml:space="preserve">to </w:t>
      </w:r>
      <w:r w:rsidRPr="00FD162F">
        <w:t>a</w:t>
      </w:r>
      <w:r w:rsidR="00A745A1" w:rsidRPr="00FD162F">
        <w:t>ll three phases will be implemented over the life of the Corporate Plan. Individual activities</w:t>
      </w:r>
      <w:r w:rsidRPr="00FD162F">
        <w:t xml:space="preserve"> </w:t>
      </w:r>
      <w:r w:rsidR="00A745A1" w:rsidRPr="00FD162F">
        <w:t>will increase or decrease in intensity depending on the priority and focus outlined in the strategic roadmap.</w:t>
      </w:r>
      <w:r w:rsidR="000A7450">
        <w:t xml:space="preserve"> </w:t>
      </w:r>
    </w:p>
    <w:p w14:paraId="594CD8E1" w14:textId="07C08CF3" w:rsidR="00A745A1" w:rsidRDefault="00A745A1" w:rsidP="00562112">
      <w:pPr>
        <w:pStyle w:val="Heading3"/>
      </w:pPr>
      <w:r w:rsidRPr="00406897">
        <w:t xml:space="preserve">Strategic roadmap </w:t>
      </w:r>
    </w:p>
    <w:p w14:paraId="7AA776E0" w14:textId="77777777" w:rsidR="00562112" w:rsidRDefault="00562112" w:rsidP="00562112">
      <w:pPr>
        <w:pStyle w:val="Heading4"/>
        <w:rPr>
          <w:rFonts w:ascii="Times New Roman" w:hAnsi="Times New Roman"/>
          <w:lang w:eastAsia="en-AU"/>
        </w:rPr>
      </w:pPr>
      <w:r>
        <w:t>Operational improvements (2020 to 2021)</w:t>
      </w:r>
    </w:p>
    <w:p w14:paraId="058860BF" w14:textId="77777777" w:rsidR="00562112" w:rsidRDefault="00562112" w:rsidP="00562112">
      <w:pPr>
        <w:pStyle w:val="ListParagraph"/>
        <w:numPr>
          <w:ilvl w:val="0"/>
          <w:numId w:val="6"/>
        </w:numPr>
      </w:pPr>
      <w:r>
        <w:t>Reduce backlogs and waitlists</w:t>
      </w:r>
    </w:p>
    <w:p w14:paraId="5BF4430C" w14:textId="77777777" w:rsidR="00562112" w:rsidRDefault="00562112" w:rsidP="00562112">
      <w:pPr>
        <w:pStyle w:val="ListParagraph"/>
        <w:numPr>
          <w:ilvl w:val="0"/>
          <w:numId w:val="6"/>
        </w:numPr>
      </w:pPr>
      <w:r>
        <w:t>Meeting existing targets (and future legislated Participant Service Guarantee)</w:t>
      </w:r>
    </w:p>
    <w:p w14:paraId="44BCFE06" w14:textId="77777777" w:rsidR="00562112" w:rsidRDefault="00562112" w:rsidP="00562112">
      <w:pPr>
        <w:pStyle w:val="ListParagraph"/>
        <w:numPr>
          <w:ilvl w:val="0"/>
          <w:numId w:val="6"/>
        </w:numPr>
      </w:pPr>
      <w:r>
        <w:t>Deliver tactical improvements to participant experience and pain points</w:t>
      </w:r>
    </w:p>
    <w:p w14:paraId="2169FDC7" w14:textId="77777777" w:rsidR="00562112" w:rsidRDefault="00562112" w:rsidP="00562112">
      <w:pPr>
        <w:pStyle w:val="Heading4"/>
      </w:pPr>
      <w:r>
        <w:t>Strategic improvements (now to end 2022)</w:t>
      </w:r>
    </w:p>
    <w:p w14:paraId="7A398DB6" w14:textId="77777777" w:rsidR="00562112" w:rsidRDefault="00562112" w:rsidP="00562112">
      <w:pPr>
        <w:pStyle w:val="ListParagraph"/>
        <w:numPr>
          <w:ilvl w:val="0"/>
          <w:numId w:val="6"/>
        </w:numPr>
      </w:pPr>
      <w:r>
        <w:t>Improve the end-to-end participant experience (via the Service Improvement Plan)</w:t>
      </w:r>
    </w:p>
    <w:p w14:paraId="0CFE77D5" w14:textId="77777777" w:rsidR="00562112" w:rsidRDefault="00562112" w:rsidP="00562112">
      <w:pPr>
        <w:pStyle w:val="ListParagraph"/>
        <w:numPr>
          <w:ilvl w:val="0"/>
          <w:numId w:val="6"/>
        </w:numPr>
      </w:pPr>
      <w:r>
        <w:t>Embed the Participant Service Charter</w:t>
      </w:r>
    </w:p>
    <w:p w14:paraId="1947CB79" w14:textId="77777777" w:rsidR="00562112" w:rsidRDefault="00562112" w:rsidP="00562112">
      <w:pPr>
        <w:pStyle w:val="ListParagraph"/>
        <w:numPr>
          <w:ilvl w:val="0"/>
          <w:numId w:val="6"/>
        </w:numPr>
      </w:pPr>
      <w:r>
        <w:t>Strengthen policies, procedures and controls to ensure financial sustainability</w:t>
      </w:r>
    </w:p>
    <w:p w14:paraId="7255910F" w14:textId="77777777" w:rsidR="00562112" w:rsidRDefault="00562112" w:rsidP="00562112">
      <w:pPr>
        <w:pStyle w:val="Heading4"/>
      </w:pPr>
      <w:r>
        <w:t>Strategic outcomes (now to 2026 and beyond)</w:t>
      </w:r>
    </w:p>
    <w:p w14:paraId="57AADDD1" w14:textId="77777777" w:rsidR="00562112" w:rsidRDefault="00562112" w:rsidP="00562112">
      <w:pPr>
        <w:pStyle w:val="ListParagraph"/>
        <w:numPr>
          <w:ilvl w:val="0"/>
          <w:numId w:val="6"/>
        </w:numPr>
      </w:pPr>
      <w:r>
        <w:t>Sustain improvement in participant outcomes (participation in employment and social/community activities)</w:t>
      </w:r>
    </w:p>
    <w:p w14:paraId="74290381" w14:textId="3449FA12" w:rsidR="00BB2E76" w:rsidRPr="00562112" w:rsidRDefault="00562112" w:rsidP="00562112">
      <w:pPr>
        <w:pStyle w:val="ListParagraph"/>
        <w:numPr>
          <w:ilvl w:val="0"/>
          <w:numId w:val="6"/>
        </w:numPr>
      </w:pPr>
      <w:r>
        <w:t>Reshape the Scheme and Agency</w:t>
      </w:r>
    </w:p>
    <w:p w14:paraId="64786EE9" w14:textId="5CB46872" w:rsidR="00A745A1" w:rsidRDefault="00E85DA6" w:rsidP="00A745A1">
      <w:r>
        <w:t>In 2021</w:t>
      </w:r>
      <w:r w:rsidR="00A87AD2">
        <w:t>–</w:t>
      </w:r>
      <w:r>
        <w:t>22 our efforts foc</w:t>
      </w:r>
      <w:r w:rsidR="00BB141F">
        <w:t>used on</w:t>
      </w:r>
      <w:r w:rsidR="00A745A1">
        <w:t>:</w:t>
      </w:r>
      <w:r w:rsidR="000A7450">
        <w:t xml:space="preserve"> </w:t>
      </w:r>
    </w:p>
    <w:p w14:paraId="7B43D501" w14:textId="1017BF33" w:rsidR="00932926" w:rsidRDefault="003A260C" w:rsidP="00562112">
      <w:pPr>
        <w:pStyle w:val="ListParagraph"/>
        <w:numPr>
          <w:ilvl w:val="0"/>
          <w:numId w:val="7"/>
        </w:numPr>
      </w:pPr>
      <w:r>
        <w:t>M</w:t>
      </w:r>
      <w:r w:rsidR="00932926">
        <w:t>anag</w:t>
      </w:r>
      <w:r w:rsidR="00ED3611">
        <w:t>ing</w:t>
      </w:r>
      <w:r w:rsidR="00932926">
        <w:t xml:space="preserve"> C</w:t>
      </w:r>
      <w:r w:rsidR="005B311A">
        <w:t>O</w:t>
      </w:r>
      <w:r w:rsidR="00932926">
        <w:t>VID</w:t>
      </w:r>
      <w:r w:rsidR="005B311A">
        <w:t>-19</w:t>
      </w:r>
      <w:r w:rsidR="00932926">
        <w:t xml:space="preserve"> related impacts, including support of the </w:t>
      </w:r>
      <w:r w:rsidR="00ED3611">
        <w:t>n</w:t>
      </w:r>
      <w:r w:rsidR="00932926">
        <w:t xml:space="preserve">ational vaccine rollout, and </w:t>
      </w:r>
      <w:r w:rsidR="00233068">
        <w:t xml:space="preserve">distribution </w:t>
      </w:r>
      <w:r w:rsidR="00932926">
        <w:t>of Rapid Antigen Tests for participants and providers</w:t>
      </w:r>
      <w:r>
        <w:t>.</w:t>
      </w:r>
      <w:r w:rsidR="000A7450">
        <w:t xml:space="preserve"> </w:t>
      </w:r>
    </w:p>
    <w:p w14:paraId="744F8AEF" w14:textId="7A0EBC93" w:rsidR="00E85DA6" w:rsidRDefault="003A260C" w:rsidP="00562112">
      <w:pPr>
        <w:pStyle w:val="ListParagraph"/>
        <w:numPr>
          <w:ilvl w:val="0"/>
          <w:numId w:val="7"/>
        </w:numPr>
      </w:pPr>
      <w:r>
        <w:t>I</w:t>
      </w:r>
      <w:r w:rsidR="00932926">
        <w:t>mprov</w:t>
      </w:r>
      <w:r w:rsidR="00ED3611">
        <w:t>ing</w:t>
      </w:r>
      <w:r w:rsidR="00932926">
        <w:t xml:space="preserve"> operational capability by </w:t>
      </w:r>
      <w:r w:rsidR="00E85DA6" w:rsidRPr="00E545A6">
        <w:t>delivering the actions in our Participant Service Charter and Participant Service Improvement Plan</w:t>
      </w:r>
      <w:r>
        <w:t>.</w:t>
      </w:r>
      <w:r w:rsidR="000A7450">
        <w:t xml:space="preserve"> </w:t>
      </w:r>
    </w:p>
    <w:p w14:paraId="2A91F188" w14:textId="69DC4383" w:rsidR="00E85DA6" w:rsidRDefault="003A260C" w:rsidP="00562112">
      <w:pPr>
        <w:pStyle w:val="ListParagraph"/>
        <w:numPr>
          <w:ilvl w:val="0"/>
          <w:numId w:val="7"/>
        </w:numPr>
      </w:pPr>
      <w:r>
        <w:t>C</w:t>
      </w:r>
      <w:r w:rsidR="00ED3611">
        <w:t>reating a</w:t>
      </w:r>
      <w:r w:rsidR="00E85DA6" w:rsidRPr="00C90A67">
        <w:t xml:space="preserve"> new partnership agreement with the Independent Advisory Council and disability representative </w:t>
      </w:r>
      <w:r w:rsidR="00E85DA6" w:rsidRPr="003206BC">
        <w:t>organisations</w:t>
      </w:r>
      <w:r w:rsidR="00A87AD2">
        <w:t>,</w:t>
      </w:r>
      <w:r w:rsidR="0058129D">
        <w:t xml:space="preserve"> to</w:t>
      </w:r>
      <w:r w:rsidR="00E85DA6" w:rsidRPr="00C90A67">
        <w:t xml:space="preserve"> include co-design principles and a consultation and engagement roadmap</w:t>
      </w:r>
      <w:r>
        <w:t>.</w:t>
      </w:r>
      <w:r w:rsidR="000A7450">
        <w:t xml:space="preserve"> </w:t>
      </w:r>
    </w:p>
    <w:p w14:paraId="3BEBA7E0" w14:textId="4216E0AA" w:rsidR="00932926" w:rsidRDefault="003A260C" w:rsidP="00562112">
      <w:pPr>
        <w:pStyle w:val="ListParagraph"/>
        <w:numPr>
          <w:ilvl w:val="0"/>
          <w:numId w:val="7"/>
        </w:numPr>
      </w:pPr>
      <w:r>
        <w:t>I</w:t>
      </w:r>
      <w:r w:rsidR="00932926">
        <w:t>ncreas</w:t>
      </w:r>
      <w:r w:rsidR="00ED3611">
        <w:t>ing</w:t>
      </w:r>
      <w:r w:rsidR="00932926">
        <w:t xml:space="preserve"> capability </w:t>
      </w:r>
      <w:r w:rsidR="00ED3611">
        <w:t xml:space="preserve">to </w:t>
      </w:r>
      <w:r w:rsidR="00932926">
        <w:t>manag</w:t>
      </w:r>
      <w:r w:rsidR="00ED3611">
        <w:t>e</w:t>
      </w:r>
      <w:r w:rsidR="00932926">
        <w:t xml:space="preserve"> non-compliant and fraudulent practices</w:t>
      </w:r>
      <w:r>
        <w:t>.</w:t>
      </w:r>
      <w:r w:rsidR="000A7450">
        <w:t xml:space="preserve"> </w:t>
      </w:r>
    </w:p>
    <w:p w14:paraId="2940FDE1" w14:textId="02B5BF11" w:rsidR="00873833" w:rsidRDefault="003A260C" w:rsidP="00562112">
      <w:pPr>
        <w:pStyle w:val="ListParagraph"/>
        <w:numPr>
          <w:ilvl w:val="0"/>
          <w:numId w:val="7"/>
        </w:numPr>
      </w:pPr>
      <w:r>
        <w:t>C</w:t>
      </w:r>
      <w:r w:rsidR="006D4679">
        <w:t xml:space="preserve">ontinuing to manage increasing </w:t>
      </w:r>
      <w:r w:rsidR="00250716">
        <w:t xml:space="preserve">volumes </w:t>
      </w:r>
      <w:r w:rsidR="00113249">
        <w:t>of new and continuing p</w:t>
      </w:r>
      <w:r w:rsidR="006D4679">
        <w:t>articipants</w:t>
      </w:r>
      <w:r w:rsidR="007C73A0">
        <w:t>.</w:t>
      </w:r>
      <w:r w:rsidR="000A7450">
        <w:t xml:space="preserve"> </w:t>
      </w:r>
    </w:p>
    <w:p w14:paraId="3FEFD996" w14:textId="77777777" w:rsidR="00031645" w:rsidRDefault="00031645">
      <w:pPr>
        <w:spacing w:after="0" w:line="240" w:lineRule="auto"/>
      </w:pPr>
      <w:r>
        <w:br w:type="page"/>
      </w:r>
    </w:p>
    <w:p w14:paraId="5A94226D" w14:textId="08CD1D75" w:rsidR="002C1F04" w:rsidRPr="002C1F04" w:rsidRDefault="002C1F04" w:rsidP="002C1F04">
      <w:pPr>
        <w:spacing w:after="160" w:line="259" w:lineRule="auto"/>
      </w:pPr>
      <w:r>
        <w:t>In 2022</w:t>
      </w:r>
      <w:r w:rsidR="00E65367">
        <w:t>–</w:t>
      </w:r>
      <w:r>
        <w:t xml:space="preserve">23 </w:t>
      </w:r>
      <w:r w:rsidR="003415E7" w:rsidRPr="003415E7">
        <w:t>we will prioritise</w:t>
      </w:r>
      <w:r w:rsidR="003415E7">
        <w:t>:</w:t>
      </w:r>
      <w:r w:rsidR="000A7450">
        <w:t xml:space="preserve"> </w:t>
      </w:r>
    </w:p>
    <w:p w14:paraId="4966CA1C" w14:textId="0052CE48" w:rsidR="00250716" w:rsidRDefault="003A260C" w:rsidP="00562112">
      <w:pPr>
        <w:pStyle w:val="ListParagraph"/>
        <w:numPr>
          <w:ilvl w:val="0"/>
          <w:numId w:val="7"/>
        </w:numPr>
      </w:pPr>
      <w:r>
        <w:t>C</w:t>
      </w:r>
      <w:r w:rsidR="00250716">
        <w:t>ontributing</w:t>
      </w:r>
      <w:r w:rsidR="00513BCD">
        <w:t xml:space="preserve"> </w:t>
      </w:r>
      <w:r w:rsidR="00513BCD" w:rsidRPr="00513BCD">
        <w:t>data and information</w:t>
      </w:r>
      <w:r w:rsidR="00250716">
        <w:t xml:space="preserve"> to the review of the NDIS design, operation and sustainability.</w:t>
      </w:r>
      <w:r w:rsidR="000A7450">
        <w:t xml:space="preserve"> </w:t>
      </w:r>
    </w:p>
    <w:p w14:paraId="50691437" w14:textId="03C04B9E" w:rsidR="00AB42CA" w:rsidRDefault="003A260C" w:rsidP="00562112">
      <w:pPr>
        <w:pStyle w:val="ListParagraph"/>
        <w:numPr>
          <w:ilvl w:val="0"/>
          <w:numId w:val="7"/>
        </w:numPr>
      </w:pPr>
      <w:r>
        <w:t>A</w:t>
      </w:r>
      <w:r w:rsidR="00AB42CA">
        <w:t xml:space="preserve"> refreshed Research and Evaluation Strategy and new investment effectiveness analysis to</w:t>
      </w:r>
      <w:r w:rsidR="00AB42CA" w:rsidDel="00F228D4">
        <w:t xml:space="preserve"> </w:t>
      </w:r>
      <w:r w:rsidR="00AB42CA">
        <w:t>focus on measuring the outcomes and benefits of a range of supports and services funded through the NDIA including innovative approaches and technologies</w:t>
      </w:r>
      <w:r>
        <w:t>.</w:t>
      </w:r>
      <w:r w:rsidR="000A7450">
        <w:t xml:space="preserve"> </w:t>
      </w:r>
    </w:p>
    <w:p w14:paraId="1943BCCE" w14:textId="0321AD5E" w:rsidR="0047688C" w:rsidRPr="002C1F04" w:rsidRDefault="003A260C" w:rsidP="00562112">
      <w:pPr>
        <w:pStyle w:val="ListParagraph"/>
        <w:numPr>
          <w:ilvl w:val="0"/>
          <w:numId w:val="7"/>
        </w:numPr>
      </w:pPr>
      <w:r>
        <w:t>P</w:t>
      </w:r>
      <w:r w:rsidR="00A159A4">
        <w:t>articipant safety</w:t>
      </w:r>
      <w:r w:rsidR="00FB18C5">
        <w:t>,</w:t>
      </w:r>
      <w:r w:rsidR="00A159A4">
        <w:t xml:space="preserve"> including </w:t>
      </w:r>
      <w:r w:rsidR="0047688C">
        <w:t>responding to</w:t>
      </w:r>
      <w:r w:rsidR="0047688C" w:rsidRPr="002C1F04">
        <w:t xml:space="preserve"> participant</w:t>
      </w:r>
      <w:r w:rsidR="0047688C">
        <w:t xml:space="preserve">s and the NDIS </w:t>
      </w:r>
      <w:r w:rsidR="00216D67">
        <w:t xml:space="preserve">ecosystem </w:t>
      </w:r>
      <w:r w:rsidR="0047688C">
        <w:t>impacted by the COVID-19 pandemic</w:t>
      </w:r>
      <w:r w:rsidR="00FB18C5">
        <w:t>,</w:t>
      </w:r>
      <w:r w:rsidR="0047688C">
        <w:t xml:space="preserve"> to ensure participants access the supports they need in a safe way</w:t>
      </w:r>
      <w:r w:rsidR="000A741C">
        <w:t>.</w:t>
      </w:r>
      <w:r w:rsidR="000A7450">
        <w:t xml:space="preserve"> </w:t>
      </w:r>
    </w:p>
    <w:p w14:paraId="1A643F31" w14:textId="3E049D24" w:rsidR="002542F8" w:rsidRPr="000905A9" w:rsidRDefault="003A260C" w:rsidP="00562112">
      <w:pPr>
        <w:pStyle w:val="ListParagraph"/>
        <w:numPr>
          <w:ilvl w:val="0"/>
          <w:numId w:val="7"/>
        </w:numPr>
        <w:rPr>
          <w:rFonts w:eastAsia="Arial" w:cs="Arial"/>
          <w:szCs w:val="22"/>
        </w:rPr>
      </w:pPr>
      <w:r>
        <w:rPr>
          <w:rFonts w:eastAsia="Arial" w:cs="Arial"/>
          <w:szCs w:val="22"/>
        </w:rPr>
        <w:t>E</w:t>
      </w:r>
      <w:r w:rsidR="00A159A4">
        <w:rPr>
          <w:rFonts w:eastAsia="Arial" w:cs="Arial"/>
          <w:szCs w:val="22"/>
        </w:rPr>
        <w:t xml:space="preserve">nsure people with disability are at the </w:t>
      </w:r>
      <w:r w:rsidR="00B13F04">
        <w:rPr>
          <w:rFonts w:eastAsia="Arial" w:cs="Arial"/>
          <w:szCs w:val="22"/>
        </w:rPr>
        <w:t>centre</w:t>
      </w:r>
      <w:r w:rsidR="00A159A4">
        <w:rPr>
          <w:rFonts w:eastAsia="Arial" w:cs="Arial"/>
          <w:szCs w:val="22"/>
        </w:rPr>
        <w:t xml:space="preserve"> of improving the Scheme through our </w:t>
      </w:r>
      <w:r w:rsidR="00A159A4" w:rsidRPr="00EA7CE6">
        <w:rPr>
          <w:rFonts w:eastAsia="Arial" w:cs="Arial"/>
          <w:szCs w:val="22"/>
        </w:rPr>
        <w:t>partnership</w:t>
      </w:r>
      <w:r w:rsidR="00A159A4">
        <w:rPr>
          <w:rFonts w:eastAsia="Arial" w:cs="Arial"/>
          <w:szCs w:val="22"/>
        </w:rPr>
        <w:t xml:space="preserve"> in co-design</w:t>
      </w:r>
      <w:r w:rsidR="000A741C">
        <w:rPr>
          <w:rFonts w:eastAsia="Arial" w:cs="Arial"/>
          <w:szCs w:val="22"/>
        </w:rPr>
        <w:t>.</w:t>
      </w:r>
      <w:r w:rsidR="000A7450">
        <w:rPr>
          <w:rFonts w:eastAsia="Arial" w:cs="Arial"/>
          <w:szCs w:val="22"/>
        </w:rPr>
        <w:t xml:space="preserve"> </w:t>
      </w:r>
    </w:p>
    <w:p w14:paraId="00548BDE" w14:textId="6C5A3D8B" w:rsidR="00A1217F" w:rsidRPr="002C1F04" w:rsidRDefault="000A741C" w:rsidP="00562112">
      <w:pPr>
        <w:pStyle w:val="ListParagraph"/>
        <w:numPr>
          <w:ilvl w:val="0"/>
          <w:numId w:val="7"/>
        </w:numPr>
      </w:pPr>
      <w:r>
        <w:t>I</w:t>
      </w:r>
      <w:r w:rsidR="00A1217F" w:rsidRPr="002C1F04">
        <w:t>mprov</w:t>
      </w:r>
      <w:r w:rsidR="00A1217F">
        <w:t>ing</w:t>
      </w:r>
      <w:r w:rsidR="00A1217F" w:rsidRPr="002C1F04">
        <w:t xml:space="preserve"> </w:t>
      </w:r>
      <w:r w:rsidR="00A1217F">
        <w:t xml:space="preserve">the efficiency of our </w:t>
      </w:r>
      <w:r w:rsidR="00A1217F" w:rsidRPr="002C1F04">
        <w:t>operations</w:t>
      </w:r>
      <w:r w:rsidR="00A1217F">
        <w:t xml:space="preserve"> and performance</w:t>
      </w:r>
      <w:r w:rsidR="00A1217F" w:rsidRPr="002C1F04">
        <w:t xml:space="preserve"> (as identified in the </w:t>
      </w:r>
      <w:r w:rsidR="00A1217F">
        <w:t>SIP</w:t>
      </w:r>
      <w:r w:rsidR="00A1217F" w:rsidRPr="002C1F04">
        <w:t>)</w:t>
      </w:r>
      <w:r w:rsidR="00A1217F">
        <w:t xml:space="preserve"> including our investment in our underlying </w:t>
      </w:r>
      <w:r w:rsidR="00AD1054">
        <w:t xml:space="preserve">digital </w:t>
      </w:r>
      <w:r w:rsidR="00A1217F">
        <w:t>systems</w:t>
      </w:r>
      <w:r>
        <w:t>.</w:t>
      </w:r>
      <w:r w:rsidR="000A7450">
        <w:t xml:space="preserve"> </w:t>
      </w:r>
    </w:p>
    <w:p w14:paraId="6949E908" w14:textId="77777777" w:rsidR="007F6902" w:rsidRDefault="000A741C" w:rsidP="00562112">
      <w:pPr>
        <w:pStyle w:val="ListParagraph"/>
        <w:numPr>
          <w:ilvl w:val="0"/>
          <w:numId w:val="7"/>
        </w:numPr>
      </w:pPr>
      <w:r>
        <w:t>I</w:t>
      </w:r>
      <w:r w:rsidR="00A1217F" w:rsidRPr="00E422CF">
        <w:t xml:space="preserve">ncreasing </w:t>
      </w:r>
      <w:r w:rsidR="00A1217F" w:rsidRPr="00F307EE">
        <w:t>consistency</w:t>
      </w:r>
      <w:r w:rsidR="00761990" w:rsidRPr="00F307EE">
        <w:t xml:space="preserve">, </w:t>
      </w:r>
      <w:r w:rsidR="00A1217F" w:rsidRPr="00813E0C">
        <w:t>transpa</w:t>
      </w:r>
      <w:r w:rsidR="00A1217F" w:rsidRPr="000A26C7">
        <w:t>rency</w:t>
      </w:r>
      <w:r w:rsidR="00761990" w:rsidRPr="000A26C7">
        <w:t xml:space="preserve"> and rigo</w:t>
      </w:r>
      <w:r w:rsidR="00250716" w:rsidRPr="000A26C7">
        <w:t>u</w:t>
      </w:r>
      <w:r w:rsidR="00761990" w:rsidRPr="000A26C7">
        <w:t>r</w:t>
      </w:r>
      <w:r w:rsidR="00A1217F" w:rsidRPr="00BC1C1C">
        <w:t xml:space="preserve"> of our decision making through </w:t>
      </w:r>
      <w:r w:rsidR="00A1217F" w:rsidRPr="00AB23E7">
        <w:t xml:space="preserve">clearer policies, </w:t>
      </w:r>
      <w:r w:rsidR="00250716" w:rsidRPr="00AB23E7">
        <w:t xml:space="preserve">operational guidelines </w:t>
      </w:r>
      <w:r w:rsidR="00A1217F" w:rsidRPr="00AB23E7">
        <w:t>and controls</w:t>
      </w:r>
      <w:r w:rsidR="000D6DBC">
        <w:t xml:space="preserve">. </w:t>
      </w:r>
    </w:p>
    <w:p w14:paraId="7896BEF1" w14:textId="151567C6" w:rsidR="005E6505" w:rsidRPr="00E422CF" w:rsidRDefault="00CB157A" w:rsidP="00562112">
      <w:pPr>
        <w:pStyle w:val="ListParagraph"/>
        <w:numPr>
          <w:ilvl w:val="0"/>
          <w:numId w:val="7"/>
        </w:numPr>
      </w:pPr>
      <w:r>
        <w:t>R</w:t>
      </w:r>
      <w:r w:rsidRPr="00CB157A">
        <w:t xml:space="preserve">educing the number of current matters in the Administrative Appeals Tribunal (AAT) and </w:t>
      </w:r>
      <w:r w:rsidR="00A9602E">
        <w:t xml:space="preserve">considering </w:t>
      </w:r>
      <w:r w:rsidRPr="00CB157A">
        <w:t xml:space="preserve">introducing alternative dispute resolution processes for participants appealing NDIS decisions. </w:t>
      </w:r>
    </w:p>
    <w:p w14:paraId="253C6E27" w14:textId="5CF7EC17" w:rsidR="005E6505" w:rsidRDefault="000A741C" w:rsidP="00562112">
      <w:pPr>
        <w:pStyle w:val="ListParagraph"/>
        <w:numPr>
          <w:ilvl w:val="0"/>
          <w:numId w:val="7"/>
        </w:numPr>
      </w:pPr>
      <w:r>
        <w:t>A</w:t>
      </w:r>
      <w:r w:rsidR="005E6505" w:rsidRPr="004F6270">
        <w:t>ssisting communities in specific geographical locations</w:t>
      </w:r>
      <w:r w:rsidR="005E6505">
        <w:t>, including remote</w:t>
      </w:r>
      <w:r w:rsidR="00FB18C5">
        <w:t xml:space="preserve"> and </w:t>
      </w:r>
      <w:r w:rsidR="005E6505">
        <w:t>very remote</w:t>
      </w:r>
      <w:r w:rsidR="00FB18C5">
        <w:t>,</w:t>
      </w:r>
      <w:r w:rsidR="005E6505" w:rsidRPr="004F6270">
        <w:t xml:space="preserve"> to </w:t>
      </w:r>
      <w:r w:rsidR="00A159A4">
        <w:t>strengthen</w:t>
      </w:r>
      <w:r w:rsidR="005E6505" w:rsidRPr="004F6270">
        <w:t xml:space="preserve"> local supply solutions</w:t>
      </w:r>
      <w:r>
        <w:t>.</w:t>
      </w:r>
      <w:r w:rsidR="000A7450">
        <w:t xml:space="preserve"> </w:t>
      </w:r>
    </w:p>
    <w:p w14:paraId="3E092E9A" w14:textId="2E290C18" w:rsidR="007E0B61" w:rsidRDefault="007E0B61" w:rsidP="00562112">
      <w:pPr>
        <w:pStyle w:val="ListParagraph"/>
        <w:numPr>
          <w:ilvl w:val="0"/>
          <w:numId w:val="7"/>
        </w:numPr>
      </w:pPr>
      <w:r w:rsidRPr="007E0B61">
        <w:t>Influencing government disability employment initiatives to expand employment opportunities for participants, and partner with national employers to build capability to employ participants and set an example using our Participant Employment Strategy</w:t>
      </w:r>
      <w:r w:rsidR="000A741C">
        <w:t>.</w:t>
      </w:r>
      <w:r w:rsidR="000A7450">
        <w:t xml:space="preserve"> </w:t>
      </w:r>
    </w:p>
    <w:p w14:paraId="572C91F9" w14:textId="6B5EB437" w:rsidR="007F6902" w:rsidRDefault="007F6902" w:rsidP="00562112">
      <w:pPr>
        <w:pStyle w:val="ListParagraph"/>
        <w:numPr>
          <w:ilvl w:val="0"/>
          <w:numId w:val="7"/>
        </w:numPr>
      </w:pPr>
      <w:r>
        <w:t xml:space="preserve">Reducing the number of NDIS participants in hospital </w:t>
      </w:r>
      <w:r w:rsidR="002F6578">
        <w:t xml:space="preserve">who are ready to be </w:t>
      </w:r>
      <w:proofErr w:type="gramStart"/>
      <w:r w:rsidR="002F6578">
        <w:t>discharged, and</w:t>
      </w:r>
      <w:proofErr w:type="gramEnd"/>
      <w:r w:rsidR="002F6578">
        <w:t xml:space="preserve"> reduce the number of younger people in residential aged care. </w:t>
      </w:r>
    </w:p>
    <w:p w14:paraId="6396593F" w14:textId="77C1B11C" w:rsidR="00985BCE" w:rsidRDefault="000A741C" w:rsidP="00562112">
      <w:pPr>
        <w:pStyle w:val="ListParagraph"/>
        <w:numPr>
          <w:ilvl w:val="0"/>
          <w:numId w:val="7"/>
        </w:numPr>
      </w:pPr>
      <w:bookmarkStart w:id="62" w:name="_Hlk104285274"/>
      <w:r>
        <w:t>P</w:t>
      </w:r>
      <w:r w:rsidR="007E0B61" w:rsidRPr="007E0B61">
        <w:t>rotecting the Scheme from non-compliant and fraudulent practices</w:t>
      </w:r>
      <w:r w:rsidR="00F2274C">
        <w:t>.</w:t>
      </w:r>
      <w:bookmarkEnd w:id="62"/>
      <w:r w:rsidR="000A7450">
        <w:t xml:space="preserve"> </w:t>
      </w:r>
    </w:p>
    <w:p w14:paraId="306EF341" w14:textId="77777777" w:rsidR="00FD5D7F" w:rsidRDefault="00FD5D7F">
      <w:pPr>
        <w:spacing w:after="0" w:line="240" w:lineRule="auto"/>
      </w:pPr>
      <w:bookmarkStart w:id="63" w:name="_Toc97028782"/>
      <w:r>
        <w:br w:type="page"/>
      </w:r>
    </w:p>
    <w:p w14:paraId="2B76DFF4" w14:textId="22654452" w:rsidR="00176CE8" w:rsidRPr="00FD5D7F" w:rsidRDefault="00176CE8" w:rsidP="00FD5D7F">
      <w:pPr>
        <w:pStyle w:val="Heading3"/>
        <w:rPr>
          <w:rStyle w:val="Heading3Char"/>
          <w:b/>
          <w:bCs/>
        </w:rPr>
      </w:pPr>
      <w:bookmarkStart w:id="64" w:name="_Toc99617114"/>
      <w:r w:rsidRPr="00FD5D7F">
        <w:rPr>
          <w:rStyle w:val="Heading3Char"/>
          <w:b/>
          <w:bCs/>
        </w:rPr>
        <w:t>Our aspirations</w:t>
      </w:r>
      <w:bookmarkEnd w:id="63"/>
      <w:bookmarkEnd w:id="64"/>
      <w:r w:rsidR="000A7450">
        <w:rPr>
          <w:rStyle w:val="Heading3Char"/>
          <w:b/>
          <w:bCs/>
        </w:rPr>
        <w:t xml:space="preserve"> </w:t>
      </w:r>
    </w:p>
    <w:p w14:paraId="0A7A573B" w14:textId="150B5098" w:rsidR="00BB141F" w:rsidRDefault="00CF5CF0" w:rsidP="00BB141F">
      <w:r>
        <w:t>Our strategy aligns five aspirations to our purpose statement, each with specific strategic goals.</w:t>
      </w:r>
      <w:r w:rsidR="000A7450">
        <w:t xml:space="preserve"> </w:t>
      </w:r>
    </w:p>
    <w:p w14:paraId="6DBCF7F9" w14:textId="77777777" w:rsidR="00562112" w:rsidRPr="00562112" w:rsidRDefault="00562112" w:rsidP="00562112">
      <w:r w:rsidRPr="00562112">
        <w:t>Our purpose is to ‘support individuals with a significant and permanent disability (participants) to be more independent and engage more socially and economically, while delivering a financially sustainable NDIS that builds genuinely connected and engaged communities and stakeholders.’</w:t>
      </w:r>
    </w:p>
    <w:p w14:paraId="0581EB4B" w14:textId="77777777" w:rsidR="00562112" w:rsidRPr="00562112" w:rsidRDefault="00562112" w:rsidP="00562112">
      <w:pPr>
        <w:rPr>
          <w:b/>
          <w:bCs/>
        </w:rPr>
      </w:pPr>
      <w:r w:rsidRPr="00562112">
        <w:rPr>
          <w:b/>
          <w:bCs/>
        </w:rPr>
        <w:t>1. A quality experience and improved outcomes for participants</w:t>
      </w:r>
    </w:p>
    <w:p w14:paraId="642C5C02" w14:textId="77777777" w:rsidR="00562112" w:rsidRPr="00562112" w:rsidRDefault="00562112" w:rsidP="00562112">
      <w:r w:rsidRPr="00562112">
        <w:t xml:space="preserve">1.1 Improve participant economic and social outcomes </w:t>
      </w:r>
    </w:p>
    <w:p w14:paraId="14D2A8AC" w14:textId="77777777" w:rsidR="00562112" w:rsidRPr="00562112" w:rsidRDefault="00562112" w:rsidP="00562112">
      <w:r w:rsidRPr="00562112">
        <w:t>1.2 Improve plan quality through equitable and more flexible budgets and streamlined decision making</w:t>
      </w:r>
    </w:p>
    <w:p w14:paraId="709D9032" w14:textId="77777777" w:rsidR="00562112" w:rsidRPr="00562112" w:rsidRDefault="00562112" w:rsidP="00562112">
      <w:r w:rsidRPr="00562112">
        <w:t>1.3 Deliver a quality experience in line with the Participant Service Charter and Guarantee</w:t>
      </w:r>
    </w:p>
    <w:p w14:paraId="67B1B377" w14:textId="77777777" w:rsidR="00562112" w:rsidRPr="00562112" w:rsidRDefault="00562112" w:rsidP="00562112">
      <w:r w:rsidRPr="00562112">
        <w:t>1.4 Provide ongoing participant care, safety and support for decision making</w:t>
      </w:r>
    </w:p>
    <w:p w14:paraId="273ECC40" w14:textId="77777777" w:rsidR="00562112" w:rsidRPr="00562112" w:rsidRDefault="00562112" w:rsidP="00562112">
      <w:pPr>
        <w:rPr>
          <w:b/>
          <w:bCs/>
        </w:rPr>
      </w:pPr>
      <w:r w:rsidRPr="00562112">
        <w:rPr>
          <w:b/>
          <w:bCs/>
        </w:rPr>
        <w:t>2. A competitive market with innovative supports</w:t>
      </w:r>
    </w:p>
    <w:p w14:paraId="2F2E7BEF" w14:textId="77777777" w:rsidR="00562112" w:rsidRPr="00562112" w:rsidRDefault="00562112" w:rsidP="00562112">
      <w:r w:rsidRPr="00562112">
        <w:t>2.1 Develop a market with high quality, competitive and innovative supports and services</w:t>
      </w:r>
    </w:p>
    <w:p w14:paraId="25553AA5" w14:textId="77777777" w:rsidR="00562112" w:rsidRPr="00562112" w:rsidRDefault="00562112" w:rsidP="00562112">
      <w:r w:rsidRPr="00562112">
        <w:t>2.2 Improve the NDIS provider experience</w:t>
      </w:r>
    </w:p>
    <w:p w14:paraId="51B795F8" w14:textId="77777777" w:rsidR="00562112" w:rsidRPr="00562112" w:rsidRDefault="00562112" w:rsidP="00562112">
      <w:pPr>
        <w:rPr>
          <w:b/>
          <w:bCs/>
        </w:rPr>
      </w:pPr>
      <w:r w:rsidRPr="00562112">
        <w:rPr>
          <w:b/>
          <w:bCs/>
        </w:rPr>
        <w:t>3. A genuinely connected and engaged stakeholder sector</w:t>
      </w:r>
    </w:p>
    <w:p w14:paraId="0B01369F" w14:textId="77777777" w:rsidR="00562112" w:rsidRPr="00562112" w:rsidRDefault="00562112" w:rsidP="00562112">
      <w:r w:rsidRPr="00562112">
        <w:t xml:space="preserve">3.1 Enhance stakeholder sentiment and confidence through co-design, transparency and better communication </w:t>
      </w:r>
    </w:p>
    <w:p w14:paraId="489917FA" w14:textId="77777777" w:rsidR="00562112" w:rsidRPr="00562112" w:rsidRDefault="00562112" w:rsidP="00562112">
      <w:r w:rsidRPr="00562112">
        <w:t xml:space="preserve">3.2 Strengthen meaningful partnerships and consultation with governments and the community </w:t>
      </w:r>
    </w:p>
    <w:p w14:paraId="34399DB9" w14:textId="77777777" w:rsidR="00562112" w:rsidRPr="00562112" w:rsidRDefault="00562112" w:rsidP="00562112">
      <w:pPr>
        <w:rPr>
          <w:b/>
          <w:bCs/>
        </w:rPr>
      </w:pPr>
      <w:r w:rsidRPr="00562112">
        <w:rPr>
          <w:b/>
          <w:bCs/>
        </w:rPr>
        <w:t>4. A high-performing NDIA</w:t>
      </w:r>
    </w:p>
    <w:p w14:paraId="21649C20" w14:textId="77777777" w:rsidR="00562112" w:rsidRPr="00562112" w:rsidRDefault="00562112" w:rsidP="00562112">
      <w:r w:rsidRPr="00562112">
        <w:t>4.1 Maintain strong staff engagement and wellbeing through a time of transformation</w:t>
      </w:r>
    </w:p>
    <w:p w14:paraId="2BC629E7" w14:textId="77777777" w:rsidR="00562112" w:rsidRPr="00562112" w:rsidRDefault="00562112" w:rsidP="00562112">
      <w:r w:rsidRPr="00562112">
        <w:t xml:space="preserve">4.2 Enhance efficiency and effectiveness of processes and systems </w:t>
      </w:r>
    </w:p>
    <w:p w14:paraId="6C42582F" w14:textId="77777777" w:rsidR="00562112" w:rsidRPr="00562112" w:rsidRDefault="00562112" w:rsidP="00562112">
      <w:pPr>
        <w:rPr>
          <w:b/>
          <w:bCs/>
        </w:rPr>
      </w:pPr>
      <w:r w:rsidRPr="00562112">
        <w:rPr>
          <w:b/>
          <w:bCs/>
        </w:rPr>
        <w:t>5. A financially sustainable NDIS</w:t>
      </w:r>
    </w:p>
    <w:p w14:paraId="483DF80A" w14:textId="77777777" w:rsidR="00562112" w:rsidRPr="00562112" w:rsidRDefault="00562112" w:rsidP="00562112">
      <w:r w:rsidRPr="00562112">
        <w:t>5.1 Ensure the NDIS is financially sustainable and achieves value for money</w:t>
      </w:r>
    </w:p>
    <w:p w14:paraId="18DC77EC" w14:textId="252C2768" w:rsidR="00176CE8" w:rsidRDefault="00562112" w:rsidP="00176CE8">
      <w:r w:rsidRPr="00562112">
        <w:t>5.2 Improve the control environment to maintain Scheme integrity</w:t>
      </w:r>
    </w:p>
    <w:p w14:paraId="349A5086" w14:textId="7DB19E2A" w:rsidR="00F86F4E" w:rsidRPr="00406897" w:rsidRDefault="00F86F4E" w:rsidP="00F307EE">
      <w:pPr>
        <w:pStyle w:val="Heading3"/>
        <w:ind w:left="0" w:hanging="11"/>
      </w:pPr>
      <w:bookmarkStart w:id="65" w:name="_Toc452186178"/>
      <w:bookmarkStart w:id="66" w:name="_Toc552340555"/>
      <w:bookmarkStart w:id="67" w:name="_Toc77690773"/>
      <w:bookmarkStart w:id="68" w:name="_Toc76038767"/>
      <w:bookmarkStart w:id="69" w:name="_Toc80953519"/>
      <w:bookmarkStart w:id="70" w:name="_Toc99617116"/>
      <w:r w:rsidRPr="00406897">
        <w:t>Aspiration 1 – A quality experience and improved outcomes for participants</w:t>
      </w:r>
      <w:bookmarkEnd w:id="65"/>
      <w:bookmarkEnd w:id="66"/>
      <w:bookmarkEnd w:id="67"/>
      <w:bookmarkEnd w:id="68"/>
      <w:bookmarkEnd w:id="69"/>
      <w:bookmarkEnd w:id="70"/>
      <w:r w:rsidR="000A7450">
        <w:t xml:space="preserve"> </w:t>
      </w:r>
    </w:p>
    <w:p w14:paraId="5FB5FA4C" w14:textId="351FCE54" w:rsidR="00A94433" w:rsidRDefault="00A94433" w:rsidP="00632452">
      <w:pPr>
        <w:pStyle w:val="Heading4"/>
        <w:ind w:left="0" w:firstLine="0"/>
      </w:pPr>
      <w:r>
        <w:t xml:space="preserve">Facilitate outcomes of economic </w:t>
      </w:r>
      <w:r w:rsidR="00540C2C">
        <w:t xml:space="preserve">and social </w:t>
      </w:r>
      <w:r>
        <w:t xml:space="preserve">independence </w:t>
      </w:r>
      <w:r w:rsidR="00540C2C">
        <w:t xml:space="preserve">and deliver a quality service for participants and their families, </w:t>
      </w:r>
      <w:r w:rsidR="00632452">
        <w:t>carers and providers.</w:t>
      </w:r>
    </w:p>
    <w:p w14:paraId="448FBB62" w14:textId="1CB4D0AB" w:rsidR="00F86F4E" w:rsidRPr="004C2B55" w:rsidRDefault="00F86F4E" w:rsidP="00F86F4E">
      <w:r w:rsidRPr="004C2B55">
        <w:t xml:space="preserve">Participant outcomes </w:t>
      </w:r>
      <w:r w:rsidRPr="008573A8">
        <w:t>are at</w:t>
      </w:r>
      <w:r>
        <w:t xml:space="preserve"> the</w:t>
      </w:r>
      <w:r w:rsidRPr="004C2B55">
        <w:t xml:space="preserve"> </w:t>
      </w:r>
      <w:r w:rsidR="005E5325" w:rsidRPr="004C2B55">
        <w:t>centre</w:t>
      </w:r>
      <w:r w:rsidRPr="004C2B55">
        <w:t xml:space="preserve"> </w:t>
      </w:r>
      <w:r>
        <w:t xml:space="preserve">of our work. </w:t>
      </w:r>
      <w:r w:rsidR="00F80091">
        <w:t>T</w:t>
      </w:r>
      <w:r w:rsidRPr="004C2B55">
        <w:t>he proposed initiatives are designed to drive better outcomes for p</w:t>
      </w:r>
      <w:r>
        <w:t>articipants over the life of the Corporate Plan.</w:t>
      </w:r>
      <w:r w:rsidR="000A7450">
        <w:t xml:space="preserve"> </w:t>
      </w:r>
    </w:p>
    <w:p w14:paraId="59147F55" w14:textId="030A45DC" w:rsidR="00F86F4E" w:rsidRDefault="00F86F4E" w:rsidP="00F86F4E">
      <w:r>
        <w:t>We will</w:t>
      </w:r>
      <w:r w:rsidRPr="004C2B55">
        <w:t xml:space="preserve"> </w:t>
      </w:r>
      <w:r>
        <w:t xml:space="preserve">assist participants to </w:t>
      </w:r>
      <w:r w:rsidRPr="004C2B55">
        <w:t>build their capacity to participate socially and economically</w:t>
      </w:r>
      <w:r>
        <w:t xml:space="preserve"> and become more independent.</w:t>
      </w:r>
      <w:r w:rsidR="000A7450">
        <w:t xml:space="preserve"> </w:t>
      </w:r>
    </w:p>
    <w:p w14:paraId="0265CCD4" w14:textId="7AA78B60" w:rsidR="00F86F4E" w:rsidRDefault="002658E4" w:rsidP="00F86F4E">
      <w:r>
        <w:t>We will continue our work on the Participant Service Charter and Participant Service Guarantee to ensure we deliver on the commitments we initiated in 2020.</w:t>
      </w:r>
      <w:r w:rsidR="000A7450">
        <w:t xml:space="preserve"> </w:t>
      </w:r>
    </w:p>
    <w:p w14:paraId="166F988A" w14:textId="089AE54E" w:rsidR="00F86F4E" w:rsidRPr="004C2B55" w:rsidRDefault="00F86F4E" w:rsidP="00F86F4E">
      <w:r w:rsidRPr="004C2B55">
        <w:t xml:space="preserve">Our specific goals under this aspiration and </w:t>
      </w:r>
      <w:r>
        <w:t xml:space="preserve">examples of initiatives </w:t>
      </w:r>
      <w:r w:rsidRPr="004C2B55">
        <w:t xml:space="preserve">to achieve </w:t>
      </w:r>
      <w:r>
        <w:t>these goals are outlined below:</w:t>
      </w:r>
      <w:r w:rsidR="000A7450">
        <w:t xml:space="preserve"> </w:t>
      </w:r>
    </w:p>
    <w:p w14:paraId="1F2FFA56" w14:textId="395B8587" w:rsidR="00C311C0" w:rsidRDefault="00C311C0" w:rsidP="00C311C0">
      <w:bookmarkStart w:id="71" w:name="_Toc38461561"/>
      <w:bookmarkStart w:id="72" w:name="_Toc383901652"/>
      <w:r>
        <w:rPr>
          <w:b/>
        </w:rPr>
        <w:t>Strategic goal 1.1:</w:t>
      </w:r>
      <w:r>
        <w:t xml:space="preserve"> Improve participant economic and social outcomes</w:t>
      </w:r>
      <w:r w:rsidR="00D6603B">
        <w:t>.</w:t>
      </w:r>
      <w:r w:rsidR="000A7450">
        <w:t xml:space="preserve"> </w:t>
      </w:r>
    </w:p>
    <w:p w14:paraId="0EA38305" w14:textId="071E5B9F" w:rsidR="00C311C0" w:rsidRDefault="00E1524D" w:rsidP="00562112">
      <w:pPr>
        <w:pStyle w:val="ListParagraph"/>
        <w:numPr>
          <w:ilvl w:val="0"/>
          <w:numId w:val="8"/>
        </w:numPr>
      </w:pPr>
      <w:r>
        <w:t>B</w:t>
      </w:r>
      <w:r w:rsidR="00C311C0">
        <w:t>uild participant capacity to find employment and be supported at work through implementing the NDIS Participant Employment Strategy. This aligns with our Department of Social Services partnership</w:t>
      </w:r>
      <w:r>
        <w:t>.</w:t>
      </w:r>
      <w:r w:rsidR="000A7450">
        <w:t xml:space="preserve"> </w:t>
      </w:r>
    </w:p>
    <w:p w14:paraId="6444CCF7" w14:textId="32AD927E" w:rsidR="00C311C0" w:rsidRDefault="00E1524D" w:rsidP="00562112">
      <w:pPr>
        <w:pStyle w:val="ListParagraph"/>
        <w:numPr>
          <w:ilvl w:val="0"/>
          <w:numId w:val="8"/>
        </w:numPr>
      </w:pPr>
      <w:r>
        <w:t>B</w:t>
      </w:r>
      <w:r w:rsidR="00C311C0">
        <w:t>uild participant capacity to engage in community and social activities, enabled by meaningful connection to our Partners in the Community</w:t>
      </w:r>
      <w:r>
        <w:t>.</w:t>
      </w:r>
      <w:r w:rsidR="000A7450">
        <w:t xml:space="preserve"> </w:t>
      </w:r>
    </w:p>
    <w:p w14:paraId="3E77FE5E" w14:textId="47D9BA4C" w:rsidR="00C311C0" w:rsidRDefault="00E1524D" w:rsidP="00562112">
      <w:pPr>
        <w:pStyle w:val="ListParagraph"/>
        <w:numPr>
          <w:ilvl w:val="0"/>
          <w:numId w:val="8"/>
        </w:numPr>
      </w:pPr>
      <w:r>
        <w:t>D</w:t>
      </w:r>
      <w:r w:rsidR="00C311C0">
        <w:t>evelop a new approach to home and living that gives participants more choice and control over where they live, who they live with and the supports they use</w:t>
      </w:r>
      <w:r>
        <w:t>.</w:t>
      </w:r>
      <w:r w:rsidR="000A7450">
        <w:t xml:space="preserve"> </w:t>
      </w:r>
    </w:p>
    <w:p w14:paraId="27A71A12" w14:textId="06CCDD3D" w:rsidR="00DC446C" w:rsidRDefault="00E1524D" w:rsidP="00562112">
      <w:pPr>
        <w:pStyle w:val="ListParagraph"/>
        <w:numPr>
          <w:ilvl w:val="0"/>
          <w:numId w:val="8"/>
        </w:numPr>
      </w:pPr>
      <w:r>
        <w:t>P</w:t>
      </w:r>
      <w:r w:rsidR="00C311C0">
        <w:t>rovide eligible children with access to world-class early childhood intervention to help them achieve their developmental milestones.</w:t>
      </w:r>
      <w:r w:rsidR="000A7450">
        <w:t xml:space="preserve"> </w:t>
      </w:r>
    </w:p>
    <w:p w14:paraId="14D0C383" w14:textId="7C5028A6" w:rsidR="00C311C0" w:rsidRDefault="00C311C0" w:rsidP="00C311C0">
      <w:pPr>
        <w:rPr>
          <w:b/>
        </w:rPr>
      </w:pPr>
      <w:r>
        <w:rPr>
          <w:b/>
        </w:rPr>
        <w:t>Strategic goal 1.2</w:t>
      </w:r>
      <w:r>
        <w:t>:</w:t>
      </w:r>
      <w:r>
        <w:rPr>
          <w:b/>
        </w:rPr>
        <w:t xml:space="preserve"> </w:t>
      </w:r>
      <w:r>
        <w:t>Improve plan quality and equitable plan budget outcomes through consistent and transparent decision making and explanation</w:t>
      </w:r>
      <w:r w:rsidR="00D6603B">
        <w:t>.</w:t>
      </w:r>
      <w:r w:rsidR="000A7450">
        <w:t xml:space="preserve"> </w:t>
      </w:r>
    </w:p>
    <w:p w14:paraId="27E9386E" w14:textId="2A34710D" w:rsidR="00C311C0" w:rsidRDefault="00E1524D" w:rsidP="00562112">
      <w:pPr>
        <w:pStyle w:val="ListParagraph"/>
        <w:numPr>
          <w:ilvl w:val="0"/>
          <w:numId w:val="8"/>
        </w:numPr>
      </w:pPr>
      <w:r>
        <w:t>I</w:t>
      </w:r>
      <w:r w:rsidR="00C311C0">
        <w:t xml:space="preserve">mprove </w:t>
      </w:r>
      <w:r w:rsidR="00FB4DAA">
        <w:t xml:space="preserve">the approach to support </w:t>
      </w:r>
      <w:r w:rsidR="00C311C0">
        <w:t>consistency and transparency of plan budget decision making and the clarity of justifications, for better participant understanding of outcomes</w:t>
      </w:r>
      <w:r w:rsidR="00D6603B">
        <w:t>.</w:t>
      </w:r>
      <w:r w:rsidR="000A7450">
        <w:t xml:space="preserve"> </w:t>
      </w:r>
    </w:p>
    <w:p w14:paraId="05FC9C90" w14:textId="38E1C63B" w:rsidR="009C007F" w:rsidRDefault="007F6902" w:rsidP="00562112">
      <w:pPr>
        <w:pStyle w:val="ListParagraph"/>
        <w:numPr>
          <w:ilvl w:val="0"/>
          <w:numId w:val="8"/>
        </w:numPr>
      </w:pPr>
      <w:r>
        <w:t xml:space="preserve">Reduce </w:t>
      </w:r>
      <w:r w:rsidRPr="007F6902">
        <w:t xml:space="preserve">the number </w:t>
      </w:r>
      <w:r w:rsidR="00E33EF0">
        <w:t xml:space="preserve">of </w:t>
      </w:r>
      <w:r w:rsidRPr="007F6902">
        <w:t>current AAT matters</w:t>
      </w:r>
      <w:r w:rsidR="00A9602E">
        <w:t xml:space="preserve"> </w:t>
      </w:r>
      <w:r w:rsidRPr="007F6902">
        <w:t>through improving internal review processes and introducing better early resolution processes.</w:t>
      </w:r>
      <w:r>
        <w:t xml:space="preserve"> A</w:t>
      </w:r>
      <w:r w:rsidR="00ED6793">
        <w:t xml:space="preserve">n </w:t>
      </w:r>
      <w:r w:rsidR="007D50D5">
        <w:t>alternative</w:t>
      </w:r>
      <w:r w:rsidR="009C007F" w:rsidRPr="009C007F">
        <w:t xml:space="preserve"> dispute resolution</w:t>
      </w:r>
      <w:r w:rsidR="009C007F">
        <w:t xml:space="preserve"> function</w:t>
      </w:r>
      <w:r>
        <w:t xml:space="preserve"> will also be considered.</w:t>
      </w:r>
      <w:r w:rsidR="000A7450">
        <w:t xml:space="preserve"> </w:t>
      </w:r>
    </w:p>
    <w:p w14:paraId="752B948C" w14:textId="487E9C5A" w:rsidR="00452A3B" w:rsidRDefault="00D6603B" w:rsidP="00562112">
      <w:pPr>
        <w:pStyle w:val="ListParagraph"/>
        <w:numPr>
          <w:ilvl w:val="0"/>
          <w:numId w:val="8"/>
        </w:numPr>
        <w:rPr>
          <w:b/>
        </w:rPr>
      </w:pPr>
      <w:r>
        <w:t>D</w:t>
      </w:r>
      <w:r w:rsidR="00C311C0">
        <w:t xml:space="preserve">eliver </w:t>
      </w:r>
      <w:r w:rsidR="004841AF">
        <w:t>efficient, fair and investment focused</w:t>
      </w:r>
      <w:r w:rsidR="00C311C0">
        <w:t xml:space="preserve"> access and planning decisions</w:t>
      </w:r>
      <w:r>
        <w:t>.</w:t>
      </w:r>
      <w:r w:rsidR="000A7450">
        <w:t xml:space="preserve"> </w:t>
      </w:r>
    </w:p>
    <w:p w14:paraId="49D8661D" w14:textId="77777777" w:rsidR="00FA58A4" w:rsidRDefault="00FA58A4">
      <w:pPr>
        <w:spacing w:after="0" w:line="240" w:lineRule="auto"/>
        <w:rPr>
          <w:b/>
        </w:rPr>
      </w:pPr>
      <w:r>
        <w:rPr>
          <w:b/>
        </w:rPr>
        <w:br w:type="page"/>
      </w:r>
    </w:p>
    <w:p w14:paraId="065B1164" w14:textId="3C40F725" w:rsidR="00C311C0" w:rsidRDefault="00C311C0" w:rsidP="008F10AF">
      <w:pPr>
        <w:spacing w:after="0" w:line="240" w:lineRule="auto"/>
      </w:pPr>
      <w:r>
        <w:rPr>
          <w:b/>
        </w:rPr>
        <w:t>Strategic goal 1.3</w:t>
      </w:r>
      <w:r>
        <w:rPr>
          <w:rFonts w:eastAsia="Arial Unicode MS" w:cs="Arial Unicode MS"/>
          <w:b/>
        </w:rPr>
        <w:t>:</w:t>
      </w:r>
      <w:r>
        <w:t xml:space="preserve"> Deliver a quality experience in line with the Participant Service Charter and Guarantee</w:t>
      </w:r>
      <w:r w:rsidR="00D6603B">
        <w:t>.</w:t>
      </w:r>
      <w:r w:rsidR="000A7450">
        <w:t xml:space="preserve"> </w:t>
      </w:r>
    </w:p>
    <w:p w14:paraId="6EB6EF75" w14:textId="2356271A" w:rsidR="00C311C0" w:rsidRDefault="00D6603B" w:rsidP="00562112">
      <w:pPr>
        <w:pStyle w:val="ListParagraph"/>
        <w:numPr>
          <w:ilvl w:val="0"/>
          <w:numId w:val="8"/>
        </w:numPr>
      </w:pPr>
      <w:r>
        <w:t>I</w:t>
      </w:r>
      <w:r w:rsidR="00AB7762">
        <w:t xml:space="preserve">ncrease efficiency of </w:t>
      </w:r>
      <w:r w:rsidR="00C311C0">
        <w:t>operational processes to ensure key performance indicators and timelines outlined in the Participant Service Guarantee are met</w:t>
      </w:r>
      <w:r>
        <w:t>.</w:t>
      </w:r>
      <w:r w:rsidR="000A7450">
        <w:t xml:space="preserve"> </w:t>
      </w:r>
    </w:p>
    <w:p w14:paraId="7B0D5C4D" w14:textId="3B26D00F" w:rsidR="00C311C0" w:rsidRDefault="00D6603B" w:rsidP="00562112">
      <w:pPr>
        <w:pStyle w:val="ListParagraph"/>
        <w:numPr>
          <w:ilvl w:val="0"/>
          <w:numId w:val="8"/>
        </w:numPr>
      </w:pPr>
      <w:r>
        <w:t>I</w:t>
      </w:r>
      <w:r w:rsidR="00C311C0">
        <w:t>mprove the way we deliver our services in accordance with the Participant Service Charter engagement principles</w:t>
      </w:r>
      <w:r>
        <w:t>.</w:t>
      </w:r>
      <w:r w:rsidR="000A7450">
        <w:t xml:space="preserve"> </w:t>
      </w:r>
    </w:p>
    <w:p w14:paraId="4A9AFF77" w14:textId="5B08B174" w:rsidR="00C311C0" w:rsidRDefault="00D6603B" w:rsidP="00562112">
      <w:pPr>
        <w:pStyle w:val="ListParagraph"/>
        <w:numPr>
          <w:ilvl w:val="0"/>
          <w:numId w:val="8"/>
        </w:numPr>
      </w:pPr>
      <w:r>
        <w:t>C</w:t>
      </w:r>
      <w:r w:rsidR="00C311C0">
        <w:t>ontinue to enhance our participant portal and new accessible mobile application.</w:t>
      </w:r>
      <w:r w:rsidR="000A7450">
        <w:t xml:space="preserve"> </w:t>
      </w:r>
    </w:p>
    <w:p w14:paraId="37475E0F" w14:textId="778C9F74" w:rsidR="00C311C0" w:rsidRDefault="00C311C0" w:rsidP="00C311C0">
      <w:r>
        <w:rPr>
          <w:b/>
        </w:rPr>
        <w:t>Strategic goal 1.4:</w:t>
      </w:r>
      <w:r>
        <w:t xml:space="preserve"> Provide support for decision making, participant safety and provide ongoing participant care</w:t>
      </w:r>
      <w:r w:rsidR="00D6603B">
        <w:t>.</w:t>
      </w:r>
      <w:r w:rsidR="000A7450">
        <w:t xml:space="preserve"> </w:t>
      </w:r>
    </w:p>
    <w:p w14:paraId="47F03985" w14:textId="68CE300E" w:rsidR="00C311C0" w:rsidRDefault="00D6603B" w:rsidP="00562112">
      <w:pPr>
        <w:pStyle w:val="ListParagraph"/>
        <w:numPr>
          <w:ilvl w:val="0"/>
          <w:numId w:val="8"/>
        </w:numPr>
      </w:pPr>
      <w:r>
        <w:t>I</w:t>
      </w:r>
      <w:r w:rsidR="00C311C0">
        <w:t>ncrease support for participants to make their own decisions, including stronger participant capability and, where appropriate, reduced reliance on nominees and representatives</w:t>
      </w:r>
      <w:r>
        <w:t>.</w:t>
      </w:r>
      <w:r w:rsidR="000A7450">
        <w:t xml:space="preserve"> </w:t>
      </w:r>
    </w:p>
    <w:p w14:paraId="65DB7583" w14:textId="4916804C" w:rsidR="00C311C0" w:rsidRDefault="00D6603B" w:rsidP="00562112">
      <w:pPr>
        <w:pStyle w:val="ListParagraph"/>
        <w:numPr>
          <w:ilvl w:val="0"/>
          <w:numId w:val="8"/>
        </w:numPr>
      </w:pPr>
      <w:r>
        <w:t>W</w:t>
      </w:r>
      <w:r w:rsidR="00C311C0">
        <w:t>ork with our partners, Commonwealth, state and territory governments and other key stakeholders to support participant safety.</w:t>
      </w:r>
      <w:r w:rsidR="000A7450">
        <w:t xml:space="preserve"> </w:t>
      </w:r>
    </w:p>
    <w:p w14:paraId="2F380665" w14:textId="7F44BD12" w:rsidR="00C311C0" w:rsidRDefault="00D6603B" w:rsidP="00562112">
      <w:pPr>
        <w:pStyle w:val="ListParagraph"/>
        <w:numPr>
          <w:ilvl w:val="0"/>
          <w:numId w:val="8"/>
        </w:numPr>
      </w:pPr>
      <w:r>
        <w:t>I</w:t>
      </w:r>
      <w:r w:rsidR="00C311C0">
        <w:t>ncrease opportunities for participants to experience greater independence and experience the right (or dignity) to take reasonable risks in their own lives</w:t>
      </w:r>
      <w:r>
        <w:t>.</w:t>
      </w:r>
      <w:r w:rsidR="000A7450">
        <w:t xml:space="preserve"> </w:t>
      </w:r>
    </w:p>
    <w:p w14:paraId="135A286F" w14:textId="0B165719" w:rsidR="00C311C0" w:rsidRDefault="00D6603B" w:rsidP="00562112">
      <w:pPr>
        <w:pStyle w:val="ListParagraph"/>
        <w:numPr>
          <w:ilvl w:val="0"/>
          <w:numId w:val="8"/>
        </w:numPr>
      </w:pPr>
      <w:r>
        <w:t>R</w:t>
      </w:r>
      <w:r w:rsidR="00C311C0">
        <w:t>edefine the way we support participants with complex support needs</w:t>
      </w:r>
      <w:r>
        <w:t>.</w:t>
      </w:r>
      <w:r w:rsidR="000A7450">
        <w:t xml:space="preserve"> </w:t>
      </w:r>
    </w:p>
    <w:p w14:paraId="04CDF8B4" w14:textId="731821C9" w:rsidR="00C311C0" w:rsidRDefault="00D6603B" w:rsidP="00562112">
      <w:pPr>
        <w:pStyle w:val="ListParagraph"/>
        <w:numPr>
          <w:ilvl w:val="0"/>
          <w:numId w:val="8"/>
        </w:numPr>
      </w:pPr>
      <w:r>
        <w:t>E</w:t>
      </w:r>
      <w:r w:rsidR="00C311C0">
        <w:t>nsure continuity of essential disability funded supports for all participants, especially the most vulnerable</w:t>
      </w:r>
      <w:r w:rsidR="00E37F3E">
        <w:t>.</w:t>
      </w:r>
      <w:r w:rsidR="000A7450">
        <w:t xml:space="preserve"> </w:t>
      </w:r>
    </w:p>
    <w:bookmarkEnd w:id="71"/>
    <w:bookmarkEnd w:id="72"/>
    <w:p w14:paraId="4BAD471C" w14:textId="77777777" w:rsidR="00176CE8" w:rsidRDefault="00176CE8">
      <w:pPr>
        <w:spacing w:after="0" w:line="240" w:lineRule="auto"/>
      </w:pPr>
      <w:r>
        <w:br w:type="page"/>
      </w:r>
    </w:p>
    <w:p w14:paraId="518DD01E" w14:textId="7FD515B3" w:rsidR="006E183C" w:rsidRPr="00406897" w:rsidRDefault="006E183C" w:rsidP="00FD5D7F">
      <w:pPr>
        <w:pStyle w:val="Heading3"/>
      </w:pPr>
      <w:bookmarkStart w:id="73" w:name="_Toc2014666163"/>
      <w:bookmarkStart w:id="74" w:name="_Toc1578290267"/>
      <w:bookmarkStart w:id="75" w:name="_Toc77690774"/>
      <w:bookmarkStart w:id="76" w:name="_Toc71277204"/>
      <w:bookmarkStart w:id="77" w:name="_Toc76038768"/>
      <w:bookmarkStart w:id="78" w:name="_Toc80953520"/>
      <w:bookmarkStart w:id="79" w:name="_Toc99617117"/>
      <w:r w:rsidRPr="00406897">
        <w:t>Aspiration 2 – A competitive market with innovative supports</w:t>
      </w:r>
      <w:bookmarkEnd w:id="73"/>
      <w:bookmarkEnd w:id="74"/>
      <w:bookmarkEnd w:id="75"/>
      <w:bookmarkEnd w:id="76"/>
      <w:bookmarkEnd w:id="77"/>
      <w:bookmarkEnd w:id="78"/>
      <w:bookmarkEnd w:id="79"/>
      <w:r w:rsidR="000A7450">
        <w:t xml:space="preserve"> </w:t>
      </w:r>
    </w:p>
    <w:p w14:paraId="707EADB8" w14:textId="28141370" w:rsidR="00BA763B" w:rsidRDefault="00BA763B" w:rsidP="00A348D0">
      <w:pPr>
        <w:pStyle w:val="Heading4"/>
        <w:ind w:left="0" w:firstLine="0"/>
      </w:pPr>
      <w:r>
        <w:t xml:space="preserve">Work with participants and other stakeholders to enable the </w:t>
      </w:r>
      <w:r w:rsidR="00A348D0">
        <w:t>growth of a market of adequate size, quality and innovation.</w:t>
      </w:r>
    </w:p>
    <w:p w14:paraId="6EDE8749" w14:textId="0F454BEE" w:rsidR="006E183C" w:rsidRDefault="006E183C" w:rsidP="006E183C">
      <w:r w:rsidRPr="002908B5">
        <w:t>The</w:t>
      </w:r>
      <w:r>
        <w:t>re is a diverse</w:t>
      </w:r>
      <w:r w:rsidRPr="002908B5">
        <w:t xml:space="preserve"> range of providers delivering </w:t>
      </w:r>
      <w:r>
        <w:t xml:space="preserve">disability </w:t>
      </w:r>
      <w:r w:rsidRPr="002908B5">
        <w:t xml:space="preserve">supports </w:t>
      </w:r>
      <w:r>
        <w:t xml:space="preserve">across the country, including </w:t>
      </w:r>
      <w:r w:rsidRPr="002908B5">
        <w:t>e</w:t>
      </w:r>
      <w:r>
        <w:t xml:space="preserve">xisting organisations that </w:t>
      </w:r>
      <w:r w:rsidRPr="002908B5">
        <w:t>transitioned from state</w:t>
      </w:r>
      <w:r>
        <w:t xml:space="preserve"> and territory</w:t>
      </w:r>
      <w:r w:rsidRPr="002908B5">
        <w:t xml:space="preserve"> disability systems and new providers entering the market for the first time.</w:t>
      </w:r>
      <w:r w:rsidR="000A7450">
        <w:t xml:space="preserve"> </w:t>
      </w:r>
    </w:p>
    <w:p w14:paraId="69F8F401" w14:textId="3B96CE37" w:rsidR="006E183C" w:rsidRPr="002908B5" w:rsidRDefault="006E183C" w:rsidP="006E183C">
      <w:r>
        <w:t>We will continue to</w:t>
      </w:r>
      <w:r w:rsidR="004125D5">
        <w:t xml:space="preserve"> refine our approach to emerging issues and </w:t>
      </w:r>
      <w:r>
        <w:t>work with stakeholders to support the market to grow so that there is a</w:t>
      </w:r>
      <w:r w:rsidRPr="002908B5">
        <w:t xml:space="preserve"> reliable supply of quality and innovative supports that </w:t>
      </w:r>
      <w:r>
        <w:t>meet participant needs and goals at a price that is reflective of the market.</w:t>
      </w:r>
      <w:r w:rsidR="000A7450">
        <w:t xml:space="preserve"> </w:t>
      </w:r>
    </w:p>
    <w:p w14:paraId="69DC2B63" w14:textId="2371EEF2" w:rsidR="006E183C" w:rsidRPr="002908B5" w:rsidRDefault="006E183C" w:rsidP="006E183C">
      <w:r>
        <w:t>We will continue to work</w:t>
      </w:r>
      <w:r w:rsidRPr="002908B5">
        <w:t xml:space="preserve"> with participants and providers</w:t>
      </w:r>
      <w:r>
        <w:t xml:space="preserve"> to</w:t>
      </w:r>
      <w:r w:rsidRPr="002908B5">
        <w:t xml:space="preserve"> help shape the market and bette</w:t>
      </w:r>
      <w:r>
        <w:t>r respond to participant demand by:</w:t>
      </w:r>
      <w:r w:rsidR="000A7450">
        <w:t xml:space="preserve"> </w:t>
      </w:r>
    </w:p>
    <w:p w14:paraId="3E796954" w14:textId="64E88105" w:rsidR="006E183C" w:rsidRPr="00D021E1" w:rsidRDefault="00D6603B" w:rsidP="00562112">
      <w:pPr>
        <w:pStyle w:val="ListParagraph"/>
        <w:numPr>
          <w:ilvl w:val="0"/>
          <w:numId w:val="7"/>
        </w:numPr>
        <w:rPr>
          <w:strike/>
        </w:rPr>
      </w:pPr>
      <w:r>
        <w:t>E</w:t>
      </w:r>
      <w:r w:rsidR="006E183C" w:rsidRPr="004F5166">
        <w:t xml:space="preserve">mpowering participants as consumers of disability supports and services and </w:t>
      </w:r>
      <w:r w:rsidR="006E183C" w:rsidRPr="00055EED">
        <w:t>increasing informed purchasing of supports</w:t>
      </w:r>
      <w:r>
        <w:t>.</w:t>
      </w:r>
      <w:r w:rsidR="000A7450">
        <w:t xml:space="preserve"> </w:t>
      </w:r>
    </w:p>
    <w:p w14:paraId="52CA98BA" w14:textId="46AA851E" w:rsidR="006E183C" w:rsidRPr="00D021E1" w:rsidRDefault="00D6603B" w:rsidP="00562112">
      <w:pPr>
        <w:pStyle w:val="ListParagraph"/>
        <w:numPr>
          <w:ilvl w:val="0"/>
          <w:numId w:val="7"/>
        </w:numPr>
        <w:rPr>
          <w:strike/>
        </w:rPr>
      </w:pPr>
      <w:r>
        <w:t>E</w:t>
      </w:r>
      <w:r w:rsidR="006E183C" w:rsidRPr="004F6270">
        <w:t xml:space="preserve">ncouraging providers to continue to put the participant first </w:t>
      </w:r>
      <w:r w:rsidR="006E183C" w:rsidRPr="00055EED">
        <w:t xml:space="preserve">in </w:t>
      </w:r>
      <w:r w:rsidR="00CF5BB6" w:rsidRPr="00055EED">
        <w:t xml:space="preserve">their </w:t>
      </w:r>
      <w:r w:rsidR="006E183C" w:rsidRPr="00055EED">
        <w:t>service delivery models</w:t>
      </w:r>
      <w:r>
        <w:t>.</w:t>
      </w:r>
      <w:r w:rsidR="000A7450">
        <w:t xml:space="preserve"> </w:t>
      </w:r>
    </w:p>
    <w:p w14:paraId="4151EFE9" w14:textId="16C1A3BF" w:rsidR="006E183C" w:rsidRPr="004F6270" w:rsidRDefault="00D6603B" w:rsidP="00562112">
      <w:pPr>
        <w:pStyle w:val="ListParagraph"/>
        <w:numPr>
          <w:ilvl w:val="0"/>
          <w:numId w:val="7"/>
        </w:numPr>
      </w:pPr>
      <w:r>
        <w:t>E</w:t>
      </w:r>
      <w:r w:rsidR="006E183C" w:rsidRPr="004F6270">
        <w:t xml:space="preserve">ncouraging the market to find innovative ways to </w:t>
      </w:r>
      <w:r w:rsidR="00081E7E">
        <w:t xml:space="preserve">meet </w:t>
      </w:r>
      <w:r w:rsidR="00E37F3E">
        <w:t>the needs of participants</w:t>
      </w:r>
      <w:r>
        <w:t>.</w:t>
      </w:r>
      <w:r w:rsidR="000A7450">
        <w:t xml:space="preserve"> </w:t>
      </w:r>
    </w:p>
    <w:p w14:paraId="7F6D9D66" w14:textId="1DB393AE" w:rsidR="006E183C" w:rsidRPr="004F6270" w:rsidRDefault="00D6603B" w:rsidP="00562112">
      <w:pPr>
        <w:pStyle w:val="ListParagraph"/>
        <w:numPr>
          <w:ilvl w:val="0"/>
          <w:numId w:val="7"/>
        </w:numPr>
      </w:pPr>
      <w:r>
        <w:t>P</w:t>
      </w:r>
      <w:r w:rsidR="006E183C" w:rsidRPr="004F6270">
        <w:t>romoting contemporary and evide</w:t>
      </w:r>
      <w:r w:rsidR="00E37F3E">
        <w:t>nce-based supports and services</w:t>
      </w:r>
      <w:r>
        <w:t>.</w:t>
      </w:r>
      <w:r w:rsidR="000A7450">
        <w:t xml:space="preserve"> </w:t>
      </w:r>
    </w:p>
    <w:p w14:paraId="2B3C5781" w14:textId="0D354405" w:rsidR="006E183C" w:rsidRPr="004F6270" w:rsidRDefault="00D6603B" w:rsidP="00562112">
      <w:pPr>
        <w:pStyle w:val="ListParagraph"/>
        <w:numPr>
          <w:ilvl w:val="0"/>
          <w:numId w:val="7"/>
        </w:numPr>
      </w:pPr>
      <w:r>
        <w:t>I</w:t>
      </w:r>
      <w:r w:rsidR="006E183C" w:rsidRPr="004F6270">
        <w:t>ncreasing competition and price deregulation by mitigating the risk of limi</w:t>
      </w:r>
      <w:r w:rsidR="00E37F3E">
        <w:t>ted market readiness</w:t>
      </w:r>
      <w:r>
        <w:t>.</w:t>
      </w:r>
      <w:r w:rsidR="000A7450">
        <w:t xml:space="preserve"> </w:t>
      </w:r>
    </w:p>
    <w:p w14:paraId="44F5B6AC" w14:textId="4F7F2412" w:rsidR="006E183C" w:rsidRPr="004F6270" w:rsidRDefault="00D6603B" w:rsidP="00562112">
      <w:pPr>
        <w:pStyle w:val="ListParagraph"/>
        <w:numPr>
          <w:ilvl w:val="0"/>
          <w:numId w:val="7"/>
        </w:numPr>
      </w:pPr>
      <w:r>
        <w:t>S</w:t>
      </w:r>
      <w:r w:rsidR="006E183C" w:rsidRPr="004F6270">
        <w:t>implifying NDIS processes to drive greater productivity</w:t>
      </w:r>
      <w:r>
        <w:t>.</w:t>
      </w:r>
      <w:r w:rsidR="000A7450">
        <w:t xml:space="preserve"> </w:t>
      </w:r>
    </w:p>
    <w:p w14:paraId="216DB0EA" w14:textId="5B979F7A" w:rsidR="006E183C" w:rsidRPr="004F6270" w:rsidRDefault="00D6603B" w:rsidP="00562112">
      <w:pPr>
        <w:pStyle w:val="ListParagraph"/>
        <w:numPr>
          <w:ilvl w:val="0"/>
          <w:numId w:val="7"/>
        </w:numPr>
      </w:pPr>
      <w:r>
        <w:t>A</w:t>
      </w:r>
      <w:r w:rsidR="006E183C" w:rsidRPr="004F6270">
        <w:t>ssisting communities in specific geographical locations</w:t>
      </w:r>
      <w:r w:rsidR="00DD2241">
        <w:t>, including remote</w:t>
      </w:r>
      <w:r w:rsidR="00337F4F">
        <w:t xml:space="preserve"> and </w:t>
      </w:r>
      <w:r w:rsidR="00DD2241">
        <w:t>very remote</w:t>
      </w:r>
      <w:r w:rsidR="00337F4F">
        <w:t>,</w:t>
      </w:r>
      <w:r w:rsidR="006E183C" w:rsidRPr="004F6270">
        <w:t xml:space="preserve"> to build local supply solutions</w:t>
      </w:r>
      <w:r w:rsidR="00E37F3E">
        <w:t>.</w:t>
      </w:r>
      <w:r w:rsidR="000A7450">
        <w:t xml:space="preserve"> </w:t>
      </w:r>
    </w:p>
    <w:p w14:paraId="0828BEFA" w14:textId="62CDFC76" w:rsidR="00060123" w:rsidRPr="007B164A" w:rsidRDefault="00060123" w:rsidP="00060123">
      <w:r>
        <w:t>We will improve</w:t>
      </w:r>
      <w:r w:rsidRPr="007B164A">
        <w:t xml:space="preserve"> the effi</w:t>
      </w:r>
      <w:r>
        <w:t xml:space="preserve">ciency of interactions </w:t>
      </w:r>
      <w:r w:rsidR="00A06A84">
        <w:t xml:space="preserve">with </w:t>
      </w:r>
      <w:r>
        <w:t xml:space="preserve">the NDIA, participants, providers and other stakeholders through the continued enhancement of </w:t>
      </w:r>
      <w:r w:rsidR="00A06A84">
        <w:t>our digital ecosystem</w:t>
      </w:r>
      <w:r w:rsidR="00EE3DEE">
        <w:t>. This</w:t>
      </w:r>
      <w:r w:rsidR="00A06A84">
        <w:t xml:space="preserve"> enables our </w:t>
      </w:r>
      <w:r w:rsidR="00EE3DEE">
        <w:t>d</w:t>
      </w:r>
      <w:r w:rsidR="00461FAA" w:rsidRPr="007B164A">
        <w:t xml:space="preserve">igital </w:t>
      </w:r>
      <w:r w:rsidR="00EE3DEE">
        <w:t>p</w:t>
      </w:r>
      <w:r w:rsidR="00461FAA" w:rsidRPr="007B164A">
        <w:t xml:space="preserve">artners to connect their systems directly with </w:t>
      </w:r>
      <w:r w:rsidR="00461FAA">
        <w:t>ours and increasingly automate business processes.</w:t>
      </w:r>
      <w:r w:rsidR="000A7450">
        <w:t xml:space="preserve"> </w:t>
      </w:r>
    </w:p>
    <w:p w14:paraId="2E0FB6ED" w14:textId="135B1F59" w:rsidR="0092779B" w:rsidRDefault="006E183C" w:rsidP="0092779B">
      <w:r w:rsidRPr="002908B5">
        <w:t xml:space="preserve">To ensure participants gain timely access to high-quality supports, there may be circumstances where </w:t>
      </w:r>
      <w:r>
        <w:t>we</w:t>
      </w:r>
      <w:r w:rsidRPr="002908B5">
        <w:t xml:space="preserve"> will directly commis</w:t>
      </w:r>
      <w:r>
        <w:t>sion services on their behalf.</w:t>
      </w:r>
      <w:r w:rsidR="000A7450">
        <w:t xml:space="preserve"> </w:t>
      </w:r>
      <w:r w:rsidR="0092779B">
        <w:br w:type="page"/>
      </w:r>
    </w:p>
    <w:p w14:paraId="2BE97E69" w14:textId="29CE6310" w:rsidR="006E183C" w:rsidRPr="00406897" w:rsidRDefault="006E183C" w:rsidP="006E183C">
      <w:r w:rsidRPr="004C2B55">
        <w:t xml:space="preserve">Our specific goals under this aspiration and </w:t>
      </w:r>
      <w:r>
        <w:t xml:space="preserve">examples of initiatives </w:t>
      </w:r>
      <w:r w:rsidRPr="004C2B55">
        <w:t xml:space="preserve">to achieve </w:t>
      </w:r>
      <w:r>
        <w:t>these goals are outlined below:</w:t>
      </w:r>
      <w:bookmarkStart w:id="80" w:name="_Toc77690775"/>
      <w:bookmarkStart w:id="81" w:name="_Toc509364"/>
      <w:r w:rsidR="000A7450">
        <w:t xml:space="preserve"> </w:t>
      </w:r>
    </w:p>
    <w:p w14:paraId="359D2886" w14:textId="6DBB2C75" w:rsidR="007C4D7C" w:rsidRDefault="007C4D7C" w:rsidP="007C4D7C">
      <w:r>
        <w:rPr>
          <w:b/>
        </w:rPr>
        <w:t xml:space="preserve">Strategic goal 2.1: </w:t>
      </w:r>
      <w:r>
        <w:t>Develop a market with high quality, competitive and innovative supports and services</w:t>
      </w:r>
      <w:r w:rsidR="00C86DA1">
        <w:t>.</w:t>
      </w:r>
      <w:r w:rsidR="000A7450">
        <w:t xml:space="preserve"> </w:t>
      </w:r>
    </w:p>
    <w:p w14:paraId="69285AA5" w14:textId="40A587EE" w:rsidR="007C4D7C" w:rsidRDefault="00C86DA1" w:rsidP="00562112">
      <w:pPr>
        <w:pStyle w:val="ListParagraph"/>
        <w:numPr>
          <w:ilvl w:val="0"/>
          <w:numId w:val="8"/>
        </w:numPr>
      </w:pPr>
      <w:r>
        <w:t>A</w:t>
      </w:r>
      <w:r w:rsidR="007C4D7C">
        <w:t xml:space="preserve">ctive stewardship of markets for specific supports, adjusting market settings and using other levers such as sharing data, guidance, </w:t>
      </w:r>
      <w:r w:rsidR="006A75E3">
        <w:t xml:space="preserve">and </w:t>
      </w:r>
      <w:r w:rsidR="007C4D7C">
        <w:t>enabling innovation to deliver better participant outcomes</w:t>
      </w:r>
      <w:r>
        <w:t>.</w:t>
      </w:r>
      <w:r w:rsidR="000A7450">
        <w:t xml:space="preserve"> </w:t>
      </w:r>
    </w:p>
    <w:p w14:paraId="0E02ECFA" w14:textId="0CC1B4FF" w:rsidR="007C4D7C" w:rsidRDefault="00C86DA1" w:rsidP="00562112">
      <w:pPr>
        <w:pStyle w:val="ListParagraph"/>
        <w:numPr>
          <w:ilvl w:val="0"/>
          <w:numId w:val="8"/>
        </w:numPr>
      </w:pPr>
      <w:r>
        <w:t>S</w:t>
      </w:r>
      <w:r w:rsidR="007C4D7C">
        <w:t>upport the development of new and innovative markets for home and living supports to increase participant choice and control over who they live with</w:t>
      </w:r>
      <w:r w:rsidR="001D4C94">
        <w:t xml:space="preserve"> and </w:t>
      </w:r>
      <w:r w:rsidR="007C4D7C">
        <w:t>where they live</w:t>
      </w:r>
      <w:r>
        <w:t>.</w:t>
      </w:r>
      <w:r w:rsidR="007C4D7C">
        <w:t xml:space="preserve"> </w:t>
      </w:r>
    </w:p>
    <w:p w14:paraId="2149E8C5" w14:textId="295C8004" w:rsidR="007C4D7C" w:rsidRDefault="00C86DA1" w:rsidP="00562112">
      <w:pPr>
        <w:pStyle w:val="ListParagraph"/>
        <w:numPr>
          <w:ilvl w:val="0"/>
          <w:numId w:val="8"/>
        </w:numPr>
      </w:pPr>
      <w:r>
        <w:t>W</w:t>
      </w:r>
      <w:r w:rsidR="007C4D7C">
        <w:t>ork with governments and stakeholders to reduce the number of younger people living in residential aged care facilities</w:t>
      </w:r>
      <w:r>
        <w:t>.</w:t>
      </w:r>
      <w:r w:rsidR="000A7450">
        <w:t xml:space="preserve"> </w:t>
      </w:r>
    </w:p>
    <w:p w14:paraId="11C55FC6" w14:textId="5CA7E907" w:rsidR="002F6578" w:rsidRDefault="002F6578" w:rsidP="00562112">
      <w:pPr>
        <w:pStyle w:val="ListParagraph"/>
        <w:numPr>
          <w:ilvl w:val="0"/>
          <w:numId w:val="8"/>
        </w:numPr>
      </w:pPr>
      <w:r>
        <w:t>Work with governments and stakeholders to reduce the number of NDIS participants in hospitals who are ready to be discharged.</w:t>
      </w:r>
      <w:r w:rsidR="000A7450">
        <w:t xml:space="preserve"> </w:t>
      </w:r>
    </w:p>
    <w:p w14:paraId="2B739F04" w14:textId="5EB66FA7" w:rsidR="007C4D7C" w:rsidRDefault="00C86DA1" w:rsidP="00562112">
      <w:pPr>
        <w:pStyle w:val="ListParagraph"/>
        <w:numPr>
          <w:ilvl w:val="0"/>
          <w:numId w:val="8"/>
        </w:numPr>
      </w:pPr>
      <w:r>
        <w:t>I</w:t>
      </w:r>
      <w:r w:rsidR="007C4D7C">
        <w:t>mprove how participants get support for implementing and managing their plans</w:t>
      </w:r>
      <w:r>
        <w:t>.</w:t>
      </w:r>
      <w:r w:rsidR="007C4D7C">
        <w:t xml:space="preserve"> </w:t>
      </w:r>
    </w:p>
    <w:p w14:paraId="0DA820F1" w14:textId="30A387A3" w:rsidR="007C4D7C" w:rsidRDefault="00C86DA1" w:rsidP="00562112">
      <w:pPr>
        <w:pStyle w:val="ListParagraph"/>
        <w:numPr>
          <w:ilvl w:val="0"/>
          <w:numId w:val="8"/>
        </w:numPr>
      </w:pPr>
      <w:r>
        <w:t>S</w:t>
      </w:r>
      <w:r w:rsidR="007C4D7C">
        <w:t>upport market development and innovation so that participants have access to a greater range of supports and services</w:t>
      </w:r>
      <w:r>
        <w:t>.</w:t>
      </w:r>
      <w:r w:rsidR="000A7450">
        <w:t xml:space="preserve"> </w:t>
      </w:r>
    </w:p>
    <w:p w14:paraId="060471C8" w14:textId="0C9746BE" w:rsidR="007C4D7C" w:rsidRDefault="00C86DA1" w:rsidP="00562112">
      <w:pPr>
        <w:pStyle w:val="ListParagraph"/>
        <w:numPr>
          <w:ilvl w:val="0"/>
          <w:numId w:val="8"/>
        </w:numPr>
      </w:pPr>
      <w:r>
        <w:t>C</w:t>
      </w:r>
      <w:r w:rsidR="007C4D7C">
        <w:t xml:space="preserve">ontinue to </w:t>
      </w:r>
      <w:r w:rsidR="00F30CF2">
        <w:t xml:space="preserve">improve </w:t>
      </w:r>
      <w:r w:rsidR="007C4D7C">
        <w:t>the NDIS pricing arrangements and price limits, support catalogue and pricing more generally</w:t>
      </w:r>
      <w:r>
        <w:t>.</w:t>
      </w:r>
      <w:r w:rsidR="000A7450">
        <w:t xml:space="preserve"> </w:t>
      </w:r>
    </w:p>
    <w:p w14:paraId="1CBC9947" w14:textId="2281A84A" w:rsidR="007C4D7C" w:rsidRDefault="00C86DA1" w:rsidP="00562112">
      <w:pPr>
        <w:pStyle w:val="ListParagraph"/>
        <w:numPr>
          <w:ilvl w:val="0"/>
          <w:numId w:val="8"/>
        </w:numPr>
      </w:pPr>
      <w:r>
        <w:t>C</w:t>
      </w:r>
      <w:r w:rsidR="007C4D7C">
        <w:t>ollaborate with local communities, participants and their representatives and providers to drive market improvements that are culturally safe and best meet their needs (for example, encouraging entry of new providers).</w:t>
      </w:r>
      <w:r w:rsidR="000A7450">
        <w:t xml:space="preserve"> </w:t>
      </w:r>
    </w:p>
    <w:p w14:paraId="0A510AD8" w14:textId="6321DA60" w:rsidR="007C4D7C" w:rsidRDefault="007C4D7C" w:rsidP="007C4D7C">
      <w:r>
        <w:rPr>
          <w:b/>
        </w:rPr>
        <w:t>Strategic goal 2.2:</w:t>
      </w:r>
      <w:r>
        <w:t xml:space="preserve"> Improve the NDIS provider experience</w:t>
      </w:r>
      <w:r w:rsidR="00C86DA1">
        <w:t>.</w:t>
      </w:r>
      <w:r w:rsidR="000A7450">
        <w:t xml:space="preserve"> </w:t>
      </w:r>
    </w:p>
    <w:p w14:paraId="6219AFF9" w14:textId="24C37742" w:rsidR="007C4D7C" w:rsidRDefault="00C86DA1" w:rsidP="00562112">
      <w:pPr>
        <w:pStyle w:val="ListParagraph"/>
        <w:numPr>
          <w:ilvl w:val="0"/>
          <w:numId w:val="8"/>
        </w:numPr>
      </w:pPr>
      <w:r>
        <w:t>I</w:t>
      </w:r>
      <w:r w:rsidR="007C4D7C">
        <w:t>mplement processes and systems that assist providers to operate effectively under the NDIS and simplify how they work with us</w:t>
      </w:r>
      <w:r>
        <w:t>.</w:t>
      </w:r>
      <w:r w:rsidR="000A7450">
        <w:t xml:space="preserve"> </w:t>
      </w:r>
    </w:p>
    <w:p w14:paraId="0E80C372" w14:textId="79C2E568" w:rsidR="007C4D7C" w:rsidRPr="00BE3C47" w:rsidRDefault="00C86DA1" w:rsidP="00562112">
      <w:pPr>
        <w:pStyle w:val="ListParagraph"/>
        <w:numPr>
          <w:ilvl w:val="0"/>
          <w:numId w:val="8"/>
        </w:numPr>
      </w:pPr>
      <w:r>
        <w:t>E</w:t>
      </w:r>
      <w:r w:rsidR="007C4D7C" w:rsidRPr="00BE3C47">
        <w:t xml:space="preserve">nhance provider claim and payment systems </w:t>
      </w:r>
      <w:r w:rsidR="00E5403D" w:rsidRPr="00BE3C47">
        <w:t>for</w:t>
      </w:r>
      <w:r w:rsidR="007C4D7C" w:rsidRPr="00BE3C47">
        <w:t xml:space="preserve"> more efficient and timely payments</w:t>
      </w:r>
      <w:r>
        <w:t>.</w:t>
      </w:r>
      <w:r w:rsidR="000A7450">
        <w:t xml:space="preserve"> </w:t>
      </w:r>
    </w:p>
    <w:p w14:paraId="7CD693AC" w14:textId="44E7BD18" w:rsidR="007C4D7C" w:rsidRPr="00BE3C47" w:rsidRDefault="00C86DA1" w:rsidP="00562112">
      <w:pPr>
        <w:pStyle w:val="ListParagraph"/>
        <w:numPr>
          <w:ilvl w:val="0"/>
          <w:numId w:val="8"/>
        </w:numPr>
      </w:pPr>
      <w:r>
        <w:t>E</w:t>
      </w:r>
      <w:r w:rsidR="007C4D7C" w:rsidRPr="00BE3C47">
        <w:t xml:space="preserve">nable providers to engage with us via secure technology, including </w:t>
      </w:r>
      <w:r w:rsidR="00244691">
        <w:t>Application Programming Interfaces</w:t>
      </w:r>
      <w:r w:rsidR="007C4D7C" w:rsidRPr="00BE3C47">
        <w:t>, as per our Digital Partnership Program</w:t>
      </w:r>
      <w:r>
        <w:t>.</w:t>
      </w:r>
      <w:r w:rsidR="000A7450">
        <w:t xml:space="preserve"> </w:t>
      </w:r>
    </w:p>
    <w:p w14:paraId="5C9FA4E5" w14:textId="523C6F1B" w:rsidR="00176CE8" w:rsidRDefault="00C86DA1" w:rsidP="00562112">
      <w:pPr>
        <w:pStyle w:val="ListParagraph"/>
        <w:numPr>
          <w:ilvl w:val="0"/>
          <w:numId w:val="7"/>
        </w:numPr>
      </w:pPr>
      <w:r>
        <w:t>C</w:t>
      </w:r>
      <w:r w:rsidR="007C4D7C">
        <w:t>ontinue to enhance the current relationships-based approach with providers to shape markets that deliver a better participant and provider experience.</w:t>
      </w:r>
      <w:bookmarkEnd w:id="80"/>
      <w:bookmarkEnd w:id="81"/>
      <w:r w:rsidR="00176CE8">
        <w:br w:type="page"/>
      </w:r>
    </w:p>
    <w:p w14:paraId="7385D668" w14:textId="094E145E" w:rsidR="002F5DBC" w:rsidRPr="00406897" w:rsidRDefault="002F5DBC" w:rsidP="00031645">
      <w:pPr>
        <w:pStyle w:val="Heading3"/>
        <w:spacing w:line="276" w:lineRule="auto"/>
        <w:ind w:left="0" w:firstLine="0"/>
      </w:pPr>
      <w:bookmarkStart w:id="82" w:name="_Toc71277205"/>
      <w:bookmarkStart w:id="83" w:name="_Toc485011800"/>
      <w:bookmarkStart w:id="84" w:name="_Toc1675212156"/>
      <w:bookmarkStart w:id="85" w:name="_Toc77690778"/>
      <w:bookmarkStart w:id="86" w:name="_Toc76038769"/>
      <w:bookmarkStart w:id="87" w:name="_Toc80953521"/>
      <w:bookmarkStart w:id="88" w:name="_Toc99617118"/>
      <w:r w:rsidRPr="00406897">
        <w:t>Aspiration 3 – A genuinely connected and engaged stakeholder sector</w:t>
      </w:r>
      <w:bookmarkEnd w:id="82"/>
      <w:bookmarkEnd w:id="83"/>
      <w:bookmarkEnd w:id="84"/>
      <w:bookmarkEnd w:id="85"/>
      <w:bookmarkEnd w:id="86"/>
      <w:bookmarkEnd w:id="87"/>
      <w:bookmarkEnd w:id="88"/>
      <w:r w:rsidR="000A7450">
        <w:t xml:space="preserve"> </w:t>
      </w:r>
    </w:p>
    <w:p w14:paraId="0C1684B4" w14:textId="5D610EE9" w:rsidR="00A3531F" w:rsidRDefault="00A3531F" w:rsidP="00031645">
      <w:pPr>
        <w:pStyle w:val="Heading4"/>
        <w:spacing w:line="276" w:lineRule="auto"/>
        <w:ind w:left="0" w:firstLine="0"/>
      </w:pPr>
      <w:r>
        <w:t xml:space="preserve">A strong and engaged stakeholder sector that genuinely collaborates and contributes to the delivery of </w:t>
      </w:r>
      <w:r w:rsidR="008A7FFB">
        <w:t>the NDIS, with confidence in the NDIS.</w:t>
      </w:r>
    </w:p>
    <w:p w14:paraId="5CA98031" w14:textId="0CE36E98" w:rsidR="002F5DBC" w:rsidRPr="000F3DFE" w:rsidRDefault="002F5DBC" w:rsidP="00031645">
      <w:pPr>
        <w:spacing w:line="276" w:lineRule="auto"/>
      </w:pPr>
      <w:r w:rsidRPr="000F3DFE">
        <w:t>To successfully deliver and improve the NDIS, we need the input, expertise and advice of participants, their families and carers, providers, the disability sector and community</w:t>
      </w:r>
      <w:r>
        <w:t>.</w:t>
      </w:r>
      <w:r w:rsidR="000A7450">
        <w:t xml:space="preserve"> </w:t>
      </w:r>
    </w:p>
    <w:p w14:paraId="6DA7B5D5" w14:textId="4ECA0DA6" w:rsidR="002F5DBC" w:rsidRPr="000F3DFE" w:rsidRDefault="002F5DBC" w:rsidP="00031645">
      <w:pPr>
        <w:spacing w:line="276" w:lineRule="auto"/>
      </w:pPr>
      <w:r w:rsidRPr="000F3DFE">
        <w:t xml:space="preserve">The NDIS </w:t>
      </w:r>
      <w:r w:rsidR="00113249">
        <w:t>began</w:t>
      </w:r>
      <w:r w:rsidR="00F54020">
        <w:t xml:space="preserve"> </w:t>
      </w:r>
      <w:r w:rsidRPr="000F3DFE">
        <w:t>in 2013 as a result of a grassroots campaign along with the Productivity Commission’s public inquiry into Disability Care and Support. Both were backed by thousands of people who came together to demand a fair go for Australians with disability. We’re proud of the strong community and sector ownership of the NDIS.</w:t>
      </w:r>
      <w:r w:rsidR="000A7450">
        <w:t xml:space="preserve"> </w:t>
      </w:r>
    </w:p>
    <w:p w14:paraId="154CAA25" w14:textId="4AD3221B" w:rsidR="007A2B08" w:rsidRDefault="002F5DBC" w:rsidP="00031645">
      <w:pPr>
        <w:spacing w:line="276" w:lineRule="auto"/>
      </w:pPr>
      <w:r w:rsidRPr="000F3DFE">
        <w:t xml:space="preserve">We will strengthen </w:t>
      </w:r>
      <w:r w:rsidR="00FF79C8">
        <w:t>our partner</w:t>
      </w:r>
      <w:r w:rsidR="005D32B6">
        <w:t>s</w:t>
      </w:r>
      <w:r w:rsidR="00FF79C8">
        <w:t xml:space="preserve">hips to </w:t>
      </w:r>
      <w:r w:rsidR="005D32B6">
        <w:t xml:space="preserve">continue building </w:t>
      </w:r>
      <w:r w:rsidR="00A55EA2">
        <w:t xml:space="preserve">trust </w:t>
      </w:r>
      <w:r w:rsidRPr="000F3DFE">
        <w:t>with people with disability and their representative organisations</w:t>
      </w:r>
      <w:r w:rsidR="005D32B6">
        <w:t>.</w:t>
      </w:r>
      <w:r w:rsidR="0010531B">
        <w:t xml:space="preserve"> Our recently </w:t>
      </w:r>
      <w:r w:rsidR="00405456">
        <w:t>rel</w:t>
      </w:r>
      <w:r w:rsidR="0034052A">
        <w:t xml:space="preserve">eased </w:t>
      </w:r>
      <w:hyperlink r:id="rId27" w:history="1">
        <w:r w:rsidR="004A7EDF" w:rsidRPr="00617C4C">
          <w:rPr>
            <w:rStyle w:val="Hyperlink"/>
          </w:rPr>
          <w:t>Engagement Framework</w:t>
        </w:r>
      </w:hyperlink>
      <w:r w:rsidR="004A7EDF" w:rsidRPr="000F3DFE">
        <w:t xml:space="preserve"> </w:t>
      </w:r>
      <w:r w:rsidR="0010531B">
        <w:t xml:space="preserve">is designed </w:t>
      </w:r>
      <w:r w:rsidR="006F2EB0">
        <w:t xml:space="preserve">to </w:t>
      </w:r>
      <w:r w:rsidRPr="000F3DFE">
        <w:t>improve the NDIS and ensure it delivers on the participant</w:t>
      </w:r>
      <w:r w:rsidRPr="00113249">
        <w:t>-</w:t>
      </w:r>
      <w:r w:rsidRPr="000F3DFE">
        <w:t xml:space="preserve">focused vision embodied in the </w:t>
      </w:r>
      <w:hyperlink r:id="rId28" w:history="1">
        <w:r w:rsidRPr="00617C4C">
          <w:rPr>
            <w:rStyle w:val="Hyperlink"/>
          </w:rPr>
          <w:t>2011 Productivity Commission Report</w:t>
        </w:r>
      </w:hyperlink>
      <w:r w:rsidR="002F6578">
        <w:rPr>
          <w:rStyle w:val="Hyperlink"/>
        </w:rPr>
        <w:t xml:space="preserve"> (including through co-design)</w:t>
      </w:r>
      <w:r w:rsidRPr="000F3DFE">
        <w:t xml:space="preserve">. </w:t>
      </w:r>
    </w:p>
    <w:p w14:paraId="55F7AB02" w14:textId="387A69EE" w:rsidR="002F5DBC" w:rsidRDefault="006F2EB0" w:rsidP="00031645">
      <w:pPr>
        <w:spacing w:line="276" w:lineRule="auto"/>
      </w:pPr>
      <w:r>
        <w:t>Some of the important areas</w:t>
      </w:r>
      <w:r w:rsidR="00DB586C">
        <w:t xml:space="preserve"> we have committed to co</w:t>
      </w:r>
      <w:r w:rsidR="002F6578">
        <w:t>-</w:t>
      </w:r>
      <w:r w:rsidR="00DB586C">
        <w:t>design on are:</w:t>
      </w:r>
      <w:r w:rsidR="000A7450">
        <w:t xml:space="preserve"> </w:t>
      </w:r>
    </w:p>
    <w:p w14:paraId="196844AB" w14:textId="4B3E9405" w:rsidR="00CD4CBE" w:rsidRDefault="00CD4CBE" w:rsidP="00031645">
      <w:pPr>
        <w:pStyle w:val="ListParagraph"/>
        <w:numPr>
          <w:ilvl w:val="0"/>
          <w:numId w:val="7"/>
        </w:numPr>
        <w:spacing w:line="276" w:lineRule="auto"/>
        <w:rPr>
          <w:rFonts w:eastAsia="Arial" w:cs="Arial"/>
          <w:szCs w:val="22"/>
        </w:rPr>
      </w:pPr>
      <w:r w:rsidRPr="4DA37739">
        <w:rPr>
          <w:rFonts w:eastAsia="Arial" w:cs="Arial"/>
          <w:szCs w:val="22"/>
        </w:rPr>
        <w:t>Information Gathering for Access and Planning –</w:t>
      </w:r>
      <w:r w:rsidR="00C53645">
        <w:rPr>
          <w:rFonts w:eastAsia="Arial" w:cs="Arial"/>
          <w:szCs w:val="22"/>
        </w:rPr>
        <w:t xml:space="preserve"> </w:t>
      </w:r>
      <w:r w:rsidR="002116E3" w:rsidRPr="004205AC">
        <w:rPr>
          <w:rFonts w:eastAsia="Arial" w:cs="Arial"/>
          <w:szCs w:val="22"/>
        </w:rPr>
        <w:t>different and better ways to gather the information we need to make consistent and fair decisions</w:t>
      </w:r>
      <w:r w:rsidR="004B0AA2">
        <w:rPr>
          <w:rFonts w:eastAsia="Arial" w:cs="Arial"/>
          <w:szCs w:val="22"/>
        </w:rPr>
        <w:t>.</w:t>
      </w:r>
      <w:r w:rsidR="000A7450">
        <w:rPr>
          <w:rFonts w:eastAsia="Arial" w:cs="Arial"/>
          <w:szCs w:val="22"/>
        </w:rPr>
        <w:t xml:space="preserve"> </w:t>
      </w:r>
    </w:p>
    <w:p w14:paraId="501F1EE6" w14:textId="3AC16560" w:rsidR="00CD4CBE" w:rsidRPr="004205AC" w:rsidRDefault="00CD4CBE" w:rsidP="00031645">
      <w:pPr>
        <w:pStyle w:val="ListParagraph"/>
        <w:numPr>
          <w:ilvl w:val="0"/>
          <w:numId w:val="7"/>
        </w:numPr>
        <w:spacing w:line="276" w:lineRule="auto"/>
        <w:rPr>
          <w:rFonts w:eastAsia="Arial" w:cs="Arial"/>
          <w:szCs w:val="22"/>
        </w:rPr>
      </w:pPr>
      <w:r w:rsidRPr="4DA37739">
        <w:rPr>
          <w:rFonts w:eastAsia="Arial" w:cs="Arial"/>
          <w:szCs w:val="22"/>
        </w:rPr>
        <w:t xml:space="preserve">Support for Decision Making – </w:t>
      </w:r>
      <w:r w:rsidR="00ED484D">
        <w:rPr>
          <w:rFonts w:eastAsia="Arial" w:cs="Arial"/>
          <w:szCs w:val="22"/>
        </w:rPr>
        <w:t xml:space="preserve">how to </w:t>
      </w:r>
      <w:r w:rsidR="00803026">
        <w:rPr>
          <w:rFonts w:eastAsia="Arial" w:cs="Arial"/>
          <w:szCs w:val="22"/>
        </w:rPr>
        <w:t>assist</w:t>
      </w:r>
      <w:r w:rsidR="00ED484D">
        <w:rPr>
          <w:rFonts w:eastAsia="Arial" w:cs="Arial"/>
          <w:szCs w:val="22"/>
        </w:rPr>
        <w:t xml:space="preserve"> our participants in making decisions on the supports they need</w:t>
      </w:r>
      <w:r w:rsidR="004B0AA2">
        <w:rPr>
          <w:rFonts w:eastAsia="Arial" w:cs="Arial"/>
          <w:szCs w:val="22"/>
        </w:rPr>
        <w:t>.</w:t>
      </w:r>
      <w:r w:rsidR="000A7450">
        <w:rPr>
          <w:rFonts w:eastAsia="Arial" w:cs="Arial"/>
          <w:szCs w:val="22"/>
        </w:rPr>
        <w:t xml:space="preserve"> </w:t>
      </w:r>
    </w:p>
    <w:p w14:paraId="54F14208" w14:textId="285ADA62" w:rsidR="00CD4CBE" w:rsidRDefault="00CD4CBE" w:rsidP="00031645">
      <w:pPr>
        <w:pStyle w:val="ListParagraph"/>
        <w:numPr>
          <w:ilvl w:val="0"/>
          <w:numId w:val="7"/>
        </w:numPr>
        <w:spacing w:line="276" w:lineRule="auto"/>
        <w:rPr>
          <w:rFonts w:eastAsia="Arial" w:cs="Arial"/>
          <w:szCs w:val="22"/>
        </w:rPr>
      </w:pPr>
      <w:r w:rsidRPr="4DA37739">
        <w:rPr>
          <w:rFonts w:eastAsia="Arial" w:cs="Arial"/>
          <w:szCs w:val="22"/>
        </w:rPr>
        <w:t xml:space="preserve">Participant Safety – </w:t>
      </w:r>
      <w:r w:rsidR="00ED484D">
        <w:rPr>
          <w:rFonts w:eastAsia="Arial" w:cs="Arial"/>
          <w:szCs w:val="22"/>
        </w:rPr>
        <w:t>how to</w:t>
      </w:r>
      <w:r w:rsidRPr="4DA37739">
        <w:rPr>
          <w:rFonts w:eastAsia="Arial" w:cs="Arial"/>
          <w:szCs w:val="22"/>
        </w:rPr>
        <w:t xml:space="preserve"> support participants to think about their own safety, and to clearly define the Agency’s role in ensuring participant safety at the national level</w:t>
      </w:r>
      <w:r w:rsidR="004B0AA2">
        <w:rPr>
          <w:rFonts w:eastAsia="Arial" w:cs="Arial"/>
          <w:szCs w:val="22"/>
        </w:rPr>
        <w:t>.</w:t>
      </w:r>
      <w:r w:rsidR="000A7450">
        <w:rPr>
          <w:rFonts w:eastAsia="Arial" w:cs="Arial"/>
          <w:szCs w:val="22"/>
        </w:rPr>
        <w:t xml:space="preserve"> </w:t>
      </w:r>
    </w:p>
    <w:p w14:paraId="467F1D00" w14:textId="4078B885" w:rsidR="00CD4CBE" w:rsidRDefault="00CD4CBE" w:rsidP="00031645">
      <w:pPr>
        <w:pStyle w:val="ListParagraph"/>
        <w:numPr>
          <w:ilvl w:val="0"/>
          <w:numId w:val="7"/>
        </w:numPr>
        <w:spacing w:line="276" w:lineRule="auto"/>
        <w:rPr>
          <w:rFonts w:eastAsia="Arial" w:cs="Arial"/>
        </w:rPr>
      </w:pPr>
      <w:r w:rsidRPr="2FD760C0">
        <w:rPr>
          <w:rFonts w:eastAsia="Arial" w:cs="Arial"/>
        </w:rPr>
        <w:t xml:space="preserve">Home and </w:t>
      </w:r>
      <w:proofErr w:type="gramStart"/>
      <w:r w:rsidRPr="2FD760C0">
        <w:rPr>
          <w:rFonts w:eastAsia="Arial" w:cs="Arial"/>
        </w:rPr>
        <w:t>Living</w:t>
      </w:r>
      <w:proofErr w:type="gramEnd"/>
      <w:r w:rsidRPr="2FD760C0">
        <w:rPr>
          <w:rFonts w:eastAsia="Arial" w:cs="Arial"/>
        </w:rPr>
        <w:t xml:space="preserve"> –</w:t>
      </w:r>
      <w:r w:rsidR="00BF42B8">
        <w:rPr>
          <w:rFonts w:eastAsia="Arial" w:cs="Arial"/>
        </w:rPr>
        <w:t xml:space="preserve"> </w:t>
      </w:r>
      <w:r w:rsidRPr="2FD760C0">
        <w:rPr>
          <w:rFonts w:eastAsia="Arial" w:cs="Arial"/>
        </w:rPr>
        <w:t>support delivery of contemporary and innovative approaches which increase participant choice and control over where,</w:t>
      </w:r>
      <w:r>
        <w:rPr>
          <w:rFonts w:eastAsia="Arial" w:cs="Arial"/>
        </w:rPr>
        <w:t xml:space="preserve"> </w:t>
      </w:r>
      <w:r w:rsidRPr="2FD760C0">
        <w:rPr>
          <w:rFonts w:eastAsia="Arial" w:cs="Arial"/>
        </w:rPr>
        <w:t>how and with whom they live</w:t>
      </w:r>
      <w:r w:rsidR="004B0AA2">
        <w:rPr>
          <w:rFonts w:eastAsia="Arial" w:cs="Arial"/>
        </w:rPr>
        <w:t>.</w:t>
      </w:r>
      <w:r w:rsidR="000A7450">
        <w:rPr>
          <w:rFonts w:eastAsia="Arial" w:cs="Arial"/>
        </w:rPr>
        <w:t xml:space="preserve"> </w:t>
      </w:r>
    </w:p>
    <w:p w14:paraId="158858A7" w14:textId="724B94C3" w:rsidR="00BF42B8" w:rsidRPr="00B2754C" w:rsidRDefault="00547280" w:rsidP="00031645">
      <w:pPr>
        <w:pStyle w:val="ListParagraph"/>
        <w:numPr>
          <w:ilvl w:val="0"/>
          <w:numId w:val="7"/>
        </w:numPr>
        <w:spacing w:line="276" w:lineRule="auto"/>
        <w:rPr>
          <w:rFonts w:eastAsia="Arial"/>
        </w:rPr>
      </w:pPr>
      <w:r w:rsidRPr="00B2754C">
        <w:rPr>
          <w:rFonts w:eastAsia="Arial" w:cs="Arial"/>
        </w:rPr>
        <w:t xml:space="preserve">Aboriginal and Torres Strait Islander </w:t>
      </w:r>
      <w:r w:rsidR="00F66468">
        <w:rPr>
          <w:rFonts w:eastAsia="Arial" w:cs="Arial"/>
        </w:rPr>
        <w:t xml:space="preserve">and </w:t>
      </w:r>
      <w:r w:rsidR="00CD4CBE" w:rsidRPr="00113249">
        <w:rPr>
          <w:rFonts w:eastAsia="Arial" w:cs="Arial"/>
          <w:szCs w:val="22"/>
        </w:rPr>
        <w:t>Culturally and Linguistically Diverse</w:t>
      </w:r>
      <w:r w:rsidR="00CD4CBE" w:rsidRPr="00FF2560">
        <w:rPr>
          <w:rFonts w:eastAsia="Arial" w:cs="Arial"/>
          <w:szCs w:val="22"/>
        </w:rPr>
        <w:t xml:space="preserve"> </w:t>
      </w:r>
      <w:r w:rsidR="00F307EE" w:rsidRPr="00113249">
        <w:rPr>
          <w:rFonts w:eastAsia="Arial" w:cs="Arial"/>
        </w:rPr>
        <w:t>s</w:t>
      </w:r>
      <w:r w:rsidR="0063595D" w:rsidRPr="00113249">
        <w:rPr>
          <w:rFonts w:eastAsia="Arial" w:cs="Arial"/>
        </w:rPr>
        <w:t>trategies</w:t>
      </w:r>
      <w:r w:rsidR="004F5D0A">
        <w:rPr>
          <w:rFonts w:eastAsia="Arial" w:cs="Arial"/>
        </w:rPr>
        <w:t xml:space="preserve"> </w:t>
      </w:r>
      <w:r w:rsidR="00BF42B8" w:rsidRPr="004F5D0A">
        <w:rPr>
          <w:rFonts w:eastAsia="Arial" w:cs="Arial"/>
          <w:szCs w:val="22"/>
        </w:rPr>
        <w:t xml:space="preserve">– </w:t>
      </w:r>
      <w:r w:rsidR="00F66468">
        <w:rPr>
          <w:rFonts w:eastAsia="Arial" w:cs="Arial"/>
          <w:szCs w:val="22"/>
        </w:rPr>
        <w:t xml:space="preserve">to </w:t>
      </w:r>
      <w:r w:rsidR="00732CA9" w:rsidRPr="004F5D0A">
        <w:rPr>
          <w:rFonts w:eastAsia="Arial" w:cs="Arial"/>
          <w:szCs w:val="22"/>
        </w:rPr>
        <w:t>deliver</w:t>
      </w:r>
      <w:r w:rsidR="00BF42B8" w:rsidRPr="004F5D0A">
        <w:rPr>
          <w:rFonts w:eastAsia="Arial" w:cs="Arial"/>
          <w:szCs w:val="22"/>
        </w:rPr>
        <w:t xml:space="preserve"> culturally appropriate</w:t>
      </w:r>
      <w:r w:rsidR="00732CA9" w:rsidRPr="004F5D0A">
        <w:rPr>
          <w:rFonts w:eastAsia="Arial" w:cs="Arial"/>
          <w:szCs w:val="22"/>
        </w:rPr>
        <w:t xml:space="preserve"> services</w:t>
      </w:r>
      <w:r w:rsidR="001A3D93">
        <w:rPr>
          <w:rFonts w:eastAsia="Arial" w:cs="Arial"/>
          <w:szCs w:val="22"/>
        </w:rPr>
        <w:t>.</w:t>
      </w:r>
      <w:r w:rsidR="000A7450">
        <w:rPr>
          <w:rFonts w:eastAsia="Arial" w:cs="Arial"/>
          <w:szCs w:val="22"/>
        </w:rPr>
        <w:t xml:space="preserve"> </w:t>
      </w:r>
    </w:p>
    <w:p w14:paraId="19B9863A" w14:textId="719C4429" w:rsidR="002F5DBC" w:rsidRPr="00D2003F" w:rsidRDefault="002F5DBC" w:rsidP="00031645">
      <w:pPr>
        <w:spacing w:line="276" w:lineRule="auto"/>
      </w:pPr>
      <w:r w:rsidRPr="00D2003F">
        <w:t xml:space="preserve">We will </w:t>
      </w:r>
      <w:r w:rsidR="00B02E6A">
        <w:t>contribute to</w:t>
      </w:r>
      <w:r w:rsidR="00B02E6A" w:rsidRPr="00D2003F">
        <w:t xml:space="preserve"> </w:t>
      </w:r>
      <w:r w:rsidRPr="00D2003F">
        <w:t>a coordinated whole of government approach to supporting people with disability</w:t>
      </w:r>
      <w:r w:rsidR="00F66468">
        <w:t xml:space="preserve"> and their families</w:t>
      </w:r>
      <w:r w:rsidR="004310C3">
        <w:t>,</w:t>
      </w:r>
      <w:r w:rsidRPr="00D2003F">
        <w:t xml:space="preserve"> by consulting, engaging and collaborating with stakeholders. This aligns with the vision </w:t>
      </w:r>
      <w:r>
        <w:t xml:space="preserve">contained in </w:t>
      </w:r>
      <w:hyperlink r:id="rId29" w:history="1">
        <w:r w:rsidRPr="00617C4C">
          <w:rPr>
            <w:rStyle w:val="Hyperlink"/>
          </w:rPr>
          <w:t>Australia’s Disability Strategy</w:t>
        </w:r>
      </w:hyperlink>
      <w:r w:rsidRPr="00D2003F">
        <w:t xml:space="preserve"> that will make sure people with disability can fulfil their potential as equal members of a more inclusive Australian society.</w:t>
      </w:r>
      <w:r>
        <w:t xml:space="preserve"> We </w:t>
      </w:r>
      <w:r w:rsidRPr="003E0E24">
        <w:t xml:space="preserve">are also committed to working in genuine partnership with Aboriginal and Torres Strait Islander people and communities, aligned to the identified Priority Reform Areas under </w:t>
      </w:r>
      <w:hyperlink r:id="rId30" w:history="1">
        <w:r w:rsidRPr="00617C4C">
          <w:rPr>
            <w:rStyle w:val="Hyperlink"/>
          </w:rPr>
          <w:t>the National Agreement on Closing the Gap</w:t>
        </w:r>
        <w:r w:rsidR="00D1466D" w:rsidRPr="00617C4C">
          <w:rPr>
            <w:rStyle w:val="Hyperlink"/>
          </w:rPr>
          <w:t>.</w:t>
        </w:r>
      </w:hyperlink>
      <w:r w:rsidR="000A7450">
        <w:rPr>
          <w:rStyle w:val="Hyperlink"/>
        </w:rPr>
        <w:t xml:space="preserve"> </w:t>
      </w:r>
    </w:p>
    <w:p w14:paraId="4403CEC6" w14:textId="7032E510" w:rsidR="002F5DBC" w:rsidRPr="004C2B55" w:rsidRDefault="002F5DBC" w:rsidP="002F5DBC">
      <w:r w:rsidRPr="004C2B55">
        <w:t xml:space="preserve">Our specific goals under this aspiration and </w:t>
      </w:r>
      <w:r>
        <w:t xml:space="preserve">examples of initiatives </w:t>
      </w:r>
      <w:r w:rsidRPr="004C2B55">
        <w:t xml:space="preserve">to achieve these goals are outlined below: </w:t>
      </w:r>
    </w:p>
    <w:p w14:paraId="351F3B1B" w14:textId="1F27CC6C" w:rsidR="008921D7" w:rsidRDefault="008921D7" w:rsidP="008921D7">
      <w:pPr>
        <w:rPr>
          <w:b/>
        </w:rPr>
      </w:pPr>
      <w:bookmarkStart w:id="89" w:name="_Toc77690779"/>
      <w:bookmarkStart w:id="90" w:name="_Toc702531044"/>
      <w:r>
        <w:rPr>
          <w:b/>
        </w:rPr>
        <w:t xml:space="preserve">Strategic goal 3.1: </w:t>
      </w:r>
      <w:r>
        <w:t>Enhance stakeholder sentiment and confidence</w:t>
      </w:r>
      <w:r>
        <w:rPr>
          <w:b/>
        </w:rPr>
        <w:t xml:space="preserve"> </w:t>
      </w:r>
      <w:r w:rsidR="00E4467D" w:rsidRPr="00FC273D">
        <w:t>through co-design</w:t>
      </w:r>
      <w:r w:rsidR="00E4467D">
        <w:t>, transp</w:t>
      </w:r>
      <w:r w:rsidR="00F54020">
        <w:t>arency and better communication</w:t>
      </w:r>
      <w:r w:rsidR="004863FD">
        <w:t>.</w:t>
      </w:r>
    </w:p>
    <w:p w14:paraId="0A2B4CB5" w14:textId="1274BD4E" w:rsidR="008921D7" w:rsidRDefault="004863FD" w:rsidP="00562112">
      <w:pPr>
        <w:pStyle w:val="ListParagraph"/>
        <w:numPr>
          <w:ilvl w:val="0"/>
          <w:numId w:val="8"/>
        </w:numPr>
      </w:pPr>
      <w:r>
        <w:t>D</w:t>
      </w:r>
      <w:r w:rsidR="008921D7">
        <w:t>evelop and publicly release a roadmap of</w:t>
      </w:r>
      <w:r w:rsidR="000247AC">
        <w:t xml:space="preserve"> </w:t>
      </w:r>
      <w:r w:rsidR="008921D7">
        <w:t>engagement on Scheme improvements</w:t>
      </w:r>
      <w:r w:rsidR="000A7450">
        <w:t xml:space="preserve">. </w:t>
      </w:r>
    </w:p>
    <w:p w14:paraId="3A2A83B0" w14:textId="238F1B0D" w:rsidR="008921D7" w:rsidRDefault="004863FD" w:rsidP="00562112">
      <w:pPr>
        <w:pStyle w:val="ListParagraph"/>
        <w:numPr>
          <w:ilvl w:val="0"/>
          <w:numId w:val="8"/>
        </w:numPr>
      </w:pPr>
      <w:r>
        <w:rPr>
          <w:rFonts w:cstheme="minorBidi"/>
          <w:szCs w:val="22"/>
        </w:rPr>
        <w:t>C</w:t>
      </w:r>
      <w:r w:rsidR="006637C2">
        <w:rPr>
          <w:rFonts w:cstheme="minorBidi"/>
          <w:szCs w:val="22"/>
        </w:rPr>
        <w:t>ontinue to embed</w:t>
      </w:r>
      <w:r w:rsidR="008921D7">
        <w:rPr>
          <w:rFonts w:cstheme="minorBidi"/>
          <w:szCs w:val="22"/>
        </w:rPr>
        <w:t xml:space="preserve"> co-design</w:t>
      </w:r>
      <w:r w:rsidR="006637C2">
        <w:rPr>
          <w:rFonts w:cstheme="minorBidi"/>
          <w:szCs w:val="22"/>
        </w:rPr>
        <w:t xml:space="preserve"> practices</w:t>
      </w:r>
      <w:r w:rsidR="008921D7">
        <w:rPr>
          <w:rFonts w:cstheme="minorBidi"/>
          <w:szCs w:val="22"/>
        </w:rPr>
        <w:t>, coach NDIA staff</w:t>
      </w:r>
      <w:r w:rsidR="006637C2">
        <w:rPr>
          <w:rFonts w:cstheme="minorBidi"/>
          <w:szCs w:val="22"/>
        </w:rPr>
        <w:t xml:space="preserve">, </w:t>
      </w:r>
      <w:r w:rsidR="008921D7">
        <w:rPr>
          <w:rFonts w:cstheme="minorBidi"/>
          <w:szCs w:val="22"/>
        </w:rPr>
        <w:t>review and improve current processes</w:t>
      </w:r>
      <w:r>
        <w:rPr>
          <w:rFonts w:cstheme="minorBidi"/>
          <w:szCs w:val="22"/>
        </w:rPr>
        <w:t>.</w:t>
      </w:r>
      <w:r w:rsidR="000A7450">
        <w:rPr>
          <w:rFonts w:cstheme="minorBidi"/>
          <w:szCs w:val="22"/>
        </w:rPr>
        <w:t xml:space="preserve"> </w:t>
      </w:r>
    </w:p>
    <w:p w14:paraId="0C0AB8CE" w14:textId="440D80AA" w:rsidR="008921D7" w:rsidRDefault="004863FD" w:rsidP="00562112">
      <w:pPr>
        <w:pStyle w:val="ListParagraph"/>
        <w:numPr>
          <w:ilvl w:val="0"/>
          <w:numId w:val="8"/>
        </w:numPr>
      </w:pPr>
      <w:r>
        <w:t>C</w:t>
      </w:r>
      <w:r w:rsidR="008921D7">
        <w:t>ontinue to simplify the language we use to deliver clear, accessible commun</w:t>
      </w:r>
      <w:r w:rsidR="00F54020">
        <w:t>ication across all our channels</w:t>
      </w:r>
      <w:r>
        <w:t>.</w:t>
      </w:r>
      <w:r w:rsidR="000A7450">
        <w:t xml:space="preserve"> </w:t>
      </w:r>
    </w:p>
    <w:p w14:paraId="12605D5A" w14:textId="550DC369" w:rsidR="008921D7" w:rsidRDefault="004863FD" w:rsidP="00562112">
      <w:pPr>
        <w:pStyle w:val="ListParagraph"/>
        <w:numPr>
          <w:ilvl w:val="0"/>
          <w:numId w:val="8"/>
        </w:numPr>
      </w:pPr>
      <w:r>
        <w:t>C</w:t>
      </w:r>
      <w:r w:rsidR="008921D7">
        <w:t xml:space="preserve">ontinue to implement and refine our satisfaction and sentiment surveys so that we can gather, share </w:t>
      </w:r>
      <w:r w:rsidR="00F54020">
        <w:t>and act on stakeholder feedback</w:t>
      </w:r>
      <w:r>
        <w:t>.</w:t>
      </w:r>
      <w:r w:rsidR="000A7450">
        <w:t xml:space="preserve"> </w:t>
      </w:r>
    </w:p>
    <w:p w14:paraId="4E1F869A" w14:textId="0C0E8231" w:rsidR="008921D7" w:rsidRDefault="004863FD" w:rsidP="00562112">
      <w:pPr>
        <w:pStyle w:val="ListParagraph"/>
        <w:numPr>
          <w:ilvl w:val="0"/>
          <w:numId w:val="8"/>
        </w:numPr>
      </w:pPr>
      <w:r>
        <w:t>B</w:t>
      </w:r>
      <w:r w:rsidR="008921D7">
        <w:t xml:space="preserve">uild greater understanding of the financial sustainability </w:t>
      </w:r>
      <w:r w:rsidR="00F30CF2">
        <w:t xml:space="preserve">of the </w:t>
      </w:r>
      <w:r w:rsidR="008921D7">
        <w:t>Scheme including a focus on outcomes and best use of plan budgets to achieve these outcomes.</w:t>
      </w:r>
      <w:r w:rsidR="000A7450">
        <w:t xml:space="preserve"> </w:t>
      </w:r>
    </w:p>
    <w:p w14:paraId="2A7B9C16" w14:textId="2EC53809" w:rsidR="008921D7" w:rsidRDefault="008921D7" w:rsidP="008921D7">
      <w:r>
        <w:rPr>
          <w:b/>
        </w:rPr>
        <w:t>Strategic goal 3.2:</w:t>
      </w:r>
      <w:r>
        <w:t xml:space="preserve"> Strengthen meaningful partnerships and consultation with governments and the community</w:t>
      </w:r>
      <w:r w:rsidR="004863FD">
        <w:t>.</w:t>
      </w:r>
      <w:r>
        <w:t xml:space="preserve"> </w:t>
      </w:r>
    </w:p>
    <w:p w14:paraId="631FBF2C" w14:textId="23A54C9F" w:rsidR="008921D7" w:rsidRDefault="004863FD" w:rsidP="00562112">
      <w:pPr>
        <w:pStyle w:val="ListParagraph"/>
        <w:numPr>
          <w:ilvl w:val="0"/>
          <w:numId w:val="8"/>
        </w:numPr>
      </w:pPr>
      <w:r>
        <w:t>C</w:t>
      </w:r>
      <w:r w:rsidR="008921D7">
        <w:t>onsult and cooperate with Disability Ministers and state and territory governments to administer the funding and governance arrangements for the NDIS</w:t>
      </w:r>
      <w:r w:rsidR="0027011F">
        <w:t>.</w:t>
      </w:r>
      <w:r w:rsidR="000A7450">
        <w:t xml:space="preserve"> </w:t>
      </w:r>
    </w:p>
    <w:p w14:paraId="53F5EA41" w14:textId="177939CB" w:rsidR="008921D7" w:rsidRDefault="0027011F" w:rsidP="00562112">
      <w:pPr>
        <w:pStyle w:val="ListParagraph"/>
        <w:numPr>
          <w:ilvl w:val="0"/>
          <w:numId w:val="8"/>
        </w:numPr>
      </w:pPr>
      <w:r>
        <w:t>E</w:t>
      </w:r>
      <w:r w:rsidR="008921D7">
        <w:t>ngage and promote partnership opportunities with mainstream and community sectors</w:t>
      </w:r>
      <w:r>
        <w:t>.</w:t>
      </w:r>
      <w:r w:rsidR="000A7450">
        <w:t xml:space="preserve"> </w:t>
      </w:r>
    </w:p>
    <w:p w14:paraId="1C288F57" w14:textId="20AAE5E8" w:rsidR="008921D7" w:rsidRDefault="0027011F" w:rsidP="00562112">
      <w:pPr>
        <w:pStyle w:val="ListParagraph"/>
        <w:numPr>
          <w:ilvl w:val="0"/>
          <w:numId w:val="8"/>
        </w:numPr>
      </w:pPr>
      <w:r>
        <w:t>E</w:t>
      </w:r>
      <w:r w:rsidR="008921D7">
        <w:t>ngage participants, mainstream and community stakeholders through the delivery of inclusive and diverse events and engagement activities</w:t>
      </w:r>
      <w:r>
        <w:t>.</w:t>
      </w:r>
      <w:r w:rsidR="000A7450">
        <w:t xml:space="preserve"> </w:t>
      </w:r>
    </w:p>
    <w:p w14:paraId="5B0FBA45" w14:textId="0D0B167D" w:rsidR="008921D7" w:rsidRDefault="0027011F" w:rsidP="00562112">
      <w:pPr>
        <w:pStyle w:val="ListParagraph"/>
        <w:numPr>
          <w:ilvl w:val="0"/>
          <w:numId w:val="8"/>
        </w:numPr>
      </w:pPr>
      <w:r>
        <w:t>A</w:t>
      </w:r>
      <w:r w:rsidR="008921D7">
        <w:t>ctively seek and act on participant and stakeholder feedback and expertise to improve operations, particularly from participants whose voices may not always be heard</w:t>
      </w:r>
      <w:r>
        <w:t>.</w:t>
      </w:r>
      <w:r w:rsidR="008921D7">
        <w:t xml:space="preserve"> </w:t>
      </w:r>
    </w:p>
    <w:p w14:paraId="0569D5B7" w14:textId="5742C1DB" w:rsidR="008921D7" w:rsidRDefault="0027011F" w:rsidP="00562112">
      <w:pPr>
        <w:pStyle w:val="ListParagraph"/>
        <w:numPr>
          <w:ilvl w:val="0"/>
          <w:numId w:val="8"/>
        </w:numPr>
      </w:pPr>
      <w:r>
        <w:t>A</w:t>
      </w:r>
      <w:r w:rsidR="008921D7">
        <w:t xml:space="preserve">lign our work </w:t>
      </w:r>
      <w:r w:rsidR="002E3EE0">
        <w:t>with</w:t>
      </w:r>
      <w:r w:rsidR="008921D7">
        <w:t xml:space="preserve"> Australia’s Disability Strategy and the Priority Reform Areas under the Nation</w:t>
      </w:r>
      <w:r w:rsidR="00F54020">
        <w:t>al Agreement on Closing the Gap</w:t>
      </w:r>
      <w:r>
        <w:t>.</w:t>
      </w:r>
      <w:r w:rsidR="000A7450">
        <w:t xml:space="preserve"> </w:t>
      </w:r>
    </w:p>
    <w:p w14:paraId="0DE14E0E" w14:textId="3713E0D3" w:rsidR="00491E65" w:rsidRDefault="00491E65" w:rsidP="00562112">
      <w:pPr>
        <w:pStyle w:val="ListParagraph"/>
        <w:numPr>
          <w:ilvl w:val="0"/>
          <w:numId w:val="8"/>
        </w:numPr>
      </w:pPr>
      <w:bookmarkStart w:id="91" w:name="_Hlk104372884"/>
      <w:r w:rsidRPr="00491E65">
        <w:t>Influence government disability employment initiatives to expand employment opportunities for participants</w:t>
      </w:r>
      <w:r w:rsidR="00F54020">
        <w:t>,</w:t>
      </w:r>
      <w:r>
        <w:t xml:space="preserve"> and partner</w:t>
      </w:r>
      <w:r w:rsidRPr="00491E65">
        <w:t xml:space="preserve"> with national employers to build capability to employ participants and set an example.</w:t>
      </w:r>
      <w:r w:rsidR="000A7450">
        <w:t xml:space="preserve"> </w:t>
      </w:r>
    </w:p>
    <w:bookmarkEnd w:id="89"/>
    <w:bookmarkEnd w:id="90"/>
    <w:bookmarkEnd w:id="91"/>
    <w:p w14:paraId="64C34559" w14:textId="77777777" w:rsidR="00FD5D7F" w:rsidRDefault="00FD5D7F">
      <w:pPr>
        <w:spacing w:after="0" w:line="240" w:lineRule="auto"/>
      </w:pPr>
      <w:r>
        <w:br w:type="page"/>
      </w:r>
    </w:p>
    <w:p w14:paraId="32485D7F" w14:textId="77777777" w:rsidR="0055686B" w:rsidRPr="00FD5D7F" w:rsidRDefault="0055686B" w:rsidP="00FD5D7F">
      <w:pPr>
        <w:pStyle w:val="Heading3"/>
        <w:rPr>
          <w:rStyle w:val="Heading3Char"/>
          <w:b/>
        </w:rPr>
      </w:pPr>
      <w:bookmarkStart w:id="92" w:name="_Toc71277206"/>
      <w:bookmarkStart w:id="93" w:name="_Toc1923959708"/>
      <w:bookmarkStart w:id="94" w:name="_Toc2040299489"/>
      <w:bookmarkStart w:id="95" w:name="_Toc77690780"/>
      <w:bookmarkStart w:id="96" w:name="_Toc76038770"/>
      <w:bookmarkStart w:id="97" w:name="_Toc80953522"/>
      <w:bookmarkStart w:id="98" w:name="_Toc99617119"/>
      <w:r w:rsidRPr="00FD5D7F">
        <w:rPr>
          <w:rStyle w:val="Heading3Char"/>
          <w:b/>
        </w:rPr>
        <w:t>Aspiration 4 – A high-performing NDIA</w:t>
      </w:r>
      <w:bookmarkEnd w:id="92"/>
      <w:bookmarkEnd w:id="93"/>
      <w:bookmarkEnd w:id="94"/>
      <w:bookmarkEnd w:id="95"/>
      <w:bookmarkEnd w:id="96"/>
      <w:bookmarkEnd w:id="97"/>
      <w:bookmarkEnd w:id="98"/>
    </w:p>
    <w:p w14:paraId="2D02D424" w14:textId="5A688A9E" w:rsidR="008A7FFB" w:rsidRDefault="008A7FFB" w:rsidP="00CD1B38">
      <w:pPr>
        <w:pStyle w:val="Heading4"/>
        <w:ind w:left="0" w:firstLine="0"/>
      </w:pPr>
      <w:r>
        <w:t xml:space="preserve">Develop a high-performing NDIS that has an engaged workforce </w:t>
      </w:r>
      <w:r w:rsidR="00CD1B38">
        <w:t>with systems and processes that facilitate service excellence.</w:t>
      </w:r>
    </w:p>
    <w:p w14:paraId="6A734E1A" w14:textId="75D950EF" w:rsidR="0055686B" w:rsidRDefault="0055686B" w:rsidP="0055686B">
      <w:r w:rsidRPr="006877A4">
        <w:t xml:space="preserve">We aspire to be a high-performing </w:t>
      </w:r>
      <w:r>
        <w:t xml:space="preserve">service delivery organisation that </w:t>
      </w:r>
      <w:r w:rsidRPr="006877A4">
        <w:t>delivers</w:t>
      </w:r>
      <w:r>
        <w:t xml:space="preserve"> consistent quality services to</w:t>
      </w:r>
      <w:r w:rsidRPr="006877A4">
        <w:t xml:space="preserve"> participants, </w:t>
      </w:r>
      <w:r>
        <w:t>their families and carers.</w:t>
      </w:r>
      <w:r w:rsidR="00CE5BCE">
        <w:t xml:space="preserve"> We are committed to </w:t>
      </w:r>
      <w:r w:rsidR="00CE5BCE" w:rsidRPr="001E25C4">
        <w:t>contribut</w:t>
      </w:r>
      <w:r w:rsidR="00CE5BCE">
        <w:t>ing</w:t>
      </w:r>
      <w:r w:rsidR="00CE5BCE" w:rsidRPr="001E25C4">
        <w:t xml:space="preserve"> </w:t>
      </w:r>
      <w:r w:rsidR="00513BCD" w:rsidRPr="00513BCD">
        <w:t xml:space="preserve">data and information </w:t>
      </w:r>
      <w:r w:rsidR="00CE5BCE" w:rsidRPr="001E25C4">
        <w:t>to the review of the NDIS design, operation and sustainability</w:t>
      </w:r>
      <w:r w:rsidR="00A647CA">
        <w:t>, to impro</w:t>
      </w:r>
      <w:r w:rsidR="00CE5BCE">
        <w:t xml:space="preserve">ve the Scheme for generations to </w:t>
      </w:r>
      <w:r w:rsidR="003206BC">
        <w:t>come.</w:t>
      </w:r>
      <w:r w:rsidR="003206BC" w:rsidRPr="323C204F">
        <w:t xml:space="preserve"> Over</w:t>
      </w:r>
      <w:r w:rsidRPr="323C204F">
        <w:t xml:space="preserve"> the next 12</w:t>
      </w:r>
      <w:r w:rsidR="00037803">
        <w:t xml:space="preserve"> to </w:t>
      </w:r>
      <w:r w:rsidRPr="323C204F">
        <w:t xml:space="preserve">18 months, there will be significant change as we continue to deliver on the commitments in the Participant Service Charter, Participant Service Improvement Plan and a range of other </w:t>
      </w:r>
      <w:r>
        <w:t>reforms and</w:t>
      </w:r>
      <w:r w:rsidRPr="323C204F">
        <w:t xml:space="preserve"> improvements</w:t>
      </w:r>
      <w:r>
        <w:t xml:space="preserve"> to the NDIS</w:t>
      </w:r>
      <w:r w:rsidRPr="323C204F">
        <w:t>.</w:t>
      </w:r>
      <w:r w:rsidR="000A7450">
        <w:t xml:space="preserve"> </w:t>
      </w:r>
    </w:p>
    <w:p w14:paraId="6488393F" w14:textId="1F150B51" w:rsidR="0055686B" w:rsidRDefault="0055686B" w:rsidP="0055686B">
      <w:r>
        <w:t>Staff engagement and wellbeing is critical to delivering this volume of change</w:t>
      </w:r>
      <w:r w:rsidRPr="006877A4">
        <w:t>.</w:t>
      </w:r>
      <w:r>
        <w:t xml:space="preserve"> This is </w:t>
      </w:r>
      <w:r w:rsidRPr="006877A4">
        <w:t xml:space="preserve">something that we </w:t>
      </w:r>
      <w:r>
        <w:t xml:space="preserve">have </w:t>
      </w:r>
      <w:r w:rsidRPr="006877A4">
        <w:t xml:space="preserve">worked hard to maintain during the </w:t>
      </w:r>
      <w:r>
        <w:t>COVID-19</w:t>
      </w:r>
      <w:r w:rsidRPr="006877A4">
        <w:t xml:space="preserve"> pande</w:t>
      </w:r>
      <w:r>
        <w:t xml:space="preserve">mic and will continue to do so </w:t>
      </w:r>
      <w:r w:rsidRPr="006877A4">
        <w:t>as</w:t>
      </w:r>
      <w:r>
        <w:t xml:space="preserve"> we move towards </w:t>
      </w:r>
      <w:r w:rsidRPr="000F17B9">
        <w:t>COVID</w:t>
      </w:r>
      <w:r w:rsidR="000F17B9">
        <w:t xml:space="preserve"> </w:t>
      </w:r>
      <w:r w:rsidRPr="000F17B9">
        <w:t>normal.</w:t>
      </w:r>
      <w:r w:rsidR="000A7450">
        <w:t xml:space="preserve"> </w:t>
      </w:r>
    </w:p>
    <w:p w14:paraId="5909251D" w14:textId="055FF7B3" w:rsidR="0055686B" w:rsidRPr="006877A4" w:rsidRDefault="0055686B" w:rsidP="00CA07C2">
      <w:pPr>
        <w:pStyle w:val="Heading3"/>
      </w:pPr>
      <w:bookmarkStart w:id="99" w:name="_Toc99463593"/>
      <w:bookmarkStart w:id="100" w:name="_Toc99617120"/>
      <w:r>
        <w:t>Our</w:t>
      </w:r>
      <w:r w:rsidRPr="006877A4">
        <w:t xml:space="preserve"> values</w:t>
      </w:r>
      <w:bookmarkEnd w:id="99"/>
      <w:bookmarkEnd w:id="100"/>
      <w:r w:rsidR="000A7450">
        <w:t xml:space="preserve"> </w:t>
      </w:r>
    </w:p>
    <w:p w14:paraId="4EE1B3B5" w14:textId="4DAE3643" w:rsidR="0055686B" w:rsidRPr="006877A4" w:rsidRDefault="0055686B" w:rsidP="0055686B">
      <w:r w:rsidRPr="006877A4">
        <w:t xml:space="preserve">We are focused on developing a capable, engaged and healthy workforce </w:t>
      </w:r>
      <w:r>
        <w:t xml:space="preserve">that </w:t>
      </w:r>
      <w:r w:rsidRPr="006877A4">
        <w:t>build</w:t>
      </w:r>
      <w:r>
        <w:t>s on</w:t>
      </w:r>
      <w:r w:rsidRPr="006877A4">
        <w:t xml:space="preserve"> our reput</w:t>
      </w:r>
      <w:r>
        <w:t>ation as an employer of choice.</w:t>
      </w:r>
      <w:r w:rsidR="000A7450">
        <w:t xml:space="preserve"> </w:t>
      </w:r>
    </w:p>
    <w:p w14:paraId="43B80F5B" w14:textId="7E86721C" w:rsidR="0055686B" w:rsidRDefault="0055686B" w:rsidP="0055686B">
      <w:r w:rsidRPr="006877A4">
        <w:t xml:space="preserve">We do this through a values-driven culture, based </w:t>
      </w:r>
      <w:r>
        <w:t xml:space="preserve">on </w:t>
      </w:r>
      <w:r w:rsidRPr="006877A4">
        <w:t>those of</w:t>
      </w:r>
      <w:r>
        <w:t xml:space="preserve"> the Australian Public Service (APS) and </w:t>
      </w:r>
      <w:r w:rsidRPr="00734EF4">
        <w:t>supplemented by our own</w:t>
      </w:r>
      <w:r>
        <w:t xml:space="preserve"> as detailed below:</w:t>
      </w:r>
      <w:r w:rsidR="000A7450">
        <w:t xml:space="preserve"> </w:t>
      </w:r>
    </w:p>
    <w:p w14:paraId="0D531339" w14:textId="77777777" w:rsidR="00562112" w:rsidRPr="00562112" w:rsidRDefault="00562112" w:rsidP="00562112">
      <w:pPr>
        <w:numPr>
          <w:ilvl w:val="0"/>
          <w:numId w:val="16"/>
        </w:numPr>
      </w:pPr>
      <w:r w:rsidRPr="00562112">
        <w:rPr>
          <w:b/>
          <w:bCs/>
        </w:rPr>
        <w:t>We value people</w:t>
      </w:r>
      <w:r w:rsidRPr="00562112">
        <w:t xml:space="preserve"> – We put participants at the heart of everything we do.</w:t>
      </w:r>
    </w:p>
    <w:p w14:paraId="471536CA" w14:textId="77777777" w:rsidR="00562112" w:rsidRPr="00562112" w:rsidRDefault="00562112" w:rsidP="00562112">
      <w:pPr>
        <w:numPr>
          <w:ilvl w:val="0"/>
          <w:numId w:val="16"/>
        </w:numPr>
      </w:pPr>
      <w:r w:rsidRPr="00562112">
        <w:rPr>
          <w:b/>
          <w:bCs/>
        </w:rPr>
        <w:t>We grow together</w:t>
      </w:r>
      <w:r w:rsidRPr="00562112">
        <w:t xml:space="preserve"> – We work together to deliver quality outcomes.</w:t>
      </w:r>
    </w:p>
    <w:p w14:paraId="13E3CF5C" w14:textId="77777777" w:rsidR="00562112" w:rsidRPr="00562112" w:rsidRDefault="00562112" w:rsidP="00562112">
      <w:pPr>
        <w:numPr>
          <w:ilvl w:val="0"/>
          <w:numId w:val="16"/>
        </w:numPr>
      </w:pPr>
      <w:r w:rsidRPr="00562112">
        <w:rPr>
          <w:b/>
          <w:bCs/>
        </w:rPr>
        <w:t>We aim higher</w:t>
      </w:r>
      <w:r w:rsidRPr="00562112">
        <w:t xml:space="preserve"> – We are resilient and always have the courage to do better.</w:t>
      </w:r>
    </w:p>
    <w:p w14:paraId="0731DF6B" w14:textId="46FD36BF" w:rsidR="00286D63" w:rsidRDefault="00562112" w:rsidP="00562112">
      <w:pPr>
        <w:numPr>
          <w:ilvl w:val="0"/>
          <w:numId w:val="16"/>
        </w:numPr>
      </w:pPr>
      <w:r w:rsidRPr="00562112">
        <w:rPr>
          <w:b/>
          <w:bCs/>
        </w:rPr>
        <w:t>We take care</w:t>
      </w:r>
      <w:r w:rsidRPr="00562112">
        <w:t xml:space="preserve"> – We own what we do and we do the right thing.</w:t>
      </w:r>
    </w:p>
    <w:p w14:paraId="1F54B8AE" w14:textId="40FF2C8F" w:rsidR="0055686B" w:rsidRPr="006877A4" w:rsidRDefault="0055686B" w:rsidP="0055686B">
      <w:r w:rsidRPr="006877A4">
        <w:t xml:space="preserve">Our people are committed to supporting participants to achieve </w:t>
      </w:r>
      <w:r>
        <w:t>their goals.</w:t>
      </w:r>
      <w:r w:rsidRPr="006877A4">
        <w:t xml:space="preserve"> Equa</w:t>
      </w:r>
      <w:r>
        <w:t xml:space="preserve">lly, </w:t>
      </w:r>
      <w:r w:rsidRPr="006877A4">
        <w:t>we are commi</w:t>
      </w:r>
      <w:r>
        <w:t>tted to supporting our people to realise</w:t>
      </w:r>
      <w:r w:rsidRPr="006877A4">
        <w:t xml:space="preserve"> the aspirations and goals id</w:t>
      </w:r>
      <w:r>
        <w:t>entified in the Corporate Plan.</w:t>
      </w:r>
      <w:r w:rsidR="000A7450">
        <w:t xml:space="preserve"> </w:t>
      </w:r>
    </w:p>
    <w:p w14:paraId="103DB684" w14:textId="185D4CB5" w:rsidR="0055686B" w:rsidRDefault="0055686B" w:rsidP="0055686B">
      <w:r>
        <w:t>We will</w:t>
      </w:r>
      <w:r w:rsidRPr="006877A4">
        <w:t xml:space="preserve"> ensure our people are engaged, hav</w:t>
      </w:r>
      <w:r>
        <w:t>e the right skills and knowledge</w:t>
      </w:r>
      <w:r w:rsidRPr="006877A4">
        <w:t xml:space="preserve"> and are supported by systems and processes t</w:t>
      </w:r>
      <w:r>
        <w:t>o deliver our operational goals by:</w:t>
      </w:r>
      <w:r w:rsidR="000A7450">
        <w:t xml:space="preserve"> </w:t>
      </w:r>
    </w:p>
    <w:p w14:paraId="2A8FAE7C" w14:textId="4E547EAA" w:rsidR="0055686B" w:rsidRDefault="008D6C02" w:rsidP="00562112">
      <w:pPr>
        <w:pStyle w:val="ListParagraph"/>
        <w:numPr>
          <w:ilvl w:val="0"/>
          <w:numId w:val="7"/>
        </w:numPr>
      </w:pPr>
      <w:r>
        <w:t>E</w:t>
      </w:r>
      <w:r w:rsidR="0055686B">
        <w:t xml:space="preserve">nabling </w:t>
      </w:r>
      <w:r w:rsidR="0055686B" w:rsidRPr="00742AAB">
        <w:t xml:space="preserve">staff and partners </w:t>
      </w:r>
      <w:r w:rsidR="0055686B">
        <w:t xml:space="preserve">through a </w:t>
      </w:r>
      <w:r w:rsidR="0055686B" w:rsidRPr="00742AAB">
        <w:t>full range of tools to prov</w:t>
      </w:r>
      <w:r w:rsidR="0055686B">
        <w:t>ide a high</w:t>
      </w:r>
      <w:r>
        <w:t>-</w:t>
      </w:r>
      <w:r w:rsidR="0055686B">
        <w:t>quality experience</w:t>
      </w:r>
      <w:r>
        <w:t>.</w:t>
      </w:r>
      <w:r w:rsidR="000A7450">
        <w:t xml:space="preserve"> </w:t>
      </w:r>
    </w:p>
    <w:p w14:paraId="65259E4A" w14:textId="1A8C2178" w:rsidR="0055686B" w:rsidRPr="00742AAB" w:rsidRDefault="008D6C02" w:rsidP="00562112">
      <w:pPr>
        <w:pStyle w:val="ListParagraph"/>
        <w:numPr>
          <w:ilvl w:val="0"/>
          <w:numId w:val="7"/>
        </w:numPr>
      </w:pPr>
      <w:r>
        <w:t>P</w:t>
      </w:r>
      <w:r w:rsidR="0055686B">
        <w:t xml:space="preserve">roviding </w:t>
      </w:r>
      <w:r w:rsidR="0055686B" w:rsidRPr="00742AAB">
        <w:t>additional guidance materials to support the changes being implemented a</w:t>
      </w:r>
      <w:r w:rsidR="0055686B">
        <w:t>cross our frontline services.</w:t>
      </w:r>
      <w:r w:rsidR="000A7450">
        <w:t xml:space="preserve"> </w:t>
      </w:r>
    </w:p>
    <w:p w14:paraId="6F367584" w14:textId="0CECA6AE" w:rsidR="0055686B" w:rsidRDefault="0055686B" w:rsidP="0055686B">
      <w:r>
        <w:t>We build the capability of our workforce to deliver on our strategic and operational goals now and into the future. This will include training and upskilling the workforce to integrate</w:t>
      </w:r>
      <w:r w:rsidRPr="006877A4">
        <w:t xml:space="preserve"> </w:t>
      </w:r>
      <w:r>
        <w:t xml:space="preserve">the </w:t>
      </w:r>
      <w:r w:rsidRPr="006877A4">
        <w:t>new processes, systems and skills</w:t>
      </w:r>
      <w:r>
        <w:t xml:space="preserve"> necessary</w:t>
      </w:r>
      <w:r w:rsidRPr="006877A4">
        <w:t>. We will do this through careful planning and</w:t>
      </w:r>
      <w:r>
        <w:t xml:space="preserve"> change management.</w:t>
      </w:r>
      <w:r w:rsidR="000A7450">
        <w:t xml:space="preserve"> </w:t>
      </w:r>
    </w:p>
    <w:p w14:paraId="174733BB" w14:textId="2AD8C229" w:rsidR="004148B3" w:rsidRDefault="004148B3" w:rsidP="0055686B">
      <w:r>
        <w:t>We will support our people</w:t>
      </w:r>
      <w:r w:rsidR="009B3951">
        <w:t xml:space="preserve"> by</w:t>
      </w:r>
      <w:r>
        <w:t xml:space="preserve"> </w:t>
      </w:r>
      <w:r w:rsidR="00E830FF">
        <w:t>leveraging</w:t>
      </w:r>
      <w:r w:rsidR="002E26FD">
        <w:t xml:space="preserve"> </w:t>
      </w:r>
      <w:r w:rsidR="00DA47EB">
        <w:t xml:space="preserve">the </w:t>
      </w:r>
      <w:r w:rsidR="007E4469">
        <w:t>Agency’s</w:t>
      </w:r>
      <w:r>
        <w:t xml:space="preserve"> flexible working practices</w:t>
      </w:r>
      <w:r w:rsidR="00BC4DB8">
        <w:t xml:space="preserve"> and</w:t>
      </w:r>
      <w:r w:rsidR="00A338D3">
        <w:t xml:space="preserve"> continue to</w:t>
      </w:r>
      <w:r w:rsidR="00525FEF">
        <w:t xml:space="preserve"> </w:t>
      </w:r>
      <w:r w:rsidR="00251351">
        <w:t>build engagement</w:t>
      </w:r>
      <w:r w:rsidR="00BC7D3C">
        <w:t xml:space="preserve">, </w:t>
      </w:r>
      <w:r>
        <w:t xml:space="preserve">social connection and </w:t>
      </w:r>
      <w:r w:rsidR="00A338D3">
        <w:t xml:space="preserve">work </w:t>
      </w:r>
      <w:r w:rsidR="00BC7D3C">
        <w:t>productivity.</w:t>
      </w:r>
      <w:r w:rsidR="00BC4DB8">
        <w:t xml:space="preserve"> This will continue the revitalisation of our workforce as we enter post-C</w:t>
      </w:r>
      <w:r w:rsidR="00B87EC8">
        <w:t>O</w:t>
      </w:r>
      <w:r w:rsidR="00BC4DB8">
        <w:t xml:space="preserve">VID new normal. </w:t>
      </w:r>
    </w:p>
    <w:p w14:paraId="21983A44" w14:textId="5D869ECB" w:rsidR="0055686B" w:rsidRPr="001F5C3D" w:rsidRDefault="0055686B" w:rsidP="0055686B">
      <w:r>
        <w:t xml:space="preserve">Our </w:t>
      </w:r>
      <w:r w:rsidRPr="001F5C3D">
        <w:rPr>
          <w:rFonts w:hint="eastAsia"/>
        </w:rPr>
        <w:t xml:space="preserve">capability uplift </w:t>
      </w:r>
      <w:r>
        <w:t xml:space="preserve">will be supported by a range of </w:t>
      </w:r>
      <w:r w:rsidRPr="001F5C3D">
        <w:rPr>
          <w:rFonts w:hint="eastAsia"/>
        </w:rPr>
        <w:t>systems and technology</w:t>
      </w:r>
      <w:r>
        <w:t xml:space="preserve"> enhancements</w:t>
      </w:r>
      <w:r w:rsidR="008A3D06">
        <w:t>,</w:t>
      </w:r>
      <w:r>
        <w:t xml:space="preserve"> including:</w:t>
      </w:r>
      <w:r w:rsidR="000B268B">
        <w:t xml:space="preserve"> </w:t>
      </w:r>
    </w:p>
    <w:p w14:paraId="6800186B" w14:textId="1086AB70" w:rsidR="0055686B" w:rsidRPr="001F5C3D" w:rsidRDefault="00AA4B8A" w:rsidP="00562112">
      <w:pPr>
        <w:pStyle w:val="ListParagraph"/>
        <w:numPr>
          <w:ilvl w:val="0"/>
          <w:numId w:val="7"/>
        </w:numPr>
      </w:pPr>
      <w:r>
        <w:t>I</w:t>
      </w:r>
      <w:r w:rsidR="0055686B">
        <w:t xml:space="preserve">mplementing </w:t>
      </w:r>
      <w:r w:rsidR="0055686B" w:rsidRPr="001F5C3D">
        <w:rPr>
          <w:rFonts w:hint="eastAsia"/>
        </w:rPr>
        <w:t xml:space="preserve">a new </w:t>
      </w:r>
      <w:r w:rsidR="0055686B">
        <w:rPr>
          <w:rFonts w:hint="eastAsia"/>
        </w:rPr>
        <w:t>CRM system</w:t>
      </w:r>
      <w:r>
        <w:t>.</w:t>
      </w:r>
      <w:r w:rsidR="000B268B">
        <w:t xml:space="preserve"> </w:t>
      </w:r>
    </w:p>
    <w:p w14:paraId="66B5B947" w14:textId="196BAB6D" w:rsidR="0055686B" w:rsidRPr="001F5C3D" w:rsidRDefault="00AA4B8A" w:rsidP="00562112">
      <w:pPr>
        <w:pStyle w:val="ListParagraph"/>
        <w:numPr>
          <w:ilvl w:val="0"/>
          <w:numId w:val="7"/>
        </w:numPr>
      </w:pPr>
      <w:r>
        <w:t>I</w:t>
      </w:r>
      <w:r w:rsidR="0055686B">
        <w:rPr>
          <w:rFonts w:hint="eastAsia"/>
        </w:rPr>
        <w:t>mproving</w:t>
      </w:r>
      <w:r w:rsidR="0055686B" w:rsidRPr="001F5C3D">
        <w:rPr>
          <w:rFonts w:hint="eastAsia"/>
        </w:rPr>
        <w:t xml:space="preserve"> our social media monitoring to better understand</w:t>
      </w:r>
      <w:r w:rsidR="0055686B">
        <w:rPr>
          <w:rFonts w:hint="eastAsia"/>
        </w:rPr>
        <w:t xml:space="preserve"> real-time sentiment and issues</w:t>
      </w:r>
      <w:r>
        <w:t>.</w:t>
      </w:r>
      <w:r w:rsidR="000B268B">
        <w:t xml:space="preserve"> </w:t>
      </w:r>
    </w:p>
    <w:p w14:paraId="6491D506" w14:textId="529C2FDD" w:rsidR="0055686B" w:rsidRPr="001F5C3D" w:rsidRDefault="00AA4B8A" w:rsidP="00562112">
      <w:pPr>
        <w:pStyle w:val="ListParagraph"/>
        <w:numPr>
          <w:ilvl w:val="0"/>
          <w:numId w:val="7"/>
        </w:numPr>
      </w:pPr>
      <w:r>
        <w:t>E</w:t>
      </w:r>
      <w:r w:rsidR="0055686B">
        <w:t>nhancing digital engagement, transactional capability</w:t>
      </w:r>
      <w:r w:rsidR="0055686B" w:rsidRPr="001F5C3D">
        <w:rPr>
          <w:rFonts w:hint="eastAsia"/>
        </w:rPr>
        <w:t xml:space="preserve"> </w:t>
      </w:r>
      <w:r w:rsidR="0055686B">
        <w:t xml:space="preserve">and security </w:t>
      </w:r>
      <w:r w:rsidR="0055686B" w:rsidRPr="001F5C3D">
        <w:rPr>
          <w:rFonts w:hint="eastAsia"/>
        </w:rPr>
        <w:t>with participants, their</w:t>
      </w:r>
      <w:r w:rsidR="0055686B">
        <w:rPr>
          <w:rFonts w:hint="eastAsia"/>
        </w:rPr>
        <w:t xml:space="preserve"> families, carers and providers</w:t>
      </w:r>
      <w:r w:rsidR="0055686B">
        <w:t>.</w:t>
      </w:r>
      <w:r w:rsidR="000B268B">
        <w:t xml:space="preserve"> </w:t>
      </w:r>
    </w:p>
    <w:p w14:paraId="49A6272A" w14:textId="77777777" w:rsidR="0055686B" w:rsidRPr="004C2B55" w:rsidRDefault="0055686B" w:rsidP="0055686B">
      <w:r w:rsidRPr="004C2B55">
        <w:t xml:space="preserve">Our specific goals under this aspiration and </w:t>
      </w:r>
      <w:r>
        <w:t xml:space="preserve">examples of initiatives </w:t>
      </w:r>
      <w:r w:rsidRPr="004C2B55">
        <w:t>to achieve these goals are outlined below:</w:t>
      </w:r>
    </w:p>
    <w:p w14:paraId="063943E3" w14:textId="4CE52520" w:rsidR="0055686B" w:rsidRPr="00293B0B" w:rsidRDefault="0055686B" w:rsidP="0055686B">
      <w:bookmarkStart w:id="101" w:name="_Toc779483879"/>
      <w:r w:rsidRPr="00293B0B">
        <w:rPr>
          <w:b/>
        </w:rPr>
        <w:t xml:space="preserve">Strategic goal 4.1: </w:t>
      </w:r>
      <w:r w:rsidRPr="00293B0B">
        <w:t>Maintain strong staff engagement and wellbeing through a time of transformation</w:t>
      </w:r>
      <w:bookmarkEnd w:id="101"/>
      <w:r w:rsidR="005A3D3C">
        <w:t>.</w:t>
      </w:r>
      <w:r w:rsidR="000B268B">
        <w:t xml:space="preserve"> </w:t>
      </w:r>
    </w:p>
    <w:p w14:paraId="5DEE15D5" w14:textId="0DCE0F6D" w:rsidR="003F04F8" w:rsidRDefault="005A3D3C" w:rsidP="00562112">
      <w:pPr>
        <w:pStyle w:val="ListParagraph"/>
        <w:numPr>
          <w:ilvl w:val="0"/>
          <w:numId w:val="7"/>
        </w:numPr>
      </w:pPr>
      <w:r>
        <w:rPr>
          <w:lang w:eastAsia="zh-CN"/>
        </w:rPr>
        <w:t>D</w:t>
      </w:r>
      <w:r w:rsidR="003F04F8">
        <w:rPr>
          <w:lang w:eastAsia="zh-CN"/>
        </w:rPr>
        <w:t>evelop outstanding leaders who build trust and enable high performance outcomes for participants and our people</w:t>
      </w:r>
      <w:r>
        <w:rPr>
          <w:lang w:eastAsia="zh-CN"/>
        </w:rPr>
        <w:t>.</w:t>
      </w:r>
      <w:r w:rsidR="000B268B">
        <w:rPr>
          <w:lang w:eastAsia="zh-CN"/>
        </w:rPr>
        <w:t xml:space="preserve"> </w:t>
      </w:r>
    </w:p>
    <w:p w14:paraId="11C87954" w14:textId="3532710F" w:rsidR="0055686B" w:rsidRPr="0001434F" w:rsidRDefault="005A3D3C" w:rsidP="00562112">
      <w:pPr>
        <w:pStyle w:val="ListParagraph"/>
        <w:numPr>
          <w:ilvl w:val="0"/>
          <w:numId w:val="7"/>
        </w:numPr>
      </w:pPr>
      <w:r>
        <w:t>B</w:t>
      </w:r>
      <w:r w:rsidR="0055686B" w:rsidRPr="0001434F">
        <w:t xml:space="preserve">uild and sustain </w:t>
      </w:r>
      <w:r w:rsidR="0055686B">
        <w:t xml:space="preserve">workforce </w:t>
      </w:r>
      <w:r w:rsidR="0055686B" w:rsidRPr="0001434F">
        <w:t xml:space="preserve">capability so that our people have the skills and knowledge to deliver the </w:t>
      </w:r>
      <w:r w:rsidR="0055686B">
        <w:t>NDIS</w:t>
      </w:r>
      <w:r>
        <w:t>.</w:t>
      </w:r>
      <w:r w:rsidR="000B268B">
        <w:t xml:space="preserve"> </w:t>
      </w:r>
    </w:p>
    <w:p w14:paraId="52E34309" w14:textId="6B282995" w:rsidR="0055686B" w:rsidRPr="0001434F" w:rsidRDefault="00AA4B8A" w:rsidP="00562112">
      <w:pPr>
        <w:pStyle w:val="ListParagraph"/>
        <w:numPr>
          <w:ilvl w:val="0"/>
          <w:numId w:val="7"/>
        </w:numPr>
      </w:pPr>
      <w:r>
        <w:t>E</w:t>
      </w:r>
      <w:r w:rsidR="0055686B" w:rsidRPr="0001434F">
        <w:t>nhance health, safety and wellbeing initiatives so that</w:t>
      </w:r>
      <w:r w:rsidR="0055686B">
        <w:t xml:space="preserve"> our</w:t>
      </w:r>
      <w:r w:rsidR="0055686B" w:rsidRPr="0001434F">
        <w:t xml:space="preserve"> people feel safe and supported at work</w:t>
      </w:r>
      <w:r>
        <w:t>.</w:t>
      </w:r>
      <w:r w:rsidR="000B268B">
        <w:t xml:space="preserve"> </w:t>
      </w:r>
    </w:p>
    <w:p w14:paraId="738FA0F5" w14:textId="3F7891A6" w:rsidR="0055686B" w:rsidRPr="00E50A54" w:rsidRDefault="00AA4B8A" w:rsidP="00562112">
      <w:pPr>
        <w:pStyle w:val="ListParagraph"/>
        <w:numPr>
          <w:ilvl w:val="0"/>
          <w:numId w:val="11"/>
        </w:numPr>
        <w:spacing w:after="0"/>
        <w:ind w:left="714" w:hanging="357"/>
        <w:contextualSpacing w:val="0"/>
        <w:rPr>
          <w:rFonts w:ascii="Calibri" w:hAnsi="Calibri"/>
          <w:szCs w:val="22"/>
          <w:lang w:eastAsia="zh-CN"/>
        </w:rPr>
      </w:pPr>
      <w:r>
        <w:t>C</w:t>
      </w:r>
      <w:r w:rsidR="0055686B" w:rsidRPr="0001434F">
        <w:t>ham</w:t>
      </w:r>
      <w:r w:rsidR="0055686B">
        <w:t xml:space="preserve">pion disability employment </w:t>
      </w:r>
      <w:r w:rsidR="00B0313F">
        <w:t>by improving the experience of existing staff with disability; and increasing the employment of people with disability</w:t>
      </w:r>
      <w:r>
        <w:t>.</w:t>
      </w:r>
      <w:r w:rsidR="00B0313F">
        <w:t xml:space="preserve"> </w:t>
      </w:r>
    </w:p>
    <w:p w14:paraId="681EDE66" w14:textId="77777777" w:rsidR="00286D63" w:rsidRDefault="00286D63">
      <w:pPr>
        <w:spacing w:after="0" w:line="240" w:lineRule="auto"/>
        <w:rPr>
          <w:b/>
        </w:rPr>
      </w:pPr>
      <w:bookmarkStart w:id="102" w:name="_Toc77690781"/>
      <w:bookmarkStart w:id="103" w:name="_Toc272222553"/>
      <w:r>
        <w:rPr>
          <w:b/>
        </w:rPr>
        <w:br w:type="page"/>
      </w:r>
    </w:p>
    <w:p w14:paraId="0346D197" w14:textId="7ED030DC" w:rsidR="0055686B" w:rsidRPr="00293B0B" w:rsidRDefault="0055686B" w:rsidP="0055686B">
      <w:r w:rsidRPr="00293B0B">
        <w:rPr>
          <w:b/>
        </w:rPr>
        <w:t>Strategic goal 4.2:</w:t>
      </w:r>
      <w:r w:rsidRPr="00293B0B">
        <w:t xml:space="preserve"> Enhance efficiency and effectiveness of processes and systems</w:t>
      </w:r>
      <w:bookmarkEnd w:id="102"/>
      <w:bookmarkEnd w:id="103"/>
      <w:r w:rsidR="00AA4B8A">
        <w:t>.</w:t>
      </w:r>
      <w:r w:rsidR="000B268B">
        <w:t xml:space="preserve"> </w:t>
      </w:r>
    </w:p>
    <w:p w14:paraId="4EE33BDC" w14:textId="13EF7251" w:rsidR="0055686B" w:rsidRPr="00780FA0" w:rsidRDefault="00AA4B8A" w:rsidP="00562112">
      <w:pPr>
        <w:pStyle w:val="ListParagraph"/>
        <w:numPr>
          <w:ilvl w:val="0"/>
          <w:numId w:val="7"/>
        </w:numPr>
      </w:pPr>
      <w:r>
        <w:t>S</w:t>
      </w:r>
      <w:r w:rsidR="0055686B">
        <w:t>implify processes</w:t>
      </w:r>
      <w:r w:rsidR="0055686B" w:rsidRPr="00780FA0">
        <w:t xml:space="preserve"> for participants, frontl</w:t>
      </w:r>
      <w:r w:rsidR="0055686B">
        <w:t>ine staff and service providers through enhanced digital services</w:t>
      </w:r>
      <w:r>
        <w:t>.</w:t>
      </w:r>
      <w:r w:rsidR="000B268B">
        <w:t xml:space="preserve"> </w:t>
      </w:r>
    </w:p>
    <w:p w14:paraId="7E7C54FE" w14:textId="18537C81" w:rsidR="0055686B" w:rsidRDefault="00AA4B8A" w:rsidP="00562112">
      <w:pPr>
        <w:pStyle w:val="ListParagraph"/>
        <w:numPr>
          <w:ilvl w:val="0"/>
          <w:numId w:val="7"/>
        </w:numPr>
      </w:pPr>
      <w:r>
        <w:t>I</w:t>
      </w:r>
      <w:r w:rsidR="0055686B">
        <w:t>mplement a new CRM system to support improved service experience for participants, providers and NDIA staff and partners</w:t>
      </w:r>
      <w:r>
        <w:t>.</w:t>
      </w:r>
      <w:r w:rsidR="0055686B">
        <w:t xml:space="preserve"> </w:t>
      </w:r>
    </w:p>
    <w:p w14:paraId="068D2396" w14:textId="640153C8" w:rsidR="007C0D29" w:rsidRDefault="00AA4B8A" w:rsidP="00562112">
      <w:pPr>
        <w:pStyle w:val="ListParagraph"/>
        <w:numPr>
          <w:ilvl w:val="0"/>
          <w:numId w:val="9"/>
        </w:numPr>
        <w:rPr>
          <w:sz w:val="20"/>
          <w:szCs w:val="20"/>
          <w:lang w:eastAsia="zh-CN"/>
        </w:rPr>
      </w:pPr>
      <w:r>
        <w:t>I</w:t>
      </w:r>
      <w:r w:rsidR="0055686B">
        <w:t xml:space="preserve">mprove </w:t>
      </w:r>
      <w:r w:rsidR="0055686B" w:rsidRPr="00780FA0">
        <w:t xml:space="preserve">our </w:t>
      </w:r>
      <w:r w:rsidR="0055686B">
        <w:t>payments and claims capability for participants</w:t>
      </w:r>
      <w:r w:rsidR="0015123C">
        <w:t xml:space="preserve"> and providers</w:t>
      </w:r>
      <w:r w:rsidR="007C0D29" w:rsidRPr="007C0D29">
        <w:rPr>
          <w:lang w:eastAsia="zh-CN"/>
        </w:rPr>
        <w:t xml:space="preserve"> </w:t>
      </w:r>
      <w:r w:rsidR="007C0D29">
        <w:rPr>
          <w:lang w:eastAsia="zh-CN"/>
        </w:rPr>
        <w:t>by delivering new claims at Point of Support (POS) technology, offering participants and providers a faster, simpler way to make claim transactions in real-time</w:t>
      </w:r>
      <w:r>
        <w:rPr>
          <w:lang w:eastAsia="zh-CN"/>
        </w:rPr>
        <w:t>.</w:t>
      </w:r>
      <w:r w:rsidR="000B268B">
        <w:rPr>
          <w:lang w:eastAsia="zh-CN"/>
        </w:rPr>
        <w:t xml:space="preserve"> </w:t>
      </w:r>
    </w:p>
    <w:p w14:paraId="536683D4" w14:textId="781ED29A" w:rsidR="0055686B" w:rsidRDefault="00AA4B8A" w:rsidP="00562112">
      <w:pPr>
        <w:pStyle w:val="ListParagraph"/>
        <w:numPr>
          <w:ilvl w:val="0"/>
          <w:numId w:val="7"/>
        </w:numPr>
      </w:pPr>
      <w:r>
        <w:t>E</w:t>
      </w:r>
      <w:r w:rsidR="0055686B">
        <w:t>nhance operational guidelines and support materials to assist front-line staff and partners deliver a quality experience and better outcomes</w:t>
      </w:r>
      <w:r>
        <w:t>.</w:t>
      </w:r>
      <w:r w:rsidR="0055686B">
        <w:t xml:space="preserve"> </w:t>
      </w:r>
    </w:p>
    <w:p w14:paraId="58A03EFE" w14:textId="21F80F00" w:rsidR="00547B3E" w:rsidRDefault="00AA4B8A" w:rsidP="00562112">
      <w:pPr>
        <w:pStyle w:val="ListParagraph"/>
        <w:numPr>
          <w:ilvl w:val="0"/>
          <w:numId w:val="7"/>
        </w:numPr>
      </w:pPr>
      <w:r>
        <w:t>I</w:t>
      </w:r>
      <w:r w:rsidR="0055686B" w:rsidRPr="00B93927">
        <w:t>mprove our staff and partners' capability and adherence with operational systems and processes</w:t>
      </w:r>
      <w:r w:rsidR="00A44709">
        <w:t>.</w:t>
      </w:r>
      <w:r w:rsidR="000B268B">
        <w:t xml:space="preserve"> </w:t>
      </w:r>
    </w:p>
    <w:p w14:paraId="042177AC" w14:textId="19D1D4F5" w:rsidR="004D2734" w:rsidRDefault="004D2734" w:rsidP="00FD5D7F">
      <w:pPr>
        <w:pStyle w:val="Heading3"/>
      </w:pPr>
      <w:bookmarkStart w:id="104" w:name="_Toc38461574"/>
      <w:bookmarkStart w:id="105" w:name="_Toc77690782"/>
      <w:bookmarkStart w:id="106" w:name="_Toc2029443033"/>
      <w:bookmarkStart w:id="107" w:name="_Toc76038771"/>
      <w:bookmarkStart w:id="108" w:name="_Toc80953523"/>
      <w:bookmarkStart w:id="109" w:name="_Toc99617121"/>
      <w:r w:rsidRPr="004D2734">
        <w:t>Aspiration 5 – A financially sustainable</w:t>
      </w:r>
      <w:bookmarkEnd w:id="104"/>
      <w:r w:rsidRPr="004D2734">
        <w:t xml:space="preserve"> NDI</w:t>
      </w:r>
      <w:bookmarkEnd w:id="105"/>
      <w:bookmarkEnd w:id="106"/>
      <w:r w:rsidRPr="004D2734">
        <w:t>S</w:t>
      </w:r>
      <w:bookmarkEnd w:id="107"/>
      <w:bookmarkEnd w:id="108"/>
      <w:bookmarkEnd w:id="109"/>
      <w:r w:rsidR="000B268B">
        <w:t xml:space="preserve"> </w:t>
      </w:r>
    </w:p>
    <w:p w14:paraId="1E2F8E2B" w14:textId="7E57D4AE" w:rsidR="00F03C28" w:rsidRDefault="00F03C28" w:rsidP="00F03C28">
      <w:pPr>
        <w:pStyle w:val="Heading4"/>
        <w:ind w:left="0" w:firstLine="0"/>
      </w:pPr>
      <w:bookmarkStart w:id="110" w:name="_Toc38461575"/>
      <w:r>
        <w:t>Deliver a financially sustainable Scheme, based on insurance principles.</w:t>
      </w:r>
    </w:p>
    <w:p w14:paraId="6B798512" w14:textId="4C48C161" w:rsidR="003C3E16" w:rsidRPr="00B50916" w:rsidRDefault="00900920" w:rsidP="003C3E16">
      <w:r w:rsidRPr="00900920">
        <w:t xml:space="preserve">The NDIA is committed to ensuring that access and planning decisions are fair and equitable, and that the NDIS is financially sustainable and managed in line with </w:t>
      </w:r>
      <w:r w:rsidR="007204FF">
        <w:t xml:space="preserve">PGPA </w:t>
      </w:r>
      <w:r w:rsidR="003F4BE0">
        <w:t>Act requirements</w:t>
      </w:r>
      <w:r w:rsidR="002B60EA">
        <w:t>.</w:t>
      </w:r>
      <w:r w:rsidR="003C3E16" w:rsidRPr="00B50916">
        <w:t xml:space="preserve"> We will achieve this through deep engagement with people with </w:t>
      </w:r>
      <w:r w:rsidR="0071566E">
        <w:t>lived experience</w:t>
      </w:r>
      <w:r w:rsidR="003C3E16" w:rsidRPr="00B50916">
        <w:t>, the sector</w:t>
      </w:r>
      <w:r w:rsidR="0071566E">
        <w:t xml:space="preserve">, </w:t>
      </w:r>
      <w:r w:rsidR="003C3E16" w:rsidRPr="00B50916">
        <w:t>state and territory governments to develop a new person-</w:t>
      </w:r>
      <w:r w:rsidR="003C3E16" w:rsidRPr="003206BC">
        <w:t>centred</w:t>
      </w:r>
      <w:r w:rsidR="003C3E16" w:rsidRPr="00B50916">
        <w:t xml:space="preserve"> model to support access and planning</w:t>
      </w:r>
      <w:r w:rsidR="00267131">
        <w:t xml:space="preserve"> decisions</w:t>
      </w:r>
      <w:r w:rsidR="003C3E16" w:rsidRPr="00B50916">
        <w:t>, consistent with the legislative requirements as set out in the NDIS Act.</w:t>
      </w:r>
      <w:r w:rsidR="000B268B">
        <w:t xml:space="preserve"> </w:t>
      </w:r>
    </w:p>
    <w:p w14:paraId="155CCA62" w14:textId="691E35BA" w:rsidR="003E0E24" w:rsidRPr="003E0E24" w:rsidRDefault="003E0E24" w:rsidP="003E0E24">
      <w:r w:rsidRPr="003E0E24">
        <w:rPr>
          <w:b/>
        </w:rPr>
        <w:t>A financially sustainable Scheme</w:t>
      </w:r>
      <w:r w:rsidRPr="003E0E24">
        <w:t xml:space="preserve"> achieves participant outcomes across their </w:t>
      </w:r>
      <w:proofErr w:type="gramStart"/>
      <w:r w:rsidRPr="003E0E24">
        <w:t>lifetime, and</w:t>
      </w:r>
      <w:proofErr w:type="gramEnd"/>
      <w:r w:rsidRPr="003E0E24">
        <w:t xml:space="preserve"> is affordable now and into the future.</w:t>
      </w:r>
      <w:r w:rsidR="000B268B">
        <w:t xml:space="preserve"> </w:t>
      </w:r>
    </w:p>
    <w:p w14:paraId="23CCC142" w14:textId="5ABC5933" w:rsidR="003C3E16" w:rsidRDefault="00321A19" w:rsidP="003C3E16">
      <w:r>
        <w:t xml:space="preserve">Demand for the Scheme </w:t>
      </w:r>
      <w:r w:rsidR="008D554C">
        <w:t xml:space="preserve">and the subsequent estimated costs are influenced by a number of factors. </w:t>
      </w:r>
      <w:r w:rsidR="003C3E16">
        <w:t xml:space="preserve">Demand is currently being driven by an increase in the number of participants and the increasing cost of participant plans. </w:t>
      </w:r>
      <w:r w:rsidR="008D554C">
        <w:t>A</w:t>
      </w:r>
      <w:r w:rsidR="003C3E16">
        <w:t xml:space="preserve">ctuarial </w:t>
      </w:r>
      <w:r w:rsidR="00E2207C">
        <w:t xml:space="preserve">analysis </w:t>
      </w:r>
      <w:r w:rsidR="003C3E16">
        <w:t>and appl</w:t>
      </w:r>
      <w:r w:rsidR="008D554C">
        <w:t>ication of</w:t>
      </w:r>
      <w:r w:rsidR="003C3E16">
        <w:t xml:space="preserve"> insurance </w:t>
      </w:r>
      <w:r w:rsidR="00643EC7">
        <w:t xml:space="preserve">principles, </w:t>
      </w:r>
      <w:r w:rsidR="008D554C">
        <w:t xml:space="preserve">assists </w:t>
      </w:r>
      <w:r w:rsidR="00643EC7">
        <w:t>the</w:t>
      </w:r>
      <w:r w:rsidR="003C3E16">
        <w:t xml:space="preserve"> Agency to monitor and manage the Scheme</w:t>
      </w:r>
      <w:r w:rsidR="006671FA">
        <w:t xml:space="preserve"> consistent with PG</w:t>
      </w:r>
      <w:r w:rsidR="00D72D69">
        <w:t>P</w:t>
      </w:r>
      <w:r w:rsidR="006671FA">
        <w:t xml:space="preserve">A </w:t>
      </w:r>
      <w:r w:rsidR="00D72D69">
        <w:t>Act Requirements</w:t>
      </w:r>
      <w:r w:rsidR="00F30CF2">
        <w:t>.</w:t>
      </w:r>
      <w:r w:rsidR="003C3E16">
        <w:t xml:space="preserve"> </w:t>
      </w:r>
      <w:r w:rsidR="008D554C">
        <w:t>within agreed funding</w:t>
      </w:r>
      <w:r w:rsidR="003C3E16">
        <w:t xml:space="preserve">. </w:t>
      </w:r>
      <w:r w:rsidR="003C3E16" w:rsidRPr="001C5629">
        <w:t>This includes investing in participants in the short term to provide better outcomes over their lifetime, as well as to reduce the long</w:t>
      </w:r>
      <w:r w:rsidR="00103608">
        <w:t>-</w:t>
      </w:r>
      <w:r w:rsidR="003C3E16" w:rsidRPr="001C5629">
        <w:t>term costs of disability support.</w:t>
      </w:r>
      <w:r w:rsidR="003C3E16">
        <w:t xml:space="preserve"> </w:t>
      </w:r>
    </w:p>
    <w:p w14:paraId="14FFF528" w14:textId="6658B2C1" w:rsidR="003C3E16" w:rsidRDefault="003C3E16" w:rsidP="003C3E16">
      <w:pPr>
        <w:rPr>
          <w:rFonts w:cs="Arial"/>
          <w:color w:val="2C2A29"/>
          <w:sz w:val="20"/>
          <w:szCs w:val="20"/>
        </w:rPr>
      </w:pPr>
      <w:r w:rsidRPr="001C5629">
        <w:t xml:space="preserve">The achievement of </w:t>
      </w:r>
      <w:r>
        <w:t xml:space="preserve">continued </w:t>
      </w:r>
      <w:r w:rsidRPr="001C5629">
        <w:t>participant outcomes</w:t>
      </w:r>
      <w:r>
        <w:t>, greater inclusion and participation not only have a significant benefit for participants but are</w:t>
      </w:r>
      <w:r w:rsidRPr="001C5629">
        <w:t xml:space="preserve"> vital to the financial sustainability of the</w:t>
      </w:r>
      <w:r>
        <w:t xml:space="preserve"> NDIS.</w:t>
      </w:r>
      <w:r w:rsidRPr="316DB90E">
        <w:rPr>
          <w:rFonts w:cs="Arial"/>
          <w:color w:val="2C2A29"/>
          <w:sz w:val="20"/>
          <w:szCs w:val="20"/>
        </w:rPr>
        <w:t xml:space="preserve"> </w:t>
      </w:r>
    </w:p>
    <w:p w14:paraId="3A6CBAA7" w14:textId="12EFDA00" w:rsidR="00D73519" w:rsidRPr="00785712" w:rsidRDefault="003C3E16" w:rsidP="00785712">
      <w:pPr>
        <w:rPr>
          <w:rFonts w:eastAsia="Arial Unicode MS" w:cs="Arial"/>
          <w:color w:val="0432FF"/>
          <w:u w:val="single"/>
        </w:rPr>
      </w:pPr>
      <w:r>
        <w:t xml:space="preserve">The Agency publishes quarterly reports which outline participant outcomes, Agency performance and ongoing information about the sustainability of the Scheme. </w:t>
      </w:r>
      <w:r w:rsidR="00A44709">
        <w:t>A</w:t>
      </w:r>
      <w:r>
        <w:t xml:space="preserve"> longer</w:t>
      </w:r>
      <w:r w:rsidR="00AA4B8A">
        <w:t>-</w:t>
      </w:r>
      <w:r>
        <w:t xml:space="preserve">term outlook on the sustainability of the </w:t>
      </w:r>
      <w:r w:rsidR="00785712">
        <w:t xml:space="preserve">Scheme </w:t>
      </w:r>
      <w:r>
        <w:t xml:space="preserve">is provided </w:t>
      </w:r>
      <w:r w:rsidR="00A44709">
        <w:t xml:space="preserve">in </w:t>
      </w:r>
      <w:r>
        <w:t>the Annual Financial Sustainability Report</w:t>
      </w:r>
      <w:r w:rsidR="00A44709">
        <w:t>. This report</w:t>
      </w:r>
      <w:r>
        <w:t xml:space="preserve"> is independently verified by the </w:t>
      </w:r>
      <w:r w:rsidRPr="00D80095">
        <w:t xml:space="preserve">Australian Government Actuary. </w:t>
      </w:r>
      <w:r w:rsidR="00A44709">
        <w:t>T</w:t>
      </w:r>
      <w:r>
        <w:t xml:space="preserve">hese reports are available on the </w:t>
      </w:r>
      <w:hyperlink r:id="rId31">
        <w:r w:rsidRPr="00A44709">
          <w:rPr>
            <w:rStyle w:val="Hyperlink"/>
            <w:rFonts w:eastAsia="Arial Unicode MS" w:cs="Arial"/>
          </w:rPr>
          <w:t>NDIS website.</w:t>
        </w:r>
      </w:hyperlink>
      <w:r w:rsidR="000B268B">
        <w:rPr>
          <w:rStyle w:val="Hyperlink"/>
          <w:rFonts w:eastAsia="Arial Unicode MS" w:cs="Arial"/>
        </w:rPr>
        <w:t xml:space="preserve"> </w:t>
      </w:r>
    </w:p>
    <w:p w14:paraId="784163B5" w14:textId="5275CC21" w:rsidR="003C3E16" w:rsidRDefault="003C3E16" w:rsidP="003C3E16">
      <w:r>
        <w:t>Ensuring the Scheme is protected from non-compliant and fraudulent practices requires vigilance and ongoing enhancements to our control environment. These enhancements protect Scheme funds and mean that funds can be better directed for participants to purchase the supports they genuinely need.</w:t>
      </w:r>
      <w:r w:rsidR="000B268B">
        <w:t xml:space="preserve"> </w:t>
      </w:r>
    </w:p>
    <w:p w14:paraId="7F9B0066" w14:textId="0C24F5C4" w:rsidR="003C3E16" w:rsidRDefault="003C3E16" w:rsidP="003C3E16">
      <w:r w:rsidRPr="00062CAF">
        <w:t>As the risks of cyber security</w:t>
      </w:r>
      <w:r w:rsidR="00B87EC8">
        <w:t xml:space="preserve"> breaches</w:t>
      </w:r>
      <w:r>
        <w:t>, scams</w:t>
      </w:r>
      <w:r w:rsidRPr="00062CAF">
        <w:t xml:space="preserve"> and fraudulent activity across the world grow, we will continue to deploy effective processes and systems to manage the integrity of the NDIS and maintain financial sustainability. This includes </w:t>
      </w:r>
      <w:r>
        <w:t>continued focus on</w:t>
      </w:r>
      <w:r w:rsidRPr="00062CAF">
        <w:t xml:space="preserve"> our fraud detection and risk control arrangements.</w:t>
      </w:r>
      <w:r w:rsidR="000B268B">
        <w:t xml:space="preserve"> </w:t>
      </w:r>
    </w:p>
    <w:p w14:paraId="786B4DC0" w14:textId="00F529A3" w:rsidR="003C3E16" w:rsidRDefault="003C3E16" w:rsidP="003C3E16">
      <w:r w:rsidRPr="00062CAF">
        <w:t>Our specific goals under this aspiration and examples of initiatives to achieve these goals are outlined below:</w:t>
      </w:r>
      <w:r w:rsidR="000B268B">
        <w:t xml:space="preserve"> </w:t>
      </w:r>
    </w:p>
    <w:p w14:paraId="4792B2F7" w14:textId="584B05FD" w:rsidR="003C3E16" w:rsidRPr="00C7570B" w:rsidRDefault="003C3E16" w:rsidP="003C3E16">
      <w:bookmarkStart w:id="111" w:name="_Toc77690783"/>
      <w:bookmarkStart w:id="112" w:name="_Toc1410605861"/>
      <w:r w:rsidRPr="00293B0B">
        <w:rPr>
          <w:b/>
        </w:rPr>
        <w:t>Strategic goal 5.1:</w:t>
      </w:r>
      <w:r w:rsidRPr="00C7570B">
        <w:t xml:space="preserve"> </w:t>
      </w:r>
      <w:bookmarkStart w:id="113" w:name="_Hlk107391068"/>
      <w:r w:rsidR="00ED6851" w:rsidRPr="00ED6851">
        <w:t>Ensure the NDIS is financially sustainable and represents value for money</w:t>
      </w:r>
      <w:r w:rsidR="00ED6851">
        <w:t xml:space="preserve">. </w:t>
      </w:r>
      <w:bookmarkEnd w:id="110"/>
      <w:bookmarkEnd w:id="111"/>
      <w:bookmarkEnd w:id="112"/>
      <w:bookmarkEnd w:id="113"/>
    </w:p>
    <w:p w14:paraId="2E4E0F65" w14:textId="5131A875" w:rsidR="00103608" w:rsidRDefault="00AA4B8A" w:rsidP="00562112">
      <w:pPr>
        <w:pStyle w:val="ListParagraph"/>
        <w:numPr>
          <w:ilvl w:val="0"/>
          <w:numId w:val="7"/>
        </w:numPr>
      </w:pPr>
      <w:r>
        <w:t>F</w:t>
      </w:r>
      <w:r w:rsidR="00103608" w:rsidRPr="004F69BF">
        <w:t>ocus on measuring the outcomes and benefits of a range of supports and services funded through the NDIA and explore new innovative approaches and technologies to benefit participant</w:t>
      </w:r>
      <w:r w:rsidR="00103608">
        <w:t xml:space="preserve">s using our </w:t>
      </w:r>
      <w:r w:rsidR="00103608" w:rsidRPr="00E3591F">
        <w:t>Research and Evaluation Strategy</w:t>
      </w:r>
      <w:r>
        <w:t>.</w:t>
      </w:r>
      <w:r w:rsidR="000B268B">
        <w:t xml:space="preserve"> </w:t>
      </w:r>
    </w:p>
    <w:p w14:paraId="61E87D14" w14:textId="65024481" w:rsidR="003C118E" w:rsidRPr="00596C0F" w:rsidRDefault="00AA4B8A" w:rsidP="00562112">
      <w:pPr>
        <w:pStyle w:val="ListParagraph"/>
        <w:numPr>
          <w:ilvl w:val="0"/>
          <w:numId w:val="7"/>
        </w:numPr>
      </w:pPr>
      <w:r>
        <w:t>S</w:t>
      </w:r>
      <w:r w:rsidR="00700E44" w:rsidRPr="00AE1413">
        <w:t xml:space="preserve">trengthen </w:t>
      </w:r>
      <w:r w:rsidR="003C118E" w:rsidRPr="00AE1413">
        <w:t>engagement with government</w:t>
      </w:r>
      <w:r w:rsidR="003F4E96">
        <w:t>s</w:t>
      </w:r>
      <w:r w:rsidR="003C118E" w:rsidRPr="00AE1413">
        <w:t xml:space="preserve"> to develop common understanding of </w:t>
      </w:r>
      <w:r w:rsidR="003C118E" w:rsidRPr="003F167C">
        <w:t>Scheme affordability considerations</w:t>
      </w:r>
      <w:r w:rsidR="003C118E" w:rsidRPr="00AE1413">
        <w:t xml:space="preserve">, </w:t>
      </w:r>
      <w:r w:rsidR="003C118E" w:rsidRPr="00DD3BC3">
        <w:t xml:space="preserve">ensuring the Agency is appropriately resourced </w:t>
      </w:r>
      <w:r w:rsidR="003C118E" w:rsidRPr="00596C0F">
        <w:t xml:space="preserve">to </w:t>
      </w:r>
      <w:r w:rsidR="003C118E" w:rsidRPr="00EA7CE6">
        <w:t>support quality outcomes</w:t>
      </w:r>
      <w:r w:rsidR="003C118E" w:rsidRPr="00596C0F">
        <w:t xml:space="preserve"> over the forward estimates</w:t>
      </w:r>
      <w:r>
        <w:t>.</w:t>
      </w:r>
      <w:r w:rsidR="000B268B">
        <w:t xml:space="preserve"> </w:t>
      </w:r>
    </w:p>
    <w:p w14:paraId="2F134FD1" w14:textId="2C65BB61" w:rsidR="003C118E" w:rsidRPr="001462AE" w:rsidRDefault="00AA4B8A" w:rsidP="00562112">
      <w:pPr>
        <w:pStyle w:val="ListParagraph"/>
        <w:numPr>
          <w:ilvl w:val="0"/>
          <w:numId w:val="7"/>
        </w:numPr>
      </w:pPr>
      <w:r>
        <w:t>S</w:t>
      </w:r>
      <w:r w:rsidR="00700E44" w:rsidRPr="001462AE">
        <w:t xml:space="preserve">treamline </w:t>
      </w:r>
      <w:r w:rsidR="003C118E" w:rsidRPr="001462AE">
        <w:t xml:space="preserve">initial and ongoing eligibility management and access decision making, </w:t>
      </w:r>
      <w:r w:rsidR="003C118E" w:rsidRPr="003F167C">
        <w:t>improving Agency efficiency</w:t>
      </w:r>
      <w:r w:rsidR="003C118E" w:rsidRPr="00AE1413">
        <w:t xml:space="preserve"> while delivering to our Participant Service </w:t>
      </w:r>
      <w:r w:rsidR="003C118E" w:rsidRPr="00DD3BC3">
        <w:t>Guarantee</w:t>
      </w:r>
      <w:r>
        <w:t>.</w:t>
      </w:r>
      <w:r w:rsidR="003C118E" w:rsidRPr="00DD3BC3">
        <w:t xml:space="preserve"> </w:t>
      </w:r>
    </w:p>
    <w:p w14:paraId="664E2581" w14:textId="230AF6EF" w:rsidR="00A02068" w:rsidRPr="007E0B61" w:rsidRDefault="00AA4B8A" w:rsidP="00562112">
      <w:pPr>
        <w:pStyle w:val="ListParagraph"/>
        <w:numPr>
          <w:ilvl w:val="0"/>
          <w:numId w:val="7"/>
        </w:numPr>
        <w:rPr>
          <w:rFonts w:ascii="Calibri" w:hAnsi="Calibri" w:cs="Calibri"/>
        </w:rPr>
      </w:pPr>
      <w:r>
        <w:t>C</w:t>
      </w:r>
      <w:r w:rsidR="003F4E96">
        <w:t>ontinue to publish Scheme data</w:t>
      </w:r>
      <w:r w:rsidR="00A02068">
        <w:t xml:space="preserve"> and </w:t>
      </w:r>
      <w:r w:rsidR="003206BC">
        <w:t>enhance the</w:t>
      </w:r>
      <w:r w:rsidR="00A02068">
        <w:t xml:space="preserve"> disability community</w:t>
      </w:r>
      <w:r w:rsidR="00666AD5">
        <w:t>’s</w:t>
      </w:r>
      <w:r w:rsidR="00A02068">
        <w:t xml:space="preserve"> awareness of evidence and insights</w:t>
      </w:r>
      <w:r>
        <w:t>.</w:t>
      </w:r>
      <w:r w:rsidR="000B268B">
        <w:t xml:space="preserve"> </w:t>
      </w:r>
    </w:p>
    <w:p w14:paraId="12E9DFD1" w14:textId="76B00224" w:rsidR="003C118E" w:rsidRPr="00E50A54" w:rsidRDefault="00AA4B8A" w:rsidP="00562112">
      <w:pPr>
        <w:pStyle w:val="ListParagraph"/>
        <w:numPr>
          <w:ilvl w:val="0"/>
          <w:numId w:val="7"/>
        </w:numPr>
        <w:rPr>
          <w:rFonts w:ascii="Calibri" w:hAnsi="Calibri" w:cs="Calibri"/>
        </w:rPr>
      </w:pPr>
      <w:r>
        <w:t>E</w:t>
      </w:r>
      <w:r w:rsidR="003C118E" w:rsidRPr="00AE1413">
        <w:t xml:space="preserve">ngage with the sector to develop </w:t>
      </w:r>
      <w:r w:rsidR="003C118E" w:rsidRPr="003F167C">
        <w:t>more effective supply</w:t>
      </w:r>
      <w:r w:rsidR="003C118E" w:rsidRPr="00AE1413">
        <w:t xml:space="preserve"> networks and promote innovation in disability services to </w:t>
      </w:r>
      <w:r w:rsidR="003C118E" w:rsidRPr="003F167C">
        <w:t>improve participant outcomes and affordability</w:t>
      </w:r>
      <w:r>
        <w:t>.</w:t>
      </w:r>
      <w:r w:rsidR="000B268B">
        <w:t xml:space="preserve"> </w:t>
      </w:r>
    </w:p>
    <w:p w14:paraId="5AB61A46" w14:textId="594F1EAE" w:rsidR="00E3591F" w:rsidRDefault="00AA4B8A" w:rsidP="00562112">
      <w:pPr>
        <w:pStyle w:val="ListParagraph"/>
        <w:numPr>
          <w:ilvl w:val="0"/>
          <w:numId w:val="7"/>
        </w:numPr>
      </w:pPr>
      <w:r>
        <w:t>F</w:t>
      </w:r>
      <w:r w:rsidR="00306C6C" w:rsidRPr="00E50A54">
        <w:t>urther clarify with governments what reasonable and necessary supports should be provided by the NDIS or other mainstream or community services.</w:t>
      </w:r>
      <w:r w:rsidR="000B268B">
        <w:t xml:space="preserve"> </w:t>
      </w:r>
    </w:p>
    <w:p w14:paraId="5234C6C1" w14:textId="204B72EE" w:rsidR="00031645" w:rsidRDefault="00AA4B8A" w:rsidP="00562112">
      <w:pPr>
        <w:pStyle w:val="ListParagraph"/>
        <w:numPr>
          <w:ilvl w:val="0"/>
          <w:numId w:val="7"/>
        </w:numPr>
      </w:pPr>
      <w:r>
        <w:t>I</w:t>
      </w:r>
      <w:r w:rsidR="00E3591F" w:rsidRPr="00E3591F">
        <w:t>nt</w:t>
      </w:r>
      <w:r w:rsidR="00E3591F">
        <w:t>ro</w:t>
      </w:r>
      <w:r w:rsidR="00E3591F" w:rsidRPr="00E3591F">
        <w:t>ducing</w:t>
      </w:r>
      <w:r w:rsidR="004F69BF" w:rsidRPr="004F69BF">
        <w:t xml:space="preserve"> </w:t>
      </w:r>
      <w:r w:rsidR="00274014">
        <w:t>analysis</w:t>
      </w:r>
      <w:r w:rsidR="00A647CA">
        <w:t xml:space="preserve"> on i</w:t>
      </w:r>
      <w:r w:rsidR="004F69BF" w:rsidRPr="004F69BF">
        <w:t xml:space="preserve">nvestment </w:t>
      </w:r>
      <w:r w:rsidR="00A647CA">
        <w:t>e</w:t>
      </w:r>
      <w:r w:rsidR="004F69BF" w:rsidRPr="004F69BF">
        <w:t xml:space="preserve">ffectiveness </w:t>
      </w:r>
      <w:r w:rsidR="00E3591F" w:rsidRPr="00E3591F">
        <w:t>to understand the relationship between expenditure and outcomes to quantify value delivered by the Scheme</w:t>
      </w:r>
      <w:r w:rsidR="00F307EE">
        <w:t>.</w:t>
      </w:r>
      <w:r w:rsidR="000B268B">
        <w:t xml:space="preserve"> </w:t>
      </w:r>
    </w:p>
    <w:p w14:paraId="0984D3C7" w14:textId="77777777" w:rsidR="00031645" w:rsidRDefault="00031645">
      <w:pPr>
        <w:spacing w:after="0" w:line="240" w:lineRule="auto"/>
      </w:pPr>
      <w:r>
        <w:br w:type="page"/>
      </w:r>
    </w:p>
    <w:p w14:paraId="6900F33B" w14:textId="2B93D527" w:rsidR="003C3E16" w:rsidRDefault="003C3E16" w:rsidP="003C3E16">
      <w:bookmarkStart w:id="114" w:name="_Toc77690784"/>
      <w:bookmarkStart w:id="115" w:name="_Toc2085638537"/>
      <w:r w:rsidRPr="00D732A6">
        <w:rPr>
          <w:b/>
        </w:rPr>
        <w:t xml:space="preserve">Strategic goal 5.2: </w:t>
      </w:r>
      <w:r>
        <w:t>Continued focus on</w:t>
      </w:r>
      <w:r w:rsidRPr="00C7570B">
        <w:t xml:space="preserve"> the control environment to </w:t>
      </w:r>
      <w:r>
        <w:t>protect the Scheme from non-compliant and fraudulent practices</w:t>
      </w:r>
      <w:r w:rsidR="00AA4B8A">
        <w:t>.</w:t>
      </w:r>
      <w:r w:rsidR="000B268B">
        <w:t xml:space="preserve"> </w:t>
      </w:r>
    </w:p>
    <w:bookmarkEnd w:id="114"/>
    <w:bookmarkEnd w:id="115"/>
    <w:p w14:paraId="64801844" w14:textId="61650046" w:rsidR="003C3E16" w:rsidRDefault="00AA4B8A" w:rsidP="00562112">
      <w:pPr>
        <w:pStyle w:val="ListParagraph"/>
        <w:numPr>
          <w:ilvl w:val="0"/>
          <w:numId w:val="7"/>
        </w:numPr>
      </w:pPr>
      <w:r>
        <w:t>I</w:t>
      </w:r>
      <w:r w:rsidR="003C3E16">
        <w:t>ncrease the use of data analytics to predict and respond to non-compliant and potentially fraudulent behaviour</w:t>
      </w:r>
      <w:r>
        <w:t>.</w:t>
      </w:r>
      <w:r w:rsidR="000B268B">
        <w:t xml:space="preserve"> </w:t>
      </w:r>
    </w:p>
    <w:p w14:paraId="212FCFE2" w14:textId="74F38AC7" w:rsidR="003C3E16" w:rsidRPr="00F92C04" w:rsidRDefault="00AA4B8A" w:rsidP="00562112">
      <w:pPr>
        <w:pStyle w:val="ListParagraph"/>
        <w:numPr>
          <w:ilvl w:val="0"/>
          <w:numId w:val="7"/>
        </w:numPr>
      </w:pPr>
      <w:r>
        <w:t>C</w:t>
      </w:r>
      <w:r w:rsidR="003C3E16">
        <w:t>ontinued focus on fraud, integrity, compensation and debt recovery practices</w:t>
      </w:r>
      <w:r w:rsidR="000B268B">
        <w:t xml:space="preserve">. </w:t>
      </w:r>
    </w:p>
    <w:p w14:paraId="4246C926" w14:textId="3E1FD806" w:rsidR="00732CF0" w:rsidRDefault="00AA4B8A" w:rsidP="00562112">
      <w:pPr>
        <w:pStyle w:val="ListParagraph"/>
        <w:numPr>
          <w:ilvl w:val="0"/>
          <w:numId w:val="7"/>
        </w:numPr>
      </w:pPr>
      <w:r>
        <w:t>S</w:t>
      </w:r>
      <w:r w:rsidR="003C3E16">
        <w:t>trengthen controls to ensure risk management processes are effective, reliable and consistent</w:t>
      </w:r>
      <w:r w:rsidR="00A44709">
        <w:t>.</w:t>
      </w:r>
      <w:r w:rsidR="000B268B">
        <w:t xml:space="preserve"> </w:t>
      </w:r>
    </w:p>
    <w:p w14:paraId="16F5A39C" w14:textId="77777777" w:rsidR="00F86C7A" w:rsidRDefault="00F86C7A" w:rsidP="00DF4DCE">
      <w:pPr>
        <w:rPr>
          <w:color w:val="6B2976"/>
          <w:sz w:val="44"/>
          <w:szCs w:val="26"/>
        </w:rPr>
      </w:pPr>
      <w:bookmarkStart w:id="116" w:name="_Toc76038754"/>
      <w:bookmarkStart w:id="117" w:name="_Toc99617122"/>
      <w:bookmarkEnd w:id="116"/>
      <w:r>
        <w:br w:type="page"/>
      </w:r>
    </w:p>
    <w:p w14:paraId="73B96468" w14:textId="2D7FB2A8" w:rsidR="00176CE8" w:rsidRDefault="00176CE8" w:rsidP="00176CE8">
      <w:pPr>
        <w:pStyle w:val="Heading2"/>
      </w:pPr>
      <w:r>
        <w:t xml:space="preserve">Performance </w:t>
      </w:r>
      <w:r w:rsidR="000F17B9">
        <w:t>m</w:t>
      </w:r>
      <w:r>
        <w:t xml:space="preserve">easures and </w:t>
      </w:r>
      <w:r w:rsidR="000F17B9">
        <w:t>t</w:t>
      </w:r>
      <w:r>
        <w:t>argets</w:t>
      </w:r>
      <w:bookmarkEnd w:id="117"/>
      <w:r w:rsidR="000B268B">
        <w:t xml:space="preserve"> </w:t>
      </w:r>
    </w:p>
    <w:p w14:paraId="2A4DCEDC" w14:textId="69ABF901" w:rsidR="00F86F4E" w:rsidRPr="008526FD" w:rsidRDefault="00F86F4E" w:rsidP="00CA07C2">
      <w:pPr>
        <w:rPr>
          <w:rFonts w:eastAsia="Arial Unicode MS" w:cs="Arial"/>
        </w:rPr>
      </w:pPr>
      <w:r w:rsidRPr="008526FD">
        <w:rPr>
          <w:rFonts w:eastAsia="Arial Unicode MS" w:cs="Arial"/>
        </w:rPr>
        <w:t>We measure our performance against our five Aspirations using the tables below.</w:t>
      </w:r>
      <w:r w:rsidR="000B268B">
        <w:rPr>
          <w:rFonts w:eastAsia="Arial Unicode MS" w:cs="Arial"/>
        </w:rPr>
        <w:t xml:space="preserve"> </w:t>
      </w:r>
    </w:p>
    <w:p w14:paraId="0605A91D" w14:textId="057C96ED" w:rsidR="00F86F4E" w:rsidRPr="008526FD" w:rsidRDefault="00F86F4E" w:rsidP="00CA07C2">
      <w:pPr>
        <w:rPr>
          <w:rFonts w:eastAsia="Arial Unicode MS" w:cs="Arial"/>
          <w:highlight w:val="yellow"/>
        </w:rPr>
      </w:pPr>
      <w:r w:rsidRPr="008526FD">
        <w:rPr>
          <w:rFonts w:eastAsia="Arial Unicode MS" w:cs="Arial"/>
        </w:rPr>
        <w:t>These measures are consistent with the previous Corporate Plan and there have been no additional measures added.</w:t>
      </w:r>
      <w:r w:rsidR="000B268B">
        <w:rPr>
          <w:rFonts w:eastAsia="Arial Unicode MS" w:cs="Arial"/>
        </w:rPr>
        <w:t xml:space="preserve"> </w:t>
      </w:r>
    </w:p>
    <w:p w14:paraId="22357330" w14:textId="17B6A35E" w:rsidR="00F86F4E" w:rsidRPr="008526FD" w:rsidRDefault="00F86F4E" w:rsidP="00CA07C2">
      <w:pPr>
        <w:rPr>
          <w:rFonts w:eastAsia="Arial Unicode MS" w:cs="Arial"/>
        </w:rPr>
      </w:pPr>
      <w:r w:rsidRPr="008526FD">
        <w:rPr>
          <w:rFonts w:eastAsia="Arial Unicode MS" w:cs="Arial"/>
        </w:rPr>
        <w:t>Our performance measures, latest results</w:t>
      </w:r>
      <w:r w:rsidR="00700E44">
        <w:rPr>
          <w:rFonts w:eastAsia="Arial Unicode MS" w:cs="Arial"/>
        </w:rPr>
        <w:t xml:space="preserve"> and </w:t>
      </w:r>
      <w:r w:rsidRPr="008526FD">
        <w:rPr>
          <w:rFonts w:eastAsia="Arial Unicode MS" w:cs="Arial"/>
        </w:rPr>
        <w:t>targets for 2022</w:t>
      </w:r>
      <w:r w:rsidR="00E65367">
        <w:t>–</w:t>
      </w:r>
      <w:r w:rsidRPr="008526FD">
        <w:rPr>
          <w:rFonts w:eastAsia="Arial Unicode MS" w:cs="Arial"/>
        </w:rPr>
        <w:t xml:space="preserve">23 and the following </w:t>
      </w:r>
      <w:r w:rsidR="00F307EE">
        <w:rPr>
          <w:rFonts w:eastAsia="Arial Unicode MS" w:cs="Arial"/>
        </w:rPr>
        <w:t>three</w:t>
      </w:r>
      <w:r w:rsidRPr="008526FD">
        <w:rPr>
          <w:rFonts w:eastAsia="Arial Unicode MS" w:cs="Arial"/>
        </w:rPr>
        <w:t xml:space="preserve"> years are outlined in the tables below.</w:t>
      </w:r>
      <w:r w:rsidR="000B268B">
        <w:rPr>
          <w:rFonts w:eastAsia="Arial Unicode MS" w:cs="Arial"/>
        </w:rPr>
        <w:t xml:space="preserve"> </w:t>
      </w:r>
    </w:p>
    <w:p w14:paraId="7790AE02" w14:textId="54A61980" w:rsidR="00F86F4E" w:rsidRPr="0057053E" w:rsidRDefault="00F86F4E" w:rsidP="00FD5D7F">
      <w:pPr>
        <w:pStyle w:val="Heading3"/>
        <w:rPr>
          <w:bCs/>
          <w:sz w:val="28"/>
          <w:szCs w:val="28"/>
        </w:rPr>
      </w:pPr>
      <w:bookmarkStart w:id="118" w:name="_Toc98251628"/>
      <w:bookmarkStart w:id="119" w:name="_Toc98252185"/>
      <w:bookmarkStart w:id="120" w:name="_Toc98252459"/>
      <w:bookmarkStart w:id="121" w:name="_Toc99463596"/>
      <w:bookmarkStart w:id="122" w:name="_Toc99617123"/>
      <w:r>
        <w:t>Table 1</w:t>
      </w:r>
      <w:r w:rsidRPr="0011063B">
        <w:t xml:space="preserve">. Participant and </w:t>
      </w:r>
      <w:r w:rsidR="009B6051">
        <w:t>s</w:t>
      </w:r>
      <w:r w:rsidRPr="0011063B">
        <w:t>cheme outcomes</w:t>
      </w:r>
      <w:bookmarkEnd w:id="118"/>
      <w:bookmarkEnd w:id="119"/>
      <w:bookmarkEnd w:id="120"/>
      <w:bookmarkEnd w:id="121"/>
      <w:bookmarkEnd w:id="122"/>
      <w:r w:rsidR="000B268B">
        <w:t xml:space="preserve"> </w:t>
      </w:r>
    </w:p>
    <w:tbl>
      <w:tblPr>
        <w:tblW w:w="5000" w:type="pct"/>
        <w:tblLayout w:type="fixed"/>
        <w:tblCellMar>
          <w:top w:w="144" w:type="dxa"/>
          <w:left w:w="144" w:type="dxa"/>
          <w:bottom w:w="144" w:type="dxa"/>
          <w:right w:w="144" w:type="dxa"/>
        </w:tblCellMar>
        <w:tblLook w:val="0420" w:firstRow="1" w:lastRow="0" w:firstColumn="0" w:lastColumn="0" w:noHBand="0" w:noVBand="1"/>
        <w:tblCaption w:val="Participant and Scheme outcomes"/>
        <w:tblDescription w:val="This table outlines performance metrics FY21 Q3, FY22 Targets and long –term aspirations."/>
      </w:tblPr>
      <w:tblGrid>
        <w:gridCol w:w="905"/>
        <w:gridCol w:w="2156"/>
        <w:gridCol w:w="1619"/>
        <w:gridCol w:w="1260"/>
        <w:gridCol w:w="1080"/>
        <w:gridCol w:w="2006"/>
      </w:tblGrid>
      <w:tr w:rsidR="000F35AD" w:rsidRPr="00316D43" w14:paraId="6BC100BC" w14:textId="77777777" w:rsidTr="00B4336E">
        <w:trPr>
          <w:trHeight w:val="603"/>
        </w:trPr>
        <w:tc>
          <w:tcPr>
            <w:tcW w:w="501" w:type="pct"/>
            <w:tcBorders>
              <w:top w:val="nil"/>
              <w:left w:val="nil"/>
              <w:bottom w:val="single" w:sz="4" w:space="0" w:color="000000" w:themeColor="text1"/>
              <w:right w:val="nil"/>
            </w:tcBorders>
            <w:shd w:val="clear" w:color="auto" w:fill="6A2875"/>
            <w:vAlign w:val="bottom"/>
          </w:tcPr>
          <w:p w14:paraId="6AA0DEB0" w14:textId="3F4F567A"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w:t>
            </w:r>
          </w:p>
        </w:tc>
        <w:tc>
          <w:tcPr>
            <w:tcW w:w="1194" w:type="pct"/>
            <w:tcBorders>
              <w:top w:val="nil"/>
              <w:left w:val="nil"/>
              <w:bottom w:val="single" w:sz="4" w:space="0" w:color="000000" w:themeColor="text1"/>
              <w:right w:val="nil"/>
            </w:tcBorders>
            <w:shd w:val="clear" w:color="auto" w:fill="6A2875"/>
            <w:tcMar>
              <w:top w:w="9" w:type="dxa"/>
              <w:left w:w="34" w:type="dxa"/>
              <w:bottom w:w="9" w:type="dxa"/>
              <w:right w:w="34" w:type="dxa"/>
            </w:tcMar>
            <w:vAlign w:val="bottom"/>
            <w:hideMark/>
          </w:tcPr>
          <w:p w14:paraId="388BEC97"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What will be measured</w:t>
            </w:r>
          </w:p>
        </w:tc>
        <w:tc>
          <w:tcPr>
            <w:tcW w:w="897" w:type="pct"/>
            <w:tcBorders>
              <w:top w:val="nil"/>
              <w:left w:val="nil"/>
              <w:bottom w:val="single" w:sz="4" w:space="0" w:color="000000" w:themeColor="text1"/>
              <w:right w:val="nil"/>
            </w:tcBorders>
            <w:shd w:val="clear" w:color="auto" w:fill="6A2875"/>
            <w:vAlign w:val="bottom"/>
          </w:tcPr>
          <w:p w14:paraId="6B0030D9" w14:textId="40393C8D"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Aspiration</w:t>
            </w:r>
          </w:p>
        </w:tc>
        <w:tc>
          <w:tcPr>
            <w:tcW w:w="6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015EE66D" w14:textId="6ED4B9CC"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2021-22 Actual</w:t>
            </w:r>
          </w:p>
        </w:tc>
        <w:tc>
          <w:tcPr>
            <w:tcW w:w="5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30BAA529"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2022-23 Target</w:t>
            </w:r>
          </w:p>
        </w:tc>
        <w:tc>
          <w:tcPr>
            <w:tcW w:w="111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035EED44" w14:textId="3ECA245A"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 xml:space="preserve">2023-24 to </w:t>
            </w:r>
            <w:r w:rsidR="00563995">
              <w:rPr>
                <w:rFonts w:eastAsia="Arial Unicode MS" w:cs="Arial"/>
                <w:b/>
                <w:bCs/>
                <w:color w:val="FFFFFF" w:themeColor="background1"/>
              </w:rPr>
              <w:br/>
            </w:r>
            <w:r w:rsidRPr="00316D43">
              <w:rPr>
                <w:rFonts w:eastAsia="Arial Unicode MS" w:cs="Arial"/>
                <w:b/>
                <w:bCs/>
                <w:color w:val="FFFFFF" w:themeColor="background1"/>
              </w:rPr>
              <w:t>2025-26 Targets</w:t>
            </w:r>
          </w:p>
        </w:tc>
      </w:tr>
      <w:tr w:rsidR="00D41CE6" w:rsidRPr="00316D43" w14:paraId="0581DB7C" w14:textId="77777777" w:rsidTr="00B4336E">
        <w:trPr>
          <w:trHeight w:val="377"/>
        </w:trPr>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6293D" w14:textId="77777777" w:rsidR="00F86F4E" w:rsidRPr="00316D43" w:rsidRDefault="00F86F4E" w:rsidP="00CF68F0">
            <w:pPr>
              <w:spacing w:after="0"/>
              <w:jc w:val="center"/>
              <w:rPr>
                <w:rFonts w:eastAsia="Arial Unicode MS" w:cs="Arial"/>
              </w:rPr>
            </w:pPr>
            <w:r w:rsidRPr="00316D43">
              <w:rPr>
                <w:rFonts w:eastAsia="Arial Unicode MS" w:cs="Arial"/>
              </w:rPr>
              <w:t>1.1</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CA8F1D6" w14:textId="77777777" w:rsidR="00F86F4E" w:rsidRPr="00316D43" w:rsidRDefault="00F86F4E" w:rsidP="00CF68F0">
            <w:pPr>
              <w:spacing w:after="0"/>
              <w:rPr>
                <w:rFonts w:eastAsia="Arial Unicode MS" w:cs="Arial"/>
              </w:rPr>
            </w:pPr>
            <w:r w:rsidRPr="00316D43">
              <w:rPr>
                <w:rFonts w:eastAsia="Arial Unicode MS" w:cs="Arial"/>
              </w:rPr>
              <w:t>Participant employment rate (%)</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26F10" w14:textId="77777777" w:rsidR="00F86F4E" w:rsidRPr="00316D43" w:rsidRDefault="00F86F4E" w:rsidP="00CF68F0">
            <w:pPr>
              <w:spacing w:after="0"/>
              <w:jc w:val="center"/>
              <w:rPr>
                <w:rFonts w:eastAsia="Arial Unicode MS" w:cs="Arial"/>
              </w:rPr>
            </w:pPr>
            <w:r w:rsidRPr="00316D43">
              <w:rPr>
                <w:rFonts w:eastAsia="Arial Unicode MS" w:cs="Arial"/>
              </w:rPr>
              <w:t>1</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D7BAE3A" w14:textId="03C98D85" w:rsidR="00F86F4E" w:rsidRPr="00316D43" w:rsidRDefault="000944C2" w:rsidP="00CF68F0">
            <w:pPr>
              <w:spacing w:after="0"/>
              <w:jc w:val="center"/>
              <w:rPr>
                <w:rFonts w:eastAsia="Arial Unicode MS" w:cs="Arial"/>
              </w:rPr>
            </w:pPr>
            <w:r w:rsidRPr="00316D43">
              <w:rPr>
                <w:rFonts w:eastAsia="Arial Unicode MS" w:cs="Arial"/>
              </w:rPr>
              <w:t>21.9%</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CD7B2BF" w14:textId="77777777" w:rsidR="00F86F4E" w:rsidRPr="00316D43" w:rsidRDefault="00F86F4E" w:rsidP="00CF68F0">
            <w:pPr>
              <w:spacing w:after="0"/>
              <w:jc w:val="center"/>
              <w:rPr>
                <w:rFonts w:eastAsia="Arial Unicode MS" w:cs="Arial"/>
              </w:rPr>
            </w:pPr>
            <w:r w:rsidRPr="00316D43">
              <w:rPr>
                <w:rFonts w:eastAsia="Arial Unicode MS" w:cs="Arial"/>
              </w:rPr>
              <w:t>26%</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9F134C3" w14:textId="2D69721F" w:rsidR="00F86F4E" w:rsidRPr="00316D43" w:rsidRDefault="00F86F4E" w:rsidP="00CF68F0">
            <w:pPr>
              <w:spacing w:after="0"/>
              <w:rPr>
                <w:rFonts w:eastAsia="Arial Unicode MS" w:cs="Arial"/>
              </w:rPr>
            </w:pPr>
            <w:r w:rsidRPr="00316D43">
              <w:rPr>
                <w:rFonts w:eastAsia="Arial Unicode MS" w:cs="Arial"/>
              </w:rPr>
              <w:t xml:space="preserve">Increase to 30% </w:t>
            </w:r>
            <w:r w:rsidR="00546E17" w:rsidRPr="00316D43">
              <w:rPr>
                <w:rFonts w:eastAsia="Arial Unicode MS" w:cs="Arial"/>
              </w:rPr>
              <w:t>over the f</w:t>
            </w:r>
            <w:r w:rsidR="00D3382A" w:rsidRPr="00316D43">
              <w:rPr>
                <w:rFonts w:eastAsia="Arial Unicode MS" w:cs="Arial"/>
              </w:rPr>
              <w:t>u</w:t>
            </w:r>
            <w:r w:rsidR="00546E17" w:rsidRPr="00316D43">
              <w:rPr>
                <w:rFonts w:eastAsia="Arial Unicode MS" w:cs="Arial"/>
              </w:rPr>
              <w:t>ll period</w:t>
            </w:r>
          </w:p>
        </w:tc>
      </w:tr>
      <w:tr w:rsidR="00D41CE6" w:rsidRPr="00316D43" w14:paraId="2E7EF6F6" w14:textId="77777777" w:rsidTr="00B4336E">
        <w:trPr>
          <w:trHeight w:val="919"/>
        </w:trPr>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DD1D4" w14:textId="77777777" w:rsidR="00F86F4E" w:rsidRPr="00316D43" w:rsidRDefault="00F86F4E" w:rsidP="00CF68F0">
            <w:pPr>
              <w:spacing w:after="0"/>
              <w:jc w:val="center"/>
              <w:rPr>
                <w:rFonts w:eastAsia="Arial Unicode MS" w:cs="Arial"/>
              </w:rPr>
            </w:pPr>
            <w:r w:rsidRPr="00316D43">
              <w:rPr>
                <w:rFonts w:eastAsia="Arial Unicode MS" w:cs="Arial"/>
              </w:rPr>
              <w:t>1.2</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FF78B2E" w14:textId="77777777" w:rsidR="00F86F4E" w:rsidRPr="00316D43" w:rsidRDefault="00F86F4E" w:rsidP="00CF68F0">
            <w:pPr>
              <w:spacing w:after="0"/>
              <w:rPr>
                <w:rFonts w:eastAsia="Arial Unicode MS" w:cs="Arial"/>
              </w:rPr>
            </w:pPr>
            <w:r w:rsidRPr="00316D43">
              <w:rPr>
                <w:rFonts w:eastAsia="Arial Unicode MS" w:cs="Arial"/>
              </w:rPr>
              <w:t>Participant social and community engagement rate (%)</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34365" w14:textId="77777777" w:rsidR="00F86F4E" w:rsidRPr="00316D43" w:rsidRDefault="00F86F4E" w:rsidP="00CF68F0">
            <w:pPr>
              <w:spacing w:after="0"/>
              <w:jc w:val="center"/>
              <w:rPr>
                <w:rFonts w:eastAsia="Arial Unicode MS" w:cs="Arial"/>
              </w:rPr>
            </w:pPr>
            <w:r w:rsidRPr="00316D43">
              <w:rPr>
                <w:rFonts w:eastAsia="Arial Unicode MS" w:cs="Arial"/>
              </w:rPr>
              <w:t>1</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05D51D0" w14:textId="3E3D89B9" w:rsidR="00F86F4E" w:rsidRPr="00316D43" w:rsidRDefault="00505095" w:rsidP="00CF68F0">
            <w:pPr>
              <w:spacing w:after="0"/>
              <w:jc w:val="center"/>
              <w:rPr>
                <w:rFonts w:eastAsia="Arial Unicode MS" w:cs="Arial"/>
              </w:rPr>
            </w:pPr>
            <w:r w:rsidRPr="00316D43">
              <w:rPr>
                <w:rFonts w:eastAsia="Arial Unicode MS" w:cs="Arial"/>
              </w:rPr>
              <w:t>43.1%</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7183D0E" w14:textId="0B9ABC59" w:rsidR="00F86F4E" w:rsidRPr="00316D43" w:rsidRDefault="00D06636" w:rsidP="00CF68F0">
            <w:pPr>
              <w:spacing w:after="0"/>
              <w:jc w:val="center"/>
              <w:rPr>
                <w:rFonts w:eastAsia="Arial Unicode MS" w:cs="Arial"/>
              </w:rPr>
            </w:pPr>
            <w:r w:rsidRPr="00316D43">
              <w:rPr>
                <w:rFonts w:eastAsia="Arial Unicode MS" w:cs="Arial"/>
              </w:rPr>
              <w:t>46</w:t>
            </w:r>
            <w:r w:rsidR="00F86F4E" w:rsidRPr="00316D43">
              <w:rPr>
                <w:rFonts w:eastAsia="Arial Unicode MS" w:cs="Arial"/>
              </w:rPr>
              <w:t>%</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7EB072D" w14:textId="77777777" w:rsidR="009E711F" w:rsidRPr="00316D43" w:rsidRDefault="00326B14" w:rsidP="00CF68F0">
            <w:pPr>
              <w:spacing w:after="0"/>
              <w:rPr>
                <w:rFonts w:eastAsia="Arial Unicode MS" w:cs="Arial"/>
              </w:rPr>
            </w:pPr>
            <w:r w:rsidRPr="00316D43">
              <w:rPr>
                <w:rFonts w:eastAsia="Arial Unicode MS" w:cs="Arial"/>
              </w:rPr>
              <w:t>I</w:t>
            </w:r>
            <w:r w:rsidR="00C27064" w:rsidRPr="00316D43">
              <w:rPr>
                <w:rFonts w:eastAsia="Arial Unicode MS" w:cs="Arial"/>
              </w:rPr>
              <w:t>ncrease to 50% by 2025-26</w:t>
            </w:r>
          </w:p>
        </w:tc>
      </w:tr>
      <w:tr w:rsidR="00D41CE6" w:rsidRPr="00316D43" w14:paraId="0F6EFD36" w14:textId="77777777" w:rsidTr="00B4336E">
        <w:trPr>
          <w:trHeight w:val="861"/>
        </w:trPr>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50E71" w14:textId="77777777" w:rsidR="00F86F4E" w:rsidRPr="00316D43" w:rsidRDefault="00F86F4E" w:rsidP="00CF68F0">
            <w:pPr>
              <w:spacing w:after="0"/>
              <w:jc w:val="center"/>
              <w:rPr>
                <w:rFonts w:eastAsia="Arial Unicode MS" w:cs="Arial"/>
              </w:rPr>
            </w:pPr>
            <w:r w:rsidRPr="00316D43">
              <w:rPr>
                <w:rFonts w:eastAsia="Arial Unicode MS" w:cs="Arial"/>
              </w:rPr>
              <w:t>1.3</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397F79E" w14:textId="77777777" w:rsidR="00F86F4E" w:rsidRPr="00316D43" w:rsidRDefault="00F86F4E" w:rsidP="00CF68F0">
            <w:pPr>
              <w:spacing w:after="0"/>
              <w:rPr>
                <w:rFonts w:eastAsia="Arial Unicode MS" w:cs="Arial"/>
              </w:rPr>
            </w:pPr>
            <w:r w:rsidRPr="00316D43">
              <w:rPr>
                <w:rFonts w:eastAsia="Arial Unicode MS" w:cs="Arial"/>
              </w:rPr>
              <w:t>Families and carer employment rate (%)</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337D3" w14:textId="77777777" w:rsidR="00F86F4E" w:rsidRPr="00316D43" w:rsidRDefault="00F86F4E" w:rsidP="00CF68F0">
            <w:pPr>
              <w:spacing w:after="0"/>
              <w:jc w:val="center"/>
              <w:rPr>
                <w:rFonts w:eastAsia="Arial Unicode MS" w:cs="Arial"/>
              </w:rPr>
            </w:pPr>
            <w:r w:rsidRPr="00316D43">
              <w:rPr>
                <w:rFonts w:eastAsia="Arial Unicode MS" w:cs="Arial"/>
              </w:rPr>
              <w:t>1</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E8161CF" w14:textId="5AE5EA64" w:rsidR="00F86F4E" w:rsidRPr="00316D43" w:rsidRDefault="00505095" w:rsidP="00CF68F0">
            <w:pPr>
              <w:spacing w:after="0"/>
              <w:jc w:val="center"/>
              <w:rPr>
                <w:rFonts w:eastAsia="Arial Unicode MS" w:cs="Arial"/>
              </w:rPr>
            </w:pPr>
            <w:r w:rsidRPr="00316D43">
              <w:rPr>
                <w:rFonts w:eastAsia="Arial Unicode MS" w:cs="Arial"/>
              </w:rPr>
              <w:t>49.9%</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49218F7" w14:textId="77777777" w:rsidR="00F86F4E" w:rsidRPr="00316D43" w:rsidRDefault="00F86F4E" w:rsidP="00CF68F0">
            <w:pPr>
              <w:spacing w:after="0"/>
              <w:jc w:val="center"/>
              <w:rPr>
                <w:rFonts w:eastAsia="Arial Unicode MS" w:cs="Arial"/>
              </w:rPr>
            </w:pPr>
            <w:r w:rsidRPr="00316D43">
              <w:rPr>
                <w:rFonts w:eastAsia="Arial Unicode MS" w:cs="Arial"/>
              </w:rPr>
              <w:t>50%</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3D4A29C" w14:textId="55DAD6CA" w:rsidR="00F86F4E" w:rsidRPr="00316D43" w:rsidRDefault="00F86F4E" w:rsidP="00CF68F0">
            <w:pPr>
              <w:spacing w:after="0"/>
              <w:rPr>
                <w:rFonts w:eastAsia="Arial Unicode MS" w:cs="Arial"/>
              </w:rPr>
            </w:pPr>
            <w:r w:rsidRPr="00316D43">
              <w:rPr>
                <w:rFonts w:eastAsia="Arial Unicode MS" w:cs="Arial"/>
              </w:rPr>
              <w:t xml:space="preserve">Maintain at 50% </w:t>
            </w:r>
            <w:r w:rsidR="00546E17" w:rsidRPr="00316D43">
              <w:rPr>
                <w:rFonts w:eastAsia="Arial Unicode MS" w:cs="Arial"/>
              </w:rPr>
              <w:t>over</w:t>
            </w:r>
            <w:r w:rsidRPr="00316D43">
              <w:rPr>
                <w:rFonts w:eastAsia="Arial Unicode MS" w:cs="Arial"/>
              </w:rPr>
              <w:t xml:space="preserve"> the full period</w:t>
            </w:r>
          </w:p>
        </w:tc>
      </w:tr>
      <w:tr w:rsidR="00D41CE6" w:rsidRPr="00316D43" w14:paraId="71D91602" w14:textId="77777777" w:rsidTr="00B4336E">
        <w:trPr>
          <w:trHeight w:val="377"/>
        </w:trPr>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4BF7C" w14:textId="77777777" w:rsidR="00F86F4E" w:rsidRPr="00316D43" w:rsidRDefault="00F86F4E" w:rsidP="00CF68F0">
            <w:pPr>
              <w:spacing w:after="0"/>
              <w:jc w:val="center"/>
              <w:rPr>
                <w:rFonts w:eastAsia="Arial Unicode MS" w:cs="Arial"/>
              </w:rPr>
            </w:pPr>
            <w:r w:rsidRPr="00316D43">
              <w:rPr>
                <w:rFonts w:eastAsia="Arial Unicode MS" w:cs="Arial"/>
              </w:rPr>
              <w:t>1.4</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B62BABB" w14:textId="77777777" w:rsidR="00F86F4E" w:rsidRPr="00316D43" w:rsidRDefault="00F86F4E" w:rsidP="00CF68F0">
            <w:pPr>
              <w:spacing w:after="0"/>
              <w:rPr>
                <w:rFonts w:eastAsia="Arial Unicode MS" w:cs="Arial"/>
              </w:rPr>
            </w:pPr>
            <w:r w:rsidRPr="00316D43">
              <w:rPr>
                <w:rFonts w:eastAsia="Arial Unicode MS" w:cs="Arial"/>
              </w:rPr>
              <w:t>Children benefitting from the NDIS and no longer needing supports (%)</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28B18" w14:textId="77777777" w:rsidR="00F86F4E" w:rsidRPr="00316D43" w:rsidRDefault="00F86F4E" w:rsidP="00CF68F0">
            <w:pPr>
              <w:spacing w:after="0"/>
              <w:jc w:val="center"/>
              <w:rPr>
                <w:rFonts w:eastAsia="Arial Unicode MS" w:cs="Arial"/>
              </w:rPr>
            </w:pPr>
            <w:r w:rsidRPr="00316D43">
              <w:rPr>
                <w:rFonts w:eastAsia="Arial Unicode MS" w:cs="Arial"/>
              </w:rPr>
              <w:t>1,5</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7BF1EE3" w14:textId="2FD9D31B" w:rsidR="00F86F4E" w:rsidRPr="00316D43" w:rsidRDefault="00F86F4E" w:rsidP="00CF68F0">
            <w:pPr>
              <w:spacing w:after="0"/>
              <w:jc w:val="center"/>
              <w:rPr>
                <w:rFonts w:eastAsia="Arial Unicode MS" w:cs="Arial"/>
              </w:rPr>
            </w:pPr>
            <w:r w:rsidRPr="00316D43">
              <w:rPr>
                <w:rFonts w:eastAsia="Arial Unicode MS" w:cs="Arial"/>
              </w:rPr>
              <w:t>5.</w:t>
            </w:r>
            <w:r w:rsidR="00505095" w:rsidRPr="00316D43">
              <w:rPr>
                <w:rFonts w:eastAsia="Arial Unicode MS" w:cs="Arial"/>
              </w:rPr>
              <w:t>8</w:t>
            </w:r>
            <w:r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A10DE60" w14:textId="77777777" w:rsidR="00F86F4E" w:rsidRPr="00316D43" w:rsidRDefault="00F86F4E" w:rsidP="00CF68F0">
            <w:pPr>
              <w:spacing w:after="0"/>
              <w:jc w:val="center"/>
              <w:rPr>
                <w:rFonts w:eastAsia="Arial Unicode MS" w:cs="Arial"/>
              </w:rPr>
            </w:pPr>
            <w:r w:rsidRPr="00316D43">
              <w:rPr>
                <w:rFonts w:eastAsia="Arial Unicode MS" w:cs="Arial"/>
              </w:rPr>
              <w:t>6%</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4300913" w14:textId="1E2AFE8E" w:rsidR="00F86F4E" w:rsidRPr="00316D43" w:rsidRDefault="00F86F4E" w:rsidP="00CF68F0">
            <w:pPr>
              <w:spacing w:after="0"/>
              <w:rPr>
                <w:rFonts w:eastAsia="Arial Unicode MS" w:cs="Arial"/>
              </w:rPr>
            </w:pPr>
            <w:r w:rsidRPr="00316D43">
              <w:rPr>
                <w:rFonts w:eastAsia="Arial Unicode MS" w:cs="Arial"/>
              </w:rPr>
              <w:t xml:space="preserve">Maintain at 6% </w:t>
            </w:r>
            <w:r w:rsidR="00546E17" w:rsidRPr="00316D43">
              <w:rPr>
                <w:rFonts w:eastAsia="Arial Unicode MS" w:cs="Arial"/>
              </w:rPr>
              <w:t>over</w:t>
            </w:r>
            <w:r w:rsidRPr="00316D43">
              <w:rPr>
                <w:rFonts w:eastAsia="Arial Unicode MS" w:cs="Arial"/>
              </w:rPr>
              <w:t xml:space="preserve"> the full period</w:t>
            </w:r>
          </w:p>
        </w:tc>
      </w:tr>
      <w:tr w:rsidR="00D41CE6" w:rsidRPr="00316D43" w14:paraId="31066A22" w14:textId="77777777" w:rsidTr="00B4336E">
        <w:trPr>
          <w:trHeight w:val="377"/>
        </w:trPr>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E5186" w14:textId="77777777" w:rsidR="00F86F4E" w:rsidRPr="00316D43" w:rsidRDefault="00F86F4E" w:rsidP="00CF68F0">
            <w:pPr>
              <w:spacing w:after="0"/>
              <w:jc w:val="center"/>
              <w:rPr>
                <w:rFonts w:eastAsia="Arial Unicode MS" w:cs="Arial"/>
              </w:rPr>
            </w:pPr>
            <w:r w:rsidRPr="00316D43">
              <w:rPr>
                <w:rFonts w:eastAsia="Arial Unicode MS" w:cs="Arial"/>
              </w:rPr>
              <w:t>1.5</w:t>
            </w:r>
          </w:p>
        </w:tc>
        <w:tc>
          <w:tcPr>
            <w:tcW w:w="1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7BFA52D3" w14:textId="1DEF2967" w:rsidR="00F86F4E" w:rsidRPr="00316D43" w:rsidRDefault="00F86F4E" w:rsidP="00CF68F0">
            <w:pPr>
              <w:spacing w:after="0"/>
              <w:rPr>
                <w:rFonts w:eastAsia="Arial Unicode MS" w:cs="Arial"/>
              </w:rPr>
            </w:pPr>
            <w:r w:rsidRPr="00316D43">
              <w:rPr>
                <w:rFonts w:eastAsia="Arial Unicode MS" w:cs="Arial"/>
              </w:rPr>
              <w:t>Socioeconomic Equity (%)</w:t>
            </w:r>
            <w:r w:rsidRPr="00316D43">
              <w:rPr>
                <w:rStyle w:val="FootnoteReference"/>
                <w:rFonts w:eastAsia="Arial Unicode MS" w:cs="Arial"/>
              </w:rPr>
              <w:footnoteReference w:id="2"/>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85DFD" w14:textId="77777777" w:rsidR="00F86F4E" w:rsidRPr="00316D43" w:rsidRDefault="00F86F4E" w:rsidP="00CF68F0">
            <w:pPr>
              <w:spacing w:after="0"/>
              <w:jc w:val="center"/>
              <w:rPr>
                <w:rFonts w:eastAsia="Arial Unicode MS" w:cs="Arial"/>
              </w:rPr>
            </w:pPr>
            <w:r w:rsidRPr="00316D43">
              <w:rPr>
                <w:rFonts w:eastAsia="Arial Unicode MS" w:cs="Arial"/>
              </w:rPr>
              <w:t>5</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6C4A9E21" w14:textId="79FBA123" w:rsidR="00F86F4E" w:rsidRPr="00316D43" w:rsidRDefault="00F86F4E" w:rsidP="00CF68F0">
            <w:pPr>
              <w:spacing w:after="0"/>
              <w:jc w:val="center"/>
              <w:rPr>
                <w:rFonts w:eastAsia="Arial Unicode MS" w:cs="Arial"/>
              </w:rPr>
            </w:pPr>
            <w:r w:rsidRPr="00316D43">
              <w:rPr>
                <w:rFonts w:eastAsia="Arial Unicode MS" w:cs="Arial"/>
              </w:rPr>
              <w:t>10</w:t>
            </w:r>
            <w:r w:rsidR="00C778E5" w:rsidRPr="00316D43">
              <w:rPr>
                <w:rFonts w:eastAsia="Arial Unicode MS" w:cs="Arial"/>
              </w:rPr>
              <w:t>3.8</w:t>
            </w:r>
            <w:r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05A1556C" w14:textId="77777777" w:rsidR="00F86F4E" w:rsidRPr="00316D43" w:rsidRDefault="00F86F4E" w:rsidP="00CF68F0">
            <w:pPr>
              <w:spacing w:after="0"/>
              <w:jc w:val="center"/>
              <w:rPr>
                <w:rFonts w:eastAsia="Arial Unicode MS" w:cs="Arial"/>
              </w:rPr>
            </w:pPr>
            <w:r w:rsidRPr="00316D43">
              <w:rPr>
                <w:rFonts w:eastAsia="Arial Unicode MS" w:cs="Arial"/>
              </w:rPr>
              <w:t>104%</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1956C669" w14:textId="77777777" w:rsidR="00F86F4E" w:rsidRPr="00316D43" w:rsidRDefault="00210942" w:rsidP="00CF68F0">
            <w:pPr>
              <w:spacing w:after="0"/>
              <w:rPr>
                <w:rFonts w:eastAsia="Arial Unicode MS" w:cs="Arial"/>
              </w:rPr>
            </w:pPr>
            <w:r w:rsidRPr="00316D43">
              <w:rPr>
                <w:rFonts w:eastAsia="Arial Unicode MS" w:cs="Arial"/>
              </w:rPr>
              <w:t xml:space="preserve">Decrease to </w:t>
            </w:r>
            <w:r w:rsidR="00D23B59" w:rsidRPr="00316D43">
              <w:rPr>
                <w:rFonts w:eastAsia="Arial Unicode MS" w:cs="Arial"/>
              </w:rPr>
              <w:t>10</w:t>
            </w:r>
            <w:r w:rsidRPr="00316D43">
              <w:rPr>
                <w:rFonts w:eastAsia="Arial Unicode MS" w:cs="Arial"/>
              </w:rPr>
              <w:t>2</w:t>
            </w:r>
            <w:r w:rsidR="00D23B59" w:rsidRPr="00316D43">
              <w:rPr>
                <w:rFonts w:eastAsia="Arial Unicode MS" w:cs="Arial"/>
              </w:rPr>
              <w:t xml:space="preserve">% </w:t>
            </w:r>
            <w:r w:rsidRPr="00316D43">
              <w:rPr>
                <w:rFonts w:eastAsia="Arial Unicode MS" w:cs="Arial"/>
              </w:rPr>
              <w:t xml:space="preserve">by </w:t>
            </w:r>
            <w:r w:rsidR="00F86F4E" w:rsidRPr="00316D43">
              <w:rPr>
                <w:rFonts w:eastAsia="Arial Unicode MS" w:cs="Arial"/>
              </w:rPr>
              <w:t>2025-26</w:t>
            </w:r>
          </w:p>
        </w:tc>
      </w:tr>
    </w:tbl>
    <w:p w14:paraId="47A2A7FA" w14:textId="77777777" w:rsidR="00031645" w:rsidRDefault="00031645" w:rsidP="00031645">
      <w:pPr>
        <w:rPr>
          <w:rFonts w:eastAsiaTheme="minorHAnsi" w:cstheme="minorBidi"/>
          <w:color w:val="6B2976"/>
          <w:sz w:val="30"/>
          <w:szCs w:val="30"/>
          <w:lang w:eastAsia="en-US"/>
        </w:rPr>
      </w:pPr>
      <w:bookmarkStart w:id="123" w:name="_Toc98251629"/>
      <w:bookmarkStart w:id="124" w:name="_Toc98252186"/>
      <w:bookmarkStart w:id="125" w:name="_Toc98252460"/>
      <w:bookmarkStart w:id="126" w:name="_Toc99463597"/>
      <w:bookmarkStart w:id="127" w:name="_Toc99617124"/>
      <w:r>
        <w:br w:type="page"/>
      </w:r>
    </w:p>
    <w:p w14:paraId="5E2278D6" w14:textId="0F04D66C" w:rsidR="00F86F4E" w:rsidRPr="00B868EB" w:rsidRDefault="00F86F4E" w:rsidP="00FD5D7F">
      <w:pPr>
        <w:pStyle w:val="Heading3"/>
      </w:pPr>
      <w:r>
        <w:t>Table 2</w:t>
      </w:r>
      <w:r w:rsidRPr="00B868EB">
        <w:t>. Participant and stakeholder sentiment</w:t>
      </w:r>
      <w:bookmarkEnd w:id="123"/>
      <w:bookmarkEnd w:id="124"/>
      <w:bookmarkEnd w:id="125"/>
      <w:bookmarkEnd w:id="126"/>
      <w:bookmarkEnd w:id="127"/>
      <w:r w:rsidR="000B268B">
        <w:t xml:space="preserve"> </w:t>
      </w:r>
    </w:p>
    <w:tbl>
      <w:tblPr>
        <w:tblW w:w="9072" w:type="dxa"/>
        <w:tblCellMar>
          <w:top w:w="144" w:type="dxa"/>
          <w:left w:w="144" w:type="dxa"/>
          <w:bottom w:w="144" w:type="dxa"/>
          <w:right w:w="144" w:type="dxa"/>
        </w:tblCellMar>
        <w:tblLook w:val="0420" w:firstRow="1" w:lastRow="0" w:firstColumn="0" w:lastColumn="0" w:noHBand="0" w:noVBand="1"/>
        <w:tblCaption w:val="Participant and stakeholder sentiment"/>
        <w:tblDescription w:val="This table outlines performance metrics FY21 Q3, FY22 Targets and long –term aspirations."/>
      </w:tblPr>
      <w:tblGrid>
        <w:gridCol w:w="900"/>
        <w:gridCol w:w="2160"/>
        <w:gridCol w:w="1620"/>
        <w:gridCol w:w="1350"/>
        <w:gridCol w:w="1080"/>
        <w:gridCol w:w="1962"/>
      </w:tblGrid>
      <w:tr w:rsidR="00F86F4E" w:rsidRPr="00316D43" w14:paraId="371860CF" w14:textId="77777777" w:rsidTr="00B4336E">
        <w:trPr>
          <w:trHeight w:val="307"/>
        </w:trPr>
        <w:tc>
          <w:tcPr>
            <w:tcW w:w="900" w:type="dxa"/>
            <w:tcBorders>
              <w:top w:val="nil"/>
              <w:left w:val="nil"/>
              <w:bottom w:val="single" w:sz="4" w:space="0" w:color="000000" w:themeColor="text1"/>
              <w:right w:val="nil"/>
            </w:tcBorders>
            <w:shd w:val="clear" w:color="auto" w:fill="6A2875"/>
            <w:vAlign w:val="bottom"/>
          </w:tcPr>
          <w:p w14:paraId="6B828574"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w:t>
            </w:r>
          </w:p>
        </w:tc>
        <w:tc>
          <w:tcPr>
            <w:tcW w:w="2160" w:type="dxa"/>
            <w:tcBorders>
              <w:top w:val="nil"/>
              <w:left w:val="nil"/>
              <w:bottom w:val="single" w:sz="4" w:space="0" w:color="000000" w:themeColor="text1"/>
              <w:right w:val="nil"/>
            </w:tcBorders>
            <w:shd w:val="clear" w:color="auto" w:fill="6A2875"/>
            <w:tcMar>
              <w:top w:w="9" w:type="dxa"/>
              <w:left w:w="34" w:type="dxa"/>
              <w:bottom w:w="9" w:type="dxa"/>
              <w:right w:w="34" w:type="dxa"/>
            </w:tcMar>
            <w:vAlign w:val="bottom"/>
            <w:hideMark/>
          </w:tcPr>
          <w:p w14:paraId="09469992"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What will be measured</w:t>
            </w:r>
          </w:p>
        </w:tc>
        <w:tc>
          <w:tcPr>
            <w:tcW w:w="1620" w:type="dxa"/>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747E3533"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Aspiration</w:t>
            </w:r>
          </w:p>
        </w:tc>
        <w:tc>
          <w:tcPr>
            <w:tcW w:w="1350" w:type="dxa"/>
            <w:tcBorders>
              <w:top w:val="nil"/>
              <w:left w:val="nil"/>
              <w:bottom w:val="single" w:sz="4" w:space="0" w:color="000000" w:themeColor="text1"/>
              <w:right w:val="nil"/>
            </w:tcBorders>
            <w:shd w:val="clear" w:color="auto" w:fill="6A2875"/>
            <w:vAlign w:val="bottom"/>
          </w:tcPr>
          <w:p w14:paraId="28CBEA74"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2021-22 Actual</w:t>
            </w:r>
          </w:p>
        </w:tc>
        <w:tc>
          <w:tcPr>
            <w:tcW w:w="1080" w:type="dxa"/>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31EE209C"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2022-23 Target</w:t>
            </w:r>
          </w:p>
        </w:tc>
        <w:tc>
          <w:tcPr>
            <w:tcW w:w="1962" w:type="dxa"/>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1765CA8E" w14:textId="6BE16344"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 xml:space="preserve">2023-24 to </w:t>
            </w:r>
            <w:r w:rsidR="00563995">
              <w:rPr>
                <w:rFonts w:eastAsia="Arial Unicode MS" w:cs="Arial"/>
                <w:b/>
                <w:bCs/>
                <w:color w:val="FFFFFF" w:themeColor="background1"/>
              </w:rPr>
              <w:br/>
            </w:r>
            <w:r w:rsidRPr="00316D43">
              <w:rPr>
                <w:rFonts w:eastAsia="Arial Unicode MS" w:cs="Arial"/>
                <w:b/>
                <w:bCs/>
                <w:color w:val="FFFFFF" w:themeColor="background1"/>
              </w:rPr>
              <w:t>2025-26 Targets</w:t>
            </w:r>
          </w:p>
        </w:tc>
      </w:tr>
      <w:tr w:rsidR="00F86F4E" w:rsidRPr="00316D43" w14:paraId="24B785E0" w14:textId="77777777" w:rsidTr="00B4336E">
        <w:trPr>
          <w:trHeight w:val="377"/>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6BA05" w14:textId="77777777" w:rsidR="00F86F4E" w:rsidRPr="00316D43" w:rsidRDefault="00F86F4E" w:rsidP="00CF68F0">
            <w:pPr>
              <w:spacing w:after="0"/>
              <w:jc w:val="center"/>
              <w:rPr>
                <w:rFonts w:eastAsia="Arial Unicode MS" w:cs="Arial"/>
              </w:rPr>
            </w:pPr>
            <w:r w:rsidRPr="00316D43">
              <w:rPr>
                <w:rFonts w:eastAsia="Arial Unicode MS" w:cs="Arial"/>
              </w:rPr>
              <w:t>2.1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D5B1CF8" w14:textId="77777777" w:rsidR="00F86F4E" w:rsidRPr="00316D43" w:rsidRDefault="00F86F4E" w:rsidP="00CF68F0">
            <w:pPr>
              <w:spacing w:after="0"/>
              <w:rPr>
                <w:rFonts w:eastAsia="Arial Unicode MS" w:cs="Arial"/>
              </w:rPr>
            </w:pPr>
            <w:r w:rsidRPr="00316D43">
              <w:rPr>
                <w:rFonts w:eastAsia="Arial Unicode MS" w:cs="Arial"/>
              </w:rPr>
              <w:t>Participant satisfaction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B73370E" w14:textId="77777777" w:rsidR="00F86F4E" w:rsidRPr="00316D43" w:rsidRDefault="00F86F4E" w:rsidP="00CF68F0">
            <w:pPr>
              <w:spacing w:after="0"/>
              <w:jc w:val="center"/>
              <w:rPr>
                <w:rFonts w:eastAsia="Arial Unicode MS" w:cs="Arial"/>
              </w:rPr>
            </w:pPr>
            <w:r w:rsidRPr="00316D43">
              <w:rPr>
                <w:rFonts w:eastAsia="Arial Unicode MS" w:cs="Arial"/>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3C935" w14:textId="42DEDE72" w:rsidR="00F86F4E" w:rsidRPr="00316D43" w:rsidRDefault="00F86F4E" w:rsidP="00CF68F0">
            <w:pPr>
              <w:spacing w:after="0"/>
              <w:jc w:val="center"/>
              <w:rPr>
                <w:rFonts w:eastAsia="Arial Unicode MS" w:cs="Arial"/>
              </w:rPr>
            </w:pPr>
            <w:r w:rsidRPr="00316D43">
              <w:rPr>
                <w:rFonts w:eastAsia="Arial Unicode MS" w:cs="Arial"/>
              </w:rPr>
              <w:t>7</w:t>
            </w:r>
            <w:r w:rsidR="00546E17" w:rsidRPr="00316D43">
              <w:rPr>
                <w:rFonts w:eastAsia="Arial Unicode MS" w:cs="Arial"/>
              </w:rPr>
              <w:t>5</w:t>
            </w:r>
            <w:r w:rsidRPr="00316D43">
              <w:rPr>
                <w:rFonts w:eastAsia="Arial Unicode MS" w:cs="Arial"/>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81AEE24" w14:textId="24B1CFBD" w:rsidR="00F86F4E" w:rsidRPr="00316D43" w:rsidRDefault="00D06636" w:rsidP="00CF68F0">
            <w:pPr>
              <w:spacing w:after="0"/>
              <w:jc w:val="center"/>
              <w:rPr>
                <w:rFonts w:eastAsia="Arial Unicode MS" w:cs="Arial"/>
              </w:rPr>
            </w:pPr>
            <w:r w:rsidRPr="00316D43">
              <w:rPr>
                <w:rFonts w:eastAsia="Arial Unicode MS" w:cs="Arial"/>
              </w:rPr>
              <w:t>76</w:t>
            </w:r>
            <w:r w:rsidR="00F86F4E" w:rsidRPr="00316D43">
              <w:rPr>
                <w:rFonts w:eastAsia="Arial Unicode MS" w:cs="Arial"/>
              </w:rPr>
              <w:t>%</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C2EA687" w14:textId="77777777" w:rsidR="00F86F4E" w:rsidRPr="00316D43" w:rsidRDefault="00F86F4E" w:rsidP="00CF68F0">
            <w:pPr>
              <w:spacing w:after="0"/>
              <w:rPr>
                <w:rFonts w:eastAsia="Arial Unicode MS" w:cs="Arial"/>
              </w:rPr>
            </w:pPr>
            <w:r w:rsidRPr="00316D43">
              <w:rPr>
                <w:rFonts w:eastAsia="Arial Unicode MS" w:cs="Arial"/>
              </w:rPr>
              <w:t>Maintain 80% over full period</w:t>
            </w:r>
          </w:p>
        </w:tc>
      </w:tr>
      <w:tr w:rsidR="00F86F4E" w:rsidRPr="00316D43" w14:paraId="7B43DB36" w14:textId="77777777" w:rsidTr="00B4336E">
        <w:trPr>
          <w:trHeight w:val="919"/>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7AD88" w14:textId="77777777" w:rsidR="00F86F4E" w:rsidRPr="00316D43" w:rsidRDefault="00F86F4E" w:rsidP="00CF68F0">
            <w:pPr>
              <w:spacing w:after="0"/>
              <w:jc w:val="center"/>
              <w:rPr>
                <w:rFonts w:eastAsia="Arial Unicode MS" w:cs="Arial"/>
              </w:rPr>
            </w:pPr>
            <w:r w:rsidRPr="00316D43">
              <w:rPr>
                <w:rFonts w:eastAsia="Arial Unicode MS" w:cs="Arial"/>
              </w:rPr>
              <w:t>2.2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68E8F4FF" w14:textId="77777777" w:rsidR="00F86F4E" w:rsidRPr="00316D43" w:rsidRDefault="00F86F4E" w:rsidP="00CF68F0">
            <w:pPr>
              <w:spacing w:after="0"/>
              <w:rPr>
                <w:rFonts w:eastAsia="Arial Unicode MS" w:cs="Arial"/>
              </w:rPr>
            </w:pPr>
            <w:r w:rsidRPr="00316D43">
              <w:rPr>
                <w:rFonts w:eastAsia="Arial Unicode MS" w:cs="Arial"/>
              </w:rPr>
              <w:t>Participant perception of choice and control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C0BDC7D" w14:textId="77777777" w:rsidR="00F86F4E" w:rsidRPr="00316D43" w:rsidRDefault="00F86F4E" w:rsidP="00CF68F0">
            <w:pPr>
              <w:spacing w:after="0"/>
              <w:jc w:val="center"/>
              <w:rPr>
                <w:rFonts w:eastAsia="Arial Unicode MS" w:cs="Arial"/>
              </w:rPr>
            </w:pPr>
            <w:r w:rsidRPr="00316D43">
              <w:rPr>
                <w:rFonts w:eastAsia="Arial Unicode MS" w:cs="Arial"/>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678EE" w14:textId="7898AF51" w:rsidR="00F86F4E" w:rsidRPr="00316D43" w:rsidRDefault="00F86F4E" w:rsidP="00CF68F0">
            <w:pPr>
              <w:spacing w:after="0"/>
              <w:jc w:val="center"/>
              <w:rPr>
                <w:rFonts w:eastAsia="Arial Unicode MS" w:cs="Arial"/>
              </w:rPr>
            </w:pPr>
            <w:r w:rsidRPr="00316D43">
              <w:rPr>
                <w:rFonts w:eastAsia="Arial Unicode MS" w:cs="Arial"/>
              </w:rPr>
              <w:t>76</w:t>
            </w:r>
            <w:r w:rsidR="003B7031" w:rsidRPr="00316D43">
              <w:rPr>
                <w:rFonts w:eastAsia="Arial Unicode MS" w:cs="Arial"/>
              </w:rPr>
              <w:t>.3</w:t>
            </w:r>
            <w:r w:rsidRPr="00316D43">
              <w:rPr>
                <w:rFonts w:eastAsia="Arial Unicode MS" w:cs="Arial"/>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F2A3447" w14:textId="77777777" w:rsidR="00F86F4E" w:rsidRPr="00316D43" w:rsidRDefault="00F86F4E" w:rsidP="00CF68F0">
            <w:pPr>
              <w:spacing w:after="0"/>
              <w:jc w:val="center"/>
              <w:rPr>
                <w:rFonts w:eastAsia="Arial Unicode MS" w:cs="Arial"/>
              </w:rPr>
            </w:pPr>
            <w:r w:rsidRPr="00316D43">
              <w:rPr>
                <w:rFonts w:eastAsia="Arial Unicode MS" w:cs="Arial"/>
              </w:rPr>
              <w:t>75%</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1245E56" w14:textId="77777777" w:rsidR="00F86F4E" w:rsidRPr="00316D43" w:rsidRDefault="00F86F4E" w:rsidP="00CF68F0">
            <w:pPr>
              <w:spacing w:after="0"/>
              <w:rPr>
                <w:rFonts w:eastAsia="Arial Unicode MS" w:cs="Arial"/>
              </w:rPr>
            </w:pPr>
            <w:r w:rsidRPr="00316D43">
              <w:rPr>
                <w:rFonts w:eastAsia="Arial Unicode MS" w:cs="Arial"/>
              </w:rPr>
              <w:t>Maintain 75% over full period</w:t>
            </w:r>
          </w:p>
        </w:tc>
      </w:tr>
      <w:tr w:rsidR="00F86F4E" w:rsidRPr="00316D43" w14:paraId="56AE767A" w14:textId="77777777" w:rsidTr="00B4336E">
        <w:trPr>
          <w:trHeight w:val="377"/>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D9BE1" w14:textId="77777777" w:rsidR="00F86F4E" w:rsidRPr="00316D43" w:rsidRDefault="00F86F4E" w:rsidP="00CF68F0">
            <w:pPr>
              <w:spacing w:after="0"/>
              <w:jc w:val="center"/>
              <w:rPr>
                <w:rFonts w:eastAsia="Arial Unicode MS" w:cs="Arial"/>
              </w:rPr>
            </w:pPr>
            <w:r w:rsidRPr="00316D43">
              <w:rPr>
                <w:rFonts w:eastAsia="Arial Unicode MS" w:cs="Arial"/>
              </w:rPr>
              <w:t>2.3</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791EAEB" w14:textId="77777777" w:rsidR="00F86F4E" w:rsidRPr="00316D43" w:rsidRDefault="00F86F4E" w:rsidP="00CF68F0">
            <w:pPr>
              <w:spacing w:after="0"/>
              <w:rPr>
                <w:rFonts w:eastAsia="Arial Unicode MS" w:cs="Arial"/>
              </w:rPr>
            </w:pPr>
            <w:r w:rsidRPr="00316D43">
              <w:rPr>
                <w:rFonts w:eastAsia="Arial Unicode MS" w:cs="Arial"/>
              </w:rPr>
              <w:t>General community sentiment and confidence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3EE0DAB" w14:textId="77777777" w:rsidR="00F86F4E" w:rsidRPr="00316D43" w:rsidRDefault="00F86F4E" w:rsidP="00CF68F0">
            <w:pPr>
              <w:spacing w:after="0"/>
              <w:jc w:val="center"/>
              <w:rPr>
                <w:rFonts w:eastAsia="Arial Unicode MS" w:cs="Arial"/>
              </w:rPr>
            </w:pPr>
            <w:r w:rsidRPr="00316D43">
              <w:rPr>
                <w:rFonts w:eastAsia="Arial Unicode MS" w:cs="Arial"/>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F19DC" w14:textId="59D8651D" w:rsidR="00F86F4E" w:rsidRPr="00316D43" w:rsidRDefault="00F86F4E" w:rsidP="00CF68F0">
            <w:pPr>
              <w:spacing w:after="0"/>
              <w:jc w:val="center"/>
              <w:rPr>
                <w:rFonts w:eastAsia="Arial Unicode MS" w:cs="Arial"/>
              </w:rPr>
            </w:pPr>
            <w:r w:rsidRPr="00316D43">
              <w:rPr>
                <w:rFonts w:eastAsia="Arial Unicode MS" w:cs="Arial"/>
              </w:rPr>
              <w:t>6</w:t>
            </w:r>
            <w:r w:rsidR="003B7031" w:rsidRPr="00316D43">
              <w:rPr>
                <w:rFonts w:eastAsia="Arial Unicode MS" w:cs="Arial"/>
              </w:rPr>
              <w:t>7.4</w:t>
            </w:r>
            <w:r w:rsidRPr="00316D43">
              <w:rPr>
                <w:rFonts w:eastAsia="Arial Unicode MS" w:cs="Arial"/>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2DFE45D" w14:textId="77777777" w:rsidR="00F86F4E" w:rsidRPr="00316D43" w:rsidRDefault="00F86F4E" w:rsidP="00CF68F0">
            <w:pPr>
              <w:spacing w:after="0"/>
              <w:jc w:val="center"/>
              <w:rPr>
                <w:rFonts w:eastAsia="Arial Unicode MS" w:cs="Arial"/>
              </w:rPr>
            </w:pPr>
            <w:r w:rsidRPr="00316D43">
              <w:rPr>
                <w:rFonts w:eastAsia="Arial Unicode MS" w:cs="Arial"/>
              </w:rPr>
              <w:t>70%</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2489CA7" w14:textId="77777777" w:rsidR="00F86F4E" w:rsidRPr="00316D43" w:rsidRDefault="00F86F4E" w:rsidP="00CF68F0">
            <w:pPr>
              <w:spacing w:after="0"/>
              <w:rPr>
                <w:rFonts w:eastAsia="Arial Unicode MS" w:cs="Arial"/>
              </w:rPr>
            </w:pPr>
            <w:r w:rsidRPr="00316D43">
              <w:rPr>
                <w:rFonts w:eastAsia="Arial Unicode MS" w:cs="Arial"/>
              </w:rPr>
              <w:t>Maintain 70% over full period</w:t>
            </w:r>
          </w:p>
        </w:tc>
      </w:tr>
      <w:tr w:rsidR="00F86F4E" w:rsidRPr="00316D43" w14:paraId="3FFC7E92" w14:textId="77777777" w:rsidTr="00B4336E">
        <w:trPr>
          <w:trHeight w:val="377"/>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40EEB" w14:textId="77777777" w:rsidR="00F86F4E" w:rsidRPr="00316D43" w:rsidRDefault="00F86F4E" w:rsidP="00CF68F0">
            <w:pPr>
              <w:spacing w:after="0"/>
              <w:jc w:val="center"/>
              <w:rPr>
                <w:rFonts w:eastAsia="Arial Unicode MS" w:cs="Arial"/>
              </w:rPr>
            </w:pPr>
            <w:r w:rsidRPr="00316D43">
              <w:rPr>
                <w:rFonts w:eastAsia="Arial Unicode MS" w:cs="Arial"/>
              </w:rPr>
              <w:t>2.4</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7CBD3D16" w14:textId="77777777" w:rsidR="00F86F4E" w:rsidRPr="00316D43" w:rsidRDefault="00F86F4E" w:rsidP="00CF68F0">
            <w:pPr>
              <w:spacing w:after="0"/>
              <w:rPr>
                <w:rFonts w:eastAsia="Arial Unicode MS" w:cs="Arial"/>
              </w:rPr>
            </w:pPr>
            <w:r w:rsidRPr="00316D43">
              <w:rPr>
                <w:rFonts w:eastAsia="Arial Unicode MS" w:cs="Arial"/>
              </w:rPr>
              <w:t>Provider sentiment and confidence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02DD6E9B" w14:textId="77777777" w:rsidR="00F86F4E" w:rsidRPr="00316D43" w:rsidRDefault="00F86F4E" w:rsidP="00CF68F0">
            <w:pPr>
              <w:spacing w:after="0"/>
              <w:jc w:val="center"/>
              <w:rPr>
                <w:rFonts w:eastAsia="Arial Unicode MS" w:cs="Arial"/>
              </w:rPr>
            </w:pPr>
            <w:r w:rsidRPr="00316D43">
              <w:rPr>
                <w:rFonts w:eastAsia="Arial Unicode MS" w:cs="Arial"/>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8DC4C" w14:textId="77777777" w:rsidR="00F86F4E" w:rsidRPr="00316D43" w:rsidRDefault="00F86F4E" w:rsidP="00CF68F0">
            <w:pPr>
              <w:spacing w:after="0"/>
              <w:jc w:val="center"/>
              <w:rPr>
                <w:rFonts w:eastAsia="Arial Unicode MS" w:cs="Arial"/>
              </w:rPr>
            </w:pPr>
            <w:r w:rsidRPr="00316D43">
              <w:rPr>
                <w:rFonts w:eastAsia="Arial Unicode MS" w:cs="Arial"/>
              </w:rPr>
              <w:t>54%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1757F4A1" w14:textId="77777777" w:rsidR="00F86F4E" w:rsidRPr="00316D43" w:rsidRDefault="00F86F4E" w:rsidP="00CF68F0">
            <w:pPr>
              <w:spacing w:after="0"/>
              <w:jc w:val="center"/>
              <w:rPr>
                <w:rFonts w:eastAsia="Arial Unicode MS" w:cs="Arial"/>
              </w:rPr>
            </w:pPr>
            <w:r w:rsidRPr="00316D43">
              <w:rPr>
                <w:rFonts w:eastAsia="Arial Unicode MS" w:cs="Arial"/>
              </w:rPr>
              <w:t>62%</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tcPr>
          <w:p w14:paraId="2450849F" w14:textId="77777777" w:rsidR="00F86F4E" w:rsidRPr="00316D43" w:rsidRDefault="00F86F4E" w:rsidP="00CF68F0">
            <w:pPr>
              <w:spacing w:after="0"/>
              <w:rPr>
                <w:rFonts w:eastAsia="Arial Unicode MS" w:cs="Arial"/>
              </w:rPr>
            </w:pPr>
            <w:r w:rsidRPr="00316D43">
              <w:rPr>
                <w:rFonts w:eastAsia="Arial Unicode MS" w:cs="Arial"/>
              </w:rPr>
              <w:t>Increase to 65% over full period</w:t>
            </w:r>
          </w:p>
        </w:tc>
      </w:tr>
    </w:tbl>
    <w:p w14:paraId="0F745814" w14:textId="77777777" w:rsidR="00031645" w:rsidRDefault="00031645" w:rsidP="00031645">
      <w:pPr>
        <w:rPr>
          <w:rFonts w:eastAsiaTheme="minorHAnsi" w:cstheme="minorBidi"/>
          <w:color w:val="6B2976"/>
          <w:sz w:val="30"/>
          <w:szCs w:val="30"/>
          <w:lang w:eastAsia="en-US"/>
        </w:rPr>
      </w:pPr>
      <w:bookmarkStart w:id="128" w:name="_Toc98251630"/>
      <w:bookmarkStart w:id="129" w:name="_Toc98252187"/>
      <w:bookmarkStart w:id="130" w:name="_Toc98252461"/>
      <w:bookmarkStart w:id="131" w:name="_Toc99617125"/>
      <w:bookmarkStart w:id="132" w:name="_Toc99463598"/>
      <w:r>
        <w:br w:type="page"/>
      </w:r>
    </w:p>
    <w:p w14:paraId="48CDC0F1" w14:textId="07D4F2D4" w:rsidR="00F86F4E" w:rsidRPr="00B868EB" w:rsidRDefault="00F86F4E" w:rsidP="00FD5D7F">
      <w:pPr>
        <w:pStyle w:val="Heading3"/>
      </w:pPr>
      <w:r>
        <w:t>Table 3</w:t>
      </w:r>
      <w:r w:rsidRPr="00B868EB">
        <w:t xml:space="preserve">. </w:t>
      </w:r>
      <w:r w:rsidR="00007B34">
        <w:t>Scheme Sustainability</w:t>
      </w:r>
      <w:r w:rsidR="00D039E0">
        <w:t>, Fraud and Compliance</w:t>
      </w:r>
      <w:bookmarkEnd w:id="128"/>
      <w:bookmarkEnd w:id="129"/>
      <w:bookmarkEnd w:id="130"/>
      <w:bookmarkEnd w:id="131"/>
      <w:bookmarkEnd w:id="132"/>
      <w:r w:rsidR="000B268B">
        <w:t xml:space="preserve"> </w:t>
      </w:r>
    </w:p>
    <w:tbl>
      <w:tblPr>
        <w:tblW w:w="5000" w:type="pct"/>
        <w:tblCellMar>
          <w:top w:w="144" w:type="dxa"/>
          <w:left w:w="144" w:type="dxa"/>
          <w:bottom w:w="144" w:type="dxa"/>
          <w:right w:w="144" w:type="dxa"/>
        </w:tblCellMar>
        <w:tblLook w:val="0420" w:firstRow="1" w:lastRow="0" w:firstColumn="0" w:lastColumn="0" w:noHBand="0" w:noVBand="1"/>
        <w:tblCaption w:val="NDIS Financial sustainability and integrity"/>
        <w:tblDescription w:val="This table outlines performance metrics FY21 Q3, FY22 Targets and long –term aspirations."/>
      </w:tblPr>
      <w:tblGrid>
        <w:gridCol w:w="900"/>
        <w:gridCol w:w="2160"/>
        <w:gridCol w:w="1542"/>
        <w:gridCol w:w="1338"/>
        <w:gridCol w:w="1080"/>
        <w:gridCol w:w="2006"/>
      </w:tblGrid>
      <w:tr w:rsidR="0054128A" w:rsidRPr="00316D43" w14:paraId="052E9B15" w14:textId="77777777" w:rsidTr="00B4336E">
        <w:trPr>
          <w:trHeight w:val="307"/>
          <w:tblHeader/>
        </w:trPr>
        <w:tc>
          <w:tcPr>
            <w:tcW w:w="499" w:type="pct"/>
            <w:tcBorders>
              <w:top w:val="nil"/>
              <w:left w:val="nil"/>
              <w:bottom w:val="single" w:sz="4" w:space="0" w:color="000000" w:themeColor="text1"/>
              <w:right w:val="nil"/>
            </w:tcBorders>
            <w:shd w:val="clear" w:color="auto" w:fill="6A2875"/>
            <w:vAlign w:val="bottom"/>
          </w:tcPr>
          <w:p w14:paraId="186FACC1"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w:t>
            </w:r>
          </w:p>
        </w:tc>
        <w:tc>
          <w:tcPr>
            <w:tcW w:w="1197" w:type="pct"/>
            <w:tcBorders>
              <w:top w:val="nil"/>
              <w:left w:val="nil"/>
              <w:bottom w:val="single" w:sz="4" w:space="0" w:color="000000" w:themeColor="text1"/>
              <w:right w:val="nil"/>
            </w:tcBorders>
            <w:shd w:val="clear" w:color="auto" w:fill="6A2875"/>
            <w:tcMar>
              <w:top w:w="9" w:type="dxa"/>
              <w:left w:w="34" w:type="dxa"/>
              <w:bottom w:w="9" w:type="dxa"/>
              <w:right w:w="34" w:type="dxa"/>
            </w:tcMar>
            <w:vAlign w:val="bottom"/>
            <w:hideMark/>
          </w:tcPr>
          <w:p w14:paraId="0F431B5E"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What will be measured</w:t>
            </w:r>
          </w:p>
        </w:tc>
        <w:tc>
          <w:tcPr>
            <w:tcW w:w="854" w:type="pct"/>
            <w:tcBorders>
              <w:top w:val="nil"/>
              <w:left w:val="nil"/>
              <w:bottom w:val="single" w:sz="4" w:space="0" w:color="000000" w:themeColor="text1"/>
              <w:right w:val="nil"/>
            </w:tcBorders>
            <w:shd w:val="clear" w:color="auto" w:fill="6A2875"/>
            <w:vAlign w:val="bottom"/>
          </w:tcPr>
          <w:p w14:paraId="1C7DA1EB"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Aspiration</w:t>
            </w:r>
          </w:p>
        </w:tc>
        <w:tc>
          <w:tcPr>
            <w:tcW w:w="74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1AB973C3"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2021-22 Actual</w:t>
            </w:r>
          </w:p>
        </w:tc>
        <w:tc>
          <w:tcPr>
            <w:tcW w:w="5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579ACCF1"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2022-23 Target</w:t>
            </w:r>
          </w:p>
        </w:tc>
        <w:tc>
          <w:tcPr>
            <w:tcW w:w="111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68B50FDE" w14:textId="40AA07FC"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 xml:space="preserve">2023-24 to </w:t>
            </w:r>
            <w:r w:rsidR="00563995">
              <w:rPr>
                <w:rFonts w:eastAsia="Arial Unicode MS" w:cs="Arial"/>
                <w:b/>
                <w:bCs/>
                <w:color w:val="FFFFFF" w:themeColor="background1"/>
              </w:rPr>
              <w:br/>
            </w:r>
            <w:r w:rsidRPr="00316D43">
              <w:rPr>
                <w:rFonts w:eastAsia="Arial Unicode MS" w:cs="Arial"/>
                <w:b/>
                <w:bCs/>
                <w:color w:val="FFFFFF" w:themeColor="background1"/>
              </w:rPr>
              <w:t>2025-26 Targets</w:t>
            </w:r>
          </w:p>
        </w:tc>
      </w:tr>
      <w:tr w:rsidR="00CF68F0" w:rsidRPr="00316D43" w14:paraId="70FE25D0" w14:textId="77777777" w:rsidTr="00B4336E">
        <w:trPr>
          <w:trHeight w:val="377"/>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02987" w14:textId="77777777" w:rsidR="00F86F4E" w:rsidRPr="00316D43" w:rsidRDefault="00F86F4E" w:rsidP="00CF68F0">
            <w:pPr>
              <w:spacing w:after="0"/>
              <w:jc w:val="center"/>
              <w:rPr>
                <w:rFonts w:eastAsia="Arial Unicode MS" w:cs="Arial"/>
              </w:rPr>
            </w:pPr>
            <w:r w:rsidRPr="00316D43">
              <w:rPr>
                <w:rFonts w:eastAsia="Arial Unicode MS" w:cs="Arial"/>
              </w:rPr>
              <w:t>3.1</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69460305" w14:textId="77777777" w:rsidR="00F86F4E" w:rsidRPr="00316D43" w:rsidRDefault="00F86F4E" w:rsidP="00CF68F0">
            <w:pPr>
              <w:spacing w:after="0"/>
              <w:rPr>
                <w:rFonts w:eastAsia="Arial Unicode MS" w:cs="Arial"/>
              </w:rPr>
            </w:pPr>
            <w:r w:rsidRPr="00316D43">
              <w:rPr>
                <w:rFonts w:eastAsia="Arial Unicode MS" w:cs="Arial"/>
              </w:rPr>
              <w:t>Payment growth compared to healthcare and social assistance wages growth</w:t>
            </w:r>
            <w:r w:rsidRPr="00316D43">
              <w:rPr>
                <w:rStyle w:val="FootnoteReference"/>
                <w:rFonts w:eastAsia="Arial Unicode MS" w:cs="Arial"/>
              </w:rPr>
              <w:footnoteReference w:id="3"/>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ED4FF" w14:textId="77777777" w:rsidR="00F86F4E" w:rsidRPr="00316D43" w:rsidRDefault="00F86F4E" w:rsidP="00CF68F0">
            <w:pPr>
              <w:spacing w:after="0"/>
              <w:jc w:val="center"/>
              <w:rPr>
                <w:rFonts w:eastAsia="Arial Unicode MS" w:cs="Arial"/>
              </w:rPr>
            </w:pPr>
            <w:r w:rsidRPr="00316D43">
              <w:rPr>
                <w:rFonts w:eastAsia="Arial Unicode MS" w:cs="Arial"/>
              </w:rPr>
              <w:t>5</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E6E0FFC" w14:textId="774BB72F" w:rsidR="00F86F4E" w:rsidRPr="00316D43" w:rsidRDefault="003B7031" w:rsidP="00CF68F0">
            <w:pPr>
              <w:spacing w:after="0"/>
              <w:jc w:val="center"/>
              <w:rPr>
                <w:rFonts w:eastAsia="Arial Unicode MS" w:cs="Arial"/>
              </w:rPr>
            </w:pPr>
            <w:r w:rsidRPr="00316D43">
              <w:rPr>
                <w:rFonts w:eastAsia="Arial Unicode MS" w:cs="Arial"/>
              </w:rPr>
              <w:t>1.8</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F67E5C1" w14:textId="77777777" w:rsidR="00F86F4E" w:rsidRPr="00316D43" w:rsidRDefault="00F86F4E" w:rsidP="00CF68F0">
            <w:pPr>
              <w:spacing w:after="0"/>
              <w:jc w:val="center"/>
              <w:rPr>
                <w:rFonts w:eastAsia="Arial Unicode MS" w:cs="Arial"/>
              </w:rPr>
            </w:pPr>
            <w:r w:rsidRPr="00316D43">
              <w:rPr>
                <w:rFonts w:eastAsia="Arial Unicode MS" w:cs="Arial"/>
              </w:rPr>
              <w:t>&lt;2</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FE5E139" w14:textId="335FF00B" w:rsidR="00F86F4E" w:rsidRPr="00316D43" w:rsidRDefault="00F86F4E" w:rsidP="00CF68F0">
            <w:pPr>
              <w:spacing w:after="0"/>
              <w:rPr>
                <w:rFonts w:eastAsia="Arial Unicode MS" w:cs="Arial"/>
              </w:rPr>
            </w:pPr>
            <w:r w:rsidRPr="00316D43">
              <w:rPr>
                <w:rFonts w:eastAsia="Arial Unicode MS" w:cs="Arial"/>
              </w:rPr>
              <w:t xml:space="preserve">Decrease to &lt;1.5 </w:t>
            </w:r>
            <w:r w:rsidR="00546E17" w:rsidRPr="00316D43">
              <w:rPr>
                <w:rFonts w:eastAsia="Arial Unicode MS" w:cs="Arial"/>
              </w:rPr>
              <w:t>over full period</w:t>
            </w:r>
          </w:p>
        </w:tc>
      </w:tr>
      <w:tr w:rsidR="00CF68F0" w:rsidRPr="00316D43" w14:paraId="429F85D2" w14:textId="77777777" w:rsidTr="00B4336E">
        <w:trPr>
          <w:trHeight w:val="919"/>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DA228" w14:textId="77777777" w:rsidR="00F86F4E" w:rsidRPr="00316D43" w:rsidRDefault="00F86F4E" w:rsidP="00CF68F0">
            <w:pPr>
              <w:spacing w:after="0"/>
              <w:jc w:val="center"/>
              <w:rPr>
                <w:rFonts w:eastAsia="Arial Unicode MS" w:cs="Arial"/>
              </w:rPr>
            </w:pPr>
            <w:r w:rsidRPr="00316D43">
              <w:rPr>
                <w:rFonts w:eastAsia="Arial Unicode MS" w:cs="Arial"/>
              </w:rPr>
              <w:t>3.2</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D42D3A3" w14:textId="6A42751B" w:rsidR="00F86F4E" w:rsidRPr="00316D43" w:rsidRDefault="00F86F4E" w:rsidP="00CF68F0">
            <w:pPr>
              <w:spacing w:after="0"/>
              <w:rPr>
                <w:rFonts w:eastAsia="Arial Unicode MS" w:cs="Arial"/>
              </w:rPr>
            </w:pPr>
            <w:r w:rsidRPr="00316D43">
              <w:rPr>
                <w:rFonts w:eastAsia="Arial Unicode MS" w:cs="Arial"/>
              </w:rPr>
              <w:t>NDIS annual spend (Program 1.1) compared to PBS (%)</w:t>
            </w:r>
            <w:r w:rsidR="003B4413" w:rsidRPr="00316D43">
              <w:rPr>
                <w:rStyle w:val="FootnoteReference"/>
                <w:rFonts w:eastAsia="Arial Unicode MS" w:cs="Arial"/>
              </w:rPr>
              <w:footnoteReference w:id="4"/>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DFEC4" w14:textId="77777777" w:rsidR="00F86F4E" w:rsidRPr="00316D43" w:rsidRDefault="00F86F4E" w:rsidP="00CF68F0">
            <w:pPr>
              <w:spacing w:after="0"/>
              <w:jc w:val="center"/>
              <w:rPr>
                <w:rFonts w:eastAsia="Arial Unicode MS" w:cs="Arial"/>
              </w:rPr>
            </w:pPr>
            <w:r w:rsidRPr="00316D43">
              <w:rPr>
                <w:rFonts w:eastAsia="Arial Unicode MS" w:cs="Arial"/>
              </w:rPr>
              <w:t>5</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EE36412" w14:textId="345A7540" w:rsidR="00F86F4E" w:rsidRPr="00316D43" w:rsidRDefault="00AF1B51" w:rsidP="00CF68F0">
            <w:pPr>
              <w:spacing w:after="0"/>
              <w:jc w:val="center"/>
              <w:rPr>
                <w:rFonts w:eastAsia="Arial Unicode MS" w:cs="Arial"/>
              </w:rPr>
            </w:pPr>
            <w:r w:rsidRPr="00316D43">
              <w:rPr>
                <w:rFonts w:eastAsia="Arial Unicode MS" w:cs="Arial"/>
              </w:rPr>
              <w:t>98.1</w:t>
            </w:r>
            <w:r w:rsidR="00F86F4E" w:rsidRPr="00316D43">
              <w:rPr>
                <w:rFonts w:eastAsia="Arial Unicode MS" w:cs="Arial"/>
              </w:rPr>
              <w:t>%</w:t>
            </w:r>
            <w:r w:rsidR="00BC736A" w:rsidRPr="00316D43">
              <w:rPr>
                <w:rStyle w:val="FootnoteReference"/>
                <w:rFonts w:eastAsia="Arial Unicode MS" w:cs="Arial"/>
              </w:rPr>
              <w:footnoteReference w:id="5"/>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482C93A" w14:textId="77777777" w:rsidR="00F86F4E" w:rsidRPr="00316D43" w:rsidRDefault="00F86F4E" w:rsidP="00CF68F0">
            <w:pPr>
              <w:spacing w:after="0"/>
              <w:jc w:val="center"/>
              <w:rPr>
                <w:rFonts w:eastAsia="Arial Unicode MS" w:cs="Arial"/>
              </w:rPr>
            </w:pPr>
            <w:r w:rsidRPr="00316D43">
              <w:rPr>
                <w:rFonts w:eastAsia="Arial Unicode MS" w:cs="Arial"/>
              </w:rPr>
              <w:t>100%</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86E82DE" w14:textId="77777777" w:rsidR="00F86F4E" w:rsidRPr="00316D43" w:rsidRDefault="00F86F4E" w:rsidP="00CF68F0">
            <w:pPr>
              <w:spacing w:after="0"/>
              <w:rPr>
                <w:rFonts w:eastAsia="Arial Unicode MS" w:cs="Arial"/>
              </w:rPr>
            </w:pPr>
            <w:r w:rsidRPr="00316D43">
              <w:rPr>
                <w:rFonts w:eastAsia="Arial Unicode MS" w:cs="Arial"/>
              </w:rPr>
              <w:t>Maintain 100% over full period</w:t>
            </w:r>
          </w:p>
        </w:tc>
      </w:tr>
      <w:tr w:rsidR="00316D43" w:rsidRPr="00316D43" w14:paraId="321E5BE0" w14:textId="77777777" w:rsidTr="00B4336E">
        <w:trPr>
          <w:trHeight w:val="919"/>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D96D6" w14:textId="77777777" w:rsidR="00F86F4E" w:rsidRPr="00316D43" w:rsidRDefault="00F86F4E" w:rsidP="00CF68F0">
            <w:pPr>
              <w:spacing w:after="0"/>
              <w:jc w:val="center"/>
              <w:rPr>
                <w:rFonts w:eastAsia="Arial Unicode MS" w:cs="Arial"/>
              </w:rPr>
            </w:pPr>
            <w:r w:rsidRPr="00316D43">
              <w:rPr>
                <w:rFonts w:eastAsia="Arial Unicode MS" w:cs="Arial"/>
              </w:rPr>
              <w:t>3.3</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BF08FDE" w14:textId="77777777" w:rsidR="00F86F4E" w:rsidRPr="00316D43" w:rsidRDefault="00F86F4E" w:rsidP="00CF68F0">
            <w:pPr>
              <w:spacing w:after="0"/>
              <w:rPr>
                <w:rFonts w:eastAsia="Arial Unicode MS" w:cs="Arial"/>
              </w:rPr>
            </w:pPr>
            <w:r w:rsidRPr="00316D43">
              <w:rPr>
                <w:rFonts w:eastAsia="Arial Unicode MS" w:cs="Arial"/>
              </w:rPr>
              <w:t>Payment errors/anomalies (% of program outlay)</w:t>
            </w:r>
            <w:r w:rsidRPr="00316D43">
              <w:rPr>
                <w:rStyle w:val="FootnoteReference"/>
                <w:rFonts w:eastAsia="Arial Unicode MS" w:cs="Arial"/>
              </w:rPr>
              <w:footnoteReference w:id="6"/>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C28DE" w14:textId="77777777" w:rsidR="00F86F4E" w:rsidRPr="00316D43" w:rsidRDefault="009E711F" w:rsidP="00CF68F0">
            <w:pPr>
              <w:spacing w:after="0"/>
              <w:jc w:val="center"/>
              <w:rPr>
                <w:rFonts w:eastAsia="Arial Unicode MS" w:cs="Arial"/>
              </w:rPr>
            </w:pPr>
            <w:r w:rsidRPr="00316D43">
              <w:rPr>
                <w:rFonts w:eastAsia="Arial Unicode MS" w:cs="Arial"/>
              </w:rPr>
              <w:t>4,</w:t>
            </w:r>
            <w:r w:rsidR="00F86F4E" w:rsidRPr="00316D43">
              <w:rPr>
                <w:rFonts w:eastAsia="Arial Unicode MS" w:cs="Arial"/>
              </w:rPr>
              <w:t>5</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14891BB" w14:textId="77777777" w:rsidR="00F86F4E" w:rsidRPr="00316D43" w:rsidRDefault="00F86F4E" w:rsidP="00CF68F0">
            <w:pPr>
              <w:spacing w:after="0"/>
              <w:jc w:val="center"/>
              <w:rPr>
                <w:rFonts w:eastAsia="Arial Unicode MS" w:cs="Arial"/>
              </w:rPr>
            </w:pPr>
            <w:r w:rsidRPr="00316D43">
              <w:rPr>
                <w:rFonts w:eastAsia="Arial Unicode MS" w:cs="Arial"/>
              </w:rPr>
              <w:t>1.2%</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680B9EE7" w14:textId="77777777" w:rsidR="00F86F4E" w:rsidRPr="00316D43" w:rsidRDefault="00F86F4E" w:rsidP="00CF68F0">
            <w:pPr>
              <w:spacing w:after="0"/>
              <w:jc w:val="center"/>
              <w:rPr>
                <w:rFonts w:eastAsia="Arial Unicode MS" w:cs="Arial"/>
              </w:rPr>
            </w:pPr>
            <w:r w:rsidRPr="00316D43">
              <w:rPr>
                <w:rFonts w:eastAsia="Arial Unicode MS" w:cs="Arial"/>
              </w:rPr>
              <w:t>&lt;1%</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0DBFA4F" w14:textId="76B08CF3" w:rsidR="00F86F4E" w:rsidRPr="00316D43" w:rsidRDefault="00F86F4E" w:rsidP="00CF68F0">
            <w:pPr>
              <w:spacing w:after="0"/>
              <w:rPr>
                <w:rFonts w:eastAsia="Arial Unicode MS" w:cs="Arial"/>
              </w:rPr>
            </w:pPr>
            <w:r w:rsidRPr="00316D43">
              <w:rPr>
                <w:rFonts w:eastAsia="Arial Unicode MS" w:cs="Arial"/>
              </w:rPr>
              <w:t>Maintain &lt;1% over full period</w:t>
            </w:r>
          </w:p>
        </w:tc>
      </w:tr>
    </w:tbl>
    <w:p w14:paraId="576A3917" w14:textId="77777777" w:rsidR="00031645" w:rsidRDefault="00031645" w:rsidP="00031645">
      <w:pPr>
        <w:rPr>
          <w:rFonts w:eastAsiaTheme="minorHAnsi" w:cstheme="minorBidi"/>
          <w:color w:val="6B2976"/>
          <w:sz w:val="30"/>
          <w:szCs w:val="30"/>
          <w:lang w:eastAsia="en-US"/>
        </w:rPr>
      </w:pPr>
      <w:bookmarkStart w:id="133" w:name="_Toc98251631"/>
      <w:bookmarkStart w:id="134" w:name="_Toc98252188"/>
      <w:bookmarkStart w:id="135" w:name="_Toc98252462"/>
      <w:bookmarkStart w:id="136" w:name="_Toc99463599"/>
      <w:bookmarkStart w:id="137" w:name="_Toc99617126"/>
      <w:r>
        <w:br w:type="page"/>
      </w:r>
    </w:p>
    <w:p w14:paraId="51B77C89" w14:textId="5BD00C06" w:rsidR="00F86F4E" w:rsidRPr="0057053E" w:rsidRDefault="00F86F4E" w:rsidP="000B268B">
      <w:pPr>
        <w:pStyle w:val="Heading3"/>
        <w:spacing w:before="600"/>
        <w:rPr>
          <w:bCs/>
          <w:sz w:val="28"/>
          <w:szCs w:val="28"/>
        </w:rPr>
      </w:pPr>
      <w:r>
        <w:t>Table 4</w:t>
      </w:r>
      <w:r w:rsidRPr="00B868EB">
        <w:t>. NDIS operating performance</w:t>
      </w:r>
      <w:bookmarkEnd w:id="133"/>
      <w:bookmarkEnd w:id="134"/>
      <w:bookmarkEnd w:id="135"/>
      <w:bookmarkEnd w:id="136"/>
      <w:bookmarkEnd w:id="137"/>
      <w:r w:rsidR="000B268B">
        <w:t xml:space="preserve"> </w:t>
      </w:r>
    </w:p>
    <w:tbl>
      <w:tblPr>
        <w:tblW w:w="5000" w:type="pct"/>
        <w:tblCellMar>
          <w:top w:w="144" w:type="dxa"/>
          <w:left w:w="144" w:type="dxa"/>
          <w:bottom w:w="144" w:type="dxa"/>
          <w:right w:w="144" w:type="dxa"/>
        </w:tblCellMar>
        <w:tblLook w:val="0420" w:firstRow="1" w:lastRow="0" w:firstColumn="0" w:lastColumn="0" w:noHBand="0" w:noVBand="1"/>
        <w:tblCaption w:val="NDIS Operating performance"/>
        <w:tblDescription w:val="This table outlines performance metrics FY21 Q3, FY22 Targets and long –term aspirations."/>
      </w:tblPr>
      <w:tblGrid>
        <w:gridCol w:w="900"/>
        <w:gridCol w:w="2160"/>
        <w:gridCol w:w="1542"/>
        <w:gridCol w:w="1338"/>
        <w:gridCol w:w="1080"/>
        <w:gridCol w:w="2006"/>
      </w:tblGrid>
      <w:tr w:rsidR="0054128A" w:rsidRPr="00316D43" w14:paraId="0AA6FCD2" w14:textId="77777777" w:rsidTr="00B4336E">
        <w:trPr>
          <w:trHeight w:val="307"/>
        </w:trPr>
        <w:tc>
          <w:tcPr>
            <w:tcW w:w="499" w:type="pct"/>
            <w:tcBorders>
              <w:top w:val="nil"/>
              <w:left w:val="nil"/>
              <w:bottom w:val="single" w:sz="4" w:space="0" w:color="000000" w:themeColor="text1"/>
              <w:right w:val="nil"/>
            </w:tcBorders>
            <w:shd w:val="clear" w:color="auto" w:fill="6A2875"/>
            <w:vAlign w:val="bottom"/>
          </w:tcPr>
          <w:p w14:paraId="07317DA6"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w:t>
            </w:r>
          </w:p>
        </w:tc>
        <w:tc>
          <w:tcPr>
            <w:tcW w:w="1197" w:type="pct"/>
            <w:tcBorders>
              <w:top w:val="nil"/>
              <w:left w:val="nil"/>
              <w:bottom w:val="single" w:sz="4" w:space="0" w:color="000000" w:themeColor="text1"/>
              <w:right w:val="nil"/>
            </w:tcBorders>
            <w:shd w:val="clear" w:color="auto" w:fill="6A2875"/>
            <w:tcMar>
              <w:top w:w="9" w:type="dxa"/>
              <w:left w:w="34" w:type="dxa"/>
              <w:bottom w:w="9" w:type="dxa"/>
              <w:right w:w="34" w:type="dxa"/>
            </w:tcMar>
            <w:vAlign w:val="bottom"/>
            <w:hideMark/>
          </w:tcPr>
          <w:p w14:paraId="10ADEFAC"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What will be measured</w:t>
            </w:r>
          </w:p>
        </w:tc>
        <w:tc>
          <w:tcPr>
            <w:tcW w:w="854" w:type="pct"/>
            <w:tcBorders>
              <w:top w:val="nil"/>
              <w:left w:val="nil"/>
              <w:bottom w:val="single" w:sz="4" w:space="0" w:color="000000" w:themeColor="text1"/>
              <w:right w:val="nil"/>
            </w:tcBorders>
            <w:shd w:val="clear" w:color="auto" w:fill="6A2875"/>
            <w:vAlign w:val="bottom"/>
          </w:tcPr>
          <w:p w14:paraId="7BD04CF5"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Aspiration</w:t>
            </w:r>
          </w:p>
        </w:tc>
        <w:tc>
          <w:tcPr>
            <w:tcW w:w="74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01254B0B"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2021-22 Actual</w:t>
            </w:r>
          </w:p>
        </w:tc>
        <w:tc>
          <w:tcPr>
            <w:tcW w:w="5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0EBC982D"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2022-23 Target</w:t>
            </w:r>
          </w:p>
        </w:tc>
        <w:tc>
          <w:tcPr>
            <w:tcW w:w="111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7426AC25" w14:textId="5601381F"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 xml:space="preserve">2023-24 to </w:t>
            </w:r>
            <w:r w:rsidR="00563995">
              <w:rPr>
                <w:rFonts w:eastAsia="Arial Unicode MS" w:cs="Arial"/>
                <w:b/>
                <w:bCs/>
                <w:color w:val="FFFFFF" w:themeColor="background1"/>
              </w:rPr>
              <w:br/>
            </w:r>
            <w:r w:rsidRPr="00316D43">
              <w:rPr>
                <w:rFonts w:eastAsia="Arial Unicode MS" w:cs="Arial"/>
                <w:b/>
                <w:bCs/>
                <w:color w:val="FFFFFF" w:themeColor="background1"/>
              </w:rPr>
              <w:t>2025-26 Targets</w:t>
            </w:r>
          </w:p>
        </w:tc>
      </w:tr>
      <w:tr w:rsidR="0054128A" w:rsidRPr="00316D43" w14:paraId="1EC5BDC9" w14:textId="77777777" w:rsidTr="00B4336E">
        <w:trPr>
          <w:trHeight w:val="377"/>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DB96A" w14:textId="77777777" w:rsidR="00F86F4E" w:rsidRPr="00316D43" w:rsidRDefault="00F86F4E" w:rsidP="00CF68F0">
            <w:pPr>
              <w:spacing w:after="0"/>
              <w:jc w:val="center"/>
              <w:rPr>
                <w:rFonts w:eastAsia="Arial Unicode MS" w:cs="Arial"/>
              </w:rPr>
            </w:pPr>
            <w:r w:rsidRPr="00316D43">
              <w:rPr>
                <w:rFonts w:eastAsia="Arial Unicode MS" w:cs="Arial"/>
              </w:rPr>
              <w:t>4.1</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1FEE908" w14:textId="77777777" w:rsidR="00F86F4E" w:rsidRPr="00316D43" w:rsidRDefault="00F86F4E" w:rsidP="00CF68F0">
            <w:pPr>
              <w:spacing w:after="0"/>
              <w:rPr>
                <w:rFonts w:eastAsia="Arial Unicode MS" w:cs="Arial"/>
              </w:rPr>
            </w:pPr>
            <w:r w:rsidRPr="00316D43">
              <w:rPr>
                <w:rFonts w:eastAsia="Arial Unicode MS" w:cs="Arial"/>
              </w:rPr>
              <w:t>Participant Service Guarantee timeframes met (%)</w:t>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EA35D" w14:textId="77777777" w:rsidR="00F86F4E" w:rsidRPr="00316D43" w:rsidRDefault="00F86F4E" w:rsidP="00CF68F0">
            <w:pPr>
              <w:spacing w:after="0"/>
              <w:jc w:val="center"/>
              <w:rPr>
                <w:rFonts w:eastAsia="Arial Unicode MS" w:cs="Arial"/>
              </w:rPr>
            </w:pPr>
            <w:r w:rsidRPr="00316D43">
              <w:rPr>
                <w:rFonts w:eastAsia="Arial Unicode MS" w:cs="Arial"/>
              </w:rPr>
              <w:t>1</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D0DD6E3" w14:textId="49B15E6A" w:rsidR="00F86F4E" w:rsidRPr="00316D43" w:rsidRDefault="00D833DE" w:rsidP="00CF68F0">
            <w:pPr>
              <w:spacing w:after="0"/>
              <w:jc w:val="center"/>
              <w:rPr>
                <w:rFonts w:eastAsia="Arial Unicode MS" w:cs="Arial"/>
              </w:rPr>
            </w:pPr>
            <w:r w:rsidRPr="00316D43">
              <w:rPr>
                <w:rFonts w:eastAsia="Arial Unicode MS" w:cs="Arial"/>
              </w:rPr>
              <w:t>50</w:t>
            </w:r>
            <w:r w:rsidR="00F86F4E"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6F9B3D5" w14:textId="547B5B01" w:rsidR="00F86F4E" w:rsidRPr="00316D43" w:rsidRDefault="00C77593" w:rsidP="00CF68F0">
            <w:pPr>
              <w:spacing w:after="0"/>
              <w:jc w:val="center"/>
              <w:rPr>
                <w:rFonts w:eastAsia="Arial Unicode MS" w:cs="Arial"/>
              </w:rPr>
            </w:pPr>
            <w:r w:rsidRPr="00316D43">
              <w:rPr>
                <w:rFonts w:eastAsia="Arial Unicode MS" w:cs="Arial"/>
              </w:rPr>
              <w:t>80</w:t>
            </w:r>
            <w:r w:rsidR="00F86F4E" w:rsidRPr="00316D43">
              <w:rPr>
                <w:rFonts w:eastAsia="Arial Unicode MS" w:cs="Arial"/>
              </w:rPr>
              <w:t>%</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5474C566" w14:textId="28A2AF9C" w:rsidR="00F86F4E" w:rsidRPr="00316D43" w:rsidRDefault="00F86F4E" w:rsidP="00CF68F0">
            <w:pPr>
              <w:spacing w:after="0"/>
              <w:rPr>
                <w:rFonts w:eastAsia="Arial Unicode MS" w:cs="Arial"/>
              </w:rPr>
            </w:pPr>
            <w:r w:rsidRPr="00316D43">
              <w:rPr>
                <w:rFonts w:eastAsia="Arial Unicode MS" w:cs="Arial"/>
              </w:rPr>
              <w:t xml:space="preserve"> </w:t>
            </w:r>
            <w:r w:rsidR="003B4413" w:rsidRPr="00316D43">
              <w:rPr>
                <w:rFonts w:eastAsia="Arial Unicode MS" w:cs="Arial"/>
              </w:rPr>
              <w:t>Increasing to 95% in 2025-26</w:t>
            </w:r>
          </w:p>
        </w:tc>
      </w:tr>
      <w:tr w:rsidR="0054128A" w:rsidRPr="00316D43" w14:paraId="6231CB01" w14:textId="77777777" w:rsidTr="00B4336E">
        <w:trPr>
          <w:trHeight w:val="919"/>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E98CB" w14:textId="77777777" w:rsidR="00F86F4E" w:rsidRPr="00316D43" w:rsidRDefault="00F86F4E" w:rsidP="00CF68F0">
            <w:pPr>
              <w:spacing w:after="0"/>
              <w:jc w:val="center"/>
              <w:rPr>
                <w:rFonts w:eastAsia="Arial Unicode MS" w:cs="Arial"/>
              </w:rPr>
            </w:pPr>
            <w:r w:rsidRPr="00316D43">
              <w:rPr>
                <w:rFonts w:eastAsia="Arial Unicode MS" w:cs="Arial"/>
              </w:rPr>
              <w:t>4.2</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208763F" w14:textId="157F1886" w:rsidR="00F86F4E" w:rsidRPr="00316D43" w:rsidRDefault="00F86F4E" w:rsidP="00CF68F0">
            <w:pPr>
              <w:spacing w:after="0"/>
              <w:rPr>
                <w:rFonts w:eastAsia="Arial Unicode MS" w:cs="Arial"/>
              </w:rPr>
            </w:pPr>
            <w:r w:rsidRPr="00316D43">
              <w:rPr>
                <w:rFonts w:eastAsia="Arial Unicode MS" w:cs="Arial"/>
              </w:rPr>
              <w:t>Plan utilisation by district (%)</w:t>
            </w:r>
            <w:r w:rsidR="00357BF1" w:rsidRPr="00316D43">
              <w:rPr>
                <w:rStyle w:val="FootnoteReference"/>
                <w:rFonts w:eastAsia="Arial Unicode MS" w:cs="Arial"/>
              </w:rPr>
              <w:footnoteReference w:id="7"/>
            </w:r>
          </w:p>
        </w:tc>
        <w:tc>
          <w:tcPr>
            <w:tcW w:w="8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D01D7" w14:textId="77777777" w:rsidR="00F86F4E" w:rsidRPr="00316D43" w:rsidRDefault="00F86F4E" w:rsidP="00CF68F0">
            <w:pPr>
              <w:spacing w:after="0"/>
              <w:jc w:val="center"/>
              <w:rPr>
                <w:rFonts w:eastAsia="Arial Unicode MS" w:cs="Arial"/>
              </w:rPr>
            </w:pPr>
            <w:r w:rsidRPr="00316D43">
              <w:rPr>
                <w:rFonts w:eastAsia="Arial Unicode MS" w:cs="Arial"/>
              </w:rPr>
              <w:t>2</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D2C5C5E" w14:textId="07297078" w:rsidR="00F86F4E" w:rsidRPr="00316D43" w:rsidRDefault="00D833DE" w:rsidP="00CF68F0">
            <w:pPr>
              <w:spacing w:after="0"/>
              <w:jc w:val="center"/>
              <w:rPr>
                <w:rFonts w:eastAsia="Arial Unicode MS" w:cs="Arial"/>
              </w:rPr>
            </w:pPr>
            <w:r w:rsidRPr="00316D43">
              <w:rPr>
                <w:rFonts w:eastAsia="Arial Unicode MS" w:cs="Arial"/>
              </w:rPr>
              <w:t>7.5</w:t>
            </w:r>
            <w:r w:rsidR="00F86F4E"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9E042A9" w14:textId="77777777" w:rsidR="00F86F4E" w:rsidRPr="00316D43" w:rsidRDefault="00F86F4E" w:rsidP="00CF68F0">
            <w:pPr>
              <w:spacing w:after="0"/>
              <w:jc w:val="center"/>
              <w:rPr>
                <w:rFonts w:eastAsia="Arial Unicode MS" w:cs="Arial"/>
              </w:rPr>
            </w:pPr>
            <w:r w:rsidRPr="00316D43">
              <w:rPr>
                <w:rFonts w:eastAsia="Arial Unicode MS" w:cs="Arial"/>
              </w:rPr>
              <w:t>&lt;8%</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B6A364B" w14:textId="1F00CA29" w:rsidR="000E2DC5" w:rsidRPr="00316D43" w:rsidRDefault="00F86F4E" w:rsidP="00CF68F0">
            <w:pPr>
              <w:spacing w:after="0"/>
              <w:rPr>
                <w:rFonts w:eastAsia="Arial Unicode MS" w:cs="Arial"/>
              </w:rPr>
            </w:pPr>
            <w:r w:rsidRPr="00316D43">
              <w:rPr>
                <w:rFonts w:eastAsia="Arial Unicode MS" w:cs="Arial"/>
              </w:rPr>
              <w:t xml:space="preserve">Decrease to </w:t>
            </w:r>
            <w:r w:rsidR="000E2DC5" w:rsidRPr="00316D43">
              <w:rPr>
                <w:rFonts w:eastAsia="Arial Unicode MS" w:cs="Arial"/>
              </w:rPr>
              <w:t>&lt;7%</w:t>
            </w:r>
            <w:r w:rsidR="00660AC7" w:rsidRPr="00316D43">
              <w:rPr>
                <w:rFonts w:eastAsia="Arial Unicode MS" w:cs="Arial"/>
              </w:rPr>
              <w:t xml:space="preserve"> </w:t>
            </w:r>
            <w:r w:rsidR="0064538E" w:rsidRPr="00316D43">
              <w:rPr>
                <w:rFonts w:eastAsia="Arial Unicode MS" w:cs="Arial"/>
              </w:rPr>
              <w:t>over full period</w:t>
            </w:r>
          </w:p>
          <w:p w14:paraId="74B1C079" w14:textId="77777777" w:rsidR="00F86F4E" w:rsidRPr="00316D43" w:rsidRDefault="00F86F4E" w:rsidP="00CF68F0">
            <w:pPr>
              <w:spacing w:after="0"/>
              <w:rPr>
                <w:rFonts w:eastAsia="Arial Unicode MS" w:cs="Arial"/>
              </w:rPr>
            </w:pPr>
            <w:r w:rsidRPr="00316D43">
              <w:rPr>
                <w:rFonts w:eastAsia="Arial Unicode MS" w:cs="Arial"/>
              </w:rPr>
              <w:t>This target corresponds to 5 or fewer service districts.</w:t>
            </w:r>
          </w:p>
        </w:tc>
      </w:tr>
    </w:tbl>
    <w:p w14:paraId="31965398" w14:textId="78C0420B" w:rsidR="00F86F4E" w:rsidRPr="00B868EB" w:rsidRDefault="00F86F4E" w:rsidP="00FD5D7F">
      <w:pPr>
        <w:pStyle w:val="Heading3"/>
      </w:pPr>
      <w:bookmarkStart w:id="138" w:name="_Toc98251632"/>
      <w:bookmarkStart w:id="139" w:name="_Toc98252189"/>
      <w:bookmarkStart w:id="140" w:name="_Toc98252463"/>
      <w:bookmarkStart w:id="141" w:name="_Toc99463600"/>
      <w:bookmarkStart w:id="142" w:name="_Toc99617127"/>
      <w:r>
        <w:t>Table 5</w:t>
      </w:r>
      <w:r w:rsidRPr="00B868EB">
        <w:t>. Market performance</w:t>
      </w:r>
      <w:bookmarkEnd w:id="138"/>
      <w:bookmarkEnd w:id="139"/>
      <w:bookmarkEnd w:id="140"/>
      <w:bookmarkEnd w:id="141"/>
      <w:bookmarkEnd w:id="142"/>
      <w:r w:rsidR="000B268B">
        <w:t xml:space="preserve"> </w:t>
      </w:r>
    </w:p>
    <w:tbl>
      <w:tblPr>
        <w:tblW w:w="5000" w:type="pct"/>
        <w:tblCellMar>
          <w:top w:w="144" w:type="dxa"/>
          <w:left w:w="144" w:type="dxa"/>
          <w:bottom w:w="144" w:type="dxa"/>
          <w:right w:w="144" w:type="dxa"/>
        </w:tblCellMar>
        <w:tblLook w:val="0420" w:firstRow="1" w:lastRow="0" w:firstColumn="0" w:lastColumn="0" w:noHBand="0" w:noVBand="1"/>
        <w:tblCaption w:val="Market performance"/>
        <w:tblDescription w:val="This table outlines performance metrics FY21 Q3, FY22 Targets and long –term aspirations."/>
      </w:tblPr>
      <w:tblGrid>
        <w:gridCol w:w="900"/>
        <w:gridCol w:w="2160"/>
        <w:gridCol w:w="1607"/>
        <w:gridCol w:w="1273"/>
        <w:gridCol w:w="1080"/>
        <w:gridCol w:w="2006"/>
      </w:tblGrid>
      <w:tr w:rsidR="00657CF2" w:rsidRPr="00316D43" w14:paraId="1EB3F743" w14:textId="77777777" w:rsidTr="00B4336E">
        <w:trPr>
          <w:trHeight w:val="307"/>
          <w:tblHeader/>
        </w:trPr>
        <w:tc>
          <w:tcPr>
            <w:tcW w:w="499" w:type="pct"/>
            <w:tcBorders>
              <w:top w:val="nil"/>
              <w:left w:val="nil"/>
              <w:bottom w:val="single" w:sz="4" w:space="0" w:color="000000" w:themeColor="text1"/>
              <w:right w:val="nil"/>
            </w:tcBorders>
            <w:shd w:val="clear" w:color="auto" w:fill="6A2875"/>
            <w:vAlign w:val="bottom"/>
          </w:tcPr>
          <w:p w14:paraId="6F11B386"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w:t>
            </w:r>
          </w:p>
        </w:tc>
        <w:tc>
          <w:tcPr>
            <w:tcW w:w="1197" w:type="pct"/>
            <w:tcBorders>
              <w:top w:val="nil"/>
              <w:left w:val="nil"/>
              <w:bottom w:val="single" w:sz="4" w:space="0" w:color="000000" w:themeColor="text1"/>
              <w:right w:val="nil"/>
            </w:tcBorders>
            <w:shd w:val="clear" w:color="auto" w:fill="6A2875"/>
            <w:tcMar>
              <w:top w:w="9" w:type="dxa"/>
              <w:left w:w="34" w:type="dxa"/>
              <w:bottom w:w="9" w:type="dxa"/>
              <w:right w:w="34" w:type="dxa"/>
            </w:tcMar>
            <w:vAlign w:val="bottom"/>
            <w:hideMark/>
          </w:tcPr>
          <w:p w14:paraId="15211C8F"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What will be measured</w:t>
            </w:r>
          </w:p>
        </w:tc>
        <w:tc>
          <w:tcPr>
            <w:tcW w:w="890" w:type="pct"/>
            <w:tcBorders>
              <w:top w:val="nil"/>
              <w:left w:val="nil"/>
              <w:bottom w:val="single" w:sz="4" w:space="0" w:color="000000" w:themeColor="text1"/>
              <w:right w:val="nil"/>
            </w:tcBorders>
            <w:shd w:val="clear" w:color="auto" w:fill="6A2875"/>
            <w:vAlign w:val="bottom"/>
          </w:tcPr>
          <w:p w14:paraId="32515D9C"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Aspiration</w:t>
            </w:r>
          </w:p>
        </w:tc>
        <w:tc>
          <w:tcPr>
            <w:tcW w:w="705"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76810455"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2021-22 Actual</w:t>
            </w:r>
          </w:p>
        </w:tc>
        <w:tc>
          <w:tcPr>
            <w:tcW w:w="5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4E9028D7"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2022-23 Target</w:t>
            </w:r>
          </w:p>
        </w:tc>
        <w:tc>
          <w:tcPr>
            <w:tcW w:w="111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0B7B929B" w14:textId="07D2D47B"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 xml:space="preserve">2023-24 to </w:t>
            </w:r>
            <w:r w:rsidR="00563995">
              <w:rPr>
                <w:rFonts w:eastAsia="Arial Unicode MS" w:cs="Arial"/>
                <w:b/>
                <w:bCs/>
                <w:color w:val="FFFFFF" w:themeColor="background1"/>
              </w:rPr>
              <w:br/>
            </w:r>
            <w:r w:rsidRPr="00316D43">
              <w:rPr>
                <w:rFonts w:eastAsia="Arial Unicode MS" w:cs="Arial"/>
                <w:b/>
                <w:bCs/>
                <w:color w:val="FFFFFF" w:themeColor="background1"/>
              </w:rPr>
              <w:t>2025-26 Targets</w:t>
            </w:r>
          </w:p>
        </w:tc>
      </w:tr>
      <w:tr w:rsidR="00657CF2" w:rsidRPr="00316D43" w14:paraId="786E6F22" w14:textId="77777777" w:rsidTr="00B4336E">
        <w:trPr>
          <w:trHeight w:val="377"/>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18C98" w14:textId="77777777" w:rsidR="00F86F4E" w:rsidRPr="00316D43" w:rsidRDefault="00F86F4E" w:rsidP="00563995">
            <w:pPr>
              <w:spacing w:after="0"/>
              <w:jc w:val="center"/>
              <w:rPr>
                <w:rFonts w:eastAsia="Arial Unicode MS" w:cs="Arial"/>
              </w:rPr>
            </w:pPr>
            <w:r w:rsidRPr="00316D43">
              <w:rPr>
                <w:rFonts w:eastAsia="Arial Unicode MS" w:cs="Arial"/>
              </w:rPr>
              <w:t>5.1</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171B9975" w14:textId="77777777" w:rsidR="00F86F4E" w:rsidRPr="00316D43" w:rsidRDefault="00F86F4E" w:rsidP="00563995">
            <w:pPr>
              <w:spacing w:after="0"/>
              <w:rPr>
                <w:rFonts w:eastAsia="Arial Unicode MS" w:cs="Arial"/>
              </w:rPr>
            </w:pPr>
            <w:r w:rsidRPr="00316D43">
              <w:rPr>
                <w:rFonts w:eastAsia="Arial Unicode MS" w:cs="Arial"/>
              </w:rPr>
              <w:t>Market concentration (%)</w:t>
            </w:r>
            <w:r w:rsidRPr="00316D43">
              <w:rPr>
                <w:rStyle w:val="FootnoteReference"/>
                <w:rFonts w:eastAsia="Arial Unicode MS" w:cs="Arial"/>
              </w:rPr>
              <w:footnoteReference w:id="8"/>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AE942" w14:textId="77777777" w:rsidR="00F86F4E" w:rsidRPr="00316D43" w:rsidRDefault="00F86F4E" w:rsidP="00563995">
            <w:pPr>
              <w:spacing w:after="0"/>
              <w:jc w:val="center"/>
              <w:rPr>
                <w:rFonts w:eastAsia="Arial Unicode MS" w:cs="Arial"/>
              </w:rPr>
            </w:pPr>
            <w:r w:rsidRPr="00316D43">
              <w:rPr>
                <w:rFonts w:eastAsia="Arial Unicode MS" w:cs="Arial"/>
              </w:rPr>
              <w:t>2</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213354F5" w14:textId="045F0574" w:rsidR="00F86F4E" w:rsidRPr="00316D43" w:rsidRDefault="00F86F4E" w:rsidP="00563995">
            <w:pPr>
              <w:spacing w:after="0"/>
              <w:jc w:val="center"/>
              <w:rPr>
                <w:rFonts w:eastAsia="Arial Unicode MS" w:cs="Arial"/>
              </w:rPr>
            </w:pPr>
            <w:r w:rsidRPr="00316D43">
              <w:rPr>
                <w:rFonts w:eastAsia="Arial Unicode MS" w:cs="Arial"/>
              </w:rPr>
              <w:t>8</w:t>
            </w:r>
            <w:r w:rsidR="00D833DE" w:rsidRPr="00316D43">
              <w:rPr>
                <w:rFonts w:eastAsia="Arial Unicode MS" w:cs="Arial"/>
              </w:rPr>
              <w:t>.4</w:t>
            </w:r>
            <w:r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94EF586" w14:textId="77777777" w:rsidR="00F86F4E" w:rsidRPr="00316D43" w:rsidRDefault="00F86F4E" w:rsidP="00563995">
            <w:pPr>
              <w:spacing w:after="0"/>
              <w:jc w:val="center"/>
              <w:rPr>
                <w:rFonts w:eastAsia="Arial Unicode MS" w:cs="Arial"/>
              </w:rPr>
            </w:pPr>
            <w:r w:rsidRPr="00316D43">
              <w:rPr>
                <w:rFonts w:eastAsia="Arial Unicode MS" w:cs="Arial"/>
              </w:rPr>
              <w:t>&lt;9%</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752DEA32" w14:textId="4ABEA071" w:rsidR="006E7C68" w:rsidRPr="00316D43" w:rsidRDefault="00F86F4E" w:rsidP="00563995">
            <w:pPr>
              <w:spacing w:after="0"/>
              <w:rPr>
                <w:rFonts w:eastAsia="Arial Unicode MS" w:cs="Arial"/>
              </w:rPr>
            </w:pPr>
            <w:r w:rsidRPr="00316D43">
              <w:rPr>
                <w:rFonts w:eastAsia="Arial Unicode MS" w:cs="Arial"/>
              </w:rPr>
              <w:t xml:space="preserve">Decrease to &lt;8% </w:t>
            </w:r>
            <w:r w:rsidR="006317A2" w:rsidRPr="00316D43">
              <w:rPr>
                <w:rFonts w:eastAsia="Arial Unicode MS" w:cs="Arial"/>
              </w:rPr>
              <w:t xml:space="preserve">in 2023-25 and &lt;7% in 2025-26. </w:t>
            </w:r>
          </w:p>
          <w:p w14:paraId="7D7E7C2B" w14:textId="77777777" w:rsidR="00F86F4E" w:rsidRPr="00316D43" w:rsidRDefault="00F86F4E" w:rsidP="00563995">
            <w:pPr>
              <w:spacing w:after="0"/>
              <w:rPr>
                <w:rFonts w:eastAsia="Arial Unicode MS" w:cs="Arial"/>
              </w:rPr>
            </w:pPr>
            <w:r w:rsidRPr="00316D43">
              <w:rPr>
                <w:rFonts w:eastAsia="Arial Unicode MS" w:cs="Arial"/>
              </w:rPr>
              <w:t xml:space="preserve">The 2025-26 target of &lt;7% corresponds to 5 or fewer service districts. </w:t>
            </w:r>
          </w:p>
        </w:tc>
      </w:tr>
      <w:tr w:rsidR="00657CF2" w:rsidRPr="00316D43" w14:paraId="53CF3AD9" w14:textId="77777777" w:rsidTr="00B4336E">
        <w:trPr>
          <w:trHeight w:val="919"/>
        </w:trPr>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A72BF" w14:textId="77777777" w:rsidR="00F86F4E" w:rsidRPr="00316D43" w:rsidRDefault="00F86F4E" w:rsidP="00563995">
            <w:pPr>
              <w:spacing w:after="0"/>
              <w:jc w:val="center"/>
              <w:rPr>
                <w:rFonts w:eastAsia="Arial Unicode MS" w:cs="Arial"/>
              </w:rPr>
            </w:pPr>
            <w:r w:rsidRPr="00316D43">
              <w:rPr>
                <w:rFonts w:eastAsia="Arial Unicode MS" w:cs="Arial"/>
              </w:rPr>
              <w:t>5.2</w:t>
            </w:r>
          </w:p>
        </w:tc>
        <w:tc>
          <w:tcPr>
            <w:tcW w:w="11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0900EBEC" w14:textId="66FFE099" w:rsidR="00F86F4E" w:rsidRPr="00316D43" w:rsidRDefault="00F86F4E" w:rsidP="00563995">
            <w:pPr>
              <w:spacing w:after="0"/>
              <w:rPr>
                <w:rFonts w:eastAsia="Arial Unicode MS" w:cs="Arial"/>
              </w:rPr>
            </w:pPr>
            <w:r w:rsidRPr="00316D43">
              <w:rPr>
                <w:rFonts w:eastAsia="Arial Unicode MS" w:cs="Arial"/>
              </w:rPr>
              <w:t>Providers charging below the price limit (%)</w:t>
            </w:r>
            <w:r w:rsidRPr="00316D43">
              <w:rPr>
                <w:rStyle w:val="FootnoteReference"/>
                <w:rFonts w:eastAsia="Arial Unicode MS" w:cs="Arial"/>
              </w:rPr>
              <w:footnoteReference w:id="9"/>
            </w:r>
          </w:p>
        </w:tc>
        <w:tc>
          <w:tcPr>
            <w:tcW w:w="8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76ABF" w14:textId="77777777" w:rsidR="00F86F4E" w:rsidRPr="00316D43" w:rsidRDefault="00F86F4E" w:rsidP="00563995">
            <w:pPr>
              <w:spacing w:after="0"/>
              <w:jc w:val="center"/>
              <w:rPr>
                <w:rFonts w:eastAsia="Arial Unicode MS" w:cs="Arial"/>
              </w:rPr>
            </w:pPr>
            <w:r w:rsidRPr="00316D43">
              <w:rPr>
                <w:rFonts w:eastAsia="Arial Unicode MS" w:cs="Arial"/>
              </w:rPr>
              <w:t>2</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176C2BB" w14:textId="3E70A265" w:rsidR="00F86F4E" w:rsidRPr="00316D43" w:rsidRDefault="00F86F4E" w:rsidP="00563995">
            <w:pPr>
              <w:spacing w:after="0"/>
              <w:jc w:val="center"/>
              <w:rPr>
                <w:rFonts w:eastAsia="Arial Unicode MS" w:cs="Arial"/>
              </w:rPr>
            </w:pPr>
            <w:r w:rsidRPr="00316D43">
              <w:rPr>
                <w:rFonts w:eastAsia="Arial Unicode MS" w:cs="Arial"/>
              </w:rPr>
              <w:t>2</w:t>
            </w:r>
            <w:r w:rsidR="0064538E" w:rsidRPr="00316D43">
              <w:rPr>
                <w:rFonts w:eastAsia="Arial Unicode MS" w:cs="Arial"/>
              </w:rPr>
              <w:t>2</w:t>
            </w:r>
            <w:r w:rsidR="00D833DE" w:rsidRPr="00316D43">
              <w:rPr>
                <w:rFonts w:eastAsia="Arial Unicode MS" w:cs="Arial"/>
              </w:rPr>
              <w:t>.3</w:t>
            </w:r>
            <w:r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34195341" w14:textId="77777777" w:rsidR="00F86F4E" w:rsidRPr="00316D43" w:rsidRDefault="00F86F4E" w:rsidP="00563995">
            <w:pPr>
              <w:spacing w:after="0"/>
              <w:jc w:val="center"/>
              <w:rPr>
                <w:rFonts w:eastAsia="Arial Unicode MS" w:cs="Arial"/>
              </w:rPr>
            </w:pPr>
            <w:r w:rsidRPr="00316D43">
              <w:rPr>
                <w:rFonts w:eastAsia="Arial Unicode MS" w:cs="Arial"/>
              </w:rPr>
              <w:t>&gt;24%</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vAlign w:val="center"/>
            <w:hideMark/>
          </w:tcPr>
          <w:p w14:paraId="4A9BBDDA" w14:textId="6DA12D7A" w:rsidR="00F86F4E" w:rsidRPr="00316D43" w:rsidRDefault="00F86F4E" w:rsidP="00563995">
            <w:pPr>
              <w:spacing w:after="0"/>
              <w:rPr>
                <w:rFonts w:eastAsia="Arial Unicode MS" w:cs="Arial"/>
              </w:rPr>
            </w:pPr>
            <w:r w:rsidRPr="00316D43">
              <w:rPr>
                <w:rFonts w:eastAsia="Arial Unicode MS" w:cs="Arial"/>
              </w:rPr>
              <w:t xml:space="preserve">Increase to </w:t>
            </w:r>
            <w:r w:rsidR="0064538E" w:rsidRPr="00316D43">
              <w:rPr>
                <w:rFonts w:eastAsia="Arial Unicode MS" w:cs="Arial"/>
              </w:rPr>
              <w:t>&gt;</w:t>
            </w:r>
            <w:r w:rsidRPr="00316D43">
              <w:rPr>
                <w:rFonts w:eastAsia="Arial Unicode MS" w:cs="Arial"/>
              </w:rPr>
              <w:t xml:space="preserve">25% </w:t>
            </w:r>
            <w:r w:rsidR="0064538E" w:rsidRPr="00316D43">
              <w:rPr>
                <w:rFonts w:eastAsia="Arial Unicode MS" w:cs="Arial"/>
              </w:rPr>
              <w:t>over full period</w:t>
            </w:r>
          </w:p>
        </w:tc>
      </w:tr>
    </w:tbl>
    <w:p w14:paraId="473C123E" w14:textId="25E615ED" w:rsidR="00F86F4E" w:rsidRPr="00B868EB" w:rsidRDefault="00F86F4E" w:rsidP="00FD5D7F">
      <w:pPr>
        <w:pStyle w:val="Heading3"/>
      </w:pPr>
      <w:bookmarkStart w:id="143" w:name="_Toc98251633"/>
      <w:bookmarkStart w:id="144" w:name="_Toc98252190"/>
      <w:bookmarkStart w:id="145" w:name="_Toc98252464"/>
      <w:bookmarkStart w:id="146" w:name="_Toc99463601"/>
      <w:bookmarkStart w:id="147" w:name="_Toc99617128"/>
      <w:r>
        <w:t>Table 6</w:t>
      </w:r>
      <w:r w:rsidRPr="00B868EB">
        <w:t>. NDIA operating performance</w:t>
      </w:r>
      <w:bookmarkEnd w:id="143"/>
      <w:bookmarkEnd w:id="144"/>
      <w:bookmarkEnd w:id="145"/>
      <w:bookmarkEnd w:id="146"/>
      <w:bookmarkEnd w:id="147"/>
      <w:r w:rsidR="000B268B">
        <w:t xml:space="preserve"> </w:t>
      </w:r>
    </w:p>
    <w:tbl>
      <w:tblPr>
        <w:tblW w:w="5000" w:type="pct"/>
        <w:tblLayout w:type="fixed"/>
        <w:tblCellMar>
          <w:top w:w="144" w:type="dxa"/>
          <w:left w:w="144" w:type="dxa"/>
          <w:bottom w:w="144" w:type="dxa"/>
          <w:right w:w="144" w:type="dxa"/>
        </w:tblCellMar>
        <w:tblLook w:val="0420" w:firstRow="1" w:lastRow="0" w:firstColumn="0" w:lastColumn="0" w:noHBand="0" w:noVBand="1"/>
        <w:tblCaption w:val="NDIA Operating performance"/>
        <w:tblDescription w:val="This table outlines performance metrics FY21 Q3, FY22 Targets and long –term aspirations."/>
      </w:tblPr>
      <w:tblGrid>
        <w:gridCol w:w="986"/>
        <w:gridCol w:w="2071"/>
        <w:gridCol w:w="1623"/>
        <w:gridCol w:w="1260"/>
        <w:gridCol w:w="1080"/>
        <w:gridCol w:w="2006"/>
      </w:tblGrid>
      <w:tr w:rsidR="00B4336E" w:rsidRPr="00316D43" w14:paraId="16DE0C92" w14:textId="77777777" w:rsidTr="00B4336E">
        <w:trPr>
          <w:trHeight w:val="307"/>
          <w:tblHeader/>
        </w:trPr>
        <w:tc>
          <w:tcPr>
            <w:tcW w:w="547" w:type="pct"/>
            <w:tcBorders>
              <w:top w:val="nil"/>
              <w:left w:val="nil"/>
              <w:bottom w:val="single" w:sz="4" w:space="0" w:color="000000" w:themeColor="text1"/>
              <w:right w:val="nil"/>
            </w:tcBorders>
            <w:shd w:val="clear" w:color="auto" w:fill="6A2875"/>
            <w:vAlign w:val="bottom"/>
          </w:tcPr>
          <w:p w14:paraId="6694BC72"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w:t>
            </w:r>
          </w:p>
        </w:tc>
        <w:tc>
          <w:tcPr>
            <w:tcW w:w="1147" w:type="pct"/>
            <w:tcBorders>
              <w:top w:val="nil"/>
              <w:left w:val="nil"/>
              <w:bottom w:val="single" w:sz="4" w:space="0" w:color="000000" w:themeColor="text1"/>
              <w:right w:val="nil"/>
            </w:tcBorders>
            <w:shd w:val="clear" w:color="auto" w:fill="6A2875"/>
            <w:tcMar>
              <w:top w:w="9" w:type="dxa"/>
              <w:left w:w="34" w:type="dxa"/>
              <w:bottom w:w="9" w:type="dxa"/>
              <w:right w:w="34" w:type="dxa"/>
            </w:tcMar>
            <w:vAlign w:val="bottom"/>
            <w:hideMark/>
          </w:tcPr>
          <w:p w14:paraId="730E5F24"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What will be measured</w:t>
            </w:r>
          </w:p>
        </w:tc>
        <w:tc>
          <w:tcPr>
            <w:tcW w:w="899" w:type="pct"/>
            <w:tcBorders>
              <w:top w:val="nil"/>
              <w:left w:val="nil"/>
              <w:bottom w:val="single" w:sz="4" w:space="0" w:color="000000" w:themeColor="text1"/>
              <w:right w:val="nil"/>
            </w:tcBorders>
            <w:shd w:val="clear" w:color="auto" w:fill="6A2875"/>
            <w:vAlign w:val="bottom"/>
          </w:tcPr>
          <w:p w14:paraId="0964E057" w14:textId="77777777" w:rsidR="00F86F4E" w:rsidRPr="00316D43" w:rsidRDefault="00F86F4E" w:rsidP="00B4336E">
            <w:pPr>
              <w:spacing w:after="0"/>
              <w:jc w:val="center"/>
              <w:rPr>
                <w:rFonts w:eastAsia="Arial Unicode MS" w:cs="Arial"/>
                <w:b/>
                <w:bCs/>
                <w:color w:val="FFFFFF" w:themeColor="background1"/>
              </w:rPr>
            </w:pPr>
            <w:r w:rsidRPr="00316D43">
              <w:rPr>
                <w:rFonts w:eastAsia="Arial Unicode MS" w:cs="Arial"/>
                <w:b/>
                <w:bCs/>
                <w:color w:val="FFFFFF" w:themeColor="background1"/>
              </w:rPr>
              <w:t>Aspiration</w:t>
            </w:r>
          </w:p>
        </w:tc>
        <w:tc>
          <w:tcPr>
            <w:tcW w:w="6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7DFF319C"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2021-22 Actual</w:t>
            </w:r>
          </w:p>
        </w:tc>
        <w:tc>
          <w:tcPr>
            <w:tcW w:w="598"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421F1CDE"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2022-23 Target</w:t>
            </w:r>
          </w:p>
        </w:tc>
        <w:tc>
          <w:tcPr>
            <w:tcW w:w="1111" w:type="pct"/>
            <w:tcBorders>
              <w:top w:val="nil"/>
              <w:left w:val="nil"/>
              <w:bottom w:val="single" w:sz="4" w:space="0" w:color="000000" w:themeColor="text1"/>
              <w:right w:val="nil"/>
            </w:tcBorders>
            <w:shd w:val="clear" w:color="auto" w:fill="6A2875"/>
            <w:tcMar>
              <w:top w:w="15" w:type="dxa"/>
              <w:left w:w="34" w:type="dxa"/>
              <w:bottom w:w="0" w:type="dxa"/>
              <w:right w:w="34" w:type="dxa"/>
            </w:tcMar>
            <w:vAlign w:val="bottom"/>
            <w:hideMark/>
          </w:tcPr>
          <w:p w14:paraId="3EA33967" w14:textId="77777777" w:rsidR="00F86F4E" w:rsidRPr="00316D43" w:rsidRDefault="00F86F4E" w:rsidP="00B4336E">
            <w:pPr>
              <w:spacing w:after="0"/>
              <w:jc w:val="center"/>
              <w:rPr>
                <w:rFonts w:eastAsia="Arial Unicode MS" w:cs="Arial"/>
                <w:color w:val="FFFFFF" w:themeColor="background1"/>
              </w:rPr>
            </w:pPr>
            <w:r w:rsidRPr="00316D43">
              <w:rPr>
                <w:rFonts w:eastAsia="Arial Unicode MS" w:cs="Arial"/>
                <w:b/>
                <w:bCs/>
                <w:color w:val="FFFFFF" w:themeColor="background1"/>
              </w:rPr>
              <w:t>2023-24 to 2025-26 Targets</w:t>
            </w:r>
          </w:p>
        </w:tc>
      </w:tr>
      <w:tr w:rsidR="00F86F4E" w:rsidRPr="00316D43" w14:paraId="729ABB55" w14:textId="77777777" w:rsidTr="00B4336E">
        <w:trPr>
          <w:trHeight w:val="377"/>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502F2" w14:textId="77777777" w:rsidR="00F86F4E" w:rsidRPr="00316D43" w:rsidRDefault="00F86F4E" w:rsidP="00563995">
            <w:pPr>
              <w:spacing w:after="0"/>
              <w:jc w:val="center"/>
              <w:rPr>
                <w:rFonts w:eastAsia="Arial Unicode MS" w:cs="Arial"/>
              </w:rPr>
            </w:pPr>
            <w:r w:rsidRPr="00316D43">
              <w:rPr>
                <w:rFonts w:eastAsia="Arial Unicode MS" w:cs="Arial"/>
              </w:rPr>
              <w:t>6.1</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729EE9CF" w14:textId="3D72599C" w:rsidR="00F86F4E" w:rsidRPr="00316D43" w:rsidRDefault="00F86F4E" w:rsidP="00563995">
            <w:pPr>
              <w:spacing w:after="0"/>
              <w:rPr>
                <w:rFonts w:eastAsia="Arial Unicode MS" w:cs="Arial"/>
              </w:rPr>
            </w:pPr>
            <w:r w:rsidRPr="00316D43">
              <w:rPr>
                <w:rFonts w:eastAsia="Arial Unicode MS" w:cs="Arial"/>
              </w:rPr>
              <w:t>NDIA spend (Program 1.2) compared to PBS (%)</w:t>
            </w:r>
            <w:r w:rsidR="003B4413" w:rsidRPr="00316D43">
              <w:rPr>
                <w:rStyle w:val="FootnoteReference"/>
                <w:rFonts w:eastAsia="Arial Unicode MS" w:cs="Arial"/>
              </w:rPr>
              <w:footnoteReference w:id="10"/>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C999E" w14:textId="77777777" w:rsidR="00F86F4E" w:rsidRPr="00316D43" w:rsidRDefault="00F86F4E" w:rsidP="00563995">
            <w:pPr>
              <w:spacing w:after="0"/>
              <w:jc w:val="center"/>
              <w:rPr>
                <w:rFonts w:eastAsia="Arial Unicode MS" w:cs="Arial"/>
              </w:rPr>
            </w:pPr>
            <w:r w:rsidRPr="00316D43">
              <w:rPr>
                <w:rFonts w:eastAsia="Arial Unicode MS" w:cs="Arial"/>
              </w:rPr>
              <w:t>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281E2023" w14:textId="63B7D6DE" w:rsidR="00F86F4E" w:rsidRPr="00316D43" w:rsidRDefault="007E5FC6" w:rsidP="00563995">
            <w:pPr>
              <w:spacing w:after="0"/>
              <w:jc w:val="center"/>
              <w:rPr>
                <w:rFonts w:eastAsia="Arial Unicode MS" w:cs="Arial"/>
              </w:rPr>
            </w:pPr>
            <w:r w:rsidRPr="00316D43">
              <w:rPr>
                <w:rFonts w:eastAsia="Arial Unicode MS" w:cs="Arial"/>
              </w:rPr>
              <w:t>95</w:t>
            </w:r>
            <w:r w:rsidR="00F86F4E" w:rsidRPr="00316D43">
              <w:rPr>
                <w:rFonts w:eastAsia="Arial Unicode MS" w:cs="Arial"/>
              </w:rPr>
              <w:t>%</w:t>
            </w:r>
            <w:r w:rsidR="00C71188" w:rsidRPr="00316D43">
              <w:rPr>
                <w:rStyle w:val="FootnoteReference"/>
                <w:rFonts w:eastAsia="Arial Unicode MS" w:cs="Arial"/>
              </w:rPr>
              <w:footnoteReference w:id="11"/>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26C39B1C" w14:textId="77777777" w:rsidR="00F86F4E" w:rsidRPr="00316D43" w:rsidRDefault="00F86F4E" w:rsidP="00563995">
            <w:pPr>
              <w:spacing w:after="0"/>
              <w:jc w:val="center"/>
              <w:rPr>
                <w:rFonts w:eastAsia="Arial Unicode MS" w:cs="Arial"/>
              </w:rPr>
            </w:pPr>
            <w:r w:rsidRPr="00316D43">
              <w:rPr>
                <w:rFonts w:eastAsia="Arial Unicode MS" w:cs="Arial"/>
              </w:rPr>
              <w:t>100%</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39224415" w14:textId="77777777" w:rsidR="00F86F4E" w:rsidRPr="00316D43" w:rsidRDefault="00F86F4E" w:rsidP="00563995">
            <w:pPr>
              <w:spacing w:after="0"/>
              <w:rPr>
                <w:rFonts w:eastAsia="Arial Unicode MS" w:cs="Arial"/>
              </w:rPr>
            </w:pPr>
            <w:r w:rsidRPr="00316D43">
              <w:rPr>
                <w:rFonts w:eastAsia="Arial Unicode MS" w:cs="Arial"/>
              </w:rPr>
              <w:t>Maintain 100% over full period</w:t>
            </w:r>
          </w:p>
        </w:tc>
      </w:tr>
      <w:tr w:rsidR="00F86F4E" w:rsidRPr="00316D43" w14:paraId="6950FB61" w14:textId="77777777" w:rsidTr="00B4336E">
        <w:trPr>
          <w:trHeight w:val="919"/>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1A6B0" w14:textId="77777777" w:rsidR="00F86F4E" w:rsidRPr="00316D43" w:rsidRDefault="00F86F4E" w:rsidP="00563995">
            <w:pPr>
              <w:spacing w:after="0"/>
              <w:jc w:val="center"/>
              <w:rPr>
                <w:rFonts w:eastAsia="Arial Unicode MS" w:cs="Arial"/>
              </w:rPr>
            </w:pPr>
            <w:r w:rsidRPr="00316D43">
              <w:rPr>
                <w:rFonts w:eastAsia="Arial Unicode MS" w:cs="Arial"/>
              </w:rPr>
              <w:t>6.2</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55A0421B" w14:textId="5976E8ED" w:rsidR="00F86F4E" w:rsidRPr="00316D43" w:rsidRDefault="00F86F4E" w:rsidP="00563995">
            <w:pPr>
              <w:spacing w:after="0"/>
              <w:rPr>
                <w:rFonts w:eastAsia="Arial Unicode MS" w:cs="Arial"/>
              </w:rPr>
            </w:pPr>
            <w:r w:rsidRPr="00316D43">
              <w:rPr>
                <w:rFonts w:eastAsia="Arial Unicode MS" w:cs="Arial"/>
              </w:rPr>
              <w:t>NDIA spend (Program 1.2) as proportion of NDIS spend (%)</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DB4F" w14:textId="77777777" w:rsidR="00F86F4E" w:rsidRPr="00316D43" w:rsidRDefault="00F86F4E" w:rsidP="00563995">
            <w:pPr>
              <w:spacing w:after="0"/>
              <w:jc w:val="center"/>
              <w:rPr>
                <w:rFonts w:eastAsia="Arial Unicode MS" w:cs="Arial"/>
              </w:rPr>
            </w:pPr>
            <w:r w:rsidRPr="00316D43">
              <w:rPr>
                <w:rFonts w:eastAsia="Arial Unicode MS" w:cs="Arial"/>
              </w:rPr>
              <w:t>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3B2E07F1" w14:textId="489E65E9" w:rsidR="00F86F4E" w:rsidRPr="00316D43" w:rsidRDefault="00F86F4E" w:rsidP="00563995">
            <w:pPr>
              <w:spacing w:after="0"/>
              <w:jc w:val="center"/>
              <w:rPr>
                <w:rFonts w:eastAsia="Arial Unicode MS" w:cs="Arial"/>
              </w:rPr>
            </w:pPr>
            <w:r w:rsidRPr="00316D43">
              <w:rPr>
                <w:rFonts w:eastAsia="Arial Unicode MS" w:cs="Arial"/>
              </w:rPr>
              <w:t>5.</w:t>
            </w:r>
            <w:r w:rsidR="00242F2C" w:rsidRPr="00316D43">
              <w:rPr>
                <w:rFonts w:eastAsia="Arial Unicode MS" w:cs="Arial"/>
              </w:rPr>
              <w:t>5</w:t>
            </w:r>
            <w:r w:rsidRPr="00316D43">
              <w:rPr>
                <w:rFonts w:eastAsia="Arial Unicode MS" w:cs="Arial"/>
              </w:rPr>
              <w:t>%</w:t>
            </w:r>
            <w:r w:rsidR="00DE692D" w:rsidRPr="00316D43">
              <w:rPr>
                <w:rStyle w:val="FootnoteReference"/>
                <w:rFonts w:eastAsia="Arial Unicode MS" w:cs="Arial"/>
              </w:rPr>
              <w:footnoteReference w:id="12"/>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6FF382C3" w14:textId="370DCEE4" w:rsidR="00F86F4E" w:rsidRPr="00316D43" w:rsidRDefault="00243FCE" w:rsidP="00563995">
            <w:pPr>
              <w:spacing w:after="0"/>
              <w:jc w:val="center"/>
              <w:rPr>
                <w:rFonts w:eastAsia="Arial Unicode MS" w:cs="Arial"/>
              </w:rPr>
            </w:pPr>
            <w:r w:rsidRPr="00316D43">
              <w:rPr>
                <w:rFonts w:eastAsia="Arial Unicode MS" w:cs="Arial"/>
              </w:rPr>
              <w:t>6</w:t>
            </w:r>
            <w:r w:rsidR="00F86F4E" w:rsidRPr="00316D43">
              <w:rPr>
                <w:rFonts w:eastAsia="Arial Unicode MS" w:cs="Arial"/>
              </w:rPr>
              <w:t>%</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6BEC74FD" w14:textId="289BED87" w:rsidR="00F86F4E" w:rsidRPr="00316D43" w:rsidRDefault="002F6037" w:rsidP="00563995">
            <w:pPr>
              <w:spacing w:after="0"/>
              <w:rPr>
                <w:rFonts w:eastAsia="Arial Unicode MS" w:cs="Arial"/>
              </w:rPr>
            </w:pPr>
            <w:r w:rsidRPr="00316D43">
              <w:rPr>
                <w:rFonts w:eastAsia="Arial Unicode MS" w:cs="Arial"/>
              </w:rPr>
              <w:t>Maint</w:t>
            </w:r>
            <w:r w:rsidR="00480B45" w:rsidRPr="00316D43">
              <w:rPr>
                <w:rFonts w:eastAsia="Arial Unicode MS" w:cs="Arial"/>
              </w:rPr>
              <w:t xml:space="preserve">ain </w:t>
            </w:r>
            <w:r w:rsidR="00542546" w:rsidRPr="00316D43">
              <w:rPr>
                <w:rFonts w:eastAsia="Arial Unicode MS" w:cs="Arial"/>
              </w:rPr>
              <w:t>6%</w:t>
            </w:r>
            <w:r w:rsidR="00480B45" w:rsidRPr="00316D43">
              <w:rPr>
                <w:rFonts w:eastAsia="Arial Unicode MS" w:cs="Arial"/>
              </w:rPr>
              <w:t xml:space="preserve"> over the full period</w:t>
            </w:r>
          </w:p>
        </w:tc>
      </w:tr>
      <w:tr w:rsidR="00F86F4E" w:rsidRPr="00316D43" w14:paraId="3EC3FDF2" w14:textId="77777777" w:rsidTr="00B4336E">
        <w:trPr>
          <w:trHeight w:val="919"/>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A09D" w14:textId="77777777" w:rsidR="00F86F4E" w:rsidRPr="00316D43" w:rsidRDefault="00F86F4E" w:rsidP="00563995">
            <w:pPr>
              <w:spacing w:after="0"/>
              <w:jc w:val="center"/>
              <w:rPr>
                <w:rFonts w:eastAsia="Arial Unicode MS" w:cs="Arial"/>
              </w:rPr>
            </w:pPr>
            <w:r w:rsidRPr="00316D43">
              <w:rPr>
                <w:rFonts w:eastAsia="Arial Unicode MS" w:cs="Arial"/>
              </w:rPr>
              <w:t>6.3</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45C681D9" w14:textId="77777777" w:rsidR="00F86F4E" w:rsidRPr="00316D43" w:rsidRDefault="00F86F4E" w:rsidP="00563995">
            <w:pPr>
              <w:spacing w:after="0"/>
              <w:rPr>
                <w:rFonts w:eastAsia="Arial Unicode MS" w:cs="Arial"/>
              </w:rPr>
            </w:pPr>
            <w:r w:rsidRPr="00316D43">
              <w:rPr>
                <w:rFonts w:eastAsia="Arial Unicode MS" w:cs="Arial"/>
              </w:rPr>
              <w:t>Staff engagement (%)</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415D" w14:textId="77777777" w:rsidR="00F86F4E" w:rsidRPr="00316D43" w:rsidRDefault="00F86F4E" w:rsidP="00563995">
            <w:pPr>
              <w:spacing w:after="0"/>
              <w:jc w:val="center"/>
              <w:rPr>
                <w:rFonts w:eastAsia="Arial Unicode MS" w:cs="Arial"/>
              </w:rPr>
            </w:pPr>
            <w:r w:rsidRPr="00316D43">
              <w:rPr>
                <w:rFonts w:eastAsia="Arial Unicode MS" w:cs="Arial"/>
              </w:rPr>
              <w:t>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4C887D54" w14:textId="77777777" w:rsidR="00F86F4E" w:rsidRPr="00316D43" w:rsidRDefault="00F86F4E" w:rsidP="00563995">
            <w:pPr>
              <w:spacing w:after="0"/>
              <w:jc w:val="center"/>
              <w:rPr>
                <w:rFonts w:eastAsia="Arial Unicode MS" w:cs="Arial"/>
              </w:rPr>
            </w:pPr>
            <w:r w:rsidRPr="00316D43">
              <w:rPr>
                <w:rFonts w:eastAsia="Arial Unicode MS" w:cs="Arial"/>
              </w:rPr>
              <w:t>74%</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2B3CD2C3" w14:textId="27C6C7DD" w:rsidR="00F86F4E" w:rsidRPr="00316D43" w:rsidRDefault="006D4BA3" w:rsidP="00563995">
            <w:pPr>
              <w:spacing w:after="0"/>
              <w:jc w:val="center"/>
              <w:rPr>
                <w:rFonts w:eastAsia="Arial Unicode MS" w:cs="Arial"/>
              </w:rPr>
            </w:pPr>
            <w:r w:rsidRPr="00316D43">
              <w:rPr>
                <w:rFonts w:eastAsia="Arial Unicode MS" w:cs="Arial"/>
              </w:rPr>
              <w:t>76</w:t>
            </w:r>
            <w:r w:rsidR="00F86F4E" w:rsidRPr="00316D43">
              <w:rPr>
                <w:rFonts w:eastAsia="Arial Unicode MS" w:cs="Arial"/>
              </w:rPr>
              <w:t>%</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576E551C" w14:textId="6673B846" w:rsidR="00F86F4E" w:rsidRPr="00316D43" w:rsidRDefault="00F86F4E" w:rsidP="00563995">
            <w:pPr>
              <w:spacing w:after="0"/>
              <w:rPr>
                <w:rFonts w:eastAsia="Arial Unicode MS" w:cs="Arial"/>
              </w:rPr>
            </w:pPr>
            <w:r w:rsidRPr="00316D43">
              <w:rPr>
                <w:rFonts w:eastAsia="Arial Unicode MS" w:cs="Arial"/>
              </w:rPr>
              <w:t>Increase to 80%</w:t>
            </w:r>
            <w:r w:rsidR="0064538E" w:rsidRPr="00316D43">
              <w:rPr>
                <w:rFonts w:eastAsia="Arial Unicode MS" w:cs="Arial"/>
              </w:rPr>
              <w:t xml:space="preserve"> over full period</w:t>
            </w:r>
          </w:p>
        </w:tc>
      </w:tr>
      <w:tr w:rsidR="00F86F4E" w:rsidRPr="00316D43" w14:paraId="6DCAE6A0" w14:textId="77777777" w:rsidTr="00B4336E">
        <w:trPr>
          <w:trHeight w:val="919"/>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0088" w14:textId="77777777" w:rsidR="00F86F4E" w:rsidRPr="00316D43" w:rsidRDefault="00F86F4E" w:rsidP="00563995">
            <w:pPr>
              <w:spacing w:after="0"/>
              <w:jc w:val="center"/>
              <w:rPr>
                <w:rFonts w:eastAsia="Arial Unicode MS" w:cs="Arial"/>
              </w:rPr>
            </w:pPr>
            <w:r w:rsidRPr="00316D43">
              <w:rPr>
                <w:rFonts w:eastAsia="Arial Unicode MS" w:cs="Arial"/>
              </w:rPr>
              <w:t>6.4</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020B5686" w14:textId="77777777" w:rsidR="00F86F4E" w:rsidRPr="00316D43" w:rsidRDefault="00F86F4E" w:rsidP="00563995">
            <w:pPr>
              <w:spacing w:after="0"/>
              <w:rPr>
                <w:rFonts w:eastAsia="Arial Unicode MS" w:cs="Arial"/>
              </w:rPr>
            </w:pPr>
            <w:r w:rsidRPr="00316D43">
              <w:rPr>
                <w:rFonts w:eastAsia="Arial Unicode MS" w:cs="Arial"/>
              </w:rPr>
              <w:t>Staff wellbeing (%)</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30290" w14:textId="77777777" w:rsidR="00F86F4E" w:rsidRPr="00316D43" w:rsidRDefault="00F86F4E" w:rsidP="00563995">
            <w:pPr>
              <w:spacing w:after="0"/>
              <w:jc w:val="center"/>
              <w:rPr>
                <w:rFonts w:eastAsia="Arial Unicode MS" w:cs="Arial"/>
              </w:rPr>
            </w:pPr>
            <w:r w:rsidRPr="00316D43">
              <w:rPr>
                <w:rFonts w:eastAsia="Arial Unicode MS" w:cs="Arial"/>
              </w:rPr>
              <w:t>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76860469" w14:textId="77777777" w:rsidR="00F86F4E" w:rsidRPr="00316D43" w:rsidRDefault="00F86F4E" w:rsidP="00563995">
            <w:pPr>
              <w:spacing w:after="0"/>
              <w:jc w:val="center"/>
              <w:rPr>
                <w:rFonts w:eastAsia="Arial Unicode MS" w:cs="Arial"/>
                <w:highlight w:val="yellow"/>
              </w:rPr>
            </w:pPr>
            <w:r w:rsidRPr="00316D43">
              <w:rPr>
                <w:rFonts w:eastAsia="Arial Unicode MS" w:cs="Arial"/>
              </w:rPr>
              <w:t>66%</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0E642686" w14:textId="77777777" w:rsidR="00F86F4E" w:rsidRPr="00316D43" w:rsidRDefault="00F86F4E" w:rsidP="00563995">
            <w:pPr>
              <w:spacing w:after="0"/>
              <w:jc w:val="center"/>
              <w:rPr>
                <w:rFonts w:eastAsia="Arial Unicode MS" w:cs="Arial"/>
                <w:highlight w:val="yellow"/>
              </w:rPr>
            </w:pPr>
            <w:r w:rsidRPr="00316D43">
              <w:rPr>
                <w:rFonts w:eastAsia="Arial Unicode MS" w:cs="Arial"/>
              </w:rPr>
              <w:t xml:space="preserve">70% </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3326AD16" w14:textId="77777777" w:rsidR="00F86F4E" w:rsidRPr="00316D43" w:rsidRDefault="00F86F4E" w:rsidP="00563995">
            <w:pPr>
              <w:spacing w:after="0"/>
              <w:rPr>
                <w:rFonts w:eastAsia="Arial Unicode MS" w:cs="Arial"/>
              </w:rPr>
            </w:pPr>
            <w:r w:rsidRPr="00316D43">
              <w:rPr>
                <w:rFonts w:eastAsia="Arial Unicode MS" w:cs="Arial"/>
              </w:rPr>
              <w:t>Maintain 70% over full period</w:t>
            </w:r>
          </w:p>
        </w:tc>
      </w:tr>
      <w:tr w:rsidR="00F86F4E" w:rsidRPr="00316D43" w14:paraId="09A04E84" w14:textId="77777777" w:rsidTr="00B4336E">
        <w:trPr>
          <w:trHeight w:val="919"/>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E8CD3" w14:textId="77777777" w:rsidR="00F86F4E" w:rsidRPr="00316D43" w:rsidRDefault="00F86F4E" w:rsidP="00563995">
            <w:pPr>
              <w:spacing w:after="0"/>
              <w:jc w:val="center"/>
              <w:rPr>
                <w:rFonts w:eastAsia="Arial Unicode MS" w:cs="Arial"/>
              </w:rPr>
            </w:pPr>
            <w:r w:rsidRPr="00316D43">
              <w:rPr>
                <w:rFonts w:eastAsia="Arial Unicode MS" w:cs="Arial"/>
              </w:rPr>
              <w:t>6.5</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0F6D4882" w14:textId="77777777" w:rsidR="00F86F4E" w:rsidRPr="00316D43" w:rsidRDefault="00F86F4E" w:rsidP="00563995">
            <w:pPr>
              <w:spacing w:after="0"/>
              <w:rPr>
                <w:rFonts w:eastAsia="Arial Unicode MS" w:cs="Arial"/>
              </w:rPr>
            </w:pPr>
            <w:r w:rsidRPr="00316D43">
              <w:rPr>
                <w:rFonts w:eastAsia="Arial Unicode MS" w:cs="Arial"/>
              </w:rPr>
              <w:t>Staff with disability (%)</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34C23" w14:textId="77777777" w:rsidR="00F86F4E" w:rsidRPr="00316D43" w:rsidRDefault="00F86F4E" w:rsidP="00563995">
            <w:pPr>
              <w:spacing w:after="0"/>
              <w:jc w:val="center"/>
              <w:rPr>
                <w:rFonts w:eastAsia="Arial Unicode MS" w:cs="Arial"/>
              </w:rPr>
            </w:pPr>
            <w:r w:rsidRPr="00316D43">
              <w:rPr>
                <w:rFonts w:eastAsia="Arial Unicode MS" w:cs="Arial"/>
              </w:rPr>
              <w:t>1,4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3E0CBB4C" w14:textId="60001C56" w:rsidR="00F86F4E" w:rsidRPr="00316D43" w:rsidRDefault="00F86F4E" w:rsidP="00563995">
            <w:pPr>
              <w:spacing w:after="0"/>
              <w:jc w:val="center"/>
              <w:rPr>
                <w:rFonts w:eastAsia="Arial Unicode MS" w:cs="Arial"/>
              </w:rPr>
            </w:pPr>
            <w:r w:rsidRPr="00316D43">
              <w:rPr>
                <w:rFonts w:eastAsia="Arial Unicode MS" w:cs="Arial"/>
              </w:rPr>
              <w:t>19</w:t>
            </w:r>
            <w:r w:rsidR="00242F2C" w:rsidRPr="00316D43">
              <w:rPr>
                <w:rFonts w:eastAsia="Arial Unicode MS" w:cs="Arial"/>
              </w:rPr>
              <w:t>.1</w:t>
            </w:r>
            <w:r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097A31B2" w14:textId="77777777" w:rsidR="00F86F4E" w:rsidRPr="00316D43" w:rsidRDefault="00F86F4E" w:rsidP="00563995">
            <w:pPr>
              <w:spacing w:after="0"/>
              <w:jc w:val="center"/>
              <w:rPr>
                <w:rFonts w:eastAsia="Arial Unicode MS" w:cs="Arial"/>
              </w:rPr>
            </w:pPr>
            <w:r w:rsidRPr="00316D43">
              <w:rPr>
                <w:rFonts w:eastAsia="Arial Unicode MS" w:cs="Arial"/>
              </w:rPr>
              <w:t>19%</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2FD14066" w14:textId="5960B7B7" w:rsidR="00F86F4E" w:rsidRPr="00316D43" w:rsidRDefault="00F86F4E" w:rsidP="00563995">
            <w:pPr>
              <w:spacing w:after="0"/>
              <w:rPr>
                <w:rFonts w:eastAsia="Arial Unicode MS" w:cs="Arial"/>
              </w:rPr>
            </w:pPr>
            <w:r w:rsidRPr="00316D43">
              <w:rPr>
                <w:rFonts w:eastAsia="Arial Unicode MS" w:cs="Arial"/>
              </w:rPr>
              <w:t xml:space="preserve">Increase to 20% </w:t>
            </w:r>
            <w:r w:rsidR="0064538E" w:rsidRPr="00316D43">
              <w:rPr>
                <w:rFonts w:eastAsia="Arial Unicode MS" w:cs="Arial"/>
              </w:rPr>
              <w:t>over full period</w:t>
            </w:r>
          </w:p>
        </w:tc>
      </w:tr>
      <w:tr w:rsidR="00F86F4E" w:rsidRPr="00316D43" w14:paraId="01753A30" w14:textId="77777777" w:rsidTr="00B4336E">
        <w:trPr>
          <w:trHeight w:val="919"/>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E00A" w14:textId="77777777" w:rsidR="00F86F4E" w:rsidRPr="00316D43" w:rsidRDefault="00F86F4E" w:rsidP="00563995">
            <w:pPr>
              <w:spacing w:after="0"/>
              <w:jc w:val="center"/>
              <w:rPr>
                <w:rFonts w:eastAsia="Arial Unicode MS" w:cs="Arial"/>
              </w:rPr>
            </w:pPr>
            <w:r w:rsidRPr="00316D43">
              <w:rPr>
                <w:rFonts w:eastAsia="Arial Unicode MS" w:cs="Arial"/>
              </w:rPr>
              <w:t>6.7</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64CFC16A" w14:textId="77777777" w:rsidR="00F86F4E" w:rsidRPr="00316D43" w:rsidRDefault="00F86F4E" w:rsidP="00563995">
            <w:pPr>
              <w:spacing w:after="0"/>
              <w:rPr>
                <w:rFonts w:eastAsia="Arial Unicode MS" w:cs="Arial"/>
              </w:rPr>
            </w:pPr>
            <w:r w:rsidRPr="00316D43">
              <w:rPr>
                <w:rFonts w:eastAsia="Arial Unicode MS" w:cs="Arial"/>
              </w:rPr>
              <w:t>Senior Executive Service staff with disability (%)</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BDAEC" w14:textId="77777777" w:rsidR="00F86F4E" w:rsidRPr="00316D43" w:rsidRDefault="00F86F4E" w:rsidP="00563995">
            <w:pPr>
              <w:spacing w:after="0"/>
              <w:jc w:val="center"/>
              <w:rPr>
                <w:rFonts w:eastAsia="Arial Unicode MS" w:cs="Arial"/>
              </w:rPr>
            </w:pPr>
            <w:r w:rsidRPr="00316D43">
              <w:rPr>
                <w:rFonts w:eastAsia="Arial Unicode MS" w:cs="Arial"/>
              </w:rPr>
              <w:t>1,4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404A5A4A" w14:textId="77777777" w:rsidR="00F86F4E" w:rsidRPr="00316D43" w:rsidRDefault="00F86F4E" w:rsidP="00563995">
            <w:pPr>
              <w:spacing w:after="0"/>
              <w:jc w:val="center"/>
              <w:rPr>
                <w:rFonts w:eastAsia="Arial Unicode MS" w:cs="Arial"/>
              </w:rPr>
            </w:pPr>
            <w:r w:rsidRPr="00316D43">
              <w:rPr>
                <w:rFonts w:eastAsia="Arial Unicode MS" w:cs="Arial"/>
              </w:rPr>
              <w:t>12%</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7F769874" w14:textId="77777777" w:rsidR="00F86F4E" w:rsidRPr="00316D43" w:rsidRDefault="00F86F4E" w:rsidP="00563995">
            <w:pPr>
              <w:spacing w:after="0"/>
              <w:jc w:val="center"/>
              <w:rPr>
                <w:rFonts w:eastAsia="Arial Unicode MS" w:cs="Arial"/>
              </w:rPr>
            </w:pPr>
            <w:r w:rsidRPr="00316D43">
              <w:rPr>
                <w:rFonts w:eastAsia="Arial Unicode MS" w:cs="Arial"/>
              </w:rPr>
              <w:t>12%</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03C3969A" w14:textId="77777777" w:rsidR="00F86F4E" w:rsidRPr="00316D43" w:rsidRDefault="00F86F4E" w:rsidP="00563995">
            <w:pPr>
              <w:spacing w:after="0"/>
              <w:rPr>
                <w:rFonts w:eastAsia="Arial Unicode MS" w:cs="Arial"/>
              </w:rPr>
            </w:pPr>
            <w:r w:rsidRPr="00316D43">
              <w:rPr>
                <w:rFonts w:eastAsia="Arial Unicode MS" w:cs="Arial"/>
              </w:rPr>
              <w:t>Maintain 12% over full period</w:t>
            </w:r>
          </w:p>
        </w:tc>
      </w:tr>
      <w:tr w:rsidR="00F86F4E" w:rsidRPr="00316D43" w14:paraId="6796DBD6" w14:textId="77777777" w:rsidTr="00B4336E">
        <w:trPr>
          <w:trHeight w:val="919"/>
        </w:trPr>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E54F" w14:textId="77777777" w:rsidR="00F86F4E" w:rsidRPr="00316D43" w:rsidRDefault="00F86F4E" w:rsidP="00563995">
            <w:pPr>
              <w:spacing w:after="0"/>
              <w:jc w:val="center"/>
              <w:rPr>
                <w:rFonts w:eastAsia="Arial Unicode MS" w:cs="Arial"/>
              </w:rPr>
            </w:pPr>
            <w:r w:rsidRPr="00316D43">
              <w:rPr>
                <w:rFonts w:eastAsia="Arial Unicode MS" w:cs="Arial"/>
              </w:rPr>
              <w:t>6.8</w:t>
            </w:r>
          </w:p>
        </w:tc>
        <w:tc>
          <w:tcPr>
            <w:tcW w:w="11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597ABF12" w14:textId="77777777" w:rsidR="00F86F4E" w:rsidRPr="00316D43" w:rsidRDefault="00F86F4E" w:rsidP="00563995">
            <w:pPr>
              <w:spacing w:after="0"/>
              <w:rPr>
                <w:rFonts w:eastAsia="Arial Unicode MS" w:cs="Arial"/>
              </w:rPr>
            </w:pPr>
            <w:r w:rsidRPr="00316D43">
              <w:rPr>
                <w:rFonts w:eastAsia="Arial Unicode MS" w:cs="Arial"/>
              </w:rPr>
              <w:t>Female representation in the Senior Executive Service (%)</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103CC" w14:textId="77777777" w:rsidR="00F86F4E" w:rsidRPr="00316D43" w:rsidRDefault="00F86F4E" w:rsidP="00563995">
            <w:pPr>
              <w:spacing w:after="0"/>
              <w:jc w:val="center"/>
              <w:rPr>
                <w:rFonts w:eastAsia="Arial Unicode MS" w:cs="Arial"/>
              </w:rPr>
            </w:pPr>
            <w:r w:rsidRPr="00316D43">
              <w:rPr>
                <w:rFonts w:eastAsia="Arial Unicode MS" w:cs="Arial"/>
              </w:rPr>
              <w:t>1,4</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22FB7AA2" w14:textId="54F77637" w:rsidR="00F86F4E" w:rsidRPr="00316D43" w:rsidRDefault="00F86F4E" w:rsidP="00563995">
            <w:pPr>
              <w:spacing w:after="0"/>
              <w:jc w:val="center"/>
              <w:rPr>
                <w:rFonts w:eastAsia="Arial Unicode MS" w:cs="Arial"/>
              </w:rPr>
            </w:pPr>
            <w:r w:rsidRPr="00316D43">
              <w:rPr>
                <w:rFonts w:eastAsia="Arial Unicode MS" w:cs="Arial"/>
              </w:rPr>
              <w:t>5</w:t>
            </w:r>
            <w:r w:rsidR="00242F2C" w:rsidRPr="00316D43">
              <w:rPr>
                <w:rFonts w:eastAsia="Arial Unicode MS" w:cs="Arial"/>
              </w:rPr>
              <w:t>7.5</w:t>
            </w:r>
            <w:r w:rsidRPr="00316D43">
              <w:rPr>
                <w:rFonts w:eastAsia="Arial Unicode MS" w:cs="Arial"/>
              </w:rPr>
              <w:t>%</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249C644E" w14:textId="77777777" w:rsidR="00F86F4E" w:rsidRPr="00316D43" w:rsidRDefault="00F86F4E" w:rsidP="00563995">
            <w:pPr>
              <w:spacing w:after="0"/>
              <w:jc w:val="center"/>
              <w:rPr>
                <w:rFonts w:eastAsia="Arial Unicode MS" w:cs="Arial"/>
              </w:rPr>
            </w:pPr>
            <w:r w:rsidRPr="00316D43">
              <w:rPr>
                <w:rFonts w:eastAsia="Arial Unicode MS" w:cs="Arial"/>
              </w:rPr>
              <w:t>50%</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34" w:type="dxa"/>
              <w:bottom w:w="0" w:type="dxa"/>
              <w:right w:w="34" w:type="dxa"/>
            </w:tcMar>
          </w:tcPr>
          <w:p w14:paraId="1EC0DACE" w14:textId="77777777" w:rsidR="00F86F4E" w:rsidRPr="00316D43" w:rsidRDefault="00F86F4E" w:rsidP="00563995">
            <w:pPr>
              <w:spacing w:after="0"/>
              <w:rPr>
                <w:rFonts w:eastAsia="Arial Unicode MS" w:cs="Arial"/>
              </w:rPr>
            </w:pPr>
            <w:r w:rsidRPr="00316D43">
              <w:rPr>
                <w:rFonts w:eastAsia="Arial Unicode MS" w:cs="Arial"/>
              </w:rPr>
              <w:t>Maintain 50% over full period</w:t>
            </w:r>
          </w:p>
        </w:tc>
      </w:tr>
    </w:tbl>
    <w:p w14:paraId="217C9A21" w14:textId="77777777" w:rsidR="00176CE8" w:rsidRPr="00DA7CC8" w:rsidRDefault="00176CE8">
      <w:pPr>
        <w:spacing w:after="0" w:line="240" w:lineRule="auto"/>
        <w:rPr>
          <w:rFonts w:cs="Arial"/>
        </w:rPr>
      </w:pPr>
      <w:r w:rsidRPr="007F7615">
        <w:rPr>
          <w:rFonts w:cs="Arial"/>
        </w:rPr>
        <w:br w:type="page"/>
      </w:r>
    </w:p>
    <w:p w14:paraId="4431A15B" w14:textId="06E3E2D8" w:rsidR="00176CE8" w:rsidRDefault="00176CE8" w:rsidP="00176CE8">
      <w:pPr>
        <w:pStyle w:val="Heading2"/>
      </w:pPr>
      <w:bookmarkStart w:id="148" w:name="_Toc99617129"/>
      <w:r>
        <w:t>Financials</w:t>
      </w:r>
      <w:bookmarkEnd w:id="148"/>
      <w:r w:rsidR="000B268B">
        <w:t xml:space="preserve"> </w:t>
      </w:r>
    </w:p>
    <w:p w14:paraId="3F07F0D5" w14:textId="6F821F5B" w:rsidR="00260F3A" w:rsidRDefault="00260F3A" w:rsidP="00260F3A">
      <w:pPr>
        <w:rPr>
          <w:rFonts w:eastAsia="Arial" w:cs="Arial"/>
          <w:color w:val="000000" w:themeColor="text1"/>
        </w:rPr>
      </w:pPr>
      <w:r w:rsidRPr="57BBC519">
        <w:rPr>
          <w:rFonts w:eastAsia="Arial" w:cs="Arial"/>
          <w:color w:val="000000" w:themeColor="text1"/>
        </w:rPr>
        <w:t xml:space="preserve">The NDIS Act requires the Agency to manage the financial sustainability of the Scheme and </w:t>
      </w:r>
      <w:r>
        <w:rPr>
          <w:rFonts w:eastAsia="Arial" w:cs="Arial"/>
          <w:color w:val="000000" w:themeColor="text1"/>
        </w:rPr>
        <w:t>report</w:t>
      </w:r>
      <w:r w:rsidRPr="57BBC519">
        <w:rPr>
          <w:rFonts w:eastAsia="Arial" w:cs="Arial"/>
          <w:color w:val="000000" w:themeColor="text1"/>
        </w:rPr>
        <w:t xml:space="preserve"> estimates of current and future expenditure associated with the Scheme</w:t>
      </w:r>
      <w:r>
        <w:rPr>
          <w:rFonts w:eastAsia="Arial" w:cs="Arial"/>
          <w:color w:val="000000" w:themeColor="text1"/>
        </w:rPr>
        <w:t xml:space="preserve"> in the </w:t>
      </w:r>
      <w:r w:rsidR="00700E44">
        <w:rPr>
          <w:rFonts w:eastAsia="Arial" w:cs="Arial"/>
          <w:color w:val="000000" w:themeColor="text1"/>
        </w:rPr>
        <w:t>Corporate Plan</w:t>
      </w:r>
      <w:r w:rsidRPr="57BBC519">
        <w:rPr>
          <w:rFonts w:eastAsia="Arial" w:cs="Arial"/>
          <w:color w:val="000000" w:themeColor="text1"/>
        </w:rPr>
        <w:t>.</w:t>
      </w:r>
      <w:r w:rsidR="000B268B">
        <w:rPr>
          <w:rFonts w:eastAsia="Arial" w:cs="Arial"/>
          <w:color w:val="000000" w:themeColor="text1"/>
        </w:rPr>
        <w:t xml:space="preserve"> </w:t>
      </w:r>
    </w:p>
    <w:p w14:paraId="2EAEEDE0" w14:textId="305735E5" w:rsidR="00260F3A" w:rsidRDefault="00260F3A" w:rsidP="00260F3A">
      <w:pPr>
        <w:rPr>
          <w:rFonts w:eastAsia="Calibri" w:cs="Arial"/>
          <w:color w:val="000000" w:themeColor="text1"/>
        </w:rPr>
      </w:pPr>
      <w:r w:rsidRPr="328F4C06">
        <w:rPr>
          <w:rFonts w:eastAsia="Arial" w:cs="Arial"/>
          <w:color w:val="000000" w:themeColor="text1"/>
        </w:rPr>
        <w:t xml:space="preserve">The Public Budget Statements (PBS) </w:t>
      </w:r>
      <w:r>
        <w:rPr>
          <w:rFonts w:eastAsia="Arial" w:cs="Arial"/>
          <w:color w:val="000000" w:themeColor="text1"/>
        </w:rPr>
        <w:t xml:space="preserve">were </w:t>
      </w:r>
      <w:r w:rsidRPr="328F4C06">
        <w:rPr>
          <w:rFonts w:eastAsia="Arial" w:cs="Arial"/>
          <w:color w:val="000000" w:themeColor="text1"/>
        </w:rPr>
        <w:t xml:space="preserve">announced on 29 March 2022 </w:t>
      </w:r>
      <w:r>
        <w:rPr>
          <w:rFonts w:eastAsia="Arial" w:cs="Arial"/>
          <w:color w:val="000000" w:themeColor="text1"/>
        </w:rPr>
        <w:t xml:space="preserve">and </w:t>
      </w:r>
      <w:r w:rsidRPr="328F4C06">
        <w:rPr>
          <w:rFonts w:eastAsia="Arial" w:cs="Arial"/>
          <w:color w:val="000000" w:themeColor="text1"/>
        </w:rPr>
        <w:t xml:space="preserve">set out the anticipated expenditure and </w:t>
      </w:r>
      <w:r>
        <w:rPr>
          <w:rFonts w:eastAsia="Arial" w:cs="Arial"/>
          <w:color w:val="000000" w:themeColor="text1"/>
        </w:rPr>
        <w:t>revenue</w:t>
      </w:r>
      <w:r w:rsidRPr="328F4C06">
        <w:rPr>
          <w:rFonts w:eastAsia="Arial" w:cs="Arial"/>
          <w:color w:val="000000" w:themeColor="text1"/>
        </w:rPr>
        <w:t xml:space="preserve"> for the Scheme over the forward estimates.</w:t>
      </w:r>
      <w:r>
        <w:rPr>
          <w:rFonts w:eastAsia="Arial" w:cs="Arial"/>
          <w:color w:val="000000" w:themeColor="text1"/>
        </w:rPr>
        <w:t xml:space="preserve"> This is provided in table</w:t>
      </w:r>
      <w:r w:rsidR="00E65367">
        <w:rPr>
          <w:rFonts w:eastAsia="Arial" w:cs="Arial"/>
          <w:color w:val="000000" w:themeColor="text1"/>
        </w:rPr>
        <w:t>s</w:t>
      </w:r>
      <w:r>
        <w:rPr>
          <w:rFonts w:eastAsia="Arial" w:cs="Arial"/>
          <w:color w:val="000000" w:themeColor="text1"/>
        </w:rPr>
        <w:t xml:space="preserve"> </w:t>
      </w:r>
      <w:r w:rsidR="00502EBB">
        <w:rPr>
          <w:rFonts w:eastAsia="Arial" w:cs="Arial"/>
          <w:color w:val="000000" w:themeColor="text1"/>
        </w:rPr>
        <w:t>7</w:t>
      </w:r>
      <w:r>
        <w:rPr>
          <w:rFonts w:eastAsia="Arial" w:cs="Arial"/>
          <w:color w:val="000000" w:themeColor="text1"/>
        </w:rPr>
        <w:t xml:space="preserve"> and </w:t>
      </w:r>
      <w:r w:rsidR="00502EBB">
        <w:rPr>
          <w:rFonts w:eastAsia="Arial" w:cs="Arial"/>
          <w:color w:val="000000" w:themeColor="text1"/>
        </w:rPr>
        <w:t>8</w:t>
      </w:r>
      <w:r>
        <w:rPr>
          <w:rFonts w:eastAsia="Arial" w:cs="Arial"/>
          <w:color w:val="000000" w:themeColor="text1"/>
        </w:rPr>
        <w:t xml:space="preserve"> below. </w:t>
      </w:r>
    </w:p>
    <w:p w14:paraId="07E883B1" w14:textId="6DF9CA4F" w:rsidR="00260F3A" w:rsidRDefault="00260F3A" w:rsidP="00260F3A">
      <w:pPr>
        <w:rPr>
          <w:rFonts w:eastAsia="Arial" w:cs="Arial"/>
          <w:color w:val="000000" w:themeColor="text1"/>
        </w:rPr>
      </w:pPr>
      <w:r w:rsidRPr="328F4C06">
        <w:rPr>
          <w:rFonts w:eastAsia="Arial" w:cs="Arial"/>
          <w:color w:val="000000" w:themeColor="text1"/>
        </w:rPr>
        <w:t xml:space="preserve">Expenditure allocated in </w:t>
      </w:r>
      <w:r w:rsidR="00700E44">
        <w:rPr>
          <w:rFonts w:eastAsia="Arial" w:cs="Arial"/>
          <w:color w:val="000000" w:themeColor="text1"/>
        </w:rPr>
        <w:t>P</w:t>
      </w:r>
      <w:r w:rsidR="00700E44" w:rsidRPr="328F4C06">
        <w:rPr>
          <w:rFonts w:eastAsia="Arial" w:cs="Arial"/>
          <w:color w:val="000000" w:themeColor="text1"/>
        </w:rPr>
        <w:t xml:space="preserve">rogram </w:t>
      </w:r>
      <w:r w:rsidRPr="328F4C06">
        <w:rPr>
          <w:rFonts w:eastAsia="Arial" w:cs="Arial"/>
          <w:color w:val="000000" w:themeColor="text1"/>
        </w:rPr>
        <w:t xml:space="preserve">1.1 is in line with the 2021 </w:t>
      </w:r>
      <w:r w:rsidR="00AE32BC">
        <w:rPr>
          <w:rFonts w:eastAsia="Arial" w:cs="Arial"/>
          <w:color w:val="000000" w:themeColor="text1"/>
        </w:rPr>
        <w:t>NDIS Annual Financial Sustainability Report (</w:t>
      </w:r>
      <w:r w:rsidRPr="328F4C06">
        <w:rPr>
          <w:rFonts w:eastAsia="Arial" w:cs="Arial"/>
          <w:color w:val="000000" w:themeColor="text1"/>
        </w:rPr>
        <w:t>AFSR</w:t>
      </w:r>
      <w:r w:rsidR="00AE32BC">
        <w:rPr>
          <w:rFonts w:eastAsia="Arial" w:cs="Arial"/>
          <w:color w:val="000000" w:themeColor="text1"/>
        </w:rPr>
        <w:t>)</w:t>
      </w:r>
      <w:r w:rsidRPr="328F4C06">
        <w:rPr>
          <w:rFonts w:eastAsia="Arial" w:cs="Arial"/>
          <w:color w:val="000000" w:themeColor="text1"/>
        </w:rPr>
        <w:t xml:space="preserve"> released in October 2021. The AFSR </w:t>
      </w:r>
      <w:r>
        <w:rPr>
          <w:rFonts w:eastAsia="Arial" w:cs="Arial"/>
          <w:color w:val="000000" w:themeColor="text1"/>
        </w:rPr>
        <w:t>was</w:t>
      </w:r>
      <w:r w:rsidRPr="328F4C06">
        <w:rPr>
          <w:rFonts w:eastAsia="Arial" w:cs="Arial"/>
          <w:color w:val="000000" w:themeColor="text1"/>
        </w:rPr>
        <w:t xml:space="preserve"> reviewed by the Australian Government Actuary and ha</w:t>
      </w:r>
      <w:r>
        <w:rPr>
          <w:rFonts w:eastAsia="Arial" w:cs="Arial"/>
          <w:color w:val="000000" w:themeColor="text1"/>
        </w:rPr>
        <w:t>s</w:t>
      </w:r>
      <w:r w:rsidRPr="328F4C06">
        <w:rPr>
          <w:rFonts w:eastAsia="Arial" w:cs="Arial"/>
          <w:color w:val="000000" w:themeColor="text1"/>
        </w:rPr>
        <w:t xml:space="preserve"> recently been subject to an independent review</w:t>
      </w:r>
      <w:r>
        <w:rPr>
          <w:rFonts w:eastAsia="Arial" w:cs="Arial"/>
          <w:color w:val="000000" w:themeColor="text1"/>
        </w:rPr>
        <w:t xml:space="preserve"> by Taylor Fry.</w:t>
      </w:r>
      <w:r w:rsidRPr="328F4C06">
        <w:rPr>
          <w:rFonts w:eastAsia="Arial" w:cs="Arial"/>
          <w:color w:val="000000" w:themeColor="text1"/>
        </w:rPr>
        <w:t xml:space="preserve"> </w:t>
      </w:r>
      <w:r w:rsidR="00660AC7">
        <w:rPr>
          <w:rFonts w:eastAsia="Arial" w:cs="Arial"/>
          <w:color w:val="000000" w:themeColor="text1"/>
        </w:rPr>
        <w:t>Both of these reviews supported the projection in the AFSR.</w:t>
      </w:r>
      <w:r w:rsidR="000B268B">
        <w:rPr>
          <w:rFonts w:eastAsia="Arial" w:cs="Arial"/>
          <w:color w:val="000000" w:themeColor="text1"/>
        </w:rPr>
        <w:t xml:space="preserve"> </w:t>
      </w:r>
    </w:p>
    <w:p w14:paraId="7E10E48E" w14:textId="22D33A67" w:rsidR="00260F3A" w:rsidRDefault="00A06B7F" w:rsidP="00260F3A">
      <w:pPr>
        <w:rPr>
          <w:rFonts w:eastAsia="Calibri" w:cs="Arial"/>
        </w:rPr>
      </w:pPr>
      <w:r w:rsidRPr="00715A2E">
        <w:t xml:space="preserve">The annual cost of the NDIS is projected to grow to </w:t>
      </w:r>
      <w:r w:rsidR="00F37626">
        <w:t xml:space="preserve">just over </w:t>
      </w:r>
      <w:r w:rsidRPr="00715A2E">
        <w:t>$40 billion by 2024-25</w:t>
      </w:r>
      <w:r w:rsidR="00260F3A" w:rsidRPr="328F4C06">
        <w:rPr>
          <w:rFonts w:eastAsia="Arial" w:cs="Arial"/>
        </w:rPr>
        <w:t>. Key drivers in this growth include:</w:t>
      </w:r>
      <w:r w:rsidR="000B268B">
        <w:rPr>
          <w:rFonts w:eastAsia="Arial" w:cs="Arial"/>
        </w:rPr>
        <w:t xml:space="preserve"> </w:t>
      </w:r>
    </w:p>
    <w:p w14:paraId="691D11D2" w14:textId="1C744515" w:rsidR="00260F3A" w:rsidRDefault="000A2CEE" w:rsidP="00562112">
      <w:pPr>
        <w:pStyle w:val="ListParagraph"/>
        <w:numPr>
          <w:ilvl w:val="0"/>
          <w:numId w:val="7"/>
        </w:numPr>
        <w:rPr>
          <w:rFonts w:asciiTheme="minorHAnsi" w:eastAsiaTheme="minorEastAsia" w:hAnsiTheme="minorHAnsi"/>
        </w:rPr>
      </w:pPr>
      <w:r>
        <w:rPr>
          <w:rFonts w:eastAsia="Arial" w:cs="Arial"/>
        </w:rPr>
        <w:t>H</w:t>
      </w:r>
      <w:r w:rsidR="00260F3A" w:rsidRPr="328F4C06">
        <w:rPr>
          <w:rFonts w:eastAsia="Arial" w:cs="Arial"/>
        </w:rPr>
        <w:t xml:space="preserve">igher average costs per </w:t>
      </w:r>
      <w:r w:rsidR="00717615">
        <w:rPr>
          <w:rFonts w:eastAsia="Arial" w:cs="Arial"/>
        </w:rPr>
        <w:t xml:space="preserve">participant </w:t>
      </w:r>
      <w:r w:rsidR="00260F3A" w:rsidRPr="328F4C06">
        <w:rPr>
          <w:rFonts w:eastAsia="Arial" w:cs="Arial"/>
        </w:rPr>
        <w:t xml:space="preserve">due to increases of support volumes in </w:t>
      </w:r>
      <w:r w:rsidR="00717615">
        <w:rPr>
          <w:rFonts w:eastAsia="Arial" w:cs="Arial"/>
        </w:rPr>
        <w:t xml:space="preserve">core support and </w:t>
      </w:r>
      <w:r w:rsidR="00260F3A" w:rsidRPr="328F4C06">
        <w:rPr>
          <w:rFonts w:eastAsia="Arial" w:cs="Arial"/>
        </w:rPr>
        <w:t>capacity building</w:t>
      </w:r>
      <w:r>
        <w:rPr>
          <w:rFonts w:eastAsia="Arial" w:cs="Arial"/>
        </w:rPr>
        <w:t>.</w:t>
      </w:r>
      <w:r w:rsidR="000B268B">
        <w:rPr>
          <w:rFonts w:eastAsia="Arial" w:cs="Arial"/>
        </w:rPr>
        <w:t xml:space="preserve"> </w:t>
      </w:r>
    </w:p>
    <w:p w14:paraId="17681911" w14:textId="338AEAEE" w:rsidR="00717615" w:rsidRPr="00E854AC" w:rsidRDefault="000A2CEE" w:rsidP="00562112">
      <w:pPr>
        <w:pStyle w:val="ListParagraph"/>
        <w:numPr>
          <w:ilvl w:val="0"/>
          <w:numId w:val="7"/>
        </w:numPr>
      </w:pPr>
      <w:r>
        <w:rPr>
          <w:rFonts w:eastAsia="Arial" w:cs="Arial"/>
        </w:rPr>
        <w:t>C</w:t>
      </w:r>
      <w:r w:rsidR="00260F3A" w:rsidRPr="00717615">
        <w:rPr>
          <w:rFonts w:eastAsia="Arial" w:cs="Arial"/>
        </w:rPr>
        <w:t>ontinued growth in participant numbers</w:t>
      </w:r>
      <w:r w:rsidR="009768FF" w:rsidRPr="00717615">
        <w:rPr>
          <w:rFonts w:eastAsia="Arial" w:cs="Arial"/>
        </w:rPr>
        <w:t>.</w:t>
      </w:r>
      <w:r w:rsidR="000B268B">
        <w:rPr>
          <w:rFonts w:eastAsia="Arial" w:cs="Arial"/>
        </w:rPr>
        <w:t xml:space="preserve"> </w:t>
      </w:r>
    </w:p>
    <w:p w14:paraId="26D9BF5C" w14:textId="73637E0E" w:rsidR="00A06B7F" w:rsidRPr="00E854AC" w:rsidRDefault="00A06B7F" w:rsidP="00717615">
      <w:pPr>
        <w:rPr>
          <w:rFonts w:eastAsia="Arial" w:cs="Arial"/>
        </w:rPr>
      </w:pPr>
      <w:r w:rsidRPr="00E854AC">
        <w:rPr>
          <w:rFonts w:eastAsia="Arial" w:cs="Arial"/>
        </w:rPr>
        <w:t xml:space="preserve">For those with disability and their families, this means continued support to improve their independence, and enhanced community, social and economic participation. For the NDIA, this means improving outcomes and building capacity aligned with projected forecasts. For all Australians, this means confidence the </w:t>
      </w:r>
      <w:r w:rsidR="000E1EE2">
        <w:rPr>
          <w:rFonts w:eastAsia="Arial" w:cs="Arial"/>
        </w:rPr>
        <w:t>S</w:t>
      </w:r>
      <w:r w:rsidRPr="00E854AC">
        <w:rPr>
          <w:rFonts w:eastAsia="Arial" w:cs="Arial"/>
        </w:rPr>
        <w:t>cheme is affordable, well managed and delivering outcomes.</w:t>
      </w:r>
      <w:r w:rsidR="000B268B">
        <w:rPr>
          <w:rFonts w:eastAsia="Arial" w:cs="Arial"/>
        </w:rPr>
        <w:t xml:space="preserve"> </w:t>
      </w:r>
    </w:p>
    <w:p w14:paraId="0A8F00F2" w14:textId="4AE7D7DF" w:rsidR="00260F3A" w:rsidRDefault="00260F3A" w:rsidP="00260F3A">
      <w:pPr>
        <w:rPr>
          <w:rFonts w:eastAsia="Arial" w:cs="Arial"/>
        </w:rPr>
      </w:pPr>
      <w:r w:rsidRPr="328F4C06">
        <w:rPr>
          <w:rFonts w:eastAsia="Arial" w:cs="Arial"/>
        </w:rPr>
        <w:t>The Agency continues to work collaboratively with participants, the disability sector and the broader community to build a stronger NDIS that monitors and maintains the long</w:t>
      </w:r>
      <w:r w:rsidR="000A2CEE">
        <w:rPr>
          <w:rFonts w:eastAsia="Arial" w:cs="Arial"/>
        </w:rPr>
        <w:t>-</w:t>
      </w:r>
      <w:r w:rsidRPr="328F4C06">
        <w:rPr>
          <w:rFonts w:eastAsia="Arial" w:cs="Arial"/>
        </w:rPr>
        <w:t>term sustainability of the Scheme, as required by the NDIS Act.</w:t>
      </w:r>
      <w:r w:rsidR="000B268B">
        <w:rPr>
          <w:rFonts w:eastAsia="Arial" w:cs="Arial"/>
        </w:rPr>
        <w:t xml:space="preserve"> </w:t>
      </w:r>
    </w:p>
    <w:p w14:paraId="2B23F332" w14:textId="3B51585C" w:rsidR="00260F3A" w:rsidRDefault="00260F3A" w:rsidP="00260F3A">
      <w:r>
        <w:t>NDIA operating expenses in Program 1.2 outline current government expectations of costs to manage the Scheme over the forward estimates.</w:t>
      </w:r>
      <w:r w:rsidR="000B268B">
        <w:t xml:space="preserve"> </w:t>
      </w:r>
    </w:p>
    <w:p w14:paraId="1D35903F" w14:textId="3AB78CCD" w:rsidR="00260F3A" w:rsidDel="006444B5" w:rsidRDefault="00260F3A" w:rsidP="00260F3A">
      <w:r w:rsidDel="006444B5">
        <w:t>Managing the effectiveness and efficien</w:t>
      </w:r>
      <w:r w:rsidR="00E65367" w:rsidDel="006444B5">
        <w:t>c</w:t>
      </w:r>
      <w:r w:rsidDel="006444B5">
        <w:t>y of the NDIA operating expenses is a key consideration and focus as the Agency continues to mature.</w:t>
      </w:r>
      <w:r w:rsidR="000B268B">
        <w:t xml:space="preserve"> </w:t>
      </w:r>
    </w:p>
    <w:p w14:paraId="2AEB7484" w14:textId="211D0B50" w:rsidR="00260F3A" w:rsidRDefault="00260F3A" w:rsidP="00260F3A">
      <w:r>
        <w:t>Operating expenses have increased from $906 million in 2017</w:t>
      </w:r>
      <w:r w:rsidR="00E65367">
        <w:t>–</w:t>
      </w:r>
      <w:r>
        <w:t>18 to $1,481 million in 2020</w:t>
      </w:r>
      <w:r w:rsidR="00E65367">
        <w:t>–</w:t>
      </w:r>
      <w:r>
        <w:t>21. As a percentage of the dollars spent on participants, operating expenses have decreased from 16.7</w:t>
      </w:r>
      <w:r w:rsidR="00813E0C">
        <w:t xml:space="preserve"> per cent</w:t>
      </w:r>
      <w:r>
        <w:t xml:space="preserve"> in 2017</w:t>
      </w:r>
      <w:r w:rsidR="00E65367">
        <w:t>–</w:t>
      </w:r>
      <w:r>
        <w:t>18 to 5.</w:t>
      </w:r>
      <w:r w:rsidR="00717615">
        <w:t>8</w:t>
      </w:r>
      <w:r w:rsidR="00813E0C">
        <w:t xml:space="preserve"> per cent</w:t>
      </w:r>
      <w:r>
        <w:t xml:space="preserve"> for the </w:t>
      </w:r>
      <w:r w:rsidR="00717615">
        <w:t xml:space="preserve">nine </w:t>
      </w:r>
      <w:r>
        <w:t xml:space="preserve">months to 31 </w:t>
      </w:r>
      <w:r w:rsidR="00717615">
        <w:t>March 2022</w:t>
      </w:r>
      <w:r>
        <w:t>.</w:t>
      </w:r>
      <w:r w:rsidR="000B268B">
        <w:t xml:space="preserve"> </w:t>
      </w:r>
    </w:p>
    <w:p w14:paraId="25E1A533" w14:textId="0CC024C7" w:rsidR="00260F3A" w:rsidRDefault="00260F3A" w:rsidP="00260F3A">
      <w:r>
        <w:t xml:space="preserve">The Productivity Commission in </w:t>
      </w:r>
      <w:r w:rsidR="008526FD">
        <w:t xml:space="preserve">its </w:t>
      </w:r>
      <w:r>
        <w:t xml:space="preserve">2017 </w:t>
      </w:r>
      <w:r w:rsidR="003B61B3">
        <w:t>s</w:t>
      </w:r>
      <w:r>
        <w:t xml:space="preserve">tudy report </w:t>
      </w:r>
      <w:r w:rsidR="007D2B4E">
        <w:t xml:space="preserve">of NDIS costs </w:t>
      </w:r>
      <w:r>
        <w:t>suggest</w:t>
      </w:r>
      <w:r w:rsidR="008526FD">
        <w:t>ed</w:t>
      </w:r>
      <w:r>
        <w:t xml:space="preserve"> a range of 7</w:t>
      </w:r>
      <w:r w:rsidR="00813E0C">
        <w:t xml:space="preserve"> per cent</w:t>
      </w:r>
      <w:r>
        <w:t xml:space="preserve"> to 10</w:t>
      </w:r>
      <w:r w:rsidR="00813E0C">
        <w:t xml:space="preserve"> per cent</w:t>
      </w:r>
      <w:r>
        <w:t xml:space="preserve"> as an appropriate amount for NDIA operating costs.</w:t>
      </w:r>
      <w:r w:rsidR="000B268B">
        <w:t xml:space="preserve"> </w:t>
      </w:r>
    </w:p>
    <w:p w14:paraId="5C8B66AC" w14:textId="424FA72F" w:rsidR="00260F3A" w:rsidRDefault="00260F3A" w:rsidP="00260F3A">
      <w:r>
        <w:t>Consistent with other programs</w:t>
      </w:r>
      <w:r w:rsidR="008526FD">
        <w:t>,</w:t>
      </w:r>
      <w:r>
        <w:t xml:space="preserve"> the estimated costs for the NDIS are subject to adjustments to reflect increases in actual payments</w:t>
      </w:r>
      <w:r w:rsidRPr="00E854AC">
        <w:t>.  As the Scheme is relatively new</w:t>
      </w:r>
      <w:r w:rsidR="003B61B3" w:rsidRPr="00E854AC">
        <w:t>,</w:t>
      </w:r>
      <w:r w:rsidRPr="00E854AC">
        <w:t xml:space="preserve"> there is </w:t>
      </w:r>
      <w:r w:rsidR="00717615" w:rsidRPr="00E854AC">
        <w:t xml:space="preserve">uncertainty in the projections of </w:t>
      </w:r>
      <w:r w:rsidRPr="00E854AC">
        <w:t>the total number of participants, the average cost of individual participant packages</w:t>
      </w:r>
      <w:r w:rsidR="00717615" w:rsidRPr="00E854AC">
        <w:t>,</w:t>
      </w:r>
      <w:r w:rsidRPr="00E854AC">
        <w:t xml:space="preserve"> and therefore the Agency resources required to support the Scheme.</w:t>
      </w:r>
      <w:r w:rsidR="000B268B">
        <w:t xml:space="preserve"> </w:t>
      </w:r>
    </w:p>
    <w:p w14:paraId="6AEEC9D2" w14:textId="02852B05" w:rsidR="00260F3A" w:rsidRDefault="00260F3A" w:rsidP="00CA07C2">
      <w:pPr>
        <w:pStyle w:val="Heading3"/>
      </w:pPr>
      <w:bookmarkStart w:id="149" w:name="_Toc99463603"/>
      <w:bookmarkStart w:id="150" w:name="_Toc99617130"/>
      <w:r>
        <w:t xml:space="preserve">Table </w:t>
      </w:r>
      <w:r w:rsidR="00502EBB">
        <w:t>7</w:t>
      </w:r>
      <w:r w:rsidR="00E65367">
        <w:t>.</w:t>
      </w:r>
      <w:r>
        <w:t xml:space="preserve"> Scheme and NDIA expenditure by program</w:t>
      </w:r>
      <w:bookmarkEnd w:id="149"/>
      <w:bookmarkEnd w:id="150"/>
      <w:r w:rsidR="00E74565">
        <w:rPr>
          <w:rStyle w:val="FootnoteReference"/>
        </w:rPr>
        <w:footnoteReference w:id="13"/>
      </w:r>
      <w:r w:rsidR="000B268B">
        <w:t xml:space="preserve"> </w:t>
      </w:r>
    </w:p>
    <w:tbl>
      <w:tblPr>
        <w:tblStyle w:val="LightShading-Accent4"/>
        <w:tblW w:w="0" w:type="auto"/>
        <w:tblLayout w:type="fixed"/>
        <w:tblCellMar>
          <w:top w:w="144" w:type="dxa"/>
          <w:left w:w="0" w:type="dxa"/>
          <w:bottom w:w="144" w:type="dxa"/>
          <w:right w:w="0" w:type="dxa"/>
        </w:tblCellMar>
        <w:tblLook w:val="06A0" w:firstRow="1" w:lastRow="0" w:firstColumn="1" w:lastColumn="0" w:noHBand="1" w:noVBand="1"/>
      </w:tblPr>
      <w:tblGrid>
        <w:gridCol w:w="2235"/>
        <w:gridCol w:w="1545"/>
        <w:gridCol w:w="1167"/>
        <w:gridCol w:w="1356"/>
        <w:gridCol w:w="1356"/>
        <w:gridCol w:w="1356"/>
      </w:tblGrid>
      <w:tr w:rsidR="00260F3A" w:rsidRPr="00316D43" w14:paraId="07DD56D2" w14:textId="77777777" w:rsidTr="00B43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nil"/>
              <w:bottom w:val="single" w:sz="4" w:space="0" w:color="000000" w:themeColor="text1"/>
            </w:tcBorders>
            <w:vAlign w:val="bottom"/>
          </w:tcPr>
          <w:p w14:paraId="65C1685C" w14:textId="77777777" w:rsidR="00260F3A" w:rsidRPr="00316D43" w:rsidRDefault="00260F3A" w:rsidP="00563995">
            <w:pPr>
              <w:spacing w:before="0" w:after="0"/>
              <w:ind w:left="115" w:right="115"/>
              <w:rPr>
                <w:rFonts w:eastAsia="Arial Unicode MS" w:cs="Arial"/>
                <w:b w:val="0"/>
                <w:bCs w:val="0"/>
              </w:rPr>
            </w:pPr>
            <w:r w:rsidRPr="00316D43">
              <w:rPr>
                <w:rFonts w:eastAsia="Arial Unicode MS" w:cs="Arial"/>
              </w:rPr>
              <w:t>Program</w:t>
            </w:r>
          </w:p>
        </w:tc>
        <w:tc>
          <w:tcPr>
            <w:tcW w:w="1545" w:type="dxa"/>
            <w:tcBorders>
              <w:top w:val="nil"/>
              <w:bottom w:val="single" w:sz="4" w:space="0" w:color="000000" w:themeColor="text1"/>
            </w:tcBorders>
            <w:vAlign w:val="bottom"/>
          </w:tcPr>
          <w:p w14:paraId="47CD80FD" w14:textId="77777777" w:rsidR="00260F3A" w:rsidRPr="00316D43" w:rsidRDefault="00260F3A" w:rsidP="00563995">
            <w:pPr>
              <w:spacing w:before="0" w:after="0"/>
              <w:ind w:left="115" w:right="115"/>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2021-22 Estimate</w:t>
            </w:r>
          </w:p>
        </w:tc>
        <w:tc>
          <w:tcPr>
            <w:tcW w:w="1167" w:type="dxa"/>
            <w:tcBorders>
              <w:top w:val="nil"/>
              <w:bottom w:val="single" w:sz="4" w:space="0" w:color="000000" w:themeColor="text1"/>
            </w:tcBorders>
            <w:vAlign w:val="bottom"/>
          </w:tcPr>
          <w:p w14:paraId="31DA5582" w14:textId="77777777" w:rsidR="00260F3A" w:rsidRPr="00316D43" w:rsidRDefault="00260F3A" w:rsidP="00563995">
            <w:pPr>
              <w:spacing w:before="0" w:after="0"/>
              <w:ind w:left="115" w:right="115"/>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2022-23</w:t>
            </w:r>
            <w:r w:rsidR="005F72FC" w:rsidRPr="00316D43">
              <w:rPr>
                <w:rFonts w:eastAsia="Arial Unicode MS" w:cs="Arial"/>
              </w:rPr>
              <w:t xml:space="preserve"> </w:t>
            </w:r>
            <w:r w:rsidRPr="00316D43">
              <w:rPr>
                <w:rFonts w:eastAsia="Arial Unicode MS" w:cs="Arial"/>
              </w:rPr>
              <w:t>Budget</w:t>
            </w:r>
          </w:p>
        </w:tc>
        <w:tc>
          <w:tcPr>
            <w:tcW w:w="1356" w:type="dxa"/>
            <w:tcBorders>
              <w:top w:val="nil"/>
              <w:bottom w:val="single" w:sz="4" w:space="0" w:color="000000" w:themeColor="text1"/>
            </w:tcBorders>
            <w:vAlign w:val="bottom"/>
          </w:tcPr>
          <w:p w14:paraId="200F2FC6" w14:textId="77777777" w:rsidR="00260F3A" w:rsidRPr="00316D43" w:rsidRDefault="00260F3A" w:rsidP="00563995">
            <w:pPr>
              <w:spacing w:before="0" w:after="0"/>
              <w:ind w:left="115" w:right="115"/>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2023-24 Forward estimate</w:t>
            </w:r>
          </w:p>
        </w:tc>
        <w:tc>
          <w:tcPr>
            <w:tcW w:w="1356" w:type="dxa"/>
            <w:tcBorders>
              <w:top w:val="nil"/>
              <w:bottom w:val="single" w:sz="4" w:space="0" w:color="000000" w:themeColor="text1"/>
            </w:tcBorders>
            <w:vAlign w:val="bottom"/>
          </w:tcPr>
          <w:p w14:paraId="3944CE68" w14:textId="52ED36ED" w:rsidR="00260F3A" w:rsidRPr="00316D43" w:rsidRDefault="00260F3A" w:rsidP="00563995">
            <w:pPr>
              <w:spacing w:before="0" w:after="0"/>
              <w:ind w:left="115" w:right="115"/>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2024-25 Forward estimate</w:t>
            </w:r>
          </w:p>
        </w:tc>
        <w:tc>
          <w:tcPr>
            <w:tcW w:w="1356" w:type="dxa"/>
            <w:tcBorders>
              <w:top w:val="nil"/>
              <w:bottom w:val="single" w:sz="4" w:space="0" w:color="000000" w:themeColor="text1"/>
            </w:tcBorders>
            <w:vAlign w:val="bottom"/>
          </w:tcPr>
          <w:p w14:paraId="2159AA0C" w14:textId="7160F245" w:rsidR="00260F3A" w:rsidRPr="00316D43" w:rsidRDefault="00260F3A" w:rsidP="00563995">
            <w:pPr>
              <w:spacing w:before="0" w:after="0"/>
              <w:ind w:left="115" w:right="115"/>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2025-26 Forward estimate</w:t>
            </w:r>
          </w:p>
        </w:tc>
      </w:tr>
      <w:tr w:rsidR="00FC28CD" w:rsidRPr="00316D43" w14:paraId="67147C01"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86D8E" w14:textId="246274C3" w:rsidR="00FC28CD" w:rsidRPr="00316D43" w:rsidRDefault="00FC28CD" w:rsidP="00563995">
            <w:pPr>
              <w:spacing w:after="0"/>
              <w:rPr>
                <w:rFonts w:eastAsia="Arial Unicode MS" w:cs="Arial"/>
              </w:rPr>
            </w:pPr>
            <w:r w:rsidRPr="00316D43">
              <w:rPr>
                <w:rFonts w:eastAsia="Arial Unicode MS" w:cs="Arial"/>
              </w:rPr>
              <w:t>Program 1.1</w:t>
            </w:r>
            <w:r w:rsidR="00813E0C" w:rsidRPr="00316D43">
              <w:rPr>
                <w:rFonts w:eastAsia="Arial Unicode MS" w:cs="Arial"/>
                <w:sz w:val="20"/>
                <w:szCs w:val="20"/>
              </w:rPr>
              <w:br/>
            </w:r>
            <w:r w:rsidRPr="00316D43">
              <w:rPr>
                <w:rFonts w:eastAsia="Arial Unicode MS" w:cs="Arial"/>
                <w:sz w:val="20"/>
                <w:szCs w:val="20"/>
              </w:rPr>
              <w:t>Reasonable and necessary support for participants ($m)</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83DEC" w14:textId="7B8451C2" w:rsidR="00FC28CD" w:rsidRPr="00316D43" w:rsidRDefault="0064407C"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29,304</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F1368" w14:textId="0F441D01"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33,886</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E11E" w14:textId="431970ED"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37,973</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FE292" w14:textId="420E0B77"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41,373</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871DA" w14:textId="2FDAA621"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44,551</w:t>
            </w:r>
          </w:p>
        </w:tc>
      </w:tr>
      <w:tr w:rsidR="00FC28CD" w:rsidRPr="00316D43" w14:paraId="1EF68C42"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20229" w14:textId="7026310E" w:rsidR="00FC28CD" w:rsidRPr="00316D43" w:rsidRDefault="00FC28CD" w:rsidP="00563995">
            <w:pPr>
              <w:spacing w:after="0"/>
              <w:rPr>
                <w:rFonts w:eastAsia="Arial Unicode MS" w:cs="Arial"/>
              </w:rPr>
            </w:pPr>
            <w:r w:rsidRPr="00316D43">
              <w:rPr>
                <w:rFonts w:eastAsia="Arial Unicode MS" w:cs="Arial"/>
              </w:rPr>
              <w:t>Program 1.2</w:t>
            </w:r>
            <w:r w:rsidR="00813E0C" w:rsidRPr="00316D43">
              <w:rPr>
                <w:rFonts w:eastAsia="Arial Unicode MS" w:cs="Arial"/>
                <w:sz w:val="20"/>
                <w:szCs w:val="20"/>
              </w:rPr>
              <w:br/>
            </w:r>
            <w:r w:rsidRPr="00316D43">
              <w:rPr>
                <w:rFonts w:eastAsia="Arial Unicode MS" w:cs="Arial"/>
                <w:sz w:val="20"/>
                <w:szCs w:val="20"/>
              </w:rPr>
              <w:t>Agency costs ($m)</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8ACA9" w14:textId="77777777"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1,669</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14A78" w14:textId="6B50AA98"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1,672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089B9" w14:textId="10AD7C89"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1,287</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FDF46" w14:textId="6A8F5C39"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1,347</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79EE" w14:textId="18D1E95A"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1,377</w:t>
            </w:r>
          </w:p>
        </w:tc>
      </w:tr>
      <w:tr w:rsidR="00FC28CD" w:rsidRPr="00316D43" w14:paraId="7E522E93"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4058D" w14:textId="2307909B" w:rsidR="00FC28CD" w:rsidRPr="00316D43" w:rsidRDefault="00FC28CD" w:rsidP="00563995">
            <w:pPr>
              <w:spacing w:after="0"/>
              <w:rPr>
                <w:rFonts w:eastAsia="Arial Unicode MS" w:cs="Arial"/>
              </w:rPr>
            </w:pPr>
            <w:r w:rsidRPr="00316D43">
              <w:rPr>
                <w:rFonts w:eastAsia="Arial Unicode MS" w:cs="Arial"/>
              </w:rPr>
              <w:t>Total ($m)</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1C066" w14:textId="77777777"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30,972</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6A698" w14:textId="74436173"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35,559</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F0702" w14:textId="57FE5C22"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39,260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23200" w14:textId="542158CB"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42,719</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B8FA" w14:textId="1E5858C9" w:rsidR="00FC28CD" w:rsidRPr="00316D43" w:rsidRDefault="00FC28CD"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45,928</w:t>
            </w:r>
          </w:p>
        </w:tc>
      </w:tr>
    </w:tbl>
    <w:p w14:paraId="5877A4E6" w14:textId="4C1E7E55" w:rsidR="00847FD4" w:rsidRDefault="00847FD4" w:rsidP="00260F3A">
      <w:pPr>
        <w:rPr>
          <w:rFonts w:eastAsia="Calibri" w:cs="Arial"/>
        </w:rPr>
      </w:pPr>
    </w:p>
    <w:p w14:paraId="48E15394" w14:textId="77777777" w:rsidR="00847FD4" w:rsidRDefault="00847FD4">
      <w:pPr>
        <w:spacing w:after="0" w:line="240" w:lineRule="auto"/>
        <w:rPr>
          <w:rFonts w:eastAsia="Calibri" w:cs="Arial"/>
        </w:rPr>
      </w:pPr>
      <w:r>
        <w:rPr>
          <w:rFonts w:eastAsia="Calibri" w:cs="Arial"/>
        </w:rPr>
        <w:br w:type="page"/>
      </w:r>
    </w:p>
    <w:p w14:paraId="30EA3B59" w14:textId="36141E92" w:rsidR="00260F3A" w:rsidRDefault="00260F3A" w:rsidP="00813E0C">
      <w:pPr>
        <w:pStyle w:val="Heading3"/>
      </w:pPr>
      <w:bookmarkStart w:id="151" w:name="_Toc99463604"/>
      <w:bookmarkStart w:id="152" w:name="_Toc99617131"/>
      <w:r>
        <w:t xml:space="preserve">Table </w:t>
      </w:r>
      <w:r w:rsidR="00502EBB">
        <w:t>8</w:t>
      </w:r>
      <w:r w:rsidR="00E65367">
        <w:t>.</w:t>
      </w:r>
      <w:r>
        <w:t xml:space="preserve"> Scheme and NDIA revenue</w:t>
      </w:r>
      <w:bookmarkEnd w:id="151"/>
      <w:bookmarkEnd w:id="152"/>
      <w:r w:rsidR="00E74565">
        <w:rPr>
          <w:rStyle w:val="FootnoteReference"/>
        </w:rPr>
        <w:footnoteReference w:id="14"/>
      </w:r>
      <w:r w:rsidR="000B268B">
        <w:t xml:space="preserve"> </w:t>
      </w:r>
    </w:p>
    <w:tbl>
      <w:tblPr>
        <w:tblStyle w:val="LightShading-Accent4"/>
        <w:tblW w:w="0" w:type="auto"/>
        <w:tblLayout w:type="fixed"/>
        <w:tblCellMar>
          <w:top w:w="144" w:type="dxa"/>
          <w:left w:w="0" w:type="dxa"/>
          <w:bottom w:w="144" w:type="dxa"/>
          <w:right w:w="0" w:type="dxa"/>
        </w:tblCellMar>
        <w:tblLook w:val="06A0" w:firstRow="1" w:lastRow="0" w:firstColumn="1" w:lastColumn="0" w:noHBand="1" w:noVBand="1"/>
      </w:tblPr>
      <w:tblGrid>
        <w:gridCol w:w="2235"/>
        <w:gridCol w:w="1365"/>
        <w:gridCol w:w="1347"/>
        <w:gridCol w:w="1356"/>
        <w:gridCol w:w="1356"/>
        <w:gridCol w:w="1356"/>
      </w:tblGrid>
      <w:tr w:rsidR="00260F3A" w:rsidRPr="00316D43" w14:paraId="46248372" w14:textId="77777777" w:rsidTr="00B433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Borders>
              <w:top w:val="nil"/>
              <w:bottom w:val="single" w:sz="4" w:space="0" w:color="000000" w:themeColor="text1"/>
            </w:tcBorders>
            <w:vAlign w:val="bottom"/>
          </w:tcPr>
          <w:p w14:paraId="38286970" w14:textId="48390DF2" w:rsidR="00260F3A" w:rsidRPr="00316D43" w:rsidRDefault="00260F3A" w:rsidP="00563995">
            <w:pPr>
              <w:spacing w:before="0" w:after="0"/>
              <w:rPr>
                <w:rFonts w:eastAsia="Arial Unicode MS" w:cs="Arial"/>
              </w:rPr>
            </w:pPr>
            <w:r w:rsidRPr="00316D43">
              <w:rPr>
                <w:rFonts w:eastAsia="Arial Unicode MS" w:cs="Arial"/>
              </w:rPr>
              <w:t>Source</w:t>
            </w:r>
          </w:p>
        </w:tc>
        <w:tc>
          <w:tcPr>
            <w:tcW w:w="1365" w:type="dxa"/>
            <w:tcBorders>
              <w:top w:val="nil"/>
              <w:bottom w:val="single" w:sz="4" w:space="0" w:color="000000" w:themeColor="text1"/>
            </w:tcBorders>
            <w:vAlign w:val="bottom"/>
          </w:tcPr>
          <w:p w14:paraId="0161D1C2" w14:textId="77777777" w:rsidR="00260F3A" w:rsidRPr="00316D43" w:rsidRDefault="00260F3A" w:rsidP="00563995">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2021-22 Estimate</w:t>
            </w:r>
          </w:p>
        </w:tc>
        <w:tc>
          <w:tcPr>
            <w:tcW w:w="1347" w:type="dxa"/>
            <w:tcBorders>
              <w:top w:val="nil"/>
              <w:bottom w:val="single" w:sz="4" w:space="0" w:color="000000" w:themeColor="text1"/>
            </w:tcBorders>
            <w:vAlign w:val="bottom"/>
          </w:tcPr>
          <w:p w14:paraId="20B8B607" w14:textId="77777777" w:rsidR="00260F3A" w:rsidRPr="00316D43" w:rsidRDefault="00260F3A" w:rsidP="00563995">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2022-23</w:t>
            </w:r>
            <w:r w:rsidR="005F72FC" w:rsidRPr="00316D43">
              <w:rPr>
                <w:rFonts w:eastAsia="Arial Unicode MS" w:cs="Arial"/>
              </w:rPr>
              <w:t xml:space="preserve"> </w:t>
            </w:r>
            <w:r w:rsidRPr="00316D43">
              <w:rPr>
                <w:rFonts w:eastAsia="Arial Unicode MS" w:cs="Arial"/>
              </w:rPr>
              <w:t>Budget</w:t>
            </w:r>
          </w:p>
        </w:tc>
        <w:tc>
          <w:tcPr>
            <w:tcW w:w="1356" w:type="dxa"/>
            <w:tcBorders>
              <w:top w:val="nil"/>
              <w:bottom w:val="single" w:sz="4" w:space="0" w:color="000000" w:themeColor="text1"/>
            </w:tcBorders>
            <w:vAlign w:val="bottom"/>
          </w:tcPr>
          <w:p w14:paraId="692BE702" w14:textId="77777777" w:rsidR="00260F3A" w:rsidRPr="00316D43" w:rsidRDefault="00260F3A" w:rsidP="00563995">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2023-24 Forward estimate</w:t>
            </w:r>
          </w:p>
        </w:tc>
        <w:tc>
          <w:tcPr>
            <w:tcW w:w="1356" w:type="dxa"/>
            <w:tcBorders>
              <w:top w:val="nil"/>
              <w:bottom w:val="single" w:sz="4" w:space="0" w:color="000000" w:themeColor="text1"/>
            </w:tcBorders>
            <w:vAlign w:val="bottom"/>
          </w:tcPr>
          <w:p w14:paraId="3DA56ECA" w14:textId="5DE29CEA" w:rsidR="00260F3A" w:rsidRPr="00316D43" w:rsidRDefault="00260F3A" w:rsidP="00563995">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2024-25 Forward estimate</w:t>
            </w:r>
          </w:p>
        </w:tc>
        <w:tc>
          <w:tcPr>
            <w:tcW w:w="1356" w:type="dxa"/>
            <w:tcBorders>
              <w:top w:val="nil"/>
              <w:bottom w:val="single" w:sz="4" w:space="0" w:color="000000" w:themeColor="text1"/>
            </w:tcBorders>
            <w:vAlign w:val="bottom"/>
          </w:tcPr>
          <w:p w14:paraId="7D1C6A3C" w14:textId="59AAA6BB" w:rsidR="00260F3A" w:rsidRPr="00316D43" w:rsidRDefault="00260F3A" w:rsidP="00563995">
            <w:pPr>
              <w:spacing w:before="0" w:after="0"/>
              <w:cnfStyle w:val="100000000000" w:firstRow="1" w:lastRow="0" w:firstColumn="0" w:lastColumn="0" w:oddVBand="0" w:evenVBand="0" w:oddHBand="0" w:evenHBand="0" w:firstRowFirstColumn="0" w:firstRowLastColumn="0" w:lastRowFirstColumn="0" w:lastRowLastColumn="0"/>
              <w:rPr>
                <w:rFonts w:eastAsia="Arial Unicode MS" w:cs="Arial"/>
                <w:b w:val="0"/>
                <w:bCs w:val="0"/>
              </w:rPr>
            </w:pPr>
            <w:r w:rsidRPr="00316D43">
              <w:rPr>
                <w:rFonts w:eastAsia="Arial Unicode MS" w:cs="Arial"/>
              </w:rPr>
              <w:t>2025-26 Forward estimate</w:t>
            </w:r>
          </w:p>
        </w:tc>
      </w:tr>
      <w:tr w:rsidR="00C6557B" w:rsidRPr="00316D43" w14:paraId="1A13F8CC"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6F3B7" w14:textId="5966BE80" w:rsidR="00C6557B" w:rsidRPr="00316D43" w:rsidRDefault="00C6557B" w:rsidP="00563995">
            <w:pPr>
              <w:spacing w:after="0"/>
              <w:rPr>
                <w:rFonts w:eastAsia="Arial Unicode MS" w:cs="Arial"/>
              </w:rPr>
            </w:pPr>
            <w:r w:rsidRPr="00316D43">
              <w:rPr>
                <w:rFonts w:eastAsia="Arial Unicode MS" w:cs="Arial"/>
              </w:rPr>
              <w:t xml:space="preserve">Australian Government </w:t>
            </w:r>
            <w:r w:rsidRPr="00316D43">
              <w:rPr>
                <w:rFonts w:eastAsia="Arial Unicode MS" w:cs="Arial"/>
                <w:sz w:val="18"/>
                <w:szCs w:val="18"/>
              </w:rPr>
              <w:t>(appropriations and contributions)</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3E8E1" w14:textId="77777777" w:rsidR="00C6557B" w:rsidRPr="00316D43" w:rsidRDefault="00C6557B"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19,436</w:t>
            </w:r>
          </w:p>
        </w:t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8AE46" w14:textId="29C680CB"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23,830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40504" w14:textId="279425CD"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27,146</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1AB95" w14:textId="5801ACD9"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30,123</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8A9B8" w14:textId="245E184C"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32,830</w:t>
            </w:r>
          </w:p>
        </w:tc>
      </w:tr>
      <w:tr w:rsidR="00C6557B" w:rsidRPr="00316D43" w14:paraId="34FA5FE4"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A2D13" w14:textId="1BE2E9CD" w:rsidR="00C6557B" w:rsidRPr="00316D43" w:rsidRDefault="00C6557B" w:rsidP="00563995">
            <w:pPr>
              <w:spacing w:after="0"/>
              <w:rPr>
                <w:rFonts w:eastAsia="Arial Unicode MS" w:cs="Arial"/>
                <w:sz w:val="20"/>
                <w:szCs w:val="20"/>
              </w:rPr>
            </w:pPr>
            <w:r w:rsidRPr="00316D43">
              <w:rPr>
                <w:rFonts w:eastAsia="Arial Unicode MS" w:cs="Arial"/>
              </w:rPr>
              <w:t xml:space="preserve">State and territory jurisdiction contributions </w:t>
            </w:r>
            <w:r w:rsidRPr="00316D43">
              <w:rPr>
                <w:rFonts w:eastAsia="Arial Unicode MS" w:cs="Arial"/>
                <w:sz w:val="18"/>
                <w:szCs w:val="18"/>
              </w:rPr>
              <w:t>(cash)</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35E63" w14:textId="77777777" w:rsidR="00C6557B" w:rsidRPr="00316D43" w:rsidRDefault="00C6557B"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10,015</w:t>
            </w:r>
          </w:p>
        </w:t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0BBC8" w14:textId="19EF81DE"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10,457</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B3330" w14:textId="3B70DBAC"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11,790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25CF" w14:textId="23D167A7"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12,584</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6744" w14:textId="036D36D8"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13,086</w:t>
            </w:r>
          </w:p>
        </w:tc>
      </w:tr>
      <w:tr w:rsidR="00C6557B" w:rsidRPr="00316D43" w14:paraId="55AB5D78"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D6C8C" w14:textId="51DE428B" w:rsidR="00C6557B" w:rsidRPr="00316D43" w:rsidRDefault="00C6557B" w:rsidP="00563995">
            <w:pPr>
              <w:spacing w:after="0"/>
              <w:rPr>
                <w:rFonts w:eastAsia="Arial Unicode MS" w:cs="Arial"/>
                <w:b w:val="0"/>
                <w:bCs w:val="0"/>
              </w:rPr>
            </w:pPr>
            <w:r w:rsidRPr="00316D43">
              <w:rPr>
                <w:rFonts w:eastAsia="Arial Unicode MS" w:cs="Arial"/>
              </w:rPr>
              <w:t>In-kind and other revenue</w:t>
            </w:r>
            <w:r w:rsidRPr="00316D43">
              <w:rPr>
                <w:rFonts w:eastAsia="Arial Unicode MS" w:cs="Arial"/>
                <w:sz w:val="18"/>
                <w:szCs w:val="18"/>
              </w:rPr>
              <w:t xml:space="preserve"> (Australian Government, state and territory governments)</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94B7" w14:textId="77777777" w:rsidR="00C6557B" w:rsidRPr="00316D43" w:rsidRDefault="00C6557B"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1,044</w:t>
            </w:r>
          </w:p>
        </w:t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3862F" w14:textId="52AC6F4D"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1,095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B6C27" w14:textId="3545A1C8"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320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CF336" w14:textId="779F61B2"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7</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2306" w14:textId="02F11F93"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rPr>
            </w:pPr>
            <w:r w:rsidRPr="00316D43">
              <w:rPr>
                <w:rFonts w:eastAsia="Arial Unicode MS" w:cs="Arial"/>
              </w:rPr>
              <w:t>7</w:t>
            </w:r>
          </w:p>
        </w:tc>
      </w:tr>
      <w:tr w:rsidR="00C6557B" w:rsidRPr="00316D43" w14:paraId="63BF1122" w14:textId="77777777" w:rsidTr="00B4336E">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3A416" w14:textId="595454AE" w:rsidR="00C6557B" w:rsidRPr="00316D43" w:rsidRDefault="00C6557B" w:rsidP="00563995">
            <w:pPr>
              <w:spacing w:after="0"/>
              <w:rPr>
                <w:rFonts w:eastAsia="Arial Unicode MS" w:cs="Arial"/>
                <w:b w:val="0"/>
                <w:bCs w:val="0"/>
              </w:rPr>
            </w:pPr>
            <w:r w:rsidRPr="00316D43">
              <w:rPr>
                <w:rFonts w:eastAsia="Arial Unicode MS" w:cs="Arial"/>
              </w:rPr>
              <w:t>Total ($m)</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49BF5" w14:textId="77777777" w:rsidR="00C6557B" w:rsidRPr="00316D43" w:rsidRDefault="00C6557B"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b/>
              </w:rPr>
            </w:pPr>
            <w:r w:rsidRPr="00316D43">
              <w:rPr>
                <w:rFonts w:eastAsia="Arial Unicode MS" w:cs="Arial"/>
                <w:b/>
              </w:rPr>
              <w:t>30,495</w:t>
            </w:r>
          </w:p>
        </w:tc>
        <w:tc>
          <w:tcPr>
            <w:tcW w:w="1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A250A" w14:textId="61AFB4F9"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b/>
              </w:rPr>
            </w:pPr>
            <w:r w:rsidRPr="00316D43">
              <w:rPr>
                <w:rFonts w:eastAsia="Arial Unicode MS" w:cs="Arial"/>
                <w:b/>
              </w:rPr>
              <w:t>35,383</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4BCC" w14:textId="0E729B17"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b/>
              </w:rPr>
            </w:pPr>
            <w:r w:rsidRPr="00316D43">
              <w:rPr>
                <w:rFonts w:eastAsia="Arial Unicode MS" w:cs="Arial"/>
                <w:b/>
              </w:rPr>
              <w:t>39,255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12788" w14:textId="3A254EC6"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b/>
              </w:rPr>
            </w:pPr>
            <w:r w:rsidRPr="00316D43">
              <w:rPr>
                <w:rFonts w:eastAsia="Arial Unicode MS" w:cs="Arial"/>
                <w:b/>
              </w:rPr>
              <w:t>42,715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A5AEE" w14:textId="4E7F21A5" w:rsidR="00C6557B" w:rsidRPr="00316D43" w:rsidRDefault="00AC0546" w:rsidP="00563995">
            <w:pPr>
              <w:spacing w:after="0"/>
              <w:jc w:val="center"/>
              <w:cnfStyle w:val="000000000000" w:firstRow="0" w:lastRow="0" w:firstColumn="0" w:lastColumn="0" w:oddVBand="0" w:evenVBand="0" w:oddHBand="0" w:evenHBand="0" w:firstRowFirstColumn="0" w:firstRowLastColumn="0" w:lastRowFirstColumn="0" w:lastRowLastColumn="0"/>
              <w:rPr>
                <w:rFonts w:eastAsia="Arial Unicode MS" w:cs="Arial"/>
                <w:b/>
              </w:rPr>
            </w:pPr>
            <w:r w:rsidRPr="00316D43">
              <w:rPr>
                <w:rFonts w:eastAsia="Arial Unicode MS" w:cs="Arial"/>
                <w:b/>
              </w:rPr>
              <w:t>45,923</w:t>
            </w:r>
          </w:p>
        </w:tc>
      </w:tr>
    </w:tbl>
    <w:p w14:paraId="340139CB" w14:textId="77777777" w:rsidR="0007512F" w:rsidRDefault="0007512F">
      <w:pPr>
        <w:spacing w:after="0" w:line="240" w:lineRule="auto"/>
      </w:pPr>
      <w:r>
        <w:br w:type="page"/>
      </w:r>
    </w:p>
    <w:p w14:paraId="2E12DE90" w14:textId="5ACB002A" w:rsidR="0007512F" w:rsidRDefault="0007512F" w:rsidP="0007512F">
      <w:pPr>
        <w:pStyle w:val="Heading2"/>
      </w:pPr>
      <w:bookmarkStart w:id="153" w:name="_Toc99617132"/>
      <w:r>
        <w:t>Risk governance</w:t>
      </w:r>
      <w:bookmarkEnd w:id="153"/>
      <w:r w:rsidR="000B268B">
        <w:t xml:space="preserve"> </w:t>
      </w:r>
    </w:p>
    <w:p w14:paraId="10D49CA9" w14:textId="38D226E5" w:rsidR="00683EC6" w:rsidRDefault="00683EC6" w:rsidP="00683EC6">
      <w:bookmarkStart w:id="154" w:name="_Toc498139095"/>
      <w:bookmarkStart w:id="155" w:name="_Toc77690795"/>
      <w:r>
        <w:t>Our approach to risk management is embedding an understanding of risks, controls and mitigations in every aspect of the organisation, across business planning, reporting, decision making, operations and strategic initiatives.</w:t>
      </w:r>
      <w:r w:rsidR="000B268B">
        <w:t xml:space="preserve"> </w:t>
      </w:r>
    </w:p>
    <w:p w14:paraId="478ABDCF" w14:textId="77777777" w:rsidR="00683EC6" w:rsidRDefault="00683EC6" w:rsidP="00683EC6">
      <w:r>
        <w:t>The Board oversees our risk</w:t>
      </w:r>
      <w:r>
        <w:noBreakHyphen/>
        <w:t xml:space="preserve">based approach through the Risk Committee and Audit Committee, to ensure effective application of risk management and governance frameworks. </w:t>
      </w:r>
    </w:p>
    <w:p w14:paraId="30A093CE" w14:textId="712AFEA6" w:rsidR="00683EC6" w:rsidRDefault="00683EC6" w:rsidP="00683EC6">
      <w:r>
        <w:t>The NDIA’s risk governance and framework is underpinned by the:</w:t>
      </w:r>
      <w:r w:rsidR="000B268B">
        <w:t xml:space="preserve"> </w:t>
      </w:r>
    </w:p>
    <w:p w14:paraId="1B530501" w14:textId="19780FE2" w:rsidR="00683EC6" w:rsidRDefault="00683EC6" w:rsidP="00562112">
      <w:pPr>
        <w:pStyle w:val="ListParagraph"/>
        <w:numPr>
          <w:ilvl w:val="0"/>
          <w:numId w:val="10"/>
        </w:numPr>
        <w:rPr>
          <w:i/>
        </w:rPr>
      </w:pPr>
      <w:r>
        <w:rPr>
          <w:i/>
        </w:rPr>
        <w:t>National Disability Insurance Scheme Act 2013</w:t>
      </w:r>
      <w:r w:rsidR="000A2CEE">
        <w:rPr>
          <w:i/>
        </w:rPr>
        <w:t>.</w:t>
      </w:r>
      <w:r w:rsidR="000B268B">
        <w:rPr>
          <w:i/>
        </w:rPr>
        <w:t xml:space="preserve"> </w:t>
      </w:r>
    </w:p>
    <w:p w14:paraId="5AF3AF8F" w14:textId="3788B7D6" w:rsidR="00683EC6" w:rsidRDefault="00683EC6" w:rsidP="00562112">
      <w:pPr>
        <w:pStyle w:val="ListParagraph"/>
        <w:numPr>
          <w:ilvl w:val="0"/>
          <w:numId w:val="10"/>
        </w:numPr>
        <w:rPr>
          <w:i/>
        </w:rPr>
      </w:pPr>
      <w:r>
        <w:rPr>
          <w:i/>
        </w:rPr>
        <w:t>National Disability Insurance Scheme Risk Management Rules 2013</w:t>
      </w:r>
      <w:r w:rsidR="000A2CEE">
        <w:rPr>
          <w:i/>
        </w:rPr>
        <w:t>.</w:t>
      </w:r>
      <w:r>
        <w:rPr>
          <w:i/>
        </w:rPr>
        <w:t xml:space="preserve"> </w:t>
      </w:r>
    </w:p>
    <w:p w14:paraId="51A2E3A1" w14:textId="130158CC" w:rsidR="00683EC6" w:rsidRDefault="00683EC6" w:rsidP="00562112">
      <w:pPr>
        <w:pStyle w:val="ListParagraph"/>
        <w:numPr>
          <w:ilvl w:val="0"/>
          <w:numId w:val="10"/>
        </w:numPr>
        <w:rPr>
          <w:i/>
        </w:rPr>
      </w:pPr>
      <w:r>
        <w:rPr>
          <w:i/>
        </w:rPr>
        <w:t>Public Governance, Performance and Accountability Act 2013</w:t>
      </w:r>
      <w:r w:rsidR="000A2CEE">
        <w:rPr>
          <w:i/>
        </w:rPr>
        <w:t>.</w:t>
      </w:r>
      <w:r w:rsidR="000B268B">
        <w:rPr>
          <w:i/>
        </w:rPr>
        <w:t xml:space="preserve"> </w:t>
      </w:r>
    </w:p>
    <w:p w14:paraId="710379CB" w14:textId="35B84B99" w:rsidR="00683EC6" w:rsidRDefault="00683EC6" w:rsidP="00562112">
      <w:pPr>
        <w:pStyle w:val="ListParagraph"/>
        <w:numPr>
          <w:ilvl w:val="0"/>
          <w:numId w:val="10"/>
        </w:numPr>
      </w:pPr>
      <w:r>
        <w:t>other related Commonwealth Policies and Frameworks (as outlined in Figure 3).</w:t>
      </w:r>
      <w:r w:rsidR="000B268B">
        <w:t xml:space="preserve"> </w:t>
      </w:r>
    </w:p>
    <w:p w14:paraId="2D644693" w14:textId="7A38FCFA" w:rsidR="00683EC6" w:rsidRDefault="00683EC6" w:rsidP="00683EC6">
      <w:r>
        <w:t>Our Chief Risk Officer has responsibility to ensure:</w:t>
      </w:r>
      <w:r w:rsidR="000B268B">
        <w:t xml:space="preserve"> </w:t>
      </w:r>
    </w:p>
    <w:p w14:paraId="7AF4498B" w14:textId="06443573" w:rsidR="00683EC6" w:rsidRDefault="00931D19" w:rsidP="00562112">
      <w:pPr>
        <w:pStyle w:val="ListParagraph"/>
        <w:numPr>
          <w:ilvl w:val="0"/>
          <w:numId w:val="10"/>
        </w:numPr>
      </w:pPr>
      <w:r>
        <w:rPr>
          <w:iCs/>
        </w:rPr>
        <w:t>O</w:t>
      </w:r>
      <w:r w:rsidR="00683EC6">
        <w:rPr>
          <w:iCs/>
        </w:rPr>
        <w:t>ur</w:t>
      </w:r>
      <w:r w:rsidR="00683EC6">
        <w:t xml:space="preserve"> systems, reporting and processes have risk management embedded</w:t>
      </w:r>
      <w:r>
        <w:t>.</w:t>
      </w:r>
      <w:r w:rsidR="000B268B">
        <w:t xml:space="preserve"> </w:t>
      </w:r>
    </w:p>
    <w:p w14:paraId="08B65907" w14:textId="774DFF33" w:rsidR="00683EC6" w:rsidRDefault="00931D19" w:rsidP="00562112">
      <w:pPr>
        <w:pStyle w:val="ListParagraph"/>
        <w:numPr>
          <w:ilvl w:val="0"/>
          <w:numId w:val="10"/>
        </w:numPr>
      </w:pPr>
      <w:r>
        <w:t>R</w:t>
      </w:r>
      <w:r w:rsidR="00683EC6">
        <w:t>isk owners are supported by dedicated risk officers</w:t>
      </w:r>
      <w:r>
        <w:t>.</w:t>
      </w:r>
      <w:r w:rsidR="000B268B">
        <w:t xml:space="preserve"> </w:t>
      </w:r>
    </w:p>
    <w:p w14:paraId="56821B03" w14:textId="01C3423D" w:rsidR="00683EC6" w:rsidRDefault="00931D19" w:rsidP="00562112">
      <w:pPr>
        <w:pStyle w:val="ListParagraph"/>
        <w:numPr>
          <w:ilvl w:val="0"/>
          <w:numId w:val="10"/>
        </w:numPr>
      </w:pPr>
      <w:r>
        <w:t>A</w:t>
      </w:r>
      <w:r w:rsidR="00683EC6">
        <w:t>ppropriate controls are in place to mitigate fraud, promote compliance and manage risk associated with safeguarding public funds, while supporting participant choice and control.</w:t>
      </w:r>
      <w:r w:rsidR="000B268B">
        <w:t xml:space="preserve"> </w:t>
      </w:r>
    </w:p>
    <w:p w14:paraId="58532824" w14:textId="3AD0E03F" w:rsidR="00683EC6" w:rsidRDefault="00683EC6" w:rsidP="00514915">
      <w:pPr>
        <w:pStyle w:val="Heading3a"/>
      </w:pPr>
      <w:bookmarkStart w:id="156" w:name="_Toc1201992672"/>
      <w:bookmarkStart w:id="157" w:name="_Toc77690792"/>
      <w:bookmarkStart w:id="158" w:name="_Toc98251636"/>
      <w:bookmarkStart w:id="159" w:name="_Toc98252193"/>
      <w:bookmarkStart w:id="160" w:name="_Toc98252467"/>
      <w:bookmarkStart w:id="161" w:name="_Toc99463606"/>
      <w:bookmarkStart w:id="162" w:name="_Toc99617133"/>
      <w:r>
        <w:t>Risk governance and management framework</w:t>
      </w:r>
      <w:bookmarkEnd w:id="156"/>
      <w:bookmarkEnd w:id="157"/>
      <w:bookmarkEnd w:id="158"/>
      <w:bookmarkEnd w:id="159"/>
      <w:bookmarkEnd w:id="160"/>
      <w:bookmarkEnd w:id="161"/>
      <w:bookmarkEnd w:id="162"/>
      <w:r w:rsidR="000B268B">
        <w:t xml:space="preserve"> </w:t>
      </w:r>
    </w:p>
    <w:p w14:paraId="0937D60E" w14:textId="7A37B2AB" w:rsidR="00683EC6" w:rsidRDefault="00683EC6" w:rsidP="00683EC6">
      <w:r>
        <w:t>Together the Board, our CEO, Chief Risk Officer and the Executive Leadership Team oversee the proper, efficient and effective performance of the NDIA.</w:t>
      </w:r>
      <w:r w:rsidR="000B268B">
        <w:t xml:space="preserve"> </w:t>
      </w:r>
    </w:p>
    <w:p w14:paraId="3E1B9CEB" w14:textId="45CE3C89" w:rsidR="00683EC6" w:rsidRDefault="00683EC6" w:rsidP="00683EC6">
      <w:r>
        <w:t>The risk management framework includes toolkits to guide all levels of the organisation to identify and manage risks and implement applicable strategies to minimise negative impacts and maximise opportunities.</w:t>
      </w:r>
      <w:r w:rsidR="000B268B">
        <w:t xml:space="preserve"> </w:t>
      </w:r>
    </w:p>
    <w:p w14:paraId="445FC84D" w14:textId="41FFF308" w:rsidR="00683EC6" w:rsidRDefault="00683EC6" w:rsidP="00514915">
      <w:pPr>
        <w:pStyle w:val="Heading3a"/>
      </w:pPr>
      <w:bookmarkStart w:id="163" w:name="_Toc98251637"/>
      <w:bookmarkStart w:id="164" w:name="_Toc98252194"/>
      <w:bookmarkStart w:id="165" w:name="_Toc98252468"/>
      <w:bookmarkStart w:id="166" w:name="_Toc99463607"/>
      <w:bookmarkStart w:id="167" w:name="_Toc99617134"/>
      <w:r>
        <w:t>Strategic risks</w:t>
      </w:r>
      <w:bookmarkEnd w:id="163"/>
      <w:bookmarkEnd w:id="164"/>
      <w:bookmarkEnd w:id="165"/>
      <w:bookmarkEnd w:id="166"/>
      <w:bookmarkEnd w:id="167"/>
      <w:r w:rsidR="000B268B">
        <w:t xml:space="preserve"> </w:t>
      </w:r>
    </w:p>
    <w:p w14:paraId="2993FF27" w14:textId="4A8E7451" w:rsidR="00683EC6" w:rsidRDefault="00683EC6" w:rsidP="00683EC6">
      <w:r>
        <w:t xml:space="preserve">Consistent with our practice of identifying, escalating and mitigating key risks, we have identified </w:t>
      </w:r>
      <w:r w:rsidR="00AC0546">
        <w:t>nine</w:t>
      </w:r>
      <w:r w:rsidR="00AC0546" w:rsidRPr="000618D0">
        <w:t xml:space="preserve"> </w:t>
      </w:r>
      <w:r>
        <w:t xml:space="preserve">strategic risks that have the potential to adversely impact the achievement of our aspirations. The strategic risks are </w:t>
      </w:r>
      <w:r w:rsidRPr="007A2B08">
        <w:t xml:space="preserve">listed </w:t>
      </w:r>
      <w:r w:rsidR="005952A4" w:rsidRPr="007A2B08">
        <w:t xml:space="preserve">on page </w:t>
      </w:r>
      <w:r w:rsidR="00DF4DCE">
        <w:t>41</w:t>
      </w:r>
      <w:r>
        <w:t>.</w:t>
      </w:r>
      <w:r w:rsidR="000B268B">
        <w:t xml:space="preserve"> </w:t>
      </w:r>
    </w:p>
    <w:p w14:paraId="2DB03218" w14:textId="1937E5C5" w:rsidR="00683EC6" w:rsidRDefault="00683EC6" w:rsidP="00514915">
      <w:pPr>
        <w:pStyle w:val="Heading3a"/>
      </w:pPr>
      <w:bookmarkStart w:id="168" w:name="_Toc98251638"/>
      <w:bookmarkStart w:id="169" w:name="_Toc98252195"/>
      <w:bookmarkStart w:id="170" w:name="_Toc98252469"/>
      <w:bookmarkStart w:id="171" w:name="_Toc99463608"/>
      <w:bookmarkStart w:id="172" w:name="_Toc99617135"/>
      <w:r>
        <w:t>Protecting the Scheme from non-complaint and fraudulent practices</w:t>
      </w:r>
      <w:bookmarkEnd w:id="168"/>
      <w:bookmarkEnd w:id="169"/>
      <w:bookmarkEnd w:id="170"/>
      <w:bookmarkEnd w:id="171"/>
      <w:bookmarkEnd w:id="172"/>
      <w:r w:rsidR="000B268B">
        <w:t xml:space="preserve"> </w:t>
      </w:r>
    </w:p>
    <w:p w14:paraId="5B7E7BAA" w14:textId="1076786E" w:rsidR="00683EC6" w:rsidRDefault="00683EC6" w:rsidP="00683EC6">
      <w:r>
        <w:t>We are committed to preventing, detecting and responding to non-compliance and fraud, and most importantly to protecting all participants.</w:t>
      </w:r>
      <w:r w:rsidR="000B268B">
        <w:t xml:space="preserve"> </w:t>
      </w:r>
    </w:p>
    <w:p w14:paraId="1E5B0466" w14:textId="2BF6E0D7" w:rsidR="00683EC6" w:rsidRDefault="00683EC6" w:rsidP="00683EC6">
      <w:r>
        <w:t>We maintain a zero-tolerance approach to fraud and the misuse of funds.</w:t>
      </w:r>
      <w:r w:rsidR="000B268B">
        <w:t xml:space="preserve"> </w:t>
      </w:r>
    </w:p>
    <w:p w14:paraId="24C47627" w14:textId="7E6FD7A2" w:rsidR="00683EC6" w:rsidRDefault="00683EC6" w:rsidP="00683EC6">
      <w:r>
        <w:t>We are continuously strengthening our end-to-end processes, including access, planning, claims and payments</w:t>
      </w:r>
      <w:r w:rsidR="00AC0546">
        <w:t>,</w:t>
      </w:r>
      <w:r>
        <w:t xml:space="preserve"> to further protect the integrity of the NDIS.</w:t>
      </w:r>
      <w:r w:rsidR="000B268B">
        <w:t xml:space="preserve"> </w:t>
      </w:r>
    </w:p>
    <w:p w14:paraId="1FF57962" w14:textId="23B04D87" w:rsidR="00683EC6" w:rsidRDefault="00683EC6" w:rsidP="00683EC6">
      <w:r>
        <w:t>We continue to invest in building our capability and systems to identify, respond to, and prevent fraud and non-compliance.</w:t>
      </w:r>
      <w:bookmarkStart w:id="173" w:name="_Toc245862108"/>
      <w:bookmarkStart w:id="174" w:name="_Toc77690794"/>
      <w:bookmarkEnd w:id="173"/>
      <w:bookmarkEnd w:id="174"/>
      <w:r w:rsidR="000B268B">
        <w:t xml:space="preserve"> </w:t>
      </w:r>
    </w:p>
    <w:p w14:paraId="047A65D7" w14:textId="3D9AE845" w:rsidR="00C7252D" w:rsidRPr="00C7570B" w:rsidRDefault="00C7252D" w:rsidP="00514915">
      <w:pPr>
        <w:pStyle w:val="Heading3a"/>
      </w:pPr>
      <w:bookmarkStart w:id="175" w:name="Figure3"/>
      <w:r w:rsidRPr="00C7570B">
        <w:t xml:space="preserve">Figure </w:t>
      </w:r>
      <w:r w:rsidR="00683EC6">
        <w:t>3</w:t>
      </w:r>
      <w:r w:rsidRPr="00C7570B">
        <w:t xml:space="preserve">. Risk </w:t>
      </w:r>
      <w:r w:rsidR="00F64C5C">
        <w:t>Governance</w:t>
      </w:r>
      <w:r w:rsidRPr="00C7570B">
        <w:t xml:space="preserve"> </w:t>
      </w:r>
      <w:r w:rsidR="00F64C5C">
        <w:t>A</w:t>
      </w:r>
      <w:r w:rsidRPr="00C7570B">
        <w:t>rchitecture</w:t>
      </w:r>
      <w:bookmarkEnd w:id="154"/>
      <w:bookmarkEnd w:id="155"/>
      <w:r w:rsidR="000B268B">
        <w:t xml:space="preserve"> </w:t>
      </w:r>
    </w:p>
    <w:p w14:paraId="66A19A2E" w14:textId="13DA8872" w:rsidR="00502EBB" w:rsidRDefault="00F64C5C" w:rsidP="00C7252D">
      <w:pPr>
        <w:rPr>
          <w:rFonts w:ascii="Arial Unicode MS" w:eastAsia="Arial Unicode MS" w:hAnsi="Arial Unicode MS" w:cs="Arial Unicode MS"/>
        </w:rPr>
      </w:pPr>
      <w:bookmarkStart w:id="176" w:name="_Toc77690796"/>
      <w:bookmarkStart w:id="177" w:name="_Toc1961334630"/>
      <w:bookmarkEnd w:id="175"/>
      <w:r>
        <w:rPr>
          <w:noProof/>
          <w:lang w:eastAsia="en-AU"/>
        </w:rPr>
        <w:drawing>
          <wp:inline distT="0" distB="0" distL="0" distR="0" wp14:anchorId="159803E7" wp14:editId="4DB00227">
            <wp:extent cx="5731510" cy="4646295"/>
            <wp:effectExtent l="0" t="0" r="2540" b="1905"/>
            <wp:docPr id="5" name="Picture 5" descr="Risk governance flow chart with 5 levels. The complete text version is available in the Appendix of the document. A link is provided below the image to access the text version. &#10;&#10;A flow chart with 5 levels.&#10;On the top level is two key legislations: the National Disability Insurance Scheme Act 2013 and Public Governance, Performance &amp; Accountability Act 2013.&#10;This points down to the second level. On the second level is one key legislation: NDIS Act and PGPA Act (enacted through). &#10;This points down to the third level. On the third level is three key legislations and four governing rules. The three key legislations are APS Values and Code of Conduct, NDIS Risk Management Rules 2013, and PGPA Rule 2014. The four governing rules are Commonwelath Risk Management Policy, Fraud Rule of the Commonwealth Fraud Control Framework, Protective Security Policy Framework, and Information Security Manual.&#10;The PGPA Rule 2014 points down to the fourth level. On the fourth level is one Corporate Strategy: Corporate plan. &#10;The Corporate Plan from the fourth level, and the NDIS Risk Management Rules 2016 from the third level both point down to the fifth level. On the fifth level is one Corporate Strategy: Risk Management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isk governance flow chart with 5 levels. The complete text version is available in the Appendix of the document. A link is provided below the image to access the text version. &#10;&#10;A flow chart with 5 levels.&#10;On the top level is two key legislations: the National Disability Insurance Scheme Act 2013 and Public Governance, Performance &amp; Accountability Act 2013.&#10;This points down to the second level. On the second level is one key legislation: NDIS Act and PGPA Act (enacted through). &#10;This points down to the third level. On the third level is three key legislations and four governing rules. The three key legislations are APS Values and Code of Conduct, NDIS Risk Management Rules 2013, and PGPA Rule 2014. The four governing rules are Commonwelath Risk Management Policy, Fraud Rule of the Commonwealth Fraud Control Framework, Protective Security Policy Framework, and Information Security Manual.&#10;The PGPA Rule 2014 points down to the fourth level. On the fourth level is one Corporate Strategy: Corporate plan. &#10;The Corporate Plan from the fourth level, and the NDIS Risk Management Rules 2016 from the third level both point down to the fifth level. On the fifth level is one Corporate Strategy: Risk Management strategy."/>
                    <pic:cNvPicPr/>
                  </pic:nvPicPr>
                  <pic:blipFill>
                    <a:blip r:embed="rId32"/>
                    <a:stretch>
                      <a:fillRect/>
                    </a:stretch>
                  </pic:blipFill>
                  <pic:spPr>
                    <a:xfrm>
                      <a:off x="0" y="0"/>
                      <a:ext cx="5731510" cy="4646295"/>
                    </a:xfrm>
                    <a:prstGeom prst="rect">
                      <a:avLst/>
                    </a:prstGeom>
                  </pic:spPr>
                </pic:pic>
              </a:graphicData>
            </a:graphic>
          </wp:inline>
        </w:drawing>
      </w:r>
    </w:p>
    <w:p w14:paraId="41B140C6" w14:textId="68A95A81" w:rsidR="00514915" w:rsidRDefault="007E35D3" w:rsidP="00514915">
      <w:pPr>
        <w:rPr>
          <w:rFonts w:eastAsia="Arial Unicode MS"/>
        </w:rPr>
      </w:pPr>
      <w:hyperlink w:anchor="_Appendix_1:_Risk" w:history="1">
        <w:r w:rsidR="000F35AD">
          <w:rPr>
            <w:rStyle w:val="Hyperlink"/>
            <w:rFonts w:eastAsia="Arial Unicode MS"/>
          </w:rPr>
          <w:t>Go to te</w:t>
        </w:r>
        <w:r w:rsidR="00514915" w:rsidRPr="00514915">
          <w:rPr>
            <w:rStyle w:val="Hyperlink"/>
            <w:rFonts w:eastAsia="Arial Unicode MS"/>
          </w:rPr>
          <w:t>xt version of Risk Governance Architecture</w:t>
        </w:r>
      </w:hyperlink>
    </w:p>
    <w:p w14:paraId="4098AE3F" w14:textId="77777777" w:rsidR="00502EBB" w:rsidRDefault="00502EBB">
      <w:pPr>
        <w:spacing w:after="0" w:line="240" w:lineRule="auto"/>
        <w:rPr>
          <w:rFonts w:ascii="Arial Unicode MS" w:eastAsia="Arial Unicode MS" w:hAnsi="Arial Unicode MS" w:cs="Arial Unicode MS"/>
        </w:rPr>
      </w:pPr>
      <w:r>
        <w:rPr>
          <w:rFonts w:ascii="Arial Unicode MS" w:eastAsia="Arial Unicode MS" w:hAnsi="Arial Unicode MS" w:cs="Arial Unicode MS"/>
        </w:rPr>
        <w:br w:type="page"/>
      </w:r>
    </w:p>
    <w:p w14:paraId="60A4D5F0" w14:textId="5B2877F0" w:rsidR="00C7252D" w:rsidRPr="00C7570B" w:rsidRDefault="00C7252D" w:rsidP="00813E0C">
      <w:pPr>
        <w:pStyle w:val="Heading3"/>
      </w:pPr>
      <w:bookmarkStart w:id="178" w:name="_Table_9:_Strategic"/>
      <w:bookmarkStart w:id="179" w:name="_Toc99463609"/>
      <w:bookmarkStart w:id="180" w:name="_Toc99617136"/>
      <w:bookmarkEnd w:id="178"/>
      <w:r w:rsidRPr="00C7570B">
        <w:t>Table 9</w:t>
      </w:r>
      <w:r w:rsidR="001F442C">
        <w:t>:</w:t>
      </w:r>
      <w:r w:rsidRPr="00C7570B">
        <w:t xml:space="preserve"> Strategic risks</w:t>
      </w:r>
      <w:bookmarkEnd w:id="176"/>
      <w:r w:rsidRPr="00C7570B">
        <w:t xml:space="preserve"> </w:t>
      </w:r>
      <w:bookmarkEnd w:id="177"/>
      <w:bookmarkEnd w:id="179"/>
      <w:bookmarkEnd w:id="180"/>
    </w:p>
    <w:tbl>
      <w:tblPr>
        <w:tblStyle w:val="TableGrid11"/>
        <w:tblW w:w="9634" w:type="dxa"/>
        <w:tblCellMar>
          <w:top w:w="144" w:type="dxa"/>
          <w:left w:w="144" w:type="dxa"/>
          <w:bottom w:w="144" w:type="dxa"/>
          <w:right w:w="144" w:type="dxa"/>
        </w:tblCellMar>
        <w:tblLook w:val="04A0" w:firstRow="1" w:lastRow="0" w:firstColumn="1" w:lastColumn="0" w:noHBand="0" w:noVBand="1"/>
      </w:tblPr>
      <w:tblGrid>
        <w:gridCol w:w="704"/>
        <w:gridCol w:w="8930"/>
      </w:tblGrid>
      <w:tr w:rsidR="00787C38" w14:paraId="704D0B76" w14:textId="77777777" w:rsidTr="00B4336E">
        <w:trPr>
          <w:trHeight w:val="494"/>
          <w:tblHeader/>
        </w:trPr>
        <w:tc>
          <w:tcPr>
            <w:tcW w:w="704" w:type="dxa"/>
            <w:tcBorders>
              <w:top w:val="single" w:sz="4" w:space="0" w:color="auto"/>
              <w:left w:val="single" w:sz="4" w:space="0" w:color="auto"/>
              <w:bottom w:val="single" w:sz="4" w:space="0" w:color="auto"/>
              <w:right w:val="single" w:sz="4" w:space="0" w:color="auto"/>
            </w:tcBorders>
            <w:shd w:val="clear" w:color="auto" w:fill="6A2875"/>
            <w:vAlign w:val="center"/>
            <w:hideMark/>
          </w:tcPr>
          <w:p w14:paraId="54FCA990" w14:textId="77777777" w:rsidR="00787C38" w:rsidRDefault="00787C38" w:rsidP="00B4336E">
            <w:pPr>
              <w:spacing w:after="0"/>
              <w:jc w:val="center"/>
              <w:rPr>
                <w:color w:val="FFFFFF" w:themeColor="background1"/>
              </w:rPr>
            </w:pPr>
            <w:r>
              <w:rPr>
                <w:color w:val="FFFFFF" w:themeColor="background1"/>
              </w:rPr>
              <w:t>#</w:t>
            </w:r>
          </w:p>
        </w:tc>
        <w:tc>
          <w:tcPr>
            <w:tcW w:w="8930" w:type="dxa"/>
            <w:tcBorders>
              <w:top w:val="single" w:sz="4" w:space="0" w:color="auto"/>
              <w:left w:val="single" w:sz="4" w:space="0" w:color="auto"/>
              <w:bottom w:val="single" w:sz="4" w:space="0" w:color="auto"/>
              <w:right w:val="single" w:sz="4" w:space="0" w:color="auto"/>
            </w:tcBorders>
            <w:shd w:val="clear" w:color="auto" w:fill="6A2875"/>
            <w:vAlign w:val="center"/>
            <w:hideMark/>
          </w:tcPr>
          <w:p w14:paraId="7C01E8CD" w14:textId="77777777" w:rsidR="00787C38" w:rsidRDefault="00787C38" w:rsidP="00B4336E">
            <w:pPr>
              <w:spacing w:after="0"/>
              <w:rPr>
                <w:color w:val="FFFFFF" w:themeColor="background1"/>
              </w:rPr>
            </w:pPr>
            <w:r>
              <w:rPr>
                <w:color w:val="FFFFFF" w:themeColor="background1"/>
              </w:rPr>
              <w:t>Strategic Risk</w:t>
            </w:r>
          </w:p>
        </w:tc>
      </w:tr>
      <w:tr w:rsidR="00787C38" w14:paraId="1AA3562B"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56BDABF8" w14:textId="77777777" w:rsidR="00787C38" w:rsidRDefault="00787C38" w:rsidP="00B4336E">
            <w:pPr>
              <w:spacing w:after="0" w:line="240" w:lineRule="auto"/>
              <w:jc w:val="center"/>
            </w:pPr>
            <w:r>
              <w:t>1</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57B3DE8" w14:textId="7ACD69B1" w:rsidR="00787C38" w:rsidRPr="00E50A54" w:rsidRDefault="00787C38" w:rsidP="00B4336E">
            <w:pPr>
              <w:spacing w:line="240" w:lineRule="auto"/>
              <w:rPr>
                <w:b/>
                <w:bCs/>
              </w:rPr>
            </w:pPr>
            <w:r w:rsidRPr="00E50A54">
              <w:rPr>
                <w:b/>
                <w:bCs/>
              </w:rPr>
              <w:t>Participant experience</w:t>
            </w:r>
            <w:r w:rsidR="000B268B">
              <w:rPr>
                <w:b/>
                <w:bCs/>
              </w:rPr>
              <w:t xml:space="preserve"> </w:t>
            </w:r>
          </w:p>
          <w:p w14:paraId="2402CDF1" w14:textId="355CA835" w:rsidR="00787C38" w:rsidRDefault="00787C38" w:rsidP="00B4336E">
            <w:pPr>
              <w:spacing w:after="0" w:line="240" w:lineRule="auto"/>
            </w:pPr>
            <w:r>
              <w:t>Ability to meet participant expectations for access decisions, delivery of personalised plans and timely reviews, including responsiveness to the management of critical incidents and/or issues.</w:t>
            </w:r>
            <w:r w:rsidR="000B268B">
              <w:t xml:space="preserve"> </w:t>
            </w:r>
          </w:p>
        </w:tc>
      </w:tr>
      <w:tr w:rsidR="00787C38" w14:paraId="3094D957"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072D6B45" w14:textId="77777777" w:rsidR="00787C38" w:rsidRDefault="00787C38" w:rsidP="00B4336E">
            <w:pPr>
              <w:spacing w:after="0" w:line="240" w:lineRule="auto"/>
              <w:jc w:val="center"/>
            </w:pPr>
            <w:r>
              <w:t>2</w:t>
            </w:r>
          </w:p>
        </w:tc>
        <w:tc>
          <w:tcPr>
            <w:tcW w:w="8930" w:type="dxa"/>
            <w:tcBorders>
              <w:top w:val="single" w:sz="4" w:space="0" w:color="auto"/>
              <w:left w:val="single" w:sz="4" w:space="0" w:color="auto"/>
              <w:bottom w:val="single" w:sz="4" w:space="0" w:color="auto"/>
              <w:right w:val="single" w:sz="4" w:space="0" w:color="auto"/>
            </w:tcBorders>
            <w:vAlign w:val="center"/>
            <w:hideMark/>
          </w:tcPr>
          <w:p w14:paraId="7478D9A8" w14:textId="3EADCB4D" w:rsidR="00787C38" w:rsidRPr="00E50A54" w:rsidRDefault="00787C38" w:rsidP="00B4336E">
            <w:pPr>
              <w:spacing w:line="240" w:lineRule="auto"/>
              <w:rPr>
                <w:b/>
                <w:bCs/>
              </w:rPr>
            </w:pPr>
            <w:r w:rsidRPr="00E50A54">
              <w:rPr>
                <w:b/>
                <w:bCs/>
              </w:rPr>
              <w:t>Participant outcomes</w:t>
            </w:r>
            <w:r w:rsidR="000B268B">
              <w:rPr>
                <w:b/>
                <w:bCs/>
              </w:rPr>
              <w:t xml:space="preserve"> </w:t>
            </w:r>
          </w:p>
          <w:p w14:paraId="5B42E695" w14:textId="2C5D1ED8" w:rsidR="00787C38" w:rsidRDefault="00787C38" w:rsidP="00B4336E">
            <w:pPr>
              <w:spacing w:after="0" w:line="240" w:lineRule="auto"/>
            </w:pPr>
            <w:r>
              <w:t>Ability to facilitate achievement of identified goals to enable participant social and economic outcomes.</w:t>
            </w:r>
            <w:r w:rsidR="000B268B">
              <w:t xml:space="preserve"> </w:t>
            </w:r>
          </w:p>
        </w:tc>
      </w:tr>
      <w:tr w:rsidR="00787C38" w14:paraId="02AC54D1"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5962B812" w14:textId="77777777" w:rsidR="00787C38" w:rsidRDefault="00787C38" w:rsidP="00B4336E">
            <w:pPr>
              <w:spacing w:after="0" w:line="240" w:lineRule="auto"/>
              <w:jc w:val="center"/>
            </w:pPr>
            <w:r>
              <w:t>3</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B3C5FBC" w14:textId="0B74FE18" w:rsidR="00787C38" w:rsidRPr="00E50A54" w:rsidRDefault="00787C38" w:rsidP="00B4336E">
            <w:pPr>
              <w:spacing w:line="240" w:lineRule="auto"/>
              <w:rPr>
                <w:b/>
                <w:bCs/>
              </w:rPr>
            </w:pPr>
            <w:r w:rsidRPr="00E50A54">
              <w:rPr>
                <w:b/>
                <w:bCs/>
              </w:rPr>
              <w:t>Partner performance</w:t>
            </w:r>
            <w:r w:rsidR="000B268B">
              <w:rPr>
                <w:b/>
                <w:bCs/>
              </w:rPr>
              <w:t xml:space="preserve"> </w:t>
            </w:r>
          </w:p>
          <w:p w14:paraId="163176EE" w14:textId="224485FC" w:rsidR="00787C38" w:rsidRDefault="00787C38" w:rsidP="00B4336E">
            <w:pPr>
              <w:spacing w:after="0" w:line="240" w:lineRule="auto"/>
            </w:pPr>
            <w:r>
              <w:t>Ability to maintain necessary Agency partners capacity and capability, including Partners in The Community and outsourced service providers.</w:t>
            </w:r>
            <w:r w:rsidR="000B268B">
              <w:t xml:space="preserve"> </w:t>
            </w:r>
          </w:p>
        </w:tc>
      </w:tr>
      <w:tr w:rsidR="00787C38" w14:paraId="2D189471"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283E8CED" w14:textId="77777777" w:rsidR="00787C38" w:rsidRDefault="00787C38" w:rsidP="00B4336E">
            <w:pPr>
              <w:spacing w:after="0" w:line="240" w:lineRule="auto"/>
              <w:jc w:val="center"/>
            </w:pPr>
            <w:r>
              <w:t>4</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2B12005" w14:textId="39D4CEEB" w:rsidR="00787C38" w:rsidRPr="00E50A54" w:rsidRDefault="00787C38" w:rsidP="00B4336E">
            <w:pPr>
              <w:spacing w:line="240" w:lineRule="auto"/>
              <w:rPr>
                <w:b/>
                <w:bCs/>
              </w:rPr>
            </w:pPr>
            <w:r w:rsidRPr="00E50A54">
              <w:rPr>
                <w:b/>
                <w:bCs/>
              </w:rPr>
              <w:t>Provider market quality</w:t>
            </w:r>
            <w:r w:rsidR="000B268B">
              <w:rPr>
                <w:b/>
                <w:bCs/>
              </w:rPr>
              <w:t xml:space="preserve"> </w:t>
            </w:r>
          </w:p>
          <w:p w14:paraId="6026019C" w14:textId="3412D3F4" w:rsidR="00787C38" w:rsidRDefault="00787C38" w:rsidP="00B4336E">
            <w:pPr>
              <w:spacing w:after="0" w:line="240" w:lineRule="auto"/>
            </w:pPr>
            <w:r>
              <w:t>Ability to enable consistent and sustainable provider market quality, depth, coverage and support innovation.</w:t>
            </w:r>
            <w:r w:rsidR="000B268B">
              <w:t xml:space="preserve"> </w:t>
            </w:r>
          </w:p>
        </w:tc>
      </w:tr>
      <w:tr w:rsidR="00787C38" w14:paraId="34FF65C5"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23038A92" w14:textId="77777777" w:rsidR="00787C38" w:rsidRDefault="00787C38" w:rsidP="00B4336E">
            <w:pPr>
              <w:spacing w:after="0" w:line="240" w:lineRule="auto"/>
              <w:jc w:val="center"/>
            </w:pPr>
            <w:r>
              <w:t>5</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9E7BC82" w14:textId="515A1586" w:rsidR="00787C38" w:rsidRPr="00E50A54" w:rsidRDefault="00787C38" w:rsidP="00B4336E">
            <w:pPr>
              <w:spacing w:line="240" w:lineRule="auto"/>
              <w:rPr>
                <w:b/>
                <w:bCs/>
              </w:rPr>
            </w:pPr>
            <w:r w:rsidRPr="00E50A54">
              <w:rPr>
                <w:b/>
                <w:bCs/>
              </w:rPr>
              <w:t>Financial sustainability</w:t>
            </w:r>
            <w:r w:rsidR="000B268B">
              <w:rPr>
                <w:b/>
                <w:bCs/>
              </w:rPr>
              <w:t xml:space="preserve"> </w:t>
            </w:r>
          </w:p>
          <w:p w14:paraId="2A37AD48" w14:textId="07F8A660" w:rsidR="00787C38" w:rsidRDefault="00787C38" w:rsidP="00B4336E">
            <w:pPr>
              <w:spacing w:after="0" w:line="240" w:lineRule="auto"/>
            </w:pPr>
            <w:r>
              <w:t>Scheme scope, growth and/or costs deviate significantly from approved funding.</w:t>
            </w:r>
            <w:r w:rsidR="000B268B">
              <w:t xml:space="preserve"> </w:t>
            </w:r>
          </w:p>
        </w:tc>
      </w:tr>
      <w:tr w:rsidR="00787C38" w14:paraId="30CF277E"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44EFFC66" w14:textId="77777777" w:rsidR="00787C38" w:rsidRDefault="00787C38" w:rsidP="00B4336E">
            <w:pPr>
              <w:spacing w:after="0" w:line="240" w:lineRule="auto"/>
              <w:jc w:val="center"/>
            </w:pPr>
            <w:r>
              <w:t>6</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5B2B9FC" w14:textId="69136B8B" w:rsidR="00787C38" w:rsidRPr="00E50A54" w:rsidRDefault="00787C38" w:rsidP="00B4336E">
            <w:pPr>
              <w:spacing w:line="240" w:lineRule="auto"/>
              <w:rPr>
                <w:b/>
                <w:bCs/>
              </w:rPr>
            </w:pPr>
            <w:r w:rsidRPr="00E50A54">
              <w:rPr>
                <w:b/>
                <w:bCs/>
              </w:rPr>
              <w:t>Scheme integrity</w:t>
            </w:r>
            <w:r w:rsidR="000B268B">
              <w:rPr>
                <w:b/>
                <w:bCs/>
              </w:rPr>
              <w:t xml:space="preserve"> </w:t>
            </w:r>
          </w:p>
          <w:p w14:paraId="7495C5B8" w14:textId="291195F4" w:rsidR="00787C38" w:rsidRDefault="00787C38" w:rsidP="00B4336E">
            <w:pPr>
              <w:spacing w:after="0" w:line="240" w:lineRule="auto"/>
            </w:pPr>
            <w:r>
              <w:t>Ability to protect the Scheme and participants against fraud and non-compliance.</w:t>
            </w:r>
            <w:r w:rsidR="000B268B">
              <w:t xml:space="preserve"> </w:t>
            </w:r>
          </w:p>
        </w:tc>
      </w:tr>
      <w:tr w:rsidR="00787C38" w14:paraId="2CA493AC"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162AEC29" w14:textId="77777777" w:rsidR="00787C38" w:rsidRDefault="00787C38" w:rsidP="00B4336E">
            <w:pPr>
              <w:spacing w:after="0" w:line="240" w:lineRule="auto"/>
              <w:jc w:val="center"/>
            </w:pPr>
            <w:r>
              <w:t>7</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7B29D24" w14:textId="22B27F0B" w:rsidR="00787C38" w:rsidRPr="00E50A54" w:rsidRDefault="00787C38" w:rsidP="00B4336E">
            <w:pPr>
              <w:spacing w:line="240" w:lineRule="auto"/>
              <w:rPr>
                <w:b/>
                <w:bCs/>
              </w:rPr>
            </w:pPr>
            <w:r w:rsidRPr="00E50A54">
              <w:rPr>
                <w:b/>
                <w:bCs/>
              </w:rPr>
              <w:t>People, capability and capacity</w:t>
            </w:r>
            <w:r w:rsidR="000B268B">
              <w:rPr>
                <w:b/>
                <w:bCs/>
              </w:rPr>
              <w:t xml:space="preserve"> </w:t>
            </w:r>
          </w:p>
          <w:p w14:paraId="6A43230D" w14:textId="34C094D3" w:rsidR="00787C38" w:rsidRDefault="00787C38" w:rsidP="00B4336E">
            <w:pPr>
              <w:spacing w:after="0" w:line="240" w:lineRule="auto"/>
            </w:pPr>
            <w:r>
              <w:t>Ability to attract and retain a highly capable, high performing workforce.</w:t>
            </w:r>
            <w:r w:rsidR="000B268B">
              <w:t xml:space="preserve"> </w:t>
            </w:r>
          </w:p>
        </w:tc>
      </w:tr>
      <w:tr w:rsidR="00787C38" w14:paraId="0EA787AC"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40C2012E" w14:textId="77777777" w:rsidR="00787C38" w:rsidRDefault="00787C38" w:rsidP="00B4336E">
            <w:pPr>
              <w:spacing w:after="0" w:line="240" w:lineRule="auto"/>
              <w:jc w:val="center"/>
            </w:pPr>
            <w:r>
              <w:t>8</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DB4176D" w14:textId="77777777" w:rsidR="00787C38" w:rsidRPr="00E50A54" w:rsidRDefault="00787C38" w:rsidP="00B4336E">
            <w:pPr>
              <w:spacing w:line="240" w:lineRule="auto"/>
              <w:rPr>
                <w:b/>
                <w:bCs/>
              </w:rPr>
            </w:pPr>
            <w:r w:rsidRPr="00E50A54">
              <w:rPr>
                <w:b/>
                <w:bCs/>
              </w:rPr>
              <w:t xml:space="preserve">ICT delivery and cyber </w:t>
            </w:r>
          </w:p>
          <w:p w14:paraId="30F3A902" w14:textId="5B1A3599" w:rsidR="00787C38" w:rsidRDefault="00787C38" w:rsidP="00B4336E">
            <w:pPr>
              <w:spacing w:after="0" w:line="240" w:lineRule="auto"/>
            </w:pPr>
            <w:r>
              <w:t>Ability to deliver reliable, effective and sustainable IT systems and digital platforms with robust cyber security prevention, detection, and response mechanisms.</w:t>
            </w:r>
            <w:r w:rsidR="000B268B">
              <w:t xml:space="preserve"> </w:t>
            </w:r>
          </w:p>
        </w:tc>
      </w:tr>
      <w:tr w:rsidR="00787C38" w14:paraId="7A38D7E3" w14:textId="77777777" w:rsidTr="00B4336E">
        <w:tc>
          <w:tcPr>
            <w:tcW w:w="704" w:type="dxa"/>
            <w:tcBorders>
              <w:top w:val="single" w:sz="4" w:space="0" w:color="auto"/>
              <w:left w:val="single" w:sz="4" w:space="0" w:color="auto"/>
              <w:bottom w:val="single" w:sz="4" w:space="0" w:color="auto"/>
              <w:right w:val="single" w:sz="4" w:space="0" w:color="auto"/>
            </w:tcBorders>
            <w:vAlign w:val="center"/>
            <w:hideMark/>
          </w:tcPr>
          <w:p w14:paraId="4C0C9212" w14:textId="77777777" w:rsidR="00787C38" w:rsidRDefault="00787C38" w:rsidP="00B4336E">
            <w:pPr>
              <w:spacing w:after="0" w:line="240" w:lineRule="auto"/>
              <w:jc w:val="center"/>
            </w:pPr>
            <w:r>
              <w:t>9</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94CAC69" w14:textId="17870B59" w:rsidR="00787C38" w:rsidRPr="00E50A54" w:rsidRDefault="00787C38" w:rsidP="00B4336E">
            <w:pPr>
              <w:spacing w:line="240" w:lineRule="auto"/>
              <w:rPr>
                <w:b/>
                <w:bCs/>
              </w:rPr>
            </w:pPr>
            <w:r w:rsidRPr="008E35D2">
              <w:rPr>
                <w:b/>
                <w:bCs/>
              </w:rPr>
              <w:t xml:space="preserve">Stakeholder </w:t>
            </w:r>
            <w:r w:rsidR="008E35D2">
              <w:rPr>
                <w:b/>
                <w:bCs/>
              </w:rPr>
              <w:t>r</w:t>
            </w:r>
            <w:r w:rsidRPr="008E35D2">
              <w:rPr>
                <w:b/>
                <w:bCs/>
              </w:rPr>
              <w:t xml:space="preserve">elationship and </w:t>
            </w:r>
            <w:r w:rsidR="008E35D2">
              <w:rPr>
                <w:b/>
                <w:bCs/>
              </w:rPr>
              <w:t>t</w:t>
            </w:r>
            <w:r w:rsidRPr="008E35D2">
              <w:rPr>
                <w:b/>
                <w:bCs/>
              </w:rPr>
              <w:t>rust</w:t>
            </w:r>
            <w:r w:rsidR="000B268B">
              <w:rPr>
                <w:b/>
                <w:bCs/>
              </w:rPr>
              <w:t xml:space="preserve"> </w:t>
            </w:r>
          </w:p>
          <w:p w14:paraId="2D7EF2E4" w14:textId="32CB03DD" w:rsidR="00787C38" w:rsidRDefault="00787C38" w:rsidP="00B4336E">
            <w:pPr>
              <w:spacing w:after="0" w:line="240" w:lineRule="auto"/>
            </w:pPr>
            <w:r>
              <w:t>Ability to build and maintain mutual trust with the sector, participants and community through improved engagement and co-design for Scheme changes.</w:t>
            </w:r>
            <w:r w:rsidR="000B268B">
              <w:t xml:space="preserve"> </w:t>
            </w:r>
          </w:p>
        </w:tc>
      </w:tr>
    </w:tbl>
    <w:p w14:paraId="7C90C421" w14:textId="77777777" w:rsidR="00C7252D" w:rsidRDefault="00C7252D" w:rsidP="00C7252D"/>
    <w:p w14:paraId="58C12C2F" w14:textId="77777777" w:rsidR="0007512F" w:rsidRDefault="00C7252D" w:rsidP="008703DC">
      <w:r>
        <w:br w:type="page"/>
      </w:r>
    </w:p>
    <w:p w14:paraId="05C8ED35" w14:textId="31600768" w:rsidR="0007512F" w:rsidRDefault="0007512F" w:rsidP="0007512F">
      <w:pPr>
        <w:pStyle w:val="Heading2"/>
      </w:pPr>
      <w:bookmarkStart w:id="181" w:name="_Toc99617137"/>
      <w:r>
        <w:t>Appendices</w:t>
      </w:r>
      <w:bookmarkEnd w:id="181"/>
      <w:r w:rsidR="000B268B">
        <w:t xml:space="preserve"> </w:t>
      </w:r>
    </w:p>
    <w:p w14:paraId="1961AD1C" w14:textId="14C954D7" w:rsidR="006447AF" w:rsidRDefault="006447AF" w:rsidP="006447AF">
      <w:pPr>
        <w:pStyle w:val="Heading3"/>
      </w:pPr>
      <w:bookmarkStart w:id="182" w:name="_Appendix_1:_Risk"/>
      <w:bookmarkEnd w:id="182"/>
      <w:r>
        <w:t xml:space="preserve">Appendix </w:t>
      </w:r>
      <w:r w:rsidR="00514915">
        <w:t>1</w:t>
      </w:r>
      <w:r>
        <w:t xml:space="preserve">: Risk </w:t>
      </w:r>
      <w:r w:rsidR="007A2B08">
        <w:t>Governance</w:t>
      </w:r>
      <w:r>
        <w:t xml:space="preserve"> Architecture (text version)</w:t>
      </w:r>
      <w:r w:rsidR="000B268B">
        <w:t xml:space="preserve"> </w:t>
      </w:r>
    </w:p>
    <w:p w14:paraId="5B328541" w14:textId="34F3E521" w:rsidR="008E35D2" w:rsidRDefault="006447AF" w:rsidP="00AA7208">
      <w:r>
        <w:rPr>
          <w:lang w:eastAsia="en-US"/>
        </w:rPr>
        <w:t xml:space="preserve">The text version of </w:t>
      </w:r>
      <w:r w:rsidR="00081272">
        <w:rPr>
          <w:lang w:eastAsia="en-US"/>
        </w:rPr>
        <w:t>Figure 3: T</w:t>
      </w:r>
      <w:r>
        <w:rPr>
          <w:lang w:eastAsia="en-US"/>
        </w:rPr>
        <w:t xml:space="preserve">he Risk </w:t>
      </w:r>
      <w:r w:rsidR="007A2B08">
        <w:rPr>
          <w:lang w:eastAsia="en-US"/>
        </w:rPr>
        <w:t>Governance</w:t>
      </w:r>
      <w:r>
        <w:rPr>
          <w:lang w:eastAsia="en-US"/>
        </w:rPr>
        <w:t xml:space="preserve"> Architecture graphic on page </w:t>
      </w:r>
      <w:r w:rsidR="0021428E">
        <w:rPr>
          <w:lang w:eastAsia="en-US"/>
        </w:rPr>
        <w:t>40</w:t>
      </w:r>
      <w:r w:rsidR="007A2B08">
        <w:rPr>
          <w:lang w:eastAsia="en-US"/>
        </w:rPr>
        <w:t>.</w:t>
      </w:r>
    </w:p>
    <w:p w14:paraId="722AAED0" w14:textId="040C33B5" w:rsidR="008E35D2" w:rsidRDefault="008E35D2" w:rsidP="008E35D2">
      <w:pPr>
        <w:pStyle w:val="ListParagraph"/>
        <w:ind w:left="0"/>
        <w:contextualSpacing w:val="0"/>
      </w:pPr>
      <w:r>
        <w:t xml:space="preserve">Our risk governance </w:t>
      </w:r>
      <w:r w:rsidR="006553E0">
        <w:t xml:space="preserve">is set and </w:t>
      </w:r>
      <w:r>
        <w:t xml:space="preserve">enacted through the </w:t>
      </w:r>
      <w:r w:rsidR="006553E0">
        <w:t xml:space="preserve">key legislation of the </w:t>
      </w:r>
      <w:r>
        <w:t>National Disability Insurance Scheme Act 2013 and the Public Governance, Performance and Accountability Act 2013.</w:t>
      </w:r>
      <w:r w:rsidR="00E772E5">
        <w:t xml:space="preserve"> </w:t>
      </w:r>
    </w:p>
    <w:p w14:paraId="1A8142CF" w14:textId="63285E6C" w:rsidR="008E35D2" w:rsidRDefault="008E35D2" w:rsidP="008E35D2">
      <w:pPr>
        <w:pStyle w:val="ListParagraph"/>
        <w:ind w:left="0"/>
        <w:contextualSpacing w:val="0"/>
      </w:pPr>
      <w:r>
        <w:t xml:space="preserve">This </w:t>
      </w:r>
      <w:r w:rsidR="006553E0">
        <w:t>sits above</w:t>
      </w:r>
      <w:r>
        <w:t xml:space="preserve"> the following </w:t>
      </w:r>
      <w:r w:rsidR="006553E0">
        <w:t xml:space="preserve">key legislation and </w:t>
      </w:r>
      <w:r>
        <w:t>governing rules:</w:t>
      </w:r>
      <w:r w:rsidR="00E772E5">
        <w:t xml:space="preserve"> </w:t>
      </w:r>
    </w:p>
    <w:p w14:paraId="68F3BD7C" w14:textId="1EBB53DE" w:rsidR="006553E0" w:rsidRDefault="006553E0" w:rsidP="008E35D2">
      <w:pPr>
        <w:pStyle w:val="ListParagraph"/>
        <w:ind w:left="0"/>
        <w:contextualSpacing w:val="0"/>
      </w:pPr>
      <w:r>
        <w:t>Key legislation:</w:t>
      </w:r>
      <w:r w:rsidR="00E772E5">
        <w:t xml:space="preserve"> </w:t>
      </w:r>
    </w:p>
    <w:p w14:paraId="5D79A322" w14:textId="138D1E14" w:rsidR="008E35D2" w:rsidRDefault="008E35D2" w:rsidP="00562112">
      <w:pPr>
        <w:pStyle w:val="ListParagraph"/>
        <w:numPr>
          <w:ilvl w:val="0"/>
          <w:numId w:val="15"/>
        </w:numPr>
      </w:pPr>
      <w:r>
        <w:t>APS Values and Code of Conduct</w:t>
      </w:r>
      <w:r w:rsidR="00C03036">
        <w:t>.</w:t>
      </w:r>
      <w:r w:rsidR="00E772E5">
        <w:t xml:space="preserve"> </w:t>
      </w:r>
    </w:p>
    <w:p w14:paraId="1D9636F6" w14:textId="27C7A21C" w:rsidR="006553E0" w:rsidRDefault="006553E0" w:rsidP="00562112">
      <w:pPr>
        <w:pStyle w:val="ListParagraph"/>
        <w:numPr>
          <w:ilvl w:val="0"/>
          <w:numId w:val="15"/>
        </w:numPr>
      </w:pPr>
      <w:r>
        <w:t>NDIS Risk Management Rules 2013</w:t>
      </w:r>
      <w:r w:rsidR="00C03036">
        <w:t>.</w:t>
      </w:r>
      <w:r w:rsidR="00E772E5">
        <w:t xml:space="preserve"> </w:t>
      </w:r>
    </w:p>
    <w:p w14:paraId="26C74938" w14:textId="30A2D288" w:rsidR="006553E0" w:rsidRDefault="006553E0" w:rsidP="00562112">
      <w:pPr>
        <w:pStyle w:val="ListParagraph"/>
        <w:numPr>
          <w:ilvl w:val="0"/>
          <w:numId w:val="15"/>
        </w:numPr>
      </w:pPr>
      <w:r>
        <w:t>PGPA Rule 2014</w:t>
      </w:r>
      <w:r w:rsidR="00C03036">
        <w:t>.</w:t>
      </w:r>
      <w:r w:rsidR="00E772E5">
        <w:t xml:space="preserve"> </w:t>
      </w:r>
    </w:p>
    <w:p w14:paraId="41D05A8A" w14:textId="71737462" w:rsidR="006553E0" w:rsidRDefault="006553E0" w:rsidP="006553E0">
      <w:r>
        <w:t>Governing rules:</w:t>
      </w:r>
      <w:r w:rsidR="00E772E5">
        <w:t xml:space="preserve"> </w:t>
      </w:r>
    </w:p>
    <w:p w14:paraId="283AE01E" w14:textId="7544D0A7" w:rsidR="008E35D2" w:rsidRDefault="008E35D2" w:rsidP="00562112">
      <w:pPr>
        <w:pStyle w:val="ListParagraph"/>
        <w:numPr>
          <w:ilvl w:val="0"/>
          <w:numId w:val="15"/>
        </w:numPr>
      </w:pPr>
      <w:r>
        <w:t>Commonwealth Risk Management Policy</w:t>
      </w:r>
      <w:r w:rsidR="00C03036">
        <w:t>.</w:t>
      </w:r>
      <w:r w:rsidR="00E772E5">
        <w:t xml:space="preserve"> </w:t>
      </w:r>
    </w:p>
    <w:p w14:paraId="565C3740" w14:textId="6C059D03" w:rsidR="008E35D2" w:rsidRDefault="008E35D2" w:rsidP="00562112">
      <w:pPr>
        <w:pStyle w:val="ListParagraph"/>
        <w:numPr>
          <w:ilvl w:val="0"/>
          <w:numId w:val="15"/>
        </w:numPr>
      </w:pPr>
      <w:r>
        <w:t>Fraud Rule of the Commonwealth Fraud Control Framework</w:t>
      </w:r>
      <w:r w:rsidR="00C03036">
        <w:t>.</w:t>
      </w:r>
      <w:r w:rsidR="00E772E5">
        <w:t xml:space="preserve"> </w:t>
      </w:r>
    </w:p>
    <w:p w14:paraId="1468BBD9" w14:textId="2E657028" w:rsidR="008E35D2" w:rsidRDefault="008E35D2" w:rsidP="00562112">
      <w:pPr>
        <w:pStyle w:val="ListParagraph"/>
        <w:numPr>
          <w:ilvl w:val="0"/>
          <w:numId w:val="15"/>
        </w:numPr>
      </w:pPr>
      <w:r>
        <w:t>Protective Security Policy Framework</w:t>
      </w:r>
      <w:r w:rsidR="00C03036">
        <w:t>.</w:t>
      </w:r>
      <w:r w:rsidR="00E772E5">
        <w:t xml:space="preserve"> </w:t>
      </w:r>
    </w:p>
    <w:p w14:paraId="6A4E5657" w14:textId="048C6FF3" w:rsidR="008E35D2" w:rsidRDefault="008E35D2" w:rsidP="00562112">
      <w:pPr>
        <w:pStyle w:val="ListParagraph"/>
        <w:numPr>
          <w:ilvl w:val="0"/>
          <w:numId w:val="15"/>
        </w:numPr>
      </w:pPr>
      <w:r>
        <w:t>Information Security Manual</w:t>
      </w:r>
      <w:r w:rsidR="00C03036">
        <w:t>.</w:t>
      </w:r>
      <w:r w:rsidR="00E772E5">
        <w:t xml:space="preserve"> </w:t>
      </w:r>
    </w:p>
    <w:p w14:paraId="4E2082FA" w14:textId="5E94FB5A" w:rsidR="008E35D2" w:rsidRDefault="008E35D2" w:rsidP="006553E0">
      <w:r>
        <w:t xml:space="preserve">The NDIS Risk Management Rules </w:t>
      </w:r>
      <w:r w:rsidR="006553E0">
        <w:t>sit above</w:t>
      </w:r>
      <w:r>
        <w:t xml:space="preserve"> </w:t>
      </w:r>
      <w:r w:rsidR="006553E0">
        <w:t>the Risk Management Strategy.</w:t>
      </w:r>
      <w:r w:rsidR="00E772E5">
        <w:t xml:space="preserve"> </w:t>
      </w:r>
    </w:p>
    <w:p w14:paraId="4B70FC90" w14:textId="5B9EF43B" w:rsidR="008E35D2" w:rsidRDefault="008E35D2" w:rsidP="008E35D2">
      <w:r>
        <w:t xml:space="preserve">The PGPA Rule 2014 </w:t>
      </w:r>
      <w:r w:rsidR="006553E0">
        <w:t>sits above the NDIS Corporate Plan, which also connects with the Risk Management Strategy. This Strategy and the Corporate Plan make up our corporate strategy.</w:t>
      </w:r>
      <w:r w:rsidR="00E772E5">
        <w:t xml:space="preserve"> </w:t>
      </w:r>
    </w:p>
    <w:p w14:paraId="7C0C5964" w14:textId="7F6E99BC" w:rsidR="00514915" w:rsidRDefault="007E35D3" w:rsidP="008E35D2">
      <w:hyperlink w:anchor="Figure3" w:history="1">
        <w:r w:rsidR="00514915" w:rsidRPr="00514915">
          <w:rPr>
            <w:rStyle w:val="Hyperlink"/>
          </w:rPr>
          <w:t xml:space="preserve">Return to </w:t>
        </w:r>
        <w:r w:rsidR="000F35AD">
          <w:rPr>
            <w:rStyle w:val="Hyperlink"/>
          </w:rPr>
          <w:t>Figure 3</w:t>
        </w:r>
      </w:hyperlink>
    </w:p>
    <w:p w14:paraId="6DB2BAA8" w14:textId="74265E36" w:rsidR="00F27215" w:rsidRPr="00F27215" w:rsidRDefault="00F27215" w:rsidP="00B4336E">
      <w:pPr>
        <w:spacing w:before="2880"/>
      </w:pPr>
      <w:r w:rsidRPr="00F27215">
        <w:t>DA0626</w:t>
      </w:r>
    </w:p>
    <w:sectPr w:rsidR="00F27215" w:rsidRPr="00F27215" w:rsidSect="007A2767">
      <w:headerReference w:type="even" r:id="rId33"/>
      <w:footerReference w:type="even" r:id="rId34"/>
      <w:footerReference w:type="default" r:id="rId35"/>
      <w:headerReference w:type="first" r:id="rId36"/>
      <w:footerReference w:type="first" r:id="rId37"/>
      <w:pgSz w:w="11906" w:h="16838" w:code="9"/>
      <w:pgMar w:top="1440"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806F" w14:textId="77777777" w:rsidR="007E35D3" w:rsidRDefault="007E35D3" w:rsidP="007219F1">
      <w:pPr>
        <w:spacing w:after="0" w:line="240" w:lineRule="auto"/>
      </w:pPr>
      <w:r>
        <w:separator/>
      </w:r>
    </w:p>
    <w:p w14:paraId="1DFBFDD0" w14:textId="77777777" w:rsidR="007E35D3" w:rsidRDefault="007E35D3"/>
    <w:p w14:paraId="6744E615" w14:textId="77777777" w:rsidR="007E35D3" w:rsidRDefault="007E35D3"/>
    <w:p w14:paraId="593BA572" w14:textId="77777777" w:rsidR="007E35D3" w:rsidRDefault="007E35D3"/>
    <w:p w14:paraId="6046DCE1" w14:textId="77777777" w:rsidR="007E35D3" w:rsidRDefault="007E35D3"/>
    <w:p w14:paraId="1994951C" w14:textId="77777777" w:rsidR="007E35D3" w:rsidRDefault="007E35D3"/>
  </w:endnote>
  <w:endnote w:type="continuationSeparator" w:id="0">
    <w:p w14:paraId="63EB4BBE" w14:textId="77777777" w:rsidR="007E35D3" w:rsidRDefault="007E35D3" w:rsidP="007219F1">
      <w:pPr>
        <w:spacing w:after="0" w:line="240" w:lineRule="auto"/>
      </w:pPr>
      <w:r>
        <w:continuationSeparator/>
      </w:r>
    </w:p>
    <w:p w14:paraId="54C5AF3C" w14:textId="77777777" w:rsidR="007E35D3" w:rsidRDefault="007E35D3"/>
    <w:p w14:paraId="3EE06A43" w14:textId="77777777" w:rsidR="007E35D3" w:rsidRDefault="007E35D3"/>
    <w:p w14:paraId="42596189" w14:textId="77777777" w:rsidR="007E35D3" w:rsidRDefault="007E35D3"/>
    <w:p w14:paraId="79FF8C66" w14:textId="77777777" w:rsidR="007E35D3" w:rsidRDefault="007E35D3"/>
    <w:p w14:paraId="5BBA17C5" w14:textId="77777777" w:rsidR="007E35D3" w:rsidRDefault="007E35D3"/>
  </w:endnote>
  <w:endnote w:type="continuationNotice" w:id="1">
    <w:p w14:paraId="553BF33F" w14:textId="77777777" w:rsidR="007E35D3" w:rsidRDefault="007E3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00000000" w:usb1="E9DFFFFF" w:usb2="0000003F" w:usb3="00000000" w:csb0="003F01FF" w:csb1="00000000"/>
  </w:font>
  <w:font w:name="FS Me Light">
    <w:altName w:val="Times New Roman"/>
    <w:panose1 w:val="00000000000000000000"/>
    <w:charset w:val="00"/>
    <w:family w:val="modern"/>
    <w:notTrueType/>
    <w:pitch w:val="variable"/>
    <w:sig w:usb0="A00000AF" w:usb1="4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A1F4" w14:textId="77777777" w:rsidR="00A9602E" w:rsidRDefault="00A9602E">
    <w:pPr>
      <w:pStyle w:val="Footer"/>
    </w:pPr>
  </w:p>
  <w:p w14:paraId="4B1DF51E" w14:textId="77777777" w:rsidR="00A9602E" w:rsidRDefault="00A9602E"/>
  <w:p w14:paraId="575153D1" w14:textId="77777777" w:rsidR="00A9602E" w:rsidRDefault="00A960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DDE9" w14:textId="6A43B7B5" w:rsidR="00A9602E" w:rsidRDefault="00A9602E" w:rsidP="00950F57">
    <w:pPr>
      <w:pStyle w:val="Footer"/>
      <w:spacing w:after="480"/>
      <w:rPr>
        <w:sz w:val="22"/>
        <w:szCs w:val="22"/>
      </w:rPr>
    </w:pPr>
    <w:r w:rsidRPr="00FA334F">
      <w:rPr>
        <w:b/>
        <w:bCs/>
        <w:sz w:val="22"/>
        <w:szCs w:val="22"/>
      </w:rPr>
      <w:t>ndis.gov.au</w:t>
    </w:r>
    <w:r>
      <w:rPr>
        <w:sz w:val="22"/>
        <w:szCs w:val="22"/>
      </w:rPr>
      <w:tab/>
      <w:t>Corporate Plan 2022-</w:t>
    </w:r>
    <w:r w:rsidR="00B15719">
      <w:rPr>
        <w:sz w:val="22"/>
        <w:szCs w:val="22"/>
      </w:rPr>
      <w:t>20</w:t>
    </w:r>
    <w:r>
      <w:rPr>
        <w:sz w:val="22"/>
        <w:szCs w:val="22"/>
      </w:rPr>
      <w:t>26</w:t>
    </w:r>
    <w:r>
      <w:rPr>
        <w:sz w:val="22"/>
        <w:szCs w:val="22"/>
      </w:rPr>
      <w:tab/>
    </w:r>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0B5F78">
      <w:rPr>
        <w:noProof/>
        <w:sz w:val="22"/>
        <w:szCs w:val="22"/>
      </w:rPr>
      <w:t>42</w:t>
    </w:r>
    <w:r w:rsidRPr="00FA334F">
      <w:rPr>
        <w:sz w:val="22"/>
        <w:szCs w:val="22"/>
      </w:rPr>
      <w:fldChar w:fldCharType="end"/>
    </w:r>
  </w:p>
  <w:p w14:paraId="675726D9" w14:textId="77777777" w:rsidR="00A9602E" w:rsidRPr="00C27827" w:rsidRDefault="00A9602E" w:rsidP="00C27827">
    <w:pPr>
      <w:jc w:val="center"/>
      <w:rPr>
        <w:b/>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C243" w14:textId="77777777" w:rsidR="00A9602E" w:rsidRDefault="00A9602E" w:rsidP="00C27827">
    <w:pPr>
      <w:rPr>
        <w:b/>
        <w:color w:val="FF0000"/>
      </w:rPr>
    </w:pPr>
  </w:p>
  <w:p w14:paraId="2F8F08DF" w14:textId="18085698" w:rsidR="00A9602E" w:rsidRPr="007219F1" w:rsidRDefault="00A9602E" w:rsidP="00BB6843">
    <w:pPr>
      <w:jc w:val="center"/>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096E" w14:textId="77777777" w:rsidR="007E35D3" w:rsidRDefault="007E35D3" w:rsidP="007219F1">
      <w:pPr>
        <w:spacing w:after="0" w:line="240" w:lineRule="auto"/>
      </w:pPr>
      <w:r>
        <w:separator/>
      </w:r>
    </w:p>
  </w:footnote>
  <w:footnote w:type="continuationSeparator" w:id="0">
    <w:p w14:paraId="0466CAE4" w14:textId="77777777" w:rsidR="007E35D3" w:rsidRDefault="007E35D3" w:rsidP="007219F1">
      <w:pPr>
        <w:spacing w:after="0" w:line="240" w:lineRule="auto"/>
      </w:pPr>
      <w:r>
        <w:continuationSeparator/>
      </w:r>
    </w:p>
    <w:p w14:paraId="7682494B" w14:textId="77777777" w:rsidR="007E35D3" w:rsidRDefault="007E35D3"/>
    <w:p w14:paraId="7F42B27C" w14:textId="77777777" w:rsidR="007E35D3" w:rsidRDefault="007E35D3"/>
    <w:p w14:paraId="3CC64325" w14:textId="77777777" w:rsidR="007E35D3" w:rsidRDefault="007E35D3"/>
    <w:p w14:paraId="1D0AC546" w14:textId="77777777" w:rsidR="007E35D3" w:rsidRDefault="007E35D3"/>
    <w:p w14:paraId="413ED84F" w14:textId="77777777" w:rsidR="007E35D3" w:rsidRDefault="007E35D3"/>
  </w:footnote>
  <w:footnote w:type="continuationNotice" w:id="1">
    <w:p w14:paraId="6598C156" w14:textId="77777777" w:rsidR="007E35D3" w:rsidRDefault="007E35D3">
      <w:pPr>
        <w:spacing w:after="0" w:line="240" w:lineRule="auto"/>
      </w:pPr>
    </w:p>
  </w:footnote>
  <w:footnote w:id="2">
    <w:p w14:paraId="351F477D" w14:textId="7C9C4836" w:rsidR="00A9602E" w:rsidRPr="00D75376" w:rsidRDefault="00A9602E" w:rsidP="00F86F4E">
      <w:pPr>
        <w:pStyle w:val="FootnoteText"/>
        <w:rPr>
          <w:rFonts w:cs="Arial"/>
          <w:color w:val="44546A" w:themeColor="text2"/>
        </w:rPr>
      </w:pPr>
      <w:r w:rsidRPr="00732CF0">
        <w:rPr>
          <w:rStyle w:val="FootnoteReference"/>
          <w:rFonts w:cs="Arial"/>
          <w:sz w:val="16"/>
        </w:rPr>
        <w:footnoteRef/>
      </w:r>
      <w:r w:rsidRPr="00732CF0">
        <w:rPr>
          <w:rFonts w:cs="Arial"/>
        </w:rPr>
        <w:t xml:space="preserve"> This is calculated as average annualised plan budgets of participants in the top 2 SEIFA deciles (top 20%) divided by the average annualised plan budget of participants in the bottom 2 deciles (bottom 20%). Active participants aged 0 to 64 are included in the calculation. </w:t>
      </w:r>
    </w:p>
  </w:footnote>
  <w:footnote w:id="3">
    <w:p w14:paraId="0C064BCC" w14:textId="32276859" w:rsidR="00A9602E" w:rsidRDefault="00A9602E" w:rsidP="00F86F4E">
      <w:pPr>
        <w:pStyle w:val="FootnoteText"/>
      </w:pPr>
      <w:r w:rsidRPr="00732CF0">
        <w:rPr>
          <w:rStyle w:val="FootnoteReference"/>
          <w:rFonts w:cs="Arial"/>
          <w:sz w:val="16"/>
        </w:rPr>
        <w:footnoteRef/>
      </w:r>
      <w:r w:rsidRPr="00732CF0">
        <w:rPr>
          <w:rFonts w:cs="Arial"/>
        </w:rPr>
        <w:t xml:space="preserve"> The name of the metric has been amended and the calculation method has been simplified to include all payments.</w:t>
      </w:r>
    </w:p>
  </w:footnote>
  <w:footnote w:id="4">
    <w:p w14:paraId="12937DBB" w14:textId="0B7AE4AE" w:rsidR="00A9602E" w:rsidRDefault="00A9602E">
      <w:pPr>
        <w:pStyle w:val="FootnoteText"/>
      </w:pPr>
      <w:r>
        <w:rPr>
          <w:rStyle w:val="FootnoteReference"/>
        </w:rPr>
        <w:footnoteRef/>
      </w:r>
      <w:r>
        <w:t xml:space="preserve"> Comparison to </w:t>
      </w:r>
      <w:r w:rsidR="00365B89" w:rsidRPr="00365B89">
        <w:t>Portfolio Budget Statements 2022-23 Budget Related Paper No.1.12</w:t>
      </w:r>
    </w:p>
  </w:footnote>
  <w:footnote w:id="5">
    <w:p w14:paraId="39D157E5" w14:textId="539E4387" w:rsidR="00BC736A" w:rsidRDefault="00BC736A">
      <w:pPr>
        <w:pStyle w:val="FootnoteText"/>
      </w:pPr>
      <w:r>
        <w:rPr>
          <w:rStyle w:val="FootnoteReference"/>
        </w:rPr>
        <w:footnoteRef/>
      </w:r>
      <w:r>
        <w:t xml:space="preserve"> </w:t>
      </w:r>
      <w:r w:rsidR="00C14DBC">
        <w:t xml:space="preserve">Month </w:t>
      </w:r>
      <w:r w:rsidR="00391B5D" w:rsidRPr="009B457D">
        <w:rPr>
          <w:rFonts w:cs="Arial"/>
        </w:rPr>
        <w:t>paid supports are the draft results and are subject to final adjustments.</w:t>
      </w:r>
    </w:p>
  </w:footnote>
  <w:footnote w:id="6">
    <w:p w14:paraId="38676879" w14:textId="731FC60D" w:rsidR="009B457D" w:rsidRDefault="00A9602E" w:rsidP="00F86F4E">
      <w:pPr>
        <w:pStyle w:val="FootnoteText"/>
      </w:pPr>
      <w:r>
        <w:rPr>
          <w:rStyle w:val="FootnoteReference"/>
        </w:rPr>
        <w:footnoteRef/>
      </w:r>
      <w:r>
        <w:t xml:space="preserve"> </w:t>
      </w:r>
      <w:r w:rsidR="009B457D" w:rsidRPr="009B457D">
        <w:t>Payment errors relate to either fraud, misuse or material payment error in the provision of payment for supports</w:t>
      </w:r>
    </w:p>
  </w:footnote>
  <w:footnote w:id="7">
    <w:p w14:paraId="47DC7A9C" w14:textId="669B2FAC" w:rsidR="00A9602E" w:rsidRDefault="00A9602E">
      <w:pPr>
        <w:pStyle w:val="FootnoteText"/>
      </w:pPr>
      <w:r>
        <w:rPr>
          <w:rStyle w:val="FootnoteReference"/>
        </w:rPr>
        <w:footnoteRef/>
      </w:r>
      <w:r>
        <w:t xml:space="preserve"> </w:t>
      </w:r>
      <w:r w:rsidRPr="00AB3178">
        <w:rPr>
          <w:rFonts w:cs="Arial"/>
        </w:rPr>
        <w:t>This metric measures the extent of low utilisation (of plan budgets) across geographic regions. Low utilisation may be an indication of low levels of available supports and/or underdeveloped markets.</w:t>
      </w:r>
    </w:p>
  </w:footnote>
  <w:footnote w:id="8">
    <w:p w14:paraId="5DDD957E" w14:textId="77777777" w:rsidR="00A9602E" w:rsidRPr="00DC2E8C" w:rsidRDefault="00A9602E" w:rsidP="00F86F4E">
      <w:pPr>
        <w:pStyle w:val="FootnoteText"/>
        <w:rPr>
          <w:rFonts w:cs="Arial"/>
        </w:rPr>
      </w:pPr>
      <w:r w:rsidRPr="00DC2E8C">
        <w:rPr>
          <w:rStyle w:val="FootnoteReference"/>
          <w:rFonts w:cs="Arial"/>
          <w:sz w:val="20"/>
        </w:rPr>
        <w:footnoteRef/>
      </w:r>
      <w:r w:rsidRPr="00DC2E8C">
        <w:rPr>
          <w:rFonts w:cs="Arial"/>
        </w:rPr>
        <w:t xml:space="preserve"> Percentage of regions where the top 10 providers supply more than 85% of the supports.</w:t>
      </w:r>
    </w:p>
  </w:footnote>
  <w:footnote w:id="9">
    <w:p w14:paraId="18BCF74A" w14:textId="012BBAF9" w:rsidR="00A9602E" w:rsidRPr="00C91972" w:rsidRDefault="00A9602E" w:rsidP="00F86F4E">
      <w:pPr>
        <w:pStyle w:val="FootnoteText"/>
        <w:rPr>
          <w:position w:val="6"/>
          <w:sz w:val="18"/>
        </w:rPr>
      </w:pPr>
      <w:r w:rsidRPr="00DC2E8C">
        <w:rPr>
          <w:rStyle w:val="FootnoteReference"/>
          <w:rFonts w:cs="Arial"/>
          <w:sz w:val="20"/>
        </w:rPr>
        <w:footnoteRef/>
      </w:r>
      <w:r w:rsidRPr="00DC2E8C">
        <w:rPr>
          <w:rFonts w:cs="Arial"/>
        </w:rPr>
        <w:t xml:space="preserve"> Percentage of payments that are below the price limit stipulated in the price guide.</w:t>
      </w:r>
    </w:p>
  </w:footnote>
  <w:footnote w:id="10">
    <w:p w14:paraId="66E499D9" w14:textId="469588DA" w:rsidR="00A9602E" w:rsidRDefault="00A9602E">
      <w:pPr>
        <w:pStyle w:val="FootnoteText"/>
      </w:pPr>
      <w:r>
        <w:rPr>
          <w:rStyle w:val="FootnoteReference"/>
        </w:rPr>
        <w:footnoteRef/>
      </w:r>
      <w:r>
        <w:t xml:space="preserve"> </w:t>
      </w:r>
      <w:r w:rsidR="007267CC">
        <w:t xml:space="preserve">Comparison to </w:t>
      </w:r>
      <w:r w:rsidR="00EA539E" w:rsidRPr="00EA539E">
        <w:t>Portfolio Budget Statements 2022-23 Budget Related Paper No.1.12</w:t>
      </w:r>
    </w:p>
  </w:footnote>
  <w:footnote w:id="11">
    <w:p w14:paraId="10FEAF06" w14:textId="2105A582" w:rsidR="00C71188" w:rsidRDefault="00C71188">
      <w:pPr>
        <w:pStyle w:val="FootnoteText"/>
      </w:pPr>
      <w:r>
        <w:rPr>
          <w:rStyle w:val="FootnoteReference"/>
        </w:rPr>
        <w:footnoteRef/>
      </w:r>
      <w:r>
        <w:t xml:space="preserve"> </w:t>
      </w:r>
      <w:r w:rsidR="00DE692D" w:rsidRPr="00DE692D">
        <w:t>Month paid supports are the draft results and are subject to final adjustments.</w:t>
      </w:r>
    </w:p>
  </w:footnote>
  <w:footnote w:id="12">
    <w:p w14:paraId="5DC13814" w14:textId="3B04CF35" w:rsidR="00DE692D" w:rsidRDefault="00DE692D">
      <w:pPr>
        <w:pStyle w:val="FootnoteText"/>
      </w:pPr>
      <w:r>
        <w:rPr>
          <w:rStyle w:val="FootnoteReference"/>
        </w:rPr>
        <w:footnoteRef/>
      </w:r>
      <w:r>
        <w:t xml:space="preserve"> </w:t>
      </w:r>
      <w:r w:rsidRPr="00DE692D">
        <w:t>Month paid supports are the draft results and are subject to final adjustments.</w:t>
      </w:r>
    </w:p>
  </w:footnote>
  <w:footnote w:id="13">
    <w:p w14:paraId="49D02147" w14:textId="52A75109" w:rsidR="00E74565" w:rsidRDefault="00E74565">
      <w:pPr>
        <w:pStyle w:val="FootnoteText"/>
      </w:pPr>
      <w:r>
        <w:rPr>
          <w:rStyle w:val="FootnoteReference"/>
        </w:rPr>
        <w:footnoteRef/>
      </w:r>
      <w:r>
        <w:t xml:space="preserve"> </w:t>
      </w:r>
      <w:r w:rsidRPr="00E74565">
        <w:t>Source: Portfolio Budget Statements 2022-23 Budget Related Paper No.1.12</w:t>
      </w:r>
    </w:p>
  </w:footnote>
  <w:footnote w:id="14">
    <w:p w14:paraId="3CE59005" w14:textId="02282177" w:rsidR="00E74565" w:rsidRDefault="00E74565">
      <w:pPr>
        <w:pStyle w:val="FootnoteText"/>
      </w:pPr>
      <w:r>
        <w:rPr>
          <w:rStyle w:val="FootnoteReference"/>
        </w:rPr>
        <w:footnoteRef/>
      </w:r>
      <w:r>
        <w:t xml:space="preserve"> </w:t>
      </w:r>
      <w:r w:rsidRPr="00E74565">
        <w:t>Source: Portfolio Budget Statements 2022-23 Budget Related Paper No.1.12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C93F" w14:textId="77777777" w:rsidR="00A9602E" w:rsidRDefault="00A9602E">
    <w:pPr>
      <w:pStyle w:val="Header"/>
    </w:pPr>
  </w:p>
  <w:p w14:paraId="35285186" w14:textId="77777777" w:rsidR="00A9602E" w:rsidRDefault="00A9602E"/>
  <w:p w14:paraId="66CC6123" w14:textId="77777777" w:rsidR="00A9602E" w:rsidRDefault="00A96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0F81" w14:textId="5F77AD53" w:rsidR="00A9602E" w:rsidRPr="00C27827" w:rsidRDefault="00A9602E" w:rsidP="00C27827">
    <w:pPr>
      <w:jc w:val="center"/>
      <w:rPr>
        <w:b/>
        <w:color w:val="FF0000"/>
      </w:rPr>
    </w:pPr>
  </w:p>
</w:hdr>
</file>

<file path=word/intelligence2.xml><?xml version="1.0" encoding="utf-8"?>
<int2:intelligence xmlns:int2="http://schemas.microsoft.com/office/intelligence/2020/intelligence" xmlns:oel="http://schemas.microsoft.com/office/2019/extlst">
  <int2:observations>
    <int2:textHash int2:hashCode="xQy+KnIliT8rxm" int2:id="WU2UKx6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B3D"/>
    <w:multiLevelType w:val="hybridMultilevel"/>
    <w:tmpl w:val="933CF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B3A3B23"/>
    <w:multiLevelType w:val="hybridMultilevel"/>
    <w:tmpl w:val="E81E7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479783A"/>
    <w:multiLevelType w:val="hybridMultilevel"/>
    <w:tmpl w:val="32BCA730"/>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DB541A9"/>
    <w:multiLevelType w:val="hybridMultilevel"/>
    <w:tmpl w:val="77F8E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8C2EB3"/>
    <w:multiLevelType w:val="hybridMultilevel"/>
    <w:tmpl w:val="1CB002D2"/>
    <w:lvl w:ilvl="0" w:tplc="3A9CD98E">
      <w:start w:val="1"/>
      <w:numFmt w:val="bullet"/>
      <w:pStyle w:val="TalkingPoints"/>
      <w:lvlText w:val=""/>
      <w:lvlJc w:val="left"/>
      <w:pPr>
        <w:ind w:left="360"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5" w15:restartNumberingAfterBreak="0">
    <w:nsid w:val="3475176A"/>
    <w:multiLevelType w:val="hybridMultilevel"/>
    <w:tmpl w:val="F31C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210B2F"/>
    <w:multiLevelType w:val="multilevel"/>
    <w:tmpl w:val="FC2E0792"/>
    <w:lvl w:ilvl="0">
      <w:start w:val="1"/>
      <w:numFmt w:val="decimal"/>
      <w:pStyle w:val="Heading2"/>
      <w:lvlText w:val="%1."/>
      <w:lvlJc w:val="left"/>
      <w:pPr>
        <w:ind w:left="710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C775729"/>
    <w:multiLevelType w:val="hybridMultilevel"/>
    <w:tmpl w:val="F4AA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E368CB"/>
    <w:multiLevelType w:val="hybridMultilevel"/>
    <w:tmpl w:val="A21C9B0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9B23ECE"/>
    <w:multiLevelType w:val="hybridMultilevel"/>
    <w:tmpl w:val="EAD80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7B7759"/>
    <w:multiLevelType w:val="multilevel"/>
    <w:tmpl w:val="AE24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20CB1"/>
    <w:multiLevelType w:val="hybridMultilevel"/>
    <w:tmpl w:val="10EED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AE3862"/>
    <w:multiLevelType w:val="hybridMultilevel"/>
    <w:tmpl w:val="7E3E9D88"/>
    <w:lvl w:ilvl="0" w:tplc="D5026700">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3407580">
    <w:abstractNumId w:val="6"/>
  </w:num>
  <w:num w:numId="2" w16cid:durableId="50932333">
    <w:abstractNumId w:val="1"/>
  </w:num>
  <w:num w:numId="3" w16cid:durableId="759133857">
    <w:abstractNumId w:val="2"/>
    <w:lvlOverride w:ilvl="0">
      <w:startOverride w:val="1"/>
    </w:lvlOverride>
    <w:lvlOverride w:ilvl="1"/>
    <w:lvlOverride w:ilvl="2"/>
    <w:lvlOverride w:ilvl="3"/>
    <w:lvlOverride w:ilvl="4"/>
    <w:lvlOverride w:ilvl="5"/>
    <w:lvlOverride w:ilvl="6"/>
    <w:lvlOverride w:ilvl="7"/>
    <w:lvlOverride w:ilvl="8"/>
  </w:num>
  <w:num w:numId="4" w16cid:durableId="603850399">
    <w:abstractNumId w:val="12"/>
  </w:num>
  <w:num w:numId="5" w16cid:durableId="1853378129">
    <w:abstractNumId w:val="4"/>
  </w:num>
  <w:num w:numId="6" w16cid:durableId="591477523">
    <w:abstractNumId w:val="5"/>
  </w:num>
  <w:num w:numId="7" w16cid:durableId="1082292410">
    <w:abstractNumId w:val="8"/>
  </w:num>
  <w:num w:numId="8" w16cid:durableId="662470429">
    <w:abstractNumId w:val="8"/>
  </w:num>
  <w:num w:numId="9" w16cid:durableId="12545875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4628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063569">
    <w:abstractNumId w:val="0"/>
  </w:num>
  <w:num w:numId="12" w16cid:durableId="29306741">
    <w:abstractNumId w:val="11"/>
  </w:num>
  <w:num w:numId="13" w16cid:durableId="1213887994">
    <w:abstractNumId w:val="3"/>
  </w:num>
  <w:num w:numId="14" w16cid:durableId="884172799">
    <w:abstractNumId w:val="7"/>
  </w:num>
  <w:num w:numId="15" w16cid:durableId="1237402899">
    <w:abstractNumId w:val="9"/>
  </w:num>
  <w:num w:numId="16" w16cid:durableId="80681820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930"/>
    <w:rsid w:val="00000D7F"/>
    <w:rsid w:val="00001A32"/>
    <w:rsid w:val="0000270C"/>
    <w:rsid w:val="0000394F"/>
    <w:rsid w:val="000054C9"/>
    <w:rsid w:val="00005F56"/>
    <w:rsid w:val="00006DBD"/>
    <w:rsid w:val="00007B34"/>
    <w:rsid w:val="00010E78"/>
    <w:rsid w:val="00012865"/>
    <w:rsid w:val="00013687"/>
    <w:rsid w:val="00015841"/>
    <w:rsid w:val="0001691E"/>
    <w:rsid w:val="00017607"/>
    <w:rsid w:val="00021A6C"/>
    <w:rsid w:val="00022B99"/>
    <w:rsid w:val="000247AC"/>
    <w:rsid w:val="00025B3E"/>
    <w:rsid w:val="00026078"/>
    <w:rsid w:val="00027013"/>
    <w:rsid w:val="000279E0"/>
    <w:rsid w:val="00031645"/>
    <w:rsid w:val="00033877"/>
    <w:rsid w:val="00035201"/>
    <w:rsid w:val="00035249"/>
    <w:rsid w:val="00035798"/>
    <w:rsid w:val="00036045"/>
    <w:rsid w:val="00037803"/>
    <w:rsid w:val="000435D4"/>
    <w:rsid w:val="00043EE2"/>
    <w:rsid w:val="00045527"/>
    <w:rsid w:val="000466F7"/>
    <w:rsid w:val="00047EC5"/>
    <w:rsid w:val="0005050B"/>
    <w:rsid w:val="00050CD3"/>
    <w:rsid w:val="00052BC7"/>
    <w:rsid w:val="00053D0D"/>
    <w:rsid w:val="000543BA"/>
    <w:rsid w:val="00054D82"/>
    <w:rsid w:val="00055EED"/>
    <w:rsid w:val="00056364"/>
    <w:rsid w:val="000565D7"/>
    <w:rsid w:val="00056B97"/>
    <w:rsid w:val="00056C0D"/>
    <w:rsid w:val="00060123"/>
    <w:rsid w:val="000609CA"/>
    <w:rsid w:val="000618D0"/>
    <w:rsid w:val="000620E0"/>
    <w:rsid w:val="00063F8F"/>
    <w:rsid w:val="000650B8"/>
    <w:rsid w:val="000675BE"/>
    <w:rsid w:val="00067AB5"/>
    <w:rsid w:val="000729CD"/>
    <w:rsid w:val="00072D88"/>
    <w:rsid w:val="00073E37"/>
    <w:rsid w:val="00074006"/>
    <w:rsid w:val="00074FB8"/>
    <w:rsid w:val="0007512F"/>
    <w:rsid w:val="0007559D"/>
    <w:rsid w:val="0007653B"/>
    <w:rsid w:val="00077485"/>
    <w:rsid w:val="00077725"/>
    <w:rsid w:val="00081272"/>
    <w:rsid w:val="00081DD1"/>
    <w:rsid w:val="00081E7E"/>
    <w:rsid w:val="0008269C"/>
    <w:rsid w:val="000843EA"/>
    <w:rsid w:val="0008693A"/>
    <w:rsid w:val="00086D1F"/>
    <w:rsid w:val="00090031"/>
    <w:rsid w:val="000905A9"/>
    <w:rsid w:val="00091FB3"/>
    <w:rsid w:val="0009244F"/>
    <w:rsid w:val="000944C2"/>
    <w:rsid w:val="00095493"/>
    <w:rsid w:val="0009591A"/>
    <w:rsid w:val="00095975"/>
    <w:rsid w:val="00095C9E"/>
    <w:rsid w:val="00096E9F"/>
    <w:rsid w:val="0009708E"/>
    <w:rsid w:val="000A0207"/>
    <w:rsid w:val="000A07C2"/>
    <w:rsid w:val="000A0AF7"/>
    <w:rsid w:val="000A116B"/>
    <w:rsid w:val="000A1F65"/>
    <w:rsid w:val="000A26C7"/>
    <w:rsid w:val="000A28A0"/>
    <w:rsid w:val="000A2CEE"/>
    <w:rsid w:val="000A42B9"/>
    <w:rsid w:val="000A4D38"/>
    <w:rsid w:val="000A6734"/>
    <w:rsid w:val="000A741C"/>
    <w:rsid w:val="000A7450"/>
    <w:rsid w:val="000B110D"/>
    <w:rsid w:val="000B268B"/>
    <w:rsid w:val="000B2E41"/>
    <w:rsid w:val="000B3268"/>
    <w:rsid w:val="000B5F78"/>
    <w:rsid w:val="000C04CE"/>
    <w:rsid w:val="000C1C1B"/>
    <w:rsid w:val="000C23E5"/>
    <w:rsid w:val="000C3083"/>
    <w:rsid w:val="000C4C21"/>
    <w:rsid w:val="000C5A9A"/>
    <w:rsid w:val="000C6C3F"/>
    <w:rsid w:val="000D0FF0"/>
    <w:rsid w:val="000D1B2A"/>
    <w:rsid w:val="000D3132"/>
    <w:rsid w:val="000D3B35"/>
    <w:rsid w:val="000D3B6F"/>
    <w:rsid w:val="000D3B9D"/>
    <w:rsid w:val="000D55F0"/>
    <w:rsid w:val="000D5A3B"/>
    <w:rsid w:val="000D5F27"/>
    <w:rsid w:val="000D68E1"/>
    <w:rsid w:val="000D6DBC"/>
    <w:rsid w:val="000D7086"/>
    <w:rsid w:val="000D75BC"/>
    <w:rsid w:val="000D7D24"/>
    <w:rsid w:val="000E0BAB"/>
    <w:rsid w:val="000E1EE2"/>
    <w:rsid w:val="000E2DC5"/>
    <w:rsid w:val="000E372B"/>
    <w:rsid w:val="000E781B"/>
    <w:rsid w:val="000E7CF4"/>
    <w:rsid w:val="000F0BE1"/>
    <w:rsid w:val="000F17B9"/>
    <w:rsid w:val="000F2EC8"/>
    <w:rsid w:val="000F35AD"/>
    <w:rsid w:val="000F4B31"/>
    <w:rsid w:val="000F50F1"/>
    <w:rsid w:val="000F5887"/>
    <w:rsid w:val="000F7FB7"/>
    <w:rsid w:val="00100B7D"/>
    <w:rsid w:val="00103608"/>
    <w:rsid w:val="00103A62"/>
    <w:rsid w:val="00104142"/>
    <w:rsid w:val="0010531B"/>
    <w:rsid w:val="001077EF"/>
    <w:rsid w:val="00112644"/>
    <w:rsid w:val="00112897"/>
    <w:rsid w:val="00113249"/>
    <w:rsid w:val="001156E0"/>
    <w:rsid w:val="001167D6"/>
    <w:rsid w:val="00117E69"/>
    <w:rsid w:val="00122961"/>
    <w:rsid w:val="00124B42"/>
    <w:rsid w:val="00126230"/>
    <w:rsid w:val="0013520F"/>
    <w:rsid w:val="001361DD"/>
    <w:rsid w:val="0014183E"/>
    <w:rsid w:val="0014207A"/>
    <w:rsid w:val="00142E38"/>
    <w:rsid w:val="00144AA4"/>
    <w:rsid w:val="00145080"/>
    <w:rsid w:val="001462AE"/>
    <w:rsid w:val="0015123C"/>
    <w:rsid w:val="00152F31"/>
    <w:rsid w:val="00155CAC"/>
    <w:rsid w:val="00160033"/>
    <w:rsid w:val="0016142F"/>
    <w:rsid w:val="00162857"/>
    <w:rsid w:val="00162E2F"/>
    <w:rsid w:val="001665A1"/>
    <w:rsid w:val="00170870"/>
    <w:rsid w:val="001718CD"/>
    <w:rsid w:val="00171D6A"/>
    <w:rsid w:val="001721F0"/>
    <w:rsid w:val="00173802"/>
    <w:rsid w:val="001738CB"/>
    <w:rsid w:val="00174273"/>
    <w:rsid w:val="00176556"/>
    <w:rsid w:val="00176CE8"/>
    <w:rsid w:val="0018060D"/>
    <w:rsid w:val="00180780"/>
    <w:rsid w:val="001809B3"/>
    <w:rsid w:val="00180D51"/>
    <w:rsid w:val="00182200"/>
    <w:rsid w:val="00182EC3"/>
    <w:rsid w:val="001835FD"/>
    <w:rsid w:val="0018444E"/>
    <w:rsid w:val="00184969"/>
    <w:rsid w:val="00185150"/>
    <w:rsid w:val="0018698D"/>
    <w:rsid w:val="001872A1"/>
    <w:rsid w:val="00187CCE"/>
    <w:rsid w:val="00187EA6"/>
    <w:rsid w:val="0019172C"/>
    <w:rsid w:val="00191D39"/>
    <w:rsid w:val="001921C2"/>
    <w:rsid w:val="00193971"/>
    <w:rsid w:val="00196672"/>
    <w:rsid w:val="001979A2"/>
    <w:rsid w:val="001979BE"/>
    <w:rsid w:val="001A0B98"/>
    <w:rsid w:val="001A15AB"/>
    <w:rsid w:val="001A2643"/>
    <w:rsid w:val="001A3D93"/>
    <w:rsid w:val="001A4708"/>
    <w:rsid w:val="001A645D"/>
    <w:rsid w:val="001A6934"/>
    <w:rsid w:val="001A71BB"/>
    <w:rsid w:val="001A7974"/>
    <w:rsid w:val="001B0884"/>
    <w:rsid w:val="001B0A2C"/>
    <w:rsid w:val="001B1373"/>
    <w:rsid w:val="001B14C6"/>
    <w:rsid w:val="001B173E"/>
    <w:rsid w:val="001B1DF0"/>
    <w:rsid w:val="001B4BFC"/>
    <w:rsid w:val="001B5920"/>
    <w:rsid w:val="001B6E33"/>
    <w:rsid w:val="001C4C37"/>
    <w:rsid w:val="001C4FB7"/>
    <w:rsid w:val="001C56C8"/>
    <w:rsid w:val="001C5A09"/>
    <w:rsid w:val="001C64E7"/>
    <w:rsid w:val="001C6E0B"/>
    <w:rsid w:val="001C7340"/>
    <w:rsid w:val="001D0883"/>
    <w:rsid w:val="001D2060"/>
    <w:rsid w:val="001D25D3"/>
    <w:rsid w:val="001D3669"/>
    <w:rsid w:val="001D3849"/>
    <w:rsid w:val="001D42B7"/>
    <w:rsid w:val="001D4C94"/>
    <w:rsid w:val="001D65B1"/>
    <w:rsid w:val="001D7F43"/>
    <w:rsid w:val="001E054C"/>
    <w:rsid w:val="001E0ACD"/>
    <w:rsid w:val="001E0B70"/>
    <w:rsid w:val="001E0DA6"/>
    <w:rsid w:val="001E1719"/>
    <w:rsid w:val="001E25C4"/>
    <w:rsid w:val="001E56EE"/>
    <w:rsid w:val="001E630D"/>
    <w:rsid w:val="001E6872"/>
    <w:rsid w:val="001F0626"/>
    <w:rsid w:val="001F06AF"/>
    <w:rsid w:val="001F1614"/>
    <w:rsid w:val="001F1C00"/>
    <w:rsid w:val="001F442C"/>
    <w:rsid w:val="001F4AA6"/>
    <w:rsid w:val="001F5715"/>
    <w:rsid w:val="0020165B"/>
    <w:rsid w:val="002016A0"/>
    <w:rsid w:val="00201F91"/>
    <w:rsid w:val="0020286C"/>
    <w:rsid w:val="00202F6D"/>
    <w:rsid w:val="00205B7C"/>
    <w:rsid w:val="00206792"/>
    <w:rsid w:val="0021093E"/>
    <w:rsid w:val="00210942"/>
    <w:rsid w:val="00210D47"/>
    <w:rsid w:val="002111CC"/>
    <w:rsid w:val="0021135C"/>
    <w:rsid w:val="002113C1"/>
    <w:rsid w:val="002116E3"/>
    <w:rsid w:val="00212263"/>
    <w:rsid w:val="0021428E"/>
    <w:rsid w:val="002153EE"/>
    <w:rsid w:val="0021548E"/>
    <w:rsid w:val="002157D3"/>
    <w:rsid w:val="002168C6"/>
    <w:rsid w:val="00216C86"/>
    <w:rsid w:val="00216D67"/>
    <w:rsid w:val="00217D80"/>
    <w:rsid w:val="0022044B"/>
    <w:rsid w:val="00220A59"/>
    <w:rsid w:val="00221A80"/>
    <w:rsid w:val="00223147"/>
    <w:rsid w:val="00223B49"/>
    <w:rsid w:val="0022495C"/>
    <w:rsid w:val="002302D2"/>
    <w:rsid w:val="002306E1"/>
    <w:rsid w:val="0023186D"/>
    <w:rsid w:val="00231F37"/>
    <w:rsid w:val="002321EA"/>
    <w:rsid w:val="00233068"/>
    <w:rsid w:val="002331D3"/>
    <w:rsid w:val="00234392"/>
    <w:rsid w:val="00235FFC"/>
    <w:rsid w:val="0023603F"/>
    <w:rsid w:val="002376E4"/>
    <w:rsid w:val="00237F12"/>
    <w:rsid w:val="00240222"/>
    <w:rsid w:val="0024045A"/>
    <w:rsid w:val="002414F7"/>
    <w:rsid w:val="00241715"/>
    <w:rsid w:val="00242F2C"/>
    <w:rsid w:val="002432CB"/>
    <w:rsid w:val="00243FCE"/>
    <w:rsid w:val="00244691"/>
    <w:rsid w:val="0024537C"/>
    <w:rsid w:val="002456CA"/>
    <w:rsid w:val="002500F0"/>
    <w:rsid w:val="00250716"/>
    <w:rsid w:val="00250EB4"/>
    <w:rsid w:val="00251351"/>
    <w:rsid w:val="00251D29"/>
    <w:rsid w:val="0025291F"/>
    <w:rsid w:val="00253089"/>
    <w:rsid w:val="00253263"/>
    <w:rsid w:val="00253C3C"/>
    <w:rsid w:val="002542F8"/>
    <w:rsid w:val="0025456D"/>
    <w:rsid w:val="002555AE"/>
    <w:rsid w:val="002557E0"/>
    <w:rsid w:val="002572D1"/>
    <w:rsid w:val="00260F3A"/>
    <w:rsid w:val="0026146F"/>
    <w:rsid w:val="002614BF"/>
    <w:rsid w:val="00262D19"/>
    <w:rsid w:val="00263301"/>
    <w:rsid w:val="002656F9"/>
    <w:rsid w:val="0026581C"/>
    <w:rsid w:val="002658E4"/>
    <w:rsid w:val="0026673B"/>
    <w:rsid w:val="00267131"/>
    <w:rsid w:val="0027011F"/>
    <w:rsid w:val="00270383"/>
    <w:rsid w:val="00272AFD"/>
    <w:rsid w:val="00273052"/>
    <w:rsid w:val="00273F82"/>
    <w:rsid w:val="00274014"/>
    <w:rsid w:val="00275206"/>
    <w:rsid w:val="002762CB"/>
    <w:rsid w:val="00277D7A"/>
    <w:rsid w:val="00277E50"/>
    <w:rsid w:val="0028114A"/>
    <w:rsid w:val="00281332"/>
    <w:rsid w:val="0028174B"/>
    <w:rsid w:val="00281AAD"/>
    <w:rsid w:val="00282556"/>
    <w:rsid w:val="00282E71"/>
    <w:rsid w:val="00283314"/>
    <w:rsid w:val="002842C7"/>
    <w:rsid w:val="00285A70"/>
    <w:rsid w:val="002869D8"/>
    <w:rsid w:val="00286D63"/>
    <w:rsid w:val="00290E94"/>
    <w:rsid w:val="00292E13"/>
    <w:rsid w:val="00295392"/>
    <w:rsid w:val="002977BE"/>
    <w:rsid w:val="002A07AD"/>
    <w:rsid w:val="002A1B67"/>
    <w:rsid w:val="002A2513"/>
    <w:rsid w:val="002A5EE3"/>
    <w:rsid w:val="002A6499"/>
    <w:rsid w:val="002A70A0"/>
    <w:rsid w:val="002A7673"/>
    <w:rsid w:val="002A76FD"/>
    <w:rsid w:val="002A7864"/>
    <w:rsid w:val="002B326C"/>
    <w:rsid w:val="002B35B4"/>
    <w:rsid w:val="002B60EA"/>
    <w:rsid w:val="002B624B"/>
    <w:rsid w:val="002B6B42"/>
    <w:rsid w:val="002B7889"/>
    <w:rsid w:val="002B791B"/>
    <w:rsid w:val="002C1F04"/>
    <w:rsid w:val="002C53CC"/>
    <w:rsid w:val="002C738C"/>
    <w:rsid w:val="002D00D4"/>
    <w:rsid w:val="002D042F"/>
    <w:rsid w:val="002D25B5"/>
    <w:rsid w:val="002D2884"/>
    <w:rsid w:val="002D35B0"/>
    <w:rsid w:val="002D39BF"/>
    <w:rsid w:val="002D4A94"/>
    <w:rsid w:val="002E06B0"/>
    <w:rsid w:val="002E26FD"/>
    <w:rsid w:val="002E285B"/>
    <w:rsid w:val="002E3B08"/>
    <w:rsid w:val="002E3EE0"/>
    <w:rsid w:val="002E4646"/>
    <w:rsid w:val="002E4E7F"/>
    <w:rsid w:val="002E5952"/>
    <w:rsid w:val="002E5E20"/>
    <w:rsid w:val="002F1341"/>
    <w:rsid w:val="002F22AA"/>
    <w:rsid w:val="002F2AA1"/>
    <w:rsid w:val="002F4F13"/>
    <w:rsid w:val="002F5DBC"/>
    <w:rsid w:val="002F6037"/>
    <w:rsid w:val="002F6578"/>
    <w:rsid w:val="002F6985"/>
    <w:rsid w:val="003016CC"/>
    <w:rsid w:val="0030173B"/>
    <w:rsid w:val="00301C42"/>
    <w:rsid w:val="003032F5"/>
    <w:rsid w:val="00303F0F"/>
    <w:rsid w:val="00304F36"/>
    <w:rsid w:val="00306C6C"/>
    <w:rsid w:val="00307455"/>
    <w:rsid w:val="00310239"/>
    <w:rsid w:val="00310EBE"/>
    <w:rsid w:val="00311DB8"/>
    <w:rsid w:val="00314C2E"/>
    <w:rsid w:val="003154FE"/>
    <w:rsid w:val="00315CBF"/>
    <w:rsid w:val="00316D43"/>
    <w:rsid w:val="003177BD"/>
    <w:rsid w:val="003206BC"/>
    <w:rsid w:val="003208BB"/>
    <w:rsid w:val="00320945"/>
    <w:rsid w:val="00321A19"/>
    <w:rsid w:val="00323BB7"/>
    <w:rsid w:val="003257AA"/>
    <w:rsid w:val="00326B14"/>
    <w:rsid w:val="00330C87"/>
    <w:rsid w:val="00332D89"/>
    <w:rsid w:val="003348C8"/>
    <w:rsid w:val="003351EB"/>
    <w:rsid w:val="0033524D"/>
    <w:rsid w:val="003361A3"/>
    <w:rsid w:val="003367B9"/>
    <w:rsid w:val="00337F4F"/>
    <w:rsid w:val="003404C8"/>
    <w:rsid w:val="0034052A"/>
    <w:rsid w:val="003415E7"/>
    <w:rsid w:val="003434C9"/>
    <w:rsid w:val="00345A1C"/>
    <w:rsid w:val="00345A86"/>
    <w:rsid w:val="00346217"/>
    <w:rsid w:val="00350AEF"/>
    <w:rsid w:val="00355CBA"/>
    <w:rsid w:val="003563E7"/>
    <w:rsid w:val="00357BF1"/>
    <w:rsid w:val="00361370"/>
    <w:rsid w:val="003622D9"/>
    <w:rsid w:val="0036292E"/>
    <w:rsid w:val="00365B89"/>
    <w:rsid w:val="00367445"/>
    <w:rsid w:val="0036794E"/>
    <w:rsid w:val="00373781"/>
    <w:rsid w:val="00373E32"/>
    <w:rsid w:val="00373FAE"/>
    <w:rsid w:val="003747D5"/>
    <w:rsid w:val="00375C58"/>
    <w:rsid w:val="00376C29"/>
    <w:rsid w:val="003806F1"/>
    <w:rsid w:val="0038150A"/>
    <w:rsid w:val="00381951"/>
    <w:rsid w:val="00381DCD"/>
    <w:rsid w:val="003853BF"/>
    <w:rsid w:val="00385A6E"/>
    <w:rsid w:val="0038602E"/>
    <w:rsid w:val="003909A4"/>
    <w:rsid w:val="00391894"/>
    <w:rsid w:val="00391A67"/>
    <w:rsid w:val="00391B5D"/>
    <w:rsid w:val="00392B5D"/>
    <w:rsid w:val="00392D5C"/>
    <w:rsid w:val="00393548"/>
    <w:rsid w:val="00394C6D"/>
    <w:rsid w:val="0039508C"/>
    <w:rsid w:val="00395EB2"/>
    <w:rsid w:val="003964FE"/>
    <w:rsid w:val="003A01A1"/>
    <w:rsid w:val="003A09C0"/>
    <w:rsid w:val="003A18B1"/>
    <w:rsid w:val="003A260C"/>
    <w:rsid w:val="003A26B5"/>
    <w:rsid w:val="003A4CE6"/>
    <w:rsid w:val="003A60EF"/>
    <w:rsid w:val="003B0051"/>
    <w:rsid w:val="003B1392"/>
    <w:rsid w:val="003B18FE"/>
    <w:rsid w:val="003B2441"/>
    <w:rsid w:val="003B2BB8"/>
    <w:rsid w:val="003B3E52"/>
    <w:rsid w:val="003B3F1F"/>
    <w:rsid w:val="003B4413"/>
    <w:rsid w:val="003B5408"/>
    <w:rsid w:val="003B6010"/>
    <w:rsid w:val="003B61B3"/>
    <w:rsid w:val="003B7031"/>
    <w:rsid w:val="003B7075"/>
    <w:rsid w:val="003C04D1"/>
    <w:rsid w:val="003C0B00"/>
    <w:rsid w:val="003C118E"/>
    <w:rsid w:val="003C181E"/>
    <w:rsid w:val="003C25F1"/>
    <w:rsid w:val="003C3E16"/>
    <w:rsid w:val="003C4A46"/>
    <w:rsid w:val="003C56A9"/>
    <w:rsid w:val="003C5E08"/>
    <w:rsid w:val="003C6FF9"/>
    <w:rsid w:val="003D01B4"/>
    <w:rsid w:val="003D063B"/>
    <w:rsid w:val="003D13AA"/>
    <w:rsid w:val="003D2071"/>
    <w:rsid w:val="003D310F"/>
    <w:rsid w:val="003D34FF"/>
    <w:rsid w:val="003D5F11"/>
    <w:rsid w:val="003D7348"/>
    <w:rsid w:val="003D7D58"/>
    <w:rsid w:val="003E0915"/>
    <w:rsid w:val="003E0E24"/>
    <w:rsid w:val="003E28C2"/>
    <w:rsid w:val="003E3E53"/>
    <w:rsid w:val="003E4002"/>
    <w:rsid w:val="003E50F4"/>
    <w:rsid w:val="003F04F8"/>
    <w:rsid w:val="003F0A69"/>
    <w:rsid w:val="003F1285"/>
    <w:rsid w:val="003F167C"/>
    <w:rsid w:val="003F3806"/>
    <w:rsid w:val="003F4BE0"/>
    <w:rsid w:val="003F4E96"/>
    <w:rsid w:val="003F530A"/>
    <w:rsid w:val="003F5F2D"/>
    <w:rsid w:val="003F6ED7"/>
    <w:rsid w:val="003F6FD1"/>
    <w:rsid w:val="0040062A"/>
    <w:rsid w:val="00400D66"/>
    <w:rsid w:val="00404528"/>
    <w:rsid w:val="00405456"/>
    <w:rsid w:val="00406688"/>
    <w:rsid w:val="00410EB8"/>
    <w:rsid w:val="00411050"/>
    <w:rsid w:val="0041179A"/>
    <w:rsid w:val="004125D5"/>
    <w:rsid w:val="00413405"/>
    <w:rsid w:val="00413EC4"/>
    <w:rsid w:val="004148B3"/>
    <w:rsid w:val="00415AAE"/>
    <w:rsid w:val="00415C1B"/>
    <w:rsid w:val="00417EB5"/>
    <w:rsid w:val="00421EBF"/>
    <w:rsid w:val="00425562"/>
    <w:rsid w:val="00425A43"/>
    <w:rsid w:val="004262AF"/>
    <w:rsid w:val="004266BF"/>
    <w:rsid w:val="00427A34"/>
    <w:rsid w:val="004310C3"/>
    <w:rsid w:val="00431E0B"/>
    <w:rsid w:val="004343D0"/>
    <w:rsid w:val="004367EF"/>
    <w:rsid w:val="0044354B"/>
    <w:rsid w:val="004455D2"/>
    <w:rsid w:val="00451904"/>
    <w:rsid w:val="004522DB"/>
    <w:rsid w:val="00452A3B"/>
    <w:rsid w:val="0045555B"/>
    <w:rsid w:val="004555CB"/>
    <w:rsid w:val="0045608E"/>
    <w:rsid w:val="00457498"/>
    <w:rsid w:val="00460883"/>
    <w:rsid w:val="00461248"/>
    <w:rsid w:val="00461335"/>
    <w:rsid w:val="00461FAA"/>
    <w:rsid w:val="004639B8"/>
    <w:rsid w:val="00463A03"/>
    <w:rsid w:val="004655BE"/>
    <w:rsid w:val="004657CF"/>
    <w:rsid w:val="00466096"/>
    <w:rsid w:val="004663A5"/>
    <w:rsid w:val="00466C48"/>
    <w:rsid w:val="004673E5"/>
    <w:rsid w:val="004679DB"/>
    <w:rsid w:val="0047142F"/>
    <w:rsid w:val="004716B7"/>
    <w:rsid w:val="00471B24"/>
    <w:rsid w:val="00476071"/>
    <w:rsid w:val="0047688C"/>
    <w:rsid w:val="00477AFD"/>
    <w:rsid w:val="00477E49"/>
    <w:rsid w:val="0048002C"/>
    <w:rsid w:val="00480B45"/>
    <w:rsid w:val="00480C25"/>
    <w:rsid w:val="00481226"/>
    <w:rsid w:val="00481539"/>
    <w:rsid w:val="0048165C"/>
    <w:rsid w:val="00481D5E"/>
    <w:rsid w:val="00483152"/>
    <w:rsid w:val="004834C1"/>
    <w:rsid w:val="004841AF"/>
    <w:rsid w:val="0048479F"/>
    <w:rsid w:val="004847B4"/>
    <w:rsid w:val="004853DD"/>
    <w:rsid w:val="004861C3"/>
    <w:rsid w:val="004863FD"/>
    <w:rsid w:val="004870C7"/>
    <w:rsid w:val="004876FD"/>
    <w:rsid w:val="00491E65"/>
    <w:rsid w:val="0049232E"/>
    <w:rsid w:val="00492E78"/>
    <w:rsid w:val="004943BA"/>
    <w:rsid w:val="004958E9"/>
    <w:rsid w:val="00495988"/>
    <w:rsid w:val="00497E41"/>
    <w:rsid w:val="004A1D57"/>
    <w:rsid w:val="004A2D2F"/>
    <w:rsid w:val="004A43D1"/>
    <w:rsid w:val="004A5C86"/>
    <w:rsid w:val="004A7694"/>
    <w:rsid w:val="004A7EDF"/>
    <w:rsid w:val="004B0AA2"/>
    <w:rsid w:val="004B36EA"/>
    <w:rsid w:val="004B3965"/>
    <w:rsid w:val="004B3FC5"/>
    <w:rsid w:val="004B54CA"/>
    <w:rsid w:val="004C0645"/>
    <w:rsid w:val="004C22FC"/>
    <w:rsid w:val="004C2B9D"/>
    <w:rsid w:val="004C2D9C"/>
    <w:rsid w:val="004C325A"/>
    <w:rsid w:val="004C6002"/>
    <w:rsid w:val="004C63BB"/>
    <w:rsid w:val="004D0307"/>
    <w:rsid w:val="004D0650"/>
    <w:rsid w:val="004D1687"/>
    <w:rsid w:val="004D2734"/>
    <w:rsid w:val="004D32B5"/>
    <w:rsid w:val="004D4CD4"/>
    <w:rsid w:val="004E0B65"/>
    <w:rsid w:val="004E0C20"/>
    <w:rsid w:val="004E1710"/>
    <w:rsid w:val="004E3D36"/>
    <w:rsid w:val="004E4364"/>
    <w:rsid w:val="004E461E"/>
    <w:rsid w:val="004E5070"/>
    <w:rsid w:val="004E5CBF"/>
    <w:rsid w:val="004E67D4"/>
    <w:rsid w:val="004E6FEC"/>
    <w:rsid w:val="004F26A8"/>
    <w:rsid w:val="004F271D"/>
    <w:rsid w:val="004F44B9"/>
    <w:rsid w:val="004F46C4"/>
    <w:rsid w:val="004F5166"/>
    <w:rsid w:val="004F5D0A"/>
    <w:rsid w:val="004F5EDF"/>
    <w:rsid w:val="004F6270"/>
    <w:rsid w:val="004F69BF"/>
    <w:rsid w:val="004F77F0"/>
    <w:rsid w:val="00502EBB"/>
    <w:rsid w:val="005030FC"/>
    <w:rsid w:val="005048F8"/>
    <w:rsid w:val="00505095"/>
    <w:rsid w:val="0050635A"/>
    <w:rsid w:val="00507C1C"/>
    <w:rsid w:val="005107BF"/>
    <w:rsid w:val="0051264D"/>
    <w:rsid w:val="00513092"/>
    <w:rsid w:val="00513BCD"/>
    <w:rsid w:val="0051420D"/>
    <w:rsid w:val="00514915"/>
    <w:rsid w:val="005159AA"/>
    <w:rsid w:val="00515AB6"/>
    <w:rsid w:val="005201CC"/>
    <w:rsid w:val="00522250"/>
    <w:rsid w:val="005222CE"/>
    <w:rsid w:val="00522717"/>
    <w:rsid w:val="0052384F"/>
    <w:rsid w:val="00525FEF"/>
    <w:rsid w:val="0052688F"/>
    <w:rsid w:val="00526900"/>
    <w:rsid w:val="00527636"/>
    <w:rsid w:val="00530498"/>
    <w:rsid w:val="00530C88"/>
    <w:rsid w:val="00530E0D"/>
    <w:rsid w:val="00531E4B"/>
    <w:rsid w:val="00533898"/>
    <w:rsid w:val="005358B9"/>
    <w:rsid w:val="005365B1"/>
    <w:rsid w:val="005367AE"/>
    <w:rsid w:val="00537204"/>
    <w:rsid w:val="005377B0"/>
    <w:rsid w:val="00540C2C"/>
    <w:rsid w:val="0054128A"/>
    <w:rsid w:val="00542546"/>
    <w:rsid w:val="00543E12"/>
    <w:rsid w:val="00544252"/>
    <w:rsid w:val="00544D74"/>
    <w:rsid w:val="00546E17"/>
    <w:rsid w:val="00547222"/>
    <w:rsid w:val="00547280"/>
    <w:rsid w:val="00547B3E"/>
    <w:rsid w:val="00552BE2"/>
    <w:rsid w:val="005540A2"/>
    <w:rsid w:val="0055492D"/>
    <w:rsid w:val="00554DD3"/>
    <w:rsid w:val="0055686B"/>
    <w:rsid w:val="00562112"/>
    <w:rsid w:val="00563995"/>
    <w:rsid w:val="00565795"/>
    <w:rsid w:val="005678C4"/>
    <w:rsid w:val="00573F98"/>
    <w:rsid w:val="00574187"/>
    <w:rsid w:val="00576162"/>
    <w:rsid w:val="00577554"/>
    <w:rsid w:val="005777C9"/>
    <w:rsid w:val="00581085"/>
    <w:rsid w:val="0058129D"/>
    <w:rsid w:val="00582374"/>
    <w:rsid w:val="0058237C"/>
    <w:rsid w:val="005834D9"/>
    <w:rsid w:val="005872F9"/>
    <w:rsid w:val="00587325"/>
    <w:rsid w:val="0058741B"/>
    <w:rsid w:val="0059181D"/>
    <w:rsid w:val="00591FF8"/>
    <w:rsid w:val="00593158"/>
    <w:rsid w:val="005938B8"/>
    <w:rsid w:val="00593C73"/>
    <w:rsid w:val="005952A4"/>
    <w:rsid w:val="00595C44"/>
    <w:rsid w:val="0059685E"/>
    <w:rsid w:val="00596C0F"/>
    <w:rsid w:val="005A1743"/>
    <w:rsid w:val="005A1CA7"/>
    <w:rsid w:val="005A2D44"/>
    <w:rsid w:val="005A2FB4"/>
    <w:rsid w:val="005A3D3C"/>
    <w:rsid w:val="005A4774"/>
    <w:rsid w:val="005A6312"/>
    <w:rsid w:val="005A669D"/>
    <w:rsid w:val="005A68F1"/>
    <w:rsid w:val="005A6D88"/>
    <w:rsid w:val="005B311A"/>
    <w:rsid w:val="005B4209"/>
    <w:rsid w:val="005B4AEA"/>
    <w:rsid w:val="005B4C7A"/>
    <w:rsid w:val="005B5691"/>
    <w:rsid w:val="005B5C8A"/>
    <w:rsid w:val="005C0649"/>
    <w:rsid w:val="005C2B9F"/>
    <w:rsid w:val="005C3AA9"/>
    <w:rsid w:val="005C4653"/>
    <w:rsid w:val="005C6FA5"/>
    <w:rsid w:val="005C7EA0"/>
    <w:rsid w:val="005D14DA"/>
    <w:rsid w:val="005D2AFE"/>
    <w:rsid w:val="005D2E43"/>
    <w:rsid w:val="005D32B6"/>
    <w:rsid w:val="005D6BFC"/>
    <w:rsid w:val="005D7AF5"/>
    <w:rsid w:val="005D7C04"/>
    <w:rsid w:val="005E19D8"/>
    <w:rsid w:val="005E1D02"/>
    <w:rsid w:val="005E1F1F"/>
    <w:rsid w:val="005E35C9"/>
    <w:rsid w:val="005E3EF1"/>
    <w:rsid w:val="005E5325"/>
    <w:rsid w:val="005E5BBA"/>
    <w:rsid w:val="005E5ECB"/>
    <w:rsid w:val="005E6505"/>
    <w:rsid w:val="005E73BD"/>
    <w:rsid w:val="005E7AF5"/>
    <w:rsid w:val="005F0926"/>
    <w:rsid w:val="005F218D"/>
    <w:rsid w:val="005F2ABE"/>
    <w:rsid w:val="005F39F7"/>
    <w:rsid w:val="005F4449"/>
    <w:rsid w:val="005F6919"/>
    <w:rsid w:val="005F72FC"/>
    <w:rsid w:val="00606718"/>
    <w:rsid w:val="0060719A"/>
    <w:rsid w:val="0061210B"/>
    <w:rsid w:val="00612827"/>
    <w:rsid w:val="00612CD2"/>
    <w:rsid w:val="00614CC8"/>
    <w:rsid w:val="006161D1"/>
    <w:rsid w:val="00616E1A"/>
    <w:rsid w:val="00617C4C"/>
    <w:rsid w:val="006203CF"/>
    <w:rsid w:val="00620689"/>
    <w:rsid w:val="0062076C"/>
    <w:rsid w:val="00620E1A"/>
    <w:rsid w:val="0062197E"/>
    <w:rsid w:val="00621E38"/>
    <w:rsid w:val="006226B3"/>
    <w:rsid w:val="00623062"/>
    <w:rsid w:val="0062358E"/>
    <w:rsid w:val="00624FD2"/>
    <w:rsid w:val="0062628E"/>
    <w:rsid w:val="0062713A"/>
    <w:rsid w:val="00631219"/>
    <w:rsid w:val="006317A2"/>
    <w:rsid w:val="0063213C"/>
    <w:rsid w:val="00632452"/>
    <w:rsid w:val="00632A7E"/>
    <w:rsid w:val="00633F84"/>
    <w:rsid w:val="0063595D"/>
    <w:rsid w:val="00637636"/>
    <w:rsid w:val="0064038A"/>
    <w:rsid w:val="00641810"/>
    <w:rsid w:val="00641B2A"/>
    <w:rsid w:val="00642C86"/>
    <w:rsid w:val="00643EC7"/>
    <w:rsid w:val="0064407C"/>
    <w:rsid w:val="006444B5"/>
    <w:rsid w:val="006447AF"/>
    <w:rsid w:val="00644AD8"/>
    <w:rsid w:val="0064538E"/>
    <w:rsid w:val="00647CE1"/>
    <w:rsid w:val="00650F65"/>
    <w:rsid w:val="006553E0"/>
    <w:rsid w:val="006576FB"/>
    <w:rsid w:val="00657C0F"/>
    <w:rsid w:val="00657CF2"/>
    <w:rsid w:val="00660AC7"/>
    <w:rsid w:val="006613E7"/>
    <w:rsid w:val="006637BE"/>
    <w:rsid w:val="006637C2"/>
    <w:rsid w:val="00665716"/>
    <w:rsid w:val="006657E1"/>
    <w:rsid w:val="00666AD5"/>
    <w:rsid w:val="00666DDE"/>
    <w:rsid w:val="006671FA"/>
    <w:rsid w:val="00667EA0"/>
    <w:rsid w:val="00671883"/>
    <w:rsid w:val="0067211A"/>
    <w:rsid w:val="00672565"/>
    <w:rsid w:val="0067262D"/>
    <w:rsid w:val="006765FF"/>
    <w:rsid w:val="00677F00"/>
    <w:rsid w:val="00682AA6"/>
    <w:rsid w:val="00683992"/>
    <w:rsid w:val="00683EC6"/>
    <w:rsid w:val="00684746"/>
    <w:rsid w:val="00686282"/>
    <w:rsid w:val="00690161"/>
    <w:rsid w:val="00692D18"/>
    <w:rsid w:val="00695804"/>
    <w:rsid w:val="006A4CE7"/>
    <w:rsid w:val="006A62F3"/>
    <w:rsid w:val="006A6FF3"/>
    <w:rsid w:val="006A75E3"/>
    <w:rsid w:val="006B06BD"/>
    <w:rsid w:val="006B088C"/>
    <w:rsid w:val="006B1166"/>
    <w:rsid w:val="006B28CD"/>
    <w:rsid w:val="006B38D5"/>
    <w:rsid w:val="006B46BC"/>
    <w:rsid w:val="006B70E3"/>
    <w:rsid w:val="006B7BD3"/>
    <w:rsid w:val="006C1874"/>
    <w:rsid w:val="006C3059"/>
    <w:rsid w:val="006C4288"/>
    <w:rsid w:val="006C63CE"/>
    <w:rsid w:val="006C7767"/>
    <w:rsid w:val="006D2777"/>
    <w:rsid w:val="006D3718"/>
    <w:rsid w:val="006D4591"/>
    <w:rsid w:val="006D4679"/>
    <w:rsid w:val="006D4BA3"/>
    <w:rsid w:val="006D5920"/>
    <w:rsid w:val="006D6E9B"/>
    <w:rsid w:val="006D73E8"/>
    <w:rsid w:val="006D79C0"/>
    <w:rsid w:val="006D7AC1"/>
    <w:rsid w:val="006E0815"/>
    <w:rsid w:val="006E183C"/>
    <w:rsid w:val="006E1A53"/>
    <w:rsid w:val="006E468B"/>
    <w:rsid w:val="006E4FBF"/>
    <w:rsid w:val="006E7198"/>
    <w:rsid w:val="006E772A"/>
    <w:rsid w:val="006E7C68"/>
    <w:rsid w:val="006F2EB0"/>
    <w:rsid w:val="006F4877"/>
    <w:rsid w:val="006F4DAE"/>
    <w:rsid w:val="006F4F1C"/>
    <w:rsid w:val="006F6781"/>
    <w:rsid w:val="006F7279"/>
    <w:rsid w:val="00700E44"/>
    <w:rsid w:val="00704FAE"/>
    <w:rsid w:val="00705231"/>
    <w:rsid w:val="007116F3"/>
    <w:rsid w:val="0071566E"/>
    <w:rsid w:val="00715A2E"/>
    <w:rsid w:val="00715E91"/>
    <w:rsid w:val="00716C44"/>
    <w:rsid w:val="007173AD"/>
    <w:rsid w:val="00717615"/>
    <w:rsid w:val="007204FF"/>
    <w:rsid w:val="007219F1"/>
    <w:rsid w:val="00722446"/>
    <w:rsid w:val="007267CC"/>
    <w:rsid w:val="007274F2"/>
    <w:rsid w:val="00730174"/>
    <w:rsid w:val="0073037B"/>
    <w:rsid w:val="00730D0A"/>
    <w:rsid w:val="007329DA"/>
    <w:rsid w:val="00732CA9"/>
    <w:rsid w:val="00732CF0"/>
    <w:rsid w:val="00734327"/>
    <w:rsid w:val="00735F61"/>
    <w:rsid w:val="00740A91"/>
    <w:rsid w:val="007441EE"/>
    <w:rsid w:val="007468A7"/>
    <w:rsid w:val="00747BEB"/>
    <w:rsid w:val="00752A16"/>
    <w:rsid w:val="0075394A"/>
    <w:rsid w:val="0075436B"/>
    <w:rsid w:val="00755209"/>
    <w:rsid w:val="0076124A"/>
    <w:rsid w:val="00761990"/>
    <w:rsid w:val="00762627"/>
    <w:rsid w:val="007663BD"/>
    <w:rsid w:val="00766DDB"/>
    <w:rsid w:val="00767720"/>
    <w:rsid w:val="00772595"/>
    <w:rsid w:val="00773153"/>
    <w:rsid w:val="007740EB"/>
    <w:rsid w:val="0077443D"/>
    <w:rsid w:val="007800D1"/>
    <w:rsid w:val="00781485"/>
    <w:rsid w:val="00781745"/>
    <w:rsid w:val="00782A26"/>
    <w:rsid w:val="00784C2F"/>
    <w:rsid w:val="00785261"/>
    <w:rsid w:val="00785712"/>
    <w:rsid w:val="00787752"/>
    <w:rsid w:val="00787C38"/>
    <w:rsid w:val="007905EA"/>
    <w:rsid w:val="007906F0"/>
    <w:rsid w:val="00792518"/>
    <w:rsid w:val="007943FA"/>
    <w:rsid w:val="00794F01"/>
    <w:rsid w:val="00797FA2"/>
    <w:rsid w:val="007A04AC"/>
    <w:rsid w:val="007A2767"/>
    <w:rsid w:val="007A2B08"/>
    <w:rsid w:val="007A2B6A"/>
    <w:rsid w:val="007A47B3"/>
    <w:rsid w:val="007A62F3"/>
    <w:rsid w:val="007B0256"/>
    <w:rsid w:val="007B04EF"/>
    <w:rsid w:val="007B138C"/>
    <w:rsid w:val="007B1C19"/>
    <w:rsid w:val="007B2E30"/>
    <w:rsid w:val="007B33EE"/>
    <w:rsid w:val="007B3B1E"/>
    <w:rsid w:val="007B515D"/>
    <w:rsid w:val="007B61C2"/>
    <w:rsid w:val="007B633F"/>
    <w:rsid w:val="007B6CD0"/>
    <w:rsid w:val="007B6F97"/>
    <w:rsid w:val="007B7F8F"/>
    <w:rsid w:val="007C0D29"/>
    <w:rsid w:val="007C1D79"/>
    <w:rsid w:val="007C4D7C"/>
    <w:rsid w:val="007C73A0"/>
    <w:rsid w:val="007D2B4E"/>
    <w:rsid w:val="007D368C"/>
    <w:rsid w:val="007D3D2A"/>
    <w:rsid w:val="007D5062"/>
    <w:rsid w:val="007D50D5"/>
    <w:rsid w:val="007D5BB8"/>
    <w:rsid w:val="007D63F8"/>
    <w:rsid w:val="007D7530"/>
    <w:rsid w:val="007D7990"/>
    <w:rsid w:val="007E0B61"/>
    <w:rsid w:val="007E10B2"/>
    <w:rsid w:val="007E1224"/>
    <w:rsid w:val="007E35D3"/>
    <w:rsid w:val="007E3BA7"/>
    <w:rsid w:val="007E4469"/>
    <w:rsid w:val="007E4989"/>
    <w:rsid w:val="007E5525"/>
    <w:rsid w:val="007E5C91"/>
    <w:rsid w:val="007E5FC6"/>
    <w:rsid w:val="007E7C70"/>
    <w:rsid w:val="007F3781"/>
    <w:rsid w:val="007F3819"/>
    <w:rsid w:val="007F3943"/>
    <w:rsid w:val="007F53D0"/>
    <w:rsid w:val="007F61FE"/>
    <w:rsid w:val="007F6902"/>
    <w:rsid w:val="007F6C84"/>
    <w:rsid w:val="007F7615"/>
    <w:rsid w:val="00801482"/>
    <w:rsid w:val="00802C3D"/>
    <w:rsid w:val="00803026"/>
    <w:rsid w:val="0080384F"/>
    <w:rsid w:val="00804C3E"/>
    <w:rsid w:val="00805548"/>
    <w:rsid w:val="00806579"/>
    <w:rsid w:val="008069CC"/>
    <w:rsid w:val="00807A6E"/>
    <w:rsid w:val="008112CE"/>
    <w:rsid w:val="00813564"/>
    <w:rsid w:val="00813A96"/>
    <w:rsid w:val="00813B38"/>
    <w:rsid w:val="00813E0C"/>
    <w:rsid w:val="00814EFF"/>
    <w:rsid w:val="00815473"/>
    <w:rsid w:val="00816AE4"/>
    <w:rsid w:val="008173D9"/>
    <w:rsid w:val="00817B68"/>
    <w:rsid w:val="008204CA"/>
    <w:rsid w:val="00820FAC"/>
    <w:rsid w:val="008231A8"/>
    <w:rsid w:val="0082389F"/>
    <w:rsid w:val="0082435C"/>
    <w:rsid w:val="00824AC3"/>
    <w:rsid w:val="008253E4"/>
    <w:rsid w:val="00825AA3"/>
    <w:rsid w:val="00830630"/>
    <w:rsid w:val="00833679"/>
    <w:rsid w:val="00833C51"/>
    <w:rsid w:val="00835B18"/>
    <w:rsid w:val="00837211"/>
    <w:rsid w:val="00837426"/>
    <w:rsid w:val="00840372"/>
    <w:rsid w:val="00841046"/>
    <w:rsid w:val="008416EC"/>
    <w:rsid w:val="008424BE"/>
    <w:rsid w:val="008430A4"/>
    <w:rsid w:val="00843343"/>
    <w:rsid w:val="00843747"/>
    <w:rsid w:val="008445A5"/>
    <w:rsid w:val="00845D32"/>
    <w:rsid w:val="0084622D"/>
    <w:rsid w:val="00847CD4"/>
    <w:rsid w:val="00847FD4"/>
    <w:rsid w:val="008526FD"/>
    <w:rsid w:val="008557E8"/>
    <w:rsid w:val="00860213"/>
    <w:rsid w:val="00860401"/>
    <w:rsid w:val="00861268"/>
    <w:rsid w:val="00861773"/>
    <w:rsid w:val="00863B98"/>
    <w:rsid w:val="00865D72"/>
    <w:rsid w:val="0086603A"/>
    <w:rsid w:val="008703DC"/>
    <w:rsid w:val="00870DE3"/>
    <w:rsid w:val="008720EE"/>
    <w:rsid w:val="00873833"/>
    <w:rsid w:val="00874CCF"/>
    <w:rsid w:val="00875268"/>
    <w:rsid w:val="00881C14"/>
    <w:rsid w:val="00881CBC"/>
    <w:rsid w:val="0088225A"/>
    <w:rsid w:val="00882F66"/>
    <w:rsid w:val="00883237"/>
    <w:rsid w:val="00883A27"/>
    <w:rsid w:val="00884C2A"/>
    <w:rsid w:val="00887867"/>
    <w:rsid w:val="00891A20"/>
    <w:rsid w:val="008921D7"/>
    <w:rsid w:val="008928C1"/>
    <w:rsid w:val="00892C0F"/>
    <w:rsid w:val="0089668D"/>
    <w:rsid w:val="008A0C00"/>
    <w:rsid w:val="008A0CAE"/>
    <w:rsid w:val="008A3D06"/>
    <w:rsid w:val="008A4292"/>
    <w:rsid w:val="008A5EA9"/>
    <w:rsid w:val="008A71EF"/>
    <w:rsid w:val="008A7207"/>
    <w:rsid w:val="008A72C3"/>
    <w:rsid w:val="008A7C6C"/>
    <w:rsid w:val="008A7FFB"/>
    <w:rsid w:val="008B0C40"/>
    <w:rsid w:val="008B7D37"/>
    <w:rsid w:val="008C043A"/>
    <w:rsid w:val="008C1712"/>
    <w:rsid w:val="008C3EBB"/>
    <w:rsid w:val="008C5B43"/>
    <w:rsid w:val="008C6DDB"/>
    <w:rsid w:val="008C7050"/>
    <w:rsid w:val="008CC807"/>
    <w:rsid w:val="008D4B76"/>
    <w:rsid w:val="008D4BFB"/>
    <w:rsid w:val="008D554C"/>
    <w:rsid w:val="008D6C02"/>
    <w:rsid w:val="008D6DBE"/>
    <w:rsid w:val="008E1A11"/>
    <w:rsid w:val="008E25E5"/>
    <w:rsid w:val="008E2FAD"/>
    <w:rsid w:val="008E35D2"/>
    <w:rsid w:val="008E5245"/>
    <w:rsid w:val="008E6D96"/>
    <w:rsid w:val="008E7D4C"/>
    <w:rsid w:val="008E7F25"/>
    <w:rsid w:val="008F10AF"/>
    <w:rsid w:val="008F5A30"/>
    <w:rsid w:val="008F7A13"/>
    <w:rsid w:val="00900920"/>
    <w:rsid w:val="00901FE8"/>
    <w:rsid w:val="00902C97"/>
    <w:rsid w:val="00905783"/>
    <w:rsid w:val="0090578E"/>
    <w:rsid w:val="00906E81"/>
    <w:rsid w:val="009077B7"/>
    <w:rsid w:val="00910EA4"/>
    <w:rsid w:val="009114AE"/>
    <w:rsid w:val="00911B19"/>
    <w:rsid w:val="009141CD"/>
    <w:rsid w:val="00915481"/>
    <w:rsid w:val="00915771"/>
    <w:rsid w:val="0092259C"/>
    <w:rsid w:val="009225F0"/>
    <w:rsid w:val="00923C95"/>
    <w:rsid w:val="00923ED2"/>
    <w:rsid w:val="009248A7"/>
    <w:rsid w:val="00924F3D"/>
    <w:rsid w:val="00926BE5"/>
    <w:rsid w:val="0092779B"/>
    <w:rsid w:val="00927D2E"/>
    <w:rsid w:val="009309D0"/>
    <w:rsid w:val="00931776"/>
    <w:rsid w:val="00931B4D"/>
    <w:rsid w:val="00931D19"/>
    <w:rsid w:val="009324F8"/>
    <w:rsid w:val="00932926"/>
    <w:rsid w:val="00934A9A"/>
    <w:rsid w:val="00935265"/>
    <w:rsid w:val="0093565C"/>
    <w:rsid w:val="0093761F"/>
    <w:rsid w:val="00940D8E"/>
    <w:rsid w:val="00941530"/>
    <w:rsid w:val="00941EC1"/>
    <w:rsid w:val="00942365"/>
    <w:rsid w:val="009432C5"/>
    <w:rsid w:val="00943D30"/>
    <w:rsid w:val="009449EA"/>
    <w:rsid w:val="00945629"/>
    <w:rsid w:val="00946222"/>
    <w:rsid w:val="00946907"/>
    <w:rsid w:val="00950DAC"/>
    <w:rsid w:val="00950F57"/>
    <w:rsid w:val="00951182"/>
    <w:rsid w:val="00951E1A"/>
    <w:rsid w:val="00954405"/>
    <w:rsid w:val="00957306"/>
    <w:rsid w:val="009573D4"/>
    <w:rsid w:val="00957954"/>
    <w:rsid w:val="00962668"/>
    <w:rsid w:val="00963B1D"/>
    <w:rsid w:val="009672F6"/>
    <w:rsid w:val="00967648"/>
    <w:rsid w:val="0096769C"/>
    <w:rsid w:val="00970D5D"/>
    <w:rsid w:val="00972D16"/>
    <w:rsid w:val="00973801"/>
    <w:rsid w:val="009740F4"/>
    <w:rsid w:val="009768FF"/>
    <w:rsid w:val="0098055D"/>
    <w:rsid w:val="009807F2"/>
    <w:rsid w:val="0098137B"/>
    <w:rsid w:val="0098347A"/>
    <w:rsid w:val="00983495"/>
    <w:rsid w:val="00984E09"/>
    <w:rsid w:val="0098592F"/>
    <w:rsid w:val="00985BCE"/>
    <w:rsid w:val="00985BED"/>
    <w:rsid w:val="00985DB5"/>
    <w:rsid w:val="00991328"/>
    <w:rsid w:val="00991AF0"/>
    <w:rsid w:val="0099524C"/>
    <w:rsid w:val="00995A66"/>
    <w:rsid w:val="00996CBB"/>
    <w:rsid w:val="009972A8"/>
    <w:rsid w:val="00997F18"/>
    <w:rsid w:val="009A3159"/>
    <w:rsid w:val="009A3ACD"/>
    <w:rsid w:val="009A667B"/>
    <w:rsid w:val="009B0882"/>
    <w:rsid w:val="009B090B"/>
    <w:rsid w:val="009B0FA1"/>
    <w:rsid w:val="009B3951"/>
    <w:rsid w:val="009B41A9"/>
    <w:rsid w:val="009B457D"/>
    <w:rsid w:val="009B5BBD"/>
    <w:rsid w:val="009B6051"/>
    <w:rsid w:val="009B6240"/>
    <w:rsid w:val="009B7599"/>
    <w:rsid w:val="009C007F"/>
    <w:rsid w:val="009C012E"/>
    <w:rsid w:val="009C01F9"/>
    <w:rsid w:val="009C1454"/>
    <w:rsid w:val="009C2B96"/>
    <w:rsid w:val="009C37EA"/>
    <w:rsid w:val="009C5E83"/>
    <w:rsid w:val="009C6C92"/>
    <w:rsid w:val="009D123B"/>
    <w:rsid w:val="009D2FFA"/>
    <w:rsid w:val="009D3A57"/>
    <w:rsid w:val="009D47A0"/>
    <w:rsid w:val="009D5AD7"/>
    <w:rsid w:val="009D6748"/>
    <w:rsid w:val="009D6BE4"/>
    <w:rsid w:val="009D7E62"/>
    <w:rsid w:val="009E35C9"/>
    <w:rsid w:val="009E38E0"/>
    <w:rsid w:val="009E3B0E"/>
    <w:rsid w:val="009E40D1"/>
    <w:rsid w:val="009E4DF8"/>
    <w:rsid w:val="009E59D2"/>
    <w:rsid w:val="009E5ECB"/>
    <w:rsid w:val="009E711F"/>
    <w:rsid w:val="009F55D3"/>
    <w:rsid w:val="009F594B"/>
    <w:rsid w:val="009F613E"/>
    <w:rsid w:val="00A006B7"/>
    <w:rsid w:val="00A01F95"/>
    <w:rsid w:val="00A02068"/>
    <w:rsid w:val="00A03204"/>
    <w:rsid w:val="00A033CB"/>
    <w:rsid w:val="00A0363B"/>
    <w:rsid w:val="00A06886"/>
    <w:rsid w:val="00A0689E"/>
    <w:rsid w:val="00A06A84"/>
    <w:rsid w:val="00A06B7F"/>
    <w:rsid w:val="00A06E00"/>
    <w:rsid w:val="00A07BC3"/>
    <w:rsid w:val="00A11304"/>
    <w:rsid w:val="00A1217F"/>
    <w:rsid w:val="00A12ACF"/>
    <w:rsid w:val="00A159A4"/>
    <w:rsid w:val="00A20AB2"/>
    <w:rsid w:val="00A21351"/>
    <w:rsid w:val="00A21542"/>
    <w:rsid w:val="00A26BD0"/>
    <w:rsid w:val="00A26D78"/>
    <w:rsid w:val="00A316E2"/>
    <w:rsid w:val="00A328AB"/>
    <w:rsid w:val="00A338D3"/>
    <w:rsid w:val="00A33A25"/>
    <w:rsid w:val="00A345E1"/>
    <w:rsid w:val="00A348D0"/>
    <w:rsid w:val="00A3531F"/>
    <w:rsid w:val="00A3547D"/>
    <w:rsid w:val="00A358A7"/>
    <w:rsid w:val="00A40119"/>
    <w:rsid w:val="00A4079B"/>
    <w:rsid w:val="00A40835"/>
    <w:rsid w:val="00A432E9"/>
    <w:rsid w:val="00A44709"/>
    <w:rsid w:val="00A45453"/>
    <w:rsid w:val="00A46D2B"/>
    <w:rsid w:val="00A47174"/>
    <w:rsid w:val="00A475C3"/>
    <w:rsid w:val="00A5321D"/>
    <w:rsid w:val="00A54915"/>
    <w:rsid w:val="00A554F7"/>
    <w:rsid w:val="00A55611"/>
    <w:rsid w:val="00A55DF4"/>
    <w:rsid w:val="00A55EA2"/>
    <w:rsid w:val="00A55EAC"/>
    <w:rsid w:val="00A560F0"/>
    <w:rsid w:val="00A577FC"/>
    <w:rsid w:val="00A610D8"/>
    <w:rsid w:val="00A61299"/>
    <w:rsid w:val="00A63C5B"/>
    <w:rsid w:val="00A64444"/>
    <w:rsid w:val="00A64620"/>
    <w:rsid w:val="00A646E9"/>
    <w:rsid w:val="00A647CA"/>
    <w:rsid w:val="00A65892"/>
    <w:rsid w:val="00A65D51"/>
    <w:rsid w:val="00A66068"/>
    <w:rsid w:val="00A70264"/>
    <w:rsid w:val="00A714C8"/>
    <w:rsid w:val="00A72D7C"/>
    <w:rsid w:val="00A73F31"/>
    <w:rsid w:val="00A745A1"/>
    <w:rsid w:val="00A76F5B"/>
    <w:rsid w:val="00A77AB4"/>
    <w:rsid w:val="00A805FA"/>
    <w:rsid w:val="00A80E88"/>
    <w:rsid w:val="00A83146"/>
    <w:rsid w:val="00A840AA"/>
    <w:rsid w:val="00A843C7"/>
    <w:rsid w:val="00A87AD2"/>
    <w:rsid w:val="00A87BDA"/>
    <w:rsid w:val="00A907BB"/>
    <w:rsid w:val="00A91288"/>
    <w:rsid w:val="00A91853"/>
    <w:rsid w:val="00A932B8"/>
    <w:rsid w:val="00A94433"/>
    <w:rsid w:val="00A95185"/>
    <w:rsid w:val="00A9602E"/>
    <w:rsid w:val="00A97766"/>
    <w:rsid w:val="00AA0B9C"/>
    <w:rsid w:val="00AA0E0F"/>
    <w:rsid w:val="00AA1999"/>
    <w:rsid w:val="00AA256B"/>
    <w:rsid w:val="00AA282A"/>
    <w:rsid w:val="00AA3E9F"/>
    <w:rsid w:val="00AA406E"/>
    <w:rsid w:val="00AA4B8A"/>
    <w:rsid w:val="00AA6014"/>
    <w:rsid w:val="00AA6762"/>
    <w:rsid w:val="00AA7208"/>
    <w:rsid w:val="00AB1756"/>
    <w:rsid w:val="00AB1CAB"/>
    <w:rsid w:val="00AB23E7"/>
    <w:rsid w:val="00AB3178"/>
    <w:rsid w:val="00AB3859"/>
    <w:rsid w:val="00AB42CA"/>
    <w:rsid w:val="00AB4EB4"/>
    <w:rsid w:val="00AB5DE9"/>
    <w:rsid w:val="00AB7215"/>
    <w:rsid w:val="00AB7762"/>
    <w:rsid w:val="00AB79C2"/>
    <w:rsid w:val="00AC0546"/>
    <w:rsid w:val="00AC0E84"/>
    <w:rsid w:val="00AC0F01"/>
    <w:rsid w:val="00AC1A84"/>
    <w:rsid w:val="00AC242F"/>
    <w:rsid w:val="00AC478C"/>
    <w:rsid w:val="00AC5563"/>
    <w:rsid w:val="00AC5C6B"/>
    <w:rsid w:val="00AC721B"/>
    <w:rsid w:val="00AD041A"/>
    <w:rsid w:val="00AD1054"/>
    <w:rsid w:val="00AD12F7"/>
    <w:rsid w:val="00AD2170"/>
    <w:rsid w:val="00AD2F91"/>
    <w:rsid w:val="00AD6C27"/>
    <w:rsid w:val="00AE063B"/>
    <w:rsid w:val="00AE1141"/>
    <w:rsid w:val="00AE1413"/>
    <w:rsid w:val="00AE171A"/>
    <w:rsid w:val="00AE1B5D"/>
    <w:rsid w:val="00AE31C9"/>
    <w:rsid w:val="00AE32BC"/>
    <w:rsid w:val="00AF0831"/>
    <w:rsid w:val="00AF1B51"/>
    <w:rsid w:val="00AF4819"/>
    <w:rsid w:val="00AF5361"/>
    <w:rsid w:val="00AF6638"/>
    <w:rsid w:val="00B02E6A"/>
    <w:rsid w:val="00B0313F"/>
    <w:rsid w:val="00B03BBE"/>
    <w:rsid w:val="00B06C96"/>
    <w:rsid w:val="00B078E1"/>
    <w:rsid w:val="00B102DB"/>
    <w:rsid w:val="00B11CDA"/>
    <w:rsid w:val="00B12890"/>
    <w:rsid w:val="00B1295A"/>
    <w:rsid w:val="00B13F04"/>
    <w:rsid w:val="00B146D6"/>
    <w:rsid w:val="00B15719"/>
    <w:rsid w:val="00B16EE5"/>
    <w:rsid w:val="00B16F1D"/>
    <w:rsid w:val="00B16FB0"/>
    <w:rsid w:val="00B21177"/>
    <w:rsid w:val="00B2187F"/>
    <w:rsid w:val="00B225A8"/>
    <w:rsid w:val="00B23407"/>
    <w:rsid w:val="00B23974"/>
    <w:rsid w:val="00B25148"/>
    <w:rsid w:val="00B2525B"/>
    <w:rsid w:val="00B2582C"/>
    <w:rsid w:val="00B25841"/>
    <w:rsid w:val="00B25A64"/>
    <w:rsid w:val="00B270DB"/>
    <w:rsid w:val="00B27416"/>
    <w:rsid w:val="00B2754C"/>
    <w:rsid w:val="00B27557"/>
    <w:rsid w:val="00B27AD5"/>
    <w:rsid w:val="00B31E74"/>
    <w:rsid w:val="00B3492F"/>
    <w:rsid w:val="00B35992"/>
    <w:rsid w:val="00B40846"/>
    <w:rsid w:val="00B4336E"/>
    <w:rsid w:val="00B433F6"/>
    <w:rsid w:val="00B43404"/>
    <w:rsid w:val="00B440F8"/>
    <w:rsid w:val="00B473C9"/>
    <w:rsid w:val="00B47994"/>
    <w:rsid w:val="00B47AB0"/>
    <w:rsid w:val="00B50286"/>
    <w:rsid w:val="00B5438B"/>
    <w:rsid w:val="00B54660"/>
    <w:rsid w:val="00B55646"/>
    <w:rsid w:val="00B5627B"/>
    <w:rsid w:val="00B56511"/>
    <w:rsid w:val="00B5692E"/>
    <w:rsid w:val="00B57C04"/>
    <w:rsid w:val="00B60AED"/>
    <w:rsid w:val="00B60E73"/>
    <w:rsid w:val="00B61B03"/>
    <w:rsid w:val="00B637C0"/>
    <w:rsid w:val="00B6552E"/>
    <w:rsid w:val="00B72936"/>
    <w:rsid w:val="00B72C9B"/>
    <w:rsid w:val="00B738ED"/>
    <w:rsid w:val="00B73DA2"/>
    <w:rsid w:val="00B758C8"/>
    <w:rsid w:val="00B760F7"/>
    <w:rsid w:val="00B7662A"/>
    <w:rsid w:val="00B76BB2"/>
    <w:rsid w:val="00B77C83"/>
    <w:rsid w:val="00B81376"/>
    <w:rsid w:val="00B8290B"/>
    <w:rsid w:val="00B83313"/>
    <w:rsid w:val="00B859A6"/>
    <w:rsid w:val="00B85AE5"/>
    <w:rsid w:val="00B85E98"/>
    <w:rsid w:val="00B86F06"/>
    <w:rsid w:val="00B8778F"/>
    <w:rsid w:val="00B877CC"/>
    <w:rsid w:val="00B87EC8"/>
    <w:rsid w:val="00B92CA2"/>
    <w:rsid w:val="00B92E70"/>
    <w:rsid w:val="00B97A26"/>
    <w:rsid w:val="00BA09F9"/>
    <w:rsid w:val="00BA1965"/>
    <w:rsid w:val="00BA1B92"/>
    <w:rsid w:val="00BA24C4"/>
    <w:rsid w:val="00BA2550"/>
    <w:rsid w:val="00BA2BCB"/>
    <w:rsid w:val="00BA2DB9"/>
    <w:rsid w:val="00BA4344"/>
    <w:rsid w:val="00BA46B3"/>
    <w:rsid w:val="00BA4981"/>
    <w:rsid w:val="00BA5E38"/>
    <w:rsid w:val="00BA6D09"/>
    <w:rsid w:val="00BA763B"/>
    <w:rsid w:val="00BB03D7"/>
    <w:rsid w:val="00BB141F"/>
    <w:rsid w:val="00BB1A8F"/>
    <w:rsid w:val="00BB2B38"/>
    <w:rsid w:val="00BB2E76"/>
    <w:rsid w:val="00BB3D45"/>
    <w:rsid w:val="00BB4952"/>
    <w:rsid w:val="00BB5070"/>
    <w:rsid w:val="00BB5B8D"/>
    <w:rsid w:val="00BB6843"/>
    <w:rsid w:val="00BC1C1C"/>
    <w:rsid w:val="00BC2422"/>
    <w:rsid w:val="00BC2CAD"/>
    <w:rsid w:val="00BC2DA7"/>
    <w:rsid w:val="00BC2F31"/>
    <w:rsid w:val="00BC4975"/>
    <w:rsid w:val="00BC4C69"/>
    <w:rsid w:val="00BC4DB8"/>
    <w:rsid w:val="00BC543E"/>
    <w:rsid w:val="00BC6743"/>
    <w:rsid w:val="00BC736A"/>
    <w:rsid w:val="00BC7D3C"/>
    <w:rsid w:val="00BD030F"/>
    <w:rsid w:val="00BD0A82"/>
    <w:rsid w:val="00BD2D62"/>
    <w:rsid w:val="00BD58D9"/>
    <w:rsid w:val="00BD5BB7"/>
    <w:rsid w:val="00BD64BA"/>
    <w:rsid w:val="00BE092C"/>
    <w:rsid w:val="00BE3C47"/>
    <w:rsid w:val="00BE632A"/>
    <w:rsid w:val="00BE6822"/>
    <w:rsid w:val="00BE7148"/>
    <w:rsid w:val="00BE7E64"/>
    <w:rsid w:val="00BF42B8"/>
    <w:rsid w:val="00BF4AE0"/>
    <w:rsid w:val="00BF6197"/>
    <w:rsid w:val="00C00327"/>
    <w:rsid w:val="00C004E5"/>
    <w:rsid w:val="00C00D53"/>
    <w:rsid w:val="00C03036"/>
    <w:rsid w:val="00C03A3B"/>
    <w:rsid w:val="00C03DE9"/>
    <w:rsid w:val="00C047BB"/>
    <w:rsid w:val="00C05C1C"/>
    <w:rsid w:val="00C05C28"/>
    <w:rsid w:val="00C107E1"/>
    <w:rsid w:val="00C113F0"/>
    <w:rsid w:val="00C11B28"/>
    <w:rsid w:val="00C11B70"/>
    <w:rsid w:val="00C14ABC"/>
    <w:rsid w:val="00C14DBC"/>
    <w:rsid w:val="00C16CB0"/>
    <w:rsid w:val="00C21493"/>
    <w:rsid w:val="00C22541"/>
    <w:rsid w:val="00C2344A"/>
    <w:rsid w:val="00C23ACF"/>
    <w:rsid w:val="00C24096"/>
    <w:rsid w:val="00C24E27"/>
    <w:rsid w:val="00C24F53"/>
    <w:rsid w:val="00C27064"/>
    <w:rsid w:val="00C27827"/>
    <w:rsid w:val="00C27D08"/>
    <w:rsid w:val="00C300D8"/>
    <w:rsid w:val="00C311C0"/>
    <w:rsid w:val="00C3195C"/>
    <w:rsid w:val="00C32043"/>
    <w:rsid w:val="00C346BB"/>
    <w:rsid w:val="00C3666A"/>
    <w:rsid w:val="00C3719F"/>
    <w:rsid w:val="00C414CF"/>
    <w:rsid w:val="00C41F89"/>
    <w:rsid w:val="00C43674"/>
    <w:rsid w:val="00C43D4A"/>
    <w:rsid w:val="00C43DD7"/>
    <w:rsid w:val="00C447CC"/>
    <w:rsid w:val="00C464B0"/>
    <w:rsid w:val="00C46CC8"/>
    <w:rsid w:val="00C46CFC"/>
    <w:rsid w:val="00C50091"/>
    <w:rsid w:val="00C50379"/>
    <w:rsid w:val="00C50447"/>
    <w:rsid w:val="00C53645"/>
    <w:rsid w:val="00C53662"/>
    <w:rsid w:val="00C548BD"/>
    <w:rsid w:val="00C54B33"/>
    <w:rsid w:val="00C54F00"/>
    <w:rsid w:val="00C55539"/>
    <w:rsid w:val="00C56470"/>
    <w:rsid w:val="00C567B0"/>
    <w:rsid w:val="00C569B7"/>
    <w:rsid w:val="00C63D43"/>
    <w:rsid w:val="00C6541F"/>
    <w:rsid w:val="00C6557B"/>
    <w:rsid w:val="00C71188"/>
    <w:rsid w:val="00C7216C"/>
    <w:rsid w:val="00C7252D"/>
    <w:rsid w:val="00C725C3"/>
    <w:rsid w:val="00C7504E"/>
    <w:rsid w:val="00C77593"/>
    <w:rsid w:val="00C778E5"/>
    <w:rsid w:val="00C84349"/>
    <w:rsid w:val="00C85698"/>
    <w:rsid w:val="00C86AB8"/>
    <w:rsid w:val="00C86DA1"/>
    <w:rsid w:val="00C9100F"/>
    <w:rsid w:val="00C91051"/>
    <w:rsid w:val="00C91C19"/>
    <w:rsid w:val="00C93476"/>
    <w:rsid w:val="00C9364E"/>
    <w:rsid w:val="00C97407"/>
    <w:rsid w:val="00CA07C2"/>
    <w:rsid w:val="00CA17C2"/>
    <w:rsid w:val="00CA2A2E"/>
    <w:rsid w:val="00CA4E7D"/>
    <w:rsid w:val="00CA5EF0"/>
    <w:rsid w:val="00CA6D72"/>
    <w:rsid w:val="00CA6F04"/>
    <w:rsid w:val="00CA79C6"/>
    <w:rsid w:val="00CB157A"/>
    <w:rsid w:val="00CB178E"/>
    <w:rsid w:val="00CB262E"/>
    <w:rsid w:val="00CB2835"/>
    <w:rsid w:val="00CB30E3"/>
    <w:rsid w:val="00CB5F24"/>
    <w:rsid w:val="00CB6C10"/>
    <w:rsid w:val="00CB7693"/>
    <w:rsid w:val="00CB7A7D"/>
    <w:rsid w:val="00CC1856"/>
    <w:rsid w:val="00CC534A"/>
    <w:rsid w:val="00CC5602"/>
    <w:rsid w:val="00CC64FB"/>
    <w:rsid w:val="00CC6D4A"/>
    <w:rsid w:val="00CD152E"/>
    <w:rsid w:val="00CD1B38"/>
    <w:rsid w:val="00CD3DF5"/>
    <w:rsid w:val="00CD4724"/>
    <w:rsid w:val="00CD4CBE"/>
    <w:rsid w:val="00CD532F"/>
    <w:rsid w:val="00CD5376"/>
    <w:rsid w:val="00CD58EB"/>
    <w:rsid w:val="00CE1825"/>
    <w:rsid w:val="00CE210F"/>
    <w:rsid w:val="00CE30DE"/>
    <w:rsid w:val="00CE3807"/>
    <w:rsid w:val="00CE47A3"/>
    <w:rsid w:val="00CE5BCE"/>
    <w:rsid w:val="00CE6619"/>
    <w:rsid w:val="00CE720A"/>
    <w:rsid w:val="00CE76DE"/>
    <w:rsid w:val="00CE7FA4"/>
    <w:rsid w:val="00CF141B"/>
    <w:rsid w:val="00CF215B"/>
    <w:rsid w:val="00CF5BB6"/>
    <w:rsid w:val="00CF5CF0"/>
    <w:rsid w:val="00CF68F0"/>
    <w:rsid w:val="00CF72AC"/>
    <w:rsid w:val="00CF74D3"/>
    <w:rsid w:val="00D0025C"/>
    <w:rsid w:val="00D00C21"/>
    <w:rsid w:val="00D021E1"/>
    <w:rsid w:val="00D039E0"/>
    <w:rsid w:val="00D04732"/>
    <w:rsid w:val="00D05AE8"/>
    <w:rsid w:val="00D06636"/>
    <w:rsid w:val="00D10A1A"/>
    <w:rsid w:val="00D11256"/>
    <w:rsid w:val="00D1466D"/>
    <w:rsid w:val="00D2152C"/>
    <w:rsid w:val="00D222AE"/>
    <w:rsid w:val="00D2277D"/>
    <w:rsid w:val="00D22F94"/>
    <w:rsid w:val="00D23249"/>
    <w:rsid w:val="00D23B59"/>
    <w:rsid w:val="00D26167"/>
    <w:rsid w:val="00D3164E"/>
    <w:rsid w:val="00D320EF"/>
    <w:rsid w:val="00D327EE"/>
    <w:rsid w:val="00D337CC"/>
    <w:rsid w:val="00D3382A"/>
    <w:rsid w:val="00D338D8"/>
    <w:rsid w:val="00D3458F"/>
    <w:rsid w:val="00D34D18"/>
    <w:rsid w:val="00D41765"/>
    <w:rsid w:val="00D41CE6"/>
    <w:rsid w:val="00D423CC"/>
    <w:rsid w:val="00D4241B"/>
    <w:rsid w:val="00D43204"/>
    <w:rsid w:val="00D43F11"/>
    <w:rsid w:val="00D45876"/>
    <w:rsid w:val="00D458CD"/>
    <w:rsid w:val="00D50779"/>
    <w:rsid w:val="00D522C1"/>
    <w:rsid w:val="00D52599"/>
    <w:rsid w:val="00D5338A"/>
    <w:rsid w:val="00D541D4"/>
    <w:rsid w:val="00D54C22"/>
    <w:rsid w:val="00D57122"/>
    <w:rsid w:val="00D600E6"/>
    <w:rsid w:val="00D6087F"/>
    <w:rsid w:val="00D622D2"/>
    <w:rsid w:val="00D63B55"/>
    <w:rsid w:val="00D644A9"/>
    <w:rsid w:val="00D648E0"/>
    <w:rsid w:val="00D654FD"/>
    <w:rsid w:val="00D6600E"/>
    <w:rsid w:val="00D6603B"/>
    <w:rsid w:val="00D7044B"/>
    <w:rsid w:val="00D71A63"/>
    <w:rsid w:val="00D71CA6"/>
    <w:rsid w:val="00D7216A"/>
    <w:rsid w:val="00D72362"/>
    <w:rsid w:val="00D728AA"/>
    <w:rsid w:val="00D72D69"/>
    <w:rsid w:val="00D7312D"/>
    <w:rsid w:val="00D7317F"/>
    <w:rsid w:val="00D73519"/>
    <w:rsid w:val="00D743FC"/>
    <w:rsid w:val="00D74BC6"/>
    <w:rsid w:val="00D771AE"/>
    <w:rsid w:val="00D77797"/>
    <w:rsid w:val="00D80095"/>
    <w:rsid w:val="00D82F40"/>
    <w:rsid w:val="00D833DE"/>
    <w:rsid w:val="00D85128"/>
    <w:rsid w:val="00D874C2"/>
    <w:rsid w:val="00D8754F"/>
    <w:rsid w:val="00D87A0F"/>
    <w:rsid w:val="00D87B8D"/>
    <w:rsid w:val="00D91E29"/>
    <w:rsid w:val="00D93214"/>
    <w:rsid w:val="00D95D77"/>
    <w:rsid w:val="00DA069F"/>
    <w:rsid w:val="00DA0FEA"/>
    <w:rsid w:val="00DA16D1"/>
    <w:rsid w:val="00DA3255"/>
    <w:rsid w:val="00DA3DAF"/>
    <w:rsid w:val="00DA47EB"/>
    <w:rsid w:val="00DA7CC8"/>
    <w:rsid w:val="00DB05A6"/>
    <w:rsid w:val="00DB077D"/>
    <w:rsid w:val="00DB16E5"/>
    <w:rsid w:val="00DB1F60"/>
    <w:rsid w:val="00DB33CE"/>
    <w:rsid w:val="00DB359B"/>
    <w:rsid w:val="00DB3FD9"/>
    <w:rsid w:val="00DB43B8"/>
    <w:rsid w:val="00DB4D2B"/>
    <w:rsid w:val="00DB50F4"/>
    <w:rsid w:val="00DB586C"/>
    <w:rsid w:val="00DB5B1B"/>
    <w:rsid w:val="00DB5DCD"/>
    <w:rsid w:val="00DB6B6D"/>
    <w:rsid w:val="00DB7772"/>
    <w:rsid w:val="00DC076B"/>
    <w:rsid w:val="00DC211A"/>
    <w:rsid w:val="00DC2930"/>
    <w:rsid w:val="00DC2E8C"/>
    <w:rsid w:val="00DC446C"/>
    <w:rsid w:val="00DC67C3"/>
    <w:rsid w:val="00DD1850"/>
    <w:rsid w:val="00DD1DFF"/>
    <w:rsid w:val="00DD2241"/>
    <w:rsid w:val="00DD2DF0"/>
    <w:rsid w:val="00DD3BC3"/>
    <w:rsid w:val="00DD4108"/>
    <w:rsid w:val="00DD7866"/>
    <w:rsid w:val="00DE2EFF"/>
    <w:rsid w:val="00DE3193"/>
    <w:rsid w:val="00DE692D"/>
    <w:rsid w:val="00DF2BB2"/>
    <w:rsid w:val="00DF31FD"/>
    <w:rsid w:val="00DF338C"/>
    <w:rsid w:val="00DF4011"/>
    <w:rsid w:val="00DF4DCE"/>
    <w:rsid w:val="00DF5E30"/>
    <w:rsid w:val="00DF72A4"/>
    <w:rsid w:val="00DF75D2"/>
    <w:rsid w:val="00DF7642"/>
    <w:rsid w:val="00DF7C16"/>
    <w:rsid w:val="00DF7E2D"/>
    <w:rsid w:val="00E00922"/>
    <w:rsid w:val="00E01278"/>
    <w:rsid w:val="00E03924"/>
    <w:rsid w:val="00E07664"/>
    <w:rsid w:val="00E07A98"/>
    <w:rsid w:val="00E13C08"/>
    <w:rsid w:val="00E14173"/>
    <w:rsid w:val="00E1524D"/>
    <w:rsid w:val="00E1608F"/>
    <w:rsid w:val="00E160D1"/>
    <w:rsid w:val="00E16F70"/>
    <w:rsid w:val="00E20693"/>
    <w:rsid w:val="00E21030"/>
    <w:rsid w:val="00E2207C"/>
    <w:rsid w:val="00E25BFD"/>
    <w:rsid w:val="00E26518"/>
    <w:rsid w:val="00E27C0F"/>
    <w:rsid w:val="00E301C9"/>
    <w:rsid w:val="00E30764"/>
    <w:rsid w:val="00E321CE"/>
    <w:rsid w:val="00E3336E"/>
    <w:rsid w:val="00E33EF0"/>
    <w:rsid w:val="00E3428C"/>
    <w:rsid w:val="00E34BD1"/>
    <w:rsid w:val="00E34C36"/>
    <w:rsid w:val="00E34EA1"/>
    <w:rsid w:val="00E35674"/>
    <w:rsid w:val="00E3591F"/>
    <w:rsid w:val="00E35CD7"/>
    <w:rsid w:val="00E37C5E"/>
    <w:rsid w:val="00E37F3E"/>
    <w:rsid w:val="00E4224A"/>
    <w:rsid w:val="00E422CF"/>
    <w:rsid w:val="00E42318"/>
    <w:rsid w:val="00E4467D"/>
    <w:rsid w:val="00E46183"/>
    <w:rsid w:val="00E47897"/>
    <w:rsid w:val="00E50A54"/>
    <w:rsid w:val="00E50D62"/>
    <w:rsid w:val="00E51D3E"/>
    <w:rsid w:val="00E5403D"/>
    <w:rsid w:val="00E549C9"/>
    <w:rsid w:val="00E54EC2"/>
    <w:rsid w:val="00E569FF"/>
    <w:rsid w:val="00E612C0"/>
    <w:rsid w:val="00E632EA"/>
    <w:rsid w:val="00E64C18"/>
    <w:rsid w:val="00E65367"/>
    <w:rsid w:val="00E729F1"/>
    <w:rsid w:val="00E73477"/>
    <w:rsid w:val="00E74497"/>
    <w:rsid w:val="00E74565"/>
    <w:rsid w:val="00E75682"/>
    <w:rsid w:val="00E75827"/>
    <w:rsid w:val="00E75978"/>
    <w:rsid w:val="00E759D5"/>
    <w:rsid w:val="00E75A62"/>
    <w:rsid w:val="00E772E5"/>
    <w:rsid w:val="00E825D7"/>
    <w:rsid w:val="00E830FF"/>
    <w:rsid w:val="00E854AC"/>
    <w:rsid w:val="00E85DA6"/>
    <w:rsid w:val="00E86939"/>
    <w:rsid w:val="00E91B43"/>
    <w:rsid w:val="00E91BA3"/>
    <w:rsid w:val="00E94EC7"/>
    <w:rsid w:val="00E95138"/>
    <w:rsid w:val="00E962E2"/>
    <w:rsid w:val="00E96F02"/>
    <w:rsid w:val="00E96F5F"/>
    <w:rsid w:val="00E97591"/>
    <w:rsid w:val="00EA4D7D"/>
    <w:rsid w:val="00EA539E"/>
    <w:rsid w:val="00EA7CCC"/>
    <w:rsid w:val="00EA7CE6"/>
    <w:rsid w:val="00EB0679"/>
    <w:rsid w:val="00EB0E2E"/>
    <w:rsid w:val="00EB2187"/>
    <w:rsid w:val="00EB41D5"/>
    <w:rsid w:val="00EB5060"/>
    <w:rsid w:val="00EB7473"/>
    <w:rsid w:val="00EC2A6F"/>
    <w:rsid w:val="00EC335D"/>
    <w:rsid w:val="00EC35AC"/>
    <w:rsid w:val="00EC4364"/>
    <w:rsid w:val="00EC454E"/>
    <w:rsid w:val="00EC488D"/>
    <w:rsid w:val="00EC627D"/>
    <w:rsid w:val="00EC69AE"/>
    <w:rsid w:val="00EC7089"/>
    <w:rsid w:val="00EC72FA"/>
    <w:rsid w:val="00ED113A"/>
    <w:rsid w:val="00ED1F20"/>
    <w:rsid w:val="00ED2267"/>
    <w:rsid w:val="00ED3611"/>
    <w:rsid w:val="00ED36BF"/>
    <w:rsid w:val="00ED44F1"/>
    <w:rsid w:val="00ED484D"/>
    <w:rsid w:val="00ED6486"/>
    <w:rsid w:val="00ED6793"/>
    <w:rsid w:val="00ED6851"/>
    <w:rsid w:val="00ED6DC9"/>
    <w:rsid w:val="00EE05FB"/>
    <w:rsid w:val="00EE07B8"/>
    <w:rsid w:val="00EE0BEF"/>
    <w:rsid w:val="00EE287A"/>
    <w:rsid w:val="00EE3B70"/>
    <w:rsid w:val="00EE3CBC"/>
    <w:rsid w:val="00EE3DEE"/>
    <w:rsid w:val="00EE4508"/>
    <w:rsid w:val="00EE4742"/>
    <w:rsid w:val="00EE54E1"/>
    <w:rsid w:val="00EF1022"/>
    <w:rsid w:val="00EF14B9"/>
    <w:rsid w:val="00EF3A9F"/>
    <w:rsid w:val="00EF411C"/>
    <w:rsid w:val="00EF51B1"/>
    <w:rsid w:val="00EF6EDA"/>
    <w:rsid w:val="00F003C8"/>
    <w:rsid w:val="00F015C7"/>
    <w:rsid w:val="00F02FA8"/>
    <w:rsid w:val="00F034F0"/>
    <w:rsid w:val="00F03C28"/>
    <w:rsid w:val="00F0535F"/>
    <w:rsid w:val="00F05600"/>
    <w:rsid w:val="00F10356"/>
    <w:rsid w:val="00F11460"/>
    <w:rsid w:val="00F12D34"/>
    <w:rsid w:val="00F14624"/>
    <w:rsid w:val="00F16271"/>
    <w:rsid w:val="00F22054"/>
    <w:rsid w:val="00F2274C"/>
    <w:rsid w:val="00F228D4"/>
    <w:rsid w:val="00F230CB"/>
    <w:rsid w:val="00F23F88"/>
    <w:rsid w:val="00F2607E"/>
    <w:rsid w:val="00F27215"/>
    <w:rsid w:val="00F30367"/>
    <w:rsid w:val="00F307EE"/>
    <w:rsid w:val="00F30C84"/>
    <w:rsid w:val="00F30CF2"/>
    <w:rsid w:val="00F32A27"/>
    <w:rsid w:val="00F32AAD"/>
    <w:rsid w:val="00F33BA3"/>
    <w:rsid w:val="00F3457A"/>
    <w:rsid w:val="00F34DC9"/>
    <w:rsid w:val="00F351B9"/>
    <w:rsid w:val="00F362B4"/>
    <w:rsid w:val="00F36BB4"/>
    <w:rsid w:val="00F37626"/>
    <w:rsid w:val="00F377A4"/>
    <w:rsid w:val="00F411F2"/>
    <w:rsid w:val="00F417C1"/>
    <w:rsid w:val="00F41FD4"/>
    <w:rsid w:val="00F42590"/>
    <w:rsid w:val="00F4298B"/>
    <w:rsid w:val="00F436FB"/>
    <w:rsid w:val="00F440AB"/>
    <w:rsid w:val="00F50546"/>
    <w:rsid w:val="00F54020"/>
    <w:rsid w:val="00F546BB"/>
    <w:rsid w:val="00F555A2"/>
    <w:rsid w:val="00F576D1"/>
    <w:rsid w:val="00F61542"/>
    <w:rsid w:val="00F63529"/>
    <w:rsid w:val="00F64C5C"/>
    <w:rsid w:val="00F66468"/>
    <w:rsid w:val="00F66FC2"/>
    <w:rsid w:val="00F67BC6"/>
    <w:rsid w:val="00F72B24"/>
    <w:rsid w:val="00F72F93"/>
    <w:rsid w:val="00F731D2"/>
    <w:rsid w:val="00F743B0"/>
    <w:rsid w:val="00F765A7"/>
    <w:rsid w:val="00F77060"/>
    <w:rsid w:val="00F77804"/>
    <w:rsid w:val="00F77D99"/>
    <w:rsid w:val="00F80091"/>
    <w:rsid w:val="00F8037B"/>
    <w:rsid w:val="00F8158F"/>
    <w:rsid w:val="00F81F83"/>
    <w:rsid w:val="00F84134"/>
    <w:rsid w:val="00F8456A"/>
    <w:rsid w:val="00F86629"/>
    <w:rsid w:val="00F8697A"/>
    <w:rsid w:val="00F86C7A"/>
    <w:rsid w:val="00F86F4E"/>
    <w:rsid w:val="00F87489"/>
    <w:rsid w:val="00F87A0A"/>
    <w:rsid w:val="00F94EE5"/>
    <w:rsid w:val="00F95FF0"/>
    <w:rsid w:val="00F9753F"/>
    <w:rsid w:val="00FA08A5"/>
    <w:rsid w:val="00FA0D16"/>
    <w:rsid w:val="00FA23D8"/>
    <w:rsid w:val="00FA334F"/>
    <w:rsid w:val="00FA58A4"/>
    <w:rsid w:val="00FA79B8"/>
    <w:rsid w:val="00FA7B4A"/>
    <w:rsid w:val="00FB1543"/>
    <w:rsid w:val="00FB18C5"/>
    <w:rsid w:val="00FB2735"/>
    <w:rsid w:val="00FB3980"/>
    <w:rsid w:val="00FB3EE6"/>
    <w:rsid w:val="00FB4DAA"/>
    <w:rsid w:val="00FB5514"/>
    <w:rsid w:val="00FB7599"/>
    <w:rsid w:val="00FC0786"/>
    <w:rsid w:val="00FC273D"/>
    <w:rsid w:val="00FC28CD"/>
    <w:rsid w:val="00FC2D22"/>
    <w:rsid w:val="00FC3B99"/>
    <w:rsid w:val="00FC6CE4"/>
    <w:rsid w:val="00FD008A"/>
    <w:rsid w:val="00FD1044"/>
    <w:rsid w:val="00FD146A"/>
    <w:rsid w:val="00FD162F"/>
    <w:rsid w:val="00FD3726"/>
    <w:rsid w:val="00FD40D0"/>
    <w:rsid w:val="00FD5D7F"/>
    <w:rsid w:val="00FE0AEE"/>
    <w:rsid w:val="00FE1E59"/>
    <w:rsid w:val="00FE2F8F"/>
    <w:rsid w:val="00FE3582"/>
    <w:rsid w:val="00FE435B"/>
    <w:rsid w:val="00FE45D7"/>
    <w:rsid w:val="00FE5403"/>
    <w:rsid w:val="00FE75E1"/>
    <w:rsid w:val="00FF183E"/>
    <w:rsid w:val="00FF2560"/>
    <w:rsid w:val="00FF27CD"/>
    <w:rsid w:val="00FF2F16"/>
    <w:rsid w:val="00FF328D"/>
    <w:rsid w:val="00FF6F41"/>
    <w:rsid w:val="00FF79C8"/>
    <w:rsid w:val="00FF7F98"/>
    <w:rsid w:val="015577AA"/>
    <w:rsid w:val="02AED02A"/>
    <w:rsid w:val="02CA18A9"/>
    <w:rsid w:val="04EA1DDF"/>
    <w:rsid w:val="06EEC833"/>
    <w:rsid w:val="09AF2DDA"/>
    <w:rsid w:val="0A17A0FD"/>
    <w:rsid w:val="0B5D47D7"/>
    <w:rsid w:val="0B749D02"/>
    <w:rsid w:val="0EAC3DC4"/>
    <w:rsid w:val="102F9585"/>
    <w:rsid w:val="11B017D1"/>
    <w:rsid w:val="120B1B1A"/>
    <w:rsid w:val="12B055C5"/>
    <w:rsid w:val="13B81CA5"/>
    <w:rsid w:val="13BBA78C"/>
    <w:rsid w:val="147371DA"/>
    <w:rsid w:val="1523973D"/>
    <w:rsid w:val="164CDD22"/>
    <w:rsid w:val="1A657287"/>
    <w:rsid w:val="1AF857BE"/>
    <w:rsid w:val="1D5320EA"/>
    <w:rsid w:val="1E1A5420"/>
    <w:rsid w:val="1E2992B5"/>
    <w:rsid w:val="1E3075B6"/>
    <w:rsid w:val="1FD37375"/>
    <w:rsid w:val="20CB4FC1"/>
    <w:rsid w:val="2511E2BB"/>
    <w:rsid w:val="25D76EF3"/>
    <w:rsid w:val="2B656814"/>
    <w:rsid w:val="2E61AEA0"/>
    <w:rsid w:val="2FD760C0"/>
    <w:rsid w:val="30A6E2E1"/>
    <w:rsid w:val="3219147B"/>
    <w:rsid w:val="32F2AE36"/>
    <w:rsid w:val="3346CA69"/>
    <w:rsid w:val="368CC673"/>
    <w:rsid w:val="3A77BCEC"/>
    <w:rsid w:val="3AFDC01B"/>
    <w:rsid w:val="3D5889C9"/>
    <w:rsid w:val="3D672A7F"/>
    <w:rsid w:val="411E0E37"/>
    <w:rsid w:val="4138FA4A"/>
    <w:rsid w:val="429151DC"/>
    <w:rsid w:val="432352E7"/>
    <w:rsid w:val="43F330E2"/>
    <w:rsid w:val="469B4F1E"/>
    <w:rsid w:val="4C2C2273"/>
    <w:rsid w:val="4CAACB1D"/>
    <w:rsid w:val="4DA37739"/>
    <w:rsid w:val="508C9FCB"/>
    <w:rsid w:val="5250631E"/>
    <w:rsid w:val="5592A424"/>
    <w:rsid w:val="5682AB48"/>
    <w:rsid w:val="5BDF4E09"/>
    <w:rsid w:val="5D50E39C"/>
    <w:rsid w:val="5F3573FD"/>
    <w:rsid w:val="5FA8AC8E"/>
    <w:rsid w:val="609458F9"/>
    <w:rsid w:val="61BB8BEE"/>
    <w:rsid w:val="62871FF9"/>
    <w:rsid w:val="641988B7"/>
    <w:rsid w:val="64535F73"/>
    <w:rsid w:val="645A48C1"/>
    <w:rsid w:val="666DD470"/>
    <w:rsid w:val="67E86626"/>
    <w:rsid w:val="67F0BCE2"/>
    <w:rsid w:val="68E7D0EA"/>
    <w:rsid w:val="6BC6E0BA"/>
    <w:rsid w:val="6C778D70"/>
    <w:rsid w:val="6C7EE895"/>
    <w:rsid w:val="6D11D1BF"/>
    <w:rsid w:val="6F412BFA"/>
    <w:rsid w:val="7202B7BB"/>
    <w:rsid w:val="746845C7"/>
    <w:rsid w:val="75CA17DC"/>
    <w:rsid w:val="76DE29A3"/>
    <w:rsid w:val="7CBF26FE"/>
    <w:rsid w:val="7D049DC1"/>
    <w:rsid w:val="7DF70C2C"/>
    <w:rsid w:val="7E01812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212ED"/>
  <w15:docId w15:val="{C28EA67E-B591-4190-A357-958BA531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15"/>
    <w:pPr>
      <w:spacing w:after="200" w:line="288" w:lineRule="auto"/>
    </w:pPr>
    <w:rPr>
      <w:rFonts w:ascii="Arial" w:eastAsia="Times New Roman" w:hAnsi="Arial"/>
      <w:sz w:val="24"/>
      <w:szCs w:val="24"/>
      <w:lang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sz w:val="80"/>
      <w:szCs w:val="96"/>
    </w:rPr>
  </w:style>
  <w:style w:type="paragraph" w:styleId="Heading2">
    <w:name w:val="heading 2"/>
    <w:basedOn w:val="Normal"/>
    <w:next w:val="Normal"/>
    <w:link w:val="Heading2Char"/>
    <w:uiPriority w:val="9"/>
    <w:unhideWhenUsed/>
    <w:qFormat/>
    <w:rsid w:val="00EC4364"/>
    <w:pPr>
      <w:numPr>
        <w:numId w:val="1"/>
      </w:numPr>
      <w:spacing w:before="200" w:after="240"/>
      <w:ind w:left="720"/>
      <w:outlineLvl w:val="1"/>
    </w:pPr>
    <w:rPr>
      <w:b/>
      <w:bCs/>
      <w:color w:val="6B2976"/>
      <w:sz w:val="44"/>
      <w:szCs w:val="26"/>
    </w:rPr>
  </w:style>
  <w:style w:type="paragraph" w:styleId="Heading3">
    <w:name w:val="heading 3"/>
    <w:basedOn w:val="Normal"/>
    <w:next w:val="Normal"/>
    <w:link w:val="Heading3Char"/>
    <w:uiPriority w:val="9"/>
    <w:unhideWhenUsed/>
    <w:qFormat/>
    <w:rsid w:val="00FD5D7F"/>
    <w:pPr>
      <w:spacing w:before="400"/>
      <w:ind w:left="720" w:hanging="720"/>
      <w:outlineLvl w:val="2"/>
    </w:pPr>
    <w:rPr>
      <w:rFonts w:eastAsiaTheme="minorHAnsi" w:cstheme="minorBidi"/>
      <w:b/>
      <w:color w:val="6B2976"/>
      <w:sz w:val="30"/>
      <w:szCs w:val="30"/>
      <w:lang w:eastAsia="en-US"/>
    </w:rPr>
  </w:style>
  <w:style w:type="paragraph" w:styleId="Heading4">
    <w:name w:val="heading 4"/>
    <w:basedOn w:val="Normal"/>
    <w:next w:val="Normal"/>
    <w:link w:val="Heading4Char"/>
    <w:uiPriority w:val="9"/>
    <w:unhideWhenUsed/>
    <w:qFormat/>
    <w:rsid w:val="000A26C7"/>
    <w:pPr>
      <w:spacing w:after="120"/>
      <w:ind w:left="709" w:hanging="709"/>
      <w:outlineLvl w:val="3"/>
    </w:pPr>
    <w:rPr>
      <w:b/>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b/>
      <w:bCs/>
      <w:i/>
      <w:iCs/>
      <w:color w:val="C57CD1"/>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link w:val="Heading1"/>
    <w:uiPriority w:val="9"/>
    <w:rsid w:val="006765FF"/>
    <w:rPr>
      <w:rFonts w:ascii="Arial" w:eastAsia="Times New Roman" w:hAnsi="Arial" w:cs="Arial"/>
      <w:b/>
      <w:color w:val="FEFFFF"/>
      <w:sz w:val="80"/>
      <w:szCs w:val="96"/>
      <w:lang w:eastAsia="ja-JP"/>
    </w:rPr>
  </w:style>
  <w:style w:type="character" w:customStyle="1" w:styleId="Heading2Char">
    <w:name w:val="Heading 2 Char"/>
    <w:link w:val="Heading2"/>
    <w:uiPriority w:val="9"/>
    <w:rsid w:val="00EC4364"/>
    <w:rPr>
      <w:rFonts w:ascii="Arial" w:eastAsia="Times New Roman" w:hAnsi="Arial"/>
      <w:b/>
      <w:bCs/>
      <w:color w:val="6B2976"/>
      <w:sz w:val="44"/>
      <w:szCs w:val="26"/>
      <w:lang w:eastAsia="ja-JP"/>
    </w:rPr>
  </w:style>
  <w:style w:type="paragraph" w:styleId="NoSpacing">
    <w:name w:val="No Spacing"/>
    <w:link w:val="NoSpacingChar"/>
    <w:uiPriority w:val="1"/>
    <w:qFormat/>
    <w:rsid w:val="008D4B76"/>
    <w:rPr>
      <w:rFonts w:ascii="Arial" w:eastAsia="Times New Roman" w:hAnsi="Arial"/>
      <w:sz w:val="22"/>
      <w:szCs w:val="24"/>
      <w:lang w:val="en-US" w:eastAsia="ja-JP"/>
    </w:rPr>
  </w:style>
  <w:style w:type="character" w:customStyle="1" w:styleId="Heading3Char">
    <w:name w:val="Heading 3 Char"/>
    <w:link w:val="Heading3"/>
    <w:uiPriority w:val="9"/>
    <w:rsid w:val="00FD5D7F"/>
    <w:rPr>
      <w:rFonts w:ascii="Arial" w:eastAsiaTheme="minorHAnsi" w:hAnsi="Arial" w:cstheme="minorBidi"/>
      <w:b/>
      <w:color w:val="6B2976"/>
      <w:sz w:val="30"/>
      <w:szCs w:val="30"/>
      <w:lang w:eastAsia="en-US"/>
    </w:rPr>
  </w:style>
  <w:style w:type="character" w:customStyle="1" w:styleId="Heading4Char">
    <w:name w:val="Heading 4 Char"/>
    <w:link w:val="Heading4"/>
    <w:uiPriority w:val="9"/>
    <w:rsid w:val="000A26C7"/>
    <w:rPr>
      <w:rFonts w:ascii="Arial" w:eastAsia="Times New Roman" w:hAnsi="Arial"/>
      <w:b/>
      <w:sz w:val="22"/>
      <w:szCs w:val="24"/>
      <w:lang w:eastAsia="ja-JP"/>
    </w:rPr>
  </w:style>
  <w:style w:type="character" w:customStyle="1" w:styleId="Heading5Char">
    <w:name w:val="Heading 5 Char"/>
    <w:link w:val="Heading5"/>
    <w:uiPriority w:val="9"/>
    <w:rsid w:val="00EC4364"/>
    <w:rPr>
      <w:rFonts w:ascii="Arial" w:eastAsia="Times New Roman" w:hAnsi="Arial"/>
      <w:b/>
      <w:szCs w:val="24"/>
      <w:lang w:val="en-US" w:eastAsia="ja-JP"/>
    </w:rPr>
  </w:style>
  <w:style w:type="character" w:customStyle="1" w:styleId="Heading6Char">
    <w:name w:val="Heading 6 Char"/>
    <w:link w:val="Heading6"/>
    <w:uiPriority w:val="9"/>
    <w:rsid w:val="004B54CA"/>
    <w:rPr>
      <w:rFonts w:ascii="Arial" w:eastAsia="Times New Roman" w:hAnsi="Arial" w:cs="Times New Roman"/>
      <w:b/>
      <w:bCs/>
      <w:i/>
      <w:iCs/>
      <w:color w:val="C57CD1"/>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i/>
      <w:iCs/>
      <w:spacing w:val="13"/>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出段落,lp"/>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link w:val="Header"/>
    <w:uiPriority w:val="99"/>
    <w:rsid w:val="007219F1"/>
    <w:rPr>
      <w:rFonts w:ascii="Arial" w:eastAsia="Times New Roman"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tablelistbullet">
    <w:name w:val="table list bullet"/>
    <w:basedOn w:val="ListParagraph"/>
    <w:qFormat/>
    <w:rsid w:val="00F86F4E"/>
    <w:pPr>
      <w:numPr>
        <w:numId w:val="4"/>
      </w:numPr>
      <w:spacing w:after="160" w:line="259" w:lineRule="auto"/>
    </w:pPr>
  </w:style>
  <w:style w:type="table" w:styleId="LightShading-Accent4">
    <w:name w:val="Light Shading Accent 4"/>
    <w:basedOn w:val="TableNormal"/>
    <w:uiPriority w:val="60"/>
    <w:rsid w:val="00EC4364"/>
    <w:pPr>
      <w:keepLines/>
      <w:spacing w:after="80"/>
      <w:ind w:left="113" w:right="113"/>
    </w:pPr>
    <w:rPr>
      <w:rFonts w:ascii="Arial" w:eastAsia="Times New Roman" w:hAnsi="Arial"/>
      <w:lang w:val="en-US" w:eastAsia="ja-JP"/>
    </w:rPr>
    <w:tblPr>
      <w:tblStyleRowBandSize w:val="1"/>
      <w:tblStyleColBandSize w:val="1"/>
      <w:tblBorders>
        <w:top w:val="single" w:sz="8" w:space="0" w:color="C5296D"/>
        <w:bottom w:val="single" w:sz="8" w:space="0" w:color="C5296D"/>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202F6D"/>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sz w:val="28"/>
      <w:szCs w:val="28"/>
    </w:rPr>
  </w:style>
  <w:style w:type="table" w:styleId="TableGrid">
    <w:name w:val="Table Grid"/>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3B3F1F"/>
    <w:pPr>
      <w:spacing w:before="768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link w:val="TableDescription"/>
    <w:rsid w:val="001665A1"/>
    <w:rPr>
      <w:rFonts w:ascii="Arial" w:eastAsia="Times New Roman"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link w:val="Versionanddate"/>
    <w:rsid w:val="006765FF"/>
    <w:rPr>
      <w:rFonts w:ascii="Arial" w:eastAsia="Times New Roman" w:hAnsi="Arial"/>
      <w:color w:val="FEFFFF"/>
      <w:sz w:val="28"/>
      <w:szCs w:val="28"/>
      <w:lang w:val="en-US" w:eastAsia="ja-JP"/>
    </w:rPr>
  </w:style>
  <w:style w:type="character" w:customStyle="1" w:styleId="WebsiteChar">
    <w:name w:val="Website Char"/>
    <w:link w:val="Website"/>
    <w:rsid w:val="00B73DA2"/>
    <w:rPr>
      <w:rFonts w:ascii="Arial" w:eastAsia="Times New Roman" w:hAnsi="Arial" w:cs="Arial"/>
      <w:b/>
      <w:color w:val="FEFFFF"/>
      <w:sz w:val="28"/>
      <w:szCs w:val="28"/>
      <w:lang w:val="en-US" w:eastAsia="ja-JP"/>
    </w:rPr>
  </w:style>
  <w:style w:type="character" w:styleId="CommentReference">
    <w:name w:val="annotation reference"/>
    <w:basedOn w:val="DefaultParagraphFont"/>
    <w:uiPriority w:val="99"/>
    <w:semiHidden/>
    <w:unhideWhenUsed/>
    <w:rsid w:val="00495988"/>
    <w:rPr>
      <w:sz w:val="16"/>
      <w:szCs w:val="16"/>
    </w:rPr>
  </w:style>
  <w:style w:type="paragraph" w:styleId="CommentText">
    <w:name w:val="annotation text"/>
    <w:basedOn w:val="Normal"/>
    <w:link w:val="CommentTextChar"/>
    <w:uiPriority w:val="99"/>
    <w:unhideWhenUsed/>
    <w:rsid w:val="00495988"/>
    <w:pPr>
      <w:spacing w:after="16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495988"/>
    <w:rPr>
      <w:rFonts w:ascii="Arial" w:eastAsiaTheme="minorHAnsi" w:hAnsi="Arial" w:cstheme="minorBidi"/>
      <w:lang w:eastAsia="en-US"/>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495988"/>
    <w:rPr>
      <w:rFonts w:ascii="Arial" w:eastAsia="Times New Roman" w:hAnsi="Arial"/>
      <w:sz w:val="22"/>
      <w:szCs w:val="24"/>
      <w:lang w:val="en-US" w:eastAsia="ja-JP"/>
    </w:rPr>
  </w:style>
  <w:style w:type="paragraph" w:styleId="CommentSubject">
    <w:name w:val="annotation subject"/>
    <w:basedOn w:val="CommentText"/>
    <w:next w:val="CommentText"/>
    <w:link w:val="CommentSubjectChar"/>
    <w:uiPriority w:val="99"/>
    <w:semiHidden/>
    <w:unhideWhenUsed/>
    <w:rsid w:val="00001A32"/>
    <w:pPr>
      <w:spacing w:after="200"/>
    </w:pPr>
    <w:rPr>
      <w:rFonts w:eastAsia="Times New Roman" w:cs="Times New Roman"/>
      <w:b/>
      <w:bCs/>
      <w:lang w:val="en-US" w:eastAsia="ja-JP"/>
    </w:rPr>
  </w:style>
  <w:style w:type="character" w:customStyle="1" w:styleId="CommentSubjectChar">
    <w:name w:val="Comment Subject Char"/>
    <w:basedOn w:val="CommentTextChar"/>
    <w:link w:val="CommentSubject"/>
    <w:uiPriority w:val="99"/>
    <w:semiHidden/>
    <w:rsid w:val="00001A32"/>
    <w:rPr>
      <w:rFonts w:ascii="Arial" w:eastAsia="Times New Roman" w:hAnsi="Arial" w:cstheme="minorBidi"/>
      <w:b/>
      <w:bCs/>
      <w:lang w:val="en-US" w:eastAsia="ja-JP"/>
    </w:rPr>
  </w:style>
  <w:style w:type="table" w:customStyle="1" w:styleId="TableGrid11">
    <w:name w:val="Table Grid11"/>
    <w:basedOn w:val="TableNormal"/>
    <w:next w:val="TableGrid"/>
    <w:uiPriority w:val="39"/>
    <w:rsid w:val="00C725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686B"/>
    <w:pPr>
      <w:spacing w:before="100" w:beforeAutospacing="1" w:after="100" w:afterAutospacing="1" w:line="240" w:lineRule="auto"/>
    </w:pPr>
    <w:rPr>
      <w:rFonts w:ascii="Times New Roman" w:hAnsi="Times New Roman"/>
      <w:lang w:eastAsia="en-AU"/>
    </w:rPr>
  </w:style>
  <w:style w:type="character" w:styleId="FootnoteReference">
    <w:name w:val="footnote reference"/>
    <w:basedOn w:val="DefaultParagraphFont"/>
    <w:uiPriority w:val="99"/>
    <w:rsid w:val="00F86F4E"/>
    <w:rPr>
      <w:position w:val="6"/>
      <w:sz w:val="18"/>
    </w:rPr>
  </w:style>
  <w:style w:type="paragraph" w:styleId="FootnoteText">
    <w:name w:val="footnote text"/>
    <w:basedOn w:val="Normal"/>
    <w:link w:val="FootnoteTextChar"/>
    <w:uiPriority w:val="99"/>
    <w:unhideWhenUsed/>
    <w:rsid w:val="00F86F4E"/>
    <w:pPr>
      <w:spacing w:after="0" w:line="240" w:lineRule="auto"/>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86F4E"/>
    <w:rPr>
      <w:rFonts w:ascii="Arial" w:eastAsiaTheme="minorHAnsi" w:hAnsi="Arial" w:cstheme="minorBidi"/>
      <w:lang w:eastAsia="en-US"/>
    </w:rPr>
  </w:style>
  <w:style w:type="character" w:customStyle="1" w:styleId="TalkingPointsChar">
    <w:name w:val="Talking Points Char"/>
    <w:basedOn w:val="DefaultParagraphFont"/>
    <w:link w:val="TalkingPoints"/>
    <w:locked/>
    <w:rsid w:val="0096769C"/>
    <w:rPr>
      <w:rFonts w:ascii="Arial" w:hAnsi="Arial" w:cs="Arial"/>
      <w:iCs/>
      <w:spacing w:val="5"/>
      <w:sz w:val="24"/>
      <w:szCs w:val="24"/>
    </w:rPr>
  </w:style>
  <w:style w:type="paragraph" w:customStyle="1" w:styleId="TalkingPoints">
    <w:name w:val="Talking Points"/>
    <w:basedOn w:val="Normal"/>
    <w:link w:val="TalkingPointsChar"/>
    <w:qFormat/>
    <w:rsid w:val="0096769C"/>
    <w:pPr>
      <w:numPr>
        <w:numId w:val="5"/>
      </w:numPr>
      <w:spacing w:after="120" w:line="276" w:lineRule="auto"/>
    </w:pPr>
    <w:rPr>
      <w:rFonts w:eastAsia="FSMePro" w:cs="Arial"/>
      <w:iCs/>
      <w:spacing w:val="5"/>
      <w:lang w:eastAsia="en-AU"/>
    </w:rPr>
  </w:style>
  <w:style w:type="character" w:customStyle="1" w:styleId="normaltextrun">
    <w:name w:val="normaltextrun"/>
    <w:basedOn w:val="DefaultParagraphFont"/>
    <w:rsid w:val="0096769C"/>
  </w:style>
  <w:style w:type="paragraph" w:customStyle="1" w:styleId="paragraph">
    <w:name w:val="paragraph"/>
    <w:basedOn w:val="Normal"/>
    <w:rsid w:val="0096769C"/>
    <w:pPr>
      <w:spacing w:before="100" w:beforeAutospacing="1" w:after="100" w:afterAutospacing="1" w:line="240" w:lineRule="auto"/>
    </w:pPr>
    <w:rPr>
      <w:rFonts w:ascii="Times New Roman" w:hAnsi="Times New Roman"/>
      <w:lang w:eastAsia="en-AU"/>
    </w:rPr>
  </w:style>
  <w:style w:type="paragraph" w:customStyle="1" w:styleId="BodyText1">
    <w:name w:val="Body Text1"/>
    <w:basedOn w:val="Normal"/>
    <w:qFormat/>
    <w:rsid w:val="0096769C"/>
    <w:pPr>
      <w:spacing w:after="120" w:line="240" w:lineRule="auto"/>
    </w:pPr>
    <w:rPr>
      <w:rFonts w:eastAsia="MS Mincho" w:cs="FSMe-Bold"/>
      <w:color w:val="000000"/>
      <w:spacing w:val="-2"/>
      <w:sz w:val="20"/>
      <w:szCs w:val="20"/>
      <w:lang w:eastAsia="en-US"/>
    </w:rPr>
  </w:style>
  <w:style w:type="character" w:styleId="PlaceholderText">
    <w:name w:val="Placeholder Text"/>
    <w:basedOn w:val="DefaultParagraphFont"/>
    <w:uiPriority w:val="99"/>
    <w:semiHidden/>
    <w:rsid w:val="0096769C"/>
    <w:rPr>
      <w:color w:val="808080"/>
    </w:rPr>
  </w:style>
  <w:style w:type="paragraph" w:customStyle="1" w:styleId="Level1Paragraph">
    <w:name w:val="Level 1 Paragraph"/>
    <w:basedOn w:val="Normal"/>
    <w:link w:val="Level1ParagraphChar"/>
    <w:qFormat/>
    <w:rsid w:val="002C1F04"/>
    <w:pPr>
      <w:spacing w:before="120" w:after="160" w:line="264" w:lineRule="auto"/>
      <w:ind w:left="737" w:hanging="737"/>
    </w:pPr>
    <w:rPr>
      <w:rFonts w:eastAsiaTheme="minorHAnsi" w:cstheme="minorBidi"/>
      <w:color w:val="6B2976"/>
      <w:sz w:val="21"/>
      <w:szCs w:val="22"/>
      <w:lang w:eastAsia="en-US"/>
    </w:rPr>
  </w:style>
  <w:style w:type="paragraph" w:customStyle="1" w:styleId="Level2Paragraph">
    <w:name w:val="Level 2 Paragraph"/>
    <w:basedOn w:val="Level1Paragraph"/>
    <w:link w:val="Level2ParagraphChar"/>
    <w:qFormat/>
    <w:rsid w:val="002C1F04"/>
    <w:pPr>
      <w:ind w:left="1224" w:hanging="504"/>
    </w:pPr>
    <w:rPr>
      <w:color w:val="auto"/>
    </w:rPr>
  </w:style>
  <w:style w:type="character" w:customStyle="1" w:styleId="Level1ParagraphChar">
    <w:name w:val="Level 1 Paragraph Char"/>
    <w:basedOn w:val="Heading2Char"/>
    <w:link w:val="Level1Paragraph"/>
    <w:rsid w:val="002C1F04"/>
    <w:rPr>
      <w:rFonts w:ascii="Arial" w:eastAsiaTheme="minorHAnsi" w:hAnsi="Arial" w:cstheme="minorBidi"/>
      <w:b w:val="0"/>
      <w:bCs w:val="0"/>
      <w:color w:val="6B2976"/>
      <w:sz w:val="21"/>
      <w:szCs w:val="22"/>
      <w:lang w:val="en-US" w:eastAsia="en-US"/>
    </w:rPr>
  </w:style>
  <w:style w:type="character" w:customStyle="1" w:styleId="Level2ParagraphChar">
    <w:name w:val="Level 2 Paragraph Char"/>
    <w:basedOn w:val="DefaultParagraphFont"/>
    <w:link w:val="Level2Paragraph"/>
    <w:rsid w:val="002C1F04"/>
    <w:rPr>
      <w:rFonts w:ascii="Arial" w:eastAsiaTheme="minorHAnsi" w:hAnsi="Arial" w:cstheme="minorBidi"/>
      <w:sz w:val="21"/>
      <w:szCs w:val="22"/>
      <w:lang w:eastAsia="en-US"/>
    </w:rPr>
  </w:style>
  <w:style w:type="character" w:styleId="FollowedHyperlink">
    <w:name w:val="FollowedHyperlink"/>
    <w:basedOn w:val="DefaultParagraphFont"/>
    <w:uiPriority w:val="99"/>
    <w:semiHidden/>
    <w:unhideWhenUsed/>
    <w:rsid w:val="004C22FC"/>
    <w:rPr>
      <w:color w:val="954F72" w:themeColor="followedHyperlink"/>
      <w:u w:val="single"/>
    </w:rPr>
  </w:style>
  <w:style w:type="character" w:customStyle="1" w:styleId="UnresolvedMention1">
    <w:name w:val="Unresolved Mention1"/>
    <w:basedOn w:val="DefaultParagraphFont"/>
    <w:uiPriority w:val="99"/>
    <w:semiHidden/>
    <w:unhideWhenUsed/>
    <w:rsid w:val="004C22FC"/>
    <w:rPr>
      <w:color w:val="605E5C"/>
      <w:shd w:val="clear" w:color="auto" w:fill="E1DFDD"/>
    </w:rPr>
  </w:style>
  <w:style w:type="paragraph" w:styleId="Revision">
    <w:name w:val="Revision"/>
    <w:hidden/>
    <w:uiPriority w:val="99"/>
    <w:semiHidden/>
    <w:rsid w:val="00282E71"/>
    <w:rPr>
      <w:rFonts w:ascii="Arial" w:eastAsia="Times New Roman" w:hAnsi="Arial"/>
      <w:sz w:val="22"/>
      <w:szCs w:val="24"/>
      <w:lang w:val="en-US" w:eastAsia="ja-JP"/>
    </w:rPr>
  </w:style>
  <w:style w:type="character" w:customStyle="1" w:styleId="TalkingPointChar">
    <w:name w:val="TalkingPoint Char"/>
    <w:basedOn w:val="DefaultParagraphFont"/>
    <w:link w:val="TalkingPoint"/>
    <w:locked/>
    <w:rsid w:val="006F4877"/>
    <w:rPr>
      <w:rFonts w:ascii="Calibri" w:hAnsi="Calibri" w:cs="Calibri"/>
      <w:color w:val="000000"/>
    </w:rPr>
  </w:style>
  <w:style w:type="paragraph" w:customStyle="1" w:styleId="TalkingPoint">
    <w:name w:val="TalkingPoint"/>
    <w:basedOn w:val="Normal"/>
    <w:link w:val="TalkingPointChar"/>
    <w:rsid w:val="006F4877"/>
    <w:pPr>
      <w:spacing w:after="0" w:line="240" w:lineRule="auto"/>
    </w:pPr>
    <w:rPr>
      <w:rFonts w:ascii="Calibri" w:eastAsia="FSMePro" w:hAnsi="Calibri" w:cs="Calibri"/>
      <w:color w:val="000000"/>
      <w:sz w:val="20"/>
      <w:szCs w:val="20"/>
      <w:lang w:eastAsia="en-AU"/>
    </w:rPr>
  </w:style>
  <w:style w:type="character" w:customStyle="1" w:styleId="NoSpacingChar">
    <w:name w:val="No Spacing Char"/>
    <w:basedOn w:val="DefaultParagraphFont"/>
    <w:link w:val="NoSpacing"/>
    <w:uiPriority w:val="1"/>
    <w:rsid w:val="00CB30E3"/>
    <w:rPr>
      <w:rFonts w:ascii="Arial" w:eastAsia="Times New Roman" w:hAnsi="Arial"/>
      <w:sz w:val="22"/>
      <w:szCs w:val="24"/>
      <w:lang w:val="en-US" w:eastAsia="ja-JP"/>
    </w:rPr>
  </w:style>
  <w:style w:type="character" w:customStyle="1" w:styleId="UnresolvedMention2">
    <w:name w:val="Unresolved Mention2"/>
    <w:basedOn w:val="DefaultParagraphFont"/>
    <w:uiPriority w:val="99"/>
    <w:semiHidden/>
    <w:unhideWhenUsed/>
    <w:rsid w:val="006A6FF3"/>
    <w:rPr>
      <w:color w:val="605E5C"/>
      <w:shd w:val="clear" w:color="auto" w:fill="E1DFDD"/>
    </w:rPr>
  </w:style>
  <w:style w:type="paragraph" w:customStyle="1" w:styleId="xmsolistparagraph">
    <w:name w:val="x_msolistparagraph"/>
    <w:basedOn w:val="Normal"/>
    <w:rsid w:val="009672F6"/>
    <w:pPr>
      <w:spacing w:after="0" w:line="240" w:lineRule="auto"/>
      <w:ind w:left="720"/>
    </w:pPr>
    <w:rPr>
      <w:rFonts w:ascii="Calibri" w:eastAsiaTheme="minorEastAsia" w:hAnsi="Calibri" w:cs="Calibri"/>
      <w:szCs w:val="22"/>
      <w:lang w:eastAsia="zh-CN" w:bidi="th-TH"/>
    </w:rPr>
  </w:style>
  <w:style w:type="paragraph" w:styleId="EndnoteText">
    <w:name w:val="endnote text"/>
    <w:basedOn w:val="Normal"/>
    <w:link w:val="EndnoteTextChar"/>
    <w:uiPriority w:val="99"/>
    <w:semiHidden/>
    <w:unhideWhenUsed/>
    <w:rsid w:val="00BC73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36A"/>
    <w:rPr>
      <w:rFonts w:ascii="Arial" w:eastAsia="Times New Roman" w:hAnsi="Arial"/>
      <w:lang w:eastAsia="ja-JP"/>
    </w:rPr>
  </w:style>
  <w:style w:type="character" w:styleId="EndnoteReference">
    <w:name w:val="endnote reference"/>
    <w:basedOn w:val="DefaultParagraphFont"/>
    <w:uiPriority w:val="99"/>
    <w:semiHidden/>
    <w:unhideWhenUsed/>
    <w:rsid w:val="00BC736A"/>
    <w:rPr>
      <w:vertAlign w:val="superscript"/>
    </w:rPr>
  </w:style>
  <w:style w:type="table" w:customStyle="1" w:styleId="Style1">
    <w:name w:val="Style1"/>
    <w:basedOn w:val="TableNormal"/>
    <w:uiPriority w:val="99"/>
    <w:rsid w:val="006D5920"/>
    <w:tblPr/>
  </w:style>
  <w:style w:type="paragraph" w:customStyle="1" w:styleId="Heading3a">
    <w:name w:val="Heading 3a"/>
    <w:basedOn w:val="Heading4"/>
    <w:qFormat/>
    <w:rsid w:val="00514915"/>
    <w:pPr>
      <w:ind w:left="0" w:firstLine="0"/>
      <w:outlineLvl w:val="2"/>
    </w:pPr>
  </w:style>
  <w:style w:type="character" w:styleId="UnresolvedMention">
    <w:name w:val="Unresolved Mention"/>
    <w:basedOn w:val="DefaultParagraphFont"/>
    <w:uiPriority w:val="99"/>
    <w:semiHidden/>
    <w:unhideWhenUsed/>
    <w:rsid w:val="0051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0634">
      <w:bodyDiv w:val="1"/>
      <w:marLeft w:val="0"/>
      <w:marRight w:val="0"/>
      <w:marTop w:val="0"/>
      <w:marBottom w:val="0"/>
      <w:divBdr>
        <w:top w:val="none" w:sz="0" w:space="0" w:color="auto"/>
        <w:left w:val="none" w:sz="0" w:space="0" w:color="auto"/>
        <w:bottom w:val="none" w:sz="0" w:space="0" w:color="auto"/>
        <w:right w:val="none" w:sz="0" w:space="0" w:color="auto"/>
      </w:divBdr>
    </w:div>
    <w:div w:id="48041800">
      <w:bodyDiv w:val="1"/>
      <w:marLeft w:val="0"/>
      <w:marRight w:val="0"/>
      <w:marTop w:val="0"/>
      <w:marBottom w:val="0"/>
      <w:divBdr>
        <w:top w:val="none" w:sz="0" w:space="0" w:color="auto"/>
        <w:left w:val="none" w:sz="0" w:space="0" w:color="auto"/>
        <w:bottom w:val="none" w:sz="0" w:space="0" w:color="auto"/>
        <w:right w:val="none" w:sz="0" w:space="0" w:color="auto"/>
      </w:divBdr>
    </w:div>
    <w:div w:id="78714785">
      <w:bodyDiv w:val="1"/>
      <w:marLeft w:val="0"/>
      <w:marRight w:val="0"/>
      <w:marTop w:val="0"/>
      <w:marBottom w:val="0"/>
      <w:divBdr>
        <w:top w:val="none" w:sz="0" w:space="0" w:color="auto"/>
        <w:left w:val="none" w:sz="0" w:space="0" w:color="auto"/>
        <w:bottom w:val="none" w:sz="0" w:space="0" w:color="auto"/>
        <w:right w:val="none" w:sz="0" w:space="0" w:color="auto"/>
      </w:divBdr>
    </w:div>
    <w:div w:id="122699024">
      <w:bodyDiv w:val="1"/>
      <w:marLeft w:val="0"/>
      <w:marRight w:val="0"/>
      <w:marTop w:val="0"/>
      <w:marBottom w:val="0"/>
      <w:divBdr>
        <w:top w:val="none" w:sz="0" w:space="0" w:color="auto"/>
        <w:left w:val="none" w:sz="0" w:space="0" w:color="auto"/>
        <w:bottom w:val="none" w:sz="0" w:space="0" w:color="auto"/>
        <w:right w:val="none" w:sz="0" w:space="0" w:color="auto"/>
      </w:divBdr>
    </w:div>
    <w:div w:id="154610248">
      <w:bodyDiv w:val="1"/>
      <w:marLeft w:val="0"/>
      <w:marRight w:val="0"/>
      <w:marTop w:val="0"/>
      <w:marBottom w:val="0"/>
      <w:divBdr>
        <w:top w:val="none" w:sz="0" w:space="0" w:color="auto"/>
        <w:left w:val="none" w:sz="0" w:space="0" w:color="auto"/>
        <w:bottom w:val="none" w:sz="0" w:space="0" w:color="auto"/>
        <w:right w:val="none" w:sz="0" w:space="0" w:color="auto"/>
      </w:divBdr>
    </w:div>
    <w:div w:id="210266507">
      <w:bodyDiv w:val="1"/>
      <w:marLeft w:val="0"/>
      <w:marRight w:val="0"/>
      <w:marTop w:val="0"/>
      <w:marBottom w:val="0"/>
      <w:divBdr>
        <w:top w:val="none" w:sz="0" w:space="0" w:color="auto"/>
        <w:left w:val="none" w:sz="0" w:space="0" w:color="auto"/>
        <w:bottom w:val="none" w:sz="0" w:space="0" w:color="auto"/>
        <w:right w:val="none" w:sz="0" w:space="0" w:color="auto"/>
      </w:divBdr>
    </w:div>
    <w:div w:id="248392370">
      <w:bodyDiv w:val="1"/>
      <w:marLeft w:val="0"/>
      <w:marRight w:val="0"/>
      <w:marTop w:val="0"/>
      <w:marBottom w:val="0"/>
      <w:divBdr>
        <w:top w:val="none" w:sz="0" w:space="0" w:color="auto"/>
        <w:left w:val="none" w:sz="0" w:space="0" w:color="auto"/>
        <w:bottom w:val="none" w:sz="0" w:space="0" w:color="auto"/>
        <w:right w:val="none" w:sz="0" w:space="0" w:color="auto"/>
      </w:divBdr>
    </w:div>
    <w:div w:id="311492965">
      <w:bodyDiv w:val="1"/>
      <w:marLeft w:val="0"/>
      <w:marRight w:val="0"/>
      <w:marTop w:val="0"/>
      <w:marBottom w:val="0"/>
      <w:divBdr>
        <w:top w:val="none" w:sz="0" w:space="0" w:color="auto"/>
        <w:left w:val="none" w:sz="0" w:space="0" w:color="auto"/>
        <w:bottom w:val="none" w:sz="0" w:space="0" w:color="auto"/>
        <w:right w:val="none" w:sz="0" w:space="0" w:color="auto"/>
      </w:divBdr>
    </w:div>
    <w:div w:id="472527611">
      <w:bodyDiv w:val="1"/>
      <w:marLeft w:val="0"/>
      <w:marRight w:val="0"/>
      <w:marTop w:val="0"/>
      <w:marBottom w:val="0"/>
      <w:divBdr>
        <w:top w:val="none" w:sz="0" w:space="0" w:color="auto"/>
        <w:left w:val="none" w:sz="0" w:space="0" w:color="auto"/>
        <w:bottom w:val="none" w:sz="0" w:space="0" w:color="auto"/>
        <w:right w:val="none" w:sz="0" w:space="0" w:color="auto"/>
      </w:divBdr>
    </w:div>
    <w:div w:id="485903401">
      <w:bodyDiv w:val="1"/>
      <w:marLeft w:val="0"/>
      <w:marRight w:val="0"/>
      <w:marTop w:val="0"/>
      <w:marBottom w:val="0"/>
      <w:divBdr>
        <w:top w:val="none" w:sz="0" w:space="0" w:color="auto"/>
        <w:left w:val="none" w:sz="0" w:space="0" w:color="auto"/>
        <w:bottom w:val="none" w:sz="0" w:space="0" w:color="auto"/>
        <w:right w:val="none" w:sz="0" w:space="0" w:color="auto"/>
      </w:divBdr>
    </w:div>
    <w:div w:id="526406303">
      <w:bodyDiv w:val="1"/>
      <w:marLeft w:val="0"/>
      <w:marRight w:val="0"/>
      <w:marTop w:val="0"/>
      <w:marBottom w:val="0"/>
      <w:divBdr>
        <w:top w:val="none" w:sz="0" w:space="0" w:color="auto"/>
        <w:left w:val="none" w:sz="0" w:space="0" w:color="auto"/>
        <w:bottom w:val="none" w:sz="0" w:space="0" w:color="auto"/>
        <w:right w:val="none" w:sz="0" w:space="0" w:color="auto"/>
      </w:divBdr>
    </w:div>
    <w:div w:id="546380236">
      <w:bodyDiv w:val="1"/>
      <w:marLeft w:val="0"/>
      <w:marRight w:val="0"/>
      <w:marTop w:val="0"/>
      <w:marBottom w:val="0"/>
      <w:divBdr>
        <w:top w:val="none" w:sz="0" w:space="0" w:color="auto"/>
        <w:left w:val="none" w:sz="0" w:space="0" w:color="auto"/>
        <w:bottom w:val="none" w:sz="0" w:space="0" w:color="auto"/>
        <w:right w:val="none" w:sz="0" w:space="0" w:color="auto"/>
      </w:divBdr>
    </w:div>
    <w:div w:id="586113051">
      <w:bodyDiv w:val="1"/>
      <w:marLeft w:val="0"/>
      <w:marRight w:val="0"/>
      <w:marTop w:val="0"/>
      <w:marBottom w:val="0"/>
      <w:divBdr>
        <w:top w:val="none" w:sz="0" w:space="0" w:color="auto"/>
        <w:left w:val="none" w:sz="0" w:space="0" w:color="auto"/>
        <w:bottom w:val="none" w:sz="0" w:space="0" w:color="auto"/>
        <w:right w:val="none" w:sz="0" w:space="0" w:color="auto"/>
      </w:divBdr>
    </w:div>
    <w:div w:id="692730714">
      <w:bodyDiv w:val="1"/>
      <w:marLeft w:val="0"/>
      <w:marRight w:val="0"/>
      <w:marTop w:val="0"/>
      <w:marBottom w:val="0"/>
      <w:divBdr>
        <w:top w:val="none" w:sz="0" w:space="0" w:color="auto"/>
        <w:left w:val="none" w:sz="0" w:space="0" w:color="auto"/>
        <w:bottom w:val="none" w:sz="0" w:space="0" w:color="auto"/>
        <w:right w:val="none" w:sz="0" w:space="0" w:color="auto"/>
      </w:divBdr>
    </w:div>
    <w:div w:id="699622317">
      <w:bodyDiv w:val="1"/>
      <w:marLeft w:val="0"/>
      <w:marRight w:val="0"/>
      <w:marTop w:val="0"/>
      <w:marBottom w:val="0"/>
      <w:divBdr>
        <w:top w:val="none" w:sz="0" w:space="0" w:color="auto"/>
        <w:left w:val="none" w:sz="0" w:space="0" w:color="auto"/>
        <w:bottom w:val="none" w:sz="0" w:space="0" w:color="auto"/>
        <w:right w:val="none" w:sz="0" w:space="0" w:color="auto"/>
      </w:divBdr>
    </w:div>
    <w:div w:id="733893610">
      <w:bodyDiv w:val="1"/>
      <w:marLeft w:val="0"/>
      <w:marRight w:val="0"/>
      <w:marTop w:val="0"/>
      <w:marBottom w:val="0"/>
      <w:divBdr>
        <w:top w:val="none" w:sz="0" w:space="0" w:color="auto"/>
        <w:left w:val="none" w:sz="0" w:space="0" w:color="auto"/>
        <w:bottom w:val="none" w:sz="0" w:space="0" w:color="auto"/>
        <w:right w:val="none" w:sz="0" w:space="0" w:color="auto"/>
      </w:divBdr>
    </w:div>
    <w:div w:id="763574587">
      <w:bodyDiv w:val="1"/>
      <w:marLeft w:val="0"/>
      <w:marRight w:val="0"/>
      <w:marTop w:val="0"/>
      <w:marBottom w:val="0"/>
      <w:divBdr>
        <w:top w:val="none" w:sz="0" w:space="0" w:color="auto"/>
        <w:left w:val="none" w:sz="0" w:space="0" w:color="auto"/>
        <w:bottom w:val="none" w:sz="0" w:space="0" w:color="auto"/>
        <w:right w:val="none" w:sz="0" w:space="0" w:color="auto"/>
      </w:divBdr>
    </w:div>
    <w:div w:id="763888492">
      <w:bodyDiv w:val="1"/>
      <w:marLeft w:val="0"/>
      <w:marRight w:val="0"/>
      <w:marTop w:val="0"/>
      <w:marBottom w:val="0"/>
      <w:divBdr>
        <w:top w:val="none" w:sz="0" w:space="0" w:color="auto"/>
        <w:left w:val="none" w:sz="0" w:space="0" w:color="auto"/>
        <w:bottom w:val="none" w:sz="0" w:space="0" w:color="auto"/>
        <w:right w:val="none" w:sz="0" w:space="0" w:color="auto"/>
      </w:divBdr>
    </w:div>
    <w:div w:id="849173990">
      <w:bodyDiv w:val="1"/>
      <w:marLeft w:val="0"/>
      <w:marRight w:val="0"/>
      <w:marTop w:val="0"/>
      <w:marBottom w:val="0"/>
      <w:divBdr>
        <w:top w:val="none" w:sz="0" w:space="0" w:color="auto"/>
        <w:left w:val="none" w:sz="0" w:space="0" w:color="auto"/>
        <w:bottom w:val="none" w:sz="0" w:space="0" w:color="auto"/>
        <w:right w:val="none" w:sz="0" w:space="0" w:color="auto"/>
      </w:divBdr>
    </w:div>
    <w:div w:id="875777902">
      <w:bodyDiv w:val="1"/>
      <w:marLeft w:val="0"/>
      <w:marRight w:val="0"/>
      <w:marTop w:val="0"/>
      <w:marBottom w:val="0"/>
      <w:divBdr>
        <w:top w:val="none" w:sz="0" w:space="0" w:color="auto"/>
        <w:left w:val="none" w:sz="0" w:space="0" w:color="auto"/>
        <w:bottom w:val="none" w:sz="0" w:space="0" w:color="auto"/>
        <w:right w:val="none" w:sz="0" w:space="0" w:color="auto"/>
      </w:divBdr>
    </w:div>
    <w:div w:id="957176196">
      <w:bodyDiv w:val="1"/>
      <w:marLeft w:val="0"/>
      <w:marRight w:val="0"/>
      <w:marTop w:val="0"/>
      <w:marBottom w:val="0"/>
      <w:divBdr>
        <w:top w:val="none" w:sz="0" w:space="0" w:color="auto"/>
        <w:left w:val="none" w:sz="0" w:space="0" w:color="auto"/>
        <w:bottom w:val="none" w:sz="0" w:space="0" w:color="auto"/>
        <w:right w:val="none" w:sz="0" w:space="0" w:color="auto"/>
      </w:divBdr>
    </w:div>
    <w:div w:id="994380200">
      <w:bodyDiv w:val="1"/>
      <w:marLeft w:val="0"/>
      <w:marRight w:val="0"/>
      <w:marTop w:val="0"/>
      <w:marBottom w:val="0"/>
      <w:divBdr>
        <w:top w:val="none" w:sz="0" w:space="0" w:color="auto"/>
        <w:left w:val="none" w:sz="0" w:space="0" w:color="auto"/>
        <w:bottom w:val="none" w:sz="0" w:space="0" w:color="auto"/>
        <w:right w:val="none" w:sz="0" w:space="0" w:color="auto"/>
      </w:divBdr>
    </w:div>
    <w:div w:id="1113792683">
      <w:bodyDiv w:val="1"/>
      <w:marLeft w:val="0"/>
      <w:marRight w:val="0"/>
      <w:marTop w:val="0"/>
      <w:marBottom w:val="0"/>
      <w:divBdr>
        <w:top w:val="none" w:sz="0" w:space="0" w:color="auto"/>
        <w:left w:val="none" w:sz="0" w:space="0" w:color="auto"/>
        <w:bottom w:val="none" w:sz="0" w:space="0" w:color="auto"/>
        <w:right w:val="none" w:sz="0" w:space="0" w:color="auto"/>
      </w:divBdr>
    </w:div>
    <w:div w:id="1155728199">
      <w:bodyDiv w:val="1"/>
      <w:marLeft w:val="0"/>
      <w:marRight w:val="0"/>
      <w:marTop w:val="0"/>
      <w:marBottom w:val="0"/>
      <w:divBdr>
        <w:top w:val="none" w:sz="0" w:space="0" w:color="auto"/>
        <w:left w:val="none" w:sz="0" w:space="0" w:color="auto"/>
        <w:bottom w:val="none" w:sz="0" w:space="0" w:color="auto"/>
        <w:right w:val="none" w:sz="0" w:space="0" w:color="auto"/>
      </w:divBdr>
    </w:div>
    <w:div w:id="1160658447">
      <w:bodyDiv w:val="1"/>
      <w:marLeft w:val="0"/>
      <w:marRight w:val="0"/>
      <w:marTop w:val="0"/>
      <w:marBottom w:val="0"/>
      <w:divBdr>
        <w:top w:val="none" w:sz="0" w:space="0" w:color="auto"/>
        <w:left w:val="none" w:sz="0" w:space="0" w:color="auto"/>
        <w:bottom w:val="none" w:sz="0" w:space="0" w:color="auto"/>
        <w:right w:val="none" w:sz="0" w:space="0" w:color="auto"/>
      </w:divBdr>
    </w:div>
    <w:div w:id="1192501094">
      <w:bodyDiv w:val="1"/>
      <w:marLeft w:val="0"/>
      <w:marRight w:val="0"/>
      <w:marTop w:val="0"/>
      <w:marBottom w:val="0"/>
      <w:divBdr>
        <w:top w:val="none" w:sz="0" w:space="0" w:color="auto"/>
        <w:left w:val="none" w:sz="0" w:space="0" w:color="auto"/>
        <w:bottom w:val="none" w:sz="0" w:space="0" w:color="auto"/>
        <w:right w:val="none" w:sz="0" w:space="0" w:color="auto"/>
      </w:divBdr>
    </w:div>
    <w:div w:id="1477792804">
      <w:bodyDiv w:val="1"/>
      <w:marLeft w:val="0"/>
      <w:marRight w:val="0"/>
      <w:marTop w:val="0"/>
      <w:marBottom w:val="0"/>
      <w:divBdr>
        <w:top w:val="none" w:sz="0" w:space="0" w:color="auto"/>
        <w:left w:val="none" w:sz="0" w:space="0" w:color="auto"/>
        <w:bottom w:val="none" w:sz="0" w:space="0" w:color="auto"/>
        <w:right w:val="none" w:sz="0" w:space="0" w:color="auto"/>
      </w:divBdr>
    </w:div>
    <w:div w:id="1493450820">
      <w:bodyDiv w:val="1"/>
      <w:marLeft w:val="0"/>
      <w:marRight w:val="0"/>
      <w:marTop w:val="0"/>
      <w:marBottom w:val="0"/>
      <w:divBdr>
        <w:top w:val="none" w:sz="0" w:space="0" w:color="auto"/>
        <w:left w:val="none" w:sz="0" w:space="0" w:color="auto"/>
        <w:bottom w:val="none" w:sz="0" w:space="0" w:color="auto"/>
        <w:right w:val="none" w:sz="0" w:space="0" w:color="auto"/>
      </w:divBdr>
    </w:div>
    <w:div w:id="1501968568">
      <w:bodyDiv w:val="1"/>
      <w:marLeft w:val="0"/>
      <w:marRight w:val="0"/>
      <w:marTop w:val="0"/>
      <w:marBottom w:val="0"/>
      <w:divBdr>
        <w:top w:val="none" w:sz="0" w:space="0" w:color="auto"/>
        <w:left w:val="none" w:sz="0" w:space="0" w:color="auto"/>
        <w:bottom w:val="none" w:sz="0" w:space="0" w:color="auto"/>
        <w:right w:val="none" w:sz="0" w:space="0" w:color="auto"/>
      </w:divBdr>
    </w:div>
    <w:div w:id="1514035121">
      <w:bodyDiv w:val="1"/>
      <w:marLeft w:val="0"/>
      <w:marRight w:val="0"/>
      <w:marTop w:val="0"/>
      <w:marBottom w:val="0"/>
      <w:divBdr>
        <w:top w:val="none" w:sz="0" w:space="0" w:color="auto"/>
        <w:left w:val="none" w:sz="0" w:space="0" w:color="auto"/>
        <w:bottom w:val="none" w:sz="0" w:space="0" w:color="auto"/>
        <w:right w:val="none" w:sz="0" w:space="0" w:color="auto"/>
      </w:divBdr>
    </w:div>
    <w:div w:id="1534339368">
      <w:bodyDiv w:val="1"/>
      <w:marLeft w:val="0"/>
      <w:marRight w:val="0"/>
      <w:marTop w:val="0"/>
      <w:marBottom w:val="0"/>
      <w:divBdr>
        <w:top w:val="none" w:sz="0" w:space="0" w:color="auto"/>
        <w:left w:val="none" w:sz="0" w:space="0" w:color="auto"/>
        <w:bottom w:val="none" w:sz="0" w:space="0" w:color="auto"/>
        <w:right w:val="none" w:sz="0" w:space="0" w:color="auto"/>
      </w:divBdr>
    </w:div>
    <w:div w:id="1547445000">
      <w:bodyDiv w:val="1"/>
      <w:marLeft w:val="0"/>
      <w:marRight w:val="0"/>
      <w:marTop w:val="0"/>
      <w:marBottom w:val="0"/>
      <w:divBdr>
        <w:top w:val="none" w:sz="0" w:space="0" w:color="auto"/>
        <w:left w:val="none" w:sz="0" w:space="0" w:color="auto"/>
        <w:bottom w:val="none" w:sz="0" w:space="0" w:color="auto"/>
        <w:right w:val="none" w:sz="0" w:space="0" w:color="auto"/>
      </w:divBdr>
    </w:div>
    <w:div w:id="1610816616">
      <w:bodyDiv w:val="1"/>
      <w:marLeft w:val="0"/>
      <w:marRight w:val="0"/>
      <w:marTop w:val="0"/>
      <w:marBottom w:val="0"/>
      <w:divBdr>
        <w:top w:val="none" w:sz="0" w:space="0" w:color="auto"/>
        <w:left w:val="none" w:sz="0" w:space="0" w:color="auto"/>
        <w:bottom w:val="none" w:sz="0" w:space="0" w:color="auto"/>
        <w:right w:val="none" w:sz="0" w:space="0" w:color="auto"/>
      </w:divBdr>
    </w:div>
    <w:div w:id="1670479760">
      <w:bodyDiv w:val="1"/>
      <w:marLeft w:val="0"/>
      <w:marRight w:val="0"/>
      <w:marTop w:val="0"/>
      <w:marBottom w:val="0"/>
      <w:divBdr>
        <w:top w:val="none" w:sz="0" w:space="0" w:color="auto"/>
        <w:left w:val="none" w:sz="0" w:space="0" w:color="auto"/>
        <w:bottom w:val="none" w:sz="0" w:space="0" w:color="auto"/>
        <w:right w:val="none" w:sz="0" w:space="0" w:color="auto"/>
      </w:divBdr>
    </w:div>
    <w:div w:id="1743720940">
      <w:bodyDiv w:val="1"/>
      <w:marLeft w:val="0"/>
      <w:marRight w:val="0"/>
      <w:marTop w:val="0"/>
      <w:marBottom w:val="0"/>
      <w:divBdr>
        <w:top w:val="none" w:sz="0" w:space="0" w:color="auto"/>
        <w:left w:val="none" w:sz="0" w:space="0" w:color="auto"/>
        <w:bottom w:val="none" w:sz="0" w:space="0" w:color="auto"/>
        <w:right w:val="none" w:sz="0" w:space="0" w:color="auto"/>
      </w:divBdr>
    </w:div>
    <w:div w:id="1787575931">
      <w:bodyDiv w:val="1"/>
      <w:marLeft w:val="0"/>
      <w:marRight w:val="0"/>
      <w:marTop w:val="0"/>
      <w:marBottom w:val="0"/>
      <w:divBdr>
        <w:top w:val="none" w:sz="0" w:space="0" w:color="auto"/>
        <w:left w:val="none" w:sz="0" w:space="0" w:color="auto"/>
        <w:bottom w:val="none" w:sz="0" w:space="0" w:color="auto"/>
        <w:right w:val="none" w:sz="0" w:space="0" w:color="auto"/>
      </w:divBdr>
    </w:div>
    <w:div w:id="1796100235">
      <w:bodyDiv w:val="1"/>
      <w:marLeft w:val="0"/>
      <w:marRight w:val="0"/>
      <w:marTop w:val="0"/>
      <w:marBottom w:val="0"/>
      <w:divBdr>
        <w:top w:val="none" w:sz="0" w:space="0" w:color="auto"/>
        <w:left w:val="none" w:sz="0" w:space="0" w:color="auto"/>
        <w:bottom w:val="none" w:sz="0" w:space="0" w:color="auto"/>
        <w:right w:val="none" w:sz="0" w:space="0" w:color="auto"/>
      </w:divBdr>
    </w:div>
    <w:div w:id="1837502321">
      <w:bodyDiv w:val="1"/>
      <w:marLeft w:val="0"/>
      <w:marRight w:val="0"/>
      <w:marTop w:val="0"/>
      <w:marBottom w:val="0"/>
      <w:divBdr>
        <w:top w:val="none" w:sz="0" w:space="0" w:color="auto"/>
        <w:left w:val="none" w:sz="0" w:space="0" w:color="auto"/>
        <w:bottom w:val="none" w:sz="0" w:space="0" w:color="auto"/>
        <w:right w:val="none" w:sz="0" w:space="0" w:color="auto"/>
      </w:divBdr>
    </w:div>
    <w:div w:id="1881169507">
      <w:bodyDiv w:val="1"/>
      <w:marLeft w:val="0"/>
      <w:marRight w:val="0"/>
      <w:marTop w:val="0"/>
      <w:marBottom w:val="0"/>
      <w:divBdr>
        <w:top w:val="none" w:sz="0" w:space="0" w:color="auto"/>
        <w:left w:val="none" w:sz="0" w:space="0" w:color="auto"/>
        <w:bottom w:val="none" w:sz="0" w:space="0" w:color="auto"/>
        <w:right w:val="none" w:sz="0" w:space="0" w:color="auto"/>
      </w:divBdr>
    </w:div>
    <w:div w:id="1897669104">
      <w:bodyDiv w:val="1"/>
      <w:marLeft w:val="0"/>
      <w:marRight w:val="0"/>
      <w:marTop w:val="0"/>
      <w:marBottom w:val="0"/>
      <w:divBdr>
        <w:top w:val="none" w:sz="0" w:space="0" w:color="auto"/>
        <w:left w:val="none" w:sz="0" w:space="0" w:color="auto"/>
        <w:bottom w:val="none" w:sz="0" w:space="0" w:color="auto"/>
        <w:right w:val="none" w:sz="0" w:space="0" w:color="auto"/>
      </w:divBdr>
    </w:div>
    <w:div w:id="1952738570">
      <w:bodyDiv w:val="1"/>
      <w:marLeft w:val="0"/>
      <w:marRight w:val="0"/>
      <w:marTop w:val="0"/>
      <w:marBottom w:val="0"/>
      <w:divBdr>
        <w:top w:val="none" w:sz="0" w:space="0" w:color="auto"/>
        <w:left w:val="none" w:sz="0" w:space="0" w:color="auto"/>
        <w:bottom w:val="none" w:sz="0" w:space="0" w:color="auto"/>
        <w:right w:val="none" w:sz="0" w:space="0" w:color="auto"/>
      </w:divBdr>
    </w:div>
    <w:div w:id="1969580564">
      <w:bodyDiv w:val="1"/>
      <w:marLeft w:val="0"/>
      <w:marRight w:val="0"/>
      <w:marTop w:val="0"/>
      <w:marBottom w:val="0"/>
      <w:divBdr>
        <w:top w:val="none" w:sz="0" w:space="0" w:color="auto"/>
        <w:left w:val="none" w:sz="0" w:space="0" w:color="auto"/>
        <w:bottom w:val="none" w:sz="0" w:space="0" w:color="auto"/>
        <w:right w:val="none" w:sz="0" w:space="0" w:color="auto"/>
      </w:divBdr>
    </w:div>
    <w:div w:id="1972468664">
      <w:bodyDiv w:val="1"/>
      <w:marLeft w:val="0"/>
      <w:marRight w:val="0"/>
      <w:marTop w:val="0"/>
      <w:marBottom w:val="0"/>
      <w:divBdr>
        <w:top w:val="none" w:sz="0" w:space="0" w:color="auto"/>
        <w:left w:val="none" w:sz="0" w:space="0" w:color="auto"/>
        <w:bottom w:val="none" w:sz="0" w:space="0" w:color="auto"/>
        <w:right w:val="none" w:sz="0" w:space="0" w:color="auto"/>
      </w:divBdr>
    </w:div>
    <w:div w:id="1995142572">
      <w:bodyDiv w:val="1"/>
      <w:marLeft w:val="0"/>
      <w:marRight w:val="0"/>
      <w:marTop w:val="0"/>
      <w:marBottom w:val="0"/>
      <w:divBdr>
        <w:top w:val="none" w:sz="0" w:space="0" w:color="auto"/>
        <w:left w:val="none" w:sz="0" w:space="0" w:color="auto"/>
        <w:bottom w:val="none" w:sz="0" w:space="0" w:color="auto"/>
        <w:right w:val="none" w:sz="0" w:space="0" w:color="auto"/>
      </w:divBdr>
    </w:div>
    <w:div w:id="2009866454">
      <w:bodyDiv w:val="1"/>
      <w:marLeft w:val="0"/>
      <w:marRight w:val="0"/>
      <w:marTop w:val="0"/>
      <w:marBottom w:val="0"/>
      <w:divBdr>
        <w:top w:val="none" w:sz="0" w:space="0" w:color="auto"/>
        <w:left w:val="none" w:sz="0" w:space="0" w:color="auto"/>
        <w:bottom w:val="none" w:sz="0" w:space="0" w:color="auto"/>
        <w:right w:val="none" w:sz="0" w:space="0" w:color="auto"/>
      </w:divBdr>
    </w:div>
    <w:div w:id="20207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oag.gov.au/sites/default/files/communique/NDIS-Principles-to-Determine-Responsibilities-NDIS-and-Other-Service.pdf" TargetMode="External"/><Relationship Id="rId26" Type="http://schemas.openxmlformats.org/officeDocument/2006/relationships/hyperlink" Target="https://www.ndis.gov.au/about-us/policies/service-charter/participant-service-improvement-plan" TargetMode="External"/><Relationship Id="rId39" Type="http://schemas.openxmlformats.org/officeDocument/2006/relationships/theme" Target="theme/theme1.xml"/><Relationship Id="rId21" Type="http://schemas.openxmlformats.org/officeDocument/2006/relationships/hyperlink" Target="https://www.ndis.gov.au/about-us/strategies/participant-employment-strategy"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ndis.gov.au/understanding/what-ndis/whos-delivering-ndis" TargetMode="External"/><Relationship Id="rId25" Type="http://schemas.openxmlformats.org/officeDocument/2006/relationships/hyperlink" Target="https://www.ndis.gov.au/about-us/policies/service-charter/participant-service-improvement-plan"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understanding/supports-funded-ndis" TargetMode="External"/><Relationship Id="rId20" Type="http://schemas.openxmlformats.org/officeDocument/2006/relationships/hyperlink" Target="https://www.ndis.gov.au/news/7603-our-new-engagement-framework" TargetMode="External"/><Relationship Id="rId29" Type="http://schemas.openxmlformats.org/officeDocument/2006/relationships/hyperlink" Target="https://www.ndis.gov.au/understanding/australias-disability-strategy-2021-20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gov.au/about-us/publications/quarterly-reports" TargetMode="External"/><Relationship Id="rId32" Type="http://schemas.openxmlformats.org/officeDocument/2006/relationships/image" Target="media/image4.png"/><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ndis.gov.au/about-us/publications" TargetMode="External"/><Relationship Id="rId23" Type="http://schemas.openxmlformats.org/officeDocument/2006/relationships/hyperlink" Target="https://www.ndis.gov.au/about-us/policies/service-charter" TargetMode="External"/><Relationship Id="rId28" Type="http://schemas.openxmlformats.org/officeDocument/2006/relationships/hyperlink" Target="https://www.ndis.gov.au/about-us/governance/productivity-commissio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isabilitygateway.gov.au/ads-hub/strategy" TargetMode="External"/><Relationship Id="rId31" Type="http://schemas.openxmlformats.org/officeDocument/2006/relationships/hyperlink" Target="https://ndis.gov.au/about-us/pub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managing-commonwealth-resources/planning-and-reporting/commonwealth-performance-framework" TargetMode="External"/><Relationship Id="rId22" Type="http://schemas.openxmlformats.org/officeDocument/2006/relationships/hyperlink" Target="https://www.ndis.gov.au/about-us/policies/service-charter" TargetMode="External"/><Relationship Id="rId27" Type="http://schemas.openxmlformats.org/officeDocument/2006/relationships/hyperlink" Target="https://www.ndis.gov.au/news/7603-our-new-engagement-framework" TargetMode="External"/><Relationship Id="rId30" Type="http://schemas.openxmlformats.org/officeDocument/2006/relationships/hyperlink" Target="https://www.closingthegap.gov.au/national-agreemen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0bf4b627ef90abdd4d01d657704b70b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5831bbcf7298d999609c69e1ca2a8e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Edit_x0020_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Time" ma:internalName="Time">
      <xsd:simpleType>
        <xsd:restriction base="dms:DateTime"/>
      </xsd:simpleType>
    </xsd:element>
    <xsd:element name="Edit_x0020_Round" ma:index="25" nillable="true" ma:displayName="Edit Round" ma:internalName="Edit_x0020_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ime xmlns="62e6d7e0-8f69-4736-9de7-41af03e42ea2" xsi:nil="true"/>
    <Edit_x0020_Round xmlns="62e6d7e0-8f69-4736-9de7-41af03e42ea2" xsi:nil="true"/>
    <TaxCatchAll xmlns="a2598ba4-4db0-4ba6-86e6-e9358682199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DF632-0116-4E66-8E75-355975C4C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6E5AA-40E9-4484-9D33-F318E9F47F2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64574728-1EB8-45F6-98DD-1C8493635A9B}">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10523</Words>
  <Characters>59982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Corporate Plan 2022-26 Draft</vt:lpstr>
    </vt:vector>
  </TitlesOfParts>
  <Company>NDIA</Company>
  <LinksUpToDate>false</LinksUpToDate>
  <CharactersWithSpaces>70365</CharactersWithSpaces>
  <SharedDoc>false</SharedDoc>
  <HLinks>
    <vt:vector size="174" baseType="variant">
      <vt:variant>
        <vt:i4>851996</vt:i4>
      </vt:variant>
      <vt:variant>
        <vt:i4>141</vt:i4>
      </vt:variant>
      <vt:variant>
        <vt:i4>0</vt:i4>
      </vt:variant>
      <vt:variant>
        <vt:i4>5</vt:i4>
      </vt:variant>
      <vt:variant>
        <vt:lpwstr>https://ndis.gov.au/about-us/publications</vt:lpwstr>
      </vt:variant>
      <vt:variant>
        <vt:lpwstr/>
      </vt:variant>
      <vt:variant>
        <vt:i4>2883681</vt:i4>
      </vt:variant>
      <vt:variant>
        <vt:i4>132</vt:i4>
      </vt:variant>
      <vt:variant>
        <vt:i4>0</vt:i4>
      </vt:variant>
      <vt:variant>
        <vt:i4>5</vt:i4>
      </vt:variant>
      <vt:variant>
        <vt:lpwstr>https://www.ndis.gov.au/about-us/policies/service-charter/participant-service-improvement-plan</vt:lpwstr>
      </vt:variant>
      <vt:variant>
        <vt:lpwstr/>
      </vt:variant>
      <vt:variant>
        <vt:i4>2883681</vt:i4>
      </vt:variant>
      <vt:variant>
        <vt:i4>129</vt:i4>
      </vt:variant>
      <vt:variant>
        <vt:i4>0</vt:i4>
      </vt:variant>
      <vt:variant>
        <vt:i4>5</vt:i4>
      </vt:variant>
      <vt:variant>
        <vt:lpwstr>https://www.ndis.gov.au/about-us/policies/service-charter/participant-service-improvement-plan</vt:lpwstr>
      </vt:variant>
      <vt:variant>
        <vt:lpwstr/>
      </vt:variant>
      <vt:variant>
        <vt:i4>2883681</vt:i4>
      </vt:variant>
      <vt:variant>
        <vt:i4>126</vt:i4>
      </vt:variant>
      <vt:variant>
        <vt:i4>0</vt:i4>
      </vt:variant>
      <vt:variant>
        <vt:i4>5</vt:i4>
      </vt:variant>
      <vt:variant>
        <vt:lpwstr>https://www.ndis.gov.au/about-us/policies/service-charter/participant-service-improvement-plan</vt:lpwstr>
      </vt:variant>
      <vt:variant>
        <vt:lpwstr/>
      </vt:variant>
      <vt:variant>
        <vt:i4>2883681</vt:i4>
      </vt:variant>
      <vt:variant>
        <vt:i4>123</vt:i4>
      </vt:variant>
      <vt:variant>
        <vt:i4>0</vt:i4>
      </vt:variant>
      <vt:variant>
        <vt:i4>5</vt:i4>
      </vt:variant>
      <vt:variant>
        <vt:lpwstr>https://www.ndis.gov.au/about-us/policies/service-charter/participant-service-improvement-plan</vt:lpwstr>
      </vt:variant>
      <vt:variant>
        <vt:lpwstr/>
      </vt:variant>
      <vt:variant>
        <vt:i4>2490480</vt:i4>
      </vt:variant>
      <vt:variant>
        <vt:i4>120</vt:i4>
      </vt:variant>
      <vt:variant>
        <vt:i4>0</vt:i4>
      </vt:variant>
      <vt:variant>
        <vt:i4>5</vt:i4>
      </vt:variant>
      <vt:variant>
        <vt:lpwstr>https://www.ndis.gov.au/about-us/publications/quarterly-reports</vt:lpwstr>
      </vt:variant>
      <vt:variant>
        <vt:lpwstr/>
      </vt:variant>
      <vt:variant>
        <vt:i4>6160410</vt:i4>
      </vt:variant>
      <vt:variant>
        <vt:i4>117</vt:i4>
      </vt:variant>
      <vt:variant>
        <vt:i4>0</vt:i4>
      </vt:variant>
      <vt:variant>
        <vt:i4>5</vt:i4>
      </vt:variant>
      <vt:variant>
        <vt:lpwstr>https://www.ndis.gov.au/about-us/policies/service-charter</vt:lpwstr>
      </vt:variant>
      <vt:variant>
        <vt:lpwstr/>
      </vt:variant>
      <vt:variant>
        <vt:i4>4980748</vt:i4>
      </vt:variant>
      <vt:variant>
        <vt:i4>114</vt:i4>
      </vt:variant>
      <vt:variant>
        <vt:i4>0</vt:i4>
      </vt:variant>
      <vt:variant>
        <vt:i4>5</vt:i4>
      </vt:variant>
      <vt:variant>
        <vt:lpwstr>https://www.disabilitygateway.gov.au/ads-hub/strategy</vt:lpwstr>
      </vt:variant>
      <vt:variant>
        <vt:lpwstr/>
      </vt:variant>
      <vt:variant>
        <vt:i4>7340159</vt:i4>
      </vt:variant>
      <vt:variant>
        <vt:i4>111</vt:i4>
      </vt:variant>
      <vt:variant>
        <vt:i4>0</vt:i4>
      </vt:variant>
      <vt:variant>
        <vt:i4>5</vt:i4>
      </vt:variant>
      <vt:variant>
        <vt:lpwstr>https://www.coag.gov.au/sites/default/files/communique/NDIS-Principles-to-Determine-Responsibilities-NDIS-and-Other-Service.pdf</vt:lpwstr>
      </vt:variant>
      <vt:variant>
        <vt:lpwstr/>
      </vt:variant>
      <vt:variant>
        <vt:i4>4915283</vt:i4>
      </vt:variant>
      <vt:variant>
        <vt:i4>108</vt:i4>
      </vt:variant>
      <vt:variant>
        <vt:i4>0</vt:i4>
      </vt:variant>
      <vt:variant>
        <vt:i4>5</vt:i4>
      </vt:variant>
      <vt:variant>
        <vt:lpwstr>https://www.ndis.gov.au/understanding/what-ndis/whos-delivering-ndis</vt:lpwstr>
      </vt:variant>
      <vt:variant>
        <vt:lpwstr/>
      </vt:variant>
      <vt:variant>
        <vt:i4>7274605</vt:i4>
      </vt:variant>
      <vt:variant>
        <vt:i4>105</vt:i4>
      </vt:variant>
      <vt:variant>
        <vt:i4>0</vt:i4>
      </vt:variant>
      <vt:variant>
        <vt:i4>5</vt:i4>
      </vt:variant>
      <vt:variant>
        <vt:lpwstr>https://www.ndis.gov.au/understanding/supports-funded-ndis</vt:lpwstr>
      </vt:variant>
      <vt:variant>
        <vt:lpwstr/>
      </vt:variant>
      <vt:variant>
        <vt:i4>851996</vt:i4>
      </vt:variant>
      <vt:variant>
        <vt:i4>90</vt:i4>
      </vt:variant>
      <vt:variant>
        <vt:i4>0</vt:i4>
      </vt:variant>
      <vt:variant>
        <vt:i4>5</vt:i4>
      </vt:variant>
      <vt:variant>
        <vt:lpwstr>https://ndis.gov.au/about-us/publications</vt:lpwstr>
      </vt:variant>
      <vt:variant>
        <vt:lpwstr/>
      </vt:variant>
      <vt:variant>
        <vt:i4>7929964</vt:i4>
      </vt:variant>
      <vt:variant>
        <vt:i4>87</vt:i4>
      </vt:variant>
      <vt:variant>
        <vt:i4>0</vt:i4>
      </vt:variant>
      <vt:variant>
        <vt:i4>5</vt:i4>
      </vt:variant>
      <vt:variant>
        <vt:lpwstr>https://www.finance.gov.au/government/managing-commonwealth-resources/planning-and-reporting/commonwealth-performance-framework</vt:lpwstr>
      </vt:variant>
      <vt:variant>
        <vt:lpwstr/>
      </vt:variant>
      <vt:variant>
        <vt:i4>1966143</vt:i4>
      </vt:variant>
      <vt:variant>
        <vt:i4>80</vt:i4>
      </vt:variant>
      <vt:variant>
        <vt:i4>0</vt:i4>
      </vt:variant>
      <vt:variant>
        <vt:i4>5</vt:i4>
      </vt:variant>
      <vt:variant>
        <vt:lpwstr/>
      </vt:variant>
      <vt:variant>
        <vt:lpwstr>_Toc99463610</vt:lpwstr>
      </vt:variant>
      <vt:variant>
        <vt:i4>1769534</vt:i4>
      </vt:variant>
      <vt:variant>
        <vt:i4>74</vt:i4>
      </vt:variant>
      <vt:variant>
        <vt:i4>0</vt:i4>
      </vt:variant>
      <vt:variant>
        <vt:i4>5</vt:i4>
      </vt:variant>
      <vt:variant>
        <vt:lpwstr/>
      </vt:variant>
      <vt:variant>
        <vt:lpwstr>_Toc99463605</vt:lpwstr>
      </vt:variant>
      <vt:variant>
        <vt:i4>1835070</vt:i4>
      </vt:variant>
      <vt:variant>
        <vt:i4>68</vt:i4>
      </vt:variant>
      <vt:variant>
        <vt:i4>0</vt:i4>
      </vt:variant>
      <vt:variant>
        <vt:i4>5</vt:i4>
      </vt:variant>
      <vt:variant>
        <vt:lpwstr/>
      </vt:variant>
      <vt:variant>
        <vt:lpwstr>_Toc99463602</vt:lpwstr>
      </vt:variant>
      <vt:variant>
        <vt:i4>1572919</vt:i4>
      </vt:variant>
      <vt:variant>
        <vt:i4>62</vt:i4>
      </vt:variant>
      <vt:variant>
        <vt:i4>0</vt:i4>
      </vt:variant>
      <vt:variant>
        <vt:i4>5</vt:i4>
      </vt:variant>
      <vt:variant>
        <vt:lpwstr/>
      </vt:variant>
      <vt:variant>
        <vt:lpwstr>_Toc99463595</vt:lpwstr>
      </vt:variant>
      <vt:variant>
        <vt:i4>1638455</vt:i4>
      </vt:variant>
      <vt:variant>
        <vt:i4>56</vt:i4>
      </vt:variant>
      <vt:variant>
        <vt:i4>0</vt:i4>
      </vt:variant>
      <vt:variant>
        <vt:i4>5</vt:i4>
      </vt:variant>
      <vt:variant>
        <vt:lpwstr/>
      </vt:variant>
      <vt:variant>
        <vt:lpwstr>_Toc99463594</vt:lpwstr>
      </vt:variant>
      <vt:variant>
        <vt:i4>2031671</vt:i4>
      </vt:variant>
      <vt:variant>
        <vt:i4>50</vt:i4>
      </vt:variant>
      <vt:variant>
        <vt:i4>0</vt:i4>
      </vt:variant>
      <vt:variant>
        <vt:i4>5</vt:i4>
      </vt:variant>
      <vt:variant>
        <vt:lpwstr/>
      </vt:variant>
      <vt:variant>
        <vt:lpwstr>_Toc99463592</vt:lpwstr>
      </vt:variant>
      <vt:variant>
        <vt:i4>1835063</vt:i4>
      </vt:variant>
      <vt:variant>
        <vt:i4>44</vt:i4>
      </vt:variant>
      <vt:variant>
        <vt:i4>0</vt:i4>
      </vt:variant>
      <vt:variant>
        <vt:i4>5</vt:i4>
      </vt:variant>
      <vt:variant>
        <vt:lpwstr/>
      </vt:variant>
      <vt:variant>
        <vt:lpwstr>_Toc99463591</vt:lpwstr>
      </vt:variant>
      <vt:variant>
        <vt:i4>1900599</vt:i4>
      </vt:variant>
      <vt:variant>
        <vt:i4>38</vt:i4>
      </vt:variant>
      <vt:variant>
        <vt:i4>0</vt:i4>
      </vt:variant>
      <vt:variant>
        <vt:i4>5</vt:i4>
      </vt:variant>
      <vt:variant>
        <vt:lpwstr/>
      </vt:variant>
      <vt:variant>
        <vt:lpwstr>_Toc99463590</vt:lpwstr>
      </vt:variant>
      <vt:variant>
        <vt:i4>1310774</vt:i4>
      </vt:variant>
      <vt:variant>
        <vt:i4>32</vt:i4>
      </vt:variant>
      <vt:variant>
        <vt:i4>0</vt:i4>
      </vt:variant>
      <vt:variant>
        <vt:i4>5</vt:i4>
      </vt:variant>
      <vt:variant>
        <vt:lpwstr/>
      </vt:variant>
      <vt:variant>
        <vt:lpwstr>_Toc99463589</vt:lpwstr>
      </vt:variant>
      <vt:variant>
        <vt:i4>1703990</vt:i4>
      </vt:variant>
      <vt:variant>
        <vt:i4>26</vt:i4>
      </vt:variant>
      <vt:variant>
        <vt:i4>0</vt:i4>
      </vt:variant>
      <vt:variant>
        <vt:i4>5</vt:i4>
      </vt:variant>
      <vt:variant>
        <vt:lpwstr/>
      </vt:variant>
      <vt:variant>
        <vt:lpwstr>_Toc99463587</vt:lpwstr>
      </vt:variant>
      <vt:variant>
        <vt:i4>1769526</vt:i4>
      </vt:variant>
      <vt:variant>
        <vt:i4>20</vt:i4>
      </vt:variant>
      <vt:variant>
        <vt:i4>0</vt:i4>
      </vt:variant>
      <vt:variant>
        <vt:i4>5</vt:i4>
      </vt:variant>
      <vt:variant>
        <vt:lpwstr/>
      </vt:variant>
      <vt:variant>
        <vt:lpwstr>_Toc99463586</vt:lpwstr>
      </vt:variant>
      <vt:variant>
        <vt:i4>1769529</vt:i4>
      </vt:variant>
      <vt:variant>
        <vt:i4>14</vt:i4>
      </vt:variant>
      <vt:variant>
        <vt:i4>0</vt:i4>
      </vt:variant>
      <vt:variant>
        <vt:i4>5</vt:i4>
      </vt:variant>
      <vt:variant>
        <vt:lpwstr/>
      </vt:variant>
      <vt:variant>
        <vt:lpwstr>_Toc99463576</vt:lpwstr>
      </vt:variant>
      <vt:variant>
        <vt:i4>1835065</vt:i4>
      </vt:variant>
      <vt:variant>
        <vt:i4>8</vt:i4>
      </vt:variant>
      <vt:variant>
        <vt:i4>0</vt:i4>
      </vt:variant>
      <vt:variant>
        <vt:i4>5</vt:i4>
      </vt:variant>
      <vt:variant>
        <vt:lpwstr/>
      </vt:variant>
      <vt:variant>
        <vt:lpwstr>_Toc99463571</vt:lpwstr>
      </vt:variant>
      <vt:variant>
        <vt:i4>1310776</vt:i4>
      </vt:variant>
      <vt:variant>
        <vt:i4>2</vt:i4>
      </vt:variant>
      <vt:variant>
        <vt:i4>0</vt:i4>
      </vt:variant>
      <vt:variant>
        <vt:i4>5</vt:i4>
      </vt:variant>
      <vt:variant>
        <vt:lpwstr/>
      </vt:variant>
      <vt:variant>
        <vt:lpwstr>_Toc99463569</vt:lpwstr>
      </vt:variant>
      <vt:variant>
        <vt:i4>6488103</vt:i4>
      </vt:variant>
      <vt:variant>
        <vt:i4>3</vt:i4>
      </vt:variant>
      <vt:variant>
        <vt:i4>0</vt:i4>
      </vt:variant>
      <vt:variant>
        <vt:i4>5</vt:i4>
      </vt:variant>
      <vt:variant>
        <vt:lpwstr>https://www.pc.gov.au/inquiries/completed/ndis-costs/report</vt:lpwstr>
      </vt:variant>
      <vt:variant>
        <vt:lpwstr/>
      </vt:variant>
      <vt:variant>
        <vt:i4>2883681</vt:i4>
      </vt:variant>
      <vt:variant>
        <vt:i4>0</vt:i4>
      </vt:variant>
      <vt:variant>
        <vt:i4>0</vt:i4>
      </vt:variant>
      <vt:variant>
        <vt:i4>5</vt:i4>
      </vt:variant>
      <vt:variant>
        <vt:lpwstr>https://www.ndis.gov.au/about-us/policies/service-charter/participant-service-improvement-plan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Plan 2022-26 Draft</dc:title>
  <dc:subject/>
  <dc:creator>JOHNSON, Sarah</dc:creator>
  <cp:keywords/>
  <dc:description/>
  <cp:lastModifiedBy>Alsop, Ineke</cp:lastModifiedBy>
  <cp:revision>4</cp:revision>
  <cp:lastPrinted>2022-05-18T01:18:00Z</cp:lastPrinted>
  <dcterms:created xsi:type="dcterms:W3CDTF">2022-09-07T23:02:00Z</dcterms:created>
  <dcterms:modified xsi:type="dcterms:W3CDTF">2022-09-07T23:03:00Z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2022-03-08T04:06:44Z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ca699614-6784-4624-8a40-4b6672367276</vt:lpwstr>
  </property>
  <property fmtid="{D5CDD505-2E9C-101B-9397-08002B2CF9AE}" pid="26" name="MSIP_Label_2b83f8d7-e91f-4eee-a336-52a8061c0503_ContentBits">
    <vt:lpwstr>0</vt:lpwstr>
  </property>
  <property fmtid="{D5CDD505-2E9C-101B-9397-08002B2CF9AE}" pid="27" name="MediaServiceImageTags">
    <vt:lpwstr/>
  </property>
  <property fmtid="{D5CDD505-2E9C-101B-9397-08002B2CF9AE}" pid="28" name="ComplianceAssetId">
    <vt:lpwstr/>
  </property>
  <property fmtid="{D5CDD505-2E9C-101B-9397-08002B2CF9AE}" pid="29" name="_ExtendedDescription">
    <vt:lpwstr/>
  </property>
  <property fmtid="{D5CDD505-2E9C-101B-9397-08002B2CF9AE}" pid="30" name="TriggerFlowInfo">
    <vt:lpwstr/>
  </property>
</Properties>
</file>