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6AFC89" w14:textId="77777777" w:rsidR="00EC73BF" w:rsidRPr="00284A41" w:rsidRDefault="00995132" w:rsidP="001A3E36">
      <w:pPr>
        <w:sectPr w:rsidR="00EC73BF" w:rsidRPr="00284A41" w:rsidSect="0064288A">
          <w:headerReference w:type="default" r:id="rId11"/>
          <w:footerReference w:type="default" r:id="rId12"/>
          <w:headerReference w:type="first" r:id="rId13"/>
          <w:footerReference w:type="first" r:id="rId14"/>
          <w:type w:val="nextColumn"/>
          <w:pgSz w:w="11906" w:h="16838" w:code="9"/>
          <w:pgMar w:top="1440" w:right="1440" w:bottom="1440" w:left="1440" w:header="709" w:footer="709" w:gutter="0"/>
          <w:cols w:space="708"/>
          <w:titlePg/>
          <w:docGrid w:linePitch="360"/>
        </w:sectPr>
      </w:pPr>
      <w:r w:rsidRPr="00284A41">
        <w:rPr>
          <w:noProof/>
          <w:sz w:val="44"/>
          <w:lang w:eastAsia="en-AU"/>
        </w:rPr>
        <mc:AlternateContent>
          <mc:Choice Requires="wps">
            <w:drawing>
              <wp:inline distT="0" distB="0" distL="0" distR="0" wp14:anchorId="3F6A9F8D" wp14:editId="7877AD80">
                <wp:extent cx="5760000" cy="7683592"/>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7683592"/>
                        </a:xfrm>
                        <a:prstGeom prst="rect">
                          <a:avLst/>
                        </a:prstGeom>
                        <a:solidFill>
                          <a:schemeClr val="accent4"/>
                        </a:solidFill>
                        <a:ln w="9525" cap="rnd">
                          <a:solidFill>
                            <a:srgbClr val="000000"/>
                          </a:solidFill>
                          <a:round/>
                          <a:headEnd/>
                          <a:tailEnd/>
                        </a:ln>
                        <a:effectLst>
                          <a:softEdge rad="31750"/>
                        </a:effectLst>
                      </wps:spPr>
                      <wps:txbx>
                        <w:txbxContent>
                          <w:p w14:paraId="468E95A8" w14:textId="77777777" w:rsidR="00EC5814" w:rsidRPr="00EC73BF" w:rsidRDefault="00EC5814" w:rsidP="00EC73BF"/>
                          <w:p w14:paraId="67103701" w14:textId="77777777" w:rsidR="00EC5814" w:rsidRDefault="00EC5814" w:rsidP="00EC73BF"/>
                          <w:p w14:paraId="741B0D8F" w14:textId="77777777" w:rsidR="00EC5814" w:rsidRDefault="00EC5814" w:rsidP="00EC73BF"/>
                          <w:p w14:paraId="4CE40BE1" w14:textId="77777777" w:rsidR="00EC5814" w:rsidRPr="005E5772" w:rsidRDefault="00EC5814" w:rsidP="005E5772">
                            <w:pPr>
                              <w:jc w:val="center"/>
                              <w:rPr>
                                <w:b/>
                                <w:color w:val="FFFFFF" w:themeColor="background1"/>
                              </w:rPr>
                            </w:pPr>
                            <w:r w:rsidRPr="005E5772">
                              <w:rPr>
                                <w:b/>
                                <w:color w:val="FFFFFF" w:themeColor="background1"/>
                              </w:rPr>
                              <w:t>National Disability Insurance Scheme</w:t>
                            </w:r>
                          </w:p>
                          <w:p w14:paraId="63A883FD" w14:textId="77777777" w:rsidR="00EC5814" w:rsidRPr="005E5772" w:rsidRDefault="00EC5814" w:rsidP="005E5772">
                            <w:pPr>
                              <w:jc w:val="center"/>
                              <w:rPr>
                                <w:b/>
                                <w:color w:val="FFFFFF" w:themeColor="background1"/>
                              </w:rPr>
                            </w:pPr>
                          </w:p>
                          <w:p w14:paraId="52DC652A" w14:textId="77777777" w:rsidR="00EC5814" w:rsidRPr="005E5772" w:rsidRDefault="00EC5814" w:rsidP="005E5772">
                            <w:pPr>
                              <w:jc w:val="center"/>
                              <w:rPr>
                                <w:b/>
                                <w:color w:val="FFFFFF" w:themeColor="background1"/>
                                <w:sz w:val="40"/>
                                <w:szCs w:val="56"/>
                              </w:rPr>
                            </w:pPr>
                            <w:r w:rsidRPr="005E5772">
                              <w:rPr>
                                <w:b/>
                                <w:color w:val="FFFFFF" w:themeColor="background1"/>
                                <w:sz w:val="40"/>
                                <w:szCs w:val="56"/>
                              </w:rPr>
                              <w:t>Review of Pricing Arrangements for Supported Independent Living</w:t>
                            </w:r>
                          </w:p>
                          <w:p w14:paraId="6C21D771" w14:textId="77777777" w:rsidR="00EC5814" w:rsidRPr="005E5772" w:rsidRDefault="00EC5814" w:rsidP="005E5772">
                            <w:pPr>
                              <w:jc w:val="center"/>
                              <w:rPr>
                                <w:b/>
                                <w:color w:val="FFFFFF" w:themeColor="background1"/>
                                <w:sz w:val="40"/>
                                <w:szCs w:val="56"/>
                              </w:rPr>
                            </w:pPr>
                          </w:p>
                          <w:p w14:paraId="69530C6C" w14:textId="77777777" w:rsidR="00EC5814" w:rsidRPr="005E5772" w:rsidRDefault="00EC5814" w:rsidP="005E5772">
                            <w:pPr>
                              <w:jc w:val="center"/>
                              <w:rPr>
                                <w:b/>
                                <w:color w:val="FFFFFF" w:themeColor="background1"/>
                                <w:sz w:val="40"/>
                                <w:szCs w:val="56"/>
                              </w:rPr>
                            </w:pPr>
                          </w:p>
                          <w:p w14:paraId="32108D89" w14:textId="77777777" w:rsidR="00EC5814" w:rsidRPr="005E5772" w:rsidRDefault="00EC5814" w:rsidP="005E5772">
                            <w:pPr>
                              <w:jc w:val="center"/>
                              <w:rPr>
                                <w:b/>
                                <w:color w:val="FFFFFF" w:themeColor="background1"/>
                                <w:sz w:val="36"/>
                                <w:szCs w:val="36"/>
                              </w:rPr>
                            </w:pPr>
                            <w:r w:rsidRPr="005E5772">
                              <w:rPr>
                                <w:b/>
                                <w:color w:val="FFFFFF" w:themeColor="background1"/>
                                <w:sz w:val="36"/>
                                <w:szCs w:val="36"/>
                              </w:rPr>
                              <w:t>Report</w:t>
                            </w:r>
                          </w:p>
                          <w:p w14:paraId="401295BD" w14:textId="4F0F989C" w:rsidR="00EC5814" w:rsidRPr="005E5772" w:rsidRDefault="001F10E4" w:rsidP="005E5772">
                            <w:pPr>
                              <w:spacing w:before="3000"/>
                              <w:jc w:val="center"/>
                              <w:rPr>
                                <w:b/>
                                <w:color w:val="FFFFFF" w:themeColor="background1"/>
                                <w:sz w:val="28"/>
                                <w:szCs w:val="28"/>
                              </w:rPr>
                            </w:pPr>
                            <w:r>
                              <w:rPr>
                                <w:b/>
                                <w:color w:val="FFFFFF" w:themeColor="background1"/>
                                <w:sz w:val="36"/>
                                <w:szCs w:val="36"/>
                              </w:rPr>
                              <w:t>July</w:t>
                            </w:r>
                            <w:r w:rsidR="00EC5814" w:rsidRPr="005E5772">
                              <w:rPr>
                                <w:b/>
                                <w:color w:val="FFFFFF" w:themeColor="background1"/>
                                <w:sz w:val="36"/>
                                <w:szCs w:val="36"/>
                              </w:rPr>
                              <w:t xml:space="preserve"> 2021</w:t>
                            </w:r>
                          </w:p>
                        </w:txbxContent>
                      </wps:txbx>
                      <wps:bodyPr rot="0" vert="horz" wrap="square" lIns="91440" tIns="45720" rIns="91440" bIns="45720" anchor="t" anchorCtr="0">
                        <a:noAutofit/>
                      </wps:bodyPr>
                    </wps:wsp>
                  </a:graphicData>
                </a:graphic>
              </wp:inline>
            </w:drawing>
          </mc:Choice>
          <mc:Fallback>
            <w:pict>
              <v:shapetype w14:anchorId="3F6A9F8D" id="_x0000_t202" coordsize="21600,21600" o:spt="202" path="m,l,21600r21600,l21600,xe">
                <v:stroke joinstyle="miter"/>
                <v:path gradientshapeok="t" o:connecttype="rect"/>
              </v:shapetype>
              <v:shape id="Text Box 2" o:spid="_x0000_s1026" type="#_x0000_t202" style="width:453.5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" fillcolor="#6b2976 [3207]">
                <v:stroke joinstyle="round" endcap="round"/>
                <v:textbox>
                  <w:txbxContent>
                    <w:p w14:paraId="468E95A8" w14:textId="77777777" w:rsidR="00EC5814" w:rsidRPr="00EC73BF" w:rsidRDefault="00EC5814" w:rsidP="00EC73BF"/>
                    <w:p w14:paraId="67103701" w14:textId="77777777" w:rsidR="00EC5814" w:rsidRDefault="00EC5814" w:rsidP="00EC73BF"/>
                    <w:p w14:paraId="741B0D8F" w14:textId="77777777" w:rsidR="00EC5814" w:rsidRDefault="00EC5814" w:rsidP="00EC73BF"/>
                    <w:p w14:paraId="4CE40BE1" w14:textId="77777777" w:rsidR="00EC5814" w:rsidRPr="005E5772" w:rsidRDefault="00EC5814" w:rsidP="005E5772">
                      <w:pPr>
                        <w:jc w:val="center"/>
                        <w:rPr>
                          <w:b/>
                          <w:color w:val="FFFFFF" w:themeColor="background1"/>
                        </w:rPr>
                      </w:pPr>
                      <w:r w:rsidRPr="005E5772">
                        <w:rPr>
                          <w:b/>
                          <w:color w:val="FFFFFF" w:themeColor="background1"/>
                        </w:rPr>
                        <w:t>National Disability Insurance Scheme</w:t>
                      </w:r>
                    </w:p>
                    <w:p w14:paraId="63A883FD" w14:textId="77777777" w:rsidR="00EC5814" w:rsidRPr="005E5772" w:rsidRDefault="00EC5814" w:rsidP="005E5772">
                      <w:pPr>
                        <w:jc w:val="center"/>
                        <w:rPr>
                          <w:b/>
                          <w:color w:val="FFFFFF" w:themeColor="background1"/>
                        </w:rPr>
                      </w:pPr>
                    </w:p>
                    <w:p w14:paraId="52DC652A" w14:textId="77777777" w:rsidR="00EC5814" w:rsidRPr="005E5772" w:rsidRDefault="00EC5814" w:rsidP="005E5772">
                      <w:pPr>
                        <w:jc w:val="center"/>
                        <w:rPr>
                          <w:b/>
                          <w:color w:val="FFFFFF" w:themeColor="background1"/>
                          <w:sz w:val="40"/>
                          <w:szCs w:val="56"/>
                        </w:rPr>
                      </w:pPr>
                      <w:r w:rsidRPr="005E5772">
                        <w:rPr>
                          <w:b/>
                          <w:color w:val="FFFFFF" w:themeColor="background1"/>
                          <w:sz w:val="40"/>
                          <w:szCs w:val="56"/>
                        </w:rPr>
                        <w:t>Review of Pricing Arrangements for Supported Independent Living</w:t>
                      </w:r>
                    </w:p>
                    <w:p w14:paraId="6C21D771" w14:textId="77777777" w:rsidR="00EC5814" w:rsidRPr="005E5772" w:rsidRDefault="00EC5814" w:rsidP="005E5772">
                      <w:pPr>
                        <w:jc w:val="center"/>
                        <w:rPr>
                          <w:b/>
                          <w:color w:val="FFFFFF" w:themeColor="background1"/>
                          <w:sz w:val="40"/>
                          <w:szCs w:val="56"/>
                        </w:rPr>
                      </w:pPr>
                    </w:p>
                    <w:p w14:paraId="69530C6C" w14:textId="77777777" w:rsidR="00EC5814" w:rsidRPr="005E5772" w:rsidRDefault="00EC5814" w:rsidP="005E5772">
                      <w:pPr>
                        <w:jc w:val="center"/>
                        <w:rPr>
                          <w:b/>
                          <w:color w:val="FFFFFF" w:themeColor="background1"/>
                          <w:sz w:val="40"/>
                          <w:szCs w:val="56"/>
                        </w:rPr>
                      </w:pPr>
                    </w:p>
                    <w:p w14:paraId="32108D89" w14:textId="77777777" w:rsidR="00EC5814" w:rsidRPr="005E5772" w:rsidRDefault="00EC5814" w:rsidP="005E5772">
                      <w:pPr>
                        <w:jc w:val="center"/>
                        <w:rPr>
                          <w:b/>
                          <w:color w:val="FFFFFF" w:themeColor="background1"/>
                          <w:sz w:val="36"/>
                          <w:szCs w:val="36"/>
                        </w:rPr>
                      </w:pPr>
                      <w:r w:rsidRPr="005E5772">
                        <w:rPr>
                          <w:b/>
                          <w:color w:val="FFFFFF" w:themeColor="background1"/>
                          <w:sz w:val="36"/>
                          <w:szCs w:val="36"/>
                        </w:rPr>
                        <w:t>Report</w:t>
                      </w:r>
                    </w:p>
                    <w:p w14:paraId="401295BD" w14:textId="4F0F989C" w:rsidR="00EC5814" w:rsidRPr="005E5772" w:rsidRDefault="001F10E4" w:rsidP="005E5772">
                      <w:pPr>
                        <w:spacing w:before="3000"/>
                        <w:jc w:val="center"/>
                        <w:rPr>
                          <w:b/>
                          <w:color w:val="FFFFFF" w:themeColor="background1"/>
                          <w:sz w:val="28"/>
                          <w:szCs w:val="28"/>
                        </w:rPr>
                      </w:pPr>
                      <w:r>
                        <w:rPr>
                          <w:b/>
                          <w:color w:val="FFFFFF" w:themeColor="background1"/>
                          <w:sz w:val="36"/>
                          <w:szCs w:val="36"/>
                        </w:rPr>
                        <w:t>July</w:t>
                      </w:r>
                      <w:r w:rsidR="00EC5814" w:rsidRPr="005E5772">
                        <w:rPr>
                          <w:b/>
                          <w:color w:val="FFFFFF" w:themeColor="background1"/>
                          <w:sz w:val="36"/>
                          <w:szCs w:val="36"/>
                        </w:rPr>
                        <w:t xml:space="preserve"> 2021</w:t>
                      </w:r>
                    </w:p>
                  </w:txbxContent>
                </v:textbox>
                <w10:anchorlock/>
              </v:shape>
            </w:pict>
          </mc:Fallback>
        </mc:AlternateContent>
      </w:r>
      <w:r w:rsidR="00BF276E" w:rsidRPr="00284A41">
        <w:br w:type="page"/>
      </w:r>
    </w:p>
    <w:p w14:paraId="6D670416" w14:textId="77777777" w:rsidR="005F1C33" w:rsidRPr="00284A41" w:rsidRDefault="00CD599B" w:rsidP="001A3E36">
      <w:pPr>
        <w:rPr>
          <w:b/>
        </w:rPr>
      </w:pPr>
      <w:r w:rsidRPr="00284A41">
        <w:rPr>
          <w:b/>
        </w:rPr>
        <w:lastRenderedPageBreak/>
        <w:t>C</w:t>
      </w:r>
      <w:r w:rsidR="005F1C33" w:rsidRPr="00284A41">
        <w:rPr>
          <w:b/>
        </w:rPr>
        <w:t>opyright</w:t>
      </w:r>
    </w:p>
    <w:p w14:paraId="1ADCD2C1" w14:textId="77777777" w:rsidR="001F10E4" w:rsidRDefault="001F10E4" w:rsidP="00891311">
      <w:r>
        <w:t>© 2021</w:t>
      </w:r>
    </w:p>
    <w:p w14:paraId="2414A48C" w14:textId="6645B27A" w:rsidR="005F1C33" w:rsidRPr="00284A41" w:rsidRDefault="005F1C33" w:rsidP="00891311">
      <w:r w:rsidRPr="00284A41">
        <w:t xml:space="preserve">Copyright in the information contained </w:t>
      </w:r>
      <w:r w:rsidR="00775FAB" w:rsidRPr="00284A41">
        <w:t>i</w:t>
      </w:r>
      <w:r w:rsidRPr="00284A41">
        <w:t xml:space="preserve">n this </w:t>
      </w:r>
      <w:r w:rsidR="00E27A53" w:rsidRPr="00284A41">
        <w:t>document</w:t>
      </w:r>
      <w:r w:rsidR="00EC4C95" w:rsidRPr="00284A41">
        <w:t xml:space="preserve"> </w:t>
      </w:r>
      <w:r w:rsidRPr="00284A41">
        <w:t>is owned and protected by the National Disability Insurance Scheme Launch Transition Agency (National Disability Insurance Agency).</w:t>
      </w:r>
    </w:p>
    <w:p w14:paraId="46F95FB5" w14:textId="77777777" w:rsidR="002506D2" w:rsidRPr="00284A41" w:rsidRDefault="002506D2" w:rsidP="001A3E36"/>
    <w:p w14:paraId="67D97C37" w14:textId="77777777" w:rsidR="002506D2" w:rsidRPr="00284A41" w:rsidRDefault="002506D2" w:rsidP="002506D2">
      <w:pPr>
        <w:rPr>
          <w:b/>
        </w:rPr>
      </w:pPr>
      <w:r w:rsidRPr="00284A41">
        <w:rPr>
          <w:b/>
        </w:rPr>
        <w:t>Use of National Disability Insurance Agency copyright material</w:t>
      </w:r>
    </w:p>
    <w:p w14:paraId="1D7F458A" w14:textId="4B53F69C" w:rsidR="002506D2" w:rsidRPr="00284A41" w:rsidRDefault="002506D2" w:rsidP="002506D2">
      <w:r w:rsidRPr="00284A41">
        <w:t xml:space="preserve">The material in this report, with the exception of logos, trademarks, third party material and other content as specified, is licensed under Creative Commons CC NC licence, version </w:t>
      </w:r>
      <w:r w:rsidR="001F10E4">
        <w:t>4</w:t>
      </w:r>
      <w:r w:rsidRPr="00284A41">
        <w:t>.0. With the exception of logos, trademarks, third party material and other content as specified, you may reproduce the material in this document, provided you acknowledge the National Disability Insurance Agency as the owner of all intellectual property rights in the reproduced material by using ‘© National Disability Insurance Sche</w:t>
      </w:r>
      <w:r w:rsidR="001F10E4">
        <w:t>me Launch Transition Agency 2021</w:t>
      </w:r>
      <w:r w:rsidRPr="00284A41">
        <w:t>’ and do not use the material for commercial purposes.</w:t>
      </w:r>
    </w:p>
    <w:p w14:paraId="369B86C4" w14:textId="049C0C71" w:rsidR="002506D2" w:rsidRDefault="002506D2" w:rsidP="002506D2">
      <w:r w:rsidRPr="00284A41">
        <w:t>Reproduction of any Creative Commons material in this document is subject to the CC NC licence conditions available on the Creative Commons site, as is the full legal code for this material.</w:t>
      </w:r>
    </w:p>
    <w:p w14:paraId="7195FFCC" w14:textId="54F849AF" w:rsidR="00E0689D" w:rsidRDefault="00E0689D" w:rsidP="002506D2"/>
    <w:p w14:paraId="542F98B6" w14:textId="3B2213A4" w:rsidR="00E0689D" w:rsidRPr="00E0689D" w:rsidRDefault="00E0689D" w:rsidP="002506D2">
      <w:pPr>
        <w:rPr>
          <w:b/>
        </w:rPr>
      </w:pPr>
      <w:r w:rsidRPr="00E0689D">
        <w:rPr>
          <w:b/>
        </w:rPr>
        <w:t>Footnotes</w:t>
      </w:r>
    </w:p>
    <w:p w14:paraId="25585013" w14:textId="62B3528A" w:rsidR="00E0689D" w:rsidRPr="00284A41" w:rsidRDefault="00E0689D" w:rsidP="002506D2">
      <w:r>
        <w:t>Footnotes are repeated in the section “Footnotes” at the end of the document.</w:t>
      </w:r>
    </w:p>
    <w:p w14:paraId="67DFF9F2" w14:textId="77777777" w:rsidR="00416335" w:rsidRPr="00284A41" w:rsidRDefault="00416335" w:rsidP="001A3E36"/>
    <w:p w14:paraId="16849F32" w14:textId="77777777" w:rsidR="008B4DE2" w:rsidRPr="00284A41" w:rsidRDefault="008B4DE2" w:rsidP="001A3E36">
      <w:pPr>
        <w:rPr>
          <w:b/>
        </w:rPr>
      </w:pPr>
      <w:r w:rsidRPr="00284A41">
        <w:rPr>
          <w:b/>
        </w:rPr>
        <w:t>Terms that we use</w:t>
      </w:r>
    </w:p>
    <w:p w14:paraId="04F58428" w14:textId="77777777" w:rsidR="00E0689D" w:rsidRPr="00E0689D" w:rsidRDefault="00E0689D" w:rsidP="00E0689D">
      <w:pPr>
        <w:tabs>
          <w:tab w:val="left" w:pos="2230"/>
        </w:tabs>
        <w:rPr>
          <w:b/>
          <w:i/>
        </w:rPr>
      </w:pPr>
      <w:r w:rsidRPr="00E0689D">
        <w:rPr>
          <w:b/>
          <w:i/>
        </w:rPr>
        <w:t>Acronym</w:t>
      </w:r>
      <w:r w:rsidRPr="00E0689D">
        <w:rPr>
          <w:b/>
          <w:i/>
        </w:rPr>
        <w:tab/>
        <w:t>Description</w:t>
      </w:r>
    </w:p>
    <w:p w14:paraId="59DB9586" w14:textId="77777777" w:rsidR="00E0689D" w:rsidRPr="00284A41" w:rsidRDefault="00E0689D" w:rsidP="00E0689D">
      <w:pPr>
        <w:tabs>
          <w:tab w:val="left" w:pos="2230"/>
        </w:tabs>
      </w:pPr>
      <w:r w:rsidRPr="00284A41">
        <w:t>DSW</w:t>
      </w:r>
      <w:r w:rsidRPr="00284A41">
        <w:tab/>
        <w:t>Disability Support Worker</w:t>
      </w:r>
    </w:p>
    <w:p w14:paraId="580408D9" w14:textId="77777777" w:rsidR="00E0689D" w:rsidRPr="00284A41" w:rsidRDefault="00E0689D" w:rsidP="00E0689D">
      <w:pPr>
        <w:tabs>
          <w:tab w:val="left" w:pos="2230"/>
        </w:tabs>
      </w:pPr>
      <w:r w:rsidRPr="00284A41">
        <w:t>EBA</w:t>
      </w:r>
      <w:r w:rsidRPr="00284A41">
        <w:tab/>
        <w:t>Enterprise Bargaining Agreement</w:t>
      </w:r>
    </w:p>
    <w:p w14:paraId="2DD45E80" w14:textId="77777777" w:rsidR="00E0689D" w:rsidRPr="00284A41" w:rsidRDefault="00E0689D" w:rsidP="00E0689D">
      <w:pPr>
        <w:tabs>
          <w:tab w:val="left" w:pos="2230"/>
        </w:tabs>
      </w:pPr>
      <w:r w:rsidRPr="00284A41">
        <w:t>FLS</w:t>
      </w:r>
      <w:r w:rsidRPr="00284A41">
        <w:tab/>
        <w:t>Front Line Supervisor</w:t>
      </w:r>
    </w:p>
    <w:p w14:paraId="473A1D08" w14:textId="77777777" w:rsidR="00E0689D" w:rsidRPr="00284A41" w:rsidRDefault="00E0689D" w:rsidP="00E0689D">
      <w:pPr>
        <w:tabs>
          <w:tab w:val="left" w:pos="2230"/>
        </w:tabs>
      </w:pPr>
      <w:r w:rsidRPr="00284A41">
        <w:t>ILO</w:t>
      </w:r>
      <w:r w:rsidRPr="00284A41">
        <w:tab/>
        <w:t>Individualised Living Options</w:t>
      </w:r>
    </w:p>
    <w:p w14:paraId="1B788F27" w14:textId="77777777" w:rsidR="00E0689D" w:rsidRPr="00284A41" w:rsidRDefault="00E0689D" w:rsidP="00E0689D">
      <w:pPr>
        <w:tabs>
          <w:tab w:val="left" w:pos="2230"/>
        </w:tabs>
      </w:pPr>
      <w:r w:rsidRPr="00284A41">
        <w:t>NDIA</w:t>
      </w:r>
      <w:r w:rsidRPr="00284A41">
        <w:tab/>
        <w:t>National Disability Insurance Agency</w:t>
      </w:r>
    </w:p>
    <w:p w14:paraId="7B189D70" w14:textId="77777777" w:rsidR="00E0689D" w:rsidRPr="00284A41" w:rsidRDefault="00E0689D" w:rsidP="00E0689D">
      <w:pPr>
        <w:tabs>
          <w:tab w:val="left" w:pos="2230"/>
        </w:tabs>
      </w:pPr>
      <w:r w:rsidRPr="00284A41">
        <w:t>NDIS</w:t>
      </w:r>
      <w:r w:rsidRPr="00284A41">
        <w:tab/>
        <w:t>National Disability Insurance Scheme</w:t>
      </w:r>
    </w:p>
    <w:p w14:paraId="7A5CBC75" w14:textId="77777777" w:rsidR="00E0689D" w:rsidRPr="00284A41" w:rsidRDefault="00E0689D" w:rsidP="00E0689D">
      <w:pPr>
        <w:tabs>
          <w:tab w:val="left" w:pos="2230"/>
        </w:tabs>
      </w:pPr>
      <w:r w:rsidRPr="00284A41">
        <w:t>SCHADS Award</w:t>
      </w:r>
      <w:r w:rsidRPr="00284A41">
        <w:tab/>
        <w:t>Social, Community, Home Care and Disability Services Award 2010</w:t>
      </w:r>
    </w:p>
    <w:p w14:paraId="52B6CE90" w14:textId="77777777" w:rsidR="00E0689D" w:rsidRPr="00284A41" w:rsidRDefault="00E0689D" w:rsidP="00E0689D">
      <w:pPr>
        <w:tabs>
          <w:tab w:val="left" w:pos="2230"/>
        </w:tabs>
      </w:pPr>
      <w:r w:rsidRPr="00284A41">
        <w:t>SIL</w:t>
      </w:r>
      <w:r w:rsidRPr="00284A41">
        <w:tab/>
        <w:t>Supported Independent Living</w:t>
      </w:r>
    </w:p>
    <w:p w14:paraId="395E97AB" w14:textId="721EF46D" w:rsidR="00B9773D" w:rsidRPr="00284A41" w:rsidRDefault="00B9773D" w:rsidP="00773F6C">
      <w:pPr>
        <w:rPr>
          <w:b/>
        </w:rPr>
        <w:sectPr w:rsidR="00B9773D" w:rsidRPr="00284A41" w:rsidSect="0064288A">
          <w:footerReference w:type="first" r:id="rId15"/>
          <w:type w:val="nextColumn"/>
          <w:pgSz w:w="11906" w:h="16838" w:code="9"/>
          <w:pgMar w:top="1440" w:right="1440" w:bottom="1440" w:left="1440" w:header="709" w:footer="709" w:gutter="0"/>
          <w:cols w:space="708"/>
          <w:titlePg/>
          <w:docGrid w:linePitch="360"/>
        </w:sectPr>
      </w:pPr>
    </w:p>
    <w:p w14:paraId="7CED42C0" w14:textId="77777777" w:rsidR="007219F1" w:rsidRPr="00284A41" w:rsidRDefault="007219F1" w:rsidP="001F10E4">
      <w:pPr>
        <w:pStyle w:val="TOCHeading"/>
      </w:pPr>
      <w:r w:rsidRPr="001F10E4">
        <w:lastRenderedPageBreak/>
        <w:t>Contents</w:t>
      </w:r>
    </w:p>
    <w:p w14:paraId="44D583DA" w14:textId="34D80CF8" w:rsidR="00E0689D" w:rsidRDefault="0040062A">
      <w:pPr>
        <w:pStyle w:val="TOC1"/>
        <w:rPr>
          <w:rFonts w:eastAsiaTheme="minorEastAsia"/>
          <w:b w:val="0"/>
          <w:noProof/>
          <w:lang w:eastAsia="en-AU"/>
        </w:rPr>
      </w:pPr>
      <w:r w:rsidRPr="00284A41">
        <w:fldChar w:fldCharType="begin"/>
      </w:r>
      <w:r w:rsidR="005B15E3" w:rsidRPr="00284A41">
        <w:instrText xml:space="preserve"> TOC \o "1-2</w:instrText>
      </w:r>
      <w:r w:rsidRPr="00284A41">
        <w:instrText xml:space="preserve">" \h \z \u </w:instrText>
      </w:r>
      <w:r w:rsidRPr="00284A41">
        <w:fldChar w:fldCharType="separate"/>
      </w:r>
      <w:hyperlink w:anchor="_Toc75881961" w:history="1">
        <w:r w:rsidR="00E0689D" w:rsidRPr="00221976">
          <w:rPr>
            <w:rStyle w:val="Hyperlink"/>
            <w:noProof/>
          </w:rPr>
          <w:t>Executive Summary</w:t>
        </w:r>
        <w:r w:rsidR="00E0689D">
          <w:rPr>
            <w:noProof/>
            <w:webHidden/>
          </w:rPr>
          <w:tab/>
        </w:r>
        <w:r w:rsidR="00E0689D">
          <w:rPr>
            <w:noProof/>
            <w:webHidden/>
          </w:rPr>
          <w:fldChar w:fldCharType="begin"/>
        </w:r>
        <w:r w:rsidR="00E0689D">
          <w:rPr>
            <w:noProof/>
            <w:webHidden/>
          </w:rPr>
          <w:instrText xml:space="preserve"> PAGEREF _Toc75881961 \h </w:instrText>
        </w:r>
        <w:r w:rsidR="00E0689D">
          <w:rPr>
            <w:noProof/>
            <w:webHidden/>
          </w:rPr>
        </w:r>
        <w:r w:rsidR="00E0689D">
          <w:rPr>
            <w:noProof/>
            <w:webHidden/>
          </w:rPr>
          <w:fldChar w:fldCharType="separate"/>
        </w:r>
        <w:r w:rsidR="00E0689D">
          <w:rPr>
            <w:noProof/>
            <w:webHidden/>
          </w:rPr>
          <w:t>5</w:t>
        </w:r>
        <w:r w:rsidR="00E0689D">
          <w:rPr>
            <w:noProof/>
            <w:webHidden/>
          </w:rPr>
          <w:fldChar w:fldCharType="end"/>
        </w:r>
      </w:hyperlink>
    </w:p>
    <w:p w14:paraId="4E3016A4" w14:textId="10BF6F98" w:rsidR="00E0689D" w:rsidRDefault="00935584">
      <w:pPr>
        <w:pStyle w:val="TOC1"/>
        <w:rPr>
          <w:rFonts w:eastAsiaTheme="minorEastAsia"/>
          <w:b w:val="0"/>
          <w:noProof/>
          <w:lang w:eastAsia="en-AU"/>
        </w:rPr>
      </w:pPr>
      <w:hyperlink w:anchor="_Toc75881962" w:history="1">
        <w:r w:rsidR="00E0689D" w:rsidRPr="00221976">
          <w:rPr>
            <w:rStyle w:val="Hyperlink"/>
            <w:noProof/>
          </w:rPr>
          <w:t>1</w:t>
        </w:r>
        <w:r w:rsidR="00E0689D">
          <w:rPr>
            <w:rFonts w:eastAsiaTheme="minorEastAsia"/>
            <w:b w:val="0"/>
            <w:noProof/>
            <w:lang w:eastAsia="en-AU"/>
          </w:rPr>
          <w:tab/>
        </w:r>
        <w:r w:rsidR="00E0689D" w:rsidRPr="00221976">
          <w:rPr>
            <w:rStyle w:val="Hyperlink"/>
            <w:noProof/>
          </w:rPr>
          <w:t>Introduction</w:t>
        </w:r>
        <w:r w:rsidR="00E0689D">
          <w:rPr>
            <w:noProof/>
            <w:webHidden/>
          </w:rPr>
          <w:tab/>
        </w:r>
        <w:r w:rsidR="00E0689D">
          <w:rPr>
            <w:noProof/>
            <w:webHidden/>
          </w:rPr>
          <w:fldChar w:fldCharType="begin"/>
        </w:r>
        <w:r w:rsidR="00E0689D">
          <w:rPr>
            <w:noProof/>
            <w:webHidden/>
          </w:rPr>
          <w:instrText xml:space="preserve"> PAGEREF _Toc75881962 \h </w:instrText>
        </w:r>
        <w:r w:rsidR="00E0689D">
          <w:rPr>
            <w:noProof/>
            <w:webHidden/>
          </w:rPr>
        </w:r>
        <w:r w:rsidR="00E0689D">
          <w:rPr>
            <w:noProof/>
            <w:webHidden/>
          </w:rPr>
          <w:fldChar w:fldCharType="separate"/>
        </w:r>
        <w:r w:rsidR="00E0689D">
          <w:rPr>
            <w:noProof/>
            <w:webHidden/>
          </w:rPr>
          <w:t>7</w:t>
        </w:r>
        <w:r w:rsidR="00E0689D">
          <w:rPr>
            <w:noProof/>
            <w:webHidden/>
          </w:rPr>
          <w:fldChar w:fldCharType="end"/>
        </w:r>
      </w:hyperlink>
    </w:p>
    <w:p w14:paraId="25E16041" w14:textId="2B60BF97" w:rsidR="00E0689D" w:rsidRDefault="00935584">
      <w:pPr>
        <w:pStyle w:val="TOC2"/>
        <w:tabs>
          <w:tab w:val="left" w:pos="1134"/>
          <w:tab w:val="right" w:leader="dot" w:pos="9016"/>
        </w:tabs>
        <w:rPr>
          <w:rFonts w:eastAsiaTheme="minorEastAsia"/>
          <w:noProof/>
          <w:lang w:eastAsia="en-AU"/>
        </w:rPr>
      </w:pPr>
      <w:hyperlink w:anchor="_Toc75881963" w:history="1">
        <w:r w:rsidR="00E0689D" w:rsidRPr="00221976">
          <w:rPr>
            <w:rStyle w:val="Hyperlink"/>
            <w:noProof/>
          </w:rPr>
          <w:t>1.1</w:t>
        </w:r>
        <w:r w:rsidR="00E0689D">
          <w:rPr>
            <w:rFonts w:eastAsiaTheme="minorEastAsia"/>
            <w:noProof/>
            <w:lang w:eastAsia="en-AU"/>
          </w:rPr>
          <w:tab/>
        </w:r>
        <w:r w:rsidR="00E0689D" w:rsidRPr="00221976">
          <w:rPr>
            <w:rStyle w:val="Hyperlink"/>
            <w:noProof/>
          </w:rPr>
          <w:t>Context</w:t>
        </w:r>
        <w:r w:rsidR="00E0689D">
          <w:rPr>
            <w:noProof/>
            <w:webHidden/>
          </w:rPr>
          <w:tab/>
        </w:r>
        <w:r w:rsidR="00E0689D">
          <w:rPr>
            <w:noProof/>
            <w:webHidden/>
          </w:rPr>
          <w:fldChar w:fldCharType="begin"/>
        </w:r>
        <w:r w:rsidR="00E0689D">
          <w:rPr>
            <w:noProof/>
            <w:webHidden/>
          </w:rPr>
          <w:instrText xml:space="preserve"> PAGEREF _Toc75881963 \h </w:instrText>
        </w:r>
        <w:r w:rsidR="00E0689D">
          <w:rPr>
            <w:noProof/>
            <w:webHidden/>
          </w:rPr>
        </w:r>
        <w:r w:rsidR="00E0689D">
          <w:rPr>
            <w:noProof/>
            <w:webHidden/>
          </w:rPr>
          <w:fldChar w:fldCharType="separate"/>
        </w:r>
        <w:r w:rsidR="00E0689D">
          <w:rPr>
            <w:noProof/>
            <w:webHidden/>
          </w:rPr>
          <w:t>7</w:t>
        </w:r>
        <w:r w:rsidR="00E0689D">
          <w:rPr>
            <w:noProof/>
            <w:webHidden/>
          </w:rPr>
          <w:fldChar w:fldCharType="end"/>
        </w:r>
      </w:hyperlink>
    </w:p>
    <w:p w14:paraId="52366CD0" w14:textId="3DF40276" w:rsidR="00E0689D" w:rsidRDefault="00935584">
      <w:pPr>
        <w:pStyle w:val="TOC2"/>
        <w:tabs>
          <w:tab w:val="left" w:pos="1134"/>
          <w:tab w:val="right" w:leader="dot" w:pos="9016"/>
        </w:tabs>
        <w:rPr>
          <w:rFonts w:eastAsiaTheme="minorEastAsia"/>
          <w:noProof/>
          <w:lang w:eastAsia="en-AU"/>
        </w:rPr>
      </w:pPr>
      <w:hyperlink w:anchor="_Toc75881964" w:history="1">
        <w:r w:rsidR="00E0689D" w:rsidRPr="00221976">
          <w:rPr>
            <w:rStyle w:val="Hyperlink"/>
            <w:noProof/>
          </w:rPr>
          <w:t>1.2</w:t>
        </w:r>
        <w:r w:rsidR="00E0689D">
          <w:rPr>
            <w:rFonts w:eastAsiaTheme="minorEastAsia"/>
            <w:noProof/>
            <w:lang w:eastAsia="en-AU"/>
          </w:rPr>
          <w:tab/>
        </w:r>
        <w:r w:rsidR="00E0689D" w:rsidRPr="00221976">
          <w:rPr>
            <w:rStyle w:val="Hyperlink"/>
            <w:noProof/>
          </w:rPr>
          <w:t>Conduct of the Review</w:t>
        </w:r>
        <w:r w:rsidR="00E0689D">
          <w:rPr>
            <w:noProof/>
            <w:webHidden/>
          </w:rPr>
          <w:tab/>
        </w:r>
        <w:r w:rsidR="00E0689D">
          <w:rPr>
            <w:noProof/>
            <w:webHidden/>
          </w:rPr>
          <w:fldChar w:fldCharType="begin"/>
        </w:r>
        <w:r w:rsidR="00E0689D">
          <w:rPr>
            <w:noProof/>
            <w:webHidden/>
          </w:rPr>
          <w:instrText xml:space="preserve"> PAGEREF _Toc75881964 \h </w:instrText>
        </w:r>
        <w:r w:rsidR="00E0689D">
          <w:rPr>
            <w:noProof/>
            <w:webHidden/>
          </w:rPr>
        </w:r>
        <w:r w:rsidR="00E0689D">
          <w:rPr>
            <w:noProof/>
            <w:webHidden/>
          </w:rPr>
          <w:fldChar w:fldCharType="separate"/>
        </w:r>
        <w:r w:rsidR="00E0689D">
          <w:rPr>
            <w:noProof/>
            <w:webHidden/>
          </w:rPr>
          <w:t>11</w:t>
        </w:r>
        <w:r w:rsidR="00E0689D">
          <w:rPr>
            <w:noProof/>
            <w:webHidden/>
          </w:rPr>
          <w:fldChar w:fldCharType="end"/>
        </w:r>
      </w:hyperlink>
    </w:p>
    <w:p w14:paraId="0CF9412E" w14:textId="565C927E" w:rsidR="00E0689D" w:rsidRDefault="00935584">
      <w:pPr>
        <w:pStyle w:val="TOC2"/>
        <w:tabs>
          <w:tab w:val="left" w:pos="1134"/>
          <w:tab w:val="right" w:leader="dot" w:pos="9016"/>
        </w:tabs>
        <w:rPr>
          <w:rFonts w:eastAsiaTheme="minorEastAsia"/>
          <w:noProof/>
          <w:lang w:eastAsia="en-AU"/>
        </w:rPr>
      </w:pPr>
      <w:hyperlink w:anchor="_Toc75881965" w:history="1">
        <w:r w:rsidR="00E0689D" w:rsidRPr="00221976">
          <w:rPr>
            <w:rStyle w:val="Hyperlink"/>
            <w:noProof/>
          </w:rPr>
          <w:t>1.3</w:t>
        </w:r>
        <w:r w:rsidR="00E0689D">
          <w:rPr>
            <w:rFonts w:eastAsiaTheme="minorEastAsia"/>
            <w:noProof/>
            <w:lang w:eastAsia="en-AU"/>
          </w:rPr>
          <w:tab/>
        </w:r>
        <w:r w:rsidR="00E0689D" w:rsidRPr="00221976">
          <w:rPr>
            <w:rStyle w:val="Hyperlink"/>
            <w:noProof/>
          </w:rPr>
          <w:t>Methodology</w:t>
        </w:r>
        <w:r w:rsidR="00E0689D">
          <w:rPr>
            <w:noProof/>
            <w:webHidden/>
          </w:rPr>
          <w:tab/>
        </w:r>
        <w:r w:rsidR="00E0689D">
          <w:rPr>
            <w:noProof/>
            <w:webHidden/>
          </w:rPr>
          <w:fldChar w:fldCharType="begin"/>
        </w:r>
        <w:r w:rsidR="00E0689D">
          <w:rPr>
            <w:noProof/>
            <w:webHidden/>
          </w:rPr>
          <w:instrText xml:space="preserve"> PAGEREF _Toc75881965 \h </w:instrText>
        </w:r>
        <w:r w:rsidR="00E0689D">
          <w:rPr>
            <w:noProof/>
            <w:webHidden/>
          </w:rPr>
        </w:r>
        <w:r w:rsidR="00E0689D">
          <w:rPr>
            <w:noProof/>
            <w:webHidden/>
          </w:rPr>
          <w:fldChar w:fldCharType="separate"/>
        </w:r>
        <w:r w:rsidR="00E0689D">
          <w:rPr>
            <w:noProof/>
            <w:webHidden/>
          </w:rPr>
          <w:t>12</w:t>
        </w:r>
        <w:r w:rsidR="00E0689D">
          <w:rPr>
            <w:noProof/>
            <w:webHidden/>
          </w:rPr>
          <w:fldChar w:fldCharType="end"/>
        </w:r>
      </w:hyperlink>
    </w:p>
    <w:p w14:paraId="51463E7A" w14:textId="55A74448" w:rsidR="00E0689D" w:rsidRDefault="00935584">
      <w:pPr>
        <w:pStyle w:val="TOC1"/>
        <w:rPr>
          <w:rFonts w:eastAsiaTheme="minorEastAsia"/>
          <w:b w:val="0"/>
          <w:noProof/>
          <w:lang w:eastAsia="en-AU"/>
        </w:rPr>
      </w:pPr>
      <w:hyperlink w:anchor="_Toc75881966" w:history="1">
        <w:r w:rsidR="00E0689D" w:rsidRPr="00221976">
          <w:rPr>
            <w:rStyle w:val="Hyperlink"/>
            <w:noProof/>
          </w:rPr>
          <w:t>2</w:t>
        </w:r>
        <w:r w:rsidR="00E0689D">
          <w:rPr>
            <w:rFonts w:eastAsiaTheme="minorEastAsia"/>
            <w:b w:val="0"/>
            <w:noProof/>
            <w:lang w:eastAsia="en-AU"/>
          </w:rPr>
          <w:tab/>
        </w:r>
        <w:r w:rsidR="00E0689D" w:rsidRPr="00221976">
          <w:rPr>
            <w:rStyle w:val="Hyperlink"/>
            <w:noProof/>
          </w:rPr>
          <w:t>Findings</w:t>
        </w:r>
        <w:r w:rsidR="00E0689D">
          <w:rPr>
            <w:noProof/>
            <w:webHidden/>
          </w:rPr>
          <w:tab/>
        </w:r>
        <w:r w:rsidR="00E0689D">
          <w:rPr>
            <w:noProof/>
            <w:webHidden/>
          </w:rPr>
          <w:fldChar w:fldCharType="begin"/>
        </w:r>
        <w:r w:rsidR="00E0689D">
          <w:rPr>
            <w:noProof/>
            <w:webHidden/>
          </w:rPr>
          <w:instrText xml:space="preserve"> PAGEREF _Toc75881966 \h </w:instrText>
        </w:r>
        <w:r w:rsidR="00E0689D">
          <w:rPr>
            <w:noProof/>
            <w:webHidden/>
          </w:rPr>
        </w:r>
        <w:r w:rsidR="00E0689D">
          <w:rPr>
            <w:noProof/>
            <w:webHidden/>
          </w:rPr>
          <w:fldChar w:fldCharType="separate"/>
        </w:r>
        <w:r w:rsidR="00E0689D">
          <w:rPr>
            <w:noProof/>
            <w:webHidden/>
          </w:rPr>
          <w:t>16</w:t>
        </w:r>
        <w:r w:rsidR="00E0689D">
          <w:rPr>
            <w:noProof/>
            <w:webHidden/>
          </w:rPr>
          <w:fldChar w:fldCharType="end"/>
        </w:r>
      </w:hyperlink>
    </w:p>
    <w:p w14:paraId="0ED7B414" w14:textId="10A2EDC9" w:rsidR="00E0689D" w:rsidRDefault="00935584">
      <w:pPr>
        <w:pStyle w:val="TOC2"/>
        <w:tabs>
          <w:tab w:val="left" w:pos="1134"/>
          <w:tab w:val="right" w:leader="dot" w:pos="9016"/>
        </w:tabs>
        <w:rPr>
          <w:rFonts w:eastAsiaTheme="minorEastAsia"/>
          <w:noProof/>
          <w:lang w:eastAsia="en-AU"/>
        </w:rPr>
      </w:pPr>
      <w:hyperlink w:anchor="_Toc75881967" w:history="1">
        <w:r w:rsidR="00E0689D" w:rsidRPr="00221976">
          <w:rPr>
            <w:rStyle w:val="Hyperlink"/>
            <w:noProof/>
          </w:rPr>
          <w:t>2.1</w:t>
        </w:r>
        <w:r w:rsidR="00E0689D">
          <w:rPr>
            <w:rFonts w:eastAsiaTheme="minorEastAsia"/>
            <w:noProof/>
            <w:lang w:eastAsia="en-AU"/>
          </w:rPr>
          <w:tab/>
        </w:r>
        <w:r w:rsidR="00E0689D" w:rsidRPr="00221976">
          <w:rPr>
            <w:rStyle w:val="Hyperlink"/>
            <w:noProof/>
          </w:rPr>
          <w:t>Wages and on-costs</w:t>
        </w:r>
        <w:r w:rsidR="00E0689D">
          <w:rPr>
            <w:noProof/>
            <w:webHidden/>
          </w:rPr>
          <w:tab/>
        </w:r>
        <w:r w:rsidR="00E0689D">
          <w:rPr>
            <w:noProof/>
            <w:webHidden/>
          </w:rPr>
          <w:fldChar w:fldCharType="begin"/>
        </w:r>
        <w:r w:rsidR="00E0689D">
          <w:rPr>
            <w:noProof/>
            <w:webHidden/>
          </w:rPr>
          <w:instrText xml:space="preserve"> PAGEREF _Toc75881967 \h </w:instrText>
        </w:r>
        <w:r w:rsidR="00E0689D">
          <w:rPr>
            <w:noProof/>
            <w:webHidden/>
          </w:rPr>
        </w:r>
        <w:r w:rsidR="00E0689D">
          <w:rPr>
            <w:noProof/>
            <w:webHidden/>
          </w:rPr>
          <w:fldChar w:fldCharType="separate"/>
        </w:r>
        <w:r w:rsidR="00E0689D">
          <w:rPr>
            <w:noProof/>
            <w:webHidden/>
          </w:rPr>
          <w:t>16</w:t>
        </w:r>
        <w:r w:rsidR="00E0689D">
          <w:rPr>
            <w:noProof/>
            <w:webHidden/>
          </w:rPr>
          <w:fldChar w:fldCharType="end"/>
        </w:r>
      </w:hyperlink>
    </w:p>
    <w:p w14:paraId="04240A02" w14:textId="3EA1B5BD" w:rsidR="00E0689D" w:rsidRDefault="00935584">
      <w:pPr>
        <w:pStyle w:val="TOC2"/>
        <w:tabs>
          <w:tab w:val="left" w:pos="1134"/>
          <w:tab w:val="right" w:leader="dot" w:pos="9016"/>
        </w:tabs>
        <w:rPr>
          <w:rFonts w:eastAsiaTheme="minorEastAsia"/>
          <w:noProof/>
          <w:lang w:eastAsia="en-AU"/>
        </w:rPr>
      </w:pPr>
      <w:hyperlink w:anchor="_Toc75881968" w:history="1">
        <w:r w:rsidR="00E0689D" w:rsidRPr="00221976">
          <w:rPr>
            <w:rStyle w:val="Hyperlink"/>
            <w:noProof/>
          </w:rPr>
          <w:t>2.2</w:t>
        </w:r>
        <w:r w:rsidR="00E0689D">
          <w:rPr>
            <w:rFonts w:eastAsiaTheme="minorEastAsia"/>
            <w:noProof/>
            <w:lang w:eastAsia="en-AU"/>
          </w:rPr>
          <w:tab/>
        </w:r>
        <w:r w:rsidR="00E0689D" w:rsidRPr="00221976">
          <w:rPr>
            <w:rStyle w:val="Hyperlink"/>
            <w:noProof/>
          </w:rPr>
          <w:t>Workforce mix</w:t>
        </w:r>
        <w:r w:rsidR="00E0689D">
          <w:rPr>
            <w:noProof/>
            <w:webHidden/>
          </w:rPr>
          <w:tab/>
        </w:r>
        <w:r w:rsidR="00E0689D">
          <w:rPr>
            <w:noProof/>
            <w:webHidden/>
          </w:rPr>
          <w:fldChar w:fldCharType="begin"/>
        </w:r>
        <w:r w:rsidR="00E0689D">
          <w:rPr>
            <w:noProof/>
            <w:webHidden/>
          </w:rPr>
          <w:instrText xml:space="preserve"> PAGEREF _Toc75881968 \h </w:instrText>
        </w:r>
        <w:r w:rsidR="00E0689D">
          <w:rPr>
            <w:noProof/>
            <w:webHidden/>
          </w:rPr>
        </w:r>
        <w:r w:rsidR="00E0689D">
          <w:rPr>
            <w:noProof/>
            <w:webHidden/>
          </w:rPr>
          <w:fldChar w:fldCharType="separate"/>
        </w:r>
        <w:r w:rsidR="00E0689D">
          <w:rPr>
            <w:noProof/>
            <w:webHidden/>
          </w:rPr>
          <w:t>22</w:t>
        </w:r>
        <w:r w:rsidR="00E0689D">
          <w:rPr>
            <w:noProof/>
            <w:webHidden/>
          </w:rPr>
          <w:fldChar w:fldCharType="end"/>
        </w:r>
      </w:hyperlink>
    </w:p>
    <w:p w14:paraId="75A09EAD" w14:textId="2C9211EC" w:rsidR="00E0689D" w:rsidRDefault="00935584">
      <w:pPr>
        <w:pStyle w:val="TOC2"/>
        <w:tabs>
          <w:tab w:val="left" w:pos="1134"/>
          <w:tab w:val="right" w:leader="dot" w:pos="9016"/>
        </w:tabs>
        <w:rPr>
          <w:rFonts w:eastAsiaTheme="minorEastAsia"/>
          <w:noProof/>
          <w:lang w:eastAsia="en-AU"/>
        </w:rPr>
      </w:pPr>
      <w:hyperlink w:anchor="_Toc75881969" w:history="1">
        <w:r w:rsidR="00E0689D" w:rsidRPr="00221976">
          <w:rPr>
            <w:rStyle w:val="Hyperlink"/>
            <w:noProof/>
          </w:rPr>
          <w:t>2.3</w:t>
        </w:r>
        <w:r w:rsidR="00E0689D">
          <w:rPr>
            <w:rFonts w:eastAsiaTheme="minorEastAsia"/>
            <w:noProof/>
            <w:lang w:eastAsia="en-AU"/>
          </w:rPr>
          <w:tab/>
        </w:r>
        <w:r w:rsidR="00E0689D" w:rsidRPr="00221976">
          <w:rPr>
            <w:rStyle w:val="Hyperlink"/>
            <w:noProof/>
          </w:rPr>
          <w:t>Utilisation</w:t>
        </w:r>
        <w:r w:rsidR="00E0689D">
          <w:rPr>
            <w:noProof/>
            <w:webHidden/>
          </w:rPr>
          <w:tab/>
        </w:r>
        <w:r w:rsidR="00E0689D">
          <w:rPr>
            <w:noProof/>
            <w:webHidden/>
          </w:rPr>
          <w:fldChar w:fldCharType="begin"/>
        </w:r>
        <w:r w:rsidR="00E0689D">
          <w:rPr>
            <w:noProof/>
            <w:webHidden/>
          </w:rPr>
          <w:instrText xml:space="preserve"> PAGEREF _Toc75881969 \h </w:instrText>
        </w:r>
        <w:r w:rsidR="00E0689D">
          <w:rPr>
            <w:noProof/>
            <w:webHidden/>
          </w:rPr>
        </w:r>
        <w:r w:rsidR="00E0689D">
          <w:rPr>
            <w:noProof/>
            <w:webHidden/>
          </w:rPr>
          <w:fldChar w:fldCharType="separate"/>
        </w:r>
        <w:r w:rsidR="00E0689D">
          <w:rPr>
            <w:noProof/>
            <w:webHidden/>
          </w:rPr>
          <w:t>25</w:t>
        </w:r>
        <w:r w:rsidR="00E0689D">
          <w:rPr>
            <w:noProof/>
            <w:webHidden/>
          </w:rPr>
          <w:fldChar w:fldCharType="end"/>
        </w:r>
      </w:hyperlink>
    </w:p>
    <w:p w14:paraId="2DF45CA4" w14:textId="36CDD02E" w:rsidR="00E0689D" w:rsidRDefault="00935584">
      <w:pPr>
        <w:pStyle w:val="TOC2"/>
        <w:tabs>
          <w:tab w:val="left" w:pos="1134"/>
          <w:tab w:val="right" w:leader="dot" w:pos="9016"/>
        </w:tabs>
        <w:rPr>
          <w:rFonts w:eastAsiaTheme="minorEastAsia"/>
          <w:noProof/>
          <w:lang w:eastAsia="en-AU"/>
        </w:rPr>
      </w:pPr>
      <w:hyperlink w:anchor="_Toc75881970" w:history="1">
        <w:r w:rsidR="00E0689D" w:rsidRPr="00221976">
          <w:rPr>
            <w:rStyle w:val="Hyperlink"/>
            <w:noProof/>
          </w:rPr>
          <w:t>2.4</w:t>
        </w:r>
        <w:r w:rsidR="00E0689D">
          <w:rPr>
            <w:rFonts w:eastAsiaTheme="minorEastAsia"/>
            <w:noProof/>
            <w:lang w:eastAsia="en-AU"/>
          </w:rPr>
          <w:tab/>
        </w:r>
        <w:r w:rsidR="00E0689D" w:rsidRPr="00221976">
          <w:rPr>
            <w:rStyle w:val="Hyperlink"/>
            <w:noProof/>
          </w:rPr>
          <w:t>Supervision costs</w:t>
        </w:r>
        <w:r w:rsidR="00E0689D">
          <w:rPr>
            <w:noProof/>
            <w:webHidden/>
          </w:rPr>
          <w:tab/>
        </w:r>
        <w:r w:rsidR="00E0689D">
          <w:rPr>
            <w:noProof/>
            <w:webHidden/>
          </w:rPr>
          <w:fldChar w:fldCharType="begin"/>
        </w:r>
        <w:r w:rsidR="00E0689D">
          <w:rPr>
            <w:noProof/>
            <w:webHidden/>
          </w:rPr>
          <w:instrText xml:space="preserve"> PAGEREF _Toc75881970 \h </w:instrText>
        </w:r>
        <w:r w:rsidR="00E0689D">
          <w:rPr>
            <w:noProof/>
            <w:webHidden/>
          </w:rPr>
        </w:r>
        <w:r w:rsidR="00E0689D">
          <w:rPr>
            <w:noProof/>
            <w:webHidden/>
          </w:rPr>
          <w:fldChar w:fldCharType="separate"/>
        </w:r>
        <w:r w:rsidR="00E0689D">
          <w:rPr>
            <w:noProof/>
            <w:webHidden/>
          </w:rPr>
          <w:t>29</w:t>
        </w:r>
        <w:r w:rsidR="00E0689D">
          <w:rPr>
            <w:noProof/>
            <w:webHidden/>
          </w:rPr>
          <w:fldChar w:fldCharType="end"/>
        </w:r>
      </w:hyperlink>
    </w:p>
    <w:p w14:paraId="1292DAEB" w14:textId="0A3E11A6" w:rsidR="00E0689D" w:rsidRDefault="00935584">
      <w:pPr>
        <w:pStyle w:val="TOC2"/>
        <w:tabs>
          <w:tab w:val="left" w:pos="1134"/>
          <w:tab w:val="right" w:leader="dot" w:pos="9016"/>
        </w:tabs>
        <w:rPr>
          <w:rFonts w:eastAsiaTheme="minorEastAsia"/>
          <w:noProof/>
          <w:lang w:eastAsia="en-AU"/>
        </w:rPr>
      </w:pPr>
      <w:hyperlink w:anchor="_Toc75881971" w:history="1">
        <w:r w:rsidR="00E0689D" w:rsidRPr="00221976">
          <w:rPr>
            <w:rStyle w:val="Hyperlink"/>
            <w:noProof/>
          </w:rPr>
          <w:t>2.5</w:t>
        </w:r>
        <w:r w:rsidR="00E0689D">
          <w:rPr>
            <w:rFonts w:eastAsiaTheme="minorEastAsia"/>
            <w:noProof/>
            <w:lang w:eastAsia="en-AU"/>
          </w:rPr>
          <w:tab/>
        </w:r>
        <w:r w:rsidR="00E0689D" w:rsidRPr="00221976">
          <w:rPr>
            <w:rStyle w:val="Hyperlink"/>
            <w:noProof/>
          </w:rPr>
          <w:t>Overheads</w:t>
        </w:r>
        <w:r w:rsidR="00E0689D">
          <w:rPr>
            <w:noProof/>
            <w:webHidden/>
          </w:rPr>
          <w:tab/>
        </w:r>
        <w:r w:rsidR="00E0689D">
          <w:rPr>
            <w:noProof/>
            <w:webHidden/>
          </w:rPr>
          <w:fldChar w:fldCharType="begin"/>
        </w:r>
        <w:r w:rsidR="00E0689D">
          <w:rPr>
            <w:noProof/>
            <w:webHidden/>
          </w:rPr>
          <w:instrText xml:space="preserve"> PAGEREF _Toc75881971 \h </w:instrText>
        </w:r>
        <w:r w:rsidR="00E0689D">
          <w:rPr>
            <w:noProof/>
            <w:webHidden/>
          </w:rPr>
        </w:r>
        <w:r w:rsidR="00E0689D">
          <w:rPr>
            <w:noProof/>
            <w:webHidden/>
          </w:rPr>
          <w:fldChar w:fldCharType="separate"/>
        </w:r>
        <w:r w:rsidR="00E0689D">
          <w:rPr>
            <w:noProof/>
            <w:webHidden/>
          </w:rPr>
          <w:t>33</w:t>
        </w:r>
        <w:r w:rsidR="00E0689D">
          <w:rPr>
            <w:noProof/>
            <w:webHidden/>
          </w:rPr>
          <w:fldChar w:fldCharType="end"/>
        </w:r>
      </w:hyperlink>
    </w:p>
    <w:p w14:paraId="26E52CF5" w14:textId="4DFBDBF7" w:rsidR="00E0689D" w:rsidRDefault="00935584">
      <w:pPr>
        <w:pStyle w:val="TOC2"/>
        <w:tabs>
          <w:tab w:val="left" w:pos="1134"/>
          <w:tab w:val="right" w:leader="dot" w:pos="9016"/>
        </w:tabs>
        <w:rPr>
          <w:rFonts w:eastAsiaTheme="minorEastAsia"/>
          <w:noProof/>
          <w:lang w:eastAsia="en-AU"/>
        </w:rPr>
      </w:pPr>
      <w:hyperlink w:anchor="_Toc75881972" w:history="1">
        <w:r w:rsidR="00E0689D" w:rsidRPr="00221976">
          <w:rPr>
            <w:rStyle w:val="Hyperlink"/>
            <w:noProof/>
          </w:rPr>
          <w:t>2.6</w:t>
        </w:r>
        <w:r w:rsidR="00E0689D">
          <w:rPr>
            <w:rFonts w:eastAsiaTheme="minorEastAsia"/>
            <w:noProof/>
            <w:lang w:eastAsia="en-AU"/>
          </w:rPr>
          <w:tab/>
        </w:r>
        <w:r w:rsidR="00E0689D" w:rsidRPr="00221976">
          <w:rPr>
            <w:rStyle w:val="Hyperlink"/>
            <w:noProof/>
          </w:rPr>
          <w:t>Supply costs specific to SIL services</w:t>
        </w:r>
        <w:r w:rsidR="00E0689D">
          <w:rPr>
            <w:noProof/>
            <w:webHidden/>
          </w:rPr>
          <w:tab/>
        </w:r>
        <w:r w:rsidR="00E0689D">
          <w:rPr>
            <w:noProof/>
            <w:webHidden/>
          </w:rPr>
          <w:fldChar w:fldCharType="begin"/>
        </w:r>
        <w:r w:rsidR="00E0689D">
          <w:rPr>
            <w:noProof/>
            <w:webHidden/>
          </w:rPr>
          <w:instrText xml:space="preserve"> PAGEREF _Toc75881972 \h </w:instrText>
        </w:r>
        <w:r w:rsidR="00E0689D">
          <w:rPr>
            <w:noProof/>
            <w:webHidden/>
          </w:rPr>
        </w:r>
        <w:r w:rsidR="00E0689D">
          <w:rPr>
            <w:noProof/>
            <w:webHidden/>
          </w:rPr>
          <w:fldChar w:fldCharType="separate"/>
        </w:r>
        <w:r w:rsidR="00E0689D">
          <w:rPr>
            <w:noProof/>
            <w:webHidden/>
          </w:rPr>
          <w:t>35</w:t>
        </w:r>
        <w:r w:rsidR="00E0689D">
          <w:rPr>
            <w:noProof/>
            <w:webHidden/>
          </w:rPr>
          <w:fldChar w:fldCharType="end"/>
        </w:r>
      </w:hyperlink>
    </w:p>
    <w:p w14:paraId="40FA86B3" w14:textId="518D6C23" w:rsidR="00E0689D" w:rsidRDefault="00935584">
      <w:pPr>
        <w:pStyle w:val="TOC1"/>
        <w:rPr>
          <w:rFonts w:eastAsiaTheme="minorEastAsia"/>
          <w:b w:val="0"/>
          <w:noProof/>
          <w:lang w:eastAsia="en-AU"/>
        </w:rPr>
      </w:pPr>
      <w:hyperlink w:anchor="_Toc75881973" w:history="1">
        <w:r w:rsidR="00E0689D" w:rsidRPr="00221976">
          <w:rPr>
            <w:rStyle w:val="Hyperlink"/>
            <w:noProof/>
          </w:rPr>
          <w:t>3</w:t>
        </w:r>
        <w:r w:rsidR="00E0689D">
          <w:rPr>
            <w:rFonts w:eastAsiaTheme="minorEastAsia"/>
            <w:b w:val="0"/>
            <w:noProof/>
            <w:lang w:eastAsia="en-AU"/>
          </w:rPr>
          <w:tab/>
        </w:r>
        <w:r w:rsidR="00E0689D" w:rsidRPr="00221976">
          <w:rPr>
            <w:rStyle w:val="Hyperlink"/>
            <w:noProof/>
          </w:rPr>
          <w:t>Conclusion and Recommendation</w:t>
        </w:r>
        <w:r w:rsidR="00E0689D">
          <w:rPr>
            <w:noProof/>
            <w:webHidden/>
          </w:rPr>
          <w:tab/>
        </w:r>
        <w:r w:rsidR="00E0689D">
          <w:rPr>
            <w:noProof/>
            <w:webHidden/>
          </w:rPr>
          <w:fldChar w:fldCharType="begin"/>
        </w:r>
        <w:r w:rsidR="00E0689D">
          <w:rPr>
            <w:noProof/>
            <w:webHidden/>
          </w:rPr>
          <w:instrText xml:space="preserve"> PAGEREF _Toc75881973 \h </w:instrText>
        </w:r>
        <w:r w:rsidR="00E0689D">
          <w:rPr>
            <w:noProof/>
            <w:webHidden/>
          </w:rPr>
        </w:r>
        <w:r w:rsidR="00E0689D">
          <w:rPr>
            <w:noProof/>
            <w:webHidden/>
          </w:rPr>
          <w:fldChar w:fldCharType="separate"/>
        </w:r>
        <w:r w:rsidR="00E0689D">
          <w:rPr>
            <w:noProof/>
            <w:webHidden/>
          </w:rPr>
          <w:t>43</w:t>
        </w:r>
        <w:r w:rsidR="00E0689D">
          <w:rPr>
            <w:noProof/>
            <w:webHidden/>
          </w:rPr>
          <w:fldChar w:fldCharType="end"/>
        </w:r>
      </w:hyperlink>
    </w:p>
    <w:p w14:paraId="660E56BE" w14:textId="20A25936" w:rsidR="00E0689D" w:rsidRDefault="00935584">
      <w:pPr>
        <w:pStyle w:val="TOC1"/>
        <w:rPr>
          <w:rFonts w:eastAsiaTheme="minorEastAsia"/>
          <w:b w:val="0"/>
          <w:noProof/>
          <w:lang w:eastAsia="en-AU"/>
        </w:rPr>
      </w:pPr>
      <w:hyperlink w:anchor="_Toc75881974" w:history="1">
        <w:r w:rsidR="00E0689D" w:rsidRPr="00221976">
          <w:rPr>
            <w:rStyle w:val="Hyperlink"/>
            <w:noProof/>
          </w:rPr>
          <w:t>Footnotes</w:t>
        </w:r>
        <w:r w:rsidR="00E0689D">
          <w:rPr>
            <w:noProof/>
            <w:webHidden/>
          </w:rPr>
          <w:tab/>
        </w:r>
        <w:r w:rsidR="00E0689D">
          <w:rPr>
            <w:noProof/>
            <w:webHidden/>
          </w:rPr>
          <w:fldChar w:fldCharType="begin"/>
        </w:r>
        <w:r w:rsidR="00E0689D">
          <w:rPr>
            <w:noProof/>
            <w:webHidden/>
          </w:rPr>
          <w:instrText xml:space="preserve"> PAGEREF _Toc75881974 \h </w:instrText>
        </w:r>
        <w:r w:rsidR="00E0689D">
          <w:rPr>
            <w:noProof/>
            <w:webHidden/>
          </w:rPr>
        </w:r>
        <w:r w:rsidR="00E0689D">
          <w:rPr>
            <w:noProof/>
            <w:webHidden/>
          </w:rPr>
          <w:fldChar w:fldCharType="separate"/>
        </w:r>
        <w:r w:rsidR="00E0689D">
          <w:rPr>
            <w:noProof/>
            <w:webHidden/>
          </w:rPr>
          <w:t>44</w:t>
        </w:r>
        <w:r w:rsidR="00E0689D">
          <w:rPr>
            <w:noProof/>
            <w:webHidden/>
          </w:rPr>
          <w:fldChar w:fldCharType="end"/>
        </w:r>
      </w:hyperlink>
    </w:p>
    <w:p w14:paraId="1C059213" w14:textId="32821E6A" w:rsidR="00405A0D" w:rsidRPr="00284A41" w:rsidRDefault="0040062A" w:rsidP="001A3E36">
      <w:pPr>
        <w:sectPr w:rsidR="00405A0D" w:rsidRPr="00284A41" w:rsidSect="0064288A">
          <w:type w:val="nextColumn"/>
          <w:pgSz w:w="11906" w:h="16838" w:code="9"/>
          <w:pgMar w:top="1440" w:right="1440" w:bottom="1440" w:left="1440" w:header="709" w:footer="709" w:gutter="0"/>
          <w:cols w:space="708"/>
          <w:titlePg/>
          <w:docGrid w:linePitch="360"/>
        </w:sectPr>
      </w:pPr>
      <w:r w:rsidRPr="00284A41">
        <w:fldChar w:fldCharType="end"/>
      </w:r>
    </w:p>
    <w:p w14:paraId="1CC1A4D7" w14:textId="77777777" w:rsidR="00405A0D" w:rsidRPr="00284A41" w:rsidRDefault="00405A0D" w:rsidP="001F10E4">
      <w:pPr>
        <w:pStyle w:val="TOCHeading"/>
      </w:pPr>
      <w:bookmarkStart w:id="1" w:name="_Toc8736669"/>
      <w:bookmarkStart w:id="2" w:name="_Toc8386006"/>
      <w:bookmarkStart w:id="3" w:name="_Toc8383891"/>
      <w:bookmarkStart w:id="4" w:name="_Toc8382415"/>
      <w:bookmarkStart w:id="5" w:name="_Toc8380047"/>
      <w:bookmarkStart w:id="6" w:name="_Toc16493859"/>
      <w:r w:rsidRPr="00284A41">
        <w:t xml:space="preserve">List of </w:t>
      </w:r>
      <w:bookmarkEnd w:id="1"/>
      <w:bookmarkEnd w:id="2"/>
      <w:bookmarkEnd w:id="3"/>
      <w:bookmarkEnd w:id="4"/>
      <w:bookmarkEnd w:id="5"/>
      <w:bookmarkEnd w:id="6"/>
      <w:r w:rsidR="008A5D91" w:rsidRPr="00284A41">
        <w:t>Exhibits</w:t>
      </w:r>
    </w:p>
    <w:p w14:paraId="18561C52" w14:textId="42A9A290" w:rsidR="00E0689D" w:rsidRDefault="00405A0D">
      <w:pPr>
        <w:pStyle w:val="TableofFigures"/>
        <w:tabs>
          <w:tab w:val="right" w:leader="dot" w:pos="9016"/>
        </w:tabs>
        <w:rPr>
          <w:rFonts w:eastAsiaTheme="minorEastAsia"/>
          <w:noProof/>
          <w:lang w:eastAsia="en-AU"/>
        </w:rPr>
      </w:pPr>
      <w:r w:rsidRPr="00284A41">
        <w:rPr>
          <w:rFonts w:ascii="Arial" w:hAnsi="Arial" w:cs="Arial"/>
        </w:rPr>
        <w:fldChar w:fldCharType="begin"/>
      </w:r>
      <w:r w:rsidR="008A5D91" w:rsidRPr="00284A41">
        <w:rPr>
          <w:rFonts w:ascii="Arial" w:hAnsi="Arial" w:cs="Arial"/>
        </w:rPr>
        <w:instrText xml:space="preserve"> TOC \h \z \c "Exhibit</w:instrText>
      </w:r>
      <w:r w:rsidRPr="00284A41">
        <w:rPr>
          <w:rFonts w:ascii="Arial" w:hAnsi="Arial" w:cs="Arial"/>
        </w:rPr>
        <w:instrText xml:space="preserve">" </w:instrText>
      </w:r>
      <w:r w:rsidRPr="00284A41">
        <w:rPr>
          <w:rFonts w:ascii="Arial" w:hAnsi="Arial" w:cs="Arial"/>
        </w:rPr>
        <w:fldChar w:fldCharType="separate"/>
      </w:r>
      <w:hyperlink w:anchor="_Toc75881504" w:history="1">
        <w:r w:rsidR="00E0689D" w:rsidRPr="001A2EBF">
          <w:rPr>
            <w:rStyle w:val="Hyperlink"/>
            <w:noProof/>
          </w:rPr>
          <w:t>Exhibit 1: Average Annualised Plan Budgets, 30 September 2020</w:t>
        </w:r>
        <w:r w:rsidR="00E0689D">
          <w:rPr>
            <w:noProof/>
            <w:webHidden/>
          </w:rPr>
          <w:tab/>
        </w:r>
        <w:r w:rsidR="00E0689D">
          <w:rPr>
            <w:noProof/>
            <w:webHidden/>
          </w:rPr>
          <w:fldChar w:fldCharType="begin"/>
        </w:r>
        <w:r w:rsidR="00E0689D">
          <w:rPr>
            <w:noProof/>
            <w:webHidden/>
          </w:rPr>
          <w:instrText xml:space="preserve"> PAGEREF _Toc75881504 \h </w:instrText>
        </w:r>
        <w:r w:rsidR="00E0689D">
          <w:rPr>
            <w:noProof/>
            <w:webHidden/>
          </w:rPr>
        </w:r>
        <w:r w:rsidR="00E0689D">
          <w:rPr>
            <w:noProof/>
            <w:webHidden/>
          </w:rPr>
          <w:fldChar w:fldCharType="separate"/>
        </w:r>
        <w:r w:rsidR="00E0689D">
          <w:rPr>
            <w:noProof/>
            <w:webHidden/>
          </w:rPr>
          <w:t>8</w:t>
        </w:r>
        <w:r w:rsidR="00E0689D">
          <w:rPr>
            <w:noProof/>
            <w:webHidden/>
          </w:rPr>
          <w:fldChar w:fldCharType="end"/>
        </w:r>
      </w:hyperlink>
    </w:p>
    <w:p w14:paraId="3A8929DD" w14:textId="7CE9345C" w:rsidR="00E0689D" w:rsidRDefault="00935584">
      <w:pPr>
        <w:pStyle w:val="TableofFigures"/>
        <w:tabs>
          <w:tab w:val="right" w:leader="dot" w:pos="9016"/>
        </w:tabs>
        <w:rPr>
          <w:rFonts w:eastAsiaTheme="minorEastAsia"/>
          <w:noProof/>
          <w:lang w:eastAsia="en-AU"/>
        </w:rPr>
      </w:pPr>
      <w:hyperlink w:anchor="_Toc75881505" w:history="1">
        <w:r w:rsidR="00E0689D" w:rsidRPr="001A2EBF">
          <w:rPr>
            <w:rStyle w:val="Hyperlink"/>
            <w:noProof/>
          </w:rPr>
          <w:t>Exhibit 2: Average Annualised Payments, 2019-20</w:t>
        </w:r>
        <w:r w:rsidR="00E0689D">
          <w:rPr>
            <w:noProof/>
            <w:webHidden/>
          </w:rPr>
          <w:tab/>
        </w:r>
        <w:r w:rsidR="00E0689D">
          <w:rPr>
            <w:noProof/>
            <w:webHidden/>
          </w:rPr>
          <w:fldChar w:fldCharType="begin"/>
        </w:r>
        <w:r w:rsidR="00E0689D">
          <w:rPr>
            <w:noProof/>
            <w:webHidden/>
          </w:rPr>
          <w:instrText xml:space="preserve"> PAGEREF _Toc75881505 \h </w:instrText>
        </w:r>
        <w:r w:rsidR="00E0689D">
          <w:rPr>
            <w:noProof/>
            <w:webHidden/>
          </w:rPr>
        </w:r>
        <w:r w:rsidR="00E0689D">
          <w:rPr>
            <w:noProof/>
            <w:webHidden/>
          </w:rPr>
          <w:fldChar w:fldCharType="separate"/>
        </w:r>
        <w:r w:rsidR="00E0689D">
          <w:rPr>
            <w:noProof/>
            <w:webHidden/>
          </w:rPr>
          <w:t>8</w:t>
        </w:r>
        <w:r w:rsidR="00E0689D">
          <w:rPr>
            <w:noProof/>
            <w:webHidden/>
          </w:rPr>
          <w:fldChar w:fldCharType="end"/>
        </w:r>
      </w:hyperlink>
    </w:p>
    <w:p w14:paraId="3B17E657" w14:textId="2883208C" w:rsidR="00E0689D" w:rsidRDefault="00935584">
      <w:pPr>
        <w:pStyle w:val="TableofFigures"/>
        <w:tabs>
          <w:tab w:val="right" w:leader="dot" w:pos="9016"/>
        </w:tabs>
        <w:rPr>
          <w:rFonts w:eastAsiaTheme="minorEastAsia"/>
          <w:noProof/>
          <w:lang w:eastAsia="en-AU"/>
        </w:rPr>
      </w:pPr>
      <w:hyperlink w:anchor="_Toc75881506" w:history="1">
        <w:r w:rsidR="00E0689D" w:rsidRPr="001A2EBF">
          <w:rPr>
            <w:rStyle w:val="Hyperlink"/>
            <w:noProof/>
          </w:rPr>
          <w:t>Exhibit 3: Schematic overview – NDIS Disability Support Worker Cost Model</w:t>
        </w:r>
        <w:r w:rsidR="00E0689D">
          <w:rPr>
            <w:noProof/>
            <w:webHidden/>
          </w:rPr>
          <w:tab/>
        </w:r>
        <w:r w:rsidR="00E0689D">
          <w:rPr>
            <w:noProof/>
            <w:webHidden/>
          </w:rPr>
          <w:fldChar w:fldCharType="begin"/>
        </w:r>
        <w:r w:rsidR="00E0689D">
          <w:rPr>
            <w:noProof/>
            <w:webHidden/>
          </w:rPr>
          <w:instrText xml:space="preserve"> PAGEREF _Toc75881506 \h </w:instrText>
        </w:r>
        <w:r w:rsidR="00E0689D">
          <w:rPr>
            <w:noProof/>
            <w:webHidden/>
          </w:rPr>
        </w:r>
        <w:r w:rsidR="00E0689D">
          <w:rPr>
            <w:noProof/>
            <w:webHidden/>
          </w:rPr>
          <w:fldChar w:fldCharType="separate"/>
        </w:r>
        <w:r w:rsidR="00E0689D">
          <w:rPr>
            <w:noProof/>
            <w:webHidden/>
          </w:rPr>
          <w:t>10</w:t>
        </w:r>
        <w:r w:rsidR="00E0689D">
          <w:rPr>
            <w:noProof/>
            <w:webHidden/>
          </w:rPr>
          <w:fldChar w:fldCharType="end"/>
        </w:r>
      </w:hyperlink>
    </w:p>
    <w:p w14:paraId="1EEC7664" w14:textId="6CA40783" w:rsidR="00E0689D" w:rsidRDefault="00935584">
      <w:pPr>
        <w:pStyle w:val="TableofFigures"/>
        <w:tabs>
          <w:tab w:val="right" w:leader="dot" w:pos="9016"/>
        </w:tabs>
        <w:rPr>
          <w:rFonts w:eastAsiaTheme="minorEastAsia"/>
          <w:noProof/>
          <w:lang w:eastAsia="en-AU"/>
        </w:rPr>
      </w:pPr>
      <w:hyperlink w:anchor="_Toc75881507" w:history="1">
        <w:r w:rsidR="00E0689D" w:rsidRPr="001A2EBF">
          <w:rPr>
            <w:rStyle w:val="Hyperlink"/>
            <w:noProof/>
          </w:rPr>
          <w:t>Exhibit 4: Representativeness of the 2019-20 Financial Benchmarking Survey Data</w:t>
        </w:r>
        <w:r w:rsidR="00E0689D">
          <w:rPr>
            <w:noProof/>
            <w:webHidden/>
          </w:rPr>
          <w:tab/>
        </w:r>
        <w:r w:rsidR="00E0689D">
          <w:rPr>
            <w:noProof/>
            <w:webHidden/>
          </w:rPr>
          <w:fldChar w:fldCharType="begin"/>
        </w:r>
        <w:r w:rsidR="00E0689D">
          <w:rPr>
            <w:noProof/>
            <w:webHidden/>
          </w:rPr>
          <w:instrText xml:space="preserve"> PAGEREF _Toc75881507 \h </w:instrText>
        </w:r>
        <w:r w:rsidR="00E0689D">
          <w:rPr>
            <w:noProof/>
            <w:webHidden/>
          </w:rPr>
        </w:r>
        <w:r w:rsidR="00E0689D">
          <w:rPr>
            <w:noProof/>
            <w:webHidden/>
          </w:rPr>
          <w:fldChar w:fldCharType="separate"/>
        </w:r>
        <w:r w:rsidR="00E0689D">
          <w:rPr>
            <w:noProof/>
            <w:webHidden/>
          </w:rPr>
          <w:t>13</w:t>
        </w:r>
        <w:r w:rsidR="00E0689D">
          <w:rPr>
            <w:noProof/>
            <w:webHidden/>
          </w:rPr>
          <w:fldChar w:fldCharType="end"/>
        </w:r>
      </w:hyperlink>
    </w:p>
    <w:p w14:paraId="7086AB8C" w14:textId="4CDF21E4" w:rsidR="00E0689D" w:rsidRDefault="00935584">
      <w:pPr>
        <w:pStyle w:val="TableofFigures"/>
        <w:tabs>
          <w:tab w:val="right" w:leader="dot" w:pos="9016"/>
        </w:tabs>
        <w:rPr>
          <w:rFonts w:eastAsiaTheme="minorEastAsia"/>
          <w:noProof/>
          <w:lang w:eastAsia="en-AU"/>
        </w:rPr>
      </w:pPr>
      <w:hyperlink w:anchor="_Toc75881508" w:history="1">
        <w:r w:rsidR="00E0689D" w:rsidRPr="001A2EBF">
          <w:rPr>
            <w:rStyle w:val="Hyperlink"/>
            <w:noProof/>
          </w:rPr>
          <w:t>Exhibit 5: Breakdown of provider categories used in this analysis</w:t>
        </w:r>
        <w:r w:rsidR="00E0689D">
          <w:rPr>
            <w:noProof/>
            <w:webHidden/>
          </w:rPr>
          <w:tab/>
        </w:r>
        <w:r w:rsidR="00E0689D">
          <w:rPr>
            <w:noProof/>
            <w:webHidden/>
          </w:rPr>
          <w:fldChar w:fldCharType="begin"/>
        </w:r>
        <w:r w:rsidR="00E0689D">
          <w:rPr>
            <w:noProof/>
            <w:webHidden/>
          </w:rPr>
          <w:instrText xml:space="preserve"> PAGEREF _Toc75881508 \h </w:instrText>
        </w:r>
        <w:r w:rsidR="00E0689D">
          <w:rPr>
            <w:noProof/>
            <w:webHidden/>
          </w:rPr>
        </w:r>
        <w:r w:rsidR="00E0689D">
          <w:rPr>
            <w:noProof/>
            <w:webHidden/>
          </w:rPr>
          <w:fldChar w:fldCharType="separate"/>
        </w:r>
        <w:r w:rsidR="00E0689D">
          <w:rPr>
            <w:noProof/>
            <w:webHidden/>
          </w:rPr>
          <w:t>14</w:t>
        </w:r>
        <w:r w:rsidR="00E0689D">
          <w:rPr>
            <w:noProof/>
            <w:webHidden/>
          </w:rPr>
          <w:fldChar w:fldCharType="end"/>
        </w:r>
      </w:hyperlink>
    </w:p>
    <w:p w14:paraId="7970162A" w14:textId="479DA628" w:rsidR="00E0689D" w:rsidRDefault="00935584">
      <w:pPr>
        <w:pStyle w:val="TableofFigures"/>
        <w:tabs>
          <w:tab w:val="right" w:leader="dot" w:pos="9016"/>
        </w:tabs>
        <w:rPr>
          <w:rFonts w:eastAsiaTheme="minorEastAsia"/>
          <w:noProof/>
          <w:lang w:eastAsia="en-AU"/>
        </w:rPr>
      </w:pPr>
      <w:hyperlink w:anchor="_Toc75881509" w:history="1">
        <w:r w:rsidR="00E0689D" w:rsidRPr="001A2EBF">
          <w:rPr>
            <w:rStyle w:val="Hyperlink"/>
            <w:noProof/>
          </w:rPr>
          <w:t>Exhibit 6: Box Plot – Base Wages of Disability Support Workers</w:t>
        </w:r>
        <w:r w:rsidR="00E0689D">
          <w:rPr>
            <w:noProof/>
            <w:webHidden/>
          </w:rPr>
          <w:tab/>
        </w:r>
        <w:r w:rsidR="00E0689D">
          <w:rPr>
            <w:noProof/>
            <w:webHidden/>
          </w:rPr>
          <w:fldChar w:fldCharType="begin"/>
        </w:r>
        <w:r w:rsidR="00E0689D">
          <w:rPr>
            <w:noProof/>
            <w:webHidden/>
          </w:rPr>
          <w:instrText xml:space="preserve"> PAGEREF _Toc75881509 \h </w:instrText>
        </w:r>
        <w:r w:rsidR="00E0689D">
          <w:rPr>
            <w:noProof/>
            <w:webHidden/>
          </w:rPr>
        </w:r>
        <w:r w:rsidR="00E0689D">
          <w:rPr>
            <w:noProof/>
            <w:webHidden/>
          </w:rPr>
          <w:fldChar w:fldCharType="separate"/>
        </w:r>
        <w:r w:rsidR="00E0689D">
          <w:rPr>
            <w:noProof/>
            <w:webHidden/>
          </w:rPr>
          <w:t>17</w:t>
        </w:r>
        <w:r w:rsidR="00E0689D">
          <w:rPr>
            <w:noProof/>
            <w:webHidden/>
          </w:rPr>
          <w:fldChar w:fldCharType="end"/>
        </w:r>
      </w:hyperlink>
    </w:p>
    <w:p w14:paraId="5C0F3048" w14:textId="70D3FC27" w:rsidR="00E0689D" w:rsidRDefault="00935584">
      <w:pPr>
        <w:pStyle w:val="TableofFigures"/>
        <w:tabs>
          <w:tab w:val="right" w:leader="dot" w:pos="9016"/>
        </w:tabs>
        <w:rPr>
          <w:rFonts w:eastAsiaTheme="minorEastAsia"/>
          <w:noProof/>
          <w:lang w:eastAsia="en-AU"/>
        </w:rPr>
      </w:pPr>
      <w:hyperlink w:anchor="_Toc75881510" w:history="1">
        <w:r w:rsidR="00E0689D" w:rsidRPr="001A2EBF">
          <w:rPr>
            <w:rStyle w:val="Hyperlink"/>
            <w:noProof/>
          </w:rPr>
          <w:t>Exhibit 7: Summary Statistics – Base Wages of Disability Support Workers</w:t>
        </w:r>
        <w:r w:rsidR="00E0689D">
          <w:rPr>
            <w:noProof/>
            <w:webHidden/>
          </w:rPr>
          <w:tab/>
        </w:r>
        <w:r w:rsidR="00E0689D">
          <w:rPr>
            <w:noProof/>
            <w:webHidden/>
          </w:rPr>
          <w:fldChar w:fldCharType="begin"/>
        </w:r>
        <w:r w:rsidR="00E0689D">
          <w:rPr>
            <w:noProof/>
            <w:webHidden/>
          </w:rPr>
          <w:instrText xml:space="preserve"> PAGEREF _Toc75881510 \h </w:instrText>
        </w:r>
        <w:r w:rsidR="00E0689D">
          <w:rPr>
            <w:noProof/>
            <w:webHidden/>
          </w:rPr>
        </w:r>
        <w:r w:rsidR="00E0689D">
          <w:rPr>
            <w:noProof/>
            <w:webHidden/>
          </w:rPr>
          <w:fldChar w:fldCharType="separate"/>
        </w:r>
        <w:r w:rsidR="00E0689D">
          <w:rPr>
            <w:noProof/>
            <w:webHidden/>
          </w:rPr>
          <w:t>17</w:t>
        </w:r>
        <w:r w:rsidR="00E0689D">
          <w:rPr>
            <w:noProof/>
            <w:webHidden/>
          </w:rPr>
          <w:fldChar w:fldCharType="end"/>
        </w:r>
      </w:hyperlink>
    </w:p>
    <w:p w14:paraId="4DBC3111" w14:textId="6DCEF902" w:rsidR="00E0689D" w:rsidRDefault="00935584">
      <w:pPr>
        <w:pStyle w:val="TableofFigures"/>
        <w:tabs>
          <w:tab w:val="right" w:leader="dot" w:pos="9016"/>
        </w:tabs>
        <w:rPr>
          <w:rFonts w:eastAsiaTheme="minorEastAsia"/>
          <w:noProof/>
          <w:lang w:eastAsia="en-AU"/>
        </w:rPr>
      </w:pPr>
      <w:hyperlink w:anchor="_Toc75881511" w:history="1">
        <w:r w:rsidR="00E0689D" w:rsidRPr="001A2EBF">
          <w:rPr>
            <w:rStyle w:val="Hyperlink"/>
            <w:noProof/>
          </w:rPr>
          <w:t>Exhibit 8: Regression Analysis – Base Wages of Disability Support Workers</w:t>
        </w:r>
        <w:r w:rsidR="00E0689D">
          <w:rPr>
            <w:noProof/>
            <w:webHidden/>
          </w:rPr>
          <w:tab/>
        </w:r>
        <w:r w:rsidR="00E0689D">
          <w:rPr>
            <w:noProof/>
            <w:webHidden/>
          </w:rPr>
          <w:fldChar w:fldCharType="begin"/>
        </w:r>
        <w:r w:rsidR="00E0689D">
          <w:rPr>
            <w:noProof/>
            <w:webHidden/>
          </w:rPr>
          <w:instrText xml:space="preserve"> PAGEREF _Toc75881511 \h </w:instrText>
        </w:r>
        <w:r w:rsidR="00E0689D">
          <w:rPr>
            <w:noProof/>
            <w:webHidden/>
          </w:rPr>
        </w:r>
        <w:r w:rsidR="00E0689D">
          <w:rPr>
            <w:noProof/>
            <w:webHidden/>
          </w:rPr>
          <w:fldChar w:fldCharType="separate"/>
        </w:r>
        <w:r w:rsidR="00E0689D">
          <w:rPr>
            <w:noProof/>
            <w:webHidden/>
          </w:rPr>
          <w:t>18</w:t>
        </w:r>
        <w:r w:rsidR="00E0689D">
          <w:rPr>
            <w:noProof/>
            <w:webHidden/>
          </w:rPr>
          <w:fldChar w:fldCharType="end"/>
        </w:r>
      </w:hyperlink>
    </w:p>
    <w:p w14:paraId="47B33D21" w14:textId="75874D45" w:rsidR="00E0689D" w:rsidRDefault="00935584">
      <w:pPr>
        <w:pStyle w:val="TableofFigures"/>
        <w:tabs>
          <w:tab w:val="right" w:leader="dot" w:pos="9016"/>
        </w:tabs>
        <w:rPr>
          <w:rFonts w:eastAsiaTheme="minorEastAsia"/>
          <w:noProof/>
          <w:lang w:eastAsia="en-AU"/>
        </w:rPr>
      </w:pPr>
      <w:hyperlink w:anchor="_Toc75881512" w:history="1">
        <w:r w:rsidR="00E0689D" w:rsidRPr="001A2EBF">
          <w:rPr>
            <w:rStyle w:val="Hyperlink"/>
            <w:noProof/>
          </w:rPr>
          <w:t>Exhibit 9: Box Plot – Workers Compensation Premiums</w:t>
        </w:r>
        <w:r w:rsidR="00E0689D">
          <w:rPr>
            <w:noProof/>
            <w:webHidden/>
          </w:rPr>
          <w:tab/>
        </w:r>
        <w:r w:rsidR="00E0689D">
          <w:rPr>
            <w:noProof/>
            <w:webHidden/>
          </w:rPr>
          <w:fldChar w:fldCharType="begin"/>
        </w:r>
        <w:r w:rsidR="00E0689D">
          <w:rPr>
            <w:noProof/>
            <w:webHidden/>
          </w:rPr>
          <w:instrText xml:space="preserve"> PAGEREF _Toc75881512 \h </w:instrText>
        </w:r>
        <w:r w:rsidR="00E0689D">
          <w:rPr>
            <w:noProof/>
            <w:webHidden/>
          </w:rPr>
        </w:r>
        <w:r w:rsidR="00E0689D">
          <w:rPr>
            <w:noProof/>
            <w:webHidden/>
          </w:rPr>
          <w:fldChar w:fldCharType="separate"/>
        </w:r>
        <w:r w:rsidR="00E0689D">
          <w:rPr>
            <w:noProof/>
            <w:webHidden/>
          </w:rPr>
          <w:t>19</w:t>
        </w:r>
        <w:r w:rsidR="00E0689D">
          <w:rPr>
            <w:noProof/>
            <w:webHidden/>
          </w:rPr>
          <w:fldChar w:fldCharType="end"/>
        </w:r>
      </w:hyperlink>
    </w:p>
    <w:p w14:paraId="423D00AB" w14:textId="0C91C859" w:rsidR="00E0689D" w:rsidRDefault="00935584">
      <w:pPr>
        <w:pStyle w:val="TableofFigures"/>
        <w:tabs>
          <w:tab w:val="right" w:leader="dot" w:pos="9016"/>
        </w:tabs>
        <w:rPr>
          <w:rFonts w:eastAsiaTheme="minorEastAsia"/>
          <w:noProof/>
          <w:lang w:eastAsia="en-AU"/>
        </w:rPr>
      </w:pPr>
      <w:hyperlink w:anchor="_Toc75881513" w:history="1">
        <w:r w:rsidR="00E0689D" w:rsidRPr="001A2EBF">
          <w:rPr>
            <w:rStyle w:val="Hyperlink"/>
            <w:noProof/>
          </w:rPr>
          <w:t>Exhibit 10: Summary Statistics – Workers Compensation Premiums</w:t>
        </w:r>
        <w:r w:rsidR="00E0689D">
          <w:rPr>
            <w:noProof/>
            <w:webHidden/>
          </w:rPr>
          <w:tab/>
        </w:r>
        <w:r w:rsidR="00E0689D">
          <w:rPr>
            <w:noProof/>
            <w:webHidden/>
          </w:rPr>
          <w:fldChar w:fldCharType="begin"/>
        </w:r>
        <w:r w:rsidR="00E0689D">
          <w:rPr>
            <w:noProof/>
            <w:webHidden/>
          </w:rPr>
          <w:instrText xml:space="preserve"> PAGEREF _Toc75881513 \h </w:instrText>
        </w:r>
        <w:r w:rsidR="00E0689D">
          <w:rPr>
            <w:noProof/>
            <w:webHidden/>
          </w:rPr>
        </w:r>
        <w:r w:rsidR="00E0689D">
          <w:rPr>
            <w:noProof/>
            <w:webHidden/>
          </w:rPr>
          <w:fldChar w:fldCharType="separate"/>
        </w:r>
        <w:r w:rsidR="00E0689D">
          <w:rPr>
            <w:noProof/>
            <w:webHidden/>
          </w:rPr>
          <w:t>19</w:t>
        </w:r>
        <w:r w:rsidR="00E0689D">
          <w:rPr>
            <w:noProof/>
            <w:webHidden/>
          </w:rPr>
          <w:fldChar w:fldCharType="end"/>
        </w:r>
      </w:hyperlink>
    </w:p>
    <w:p w14:paraId="394F6641" w14:textId="79C53CD1" w:rsidR="00E0689D" w:rsidRDefault="00935584">
      <w:pPr>
        <w:pStyle w:val="TableofFigures"/>
        <w:tabs>
          <w:tab w:val="right" w:leader="dot" w:pos="9016"/>
        </w:tabs>
        <w:rPr>
          <w:rFonts w:eastAsiaTheme="minorEastAsia"/>
          <w:noProof/>
          <w:lang w:eastAsia="en-AU"/>
        </w:rPr>
      </w:pPr>
      <w:hyperlink w:anchor="_Toc75881514" w:history="1">
        <w:r w:rsidR="00E0689D" w:rsidRPr="001A2EBF">
          <w:rPr>
            <w:rStyle w:val="Hyperlink"/>
            <w:noProof/>
          </w:rPr>
          <w:t>Exhibit 11: Regression Analysis – Workers’ Compensation Premiums</w:t>
        </w:r>
        <w:r w:rsidR="00E0689D">
          <w:rPr>
            <w:noProof/>
            <w:webHidden/>
          </w:rPr>
          <w:tab/>
        </w:r>
        <w:r w:rsidR="00E0689D">
          <w:rPr>
            <w:noProof/>
            <w:webHidden/>
          </w:rPr>
          <w:fldChar w:fldCharType="begin"/>
        </w:r>
        <w:r w:rsidR="00E0689D">
          <w:rPr>
            <w:noProof/>
            <w:webHidden/>
          </w:rPr>
          <w:instrText xml:space="preserve"> PAGEREF _Toc75881514 \h </w:instrText>
        </w:r>
        <w:r w:rsidR="00E0689D">
          <w:rPr>
            <w:noProof/>
            <w:webHidden/>
          </w:rPr>
        </w:r>
        <w:r w:rsidR="00E0689D">
          <w:rPr>
            <w:noProof/>
            <w:webHidden/>
          </w:rPr>
          <w:fldChar w:fldCharType="separate"/>
        </w:r>
        <w:r w:rsidR="00E0689D">
          <w:rPr>
            <w:noProof/>
            <w:webHidden/>
          </w:rPr>
          <w:t>20</w:t>
        </w:r>
        <w:r w:rsidR="00E0689D">
          <w:rPr>
            <w:noProof/>
            <w:webHidden/>
          </w:rPr>
          <w:fldChar w:fldCharType="end"/>
        </w:r>
      </w:hyperlink>
    </w:p>
    <w:p w14:paraId="3612A60D" w14:textId="443E6AA6" w:rsidR="00E0689D" w:rsidRDefault="00935584">
      <w:pPr>
        <w:pStyle w:val="TableofFigures"/>
        <w:tabs>
          <w:tab w:val="right" w:leader="dot" w:pos="9016"/>
        </w:tabs>
        <w:rPr>
          <w:rFonts w:eastAsiaTheme="minorEastAsia"/>
          <w:noProof/>
          <w:lang w:eastAsia="en-AU"/>
        </w:rPr>
      </w:pPr>
      <w:hyperlink w:anchor="_Toc75881515" w:history="1">
        <w:r w:rsidR="00E0689D" w:rsidRPr="001A2EBF">
          <w:rPr>
            <w:rStyle w:val="Hyperlink"/>
            <w:noProof/>
          </w:rPr>
          <w:t>Exhibit 12: Box Plot – Permanent Employment Share</w:t>
        </w:r>
        <w:r w:rsidR="00E0689D">
          <w:rPr>
            <w:noProof/>
            <w:webHidden/>
          </w:rPr>
          <w:tab/>
        </w:r>
        <w:r w:rsidR="00E0689D">
          <w:rPr>
            <w:noProof/>
            <w:webHidden/>
          </w:rPr>
          <w:fldChar w:fldCharType="begin"/>
        </w:r>
        <w:r w:rsidR="00E0689D">
          <w:rPr>
            <w:noProof/>
            <w:webHidden/>
          </w:rPr>
          <w:instrText xml:space="preserve"> PAGEREF _Toc75881515 \h </w:instrText>
        </w:r>
        <w:r w:rsidR="00E0689D">
          <w:rPr>
            <w:noProof/>
            <w:webHidden/>
          </w:rPr>
        </w:r>
        <w:r w:rsidR="00E0689D">
          <w:rPr>
            <w:noProof/>
            <w:webHidden/>
          </w:rPr>
          <w:fldChar w:fldCharType="separate"/>
        </w:r>
        <w:r w:rsidR="00E0689D">
          <w:rPr>
            <w:noProof/>
            <w:webHidden/>
          </w:rPr>
          <w:t>23</w:t>
        </w:r>
        <w:r w:rsidR="00E0689D">
          <w:rPr>
            <w:noProof/>
            <w:webHidden/>
          </w:rPr>
          <w:fldChar w:fldCharType="end"/>
        </w:r>
      </w:hyperlink>
    </w:p>
    <w:p w14:paraId="047923C8" w14:textId="1A6117CD" w:rsidR="00E0689D" w:rsidRDefault="00935584">
      <w:pPr>
        <w:pStyle w:val="TableofFigures"/>
        <w:tabs>
          <w:tab w:val="right" w:leader="dot" w:pos="9016"/>
        </w:tabs>
        <w:rPr>
          <w:rFonts w:eastAsiaTheme="minorEastAsia"/>
          <w:noProof/>
          <w:lang w:eastAsia="en-AU"/>
        </w:rPr>
      </w:pPr>
      <w:hyperlink w:anchor="_Toc75881516" w:history="1">
        <w:r w:rsidR="00E0689D" w:rsidRPr="001A2EBF">
          <w:rPr>
            <w:rStyle w:val="Hyperlink"/>
            <w:noProof/>
          </w:rPr>
          <w:t>Exhibit 13: Summary Statistics – Permanent Employment Share</w:t>
        </w:r>
        <w:r w:rsidR="00E0689D">
          <w:rPr>
            <w:noProof/>
            <w:webHidden/>
          </w:rPr>
          <w:tab/>
        </w:r>
        <w:r w:rsidR="00E0689D">
          <w:rPr>
            <w:noProof/>
            <w:webHidden/>
          </w:rPr>
          <w:fldChar w:fldCharType="begin"/>
        </w:r>
        <w:r w:rsidR="00E0689D">
          <w:rPr>
            <w:noProof/>
            <w:webHidden/>
          </w:rPr>
          <w:instrText xml:space="preserve"> PAGEREF _Toc75881516 \h </w:instrText>
        </w:r>
        <w:r w:rsidR="00E0689D">
          <w:rPr>
            <w:noProof/>
            <w:webHidden/>
          </w:rPr>
        </w:r>
        <w:r w:rsidR="00E0689D">
          <w:rPr>
            <w:noProof/>
            <w:webHidden/>
          </w:rPr>
          <w:fldChar w:fldCharType="separate"/>
        </w:r>
        <w:r w:rsidR="00E0689D">
          <w:rPr>
            <w:noProof/>
            <w:webHidden/>
          </w:rPr>
          <w:t>23</w:t>
        </w:r>
        <w:r w:rsidR="00E0689D">
          <w:rPr>
            <w:noProof/>
            <w:webHidden/>
          </w:rPr>
          <w:fldChar w:fldCharType="end"/>
        </w:r>
      </w:hyperlink>
    </w:p>
    <w:p w14:paraId="365E6814" w14:textId="273D5976" w:rsidR="00E0689D" w:rsidRDefault="00935584">
      <w:pPr>
        <w:pStyle w:val="TableofFigures"/>
        <w:tabs>
          <w:tab w:val="right" w:leader="dot" w:pos="9016"/>
        </w:tabs>
        <w:rPr>
          <w:rFonts w:eastAsiaTheme="minorEastAsia"/>
          <w:noProof/>
          <w:lang w:eastAsia="en-AU"/>
        </w:rPr>
      </w:pPr>
      <w:hyperlink w:anchor="_Toc75881517" w:history="1">
        <w:r w:rsidR="00E0689D" w:rsidRPr="001A2EBF">
          <w:rPr>
            <w:rStyle w:val="Hyperlink"/>
            <w:noProof/>
          </w:rPr>
          <w:t>Exhibit 14: Regression Analysis – Permanent Employment Share</w:t>
        </w:r>
        <w:r w:rsidR="00E0689D">
          <w:rPr>
            <w:noProof/>
            <w:webHidden/>
          </w:rPr>
          <w:tab/>
        </w:r>
        <w:r w:rsidR="00E0689D">
          <w:rPr>
            <w:noProof/>
            <w:webHidden/>
          </w:rPr>
          <w:fldChar w:fldCharType="begin"/>
        </w:r>
        <w:r w:rsidR="00E0689D">
          <w:rPr>
            <w:noProof/>
            <w:webHidden/>
          </w:rPr>
          <w:instrText xml:space="preserve"> PAGEREF _Toc75881517 \h </w:instrText>
        </w:r>
        <w:r w:rsidR="00E0689D">
          <w:rPr>
            <w:noProof/>
            <w:webHidden/>
          </w:rPr>
        </w:r>
        <w:r w:rsidR="00E0689D">
          <w:rPr>
            <w:noProof/>
            <w:webHidden/>
          </w:rPr>
          <w:fldChar w:fldCharType="separate"/>
        </w:r>
        <w:r w:rsidR="00E0689D">
          <w:rPr>
            <w:noProof/>
            <w:webHidden/>
          </w:rPr>
          <w:t>24</w:t>
        </w:r>
        <w:r w:rsidR="00E0689D">
          <w:rPr>
            <w:noProof/>
            <w:webHidden/>
          </w:rPr>
          <w:fldChar w:fldCharType="end"/>
        </w:r>
      </w:hyperlink>
    </w:p>
    <w:p w14:paraId="5ECB987D" w14:textId="2E937AE8" w:rsidR="00E0689D" w:rsidRDefault="00935584">
      <w:pPr>
        <w:pStyle w:val="TableofFigures"/>
        <w:tabs>
          <w:tab w:val="right" w:leader="dot" w:pos="9016"/>
        </w:tabs>
        <w:rPr>
          <w:rFonts w:eastAsiaTheme="minorEastAsia"/>
          <w:noProof/>
          <w:lang w:eastAsia="en-AU"/>
        </w:rPr>
      </w:pPr>
      <w:hyperlink w:anchor="_Toc75881518" w:history="1">
        <w:r w:rsidR="00E0689D" w:rsidRPr="001A2EBF">
          <w:rPr>
            <w:rStyle w:val="Hyperlink"/>
            <w:noProof/>
          </w:rPr>
          <w:t>Exhibit 15: Box Plot – Staff Utilisation Rate</w:t>
        </w:r>
        <w:r w:rsidR="00E0689D">
          <w:rPr>
            <w:noProof/>
            <w:webHidden/>
          </w:rPr>
          <w:tab/>
        </w:r>
        <w:r w:rsidR="00E0689D">
          <w:rPr>
            <w:noProof/>
            <w:webHidden/>
          </w:rPr>
          <w:fldChar w:fldCharType="begin"/>
        </w:r>
        <w:r w:rsidR="00E0689D">
          <w:rPr>
            <w:noProof/>
            <w:webHidden/>
          </w:rPr>
          <w:instrText xml:space="preserve"> PAGEREF _Toc75881518 \h </w:instrText>
        </w:r>
        <w:r w:rsidR="00E0689D">
          <w:rPr>
            <w:noProof/>
            <w:webHidden/>
          </w:rPr>
        </w:r>
        <w:r w:rsidR="00E0689D">
          <w:rPr>
            <w:noProof/>
            <w:webHidden/>
          </w:rPr>
          <w:fldChar w:fldCharType="separate"/>
        </w:r>
        <w:r w:rsidR="00E0689D">
          <w:rPr>
            <w:noProof/>
            <w:webHidden/>
          </w:rPr>
          <w:t>26</w:t>
        </w:r>
        <w:r w:rsidR="00E0689D">
          <w:rPr>
            <w:noProof/>
            <w:webHidden/>
          </w:rPr>
          <w:fldChar w:fldCharType="end"/>
        </w:r>
      </w:hyperlink>
    </w:p>
    <w:p w14:paraId="43A5C95A" w14:textId="002F8B78" w:rsidR="00E0689D" w:rsidRDefault="00935584">
      <w:pPr>
        <w:pStyle w:val="TableofFigures"/>
        <w:tabs>
          <w:tab w:val="right" w:leader="dot" w:pos="9016"/>
        </w:tabs>
        <w:rPr>
          <w:rFonts w:eastAsiaTheme="minorEastAsia"/>
          <w:noProof/>
          <w:lang w:eastAsia="en-AU"/>
        </w:rPr>
      </w:pPr>
      <w:hyperlink w:anchor="_Toc75881519" w:history="1">
        <w:r w:rsidR="00E0689D" w:rsidRPr="001A2EBF">
          <w:rPr>
            <w:rStyle w:val="Hyperlink"/>
            <w:noProof/>
          </w:rPr>
          <w:t>Exhibit 16: Summary Statistics – Staff Utilisation Rate</w:t>
        </w:r>
        <w:r w:rsidR="00E0689D">
          <w:rPr>
            <w:noProof/>
            <w:webHidden/>
          </w:rPr>
          <w:tab/>
        </w:r>
        <w:r w:rsidR="00E0689D">
          <w:rPr>
            <w:noProof/>
            <w:webHidden/>
          </w:rPr>
          <w:fldChar w:fldCharType="begin"/>
        </w:r>
        <w:r w:rsidR="00E0689D">
          <w:rPr>
            <w:noProof/>
            <w:webHidden/>
          </w:rPr>
          <w:instrText xml:space="preserve"> PAGEREF _Toc75881519 \h </w:instrText>
        </w:r>
        <w:r w:rsidR="00E0689D">
          <w:rPr>
            <w:noProof/>
            <w:webHidden/>
          </w:rPr>
        </w:r>
        <w:r w:rsidR="00E0689D">
          <w:rPr>
            <w:noProof/>
            <w:webHidden/>
          </w:rPr>
          <w:fldChar w:fldCharType="separate"/>
        </w:r>
        <w:r w:rsidR="00E0689D">
          <w:rPr>
            <w:noProof/>
            <w:webHidden/>
          </w:rPr>
          <w:t>26</w:t>
        </w:r>
        <w:r w:rsidR="00E0689D">
          <w:rPr>
            <w:noProof/>
            <w:webHidden/>
          </w:rPr>
          <w:fldChar w:fldCharType="end"/>
        </w:r>
      </w:hyperlink>
    </w:p>
    <w:p w14:paraId="4A2A68A6" w14:textId="3F43DDF6" w:rsidR="00E0689D" w:rsidRDefault="00935584">
      <w:pPr>
        <w:pStyle w:val="TableofFigures"/>
        <w:tabs>
          <w:tab w:val="right" w:leader="dot" w:pos="9016"/>
        </w:tabs>
        <w:rPr>
          <w:rFonts w:eastAsiaTheme="minorEastAsia"/>
          <w:noProof/>
          <w:lang w:eastAsia="en-AU"/>
        </w:rPr>
      </w:pPr>
      <w:hyperlink w:anchor="_Toc75881520" w:history="1">
        <w:r w:rsidR="00E0689D" w:rsidRPr="001A2EBF">
          <w:rPr>
            <w:rStyle w:val="Hyperlink"/>
            <w:noProof/>
          </w:rPr>
          <w:t>Exhibit 17: Regression Analysis – Staff Utilisation Rate</w:t>
        </w:r>
        <w:r w:rsidR="00E0689D">
          <w:rPr>
            <w:noProof/>
            <w:webHidden/>
          </w:rPr>
          <w:tab/>
        </w:r>
        <w:r w:rsidR="00E0689D">
          <w:rPr>
            <w:noProof/>
            <w:webHidden/>
          </w:rPr>
          <w:fldChar w:fldCharType="begin"/>
        </w:r>
        <w:r w:rsidR="00E0689D">
          <w:rPr>
            <w:noProof/>
            <w:webHidden/>
          </w:rPr>
          <w:instrText xml:space="preserve"> PAGEREF _Toc75881520 \h </w:instrText>
        </w:r>
        <w:r w:rsidR="00E0689D">
          <w:rPr>
            <w:noProof/>
            <w:webHidden/>
          </w:rPr>
        </w:r>
        <w:r w:rsidR="00E0689D">
          <w:rPr>
            <w:noProof/>
            <w:webHidden/>
          </w:rPr>
          <w:fldChar w:fldCharType="separate"/>
        </w:r>
        <w:r w:rsidR="00E0689D">
          <w:rPr>
            <w:noProof/>
            <w:webHidden/>
          </w:rPr>
          <w:t>27</w:t>
        </w:r>
        <w:r w:rsidR="00E0689D">
          <w:rPr>
            <w:noProof/>
            <w:webHidden/>
          </w:rPr>
          <w:fldChar w:fldCharType="end"/>
        </w:r>
      </w:hyperlink>
    </w:p>
    <w:p w14:paraId="57FD71CF" w14:textId="632FF19C" w:rsidR="00E0689D" w:rsidRDefault="00935584">
      <w:pPr>
        <w:pStyle w:val="TableofFigures"/>
        <w:tabs>
          <w:tab w:val="right" w:leader="dot" w:pos="9016"/>
        </w:tabs>
        <w:rPr>
          <w:rFonts w:eastAsiaTheme="minorEastAsia"/>
          <w:noProof/>
          <w:lang w:eastAsia="en-AU"/>
        </w:rPr>
      </w:pPr>
      <w:hyperlink w:anchor="_Toc75881521" w:history="1">
        <w:r w:rsidR="00E0689D" w:rsidRPr="001A2EBF">
          <w:rPr>
            <w:rStyle w:val="Hyperlink"/>
            <w:noProof/>
          </w:rPr>
          <w:t>Exhibit 18: Box Plot – Time spent training as a share of non-billable hours</w:t>
        </w:r>
        <w:r w:rsidR="00E0689D">
          <w:rPr>
            <w:noProof/>
            <w:webHidden/>
          </w:rPr>
          <w:tab/>
        </w:r>
        <w:r w:rsidR="00E0689D">
          <w:rPr>
            <w:noProof/>
            <w:webHidden/>
          </w:rPr>
          <w:fldChar w:fldCharType="begin"/>
        </w:r>
        <w:r w:rsidR="00E0689D">
          <w:rPr>
            <w:noProof/>
            <w:webHidden/>
          </w:rPr>
          <w:instrText xml:space="preserve"> PAGEREF _Toc75881521 \h </w:instrText>
        </w:r>
        <w:r w:rsidR="00E0689D">
          <w:rPr>
            <w:noProof/>
            <w:webHidden/>
          </w:rPr>
        </w:r>
        <w:r w:rsidR="00E0689D">
          <w:rPr>
            <w:noProof/>
            <w:webHidden/>
          </w:rPr>
          <w:fldChar w:fldCharType="separate"/>
        </w:r>
        <w:r w:rsidR="00E0689D">
          <w:rPr>
            <w:noProof/>
            <w:webHidden/>
          </w:rPr>
          <w:t>28</w:t>
        </w:r>
        <w:r w:rsidR="00E0689D">
          <w:rPr>
            <w:noProof/>
            <w:webHidden/>
          </w:rPr>
          <w:fldChar w:fldCharType="end"/>
        </w:r>
      </w:hyperlink>
    </w:p>
    <w:p w14:paraId="3103F34F" w14:textId="21E31602" w:rsidR="00E0689D" w:rsidRDefault="00935584">
      <w:pPr>
        <w:pStyle w:val="TableofFigures"/>
        <w:tabs>
          <w:tab w:val="right" w:leader="dot" w:pos="9016"/>
        </w:tabs>
        <w:rPr>
          <w:rFonts w:eastAsiaTheme="minorEastAsia"/>
          <w:noProof/>
          <w:lang w:eastAsia="en-AU"/>
        </w:rPr>
      </w:pPr>
      <w:hyperlink w:anchor="_Toc75881522" w:history="1">
        <w:r w:rsidR="00E0689D" w:rsidRPr="001A2EBF">
          <w:rPr>
            <w:rStyle w:val="Hyperlink"/>
            <w:noProof/>
          </w:rPr>
          <w:t>Exhibit 19: Summary Statistics – Time spent training as a share of non-billable hours</w:t>
        </w:r>
        <w:r w:rsidR="00E0689D">
          <w:rPr>
            <w:noProof/>
            <w:webHidden/>
          </w:rPr>
          <w:tab/>
        </w:r>
        <w:r w:rsidR="00E0689D">
          <w:rPr>
            <w:noProof/>
            <w:webHidden/>
          </w:rPr>
          <w:fldChar w:fldCharType="begin"/>
        </w:r>
        <w:r w:rsidR="00E0689D">
          <w:rPr>
            <w:noProof/>
            <w:webHidden/>
          </w:rPr>
          <w:instrText xml:space="preserve"> PAGEREF _Toc75881522 \h </w:instrText>
        </w:r>
        <w:r w:rsidR="00E0689D">
          <w:rPr>
            <w:noProof/>
            <w:webHidden/>
          </w:rPr>
        </w:r>
        <w:r w:rsidR="00E0689D">
          <w:rPr>
            <w:noProof/>
            <w:webHidden/>
          </w:rPr>
          <w:fldChar w:fldCharType="separate"/>
        </w:r>
        <w:r w:rsidR="00E0689D">
          <w:rPr>
            <w:noProof/>
            <w:webHidden/>
          </w:rPr>
          <w:t>28</w:t>
        </w:r>
        <w:r w:rsidR="00E0689D">
          <w:rPr>
            <w:noProof/>
            <w:webHidden/>
          </w:rPr>
          <w:fldChar w:fldCharType="end"/>
        </w:r>
      </w:hyperlink>
    </w:p>
    <w:p w14:paraId="7F99E0C2" w14:textId="3B93A3BB" w:rsidR="00E0689D" w:rsidRDefault="00935584">
      <w:pPr>
        <w:pStyle w:val="TableofFigures"/>
        <w:tabs>
          <w:tab w:val="right" w:leader="dot" w:pos="9016"/>
        </w:tabs>
        <w:rPr>
          <w:rFonts w:eastAsiaTheme="minorEastAsia"/>
          <w:noProof/>
          <w:lang w:eastAsia="en-AU"/>
        </w:rPr>
      </w:pPr>
      <w:hyperlink w:anchor="_Toc75881523" w:history="1">
        <w:r w:rsidR="00E0689D" w:rsidRPr="001A2EBF">
          <w:rPr>
            <w:rStyle w:val="Hyperlink"/>
            <w:noProof/>
          </w:rPr>
          <w:t>Exhibit 20: Regression Analysis – Time spent training as a share of non-billable hours</w:t>
        </w:r>
        <w:r w:rsidR="00E0689D">
          <w:rPr>
            <w:noProof/>
            <w:webHidden/>
          </w:rPr>
          <w:tab/>
        </w:r>
        <w:r w:rsidR="00E0689D">
          <w:rPr>
            <w:noProof/>
            <w:webHidden/>
          </w:rPr>
          <w:fldChar w:fldCharType="begin"/>
        </w:r>
        <w:r w:rsidR="00E0689D">
          <w:rPr>
            <w:noProof/>
            <w:webHidden/>
          </w:rPr>
          <w:instrText xml:space="preserve"> PAGEREF _Toc75881523 \h </w:instrText>
        </w:r>
        <w:r w:rsidR="00E0689D">
          <w:rPr>
            <w:noProof/>
            <w:webHidden/>
          </w:rPr>
        </w:r>
        <w:r w:rsidR="00E0689D">
          <w:rPr>
            <w:noProof/>
            <w:webHidden/>
          </w:rPr>
          <w:fldChar w:fldCharType="separate"/>
        </w:r>
        <w:r w:rsidR="00E0689D">
          <w:rPr>
            <w:noProof/>
            <w:webHidden/>
          </w:rPr>
          <w:t>29</w:t>
        </w:r>
        <w:r w:rsidR="00E0689D">
          <w:rPr>
            <w:noProof/>
            <w:webHidden/>
          </w:rPr>
          <w:fldChar w:fldCharType="end"/>
        </w:r>
      </w:hyperlink>
    </w:p>
    <w:p w14:paraId="4D50621F" w14:textId="542C1778" w:rsidR="00E0689D" w:rsidRDefault="00935584">
      <w:pPr>
        <w:pStyle w:val="TableofFigures"/>
        <w:tabs>
          <w:tab w:val="right" w:leader="dot" w:pos="9016"/>
        </w:tabs>
        <w:rPr>
          <w:rFonts w:eastAsiaTheme="minorEastAsia"/>
          <w:noProof/>
          <w:lang w:eastAsia="en-AU"/>
        </w:rPr>
      </w:pPr>
      <w:hyperlink w:anchor="_Toc75881524" w:history="1">
        <w:r w:rsidR="00E0689D" w:rsidRPr="001A2EBF">
          <w:rPr>
            <w:rStyle w:val="Hyperlink"/>
            <w:noProof/>
          </w:rPr>
          <w:t>Exhibit 21: Box Plot – Base Wages of Supervisors</w:t>
        </w:r>
        <w:r w:rsidR="00E0689D">
          <w:rPr>
            <w:noProof/>
            <w:webHidden/>
          </w:rPr>
          <w:tab/>
        </w:r>
        <w:r w:rsidR="00E0689D">
          <w:rPr>
            <w:noProof/>
            <w:webHidden/>
          </w:rPr>
          <w:fldChar w:fldCharType="begin"/>
        </w:r>
        <w:r w:rsidR="00E0689D">
          <w:rPr>
            <w:noProof/>
            <w:webHidden/>
          </w:rPr>
          <w:instrText xml:space="preserve"> PAGEREF _Toc75881524 \h </w:instrText>
        </w:r>
        <w:r w:rsidR="00E0689D">
          <w:rPr>
            <w:noProof/>
            <w:webHidden/>
          </w:rPr>
        </w:r>
        <w:r w:rsidR="00E0689D">
          <w:rPr>
            <w:noProof/>
            <w:webHidden/>
          </w:rPr>
          <w:fldChar w:fldCharType="separate"/>
        </w:r>
        <w:r w:rsidR="00E0689D">
          <w:rPr>
            <w:noProof/>
            <w:webHidden/>
          </w:rPr>
          <w:t>30</w:t>
        </w:r>
        <w:r w:rsidR="00E0689D">
          <w:rPr>
            <w:noProof/>
            <w:webHidden/>
          </w:rPr>
          <w:fldChar w:fldCharType="end"/>
        </w:r>
      </w:hyperlink>
    </w:p>
    <w:p w14:paraId="1FD10B9E" w14:textId="54D55A6D" w:rsidR="00E0689D" w:rsidRDefault="00935584">
      <w:pPr>
        <w:pStyle w:val="TableofFigures"/>
        <w:tabs>
          <w:tab w:val="right" w:leader="dot" w:pos="9016"/>
        </w:tabs>
        <w:rPr>
          <w:rFonts w:eastAsiaTheme="minorEastAsia"/>
          <w:noProof/>
          <w:lang w:eastAsia="en-AU"/>
        </w:rPr>
      </w:pPr>
      <w:hyperlink w:anchor="_Toc75881525" w:history="1">
        <w:r w:rsidR="00E0689D" w:rsidRPr="001A2EBF">
          <w:rPr>
            <w:rStyle w:val="Hyperlink"/>
            <w:noProof/>
          </w:rPr>
          <w:t>Exhibit 22: Summary Statistics – Base Wages of Supervisors</w:t>
        </w:r>
        <w:r w:rsidR="00E0689D">
          <w:rPr>
            <w:noProof/>
            <w:webHidden/>
          </w:rPr>
          <w:tab/>
        </w:r>
        <w:r w:rsidR="00E0689D">
          <w:rPr>
            <w:noProof/>
            <w:webHidden/>
          </w:rPr>
          <w:fldChar w:fldCharType="begin"/>
        </w:r>
        <w:r w:rsidR="00E0689D">
          <w:rPr>
            <w:noProof/>
            <w:webHidden/>
          </w:rPr>
          <w:instrText xml:space="preserve"> PAGEREF _Toc75881525 \h </w:instrText>
        </w:r>
        <w:r w:rsidR="00E0689D">
          <w:rPr>
            <w:noProof/>
            <w:webHidden/>
          </w:rPr>
        </w:r>
        <w:r w:rsidR="00E0689D">
          <w:rPr>
            <w:noProof/>
            <w:webHidden/>
          </w:rPr>
          <w:fldChar w:fldCharType="separate"/>
        </w:r>
        <w:r w:rsidR="00E0689D">
          <w:rPr>
            <w:noProof/>
            <w:webHidden/>
          </w:rPr>
          <w:t>30</w:t>
        </w:r>
        <w:r w:rsidR="00E0689D">
          <w:rPr>
            <w:noProof/>
            <w:webHidden/>
          </w:rPr>
          <w:fldChar w:fldCharType="end"/>
        </w:r>
      </w:hyperlink>
    </w:p>
    <w:p w14:paraId="31B76366" w14:textId="55F7A547" w:rsidR="00E0689D" w:rsidRDefault="00935584">
      <w:pPr>
        <w:pStyle w:val="TableofFigures"/>
        <w:tabs>
          <w:tab w:val="right" w:leader="dot" w:pos="9016"/>
        </w:tabs>
        <w:rPr>
          <w:rFonts w:eastAsiaTheme="minorEastAsia"/>
          <w:noProof/>
          <w:lang w:eastAsia="en-AU"/>
        </w:rPr>
      </w:pPr>
      <w:hyperlink w:anchor="_Toc75881526" w:history="1">
        <w:r w:rsidR="00E0689D" w:rsidRPr="001A2EBF">
          <w:rPr>
            <w:rStyle w:val="Hyperlink"/>
            <w:noProof/>
          </w:rPr>
          <w:t>Exhibit 23: Regression Analysis – Base Wages of Supervisors</w:t>
        </w:r>
        <w:r w:rsidR="00E0689D">
          <w:rPr>
            <w:noProof/>
            <w:webHidden/>
          </w:rPr>
          <w:tab/>
        </w:r>
        <w:r w:rsidR="00E0689D">
          <w:rPr>
            <w:noProof/>
            <w:webHidden/>
          </w:rPr>
          <w:fldChar w:fldCharType="begin"/>
        </w:r>
        <w:r w:rsidR="00E0689D">
          <w:rPr>
            <w:noProof/>
            <w:webHidden/>
          </w:rPr>
          <w:instrText xml:space="preserve"> PAGEREF _Toc75881526 \h </w:instrText>
        </w:r>
        <w:r w:rsidR="00E0689D">
          <w:rPr>
            <w:noProof/>
            <w:webHidden/>
          </w:rPr>
        </w:r>
        <w:r w:rsidR="00E0689D">
          <w:rPr>
            <w:noProof/>
            <w:webHidden/>
          </w:rPr>
          <w:fldChar w:fldCharType="separate"/>
        </w:r>
        <w:r w:rsidR="00E0689D">
          <w:rPr>
            <w:noProof/>
            <w:webHidden/>
          </w:rPr>
          <w:t>31</w:t>
        </w:r>
        <w:r w:rsidR="00E0689D">
          <w:rPr>
            <w:noProof/>
            <w:webHidden/>
          </w:rPr>
          <w:fldChar w:fldCharType="end"/>
        </w:r>
      </w:hyperlink>
    </w:p>
    <w:p w14:paraId="636CFFF7" w14:textId="7F1E965D" w:rsidR="00E0689D" w:rsidRDefault="00935584">
      <w:pPr>
        <w:pStyle w:val="TableofFigures"/>
        <w:tabs>
          <w:tab w:val="right" w:leader="dot" w:pos="9016"/>
        </w:tabs>
        <w:rPr>
          <w:rFonts w:eastAsiaTheme="minorEastAsia"/>
          <w:noProof/>
          <w:lang w:eastAsia="en-AU"/>
        </w:rPr>
      </w:pPr>
      <w:hyperlink w:anchor="_Toc75881527" w:history="1">
        <w:r w:rsidR="00E0689D" w:rsidRPr="001A2EBF">
          <w:rPr>
            <w:rStyle w:val="Hyperlink"/>
            <w:noProof/>
          </w:rPr>
          <w:t>Exhibit 24: Box Plot – Supervision Ratio</w:t>
        </w:r>
        <w:r w:rsidR="00E0689D">
          <w:rPr>
            <w:noProof/>
            <w:webHidden/>
          </w:rPr>
          <w:tab/>
        </w:r>
        <w:r w:rsidR="00E0689D">
          <w:rPr>
            <w:noProof/>
            <w:webHidden/>
          </w:rPr>
          <w:fldChar w:fldCharType="begin"/>
        </w:r>
        <w:r w:rsidR="00E0689D">
          <w:rPr>
            <w:noProof/>
            <w:webHidden/>
          </w:rPr>
          <w:instrText xml:space="preserve"> PAGEREF _Toc75881527 \h </w:instrText>
        </w:r>
        <w:r w:rsidR="00E0689D">
          <w:rPr>
            <w:noProof/>
            <w:webHidden/>
          </w:rPr>
        </w:r>
        <w:r w:rsidR="00E0689D">
          <w:rPr>
            <w:noProof/>
            <w:webHidden/>
          </w:rPr>
          <w:fldChar w:fldCharType="separate"/>
        </w:r>
        <w:r w:rsidR="00E0689D">
          <w:rPr>
            <w:noProof/>
            <w:webHidden/>
          </w:rPr>
          <w:t>31</w:t>
        </w:r>
        <w:r w:rsidR="00E0689D">
          <w:rPr>
            <w:noProof/>
            <w:webHidden/>
          </w:rPr>
          <w:fldChar w:fldCharType="end"/>
        </w:r>
      </w:hyperlink>
    </w:p>
    <w:p w14:paraId="67A4A49C" w14:textId="253F5A97" w:rsidR="00E0689D" w:rsidRDefault="00935584">
      <w:pPr>
        <w:pStyle w:val="TableofFigures"/>
        <w:tabs>
          <w:tab w:val="right" w:leader="dot" w:pos="9016"/>
        </w:tabs>
        <w:rPr>
          <w:rFonts w:eastAsiaTheme="minorEastAsia"/>
          <w:noProof/>
          <w:lang w:eastAsia="en-AU"/>
        </w:rPr>
      </w:pPr>
      <w:hyperlink w:anchor="_Toc75881528" w:history="1">
        <w:r w:rsidR="00E0689D" w:rsidRPr="001A2EBF">
          <w:rPr>
            <w:rStyle w:val="Hyperlink"/>
            <w:noProof/>
          </w:rPr>
          <w:t>Exhibit 25: Summary Statistics – Supervision Ratio</w:t>
        </w:r>
        <w:r w:rsidR="00E0689D">
          <w:rPr>
            <w:noProof/>
            <w:webHidden/>
          </w:rPr>
          <w:tab/>
        </w:r>
        <w:r w:rsidR="00E0689D">
          <w:rPr>
            <w:noProof/>
            <w:webHidden/>
          </w:rPr>
          <w:fldChar w:fldCharType="begin"/>
        </w:r>
        <w:r w:rsidR="00E0689D">
          <w:rPr>
            <w:noProof/>
            <w:webHidden/>
          </w:rPr>
          <w:instrText xml:space="preserve"> PAGEREF _Toc75881528 \h </w:instrText>
        </w:r>
        <w:r w:rsidR="00E0689D">
          <w:rPr>
            <w:noProof/>
            <w:webHidden/>
          </w:rPr>
        </w:r>
        <w:r w:rsidR="00E0689D">
          <w:rPr>
            <w:noProof/>
            <w:webHidden/>
          </w:rPr>
          <w:fldChar w:fldCharType="separate"/>
        </w:r>
        <w:r w:rsidR="00E0689D">
          <w:rPr>
            <w:noProof/>
            <w:webHidden/>
          </w:rPr>
          <w:t>32</w:t>
        </w:r>
        <w:r w:rsidR="00E0689D">
          <w:rPr>
            <w:noProof/>
            <w:webHidden/>
          </w:rPr>
          <w:fldChar w:fldCharType="end"/>
        </w:r>
      </w:hyperlink>
    </w:p>
    <w:p w14:paraId="324BD482" w14:textId="0B502B79" w:rsidR="00E0689D" w:rsidRDefault="00935584">
      <w:pPr>
        <w:pStyle w:val="TableofFigures"/>
        <w:tabs>
          <w:tab w:val="right" w:leader="dot" w:pos="9016"/>
        </w:tabs>
        <w:rPr>
          <w:rFonts w:eastAsiaTheme="minorEastAsia"/>
          <w:noProof/>
          <w:lang w:eastAsia="en-AU"/>
        </w:rPr>
      </w:pPr>
      <w:hyperlink w:anchor="_Toc75881529" w:history="1">
        <w:r w:rsidR="00E0689D" w:rsidRPr="001A2EBF">
          <w:rPr>
            <w:rStyle w:val="Hyperlink"/>
            <w:noProof/>
          </w:rPr>
          <w:t>Exhibit 26: Regression Analysis – Supervision Ratio</w:t>
        </w:r>
        <w:r w:rsidR="00E0689D">
          <w:rPr>
            <w:noProof/>
            <w:webHidden/>
          </w:rPr>
          <w:tab/>
        </w:r>
        <w:r w:rsidR="00E0689D">
          <w:rPr>
            <w:noProof/>
            <w:webHidden/>
          </w:rPr>
          <w:fldChar w:fldCharType="begin"/>
        </w:r>
        <w:r w:rsidR="00E0689D">
          <w:rPr>
            <w:noProof/>
            <w:webHidden/>
          </w:rPr>
          <w:instrText xml:space="preserve"> PAGEREF _Toc75881529 \h </w:instrText>
        </w:r>
        <w:r w:rsidR="00E0689D">
          <w:rPr>
            <w:noProof/>
            <w:webHidden/>
          </w:rPr>
        </w:r>
        <w:r w:rsidR="00E0689D">
          <w:rPr>
            <w:noProof/>
            <w:webHidden/>
          </w:rPr>
          <w:fldChar w:fldCharType="separate"/>
        </w:r>
        <w:r w:rsidR="00E0689D">
          <w:rPr>
            <w:noProof/>
            <w:webHidden/>
          </w:rPr>
          <w:t>32</w:t>
        </w:r>
        <w:r w:rsidR="00E0689D">
          <w:rPr>
            <w:noProof/>
            <w:webHidden/>
          </w:rPr>
          <w:fldChar w:fldCharType="end"/>
        </w:r>
      </w:hyperlink>
    </w:p>
    <w:p w14:paraId="22243EEB" w14:textId="22EF5BD2" w:rsidR="00E0689D" w:rsidRDefault="00935584">
      <w:pPr>
        <w:pStyle w:val="TableofFigures"/>
        <w:tabs>
          <w:tab w:val="right" w:leader="dot" w:pos="9016"/>
        </w:tabs>
        <w:rPr>
          <w:rFonts w:eastAsiaTheme="minorEastAsia"/>
          <w:noProof/>
          <w:lang w:eastAsia="en-AU"/>
        </w:rPr>
      </w:pPr>
      <w:hyperlink w:anchor="_Toc75881530" w:history="1">
        <w:r w:rsidR="00E0689D" w:rsidRPr="001A2EBF">
          <w:rPr>
            <w:rStyle w:val="Hyperlink"/>
            <w:noProof/>
          </w:rPr>
          <w:t>Exhibit 27: Box Plot – Overhead Costs</w:t>
        </w:r>
        <w:r w:rsidR="00E0689D">
          <w:rPr>
            <w:noProof/>
            <w:webHidden/>
          </w:rPr>
          <w:tab/>
        </w:r>
        <w:r w:rsidR="00E0689D">
          <w:rPr>
            <w:noProof/>
            <w:webHidden/>
          </w:rPr>
          <w:fldChar w:fldCharType="begin"/>
        </w:r>
        <w:r w:rsidR="00E0689D">
          <w:rPr>
            <w:noProof/>
            <w:webHidden/>
          </w:rPr>
          <w:instrText xml:space="preserve"> PAGEREF _Toc75881530 \h </w:instrText>
        </w:r>
        <w:r w:rsidR="00E0689D">
          <w:rPr>
            <w:noProof/>
            <w:webHidden/>
          </w:rPr>
        </w:r>
        <w:r w:rsidR="00E0689D">
          <w:rPr>
            <w:noProof/>
            <w:webHidden/>
          </w:rPr>
          <w:fldChar w:fldCharType="separate"/>
        </w:r>
        <w:r w:rsidR="00E0689D">
          <w:rPr>
            <w:noProof/>
            <w:webHidden/>
          </w:rPr>
          <w:t>33</w:t>
        </w:r>
        <w:r w:rsidR="00E0689D">
          <w:rPr>
            <w:noProof/>
            <w:webHidden/>
          </w:rPr>
          <w:fldChar w:fldCharType="end"/>
        </w:r>
      </w:hyperlink>
    </w:p>
    <w:p w14:paraId="638E7FFB" w14:textId="5E4E7A36" w:rsidR="00E0689D" w:rsidRDefault="00935584">
      <w:pPr>
        <w:pStyle w:val="TableofFigures"/>
        <w:tabs>
          <w:tab w:val="right" w:leader="dot" w:pos="9016"/>
        </w:tabs>
        <w:rPr>
          <w:rFonts w:eastAsiaTheme="minorEastAsia"/>
          <w:noProof/>
          <w:lang w:eastAsia="en-AU"/>
        </w:rPr>
      </w:pPr>
      <w:hyperlink w:anchor="_Toc75881531" w:history="1">
        <w:r w:rsidR="00E0689D" w:rsidRPr="001A2EBF">
          <w:rPr>
            <w:rStyle w:val="Hyperlink"/>
            <w:noProof/>
          </w:rPr>
          <w:t>Exhibit 28: Summary Statistics – Overhead Costs</w:t>
        </w:r>
        <w:r w:rsidR="00E0689D">
          <w:rPr>
            <w:noProof/>
            <w:webHidden/>
          </w:rPr>
          <w:tab/>
        </w:r>
        <w:r w:rsidR="00E0689D">
          <w:rPr>
            <w:noProof/>
            <w:webHidden/>
          </w:rPr>
          <w:fldChar w:fldCharType="begin"/>
        </w:r>
        <w:r w:rsidR="00E0689D">
          <w:rPr>
            <w:noProof/>
            <w:webHidden/>
          </w:rPr>
          <w:instrText xml:space="preserve"> PAGEREF _Toc75881531 \h </w:instrText>
        </w:r>
        <w:r w:rsidR="00E0689D">
          <w:rPr>
            <w:noProof/>
            <w:webHidden/>
          </w:rPr>
        </w:r>
        <w:r w:rsidR="00E0689D">
          <w:rPr>
            <w:noProof/>
            <w:webHidden/>
          </w:rPr>
          <w:fldChar w:fldCharType="separate"/>
        </w:r>
        <w:r w:rsidR="00E0689D">
          <w:rPr>
            <w:noProof/>
            <w:webHidden/>
          </w:rPr>
          <w:t>33</w:t>
        </w:r>
        <w:r w:rsidR="00E0689D">
          <w:rPr>
            <w:noProof/>
            <w:webHidden/>
          </w:rPr>
          <w:fldChar w:fldCharType="end"/>
        </w:r>
      </w:hyperlink>
    </w:p>
    <w:p w14:paraId="6CD0AC61" w14:textId="76B4F258" w:rsidR="00E0689D" w:rsidRDefault="00935584">
      <w:pPr>
        <w:pStyle w:val="TableofFigures"/>
        <w:tabs>
          <w:tab w:val="right" w:leader="dot" w:pos="9016"/>
        </w:tabs>
        <w:rPr>
          <w:rFonts w:eastAsiaTheme="minorEastAsia"/>
          <w:noProof/>
          <w:lang w:eastAsia="en-AU"/>
        </w:rPr>
      </w:pPr>
      <w:hyperlink w:anchor="_Toc75881532" w:history="1">
        <w:r w:rsidR="00E0689D" w:rsidRPr="001A2EBF">
          <w:rPr>
            <w:rStyle w:val="Hyperlink"/>
            <w:noProof/>
          </w:rPr>
          <w:t>Exhibit 29: Regression Analysis – Overhead Costs</w:t>
        </w:r>
        <w:r w:rsidR="00E0689D">
          <w:rPr>
            <w:noProof/>
            <w:webHidden/>
          </w:rPr>
          <w:tab/>
        </w:r>
        <w:r w:rsidR="00E0689D">
          <w:rPr>
            <w:noProof/>
            <w:webHidden/>
          </w:rPr>
          <w:fldChar w:fldCharType="begin"/>
        </w:r>
        <w:r w:rsidR="00E0689D">
          <w:rPr>
            <w:noProof/>
            <w:webHidden/>
          </w:rPr>
          <w:instrText xml:space="preserve"> PAGEREF _Toc75881532 \h </w:instrText>
        </w:r>
        <w:r w:rsidR="00E0689D">
          <w:rPr>
            <w:noProof/>
            <w:webHidden/>
          </w:rPr>
        </w:r>
        <w:r w:rsidR="00E0689D">
          <w:rPr>
            <w:noProof/>
            <w:webHidden/>
          </w:rPr>
          <w:fldChar w:fldCharType="separate"/>
        </w:r>
        <w:r w:rsidR="00E0689D">
          <w:rPr>
            <w:noProof/>
            <w:webHidden/>
          </w:rPr>
          <w:t>34</w:t>
        </w:r>
        <w:r w:rsidR="00E0689D">
          <w:rPr>
            <w:noProof/>
            <w:webHidden/>
          </w:rPr>
          <w:fldChar w:fldCharType="end"/>
        </w:r>
      </w:hyperlink>
    </w:p>
    <w:p w14:paraId="1C71EA2B" w14:textId="38FACC93" w:rsidR="00E0689D" w:rsidRDefault="00935584">
      <w:pPr>
        <w:pStyle w:val="TableofFigures"/>
        <w:tabs>
          <w:tab w:val="right" w:leader="dot" w:pos="9016"/>
        </w:tabs>
        <w:rPr>
          <w:rFonts w:eastAsiaTheme="minorEastAsia"/>
          <w:noProof/>
          <w:lang w:eastAsia="en-AU"/>
        </w:rPr>
      </w:pPr>
      <w:hyperlink w:anchor="_Toc75881533" w:history="1">
        <w:r w:rsidR="00E0689D" w:rsidRPr="001A2EBF">
          <w:rPr>
            <w:rStyle w:val="Hyperlink"/>
            <w:noProof/>
          </w:rPr>
          <w:t>Exhibit 30: Efficient Costs in SIL and Non-SIL Settings</w:t>
        </w:r>
        <w:r w:rsidR="00E0689D">
          <w:rPr>
            <w:noProof/>
            <w:webHidden/>
          </w:rPr>
          <w:tab/>
        </w:r>
        <w:r w:rsidR="00E0689D">
          <w:rPr>
            <w:noProof/>
            <w:webHidden/>
          </w:rPr>
          <w:fldChar w:fldCharType="begin"/>
        </w:r>
        <w:r w:rsidR="00E0689D">
          <w:rPr>
            <w:noProof/>
            <w:webHidden/>
          </w:rPr>
          <w:instrText xml:space="preserve"> PAGEREF _Toc75881533 \h </w:instrText>
        </w:r>
        <w:r w:rsidR="00E0689D">
          <w:rPr>
            <w:noProof/>
            <w:webHidden/>
          </w:rPr>
        </w:r>
        <w:r w:rsidR="00E0689D">
          <w:rPr>
            <w:noProof/>
            <w:webHidden/>
          </w:rPr>
          <w:fldChar w:fldCharType="separate"/>
        </w:r>
        <w:r w:rsidR="00E0689D">
          <w:rPr>
            <w:noProof/>
            <w:webHidden/>
          </w:rPr>
          <w:t>42</w:t>
        </w:r>
        <w:r w:rsidR="00E0689D">
          <w:rPr>
            <w:noProof/>
            <w:webHidden/>
          </w:rPr>
          <w:fldChar w:fldCharType="end"/>
        </w:r>
      </w:hyperlink>
    </w:p>
    <w:p w14:paraId="5CD881CF" w14:textId="6C912C1C" w:rsidR="00405A0D" w:rsidRPr="00284A41" w:rsidRDefault="00405A0D" w:rsidP="00405A0D">
      <w:pPr>
        <w:rPr>
          <w:rFonts w:ascii="Arial" w:hAnsi="Arial" w:cs="Arial"/>
        </w:rPr>
      </w:pPr>
      <w:r w:rsidRPr="00284A41">
        <w:rPr>
          <w:rFonts w:ascii="Arial" w:hAnsi="Arial" w:cs="Arial"/>
        </w:rPr>
        <w:fldChar w:fldCharType="end"/>
      </w:r>
    </w:p>
    <w:p w14:paraId="78F8D104" w14:textId="77777777" w:rsidR="00237867" w:rsidRPr="00284A41" w:rsidRDefault="00237867" w:rsidP="001A3E36">
      <w:pPr>
        <w:rPr>
          <w:color w:val="FF0000"/>
        </w:rPr>
        <w:sectPr w:rsidR="00237867" w:rsidRPr="00284A41" w:rsidSect="0064288A">
          <w:type w:val="nextColumn"/>
          <w:pgSz w:w="11906" w:h="16838" w:code="9"/>
          <w:pgMar w:top="1440" w:right="1440" w:bottom="1440" w:left="1440" w:header="709" w:footer="709" w:gutter="0"/>
          <w:cols w:space="708"/>
          <w:titlePg/>
          <w:docGrid w:linePitch="360"/>
        </w:sectPr>
      </w:pPr>
    </w:p>
    <w:p w14:paraId="7C777917" w14:textId="77777777" w:rsidR="00C26B74" w:rsidRPr="00284A41" w:rsidRDefault="00C26B74" w:rsidP="00FC6936">
      <w:pPr>
        <w:pStyle w:val="Heading1"/>
        <w:numPr>
          <w:ilvl w:val="0"/>
          <w:numId w:val="0"/>
        </w:numPr>
        <w:ind w:left="432" w:hanging="432"/>
      </w:pPr>
      <w:bookmarkStart w:id="7" w:name="_Toc75881961"/>
      <w:bookmarkStart w:id="8" w:name="_Toc2341423"/>
      <w:r w:rsidRPr="00284A41">
        <w:t>Executive Summary</w:t>
      </w:r>
      <w:bookmarkEnd w:id="7"/>
      <w:r w:rsidRPr="00284A41">
        <w:t xml:space="preserve"> </w:t>
      </w:r>
    </w:p>
    <w:p w14:paraId="0E6D6444" w14:textId="62AB0EBF" w:rsidR="00DE508E" w:rsidRPr="00284A41" w:rsidRDefault="00DE508E" w:rsidP="008210B6">
      <w:r w:rsidRPr="00284A41">
        <w:t>On 1 July 2020, the National Disability Insurance Agency (NDIA) introduced new pricing arrangements for Supported Independent Living (SIL) – support with activities of daily living in a shared living arrangement. Under the new arrangements, the maximum price that the Agency was willing to pay for the component hourly supports of SIL were determined by the NDIS Disability Support Worker Cost Model in line with all other supports for activities of daily living.</w:t>
      </w:r>
    </w:p>
    <w:p w14:paraId="15AC3064" w14:textId="77777777" w:rsidR="00C26B74" w:rsidRPr="00284A41" w:rsidRDefault="00DE508E" w:rsidP="008210B6">
      <w:r w:rsidRPr="00284A41">
        <w:t>The Review was established to suggest improvements to the way in which the NDIA estimates the fully loaded cost of delivering an hour of support in a SIL setting. This included identifying whether there were different costs that arise in the delivery of activities of daily living supports in a shared living arrangement that do not arise in other settings; and quantifying any differences, given the different cost structures of delivering supports in shared living arrangements compared to other settings.</w:t>
      </w:r>
    </w:p>
    <w:p w14:paraId="09C91BD6" w14:textId="73F73DD5" w:rsidR="00DE508E" w:rsidRDefault="00DE508E" w:rsidP="00DE508E">
      <w:r w:rsidRPr="00284A41">
        <w:t xml:space="preserve">The Review engaged in extensive consultations with industry, community and government stakeholders and undertook a program of research including an analysis of the Financial Benchmarking Survey data held by the Agency to examine whether cost parameters differed between providers that do </w:t>
      </w:r>
      <w:r w:rsidR="00FC6936">
        <w:t>and do not provide SIL services.</w:t>
      </w:r>
    </w:p>
    <w:p w14:paraId="033D9A5E" w14:textId="6C3C7684" w:rsidR="00D8000B" w:rsidRPr="00284A41" w:rsidRDefault="00D8000B" w:rsidP="005A130F">
      <w:pPr>
        <w:rPr>
          <w:rFonts w:eastAsia="Arial" w:cstheme="minorHAnsi"/>
        </w:rPr>
      </w:pPr>
      <w:r w:rsidRPr="00284A41">
        <w:t>The Review has found that there is evidence to suggest that, compared to activities of daily living delivered</w:t>
      </w:r>
      <w:r w:rsidRPr="00284A41">
        <w:rPr>
          <w:rFonts w:eastAsia="Arial" w:cstheme="minorHAnsi"/>
        </w:rPr>
        <w:t xml:space="preserve"> in a non-SIL setting by an efficient provider, an efficient SIL provider faces:</w:t>
      </w:r>
    </w:p>
    <w:p w14:paraId="3D55F42C" w14:textId="77777777" w:rsidR="00652020" w:rsidRPr="00C42756" w:rsidRDefault="00652020" w:rsidP="00C42756">
      <w:pPr>
        <w:pStyle w:val="DotPoint"/>
      </w:pPr>
      <w:r w:rsidRPr="00C42756">
        <w:t>higher rates of permanent employment (85.1% compared to 70.0%);</w:t>
      </w:r>
    </w:p>
    <w:p w14:paraId="25851AC5" w14:textId="77777777" w:rsidR="00652020" w:rsidRPr="00C42756" w:rsidRDefault="00652020" w:rsidP="00C42756">
      <w:pPr>
        <w:pStyle w:val="DotPoint"/>
      </w:pPr>
      <w:r w:rsidRPr="00C42756">
        <w:t>higher workers compensation premiums (2.4% compared to 1.7%);</w:t>
      </w:r>
    </w:p>
    <w:p w14:paraId="7E60C8C9" w14:textId="77777777" w:rsidR="00652020" w:rsidRPr="00C42756" w:rsidRDefault="00652020" w:rsidP="00C42756">
      <w:pPr>
        <w:pStyle w:val="DotPoint"/>
      </w:pPr>
      <w:r w:rsidRPr="00C42756">
        <w:t>higher average utilisation rates (94% compared to 92%);</w:t>
      </w:r>
    </w:p>
    <w:p w14:paraId="6203C353" w14:textId="77777777" w:rsidR="00652020" w:rsidRPr="00C42756" w:rsidRDefault="00652020" w:rsidP="00C42756">
      <w:pPr>
        <w:pStyle w:val="DotPoint"/>
      </w:pPr>
      <w:r w:rsidRPr="00C42756">
        <w:t>higher base wages for supervisors (11.9% higher on average); and</w:t>
      </w:r>
    </w:p>
    <w:p w14:paraId="45692E2E" w14:textId="77777777" w:rsidR="00652020" w:rsidRPr="00C42756" w:rsidRDefault="00652020" w:rsidP="00C42756">
      <w:pPr>
        <w:pStyle w:val="DotPoint"/>
      </w:pPr>
      <w:r w:rsidRPr="00C42756">
        <w:t>higher annual leave costs associated with great leave entitlement (5 weeks per year compared to 4 weeks per year).</w:t>
      </w:r>
    </w:p>
    <w:p w14:paraId="73227193" w14:textId="1E204723" w:rsidR="00652020" w:rsidRPr="00284A41" w:rsidRDefault="00652020" w:rsidP="00767876">
      <w:r w:rsidRPr="00284A41">
        <w:t xml:space="preserve">Some of these effects add to the cost of service provision whereas other </w:t>
      </w:r>
      <w:r w:rsidR="00284A41" w:rsidRPr="00284A41">
        <w:t>reduce</w:t>
      </w:r>
      <w:r w:rsidRPr="00284A41">
        <w:t xml:space="preserve"> that cost. The net effect is that the fully loaded costs of service provision in SIL and non-SIL settings are essentially identical. </w:t>
      </w:r>
    </w:p>
    <w:p w14:paraId="0B6C0C71" w14:textId="28B8AF8F" w:rsidR="00652020" w:rsidRDefault="00652020" w:rsidP="00652020">
      <w:pPr>
        <w:rPr>
          <w:b/>
        </w:rPr>
      </w:pPr>
      <w:r w:rsidRPr="00284A41">
        <w:rPr>
          <w:b/>
        </w:rPr>
        <w:t>The Review therefore does not recommend any changes in the current SIL pricing arrangements.</w:t>
      </w:r>
    </w:p>
    <w:p w14:paraId="19FB9EE2" w14:textId="77777777" w:rsidR="0087656C" w:rsidRDefault="0087656C" w:rsidP="00E4185C">
      <w:pPr>
        <w:pStyle w:val="Heading1"/>
        <w:sectPr w:rsidR="0087656C" w:rsidSect="0064288A">
          <w:headerReference w:type="default" r:id="rId16"/>
          <w:type w:val="nextColumn"/>
          <w:pgSz w:w="11906" w:h="16838" w:code="9"/>
          <w:pgMar w:top="1440" w:right="1440" w:bottom="1440" w:left="1440" w:header="709" w:footer="709" w:gutter="0"/>
          <w:cols w:space="708"/>
          <w:titlePg/>
          <w:docGrid w:linePitch="360"/>
        </w:sectPr>
      </w:pPr>
    </w:p>
    <w:p w14:paraId="48662A28" w14:textId="0904D8BE" w:rsidR="004D32B5" w:rsidRPr="00284A41" w:rsidRDefault="003F4435" w:rsidP="00E4185C">
      <w:pPr>
        <w:pStyle w:val="Heading1"/>
      </w:pPr>
      <w:bookmarkStart w:id="9" w:name="_Toc75881962"/>
      <w:r w:rsidRPr="00284A41">
        <w:t>Introduction</w:t>
      </w:r>
      <w:bookmarkEnd w:id="8"/>
      <w:bookmarkEnd w:id="9"/>
    </w:p>
    <w:p w14:paraId="126C1487" w14:textId="77777777" w:rsidR="00E20BEC" w:rsidRPr="00284A41" w:rsidRDefault="000F162E" w:rsidP="00E20BEC">
      <w:r w:rsidRPr="00284A41">
        <w:t xml:space="preserve">The National Disability Insurance Agency (NDIA) has responsibility for administering the National Disability Insurance Scheme (NDIS), including managing the markets for disability goods and services. </w:t>
      </w:r>
      <w:r w:rsidR="002572E0" w:rsidRPr="00284A41">
        <w:t xml:space="preserve">Within the NDIS, </w:t>
      </w:r>
      <w:r w:rsidR="002572E0" w:rsidRPr="00284A41">
        <w:rPr>
          <w:b/>
        </w:rPr>
        <w:t>Supported Independent Living (SIL)</w:t>
      </w:r>
      <w:r w:rsidR="002572E0" w:rsidRPr="00284A41">
        <w:t xml:space="preserve"> is one type of help or supervision with daily tasks to help participants live as independently as possible, while building their skills. </w:t>
      </w:r>
      <w:r w:rsidR="00E20BEC" w:rsidRPr="00284A41">
        <w:t>SIL is a specialised form of the more general category of supports with activities of daily living. It is intended for participants who require 24/7 support and live in shared living arrangements with other NDIS participants. Other contemporary living models exist for participants, including the use of assistive technology and home modifications, or Individualised Living Options (ILOs).</w:t>
      </w:r>
    </w:p>
    <w:p w14:paraId="575C4A45" w14:textId="77777777" w:rsidR="00E20BEC" w:rsidRPr="00284A41" w:rsidRDefault="00E20BEC" w:rsidP="00E20BEC">
      <w:r w:rsidRPr="00284A41">
        <w:t>On 1 July 2020, the NDIA introduced new pricing arrangements for SIL. A quotation process, whereby the Agency and provider negotiated an individual price for each SIL participant, was replaced by a fairer and more transparent process whereby the Agency determined the reasonable and necessary supports for each participant in line with the relevant legislation, Under the new arrangements, the maximum price that the Agency was willing to pay for the component hourly supports of SIL were determined by the NDIS Disability Support Worker Cost Model in line with all other supports for activities of daily living.</w:t>
      </w:r>
    </w:p>
    <w:p w14:paraId="0A9A20FF" w14:textId="77777777" w:rsidR="00E20BEC" w:rsidRPr="00284A41" w:rsidRDefault="00712B50" w:rsidP="00E20BEC">
      <w:pPr>
        <w:rPr>
          <w:rFonts w:cstheme="minorHAnsi"/>
        </w:rPr>
      </w:pPr>
      <w:r w:rsidRPr="00284A41">
        <w:t>The purpose of the current</w:t>
      </w:r>
      <w:r w:rsidR="00E20BEC" w:rsidRPr="00284A41">
        <w:t xml:space="preserve"> Review was </w:t>
      </w:r>
      <w:r w:rsidRPr="00284A41">
        <w:t>to suggest</w:t>
      </w:r>
      <w:r w:rsidR="00E20BEC" w:rsidRPr="00284A41">
        <w:t xml:space="preserve"> improvements to the </w:t>
      </w:r>
      <w:r w:rsidRPr="00284A41">
        <w:t xml:space="preserve">way in which the NDIA </w:t>
      </w:r>
      <w:r w:rsidR="00E20BEC" w:rsidRPr="00284A41">
        <w:t>estimate</w:t>
      </w:r>
      <w:r w:rsidRPr="00284A41">
        <w:t>s</w:t>
      </w:r>
      <w:r w:rsidR="00E20BEC" w:rsidRPr="00284A41">
        <w:t xml:space="preserve"> the fully loaded cost of delivering an hour of SIL supports in a shared living arrangement. This included identifying </w:t>
      </w:r>
      <w:r w:rsidR="00E20BEC" w:rsidRPr="00284A41">
        <w:rPr>
          <w:rFonts w:cstheme="minorHAnsi"/>
        </w:rPr>
        <w:t xml:space="preserve">whether there were different costs that arise in the delivery of activities of daily living supports in a shared living arrangement that do not arise in other settings; and </w:t>
      </w:r>
      <w:r w:rsidRPr="00284A41">
        <w:rPr>
          <w:rFonts w:cstheme="minorHAnsi"/>
        </w:rPr>
        <w:t>quantifying any differences</w:t>
      </w:r>
      <w:r w:rsidR="00E20BEC" w:rsidRPr="00284A41">
        <w:rPr>
          <w:rFonts w:cstheme="minorHAnsi"/>
        </w:rPr>
        <w:t>, given the different cost structures of delivering supports in shared living arrangements compared to other settings</w:t>
      </w:r>
      <w:r w:rsidR="00E20BEC" w:rsidRPr="00284A41" w:rsidDel="00481620">
        <w:rPr>
          <w:rFonts w:cstheme="minorHAnsi"/>
        </w:rPr>
        <w:t>.</w:t>
      </w:r>
    </w:p>
    <w:p w14:paraId="55F087A4" w14:textId="77777777" w:rsidR="00E20BEC" w:rsidRPr="00284A41" w:rsidRDefault="00E20BEC" w:rsidP="00E4185C">
      <w:pPr>
        <w:pStyle w:val="Heading2"/>
      </w:pPr>
      <w:bookmarkStart w:id="10" w:name="_Toc75881963"/>
      <w:r w:rsidRPr="00284A41">
        <w:t>Context</w:t>
      </w:r>
      <w:bookmarkEnd w:id="10"/>
    </w:p>
    <w:p w14:paraId="0790707B" w14:textId="77777777" w:rsidR="00F55C6C" w:rsidRPr="00284A41" w:rsidRDefault="00F55C6C" w:rsidP="00F55C6C">
      <w:pPr>
        <w:pStyle w:val="Heading3"/>
      </w:pPr>
      <w:r w:rsidRPr="00284A41">
        <w:t>Supported Independent Living</w:t>
      </w:r>
    </w:p>
    <w:p w14:paraId="4B37C040" w14:textId="77777777" w:rsidR="00E20BEC" w:rsidRPr="00284A41" w:rsidRDefault="00E20BEC" w:rsidP="002572E0">
      <w:r w:rsidRPr="00284A41">
        <w:t xml:space="preserve">SIL </w:t>
      </w:r>
      <w:r w:rsidR="002572E0" w:rsidRPr="00284A41">
        <w:t xml:space="preserve">is paid personal support. It includes things like someone to help with personal care tasks or cooking meals. SIL can help build these skills too. </w:t>
      </w:r>
      <w:r w:rsidR="00700E59" w:rsidRPr="00284A41">
        <w:t>S</w:t>
      </w:r>
      <w:r w:rsidR="002572E0" w:rsidRPr="00284A41">
        <w:t xml:space="preserve">upport is provided to each person living in the shared arrangement in accordance with their need. </w:t>
      </w:r>
      <w:r w:rsidR="00700E59" w:rsidRPr="00284A41">
        <w:t>SIL</w:t>
      </w:r>
      <w:r w:rsidR="002572E0" w:rsidRPr="00284A41">
        <w:t xml:space="preserve"> </w:t>
      </w:r>
      <w:r w:rsidRPr="00284A41">
        <w:t>does not cover costs such as</w:t>
      </w:r>
      <w:r w:rsidR="002572E0" w:rsidRPr="00284A41">
        <w:t xml:space="preserve"> rent, board and lodging or other day-to-day </w:t>
      </w:r>
      <w:r w:rsidRPr="00284A41">
        <w:t xml:space="preserve">ordinary costs </w:t>
      </w:r>
      <w:r w:rsidR="002572E0" w:rsidRPr="00284A41">
        <w:t xml:space="preserve">such as food and activities. </w:t>
      </w:r>
      <w:r w:rsidRPr="00284A41">
        <w:t>It</w:t>
      </w:r>
      <w:r w:rsidR="002572E0" w:rsidRPr="00284A41">
        <w:t xml:space="preserve"> also does not </w:t>
      </w:r>
      <w:r w:rsidR="00700E59" w:rsidRPr="00284A41">
        <w:t>pay for</w:t>
      </w:r>
      <w:r w:rsidR="002572E0" w:rsidRPr="00284A41">
        <w:t xml:space="preserve"> the capital costs associated with a participant’s accommodation</w:t>
      </w:r>
      <w:r w:rsidR="00700E59" w:rsidRPr="00284A41">
        <w:t xml:space="preserve"> – these are either an ordinary costs of living, or, where related to the disability of the participant, may be supported by the NDIS through Specialist Disability Accommodation payments</w:t>
      </w:r>
      <w:r w:rsidR="002572E0" w:rsidRPr="00284A41">
        <w:t>.</w:t>
      </w:r>
      <w:r w:rsidR="002572E0" w:rsidRPr="00284A41">
        <w:rPr>
          <w:rStyle w:val="FootnoteReference"/>
        </w:rPr>
        <w:footnoteReference w:id="2"/>
      </w:r>
      <w:r w:rsidR="002572E0" w:rsidRPr="00284A41">
        <w:t xml:space="preserve"> </w:t>
      </w:r>
    </w:p>
    <w:p w14:paraId="34D73F7A" w14:textId="60E21B58" w:rsidR="002572E0" w:rsidRPr="00284A41" w:rsidRDefault="002572E0" w:rsidP="002572E0">
      <w:r w:rsidRPr="00284A41">
        <w:t xml:space="preserve">There were </w:t>
      </w:r>
      <w:r w:rsidR="00810319" w:rsidRPr="00284A41">
        <w:t>412,543</w:t>
      </w:r>
      <w:r w:rsidRPr="00284A41">
        <w:t xml:space="preserve"> active participants with an approved plan in the Scheme at 30 </w:t>
      </w:r>
      <w:r w:rsidR="00810319" w:rsidRPr="00284A41">
        <w:t xml:space="preserve">September </w:t>
      </w:r>
      <w:r w:rsidRPr="00284A41">
        <w:t>2020. Of these</w:t>
      </w:r>
      <w:r w:rsidR="00810319" w:rsidRPr="00284A41">
        <w:t>, 23,457</w:t>
      </w:r>
      <w:r w:rsidRPr="00284A41">
        <w:t xml:space="preserve"> (</w:t>
      </w:r>
      <w:r w:rsidR="00810319" w:rsidRPr="00284A41">
        <w:t>5.7</w:t>
      </w:r>
      <w:r w:rsidRPr="00284A41">
        <w:t>% of all participants) had SIL included in their plans. A total of $2</w:t>
      </w:r>
      <w:r w:rsidR="00810319" w:rsidRPr="00284A41">
        <w:t>9</w:t>
      </w:r>
      <w:r w:rsidRPr="00284A41">
        <w:t>.</w:t>
      </w:r>
      <w:r w:rsidR="00810319" w:rsidRPr="00284A41">
        <w:t>3</w:t>
      </w:r>
      <w:r w:rsidRPr="00284A41">
        <w:t xml:space="preserve"> billion of </w:t>
      </w:r>
      <w:r w:rsidR="00810319" w:rsidRPr="00284A41">
        <w:t xml:space="preserve">annualised committed </w:t>
      </w:r>
      <w:r w:rsidRPr="00284A41">
        <w:t xml:space="preserve">support was in participant plans </w:t>
      </w:r>
      <w:r w:rsidR="00810319" w:rsidRPr="00284A41">
        <w:t>as at 30 September 2020</w:t>
      </w:r>
      <w:r w:rsidRPr="00284A41">
        <w:t>, with some $8.3 billion committed in participant plans for SIL participants (</w:t>
      </w:r>
      <w:r w:rsidR="00B73518" w:rsidRPr="00284A41">
        <w:t>28</w:t>
      </w:r>
      <w:r w:rsidRPr="00284A41">
        <w:t>% of all commitments).</w:t>
      </w:r>
      <w:r w:rsidRPr="00284A41">
        <w:rPr>
          <w:rStyle w:val="FootnoteReference"/>
        </w:rPr>
        <w:footnoteReference w:id="3"/>
      </w:r>
    </w:p>
    <w:p w14:paraId="40AAF832" w14:textId="6DE42402" w:rsidR="002572E0" w:rsidRPr="00284A41" w:rsidRDefault="002572E0" w:rsidP="002572E0">
      <w:r w:rsidRPr="00284A41">
        <w:rPr>
          <w:rFonts w:cstheme="minorHAnsi"/>
        </w:rPr>
        <w:t>For the year to September 2020, the average plan budget for participants in SIL arrangements was $352,000 compared to $54,000 for participants not in SIL, with the largest plan budgets found in participants living in the Northern Territory. The results for each stat</w:t>
      </w:r>
      <w:r w:rsidR="008A5D91" w:rsidRPr="00284A41">
        <w:rPr>
          <w:rFonts w:cstheme="minorHAnsi"/>
        </w:rPr>
        <w:t xml:space="preserve">e and territory are provided in </w:t>
      </w:r>
      <w:r w:rsidR="008A5D91" w:rsidRPr="00284A41">
        <w:rPr>
          <w:rFonts w:cstheme="minorHAnsi"/>
        </w:rPr>
        <w:fldChar w:fldCharType="begin"/>
      </w:r>
      <w:r w:rsidR="008A5D91" w:rsidRPr="00284A41">
        <w:rPr>
          <w:rFonts w:cstheme="minorHAnsi"/>
        </w:rPr>
        <w:instrText xml:space="preserve"> REF _Ref68002972 \h </w:instrText>
      </w:r>
      <w:r w:rsidR="00284A41">
        <w:rPr>
          <w:rFonts w:cstheme="minorHAnsi"/>
        </w:rPr>
        <w:instrText xml:space="preserve"> \* MERGEFORMAT </w:instrText>
      </w:r>
      <w:r w:rsidR="008A5D91" w:rsidRPr="00284A41">
        <w:rPr>
          <w:rFonts w:cstheme="minorHAnsi"/>
        </w:rPr>
      </w:r>
      <w:r w:rsidR="008A5D91" w:rsidRPr="00284A41">
        <w:rPr>
          <w:rFonts w:cstheme="minorHAnsi"/>
        </w:rPr>
        <w:fldChar w:fldCharType="separate"/>
      </w:r>
      <w:r w:rsidR="00E0689D" w:rsidRPr="00284A41">
        <w:t xml:space="preserve">Exhibit </w:t>
      </w:r>
      <w:r w:rsidR="00E0689D">
        <w:rPr>
          <w:noProof/>
        </w:rPr>
        <w:t>1</w:t>
      </w:r>
      <w:r w:rsidR="008A5D91" w:rsidRPr="00284A41">
        <w:rPr>
          <w:rFonts w:cstheme="minorHAnsi"/>
        </w:rPr>
        <w:fldChar w:fldCharType="end"/>
      </w:r>
      <w:r w:rsidR="008A5D91" w:rsidRPr="00284A41">
        <w:rPr>
          <w:rFonts w:cstheme="minorHAnsi"/>
        </w:rPr>
        <w:t xml:space="preserve"> </w:t>
      </w:r>
      <w:r w:rsidRPr="00284A41">
        <w:rPr>
          <w:rFonts w:cstheme="minorHAnsi"/>
        </w:rPr>
        <w:t>below.</w:t>
      </w:r>
      <w:r w:rsidRPr="00284A41">
        <w:rPr>
          <w:rStyle w:val="FootnoteReference"/>
          <w:rFonts w:cstheme="minorHAnsi"/>
        </w:rPr>
        <w:footnoteReference w:id="4"/>
      </w:r>
      <w:r w:rsidRPr="00284A41">
        <w:rPr>
          <w:rFonts w:cstheme="minorHAnsi"/>
        </w:rPr>
        <w:t xml:space="preserve"> </w:t>
      </w:r>
    </w:p>
    <w:p w14:paraId="7A007DF0" w14:textId="1F5B3E38" w:rsidR="008A5D91" w:rsidRPr="00284A41" w:rsidRDefault="008A5D91" w:rsidP="00066859">
      <w:pPr>
        <w:pStyle w:val="Caption"/>
      </w:pPr>
      <w:bookmarkStart w:id="11" w:name="_Ref68002972"/>
      <w:bookmarkStart w:id="12" w:name="_Toc75881504"/>
      <w:r w:rsidRPr="00284A41">
        <w:t xml:space="preserve">Exhibit </w:t>
      </w:r>
      <w:r w:rsidR="00935584">
        <w:fldChar w:fldCharType="begin"/>
      </w:r>
      <w:r w:rsidR="00935584">
        <w:instrText xml:space="preserve"> SEQ Exhibit \* ARABIC </w:instrText>
      </w:r>
      <w:r w:rsidR="00935584">
        <w:fldChar w:fldCharType="separate"/>
      </w:r>
      <w:r w:rsidR="00E0689D">
        <w:rPr>
          <w:noProof/>
        </w:rPr>
        <w:t>1</w:t>
      </w:r>
      <w:r w:rsidR="00935584">
        <w:rPr>
          <w:noProof/>
        </w:rPr>
        <w:fldChar w:fldCharType="end"/>
      </w:r>
      <w:bookmarkEnd w:id="11"/>
      <w:r w:rsidRPr="00284A41">
        <w:t>: Average Annualised Plan Budgets, 30 September 2020</w:t>
      </w:r>
      <w:bookmarkEnd w:id="12"/>
    </w:p>
    <w:tbl>
      <w:tblPr>
        <w:tblStyle w:val="GridTable4-Accent4"/>
        <w:tblW w:w="0" w:type="auto"/>
        <w:tblLook w:val="0460" w:firstRow="1" w:lastRow="1" w:firstColumn="0" w:lastColumn="0" w:noHBand="0" w:noVBand="1"/>
        <w:tblCaption w:val="Average plan budgets as at 30 September 2020 split by State/Territory and SIL/non-SIL"/>
      </w:tblPr>
      <w:tblGrid>
        <w:gridCol w:w="2254"/>
        <w:gridCol w:w="2254"/>
        <w:gridCol w:w="2254"/>
        <w:gridCol w:w="2254"/>
      </w:tblGrid>
      <w:tr w:rsidR="00066859" w:rsidRPr="00284A41" w14:paraId="0C45686C"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254" w:type="dxa"/>
          </w:tcPr>
          <w:p w14:paraId="7FEC4FFA" w14:textId="77777777" w:rsidR="002572E0" w:rsidRPr="00284A41" w:rsidRDefault="002572E0" w:rsidP="00A536D8">
            <w:pPr>
              <w:rPr>
                <w:szCs w:val="18"/>
              </w:rPr>
            </w:pPr>
            <w:r w:rsidRPr="00284A41">
              <w:rPr>
                <w:szCs w:val="18"/>
              </w:rPr>
              <w:t>State/Territory</w:t>
            </w:r>
          </w:p>
        </w:tc>
        <w:tc>
          <w:tcPr>
            <w:tcW w:w="2254" w:type="dxa"/>
          </w:tcPr>
          <w:p w14:paraId="27C52A53" w14:textId="77777777" w:rsidR="002572E0" w:rsidRPr="00284A41" w:rsidRDefault="002572E0" w:rsidP="00A536D8">
            <w:pPr>
              <w:jc w:val="center"/>
              <w:rPr>
                <w:szCs w:val="18"/>
              </w:rPr>
            </w:pPr>
            <w:r w:rsidRPr="00284A41">
              <w:rPr>
                <w:szCs w:val="18"/>
              </w:rPr>
              <w:t>Participants in SIL</w:t>
            </w:r>
          </w:p>
        </w:tc>
        <w:tc>
          <w:tcPr>
            <w:tcW w:w="2254" w:type="dxa"/>
          </w:tcPr>
          <w:p w14:paraId="51F57969" w14:textId="77777777" w:rsidR="002572E0" w:rsidRPr="00284A41" w:rsidRDefault="002572E0" w:rsidP="00A536D8">
            <w:pPr>
              <w:jc w:val="center"/>
              <w:rPr>
                <w:szCs w:val="18"/>
              </w:rPr>
            </w:pPr>
            <w:r w:rsidRPr="00284A41">
              <w:rPr>
                <w:szCs w:val="18"/>
              </w:rPr>
              <w:t>Participants not in SIL</w:t>
            </w:r>
          </w:p>
        </w:tc>
        <w:tc>
          <w:tcPr>
            <w:tcW w:w="2254" w:type="dxa"/>
          </w:tcPr>
          <w:p w14:paraId="513F8104" w14:textId="77777777" w:rsidR="002572E0" w:rsidRPr="00284A41" w:rsidRDefault="002572E0" w:rsidP="00A536D8">
            <w:pPr>
              <w:jc w:val="center"/>
              <w:rPr>
                <w:szCs w:val="18"/>
              </w:rPr>
            </w:pPr>
            <w:r w:rsidRPr="00284A41">
              <w:rPr>
                <w:szCs w:val="18"/>
              </w:rPr>
              <w:t>All participants</w:t>
            </w:r>
          </w:p>
        </w:tc>
      </w:tr>
      <w:tr w:rsidR="002572E0" w:rsidRPr="00284A41" w14:paraId="4F188650"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5DC3B546" w14:textId="77777777" w:rsidR="002572E0" w:rsidRPr="00284A41" w:rsidRDefault="002572E0" w:rsidP="00A536D8">
            <w:pPr>
              <w:rPr>
                <w:szCs w:val="18"/>
              </w:rPr>
            </w:pPr>
            <w:r w:rsidRPr="00284A41">
              <w:rPr>
                <w:szCs w:val="18"/>
              </w:rPr>
              <w:t>New South Wales</w:t>
            </w:r>
          </w:p>
        </w:tc>
        <w:tc>
          <w:tcPr>
            <w:tcW w:w="2254" w:type="dxa"/>
          </w:tcPr>
          <w:p w14:paraId="380E278E" w14:textId="77777777" w:rsidR="002572E0" w:rsidRPr="00284A41" w:rsidRDefault="002572E0" w:rsidP="00A536D8">
            <w:pPr>
              <w:jc w:val="center"/>
              <w:rPr>
                <w:szCs w:val="18"/>
              </w:rPr>
            </w:pPr>
            <w:r w:rsidRPr="00284A41">
              <w:rPr>
                <w:szCs w:val="18"/>
              </w:rPr>
              <w:t>$357,000</w:t>
            </w:r>
          </w:p>
        </w:tc>
        <w:tc>
          <w:tcPr>
            <w:tcW w:w="2254" w:type="dxa"/>
          </w:tcPr>
          <w:p w14:paraId="1210465C" w14:textId="77777777" w:rsidR="002572E0" w:rsidRPr="00284A41" w:rsidRDefault="002572E0" w:rsidP="00A536D8">
            <w:pPr>
              <w:jc w:val="center"/>
              <w:rPr>
                <w:szCs w:val="18"/>
              </w:rPr>
            </w:pPr>
            <w:r w:rsidRPr="00284A41">
              <w:rPr>
                <w:szCs w:val="18"/>
              </w:rPr>
              <w:t>$51,000</w:t>
            </w:r>
          </w:p>
        </w:tc>
        <w:tc>
          <w:tcPr>
            <w:tcW w:w="2254" w:type="dxa"/>
          </w:tcPr>
          <w:p w14:paraId="1567EDBF" w14:textId="77777777" w:rsidR="002572E0" w:rsidRPr="00284A41" w:rsidRDefault="002572E0" w:rsidP="00A536D8">
            <w:pPr>
              <w:jc w:val="center"/>
              <w:rPr>
                <w:szCs w:val="18"/>
              </w:rPr>
            </w:pPr>
            <w:r w:rsidRPr="00284A41">
              <w:rPr>
                <w:szCs w:val="18"/>
              </w:rPr>
              <w:t>$71,000</w:t>
            </w:r>
          </w:p>
        </w:tc>
      </w:tr>
      <w:tr w:rsidR="002572E0" w:rsidRPr="00284A41" w14:paraId="24F3325C" w14:textId="77777777" w:rsidTr="0042216D">
        <w:tc>
          <w:tcPr>
            <w:tcW w:w="2254" w:type="dxa"/>
          </w:tcPr>
          <w:p w14:paraId="7AE5814D" w14:textId="77777777" w:rsidR="002572E0" w:rsidRPr="00284A41" w:rsidRDefault="002572E0" w:rsidP="00A536D8">
            <w:pPr>
              <w:rPr>
                <w:szCs w:val="18"/>
              </w:rPr>
            </w:pPr>
            <w:r w:rsidRPr="00284A41">
              <w:rPr>
                <w:szCs w:val="18"/>
              </w:rPr>
              <w:t>Victoria</w:t>
            </w:r>
          </w:p>
        </w:tc>
        <w:tc>
          <w:tcPr>
            <w:tcW w:w="2254" w:type="dxa"/>
          </w:tcPr>
          <w:p w14:paraId="519E69CC" w14:textId="77777777" w:rsidR="002572E0" w:rsidRPr="00284A41" w:rsidRDefault="002572E0" w:rsidP="00A536D8">
            <w:pPr>
              <w:jc w:val="center"/>
              <w:rPr>
                <w:szCs w:val="18"/>
              </w:rPr>
            </w:pPr>
            <w:r w:rsidRPr="00284A41">
              <w:rPr>
                <w:szCs w:val="18"/>
              </w:rPr>
              <w:t>$325,000</w:t>
            </w:r>
          </w:p>
        </w:tc>
        <w:tc>
          <w:tcPr>
            <w:tcW w:w="2254" w:type="dxa"/>
          </w:tcPr>
          <w:p w14:paraId="454D96A5" w14:textId="77777777" w:rsidR="002572E0" w:rsidRPr="00284A41" w:rsidRDefault="002572E0" w:rsidP="00A536D8">
            <w:pPr>
              <w:jc w:val="center"/>
              <w:rPr>
                <w:szCs w:val="18"/>
              </w:rPr>
            </w:pPr>
            <w:r w:rsidRPr="00284A41">
              <w:rPr>
                <w:szCs w:val="18"/>
              </w:rPr>
              <w:t>$54,000</w:t>
            </w:r>
          </w:p>
        </w:tc>
        <w:tc>
          <w:tcPr>
            <w:tcW w:w="2254" w:type="dxa"/>
          </w:tcPr>
          <w:p w14:paraId="4C99021F" w14:textId="77777777" w:rsidR="002572E0" w:rsidRPr="00284A41" w:rsidRDefault="002572E0" w:rsidP="00A536D8">
            <w:pPr>
              <w:jc w:val="center"/>
              <w:rPr>
                <w:szCs w:val="18"/>
              </w:rPr>
            </w:pPr>
            <w:r w:rsidRPr="00284A41">
              <w:rPr>
                <w:szCs w:val="18"/>
              </w:rPr>
              <w:t>$64,000</w:t>
            </w:r>
          </w:p>
        </w:tc>
      </w:tr>
      <w:tr w:rsidR="002572E0" w:rsidRPr="00284A41" w14:paraId="262F647F"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20DFB7C2" w14:textId="77777777" w:rsidR="002572E0" w:rsidRPr="00284A41" w:rsidRDefault="002572E0" w:rsidP="00A536D8">
            <w:pPr>
              <w:rPr>
                <w:szCs w:val="18"/>
              </w:rPr>
            </w:pPr>
            <w:r w:rsidRPr="00284A41">
              <w:rPr>
                <w:szCs w:val="18"/>
              </w:rPr>
              <w:t>Queensland</w:t>
            </w:r>
          </w:p>
        </w:tc>
        <w:tc>
          <w:tcPr>
            <w:tcW w:w="2254" w:type="dxa"/>
          </w:tcPr>
          <w:p w14:paraId="41995A21" w14:textId="77777777" w:rsidR="002572E0" w:rsidRPr="00284A41" w:rsidRDefault="002572E0" w:rsidP="00A536D8">
            <w:pPr>
              <w:jc w:val="center"/>
              <w:rPr>
                <w:szCs w:val="18"/>
              </w:rPr>
            </w:pPr>
            <w:r w:rsidRPr="00284A41">
              <w:rPr>
                <w:szCs w:val="18"/>
              </w:rPr>
              <w:t>$364,000</w:t>
            </w:r>
          </w:p>
        </w:tc>
        <w:tc>
          <w:tcPr>
            <w:tcW w:w="2254" w:type="dxa"/>
          </w:tcPr>
          <w:p w14:paraId="332376DC" w14:textId="77777777" w:rsidR="002572E0" w:rsidRPr="00284A41" w:rsidRDefault="002572E0" w:rsidP="00A536D8">
            <w:pPr>
              <w:jc w:val="center"/>
              <w:rPr>
                <w:szCs w:val="18"/>
              </w:rPr>
            </w:pPr>
            <w:r w:rsidRPr="00284A41">
              <w:rPr>
                <w:szCs w:val="18"/>
              </w:rPr>
              <w:t>$60,000</w:t>
            </w:r>
          </w:p>
        </w:tc>
        <w:tc>
          <w:tcPr>
            <w:tcW w:w="2254" w:type="dxa"/>
          </w:tcPr>
          <w:p w14:paraId="7293ABB6" w14:textId="77777777" w:rsidR="002572E0" w:rsidRPr="00284A41" w:rsidRDefault="002572E0" w:rsidP="00A536D8">
            <w:pPr>
              <w:jc w:val="center"/>
              <w:rPr>
                <w:szCs w:val="18"/>
              </w:rPr>
            </w:pPr>
            <w:r w:rsidRPr="00284A41">
              <w:rPr>
                <w:szCs w:val="18"/>
              </w:rPr>
              <w:t>$77,000</w:t>
            </w:r>
          </w:p>
        </w:tc>
      </w:tr>
      <w:tr w:rsidR="002572E0" w:rsidRPr="00284A41" w14:paraId="1C6E923F" w14:textId="77777777" w:rsidTr="0042216D">
        <w:tc>
          <w:tcPr>
            <w:tcW w:w="2254" w:type="dxa"/>
          </w:tcPr>
          <w:p w14:paraId="032F2DE3" w14:textId="77777777" w:rsidR="002572E0" w:rsidRPr="00284A41" w:rsidRDefault="002572E0" w:rsidP="00A536D8">
            <w:pPr>
              <w:rPr>
                <w:szCs w:val="18"/>
              </w:rPr>
            </w:pPr>
            <w:r w:rsidRPr="00284A41">
              <w:rPr>
                <w:szCs w:val="18"/>
              </w:rPr>
              <w:t>Western Australia</w:t>
            </w:r>
          </w:p>
        </w:tc>
        <w:tc>
          <w:tcPr>
            <w:tcW w:w="2254" w:type="dxa"/>
          </w:tcPr>
          <w:p w14:paraId="44001776" w14:textId="77777777" w:rsidR="002572E0" w:rsidRPr="00284A41" w:rsidRDefault="002572E0" w:rsidP="00A536D8">
            <w:pPr>
              <w:jc w:val="center"/>
              <w:rPr>
                <w:szCs w:val="18"/>
              </w:rPr>
            </w:pPr>
            <w:r w:rsidRPr="00284A41">
              <w:rPr>
                <w:szCs w:val="18"/>
              </w:rPr>
              <w:t>$314,000</w:t>
            </w:r>
          </w:p>
        </w:tc>
        <w:tc>
          <w:tcPr>
            <w:tcW w:w="2254" w:type="dxa"/>
          </w:tcPr>
          <w:p w14:paraId="5290D3F9" w14:textId="77777777" w:rsidR="002572E0" w:rsidRPr="00284A41" w:rsidRDefault="002572E0" w:rsidP="00A536D8">
            <w:pPr>
              <w:jc w:val="center"/>
              <w:rPr>
                <w:szCs w:val="18"/>
              </w:rPr>
            </w:pPr>
            <w:r w:rsidRPr="00284A41">
              <w:rPr>
                <w:szCs w:val="18"/>
              </w:rPr>
              <w:t>$58,000</w:t>
            </w:r>
          </w:p>
        </w:tc>
        <w:tc>
          <w:tcPr>
            <w:tcW w:w="2254" w:type="dxa"/>
          </w:tcPr>
          <w:p w14:paraId="1920DA97" w14:textId="77777777" w:rsidR="002572E0" w:rsidRPr="00284A41" w:rsidRDefault="002572E0" w:rsidP="00A536D8">
            <w:pPr>
              <w:jc w:val="center"/>
              <w:rPr>
                <w:szCs w:val="18"/>
              </w:rPr>
            </w:pPr>
            <w:r w:rsidRPr="00284A41">
              <w:rPr>
                <w:szCs w:val="18"/>
              </w:rPr>
              <w:t>$74,000</w:t>
            </w:r>
          </w:p>
        </w:tc>
      </w:tr>
      <w:tr w:rsidR="002572E0" w:rsidRPr="00284A41" w14:paraId="349E4BF9"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58ED47FD" w14:textId="77777777" w:rsidR="002572E0" w:rsidRPr="00284A41" w:rsidRDefault="002572E0" w:rsidP="00A536D8">
            <w:pPr>
              <w:rPr>
                <w:szCs w:val="18"/>
              </w:rPr>
            </w:pPr>
            <w:r w:rsidRPr="00284A41">
              <w:rPr>
                <w:szCs w:val="18"/>
              </w:rPr>
              <w:t>South Australia</w:t>
            </w:r>
          </w:p>
        </w:tc>
        <w:tc>
          <w:tcPr>
            <w:tcW w:w="2254" w:type="dxa"/>
          </w:tcPr>
          <w:p w14:paraId="21EF8B3B" w14:textId="77777777" w:rsidR="002572E0" w:rsidRPr="00284A41" w:rsidRDefault="002572E0" w:rsidP="00A536D8">
            <w:pPr>
              <w:jc w:val="center"/>
              <w:rPr>
                <w:szCs w:val="18"/>
              </w:rPr>
            </w:pPr>
            <w:r w:rsidRPr="00284A41">
              <w:rPr>
                <w:szCs w:val="18"/>
              </w:rPr>
              <w:t>$347,000</w:t>
            </w:r>
          </w:p>
        </w:tc>
        <w:tc>
          <w:tcPr>
            <w:tcW w:w="2254" w:type="dxa"/>
          </w:tcPr>
          <w:p w14:paraId="7DBD137F" w14:textId="77777777" w:rsidR="002572E0" w:rsidRPr="00284A41" w:rsidRDefault="002572E0" w:rsidP="00A536D8">
            <w:pPr>
              <w:jc w:val="center"/>
              <w:rPr>
                <w:szCs w:val="18"/>
              </w:rPr>
            </w:pPr>
            <w:r w:rsidRPr="00284A41">
              <w:rPr>
                <w:szCs w:val="18"/>
              </w:rPr>
              <w:t>$50,000</w:t>
            </w:r>
          </w:p>
        </w:tc>
        <w:tc>
          <w:tcPr>
            <w:tcW w:w="2254" w:type="dxa"/>
          </w:tcPr>
          <w:p w14:paraId="59A1F0C3" w14:textId="77777777" w:rsidR="002572E0" w:rsidRPr="00284A41" w:rsidRDefault="002572E0" w:rsidP="00A536D8">
            <w:pPr>
              <w:jc w:val="center"/>
              <w:rPr>
                <w:szCs w:val="18"/>
              </w:rPr>
            </w:pPr>
            <w:r w:rsidRPr="00284A41">
              <w:rPr>
                <w:szCs w:val="18"/>
              </w:rPr>
              <w:t>$68,000</w:t>
            </w:r>
          </w:p>
        </w:tc>
      </w:tr>
      <w:tr w:rsidR="002572E0" w:rsidRPr="00284A41" w14:paraId="5EA3E07D" w14:textId="77777777" w:rsidTr="0042216D">
        <w:tc>
          <w:tcPr>
            <w:tcW w:w="2254" w:type="dxa"/>
          </w:tcPr>
          <w:p w14:paraId="37D54ED9" w14:textId="77777777" w:rsidR="002572E0" w:rsidRPr="00284A41" w:rsidRDefault="002572E0" w:rsidP="00A536D8">
            <w:pPr>
              <w:rPr>
                <w:szCs w:val="18"/>
              </w:rPr>
            </w:pPr>
            <w:r w:rsidRPr="00284A41">
              <w:rPr>
                <w:szCs w:val="18"/>
              </w:rPr>
              <w:t>Tasmania</w:t>
            </w:r>
          </w:p>
        </w:tc>
        <w:tc>
          <w:tcPr>
            <w:tcW w:w="2254" w:type="dxa"/>
          </w:tcPr>
          <w:p w14:paraId="0D3EA7F0" w14:textId="77777777" w:rsidR="002572E0" w:rsidRPr="00284A41" w:rsidRDefault="002572E0" w:rsidP="00A536D8">
            <w:pPr>
              <w:jc w:val="center"/>
              <w:rPr>
                <w:szCs w:val="18"/>
              </w:rPr>
            </w:pPr>
            <w:r w:rsidRPr="00284A41">
              <w:rPr>
                <w:szCs w:val="18"/>
              </w:rPr>
              <w:t>$376,000</w:t>
            </w:r>
          </w:p>
        </w:tc>
        <w:tc>
          <w:tcPr>
            <w:tcW w:w="2254" w:type="dxa"/>
          </w:tcPr>
          <w:p w14:paraId="37BD5224" w14:textId="77777777" w:rsidR="002572E0" w:rsidRPr="00284A41" w:rsidRDefault="002572E0" w:rsidP="00A536D8">
            <w:pPr>
              <w:jc w:val="center"/>
              <w:rPr>
                <w:szCs w:val="18"/>
              </w:rPr>
            </w:pPr>
            <w:r w:rsidRPr="00284A41">
              <w:rPr>
                <w:szCs w:val="18"/>
              </w:rPr>
              <w:t>$53,000</w:t>
            </w:r>
          </w:p>
        </w:tc>
        <w:tc>
          <w:tcPr>
            <w:tcW w:w="2254" w:type="dxa"/>
          </w:tcPr>
          <w:p w14:paraId="75051281" w14:textId="77777777" w:rsidR="002572E0" w:rsidRPr="00284A41" w:rsidRDefault="002572E0" w:rsidP="00A536D8">
            <w:pPr>
              <w:jc w:val="center"/>
              <w:rPr>
                <w:szCs w:val="18"/>
              </w:rPr>
            </w:pPr>
            <w:r w:rsidRPr="00284A41">
              <w:rPr>
                <w:szCs w:val="18"/>
              </w:rPr>
              <w:t>$83,000</w:t>
            </w:r>
          </w:p>
        </w:tc>
      </w:tr>
      <w:tr w:rsidR="002572E0" w:rsidRPr="00284A41" w14:paraId="2E4899B4"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4FE7FE8A" w14:textId="77777777" w:rsidR="002572E0" w:rsidRPr="00284A41" w:rsidRDefault="00472D76" w:rsidP="00A536D8">
            <w:pPr>
              <w:rPr>
                <w:szCs w:val="18"/>
              </w:rPr>
            </w:pPr>
            <w:r w:rsidRPr="00284A41">
              <w:rPr>
                <w:szCs w:val="18"/>
              </w:rPr>
              <w:t>ACT</w:t>
            </w:r>
          </w:p>
        </w:tc>
        <w:tc>
          <w:tcPr>
            <w:tcW w:w="2254" w:type="dxa"/>
          </w:tcPr>
          <w:p w14:paraId="121CD9E3" w14:textId="77777777" w:rsidR="002572E0" w:rsidRPr="00284A41" w:rsidRDefault="002572E0" w:rsidP="00A536D8">
            <w:pPr>
              <w:jc w:val="center"/>
              <w:rPr>
                <w:szCs w:val="18"/>
              </w:rPr>
            </w:pPr>
            <w:r w:rsidRPr="00284A41">
              <w:rPr>
                <w:szCs w:val="18"/>
              </w:rPr>
              <w:t>$367,000</w:t>
            </w:r>
          </w:p>
        </w:tc>
        <w:tc>
          <w:tcPr>
            <w:tcW w:w="2254" w:type="dxa"/>
          </w:tcPr>
          <w:p w14:paraId="77DFA690" w14:textId="77777777" w:rsidR="002572E0" w:rsidRPr="00284A41" w:rsidRDefault="002572E0" w:rsidP="00A536D8">
            <w:pPr>
              <w:jc w:val="center"/>
              <w:rPr>
                <w:szCs w:val="18"/>
              </w:rPr>
            </w:pPr>
            <w:r w:rsidRPr="00284A41">
              <w:rPr>
                <w:szCs w:val="18"/>
              </w:rPr>
              <w:t>$46,000</w:t>
            </w:r>
          </w:p>
        </w:tc>
        <w:tc>
          <w:tcPr>
            <w:tcW w:w="2254" w:type="dxa"/>
          </w:tcPr>
          <w:p w14:paraId="5A05DEFE" w14:textId="77777777" w:rsidR="002572E0" w:rsidRPr="00284A41" w:rsidRDefault="002572E0" w:rsidP="00A536D8">
            <w:pPr>
              <w:jc w:val="center"/>
              <w:rPr>
                <w:szCs w:val="18"/>
              </w:rPr>
            </w:pPr>
            <w:r w:rsidRPr="00284A41">
              <w:rPr>
                <w:szCs w:val="18"/>
              </w:rPr>
              <w:t>$63,000</w:t>
            </w:r>
          </w:p>
        </w:tc>
      </w:tr>
      <w:tr w:rsidR="002572E0" w:rsidRPr="00284A41" w14:paraId="04361FE1" w14:textId="77777777" w:rsidTr="0042216D">
        <w:tc>
          <w:tcPr>
            <w:tcW w:w="2254" w:type="dxa"/>
          </w:tcPr>
          <w:p w14:paraId="323D69A8" w14:textId="77777777" w:rsidR="002572E0" w:rsidRPr="00284A41" w:rsidRDefault="002572E0" w:rsidP="00A536D8">
            <w:pPr>
              <w:rPr>
                <w:szCs w:val="18"/>
              </w:rPr>
            </w:pPr>
            <w:r w:rsidRPr="00284A41">
              <w:rPr>
                <w:szCs w:val="18"/>
              </w:rPr>
              <w:t>Northern Territory</w:t>
            </w:r>
          </w:p>
        </w:tc>
        <w:tc>
          <w:tcPr>
            <w:tcW w:w="2254" w:type="dxa"/>
          </w:tcPr>
          <w:p w14:paraId="790B0EA5" w14:textId="77777777" w:rsidR="002572E0" w:rsidRPr="00284A41" w:rsidRDefault="002572E0" w:rsidP="00A536D8">
            <w:pPr>
              <w:jc w:val="center"/>
              <w:rPr>
                <w:szCs w:val="18"/>
              </w:rPr>
            </w:pPr>
            <w:r w:rsidRPr="00284A41">
              <w:rPr>
                <w:szCs w:val="18"/>
              </w:rPr>
              <w:t>$593,000</w:t>
            </w:r>
          </w:p>
        </w:tc>
        <w:tc>
          <w:tcPr>
            <w:tcW w:w="2254" w:type="dxa"/>
          </w:tcPr>
          <w:p w14:paraId="383DCE1F" w14:textId="77777777" w:rsidR="002572E0" w:rsidRPr="00284A41" w:rsidRDefault="002572E0" w:rsidP="00A536D8">
            <w:pPr>
              <w:jc w:val="center"/>
              <w:rPr>
                <w:szCs w:val="18"/>
              </w:rPr>
            </w:pPr>
            <w:r w:rsidRPr="00284A41">
              <w:rPr>
                <w:szCs w:val="18"/>
              </w:rPr>
              <w:t>$86,000</w:t>
            </w:r>
          </w:p>
        </w:tc>
        <w:tc>
          <w:tcPr>
            <w:tcW w:w="2254" w:type="dxa"/>
          </w:tcPr>
          <w:p w14:paraId="3619509B" w14:textId="77777777" w:rsidR="002572E0" w:rsidRPr="00284A41" w:rsidRDefault="002572E0" w:rsidP="00A536D8">
            <w:pPr>
              <w:jc w:val="center"/>
              <w:rPr>
                <w:szCs w:val="18"/>
              </w:rPr>
            </w:pPr>
            <w:r w:rsidRPr="00284A41">
              <w:rPr>
                <w:szCs w:val="18"/>
              </w:rPr>
              <w:t>$137,000</w:t>
            </w:r>
          </w:p>
        </w:tc>
      </w:tr>
      <w:tr w:rsidR="002572E0" w:rsidRPr="00284A41" w14:paraId="1F166E85" w14:textId="77777777" w:rsidTr="0042216D">
        <w:trPr>
          <w:cnfStyle w:val="010000000000" w:firstRow="0" w:lastRow="1" w:firstColumn="0" w:lastColumn="0" w:oddVBand="0" w:evenVBand="0" w:oddHBand="0" w:evenHBand="0" w:firstRowFirstColumn="0" w:firstRowLastColumn="0" w:lastRowFirstColumn="0" w:lastRowLastColumn="0"/>
        </w:trPr>
        <w:tc>
          <w:tcPr>
            <w:tcW w:w="2254" w:type="dxa"/>
          </w:tcPr>
          <w:p w14:paraId="2B71BEDA" w14:textId="77777777" w:rsidR="002572E0" w:rsidRPr="00284A41" w:rsidRDefault="002572E0" w:rsidP="00A536D8">
            <w:pPr>
              <w:rPr>
                <w:szCs w:val="18"/>
              </w:rPr>
            </w:pPr>
            <w:r w:rsidRPr="00284A41">
              <w:rPr>
                <w:szCs w:val="18"/>
              </w:rPr>
              <w:t>National</w:t>
            </w:r>
          </w:p>
        </w:tc>
        <w:tc>
          <w:tcPr>
            <w:tcW w:w="2254" w:type="dxa"/>
          </w:tcPr>
          <w:p w14:paraId="45B368F1" w14:textId="77777777" w:rsidR="002572E0" w:rsidRPr="00284A41" w:rsidRDefault="002572E0" w:rsidP="00A536D8">
            <w:pPr>
              <w:jc w:val="center"/>
              <w:rPr>
                <w:szCs w:val="18"/>
              </w:rPr>
            </w:pPr>
            <w:r w:rsidRPr="00284A41">
              <w:rPr>
                <w:szCs w:val="18"/>
              </w:rPr>
              <w:t>$352,000</w:t>
            </w:r>
          </w:p>
        </w:tc>
        <w:tc>
          <w:tcPr>
            <w:tcW w:w="2254" w:type="dxa"/>
          </w:tcPr>
          <w:p w14:paraId="0ECDC4CA" w14:textId="77777777" w:rsidR="002572E0" w:rsidRPr="00284A41" w:rsidRDefault="002572E0" w:rsidP="00A536D8">
            <w:pPr>
              <w:jc w:val="center"/>
              <w:rPr>
                <w:szCs w:val="18"/>
              </w:rPr>
            </w:pPr>
            <w:r w:rsidRPr="00284A41">
              <w:rPr>
                <w:szCs w:val="18"/>
              </w:rPr>
              <w:t>$54,000</w:t>
            </w:r>
          </w:p>
        </w:tc>
        <w:tc>
          <w:tcPr>
            <w:tcW w:w="2254" w:type="dxa"/>
          </w:tcPr>
          <w:p w14:paraId="070327B1" w14:textId="77777777" w:rsidR="002572E0" w:rsidRPr="00284A41" w:rsidRDefault="002572E0" w:rsidP="00A536D8">
            <w:pPr>
              <w:jc w:val="center"/>
              <w:rPr>
                <w:szCs w:val="18"/>
              </w:rPr>
            </w:pPr>
            <w:r w:rsidRPr="00284A41">
              <w:rPr>
                <w:szCs w:val="18"/>
              </w:rPr>
              <w:t>$71,000</w:t>
            </w:r>
          </w:p>
        </w:tc>
      </w:tr>
    </w:tbl>
    <w:p w14:paraId="3A9AA727" w14:textId="1FF1FCB8" w:rsidR="00066859" w:rsidRPr="00284A41" w:rsidRDefault="00066859" w:rsidP="00066859">
      <w:bookmarkStart w:id="13" w:name="_Ref68003027"/>
      <w:bookmarkStart w:id="14" w:name="_Ref66884587"/>
      <w:r w:rsidRPr="00284A41">
        <w:t xml:space="preserve">For financial year 2019-20, the average payment for participants in SIL arrangements was $315,000, compared to $35,000 for participants not in SIL, with the largest payments being made from participants living in Northern Territory. The results for each state and territory are provided in </w:t>
      </w:r>
      <w:r w:rsidR="00D51C6F" w:rsidRPr="00284A41">
        <w:fldChar w:fldCharType="begin"/>
      </w:r>
      <w:r w:rsidR="00D51C6F" w:rsidRPr="00284A41">
        <w:instrText xml:space="preserve"> REF _Ref68358010 \h </w:instrText>
      </w:r>
      <w:r w:rsidR="00284A41">
        <w:instrText xml:space="preserve"> \* MERGEFORMAT </w:instrText>
      </w:r>
      <w:r w:rsidR="00D51C6F" w:rsidRPr="00284A41">
        <w:fldChar w:fldCharType="separate"/>
      </w:r>
      <w:r w:rsidR="00E0689D" w:rsidRPr="00284A41">
        <w:t xml:space="preserve">Exhibit </w:t>
      </w:r>
      <w:r w:rsidR="00E0689D">
        <w:rPr>
          <w:noProof/>
        </w:rPr>
        <w:t>2</w:t>
      </w:r>
      <w:r w:rsidR="00D51C6F" w:rsidRPr="00284A41">
        <w:fldChar w:fldCharType="end"/>
      </w:r>
      <w:r w:rsidR="00D51C6F" w:rsidRPr="00284A41">
        <w:t xml:space="preserve"> </w:t>
      </w:r>
      <w:r w:rsidRPr="00284A41">
        <w:t>below.</w:t>
      </w:r>
      <w:r w:rsidRPr="00284A41">
        <w:rPr>
          <w:rStyle w:val="FootnoteReference"/>
          <w:rFonts w:cstheme="minorHAnsi"/>
        </w:rPr>
        <w:footnoteReference w:id="5"/>
      </w:r>
      <w:r w:rsidRPr="00284A41">
        <w:t xml:space="preserve"> Note these reported values included all supports in a plan, not just supports specific to SIL.</w:t>
      </w:r>
    </w:p>
    <w:p w14:paraId="5A0B5DE8" w14:textId="023DAB26" w:rsidR="002572E0" w:rsidRPr="00284A41" w:rsidRDefault="008A5D91" w:rsidP="00066859">
      <w:pPr>
        <w:pStyle w:val="Caption"/>
      </w:pPr>
      <w:bookmarkStart w:id="15" w:name="_Ref68358010"/>
      <w:bookmarkStart w:id="16" w:name="_Toc75881505"/>
      <w:r w:rsidRPr="00284A41">
        <w:t xml:space="preserve">Exhibit </w:t>
      </w:r>
      <w:r w:rsidR="00935584">
        <w:fldChar w:fldCharType="begin"/>
      </w:r>
      <w:r w:rsidR="00935584">
        <w:instrText xml:space="preserve"> SEQ Exhibit \* ARABIC </w:instrText>
      </w:r>
      <w:r w:rsidR="00935584">
        <w:fldChar w:fldCharType="separate"/>
      </w:r>
      <w:r w:rsidR="00E0689D">
        <w:rPr>
          <w:noProof/>
        </w:rPr>
        <w:t>2</w:t>
      </w:r>
      <w:r w:rsidR="00935584">
        <w:rPr>
          <w:noProof/>
        </w:rPr>
        <w:fldChar w:fldCharType="end"/>
      </w:r>
      <w:bookmarkEnd w:id="13"/>
      <w:bookmarkEnd w:id="15"/>
      <w:r w:rsidRPr="00284A41">
        <w:t xml:space="preserve">: </w:t>
      </w:r>
      <w:bookmarkEnd w:id="14"/>
      <w:r w:rsidR="002572E0" w:rsidRPr="00284A41">
        <w:t xml:space="preserve">Average </w:t>
      </w:r>
      <w:r w:rsidRPr="00284A41">
        <w:t>Annualised P</w:t>
      </w:r>
      <w:r w:rsidR="002572E0" w:rsidRPr="00284A41">
        <w:t>ayment</w:t>
      </w:r>
      <w:r w:rsidRPr="00284A41">
        <w:t>s</w:t>
      </w:r>
      <w:r w:rsidR="002572E0" w:rsidRPr="00284A41">
        <w:t>, 2019-20</w:t>
      </w:r>
      <w:bookmarkEnd w:id="16"/>
    </w:p>
    <w:tbl>
      <w:tblPr>
        <w:tblStyle w:val="GridTable4-Accent4"/>
        <w:tblW w:w="0" w:type="auto"/>
        <w:tblLook w:val="0460" w:firstRow="1" w:lastRow="1" w:firstColumn="0" w:lastColumn="0" w:noHBand="0" w:noVBand="1"/>
        <w:tblCaption w:val="Average payment for 2019-20 split by State/Territory and SIL/non-SIL"/>
      </w:tblPr>
      <w:tblGrid>
        <w:gridCol w:w="2254"/>
        <w:gridCol w:w="2254"/>
        <w:gridCol w:w="2254"/>
        <w:gridCol w:w="2254"/>
      </w:tblGrid>
      <w:tr w:rsidR="002572E0" w:rsidRPr="00284A41" w14:paraId="320EB8EA"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254" w:type="dxa"/>
          </w:tcPr>
          <w:p w14:paraId="011E65DA" w14:textId="77777777" w:rsidR="002572E0" w:rsidRPr="00284A41" w:rsidRDefault="002572E0" w:rsidP="00A536D8">
            <w:pPr>
              <w:keepNext/>
              <w:rPr>
                <w:szCs w:val="18"/>
              </w:rPr>
            </w:pPr>
            <w:r w:rsidRPr="00284A41">
              <w:rPr>
                <w:szCs w:val="18"/>
              </w:rPr>
              <w:t>State/Territory</w:t>
            </w:r>
          </w:p>
        </w:tc>
        <w:tc>
          <w:tcPr>
            <w:tcW w:w="2254" w:type="dxa"/>
          </w:tcPr>
          <w:p w14:paraId="06360423" w14:textId="77777777" w:rsidR="002572E0" w:rsidRPr="00284A41" w:rsidRDefault="002572E0" w:rsidP="00A536D8">
            <w:pPr>
              <w:keepNext/>
              <w:jc w:val="center"/>
              <w:rPr>
                <w:szCs w:val="18"/>
              </w:rPr>
            </w:pPr>
            <w:r w:rsidRPr="00284A41">
              <w:rPr>
                <w:szCs w:val="18"/>
              </w:rPr>
              <w:t>Participants in SIL</w:t>
            </w:r>
          </w:p>
        </w:tc>
        <w:tc>
          <w:tcPr>
            <w:tcW w:w="2254" w:type="dxa"/>
          </w:tcPr>
          <w:p w14:paraId="61495F12" w14:textId="77777777" w:rsidR="002572E0" w:rsidRPr="00284A41" w:rsidRDefault="002572E0" w:rsidP="00A536D8">
            <w:pPr>
              <w:keepNext/>
              <w:jc w:val="center"/>
              <w:rPr>
                <w:szCs w:val="18"/>
              </w:rPr>
            </w:pPr>
            <w:r w:rsidRPr="00284A41">
              <w:rPr>
                <w:szCs w:val="18"/>
              </w:rPr>
              <w:t>Participants not in SIL</w:t>
            </w:r>
          </w:p>
        </w:tc>
        <w:tc>
          <w:tcPr>
            <w:tcW w:w="2254" w:type="dxa"/>
          </w:tcPr>
          <w:p w14:paraId="56D12F41" w14:textId="77777777" w:rsidR="002572E0" w:rsidRPr="00284A41" w:rsidRDefault="002572E0" w:rsidP="00A536D8">
            <w:pPr>
              <w:keepNext/>
              <w:jc w:val="center"/>
              <w:rPr>
                <w:szCs w:val="18"/>
              </w:rPr>
            </w:pPr>
            <w:r w:rsidRPr="00284A41">
              <w:rPr>
                <w:szCs w:val="18"/>
              </w:rPr>
              <w:t>All participants</w:t>
            </w:r>
          </w:p>
        </w:tc>
      </w:tr>
      <w:tr w:rsidR="002572E0" w:rsidRPr="00284A41" w14:paraId="3A9A371F"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79D8BCD9" w14:textId="77777777" w:rsidR="002572E0" w:rsidRPr="00284A41" w:rsidRDefault="002572E0" w:rsidP="00A536D8">
            <w:pPr>
              <w:keepNext/>
              <w:rPr>
                <w:szCs w:val="18"/>
              </w:rPr>
            </w:pPr>
            <w:r w:rsidRPr="00284A41">
              <w:rPr>
                <w:szCs w:val="18"/>
              </w:rPr>
              <w:t>New South Wales</w:t>
            </w:r>
          </w:p>
        </w:tc>
        <w:tc>
          <w:tcPr>
            <w:tcW w:w="2254" w:type="dxa"/>
          </w:tcPr>
          <w:p w14:paraId="0AD1DADB" w14:textId="77777777" w:rsidR="002572E0" w:rsidRPr="00284A41" w:rsidRDefault="002572E0" w:rsidP="00A536D8">
            <w:pPr>
              <w:keepNext/>
              <w:jc w:val="center"/>
              <w:rPr>
                <w:szCs w:val="18"/>
              </w:rPr>
            </w:pPr>
            <w:r w:rsidRPr="00284A41">
              <w:rPr>
                <w:szCs w:val="18"/>
              </w:rPr>
              <w:t>$321,000</w:t>
            </w:r>
          </w:p>
        </w:tc>
        <w:tc>
          <w:tcPr>
            <w:tcW w:w="2254" w:type="dxa"/>
          </w:tcPr>
          <w:p w14:paraId="2FC5A727" w14:textId="77777777" w:rsidR="002572E0" w:rsidRPr="00284A41" w:rsidRDefault="002572E0" w:rsidP="00A536D8">
            <w:pPr>
              <w:keepNext/>
              <w:jc w:val="center"/>
              <w:rPr>
                <w:szCs w:val="18"/>
              </w:rPr>
            </w:pPr>
            <w:r w:rsidRPr="00284A41">
              <w:rPr>
                <w:szCs w:val="18"/>
              </w:rPr>
              <w:t>$35,000</w:t>
            </w:r>
          </w:p>
        </w:tc>
        <w:tc>
          <w:tcPr>
            <w:tcW w:w="2254" w:type="dxa"/>
          </w:tcPr>
          <w:p w14:paraId="4CAA415C" w14:textId="77777777" w:rsidR="002572E0" w:rsidRPr="00284A41" w:rsidRDefault="002572E0" w:rsidP="00A536D8">
            <w:pPr>
              <w:keepNext/>
              <w:jc w:val="center"/>
              <w:rPr>
                <w:szCs w:val="18"/>
              </w:rPr>
            </w:pPr>
            <w:r w:rsidRPr="00284A41">
              <w:rPr>
                <w:szCs w:val="18"/>
              </w:rPr>
              <w:t>$55,000</w:t>
            </w:r>
          </w:p>
        </w:tc>
      </w:tr>
      <w:tr w:rsidR="002572E0" w:rsidRPr="00284A41" w14:paraId="152E8431" w14:textId="77777777" w:rsidTr="0042216D">
        <w:tc>
          <w:tcPr>
            <w:tcW w:w="2254" w:type="dxa"/>
          </w:tcPr>
          <w:p w14:paraId="49416BCA" w14:textId="77777777" w:rsidR="002572E0" w:rsidRPr="00284A41" w:rsidRDefault="002572E0" w:rsidP="00A536D8">
            <w:pPr>
              <w:rPr>
                <w:szCs w:val="18"/>
              </w:rPr>
            </w:pPr>
            <w:r w:rsidRPr="00284A41">
              <w:rPr>
                <w:szCs w:val="18"/>
              </w:rPr>
              <w:t>Victoria</w:t>
            </w:r>
          </w:p>
        </w:tc>
        <w:tc>
          <w:tcPr>
            <w:tcW w:w="2254" w:type="dxa"/>
          </w:tcPr>
          <w:p w14:paraId="6DD101D1" w14:textId="77777777" w:rsidR="002572E0" w:rsidRPr="00284A41" w:rsidRDefault="002572E0" w:rsidP="00A536D8">
            <w:pPr>
              <w:jc w:val="center"/>
              <w:rPr>
                <w:szCs w:val="18"/>
              </w:rPr>
            </w:pPr>
            <w:r w:rsidRPr="00284A41">
              <w:rPr>
                <w:szCs w:val="18"/>
              </w:rPr>
              <w:t>$302,000</w:t>
            </w:r>
          </w:p>
        </w:tc>
        <w:tc>
          <w:tcPr>
            <w:tcW w:w="2254" w:type="dxa"/>
          </w:tcPr>
          <w:p w14:paraId="063F9C2D" w14:textId="77777777" w:rsidR="002572E0" w:rsidRPr="00284A41" w:rsidRDefault="002572E0" w:rsidP="00A536D8">
            <w:pPr>
              <w:jc w:val="center"/>
              <w:rPr>
                <w:szCs w:val="18"/>
              </w:rPr>
            </w:pPr>
            <w:r w:rsidRPr="00284A41">
              <w:rPr>
                <w:szCs w:val="18"/>
              </w:rPr>
              <w:t>$33,000</w:t>
            </w:r>
          </w:p>
        </w:tc>
        <w:tc>
          <w:tcPr>
            <w:tcW w:w="2254" w:type="dxa"/>
          </w:tcPr>
          <w:p w14:paraId="51571787" w14:textId="77777777" w:rsidR="002572E0" w:rsidRPr="00284A41" w:rsidRDefault="002572E0" w:rsidP="00A536D8">
            <w:pPr>
              <w:jc w:val="center"/>
              <w:rPr>
                <w:szCs w:val="18"/>
              </w:rPr>
            </w:pPr>
            <w:r w:rsidRPr="00284A41">
              <w:rPr>
                <w:szCs w:val="18"/>
              </w:rPr>
              <w:t>$46,000</w:t>
            </w:r>
          </w:p>
        </w:tc>
      </w:tr>
      <w:tr w:rsidR="002572E0" w:rsidRPr="00284A41" w14:paraId="256054E1"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3491FFBA" w14:textId="77777777" w:rsidR="002572E0" w:rsidRPr="00284A41" w:rsidRDefault="002572E0" w:rsidP="00A536D8">
            <w:pPr>
              <w:rPr>
                <w:szCs w:val="18"/>
              </w:rPr>
            </w:pPr>
            <w:r w:rsidRPr="00284A41">
              <w:rPr>
                <w:szCs w:val="18"/>
              </w:rPr>
              <w:t>Queensland</w:t>
            </w:r>
          </w:p>
        </w:tc>
        <w:tc>
          <w:tcPr>
            <w:tcW w:w="2254" w:type="dxa"/>
          </w:tcPr>
          <w:p w14:paraId="600C57B0" w14:textId="77777777" w:rsidR="002572E0" w:rsidRPr="00284A41" w:rsidRDefault="002572E0" w:rsidP="00A536D8">
            <w:pPr>
              <w:jc w:val="center"/>
              <w:rPr>
                <w:szCs w:val="18"/>
              </w:rPr>
            </w:pPr>
            <w:r w:rsidRPr="00284A41">
              <w:rPr>
                <w:szCs w:val="18"/>
              </w:rPr>
              <w:t>$322,000</w:t>
            </w:r>
          </w:p>
        </w:tc>
        <w:tc>
          <w:tcPr>
            <w:tcW w:w="2254" w:type="dxa"/>
          </w:tcPr>
          <w:p w14:paraId="548CE1F7" w14:textId="77777777" w:rsidR="002572E0" w:rsidRPr="00284A41" w:rsidRDefault="002572E0" w:rsidP="00A536D8">
            <w:pPr>
              <w:jc w:val="center"/>
              <w:rPr>
                <w:szCs w:val="18"/>
              </w:rPr>
            </w:pPr>
            <w:r w:rsidRPr="00284A41">
              <w:rPr>
                <w:szCs w:val="18"/>
              </w:rPr>
              <w:t>$40,000</w:t>
            </w:r>
          </w:p>
        </w:tc>
        <w:tc>
          <w:tcPr>
            <w:tcW w:w="2254" w:type="dxa"/>
          </w:tcPr>
          <w:p w14:paraId="3BC59134" w14:textId="77777777" w:rsidR="002572E0" w:rsidRPr="00284A41" w:rsidRDefault="002572E0" w:rsidP="00A536D8">
            <w:pPr>
              <w:jc w:val="center"/>
              <w:rPr>
                <w:szCs w:val="18"/>
              </w:rPr>
            </w:pPr>
            <w:r w:rsidRPr="00284A41">
              <w:rPr>
                <w:szCs w:val="18"/>
              </w:rPr>
              <w:t>$58,000</w:t>
            </w:r>
          </w:p>
        </w:tc>
      </w:tr>
      <w:tr w:rsidR="002572E0" w:rsidRPr="00284A41" w14:paraId="0AB4573E" w14:textId="77777777" w:rsidTr="0042216D">
        <w:tc>
          <w:tcPr>
            <w:tcW w:w="2254" w:type="dxa"/>
          </w:tcPr>
          <w:p w14:paraId="7BA4FF2C" w14:textId="77777777" w:rsidR="002572E0" w:rsidRPr="00284A41" w:rsidRDefault="002572E0" w:rsidP="00A536D8">
            <w:pPr>
              <w:rPr>
                <w:szCs w:val="18"/>
              </w:rPr>
            </w:pPr>
            <w:r w:rsidRPr="00284A41">
              <w:rPr>
                <w:szCs w:val="18"/>
              </w:rPr>
              <w:t>Western Australia</w:t>
            </w:r>
          </w:p>
        </w:tc>
        <w:tc>
          <w:tcPr>
            <w:tcW w:w="2254" w:type="dxa"/>
          </w:tcPr>
          <w:p w14:paraId="03DE271C" w14:textId="77777777" w:rsidR="002572E0" w:rsidRPr="00284A41" w:rsidRDefault="002572E0" w:rsidP="00A536D8">
            <w:pPr>
              <w:jc w:val="center"/>
              <w:rPr>
                <w:szCs w:val="18"/>
              </w:rPr>
            </w:pPr>
            <w:r w:rsidRPr="00284A41">
              <w:rPr>
                <w:szCs w:val="18"/>
              </w:rPr>
              <w:t>$228,000</w:t>
            </w:r>
          </w:p>
        </w:tc>
        <w:tc>
          <w:tcPr>
            <w:tcW w:w="2254" w:type="dxa"/>
          </w:tcPr>
          <w:p w14:paraId="7C8F14D7" w14:textId="77777777" w:rsidR="002572E0" w:rsidRPr="00284A41" w:rsidRDefault="002572E0" w:rsidP="00A536D8">
            <w:pPr>
              <w:jc w:val="center"/>
              <w:rPr>
                <w:szCs w:val="18"/>
              </w:rPr>
            </w:pPr>
            <w:r w:rsidRPr="00284A41">
              <w:rPr>
                <w:szCs w:val="18"/>
              </w:rPr>
              <w:t>$32,000</w:t>
            </w:r>
          </w:p>
        </w:tc>
        <w:tc>
          <w:tcPr>
            <w:tcW w:w="2254" w:type="dxa"/>
          </w:tcPr>
          <w:p w14:paraId="181F7ABD" w14:textId="77777777" w:rsidR="002572E0" w:rsidRPr="00284A41" w:rsidRDefault="002572E0" w:rsidP="00A536D8">
            <w:pPr>
              <w:jc w:val="center"/>
              <w:rPr>
                <w:szCs w:val="18"/>
              </w:rPr>
            </w:pPr>
            <w:r w:rsidRPr="00284A41">
              <w:rPr>
                <w:szCs w:val="18"/>
              </w:rPr>
              <w:t>$43,000</w:t>
            </w:r>
          </w:p>
        </w:tc>
      </w:tr>
      <w:tr w:rsidR="002572E0" w:rsidRPr="00284A41" w14:paraId="1D0A1E88"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438389F0" w14:textId="77777777" w:rsidR="002572E0" w:rsidRPr="00284A41" w:rsidRDefault="002572E0" w:rsidP="00A536D8">
            <w:pPr>
              <w:rPr>
                <w:szCs w:val="18"/>
              </w:rPr>
            </w:pPr>
            <w:r w:rsidRPr="00284A41">
              <w:rPr>
                <w:szCs w:val="18"/>
              </w:rPr>
              <w:t>South Australia</w:t>
            </w:r>
          </w:p>
        </w:tc>
        <w:tc>
          <w:tcPr>
            <w:tcW w:w="2254" w:type="dxa"/>
          </w:tcPr>
          <w:p w14:paraId="284FA0AB" w14:textId="77777777" w:rsidR="002572E0" w:rsidRPr="00284A41" w:rsidRDefault="002572E0" w:rsidP="00A536D8">
            <w:pPr>
              <w:jc w:val="center"/>
              <w:rPr>
                <w:szCs w:val="18"/>
              </w:rPr>
            </w:pPr>
            <w:r w:rsidRPr="00284A41">
              <w:rPr>
                <w:szCs w:val="18"/>
              </w:rPr>
              <w:t>$324,000</w:t>
            </w:r>
          </w:p>
        </w:tc>
        <w:tc>
          <w:tcPr>
            <w:tcW w:w="2254" w:type="dxa"/>
          </w:tcPr>
          <w:p w14:paraId="11D389DB" w14:textId="77777777" w:rsidR="002572E0" w:rsidRPr="00284A41" w:rsidRDefault="002572E0" w:rsidP="00A536D8">
            <w:pPr>
              <w:jc w:val="center"/>
              <w:rPr>
                <w:szCs w:val="18"/>
              </w:rPr>
            </w:pPr>
            <w:r w:rsidRPr="00284A41">
              <w:rPr>
                <w:szCs w:val="18"/>
              </w:rPr>
              <w:t>$29,000</w:t>
            </w:r>
          </w:p>
        </w:tc>
        <w:tc>
          <w:tcPr>
            <w:tcW w:w="2254" w:type="dxa"/>
          </w:tcPr>
          <w:p w14:paraId="7B5C3FD7" w14:textId="77777777" w:rsidR="002572E0" w:rsidRPr="00284A41" w:rsidRDefault="002572E0" w:rsidP="00A536D8">
            <w:pPr>
              <w:jc w:val="center"/>
              <w:rPr>
                <w:szCs w:val="18"/>
              </w:rPr>
            </w:pPr>
            <w:r w:rsidRPr="00284A41">
              <w:rPr>
                <w:szCs w:val="18"/>
              </w:rPr>
              <w:t>$49,000</w:t>
            </w:r>
          </w:p>
        </w:tc>
      </w:tr>
      <w:tr w:rsidR="002572E0" w:rsidRPr="00284A41" w14:paraId="00E62CDC" w14:textId="77777777" w:rsidTr="0042216D">
        <w:tc>
          <w:tcPr>
            <w:tcW w:w="2254" w:type="dxa"/>
          </w:tcPr>
          <w:p w14:paraId="284211F6" w14:textId="77777777" w:rsidR="002572E0" w:rsidRPr="00284A41" w:rsidRDefault="002572E0" w:rsidP="00A536D8">
            <w:pPr>
              <w:rPr>
                <w:szCs w:val="18"/>
              </w:rPr>
            </w:pPr>
            <w:r w:rsidRPr="00284A41">
              <w:rPr>
                <w:szCs w:val="18"/>
              </w:rPr>
              <w:t>Tasmania</w:t>
            </w:r>
          </w:p>
        </w:tc>
        <w:tc>
          <w:tcPr>
            <w:tcW w:w="2254" w:type="dxa"/>
          </w:tcPr>
          <w:p w14:paraId="09B7D9F2" w14:textId="77777777" w:rsidR="002572E0" w:rsidRPr="00284A41" w:rsidRDefault="002572E0" w:rsidP="00A536D8">
            <w:pPr>
              <w:jc w:val="center"/>
              <w:rPr>
                <w:szCs w:val="18"/>
              </w:rPr>
            </w:pPr>
            <w:r w:rsidRPr="00284A41">
              <w:rPr>
                <w:szCs w:val="18"/>
              </w:rPr>
              <w:t>$339,000</w:t>
            </w:r>
          </w:p>
        </w:tc>
        <w:tc>
          <w:tcPr>
            <w:tcW w:w="2254" w:type="dxa"/>
          </w:tcPr>
          <w:p w14:paraId="6D30C8A4" w14:textId="77777777" w:rsidR="002572E0" w:rsidRPr="00284A41" w:rsidRDefault="002572E0" w:rsidP="00A536D8">
            <w:pPr>
              <w:jc w:val="center"/>
              <w:rPr>
                <w:szCs w:val="18"/>
              </w:rPr>
            </w:pPr>
            <w:r w:rsidRPr="00284A41">
              <w:rPr>
                <w:szCs w:val="18"/>
              </w:rPr>
              <w:t>$32,000</w:t>
            </w:r>
          </w:p>
        </w:tc>
        <w:tc>
          <w:tcPr>
            <w:tcW w:w="2254" w:type="dxa"/>
          </w:tcPr>
          <w:p w14:paraId="038E3078" w14:textId="77777777" w:rsidR="002572E0" w:rsidRPr="00284A41" w:rsidRDefault="002572E0" w:rsidP="00A536D8">
            <w:pPr>
              <w:jc w:val="center"/>
              <w:rPr>
                <w:szCs w:val="18"/>
              </w:rPr>
            </w:pPr>
            <w:r w:rsidRPr="00284A41">
              <w:rPr>
                <w:szCs w:val="18"/>
              </w:rPr>
              <w:t>$64,000</w:t>
            </w:r>
          </w:p>
        </w:tc>
      </w:tr>
      <w:tr w:rsidR="002572E0" w:rsidRPr="00284A41" w14:paraId="0A2B15E4"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1953AF6B" w14:textId="77777777" w:rsidR="002572E0" w:rsidRPr="00284A41" w:rsidRDefault="00472D76" w:rsidP="00A536D8">
            <w:pPr>
              <w:rPr>
                <w:szCs w:val="18"/>
              </w:rPr>
            </w:pPr>
            <w:r w:rsidRPr="00284A41">
              <w:rPr>
                <w:szCs w:val="18"/>
              </w:rPr>
              <w:t>ACT</w:t>
            </w:r>
          </w:p>
        </w:tc>
        <w:tc>
          <w:tcPr>
            <w:tcW w:w="2254" w:type="dxa"/>
          </w:tcPr>
          <w:p w14:paraId="3A7D57E4" w14:textId="77777777" w:rsidR="002572E0" w:rsidRPr="00284A41" w:rsidRDefault="002572E0" w:rsidP="00A536D8">
            <w:pPr>
              <w:jc w:val="center"/>
              <w:rPr>
                <w:szCs w:val="18"/>
              </w:rPr>
            </w:pPr>
            <w:r w:rsidRPr="00284A41">
              <w:rPr>
                <w:szCs w:val="18"/>
              </w:rPr>
              <w:t>$326,000</w:t>
            </w:r>
          </w:p>
        </w:tc>
        <w:tc>
          <w:tcPr>
            <w:tcW w:w="2254" w:type="dxa"/>
          </w:tcPr>
          <w:p w14:paraId="75A197C2" w14:textId="77777777" w:rsidR="002572E0" w:rsidRPr="00284A41" w:rsidRDefault="002572E0" w:rsidP="00A536D8">
            <w:pPr>
              <w:jc w:val="center"/>
              <w:rPr>
                <w:szCs w:val="18"/>
              </w:rPr>
            </w:pPr>
            <w:r w:rsidRPr="00284A41">
              <w:rPr>
                <w:szCs w:val="18"/>
              </w:rPr>
              <w:t>$31,000</w:t>
            </w:r>
          </w:p>
        </w:tc>
        <w:tc>
          <w:tcPr>
            <w:tcW w:w="2254" w:type="dxa"/>
          </w:tcPr>
          <w:p w14:paraId="5347F266" w14:textId="77777777" w:rsidR="002572E0" w:rsidRPr="00284A41" w:rsidRDefault="002572E0" w:rsidP="00A536D8">
            <w:pPr>
              <w:jc w:val="center"/>
              <w:rPr>
                <w:szCs w:val="18"/>
              </w:rPr>
            </w:pPr>
            <w:r w:rsidRPr="00284A41">
              <w:rPr>
                <w:szCs w:val="18"/>
              </w:rPr>
              <w:t>$48,000</w:t>
            </w:r>
          </w:p>
        </w:tc>
      </w:tr>
      <w:tr w:rsidR="002572E0" w:rsidRPr="00284A41" w14:paraId="3D446DC8" w14:textId="77777777" w:rsidTr="0042216D">
        <w:tc>
          <w:tcPr>
            <w:tcW w:w="2254" w:type="dxa"/>
          </w:tcPr>
          <w:p w14:paraId="31F36F58" w14:textId="77777777" w:rsidR="002572E0" w:rsidRPr="00284A41" w:rsidRDefault="002572E0" w:rsidP="00A536D8">
            <w:pPr>
              <w:rPr>
                <w:szCs w:val="18"/>
              </w:rPr>
            </w:pPr>
            <w:r w:rsidRPr="00284A41">
              <w:rPr>
                <w:szCs w:val="18"/>
              </w:rPr>
              <w:t>Northern Territory</w:t>
            </w:r>
          </w:p>
        </w:tc>
        <w:tc>
          <w:tcPr>
            <w:tcW w:w="2254" w:type="dxa"/>
          </w:tcPr>
          <w:p w14:paraId="6303608D" w14:textId="77777777" w:rsidR="002572E0" w:rsidRPr="00284A41" w:rsidRDefault="002572E0" w:rsidP="00A536D8">
            <w:pPr>
              <w:jc w:val="center"/>
              <w:rPr>
                <w:szCs w:val="18"/>
              </w:rPr>
            </w:pPr>
            <w:r w:rsidRPr="00284A41">
              <w:rPr>
                <w:szCs w:val="18"/>
              </w:rPr>
              <w:t>$535,000</w:t>
            </w:r>
          </w:p>
        </w:tc>
        <w:tc>
          <w:tcPr>
            <w:tcW w:w="2254" w:type="dxa"/>
          </w:tcPr>
          <w:p w14:paraId="139BFC68" w14:textId="77777777" w:rsidR="002572E0" w:rsidRPr="00284A41" w:rsidRDefault="002572E0" w:rsidP="00A536D8">
            <w:pPr>
              <w:jc w:val="center"/>
              <w:rPr>
                <w:szCs w:val="18"/>
              </w:rPr>
            </w:pPr>
            <w:r w:rsidRPr="00284A41">
              <w:rPr>
                <w:szCs w:val="18"/>
              </w:rPr>
              <w:t>$45,000</w:t>
            </w:r>
          </w:p>
        </w:tc>
        <w:tc>
          <w:tcPr>
            <w:tcW w:w="2254" w:type="dxa"/>
          </w:tcPr>
          <w:p w14:paraId="622EECEF" w14:textId="77777777" w:rsidR="002572E0" w:rsidRPr="00284A41" w:rsidRDefault="002572E0" w:rsidP="00A536D8">
            <w:pPr>
              <w:jc w:val="center"/>
              <w:rPr>
                <w:szCs w:val="18"/>
              </w:rPr>
            </w:pPr>
            <w:r w:rsidRPr="00284A41">
              <w:rPr>
                <w:szCs w:val="18"/>
              </w:rPr>
              <w:t>$99,000</w:t>
            </w:r>
          </w:p>
        </w:tc>
      </w:tr>
      <w:tr w:rsidR="002572E0" w:rsidRPr="00284A41" w14:paraId="2092AC80" w14:textId="77777777" w:rsidTr="0042216D">
        <w:trPr>
          <w:cnfStyle w:val="010000000000" w:firstRow="0" w:lastRow="1" w:firstColumn="0" w:lastColumn="0" w:oddVBand="0" w:evenVBand="0" w:oddHBand="0" w:evenHBand="0" w:firstRowFirstColumn="0" w:firstRowLastColumn="0" w:lastRowFirstColumn="0" w:lastRowLastColumn="0"/>
        </w:trPr>
        <w:tc>
          <w:tcPr>
            <w:tcW w:w="2254" w:type="dxa"/>
          </w:tcPr>
          <w:p w14:paraId="05346D26" w14:textId="77777777" w:rsidR="002572E0" w:rsidRPr="00284A41" w:rsidRDefault="002572E0" w:rsidP="00A536D8">
            <w:pPr>
              <w:rPr>
                <w:szCs w:val="18"/>
              </w:rPr>
            </w:pPr>
            <w:r w:rsidRPr="00284A41">
              <w:rPr>
                <w:szCs w:val="18"/>
              </w:rPr>
              <w:t>National</w:t>
            </w:r>
          </w:p>
        </w:tc>
        <w:tc>
          <w:tcPr>
            <w:tcW w:w="2254" w:type="dxa"/>
          </w:tcPr>
          <w:p w14:paraId="474BF5F7" w14:textId="77777777" w:rsidR="002572E0" w:rsidRPr="00284A41" w:rsidRDefault="002572E0" w:rsidP="00A536D8">
            <w:pPr>
              <w:jc w:val="center"/>
              <w:rPr>
                <w:szCs w:val="18"/>
              </w:rPr>
            </w:pPr>
            <w:r w:rsidRPr="00284A41">
              <w:rPr>
                <w:szCs w:val="18"/>
              </w:rPr>
              <w:t>$315,000</w:t>
            </w:r>
          </w:p>
        </w:tc>
        <w:tc>
          <w:tcPr>
            <w:tcW w:w="2254" w:type="dxa"/>
          </w:tcPr>
          <w:p w14:paraId="4827D02F" w14:textId="77777777" w:rsidR="002572E0" w:rsidRPr="00284A41" w:rsidRDefault="002572E0" w:rsidP="00A536D8">
            <w:pPr>
              <w:jc w:val="center"/>
              <w:rPr>
                <w:szCs w:val="18"/>
              </w:rPr>
            </w:pPr>
            <w:r w:rsidRPr="00284A41">
              <w:rPr>
                <w:szCs w:val="18"/>
              </w:rPr>
              <w:t>$35,000</w:t>
            </w:r>
          </w:p>
        </w:tc>
        <w:tc>
          <w:tcPr>
            <w:tcW w:w="2254" w:type="dxa"/>
          </w:tcPr>
          <w:p w14:paraId="3A6A718B" w14:textId="77777777" w:rsidR="002572E0" w:rsidRPr="00284A41" w:rsidRDefault="002572E0" w:rsidP="00A536D8">
            <w:pPr>
              <w:jc w:val="center"/>
              <w:rPr>
                <w:szCs w:val="18"/>
              </w:rPr>
            </w:pPr>
            <w:r w:rsidRPr="00284A41">
              <w:rPr>
                <w:szCs w:val="18"/>
              </w:rPr>
              <w:t>$52,000</w:t>
            </w:r>
          </w:p>
        </w:tc>
      </w:tr>
    </w:tbl>
    <w:p w14:paraId="35F07D86" w14:textId="77777777" w:rsidR="00712B50" w:rsidRPr="00284A41" w:rsidRDefault="00712B50" w:rsidP="00712B50">
      <w:pPr>
        <w:pStyle w:val="Heading3"/>
      </w:pPr>
      <w:r w:rsidRPr="00284A41">
        <w:t>NDIS Pricing Arrangements and the Disability Support Worker Cost Model</w:t>
      </w:r>
    </w:p>
    <w:p w14:paraId="660C3B0B" w14:textId="77777777" w:rsidR="00712B50" w:rsidRPr="00284A41" w:rsidRDefault="00712B50" w:rsidP="00712B50">
      <w:r w:rsidRPr="00284A41">
        <w:t xml:space="preserve">One of the principal objectives of the NDIS is for people with disability to exercise choice and control over how, and with which providers, they spend their available budgets. The role of pricing in the NDIS is therefore very important. Prices reflect the preferences and relative values that different participants place on different types of supports. Prices also affect the total costs of the NDIS and therefore its financial sustainability. Pricing can also affect providers’ choices, including by providing incentives: for entering the market; for upskilling/right-skilling; for innovation; and for improvements in service quality and outcomes. </w:t>
      </w:r>
    </w:p>
    <w:p w14:paraId="7E420C21" w14:textId="77777777" w:rsidR="00712B50" w:rsidRPr="00284A41" w:rsidRDefault="00712B50" w:rsidP="00712B50">
      <w:r w:rsidRPr="00284A41">
        <w:t>As the markets for disability goods and services develop and operate more effectively, it is expected that the NDIA, as market steward for the NDIS, will be less interventional. Currently, the NDIA varies its approach to the regulation of prices between:</w:t>
      </w:r>
    </w:p>
    <w:p w14:paraId="46D846D9" w14:textId="77777777" w:rsidR="00712B50" w:rsidRPr="0042216D" w:rsidRDefault="00712B50" w:rsidP="0042216D">
      <w:pPr>
        <w:pStyle w:val="DotPoint"/>
      </w:pPr>
      <w:r w:rsidRPr="003B6B59">
        <w:rPr>
          <w:b/>
        </w:rPr>
        <w:t>No regulation</w:t>
      </w:r>
      <w:r w:rsidRPr="0042216D">
        <w:t xml:space="preserve"> (deregulated markets): this </w:t>
      </w:r>
      <w:r w:rsidRPr="0042216D">
        <w:rPr>
          <w:rFonts w:cstheme="minorHAnsi"/>
        </w:rPr>
        <w:t>is</w:t>
      </w:r>
      <w:r w:rsidRPr="0042216D">
        <w:t xml:space="preserve"> typically used in cases where markets are highly competitive – for example, transport.</w:t>
      </w:r>
    </w:p>
    <w:p w14:paraId="7222CC38" w14:textId="58F184BB" w:rsidR="00712B50" w:rsidRPr="0042216D" w:rsidRDefault="00712B50" w:rsidP="0042216D">
      <w:pPr>
        <w:pStyle w:val="DotPoint"/>
      </w:pPr>
      <w:r w:rsidRPr="003B6B59">
        <w:rPr>
          <w:b/>
        </w:rPr>
        <w:t>The imposition of price limits</w:t>
      </w:r>
      <w:r w:rsidRPr="0042216D">
        <w:t xml:space="preserve">: these represent a maximum allowable price payable by participants for types of supports. This </w:t>
      </w:r>
      <w:r w:rsidRPr="0042216D">
        <w:rPr>
          <w:rFonts w:cstheme="minorHAnsi"/>
        </w:rPr>
        <w:t>approach</w:t>
      </w:r>
      <w:r w:rsidRPr="0042216D">
        <w:t xml:space="preserve"> is used in a significant number of markets, which are still developing and growing, such as those for </w:t>
      </w:r>
      <w:r w:rsidR="00652020" w:rsidRPr="0042216D">
        <w:t>assistance with daily living activities</w:t>
      </w:r>
      <w:r w:rsidRPr="0042216D">
        <w:t>.</w:t>
      </w:r>
    </w:p>
    <w:p w14:paraId="3C0174EF" w14:textId="77777777" w:rsidR="00712B50" w:rsidRPr="0042216D" w:rsidRDefault="00712B50" w:rsidP="0042216D">
      <w:pPr>
        <w:pStyle w:val="DotPoint"/>
      </w:pPr>
      <w:r w:rsidRPr="003B6B59">
        <w:rPr>
          <w:b/>
        </w:rPr>
        <w:t>Quotable supports</w:t>
      </w:r>
      <w:r w:rsidRPr="0042216D">
        <w:t xml:space="preserve">: in which participants are expected to obtain quotations from suppliers to provide to the NDIA as part of verifying that prices are fair and </w:t>
      </w:r>
      <w:r w:rsidRPr="0042216D">
        <w:rPr>
          <w:rFonts w:cstheme="minorHAnsi"/>
        </w:rPr>
        <w:t>reasonable</w:t>
      </w:r>
      <w:r w:rsidRPr="0042216D">
        <w:t xml:space="preserve">. </w:t>
      </w:r>
    </w:p>
    <w:p w14:paraId="1EEFC094" w14:textId="77777777" w:rsidR="00712B50" w:rsidRPr="00284A41" w:rsidRDefault="00712B50" w:rsidP="00712B50">
      <w:r w:rsidRPr="00284A41">
        <w:t xml:space="preserve">Further information on the NDIA’s approach to pricing be found in the NDIA’s </w:t>
      </w:r>
      <w:r w:rsidRPr="00284A41">
        <w:rPr>
          <w:i/>
        </w:rPr>
        <w:t>Pricing Strategy</w:t>
      </w:r>
      <w:r w:rsidRPr="00284A41">
        <w:rPr>
          <w:rStyle w:val="FootnoteReference"/>
        </w:rPr>
        <w:footnoteReference w:id="6"/>
      </w:r>
      <w:r w:rsidRPr="00284A41">
        <w:t xml:space="preserve"> and in the report of the </w:t>
      </w:r>
      <w:r w:rsidRPr="00284A41">
        <w:rPr>
          <w:i/>
        </w:rPr>
        <w:t>Annual Pricing Review 2020-21</w:t>
      </w:r>
      <w:r w:rsidRPr="00284A41">
        <w:t>.</w:t>
      </w:r>
      <w:r w:rsidRPr="00284A41">
        <w:rPr>
          <w:rStyle w:val="FootnoteReference"/>
        </w:rPr>
        <w:footnoteReference w:id="7"/>
      </w:r>
      <w:r w:rsidRPr="00284A41">
        <w:t xml:space="preserve"> </w:t>
      </w:r>
    </w:p>
    <w:p w14:paraId="6EBBB9BE" w14:textId="6F10D17C" w:rsidR="00712B50" w:rsidRPr="00284A41" w:rsidRDefault="00712B50" w:rsidP="00712B50">
      <w:pPr>
        <w:sectPr w:rsidR="00712B50" w:rsidRPr="00284A41" w:rsidSect="0087656C">
          <w:type w:val="oddPage"/>
          <w:pgSz w:w="11906" w:h="16838" w:code="9"/>
          <w:pgMar w:top="1440" w:right="1440" w:bottom="1440" w:left="1440" w:header="709" w:footer="709" w:gutter="0"/>
          <w:cols w:space="708"/>
          <w:titlePg/>
          <w:docGrid w:linePitch="360"/>
        </w:sectPr>
      </w:pPr>
      <w:r w:rsidRPr="00284A41">
        <w:t>The NDIS Disability Support Worker (DSW) Cost Model is one methodology that the NDIA uses to inform its pricing decisions for those supports delivered by Disability Support Workers on which it imposes price limits.</w:t>
      </w:r>
      <w:r w:rsidRPr="00284A41">
        <w:rPr>
          <w:rStyle w:val="FootnoteReference"/>
        </w:rPr>
        <w:footnoteReference w:id="8"/>
      </w:r>
      <w:r w:rsidRPr="00284A41">
        <w:t xml:space="preserve"> </w:t>
      </w:r>
      <w:r w:rsidRPr="00284A41">
        <w:fldChar w:fldCharType="begin"/>
      </w:r>
      <w:r w:rsidRPr="00284A41">
        <w:instrText xml:space="preserve"> REF _Ref68003148 \h </w:instrText>
      </w:r>
      <w:r w:rsidR="00A1778D" w:rsidRPr="00284A41">
        <w:instrText xml:space="preserve"> \* MERGEFORMAT </w:instrText>
      </w:r>
      <w:r w:rsidRPr="00284A41">
        <w:fldChar w:fldCharType="separate"/>
      </w:r>
      <w:r w:rsidR="00E0689D" w:rsidRPr="00284A41">
        <w:t xml:space="preserve">Exhibit </w:t>
      </w:r>
      <w:r w:rsidR="00E0689D">
        <w:rPr>
          <w:noProof/>
        </w:rPr>
        <w:t>3</w:t>
      </w:r>
      <w:r w:rsidRPr="00284A41">
        <w:fldChar w:fldCharType="end"/>
      </w:r>
      <w:r w:rsidRPr="00284A41">
        <w:t xml:space="preserve"> provides a schematic overview of the NDIS Disability Support Worker (DSW) Cost Model.</w:t>
      </w:r>
    </w:p>
    <w:p w14:paraId="32D18EE8" w14:textId="13E46673" w:rsidR="00712B50" w:rsidRPr="00284A41" w:rsidRDefault="00712B50" w:rsidP="00066859">
      <w:pPr>
        <w:pStyle w:val="Caption"/>
      </w:pPr>
      <w:bookmarkStart w:id="17" w:name="_Ref68003148"/>
      <w:bookmarkStart w:id="18" w:name="_Ref65243793"/>
      <w:bookmarkStart w:id="19" w:name="_Toc75881506"/>
      <w:r w:rsidRPr="00284A41">
        <w:t xml:space="preserve">Exhibit </w:t>
      </w:r>
      <w:r w:rsidR="00935584">
        <w:fldChar w:fldCharType="begin"/>
      </w:r>
      <w:r w:rsidR="00935584">
        <w:instrText xml:space="preserve"> SEQ Exhibit \* ARABIC </w:instrText>
      </w:r>
      <w:r w:rsidR="00935584">
        <w:fldChar w:fldCharType="separate"/>
      </w:r>
      <w:r w:rsidR="00E0689D">
        <w:rPr>
          <w:noProof/>
        </w:rPr>
        <w:t>3</w:t>
      </w:r>
      <w:r w:rsidR="00935584">
        <w:rPr>
          <w:noProof/>
        </w:rPr>
        <w:fldChar w:fldCharType="end"/>
      </w:r>
      <w:bookmarkEnd w:id="17"/>
      <w:r w:rsidRPr="00284A41">
        <w:t xml:space="preserve">: </w:t>
      </w:r>
      <w:bookmarkEnd w:id="18"/>
      <w:r w:rsidRPr="00284A41">
        <w:t>Schematic overview – NDIS Disability Support Worker Cost Model</w:t>
      </w:r>
      <w:bookmarkEnd w:id="19"/>
    </w:p>
    <w:p w14:paraId="2C642EE0" w14:textId="77777777" w:rsidR="00712B50" w:rsidRPr="00284A41" w:rsidRDefault="00712B50" w:rsidP="00712B50">
      <w:pPr>
        <w:sectPr w:rsidR="00712B50" w:rsidRPr="00284A41" w:rsidSect="0087656C">
          <w:pgSz w:w="16838" w:h="11906" w:orient="landscape" w:code="9"/>
          <w:pgMar w:top="1440" w:right="1440" w:bottom="1440" w:left="1440" w:header="709" w:footer="709" w:gutter="0"/>
          <w:cols w:space="708"/>
          <w:titlePg/>
          <w:docGrid w:linePitch="360"/>
        </w:sectPr>
      </w:pPr>
      <w:r w:rsidRPr="00284A41">
        <w:rPr>
          <w:noProof/>
          <w:lang w:eastAsia="en-AU"/>
        </w:rPr>
        <w:drawing>
          <wp:inline distT="0" distB="0" distL="0" distR="0" wp14:anchorId="0938631E" wp14:editId="533F18BD">
            <wp:extent cx="7942217" cy="5279769"/>
            <wp:effectExtent l="0" t="0" r="1905" b="0"/>
            <wp:docPr id="11" name="Picture 11" descr="Schematic overview of the NDIA Disability Support Worker Cost Model&#10;&#10;Summarises the different parameters that the NDIS DSW Cost Model is comprised of which include: Salary and wages, shift loadings, leave allowance, on-costs, supervision costs, permanent workforce, utilisation, overheads and margins. Also includes Fair Work Commission Inputs on their Award wage decisions.&#10;&#10;The output for these parameters lead to the cost per hour of support by each DSW level and shift (without Temporary Transformation Payment). &#10;" title="Schematic overview – NDIS Disability Support Worker Cost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949229" cy="5284430"/>
                    </a:xfrm>
                    <a:prstGeom prst="rect">
                      <a:avLst/>
                    </a:prstGeom>
                  </pic:spPr>
                </pic:pic>
              </a:graphicData>
            </a:graphic>
          </wp:inline>
        </w:drawing>
      </w:r>
    </w:p>
    <w:p w14:paraId="1A6723FD" w14:textId="77777777" w:rsidR="00087527" w:rsidRPr="00284A41" w:rsidRDefault="00087527" w:rsidP="00E4185C">
      <w:pPr>
        <w:pStyle w:val="Heading2"/>
      </w:pPr>
      <w:bookmarkStart w:id="20" w:name="_Toc75881964"/>
      <w:r w:rsidRPr="00284A41">
        <w:t>Conduct of the Review</w:t>
      </w:r>
      <w:bookmarkEnd w:id="20"/>
    </w:p>
    <w:p w14:paraId="01DC67DF" w14:textId="77777777" w:rsidR="00BD165D" w:rsidRPr="00284A41" w:rsidRDefault="00BD165D" w:rsidP="00BD165D">
      <w:bookmarkStart w:id="21" w:name="_What’s_your_Roster"/>
      <w:bookmarkStart w:id="22" w:name="_Is_SIL_reasonable"/>
      <w:bookmarkEnd w:id="21"/>
      <w:bookmarkEnd w:id="22"/>
      <w:r w:rsidRPr="00284A41">
        <w:t xml:space="preserve">The Review engaged in extensive consultations with industry, community and government stakeholders and undertook a program of research. </w:t>
      </w:r>
    </w:p>
    <w:p w14:paraId="7F898A02" w14:textId="77777777" w:rsidR="006815DB" w:rsidRPr="00284A41" w:rsidRDefault="006815DB" w:rsidP="00C24F50">
      <w:pPr>
        <w:pStyle w:val="Heading3"/>
      </w:pPr>
      <w:r w:rsidRPr="00284A41">
        <w:t>Issues Papers and Submissions</w:t>
      </w:r>
    </w:p>
    <w:p w14:paraId="5A80712E" w14:textId="77777777" w:rsidR="006815DB" w:rsidRPr="00284A41" w:rsidRDefault="006815DB" w:rsidP="006815DB">
      <w:r w:rsidRPr="00284A41">
        <w:t xml:space="preserve">An Issues Paper was released on 31 August 2020 together with a public call for submissions. The closing date for submissions was initially 13 September 2020, later formally extended to 25 October 2020. Some 84 submissions were received by the closing date. A total of 92 submissions had been received and analysed by 31 December 2020. </w:t>
      </w:r>
    </w:p>
    <w:p w14:paraId="0C82C542" w14:textId="77777777" w:rsidR="006815DB" w:rsidRPr="00284A41" w:rsidRDefault="006815DB" w:rsidP="006815DB">
      <w:r w:rsidRPr="00284A41">
        <w:t xml:space="preserve">Most submissions (81) were from service providers, with one received from a builder of Specialist Disability Accommodation. A further four submissions were received from provider peak bodies. One submission was received from a workers union. The participant voice was also heard, with three submissions from participant advocacy bodies and two from participants or their family/nominees. </w:t>
      </w:r>
    </w:p>
    <w:p w14:paraId="0FD63CC3" w14:textId="77777777" w:rsidR="00F55C6C" w:rsidRPr="00284A41" w:rsidRDefault="006815DB" w:rsidP="006815DB">
      <w:r w:rsidRPr="00284A41">
        <w:t xml:space="preserve">Providers who made submissions ranged in size from servicing </w:t>
      </w:r>
      <w:r w:rsidR="00AB6B58" w:rsidRPr="00284A41">
        <w:t>just one single</w:t>
      </w:r>
      <w:r w:rsidRPr="00284A41">
        <w:t xml:space="preserve"> participant in SIL arrangements to over 500</w:t>
      </w:r>
      <w:r w:rsidR="00AB6B58" w:rsidRPr="00284A41">
        <w:t xml:space="preserve"> participants</w:t>
      </w:r>
      <w:r w:rsidRPr="00284A41">
        <w:t xml:space="preserve"> in </w:t>
      </w:r>
      <w:r w:rsidR="00AB6B58" w:rsidRPr="00284A41">
        <w:t xml:space="preserve">SIL </w:t>
      </w:r>
      <w:r w:rsidRPr="00284A41">
        <w:t xml:space="preserve">arrangements, with the average being 82 SIL participants and </w:t>
      </w:r>
      <w:r w:rsidR="00F55C6C" w:rsidRPr="00284A41">
        <w:t xml:space="preserve">the median 38 SIL participants. </w:t>
      </w:r>
      <w:r w:rsidRPr="00284A41">
        <w:t>They also ranged from having under $50,000 in NDIS revenue to over $100 million, with the average being around $16.15 million and the median being aroun</w:t>
      </w:r>
      <w:r w:rsidR="00F55C6C" w:rsidRPr="00284A41">
        <w:t>d $7.39 million.</w:t>
      </w:r>
    </w:p>
    <w:p w14:paraId="28E5B8C4" w14:textId="77777777" w:rsidR="006815DB" w:rsidRPr="00284A41" w:rsidRDefault="006815DB" w:rsidP="00C24F50">
      <w:pPr>
        <w:pStyle w:val="Heading3"/>
      </w:pPr>
      <w:r w:rsidRPr="00284A41">
        <w:t>Consultations with peak bodies</w:t>
      </w:r>
    </w:p>
    <w:p w14:paraId="0FEE0C53" w14:textId="77777777" w:rsidR="006815DB" w:rsidRPr="00284A41" w:rsidRDefault="006815DB" w:rsidP="006815DB">
      <w:r w:rsidRPr="00284A41">
        <w:t xml:space="preserve">In addition to </w:t>
      </w:r>
      <w:r w:rsidR="00504475" w:rsidRPr="00284A41">
        <w:t>releasing the Issues Paper</w:t>
      </w:r>
      <w:r w:rsidRPr="00284A41">
        <w:t xml:space="preserve">, the </w:t>
      </w:r>
      <w:r w:rsidR="00472D76" w:rsidRPr="00284A41">
        <w:t>Review</w:t>
      </w:r>
      <w:r w:rsidRPr="00284A41">
        <w:t xml:space="preserve"> held virtual consultations with sector</w:t>
      </w:r>
      <w:r w:rsidR="00504475" w:rsidRPr="00284A41">
        <w:t xml:space="preserve"> stakeholders across Australia. </w:t>
      </w:r>
      <w:r w:rsidRPr="00284A41">
        <w:t>This included meetings with Provider and Participant peak bodies as listed below.</w:t>
      </w:r>
    </w:p>
    <w:p w14:paraId="3A5B8CD1" w14:textId="77777777" w:rsidR="00C24F50" w:rsidRPr="00284A41" w:rsidRDefault="0005426C" w:rsidP="00D83CA7">
      <w:r w:rsidRPr="00284A41">
        <w:t xml:space="preserve">On 26 August 2020, the </w:t>
      </w:r>
      <w:r w:rsidR="00472D76" w:rsidRPr="00284A41">
        <w:t>Review</w:t>
      </w:r>
      <w:r w:rsidRPr="00284A41">
        <w:t xml:space="preserve"> met with members of the following p</w:t>
      </w:r>
      <w:r w:rsidR="00504475" w:rsidRPr="00284A41">
        <w:t>articipant peak groups</w:t>
      </w:r>
      <w:r w:rsidRPr="00284A41">
        <w:t>:</w:t>
      </w:r>
      <w:r w:rsidR="00D83CA7" w:rsidRPr="00284A41">
        <w:t xml:space="preserve"> </w:t>
      </w:r>
      <w:r w:rsidR="006815DB" w:rsidRPr="00284A41">
        <w:t>Australian Federat</w:t>
      </w:r>
      <w:r w:rsidR="00504475" w:rsidRPr="00284A41">
        <w:t>ion of Disability Organisations</w:t>
      </w:r>
      <w:r w:rsidR="00C24F50" w:rsidRPr="00284A41">
        <w:t>;</w:t>
      </w:r>
      <w:r w:rsidR="00D83CA7" w:rsidRPr="00284A41">
        <w:t xml:space="preserve"> </w:t>
      </w:r>
      <w:r w:rsidR="006815DB" w:rsidRPr="00284A41">
        <w:t>Disability Advocacy</w:t>
      </w:r>
      <w:r w:rsidR="00504475" w:rsidRPr="00284A41">
        <w:t xml:space="preserve"> Network Australia</w:t>
      </w:r>
      <w:r w:rsidR="00C24F50" w:rsidRPr="00284A41">
        <w:t>;</w:t>
      </w:r>
      <w:r w:rsidR="00D83CA7" w:rsidRPr="00284A41">
        <w:t xml:space="preserve"> </w:t>
      </w:r>
      <w:r w:rsidR="006815DB" w:rsidRPr="00284A41">
        <w:t>Inclusion Australia</w:t>
      </w:r>
      <w:r w:rsidR="00C24F50" w:rsidRPr="00284A41">
        <w:t>; and</w:t>
      </w:r>
      <w:r w:rsidR="00D83CA7" w:rsidRPr="00284A41">
        <w:t xml:space="preserve"> </w:t>
      </w:r>
      <w:r w:rsidR="00C24F50" w:rsidRPr="00284A41">
        <w:t>JFA Purple Orange.</w:t>
      </w:r>
    </w:p>
    <w:p w14:paraId="6535FE66" w14:textId="77777777" w:rsidR="006815DB" w:rsidRPr="00284A41" w:rsidRDefault="0005426C" w:rsidP="00D83CA7">
      <w:r w:rsidRPr="00284A41">
        <w:t xml:space="preserve">On 28 July 2020, the </w:t>
      </w:r>
      <w:r w:rsidR="00472D76" w:rsidRPr="00284A41">
        <w:t>Review</w:t>
      </w:r>
      <w:r w:rsidRPr="00284A41">
        <w:t xml:space="preserve"> met with members of the following p</w:t>
      </w:r>
      <w:r w:rsidR="00504475" w:rsidRPr="00284A41">
        <w:t>rovider peak groups</w:t>
      </w:r>
      <w:r w:rsidR="00D83CA7" w:rsidRPr="00284A41">
        <w:t xml:space="preserve">: </w:t>
      </w:r>
      <w:r w:rsidR="006815DB" w:rsidRPr="00284A41">
        <w:t>Ability First</w:t>
      </w:r>
      <w:r w:rsidR="00C24F50" w:rsidRPr="00284A41">
        <w:t>;</w:t>
      </w:r>
      <w:r w:rsidR="00D83CA7" w:rsidRPr="00284A41">
        <w:t xml:space="preserve"> </w:t>
      </w:r>
      <w:r w:rsidR="006815DB" w:rsidRPr="00284A41">
        <w:t>Alliance 20</w:t>
      </w:r>
      <w:r w:rsidR="00C24F50" w:rsidRPr="00284A41">
        <w:t>; and</w:t>
      </w:r>
      <w:r w:rsidR="00D83CA7" w:rsidRPr="00284A41">
        <w:t xml:space="preserve"> </w:t>
      </w:r>
      <w:r w:rsidR="006815DB" w:rsidRPr="00284A41">
        <w:t>National Disability Services</w:t>
      </w:r>
      <w:r w:rsidR="00C24F50" w:rsidRPr="00284A41">
        <w:t>.</w:t>
      </w:r>
    </w:p>
    <w:p w14:paraId="636D6C0A" w14:textId="77777777" w:rsidR="006815DB" w:rsidRPr="00284A41" w:rsidRDefault="006815DB" w:rsidP="00C24F50">
      <w:pPr>
        <w:pStyle w:val="Heading3"/>
      </w:pPr>
      <w:r w:rsidRPr="00284A41">
        <w:t>Working Groups</w:t>
      </w:r>
    </w:p>
    <w:p w14:paraId="77D6A56E" w14:textId="77777777" w:rsidR="006815DB" w:rsidRPr="00284A41" w:rsidRDefault="006815DB" w:rsidP="006815DB">
      <w:r w:rsidRPr="00284A41">
        <w:t xml:space="preserve">Four working groups were also set up, involving 39 representatives from the sector, to discuss their concerns. These working groups met a total of three times each, two times before the release of the Issues Paper and once after it closed. </w:t>
      </w:r>
    </w:p>
    <w:p w14:paraId="00955916" w14:textId="77777777" w:rsidR="006815DB" w:rsidRPr="0042216D" w:rsidRDefault="00A80757" w:rsidP="0042216D">
      <w:pPr>
        <w:pStyle w:val="DotPoint"/>
      </w:pPr>
      <w:r w:rsidRPr="0042216D">
        <w:t xml:space="preserve">Smaller </w:t>
      </w:r>
      <w:r w:rsidRPr="0042216D">
        <w:rPr>
          <w:rFonts w:cstheme="minorHAnsi"/>
        </w:rPr>
        <w:t>Providers</w:t>
      </w:r>
      <w:r w:rsidRPr="0042216D">
        <w:t xml:space="preserve"> –</w:t>
      </w:r>
      <w:r w:rsidR="00504475" w:rsidRPr="0042216D">
        <w:t xml:space="preserve"> 8 organisations (</w:t>
      </w:r>
      <w:r w:rsidR="0005426C" w:rsidRPr="0042216D">
        <w:t>10 August, 17 August, 15</w:t>
      </w:r>
      <w:r w:rsidR="00AB6B58" w:rsidRPr="0042216D">
        <w:t> </w:t>
      </w:r>
      <w:r w:rsidR="0005426C" w:rsidRPr="0042216D">
        <w:t>December 2020</w:t>
      </w:r>
      <w:r w:rsidR="00504475" w:rsidRPr="0042216D">
        <w:t>)</w:t>
      </w:r>
      <w:r w:rsidR="00C24F50" w:rsidRPr="0042216D">
        <w:t>;</w:t>
      </w:r>
    </w:p>
    <w:p w14:paraId="7C8758A9" w14:textId="77777777" w:rsidR="00504475" w:rsidRPr="0042216D" w:rsidRDefault="006815DB" w:rsidP="0042216D">
      <w:pPr>
        <w:pStyle w:val="DotPoint"/>
      </w:pPr>
      <w:r w:rsidRPr="0042216D">
        <w:t>Lar</w:t>
      </w:r>
      <w:r w:rsidR="00A80757" w:rsidRPr="0042216D">
        <w:t>ger Providers –</w:t>
      </w:r>
      <w:r w:rsidR="00504475" w:rsidRPr="0042216D">
        <w:t xml:space="preserve"> 18 organisations (</w:t>
      </w:r>
      <w:r w:rsidR="0005426C" w:rsidRPr="0042216D">
        <w:t>11 August, 17 August, 14 December 2020)</w:t>
      </w:r>
      <w:r w:rsidR="00C24F50" w:rsidRPr="0042216D">
        <w:t>;</w:t>
      </w:r>
    </w:p>
    <w:p w14:paraId="6F614A06" w14:textId="77777777" w:rsidR="006815DB" w:rsidRPr="0042216D" w:rsidRDefault="006815DB" w:rsidP="0042216D">
      <w:pPr>
        <w:pStyle w:val="DotPoint"/>
      </w:pPr>
      <w:r w:rsidRPr="0042216D">
        <w:t>Very Large P</w:t>
      </w:r>
      <w:r w:rsidR="0005426C" w:rsidRPr="0042216D">
        <w:t xml:space="preserve">roviders </w:t>
      </w:r>
      <w:r w:rsidR="00A80757" w:rsidRPr="0042216D">
        <w:t>–</w:t>
      </w:r>
      <w:r w:rsidR="00504475" w:rsidRPr="0042216D">
        <w:t xml:space="preserve"> 8 organisations </w:t>
      </w:r>
      <w:r w:rsidR="0005426C" w:rsidRPr="0042216D">
        <w:t>(10 August, 17 August</w:t>
      </w:r>
      <w:r w:rsidR="00B12AE9" w:rsidRPr="0042216D">
        <w:t>,</w:t>
      </w:r>
      <w:r w:rsidR="0005426C" w:rsidRPr="0042216D">
        <w:t xml:space="preserve"> 15</w:t>
      </w:r>
      <w:r w:rsidR="00AB6B58" w:rsidRPr="0042216D">
        <w:t> </w:t>
      </w:r>
      <w:r w:rsidR="0005426C" w:rsidRPr="0042216D">
        <w:t>December 2020)</w:t>
      </w:r>
      <w:r w:rsidR="00C24F50" w:rsidRPr="0042216D">
        <w:t>; and</w:t>
      </w:r>
    </w:p>
    <w:p w14:paraId="0261AC83" w14:textId="77777777" w:rsidR="006815DB" w:rsidRPr="0042216D" w:rsidRDefault="00D83CA7" w:rsidP="0042216D">
      <w:pPr>
        <w:pStyle w:val="DotPoint"/>
      </w:pPr>
      <w:r w:rsidRPr="0042216D">
        <w:t>Rural/</w:t>
      </w:r>
      <w:r w:rsidR="006815DB" w:rsidRPr="0042216D">
        <w:t>Remo</w:t>
      </w:r>
      <w:r w:rsidR="00A80757" w:rsidRPr="0042216D">
        <w:t>te Providers –</w:t>
      </w:r>
      <w:r w:rsidR="00504475" w:rsidRPr="0042216D">
        <w:t xml:space="preserve"> 5 organisations (</w:t>
      </w:r>
      <w:r w:rsidR="0005426C" w:rsidRPr="0042216D">
        <w:t>11 August, 17 August, 14</w:t>
      </w:r>
      <w:r w:rsidR="00FB16CB" w:rsidRPr="0042216D">
        <w:t xml:space="preserve"> </w:t>
      </w:r>
      <w:r w:rsidR="0005426C" w:rsidRPr="0042216D">
        <w:t>December 2020)</w:t>
      </w:r>
      <w:r w:rsidR="00C24F50" w:rsidRPr="0042216D">
        <w:t>.</w:t>
      </w:r>
    </w:p>
    <w:p w14:paraId="7823D974" w14:textId="77777777" w:rsidR="006815DB" w:rsidRPr="00284A41" w:rsidRDefault="006815DB" w:rsidP="00C24F50">
      <w:pPr>
        <w:pStyle w:val="Heading3"/>
      </w:pPr>
      <w:r w:rsidRPr="00284A41">
        <w:t>Consultations with Other Schemes</w:t>
      </w:r>
    </w:p>
    <w:p w14:paraId="125A3C5E" w14:textId="77777777" w:rsidR="006815DB" w:rsidRPr="00284A41" w:rsidRDefault="006815DB" w:rsidP="006815DB">
      <w:r w:rsidRPr="00284A41">
        <w:t xml:space="preserve">A virtual meeting was held with officers of the following Schemes on 13 August 2020 to compare pricing methodologies and arrangements for </w:t>
      </w:r>
      <w:r w:rsidR="002320DC" w:rsidRPr="00284A41">
        <w:t>supports for activities of daily living</w:t>
      </w:r>
      <w:r w:rsidRPr="00284A41">
        <w:t xml:space="preserve"> and supported independent living:</w:t>
      </w:r>
    </w:p>
    <w:p w14:paraId="2ACAAB0E" w14:textId="77777777" w:rsidR="00D054AA" w:rsidRPr="005E5772" w:rsidRDefault="00C24F50" w:rsidP="0042216D">
      <w:pPr>
        <w:pStyle w:val="DotPoint"/>
      </w:pPr>
      <w:r w:rsidRPr="005E5772">
        <w:t>Department of Veterans Affairs;</w:t>
      </w:r>
    </w:p>
    <w:p w14:paraId="3C1107CF" w14:textId="77777777" w:rsidR="00D054AA" w:rsidRPr="005E5772" w:rsidRDefault="00C24F50" w:rsidP="0042216D">
      <w:pPr>
        <w:pStyle w:val="DotPoint"/>
      </w:pPr>
      <w:r w:rsidRPr="005E5772">
        <w:t>icare New South Wales;</w:t>
      </w:r>
    </w:p>
    <w:p w14:paraId="7465743A" w14:textId="77777777" w:rsidR="00D054AA" w:rsidRPr="005E5772" w:rsidRDefault="00D054AA" w:rsidP="0042216D">
      <w:pPr>
        <w:pStyle w:val="DotPoint"/>
      </w:pPr>
      <w:r w:rsidRPr="005E5772">
        <w:t>Lifetime Suppo</w:t>
      </w:r>
      <w:r w:rsidR="00C24F50" w:rsidRPr="005E5772">
        <w:t>rt Authority of South Australia;</w:t>
      </w:r>
    </w:p>
    <w:p w14:paraId="7328C1B7" w14:textId="77777777" w:rsidR="00D054AA" w:rsidRPr="005E5772" w:rsidRDefault="00D054AA" w:rsidP="0042216D">
      <w:pPr>
        <w:pStyle w:val="DotPoint"/>
      </w:pPr>
      <w:r w:rsidRPr="005E5772">
        <w:t>SeaCare</w:t>
      </w:r>
      <w:r w:rsidR="00C24F50" w:rsidRPr="005E5772">
        <w:t>;</w:t>
      </w:r>
    </w:p>
    <w:p w14:paraId="7D9C7201" w14:textId="77777777" w:rsidR="00D054AA" w:rsidRPr="005E5772" w:rsidRDefault="00D054AA" w:rsidP="0042216D">
      <w:pPr>
        <w:pStyle w:val="DotPoint"/>
      </w:pPr>
      <w:r w:rsidRPr="005E5772">
        <w:rPr>
          <w:rFonts w:cstheme="minorHAnsi"/>
        </w:rPr>
        <w:t>State</w:t>
      </w:r>
      <w:r w:rsidRPr="005E5772">
        <w:t xml:space="preserve"> Insurance Regul</w:t>
      </w:r>
      <w:r w:rsidR="00C24F50" w:rsidRPr="005E5772">
        <w:t>atory Authority New South Wales;</w:t>
      </w:r>
    </w:p>
    <w:p w14:paraId="75CE792F" w14:textId="77777777" w:rsidR="00D054AA" w:rsidRPr="005E5772" w:rsidRDefault="00D054AA" w:rsidP="0042216D">
      <w:pPr>
        <w:pStyle w:val="DotPoint"/>
      </w:pPr>
      <w:r w:rsidRPr="005E5772">
        <w:t>Victoria</w:t>
      </w:r>
      <w:r w:rsidR="00C24F50" w:rsidRPr="005E5772">
        <w:t>n Transport Accident Commission;</w:t>
      </w:r>
    </w:p>
    <w:p w14:paraId="0D0C04C7" w14:textId="77777777" w:rsidR="00D054AA" w:rsidRPr="005E5772" w:rsidRDefault="00C24F50" w:rsidP="0042216D">
      <w:pPr>
        <w:pStyle w:val="DotPoint"/>
      </w:pPr>
      <w:r w:rsidRPr="005E5772">
        <w:t>WorkCover Queensland; and</w:t>
      </w:r>
    </w:p>
    <w:p w14:paraId="211FEDC8" w14:textId="77777777" w:rsidR="00D054AA" w:rsidRPr="005E5772" w:rsidRDefault="00D054AA" w:rsidP="0042216D">
      <w:pPr>
        <w:pStyle w:val="DotPoint"/>
      </w:pPr>
      <w:r w:rsidRPr="005E5772">
        <w:t>Worksafe Victoria.</w:t>
      </w:r>
    </w:p>
    <w:p w14:paraId="60F1E0EE" w14:textId="77777777" w:rsidR="006815DB" w:rsidRPr="00284A41" w:rsidRDefault="006815DB" w:rsidP="00C24F50">
      <w:pPr>
        <w:pStyle w:val="Heading3"/>
      </w:pPr>
      <w:r w:rsidRPr="00284A41">
        <w:t>Desktop Research</w:t>
      </w:r>
    </w:p>
    <w:p w14:paraId="3A4EEB0B" w14:textId="77777777" w:rsidR="00A60EEE" w:rsidRPr="00284A41" w:rsidRDefault="006815DB" w:rsidP="00F55C6C">
      <w:r w:rsidRPr="00284A41">
        <w:t>Th</w:t>
      </w:r>
      <w:r w:rsidR="00D054AA" w:rsidRPr="00284A41">
        <w:t xml:space="preserve">e Review also conducted </w:t>
      </w:r>
      <w:r w:rsidR="00F55C6C" w:rsidRPr="00284A41">
        <w:t>a comparative study of e</w:t>
      </w:r>
      <w:r w:rsidR="00C24F50" w:rsidRPr="00284A41">
        <w:t>mployment conditions in the Social, Community, Home Care a</w:t>
      </w:r>
      <w:r w:rsidRPr="00284A41">
        <w:t>nd Disability Sector Industry Award 2010 and some publically available enterpr</w:t>
      </w:r>
      <w:r w:rsidR="00F55C6C" w:rsidRPr="00284A41">
        <w:t>ise bargaining agreements</w:t>
      </w:r>
      <w:r w:rsidRPr="00284A41">
        <w:t xml:space="preserve"> of organ</w:t>
      </w:r>
      <w:r w:rsidR="00F55C6C" w:rsidRPr="00284A41">
        <w:t>isations who offer SIL supports. It also compared p</w:t>
      </w:r>
      <w:r w:rsidR="00C24F50" w:rsidRPr="00284A41">
        <w:t>r</w:t>
      </w:r>
      <w:r w:rsidRPr="00284A41">
        <w:t xml:space="preserve">ice limits for </w:t>
      </w:r>
      <w:r w:rsidR="002320DC" w:rsidRPr="00284A41">
        <w:t>supports for activities of daily living</w:t>
      </w:r>
      <w:r w:rsidRPr="00284A41">
        <w:t xml:space="preserve"> and similar supported independent living supports and input cost drivers </w:t>
      </w:r>
      <w:r w:rsidR="00C24F50" w:rsidRPr="00284A41">
        <w:t>in other</w:t>
      </w:r>
      <w:r w:rsidRPr="00284A41">
        <w:t xml:space="preserve"> schemes and sectors. </w:t>
      </w:r>
    </w:p>
    <w:p w14:paraId="009BE402" w14:textId="77777777" w:rsidR="0003160A" w:rsidRPr="00284A41" w:rsidRDefault="0003160A" w:rsidP="00E4185C">
      <w:pPr>
        <w:pStyle w:val="Heading2"/>
      </w:pPr>
      <w:bookmarkStart w:id="23" w:name="_Toc66875549"/>
      <w:bookmarkStart w:id="24" w:name="_Toc66875651"/>
      <w:bookmarkStart w:id="25" w:name="_Toc66875742"/>
      <w:bookmarkStart w:id="26" w:name="_Toc66876893"/>
      <w:bookmarkStart w:id="27" w:name="_Toc66877456"/>
      <w:bookmarkStart w:id="28" w:name="_Toc66885085"/>
      <w:bookmarkStart w:id="29" w:name="_Ref66972568"/>
      <w:bookmarkStart w:id="30" w:name="_Toc75881965"/>
      <w:bookmarkEnd w:id="23"/>
      <w:bookmarkEnd w:id="24"/>
      <w:bookmarkEnd w:id="25"/>
      <w:bookmarkEnd w:id="26"/>
      <w:bookmarkEnd w:id="27"/>
      <w:bookmarkEnd w:id="28"/>
      <w:r w:rsidRPr="00284A41">
        <w:t>Methodology</w:t>
      </w:r>
      <w:bookmarkEnd w:id="29"/>
      <w:bookmarkEnd w:id="30"/>
    </w:p>
    <w:p w14:paraId="7786E07D" w14:textId="77777777" w:rsidR="0003160A" w:rsidRPr="00284A41" w:rsidRDefault="00F55C6C" w:rsidP="0090490A">
      <w:r w:rsidRPr="00284A41">
        <w:t xml:space="preserve">The analyses </w:t>
      </w:r>
      <w:r w:rsidR="0003160A" w:rsidRPr="00284A41">
        <w:t xml:space="preserve">in this report seeks to understand the degree to which key cost parameters differ between the delivery of SIL and </w:t>
      </w:r>
      <w:r w:rsidR="00AB6B58" w:rsidRPr="00284A41">
        <w:t xml:space="preserve">community </w:t>
      </w:r>
      <w:r w:rsidR="00FB16CB" w:rsidRPr="00284A41">
        <w:t>activities of daily living</w:t>
      </w:r>
      <w:r w:rsidR="0003160A" w:rsidRPr="00284A41">
        <w:t xml:space="preserve"> services. The nature of the data available for this analysis means that it was not possible to fully isolate the costs of supplying SIL services from the costs of supply </w:t>
      </w:r>
      <w:r w:rsidR="00FB16CB" w:rsidRPr="00284A41">
        <w:t>activities of daily living</w:t>
      </w:r>
      <w:r w:rsidR="0003160A" w:rsidRPr="00284A41">
        <w:t xml:space="preserve"> services. As such, for each parameter of interest the analysis addressed the following questions:</w:t>
      </w:r>
    </w:p>
    <w:p w14:paraId="0C5F0B5C" w14:textId="77777777" w:rsidR="0003160A" w:rsidRPr="005E5772" w:rsidRDefault="0003160A" w:rsidP="0042216D">
      <w:pPr>
        <w:pStyle w:val="DotPoint"/>
      </w:pPr>
      <w:r w:rsidRPr="005E5772">
        <w:t>Do cost parameters differ between providers that do and do not provide SIL services?</w:t>
      </w:r>
    </w:p>
    <w:p w14:paraId="35436F50" w14:textId="77777777" w:rsidR="0003160A" w:rsidRPr="005E5772" w:rsidRDefault="0003160A" w:rsidP="0042216D">
      <w:pPr>
        <w:pStyle w:val="DotPoint"/>
      </w:pPr>
      <w:r w:rsidRPr="005E5772">
        <w:t>Is a concentration in SIL service provision associated with changing cost parameters?</w:t>
      </w:r>
    </w:p>
    <w:p w14:paraId="77120DF3" w14:textId="77777777" w:rsidR="0003160A" w:rsidRPr="00284A41" w:rsidRDefault="0003160A" w:rsidP="00891311">
      <w:pPr>
        <w:rPr>
          <w:rFonts w:ascii="Arial" w:eastAsia="Arial" w:hAnsi="Arial" w:cs="Times New Roman"/>
        </w:rPr>
      </w:pPr>
      <w:r w:rsidRPr="00284A41">
        <w:rPr>
          <w:rFonts w:ascii="Arial" w:eastAsia="Arial" w:hAnsi="Arial" w:cs="Times New Roman"/>
        </w:rPr>
        <w:t xml:space="preserve">The first question seeks to understand the baseline differences in service characteristics associated with providers that offer some SIL services, compared to those that do not offer any SIL services. The second question seeks to understand the relationship between service cost and the degree of SIL services delivered by providers. </w:t>
      </w:r>
    </w:p>
    <w:p w14:paraId="0AAE24D5" w14:textId="77777777" w:rsidR="00D94E8A" w:rsidRPr="00284A41" w:rsidRDefault="0003160A" w:rsidP="00891311">
      <w:pPr>
        <w:rPr>
          <w:rFonts w:ascii="Arial" w:eastAsia="Arial" w:hAnsi="Arial" w:cs="Times New Roman"/>
        </w:rPr>
      </w:pPr>
      <w:r w:rsidRPr="00284A41">
        <w:rPr>
          <w:rFonts w:ascii="Arial" w:eastAsia="Arial" w:hAnsi="Arial" w:cs="Times New Roman"/>
        </w:rPr>
        <w:t xml:space="preserve">The </w:t>
      </w:r>
      <w:r w:rsidR="00C24F50" w:rsidRPr="00284A41">
        <w:rPr>
          <w:rFonts w:ascii="Arial" w:eastAsia="Arial" w:hAnsi="Arial" w:cs="Times New Roman"/>
        </w:rPr>
        <w:t>Review</w:t>
      </w:r>
      <w:r w:rsidRPr="00284A41">
        <w:rPr>
          <w:rFonts w:ascii="Arial" w:eastAsia="Arial" w:hAnsi="Arial" w:cs="Times New Roman"/>
        </w:rPr>
        <w:t xml:space="preserve"> </w:t>
      </w:r>
      <w:r w:rsidR="00C24F50" w:rsidRPr="00284A41">
        <w:rPr>
          <w:rFonts w:ascii="Arial" w:eastAsia="Arial" w:hAnsi="Arial" w:cs="Times New Roman"/>
        </w:rPr>
        <w:t>had access to</w:t>
      </w:r>
      <w:r w:rsidRPr="00284A41">
        <w:rPr>
          <w:rFonts w:ascii="Arial" w:eastAsia="Arial" w:hAnsi="Arial" w:cs="Times New Roman"/>
        </w:rPr>
        <w:t xml:space="preserve"> two types of data sources. The </w:t>
      </w:r>
      <w:r w:rsidR="00AB6B58" w:rsidRPr="00284A41">
        <w:rPr>
          <w:rFonts w:ascii="Arial" w:eastAsia="Arial" w:hAnsi="Arial" w:cs="Times New Roman"/>
        </w:rPr>
        <w:t>Financial Benchmarking Survey was large</w:t>
      </w:r>
      <w:r w:rsidRPr="00284A41">
        <w:rPr>
          <w:rFonts w:ascii="Arial" w:eastAsia="Arial" w:hAnsi="Arial" w:cs="Times New Roman"/>
        </w:rPr>
        <w:t xml:space="preserve">, with </w:t>
      </w:r>
      <w:r w:rsidR="00AB6B58" w:rsidRPr="00284A41">
        <w:rPr>
          <w:rFonts w:ascii="Arial" w:eastAsia="Arial" w:hAnsi="Arial" w:cs="Times New Roman"/>
        </w:rPr>
        <w:t>221</w:t>
      </w:r>
      <w:r w:rsidRPr="00284A41">
        <w:rPr>
          <w:rFonts w:ascii="Arial" w:eastAsia="Arial" w:hAnsi="Arial" w:cs="Times New Roman"/>
        </w:rPr>
        <w:t xml:space="preserve"> SIL providers.</w:t>
      </w:r>
      <w:r w:rsidR="00FB16CB" w:rsidRPr="00284A41">
        <w:rPr>
          <w:rFonts w:ascii="Arial" w:eastAsia="Arial" w:hAnsi="Arial" w:cs="Times New Roman"/>
        </w:rPr>
        <w:t xml:space="preserve"> </w:t>
      </w:r>
      <w:r w:rsidRPr="00284A41">
        <w:rPr>
          <w:rFonts w:ascii="Arial" w:eastAsia="Arial" w:hAnsi="Arial" w:cs="Times New Roman"/>
        </w:rPr>
        <w:t>But it was not specifically targeted at SIL.</w:t>
      </w:r>
      <w:r w:rsidR="00C24F50" w:rsidRPr="00284A41">
        <w:rPr>
          <w:rFonts w:ascii="Arial" w:eastAsia="Arial" w:hAnsi="Arial" w:cs="Times New Roman"/>
        </w:rPr>
        <w:t xml:space="preserve"> </w:t>
      </w:r>
      <w:r w:rsidRPr="00284A41">
        <w:rPr>
          <w:rFonts w:ascii="Arial" w:eastAsia="Arial" w:hAnsi="Arial" w:cs="Times New Roman"/>
        </w:rPr>
        <w:t xml:space="preserve">The other data source </w:t>
      </w:r>
      <w:r w:rsidR="00AB6B58" w:rsidRPr="00284A41">
        <w:rPr>
          <w:rFonts w:ascii="Arial" w:eastAsia="Arial" w:hAnsi="Arial" w:cs="Times New Roman"/>
        </w:rPr>
        <w:t xml:space="preserve">was </w:t>
      </w:r>
      <w:r w:rsidRPr="00284A41">
        <w:rPr>
          <w:rFonts w:ascii="Arial" w:eastAsia="Arial" w:hAnsi="Arial" w:cs="Times New Roman"/>
        </w:rPr>
        <w:t>financial data deep dives</w:t>
      </w:r>
      <w:r w:rsidR="00AB6B58" w:rsidRPr="00284A41">
        <w:rPr>
          <w:rFonts w:ascii="Arial" w:eastAsia="Arial" w:hAnsi="Arial" w:cs="Times New Roman"/>
        </w:rPr>
        <w:t>. These were</w:t>
      </w:r>
      <w:r w:rsidRPr="00284A41">
        <w:rPr>
          <w:rFonts w:ascii="Arial" w:eastAsia="Arial" w:hAnsi="Arial" w:cs="Times New Roman"/>
        </w:rPr>
        <w:t xml:space="preserve"> specifically targeted at SIL, but with very small numbers of providers: Deloitte (n=9), Alliance20 (n=11), and Ability First (n=13). </w:t>
      </w:r>
      <w:r w:rsidR="00D94E8A" w:rsidRPr="00284A41">
        <w:t>Qualitative data from submissions and consultations was also employed to triangulate against this quantitative data</w:t>
      </w:r>
    </w:p>
    <w:p w14:paraId="55C7B51A" w14:textId="77777777" w:rsidR="0003160A" w:rsidRPr="00284A41" w:rsidRDefault="0003160A" w:rsidP="00C24F50">
      <w:pPr>
        <w:pStyle w:val="Heading3"/>
      </w:pPr>
      <w:r w:rsidRPr="00284A41">
        <w:t>The 2019-20 Financial Benchmarking Survey Data</w:t>
      </w:r>
    </w:p>
    <w:p w14:paraId="697B8959" w14:textId="3E9D9CA9" w:rsidR="0003160A" w:rsidRPr="00284A41" w:rsidRDefault="0003160A" w:rsidP="0090490A">
      <w:r w:rsidRPr="00284A41">
        <w:t xml:space="preserve">Deloitte Access Economics were engaged by the NDIA to conduct a financial benchmarking survey of providers for FY2019-20, with a particular emphasis on the parameters that under lie the NDIS Disability Support Worker </w:t>
      </w:r>
      <w:r w:rsidR="00AB6B58" w:rsidRPr="00284A41">
        <w:t xml:space="preserve">(DSW) </w:t>
      </w:r>
      <w:r w:rsidRPr="00284A41">
        <w:t>Cost Model. This dataset captures data from a sample of 848 providers.</w:t>
      </w:r>
      <w:r w:rsidR="00F55C6C" w:rsidRPr="00284A41">
        <w:t xml:space="preserve"> </w:t>
      </w:r>
      <w:r w:rsidRPr="00284A41">
        <w:t>The representativeness of the data is displayed i</w:t>
      </w:r>
      <w:r w:rsidR="008A5D91" w:rsidRPr="00284A41">
        <w:t xml:space="preserve">n </w:t>
      </w:r>
      <w:r w:rsidR="008A5D91" w:rsidRPr="00284A41">
        <w:fldChar w:fldCharType="begin"/>
      </w:r>
      <w:r w:rsidR="008A5D91" w:rsidRPr="00284A41">
        <w:instrText xml:space="preserve"> REF _Ref68003261 \h </w:instrText>
      </w:r>
      <w:r w:rsidR="00284A41">
        <w:instrText xml:space="preserve"> \* MERGEFORMAT </w:instrText>
      </w:r>
      <w:r w:rsidR="008A5D91" w:rsidRPr="00284A41">
        <w:fldChar w:fldCharType="separate"/>
      </w:r>
      <w:r w:rsidR="00E0689D" w:rsidRPr="00284A41">
        <w:t xml:space="preserve">Exhibit </w:t>
      </w:r>
      <w:r w:rsidR="00E0689D">
        <w:rPr>
          <w:noProof/>
        </w:rPr>
        <w:t>4</w:t>
      </w:r>
      <w:r w:rsidR="008A5D91" w:rsidRPr="00284A41">
        <w:fldChar w:fldCharType="end"/>
      </w:r>
      <w:r w:rsidR="001F07D7" w:rsidRPr="00284A41">
        <w:t xml:space="preserve">. </w:t>
      </w:r>
      <w:r w:rsidRPr="00284A41">
        <w:t xml:space="preserve">Overall, the dataset represents the sector well. </w:t>
      </w:r>
      <w:r w:rsidR="00AB6B58" w:rsidRPr="00284A41">
        <w:t>While t</w:t>
      </w:r>
      <w:r w:rsidRPr="00284A41">
        <w:t xml:space="preserve">he </w:t>
      </w:r>
      <w:r w:rsidR="00AB6B58" w:rsidRPr="00284A41">
        <w:t xml:space="preserve">survey </w:t>
      </w:r>
      <w:r w:rsidRPr="00284A41">
        <w:t>dataset slightly underrepresents providers that primarily offer SIL care (majority-SIL providers), the analysis confirms the characteristics of majority-SIL</w:t>
      </w:r>
      <w:r w:rsidR="00AC1039" w:rsidRPr="00284A41">
        <w:t xml:space="preserve"> providers captured in the Financial Benchmarking S</w:t>
      </w:r>
      <w:r w:rsidRPr="00284A41">
        <w:t>u</w:t>
      </w:r>
      <w:r w:rsidR="006D6D76" w:rsidRPr="00284A41">
        <w:t>rvey align with the population.</w:t>
      </w:r>
    </w:p>
    <w:p w14:paraId="4351128B" w14:textId="47B8207E" w:rsidR="0003160A" w:rsidRPr="00284A41" w:rsidRDefault="008A5D91" w:rsidP="00066859">
      <w:pPr>
        <w:pStyle w:val="Caption"/>
      </w:pPr>
      <w:bookmarkStart w:id="31" w:name="_Ref68003261"/>
      <w:bookmarkStart w:id="32" w:name="_Toc75881507"/>
      <w:r w:rsidRPr="00284A41">
        <w:t xml:space="preserve">Exhibit </w:t>
      </w:r>
      <w:r w:rsidR="00935584">
        <w:fldChar w:fldCharType="begin"/>
      </w:r>
      <w:r w:rsidR="00935584">
        <w:instrText xml:space="preserve"> SEQ Exhibit \* ARABIC </w:instrText>
      </w:r>
      <w:r w:rsidR="00935584">
        <w:fldChar w:fldCharType="separate"/>
      </w:r>
      <w:r w:rsidR="00E0689D">
        <w:rPr>
          <w:noProof/>
        </w:rPr>
        <w:t>4</w:t>
      </w:r>
      <w:r w:rsidR="00935584">
        <w:rPr>
          <w:noProof/>
        </w:rPr>
        <w:fldChar w:fldCharType="end"/>
      </w:r>
      <w:bookmarkEnd w:id="31"/>
      <w:r w:rsidRPr="00284A41">
        <w:t xml:space="preserve">: </w:t>
      </w:r>
      <w:r w:rsidR="0003160A" w:rsidRPr="00284A41">
        <w:t>Representativeness of the 2019-20 Financial Benchmarking Survey Data</w:t>
      </w:r>
      <w:bookmarkEnd w:id="32"/>
    </w:p>
    <w:p w14:paraId="184137F7" w14:textId="77777777" w:rsidR="0003160A" w:rsidRPr="00284A41" w:rsidRDefault="0003160A" w:rsidP="0003160A">
      <w:r w:rsidRPr="00284A41">
        <w:rPr>
          <w:noProof/>
          <w:lang w:eastAsia="en-AU"/>
        </w:rPr>
        <w:drawing>
          <wp:inline distT="0" distB="0" distL="0" distR="0" wp14:anchorId="36A4F642" wp14:editId="71881585">
            <wp:extent cx="5695950" cy="6391275"/>
            <wp:effectExtent l="0" t="0" r="0" b="9525"/>
            <wp:docPr id="22" name="Picture 22" descr="Displays four visual charts.&#10;a) Distribution of SIL revenue within TTP survey and NDIA database. This shows the up to the 60-70th SIL revenue point, the Survey captured more information as a pecentage of all services, afterwhich the NDIA data captured a greater proportion. &#10;b) Percntage of all services captured within the TTP Survey. This chart shows that the percentage of all services captured were at or above the average level for providers within the SIL revenue bucket of 0% to 60% buckets, the average SIL revenue for all providers of services offered was 32%.&#10;c) Median number of clients serviced by organisations providing SIL services. The NDIA Data and TTP Survey data were relatively similar, albeit more variable at number of clients where SIL revenue was less.&#10;d) Median revenue per service. Besides for 10% to 40% and 90-100% buckets, both data sources followed a similar pattern, peaking at 70-78% SIL Revenue." title="Exhibit 4: Representativeness of the 2019-20 Financial Benchmarking Surve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6391275"/>
                    </a:xfrm>
                    <a:prstGeom prst="rect">
                      <a:avLst/>
                    </a:prstGeom>
                    <a:noFill/>
                    <a:ln>
                      <a:noFill/>
                    </a:ln>
                  </pic:spPr>
                </pic:pic>
              </a:graphicData>
            </a:graphic>
          </wp:inline>
        </w:drawing>
      </w:r>
    </w:p>
    <w:p w14:paraId="190CAD90" w14:textId="77777777" w:rsidR="0003160A" w:rsidRPr="00284A41" w:rsidRDefault="00A60EEE" w:rsidP="00AC1039">
      <w:pPr>
        <w:pStyle w:val="Heading3"/>
      </w:pPr>
      <w:r w:rsidRPr="00284A41">
        <w:t>2.2</w:t>
      </w:r>
      <w:r w:rsidRPr="00284A41">
        <w:tab/>
      </w:r>
      <w:r w:rsidR="0003160A" w:rsidRPr="00284A41">
        <w:t>Differences between SIL and non-SIL providers in the survey</w:t>
      </w:r>
    </w:p>
    <w:p w14:paraId="166B34F2" w14:textId="55AA790C" w:rsidR="0003160A" w:rsidRPr="00284A41" w:rsidRDefault="00AB6B58" w:rsidP="00891311">
      <w:r w:rsidRPr="00284A41">
        <w:t xml:space="preserve">The </w:t>
      </w:r>
      <w:r w:rsidR="0003160A" w:rsidRPr="00284A41">
        <w:t>unique</w:t>
      </w:r>
      <w:r w:rsidRPr="00284A41">
        <w:t xml:space="preserve"> financial benchmarking survey</w:t>
      </w:r>
      <w:r w:rsidR="0003160A" w:rsidRPr="00284A41">
        <w:t xml:space="preserve"> dataset represents the best available evidence for undertaking the analysis.</w:t>
      </w:r>
      <w:r w:rsidR="0003160A" w:rsidRPr="00284A41">
        <w:rPr>
          <w:rStyle w:val="FootnoteReference"/>
        </w:rPr>
        <w:footnoteReference w:id="9"/>
      </w:r>
      <w:r w:rsidR="0003160A" w:rsidRPr="00284A41">
        <w:t xml:space="preserve"> </w:t>
      </w:r>
      <w:r w:rsidR="00D83CA7" w:rsidRPr="00284A41">
        <w:t>T</w:t>
      </w:r>
      <w:r w:rsidR="0003160A" w:rsidRPr="00284A41">
        <w:t xml:space="preserve">he key limitation of this dataset is that the </w:t>
      </w:r>
      <w:r w:rsidR="00323266" w:rsidRPr="00284A41">
        <w:t xml:space="preserve">benchmarking </w:t>
      </w:r>
      <w:r w:rsidR="0003160A" w:rsidRPr="00284A41">
        <w:t xml:space="preserve">survey did not seek to differentiate between costs for </w:t>
      </w:r>
      <w:r w:rsidR="00323266" w:rsidRPr="00284A41">
        <w:t xml:space="preserve">community </w:t>
      </w:r>
      <w:r w:rsidR="00FB16CB" w:rsidRPr="00284A41">
        <w:t>activities of daily living</w:t>
      </w:r>
      <w:r w:rsidR="0003160A" w:rsidRPr="00284A41">
        <w:t xml:space="preserve"> services and SIL services. As most providers supply a mix of services including </w:t>
      </w:r>
      <w:r w:rsidR="00323266" w:rsidRPr="00284A41">
        <w:t xml:space="preserve">community </w:t>
      </w:r>
      <w:r w:rsidR="00FB16CB" w:rsidRPr="00284A41">
        <w:t>activities of daily living</w:t>
      </w:r>
      <w:r w:rsidR="0003160A" w:rsidRPr="00284A41">
        <w:t>, SIL, and other services such as capacity building, the analysis has divided providers into two categories and four sub-categories as presented in</w:t>
      </w:r>
      <w:r w:rsidR="008A5D91" w:rsidRPr="00284A41">
        <w:t xml:space="preserve"> </w:t>
      </w:r>
      <w:r w:rsidR="008A5D91" w:rsidRPr="00284A41">
        <w:fldChar w:fldCharType="begin"/>
      </w:r>
      <w:r w:rsidR="008A5D91" w:rsidRPr="00284A41">
        <w:instrText xml:space="preserve"> REF _Ref68003262 \h </w:instrText>
      </w:r>
      <w:r w:rsidR="00284A41">
        <w:instrText xml:space="preserve"> \* MERGEFORMAT </w:instrText>
      </w:r>
      <w:r w:rsidR="008A5D91" w:rsidRPr="00284A41">
        <w:fldChar w:fldCharType="separate"/>
      </w:r>
      <w:r w:rsidR="00E0689D" w:rsidRPr="00284A41">
        <w:t xml:space="preserve">Exhibit </w:t>
      </w:r>
      <w:r w:rsidR="00E0689D">
        <w:rPr>
          <w:noProof/>
        </w:rPr>
        <w:t>5</w:t>
      </w:r>
      <w:r w:rsidR="008A5D91" w:rsidRPr="00284A41">
        <w:fldChar w:fldCharType="end"/>
      </w:r>
      <w:r w:rsidR="00AC1039" w:rsidRPr="00284A41">
        <w:t>.</w:t>
      </w:r>
    </w:p>
    <w:p w14:paraId="29DAF445" w14:textId="64859282" w:rsidR="00CF0F74" w:rsidRPr="00284A41" w:rsidRDefault="008A5D91" w:rsidP="00066859">
      <w:pPr>
        <w:pStyle w:val="Caption"/>
      </w:pPr>
      <w:bookmarkStart w:id="33" w:name="_Ref68003262"/>
      <w:bookmarkStart w:id="34" w:name="_Toc75881508"/>
      <w:r w:rsidRPr="00284A41">
        <w:t xml:space="preserve">Exhibit </w:t>
      </w:r>
      <w:r w:rsidR="00935584">
        <w:fldChar w:fldCharType="begin"/>
      </w:r>
      <w:r w:rsidR="00935584">
        <w:instrText xml:space="preserve"> SEQ Exhibit \* ARABIC </w:instrText>
      </w:r>
      <w:r w:rsidR="00935584">
        <w:fldChar w:fldCharType="separate"/>
      </w:r>
      <w:r w:rsidR="00E0689D">
        <w:rPr>
          <w:noProof/>
        </w:rPr>
        <w:t>5</w:t>
      </w:r>
      <w:r w:rsidR="00935584">
        <w:rPr>
          <w:noProof/>
        </w:rPr>
        <w:fldChar w:fldCharType="end"/>
      </w:r>
      <w:bookmarkEnd w:id="33"/>
      <w:r w:rsidRPr="00284A41">
        <w:t xml:space="preserve">: </w:t>
      </w:r>
      <w:bookmarkStart w:id="35" w:name="_Ref66883376"/>
      <w:r w:rsidR="00CF0F74" w:rsidRPr="00284A41">
        <w:t>Breakdown of provider categories used in this analysis</w:t>
      </w:r>
      <w:bookmarkEnd w:id="35"/>
      <w:bookmarkEnd w:id="34"/>
    </w:p>
    <w:p w14:paraId="4FD9B210" w14:textId="77777777" w:rsidR="0003160A" w:rsidRPr="00284A41" w:rsidRDefault="0003160A" w:rsidP="0003160A">
      <w:r w:rsidRPr="00284A41">
        <w:rPr>
          <w:noProof/>
          <w:lang w:eastAsia="en-AU"/>
        </w:rPr>
        <w:drawing>
          <wp:inline distT="0" distB="0" distL="0" distR="0" wp14:anchorId="0CAE7D77" wp14:editId="1D0FF24F">
            <wp:extent cx="5267325" cy="3149939"/>
            <wp:effectExtent l="0" t="0" r="0" b="0"/>
            <wp:docPr id="24" name="Picture 24" descr="A figure to display the breakdown of providers in the dataset. There was 627 non-SIL providers, 221 SIL Providers, broken up further to:&#10;81 providers with SIL revenue between 0-25%.&#10;47 providers with SIL revenue between 26-50%.&#10;64 providers with SIL revenue between 51-75%.&#10;29 providers with SIL revenue between 76-100%.&#10;" title="Exhibit 5: Breakdown of provider categories used in this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2356" cy="3158928"/>
                    </a:xfrm>
                    <a:prstGeom prst="rect">
                      <a:avLst/>
                    </a:prstGeom>
                    <a:noFill/>
                    <a:ln>
                      <a:noFill/>
                    </a:ln>
                  </pic:spPr>
                </pic:pic>
              </a:graphicData>
            </a:graphic>
          </wp:inline>
        </w:drawing>
      </w:r>
    </w:p>
    <w:p w14:paraId="6D90F616" w14:textId="77777777" w:rsidR="0003160A" w:rsidRPr="00284A41" w:rsidRDefault="0003160A" w:rsidP="0003160A">
      <w:r w:rsidRPr="00284A41">
        <w:t>A three-step process was followed for identifying differential costs between SIL and non-SIL services:</w:t>
      </w:r>
    </w:p>
    <w:p w14:paraId="6D3DA7DF" w14:textId="77777777" w:rsidR="0003160A" w:rsidRPr="005E5772" w:rsidRDefault="0003160A" w:rsidP="0042216D">
      <w:pPr>
        <w:pStyle w:val="DotPoint"/>
      </w:pPr>
      <w:r w:rsidRPr="005E5772">
        <w:t xml:space="preserve">Analysis was undertaken to identify a relationship between the provision of SIL services and the cost parameters. </w:t>
      </w:r>
    </w:p>
    <w:p w14:paraId="715DF5D8" w14:textId="77777777" w:rsidR="0003160A" w:rsidRPr="005E5772" w:rsidRDefault="0003160A" w:rsidP="0042216D">
      <w:pPr>
        <w:pStyle w:val="DotPoint"/>
      </w:pPr>
      <w:r w:rsidRPr="005E5772">
        <w:t xml:space="preserve">Analysis was undertaken to identify the cost for provision of SIL services: </w:t>
      </w:r>
    </w:p>
    <w:p w14:paraId="3CAD4599" w14:textId="77777777" w:rsidR="0003160A" w:rsidRPr="005E5772" w:rsidRDefault="0003160A" w:rsidP="0042216D">
      <w:pPr>
        <w:pStyle w:val="DotPoint"/>
      </w:pPr>
      <w:r w:rsidRPr="005E5772">
        <w:t>The efficient provider principle: Parameters within the Cost Model are set equivalent to what is determined to be the ‘efficient provider’. For most parameters, this is the parameter level at the 25</w:t>
      </w:r>
      <w:r w:rsidRPr="005E5772">
        <w:rPr>
          <w:vertAlign w:val="superscript"/>
        </w:rPr>
        <w:t>th</w:t>
      </w:r>
      <w:r w:rsidRPr="005E5772">
        <w:t xml:space="preserve"> (or 75</w:t>
      </w:r>
      <w:r w:rsidRPr="005E5772">
        <w:rPr>
          <w:vertAlign w:val="superscript"/>
        </w:rPr>
        <w:t>th</w:t>
      </w:r>
      <w:r w:rsidRPr="005E5772">
        <w:t>) percentile of the distribution of the parameter.</w:t>
      </w:r>
    </w:p>
    <w:p w14:paraId="5E53C83C" w14:textId="77777777" w:rsidR="0003160A" w:rsidRPr="00284A41" w:rsidRDefault="0003160A" w:rsidP="00891311">
      <w:pPr>
        <w:rPr>
          <w:rFonts w:ascii="Arial" w:eastAsia="Arial" w:hAnsi="Arial" w:cs="Times New Roman"/>
        </w:rPr>
      </w:pPr>
      <w:r w:rsidRPr="00284A41">
        <w:t>D</w:t>
      </w:r>
      <w:r w:rsidRPr="00284A41">
        <w:rPr>
          <w:rFonts w:ascii="Arial" w:eastAsia="Arial" w:hAnsi="Arial" w:cs="Times New Roman"/>
        </w:rPr>
        <w:t xml:space="preserve">ata collected from </w:t>
      </w:r>
      <w:r w:rsidRPr="00284A41">
        <w:t>non</w:t>
      </w:r>
      <w:r w:rsidRPr="00284A41">
        <w:rPr>
          <w:rFonts w:ascii="Arial" w:eastAsia="Arial" w:hAnsi="Arial" w:cs="Times New Roman"/>
        </w:rPr>
        <w:t xml:space="preserve">-SIL providers were considered to be a reasonable proxy for the costs associated with the provision of </w:t>
      </w:r>
      <w:r w:rsidR="00323266" w:rsidRPr="00284A41">
        <w:rPr>
          <w:rFonts w:ascii="Arial" w:eastAsia="Arial" w:hAnsi="Arial" w:cs="Times New Roman"/>
        </w:rPr>
        <w:t xml:space="preserve">community </w:t>
      </w:r>
      <w:r w:rsidR="00FB16CB" w:rsidRPr="00284A41">
        <w:rPr>
          <w:rFonts w:ascii="Arial" w:eastAsia="Arial" w:hAnsi="Arial" w:cs="Times New Roman"/>
        </w:rPr>
        <w:t>activities of daily living</w:t>
      </w:r>
      <w:r w:rsidRPr="00284A41">
        <w:rPr>
          <w:rFonts w:ascii="Arial" w:eastAsia="Arial" w:hAnsi="Arial" w:cs="Times New Roman"/>
        </w:rPr>
        <w:t xml:space="preserve"> services. For SIL-related costs, there were a low number of providers in the </w:t>
      </w:r>
      <w:r w:rsidR="00D83CA7" w:rsidRPr="00284A41">
        <w:rPr>
          <w:rFonts w:ascii="Arial" w:eastAsia="Arial" w:hAnsi="Arial" w:cs="Times New Roman"/>
        </w:rPr>
        <w:t>financial benchmarking</w:t>
      </w:r>
      <w:r w:rsidRPr="00284A41">
        <w:rPr>
          <w:rFonts w:ascii="Arial" w:eastAsia="Arial" w:hAnsi="Arial" w:cs="Times New Roman"/>
        </w:rPr>
        <w:t xml:space="preserve"> survey that obtained 100% of their revenue from SIL. </w:t>
      </w:r>
    </w:p>
    <w:p w14:paraId="4F3594D7" w14:textId="77777777" w:rsidR="0003160A" w:rsidRPr="00284A41" w:rsidRDefault="00A60EEE" w:rsidP="00AC1039">
      <w:pPr>
        <w:pStyle w:val="Heading3"/>
      </w:pPr>
      <w:r w:rsidRPr="00284A41">
        <w:t>2.3</w:t>
      </w:r>
      <w:r w:rsidRPr="00284A41">
        <w:tab/>
      </w:r>
      <w:r w:rsidR="0003160A" w:rsidRPr="00284A41">
        <w:t xml:space="preserve">Statistical analysis of 2019-20 Financial Benchmarking Survey </w:t>
      </w:r>
    </w:p>
    <w:p w14:paraId="559BDD49" w14:textId="77777777" w:rsidR="0003160A" w:rsidRPr="00284A41" w:rsidRDefault="0003160A" w:rsidP="0003160A">
      <w:r w:rsidRPr="00284A41">
        <w:t>The analysis used the following statistical techniques to identify relationships between the variables:</w:t>
      </w:r>
    </w:p>
    <w:p w14:paraId="578529E9" w14:textId="603CA7BD" w:rsidR="0003160A" w:rsidRPr="005E5772" w:rsidRDefault="0003160A" w:rsidP="0042216D">
      <w:pPr>
        <w:pStyle w:val="DotPoint"/>
      </w:pPr>
      <w:r w:rsidRPr="005E5772">
        <w:t>Confidence intervals for percentiles were estimated throughout the analysis to understand the range within which the population value of the percentile is like</w:t>
      </w:r>
      <w:r w:rsidR="003B6B59">
        <w:t>ly to fall. C</w:t>
      </w:r>
      <w:r w:rsidRPr="005E5772">
        <w:t xml:space="preserve">onfidence intervals allow for a comparison across groups within a sample of the statistical equivalence of the value of a percentile in the broader population. </w:t>
      </w:r>
    </w:p>
    <w:p w14:paraId="2AA5BB2B" w14:textId="1F3ED7DC" w:rsidR="0003160A" w:rsidRPr="005E5772" w:rsidRDefault="003B6B59" w:rsidP="0042216D">
      <w:pPr>
        <w:pStyle w:val="DotPoint"/>
      </w:pPr>
      <w:r w:rsidRPr="005E5772">
        <w:t>Linear regression analysis is used throughout the report to understand relationships between explanatory variables and the mean of a cost-parameter.</w:t>
      </w:r>
      <w:r>
        <w:rPr>
          <w:rStyle w:val="FootnoteReference"/>
        </w:rPr>
        <w:footnoteReference w:id="10"/>
      </w:r>
    </w:p>
    <w:p w14:paraId="428B1C04" w14:textId="5D88DBF1" w:rsidR="0064288A" w:rsidRPr="00284A41" w:rsidRDefault="003B6B59" w:rsidP="003B6B59">
      <w:pPr>
        <w:pStyle w:val="DotPoint"/>
        <w:sectPr w:rsidR="0064288A" w:rsidRPr="00284A41" w:rsidSect="0064288A">
          <w:headerReference w:type="default" r:id="rId20"/>
          <w:type w:val="nextColumn"/>
          <w:pgSz w:w="11906" w:h="16838"/>
          <w:pgMar w:top="1440" w:right="1440" w:bottom="1440" w:left="1440" w:header="709" w:footer="709" w:gutter="0"/>
          <w:cols w:space="720"/>
          <w:titlePg/>
        </w:sectPr>
      </w:pPr>
      <w:r w:rsidRPr="005E5772">
        <w:t>Quantile regression analysis is used throughout this report to understand relationships between explanatory variables and the percentile representing the ‘efficient cost parameter’.</w:t>
      </w:r>
      <w:r>
        <w:t xml:space="preserve"> </w:t>
      </w:r>
      <w:r>
        <w:rPr>
          <w:rStyle w:val="FootnoteReference"/>
        </w:rPr>
        <w:footnoteReference w:id="11"/>
      </w:r>
    </w:p>
    <w:p w14:paraId="6DBE9AB8" w14:textId="77777777" w:rsidR="007C7407" w:rsidRPr="00284A41" w:rsidRDefault="00E20BEC" w:rsidP="00E4185C">
      <w:pPr>
        <w:pStyle w:val="Heading1"/>
      </w:pPr>
      <w:bookmarkStart w:id="36" w:name="_Toc75881966"/>
      <w:r w:rsidRPr="00284A41">
        <w:t>Findings</w:t>
      </w:r>
      <w:bookmarkEnd w:id="36"/>
    </w:p>
    <w:p w14:paraId="1BF919F9" w14:textId="77777777" w:rsidR="00652020" w:rsidRPr="00284A41" w:rsidRDefault="00652020" w:rsidP="00652020">
      <w:r w:rsidRPr="00284A41">
        <w:t>The purpose of the Review was to suggest improvements to the structure of the NDIS Disability Support Worker Cost Model to estimate the fully loaded cost of delivering an hour of SIL supports in a shared living arrangement. The Review sought to:</w:t>
      </w:r>
    </w:p>
    <w:p w14:paraId="3E662213" w14:textId="77777777" w:rsidR="00652020" w:rsidRPr="005E5772" w:rsidRDefault="00652020" w:rsidP="0042216D">
      <w:pPr>
        <w:pStyle w:val="DotPoint"/>
      </w:pPr>
      <w:r w:rsidRPr="005E5772">
        <w:t xml:space="preserve">Identify whether there were different costs that arise in the delivery of activities of daily living supports in a shared living arrangement that do not arise in other settings; and </w:t>
      </w:r>
    </w:p>
    <w:p w14:paraId="6F360AB7" w14:textId="70312E61" w:rsidR="00652020" w:rsidRPr="005E5772" w:rsidRDefault="0042216D" w:rsidP="0042216D">
      <w:pPr>
        <w:pStyle w:val="DotPoint"/>
      </w:pPr>
      <w:r>
        <w:t>Q</w:t>
      </w:r>
      <w:r w:rsidR="00652020" w:rsidRPr="005E5772">
        <w:t>uantify any differences that may be required in the key parameters of the NDIS Disability Support Worker Cost Model, given the different cost structures of delivering supports in shared living arrangements compared to other settings</w:t>
      </w:r>
      <w:r w:rsidR="00652020" w:rsidRPr="005E5772" w:rsidDel="00481620">
        <w:t>.</w:t>
      </w:r>
      <w:r w:rsidR="00652020" w:rsidRPr="005E5772">
        <w:t xml:space="preserve"> </w:t>
      </w:r>
    </w:p>
    <w:p w14:paraId="07460A31" w14:textId="77777777" w:rsidR="00652020" w:rsidRPr="00284A41" w:rsidRDefault="00652020" w:rsidP="00652020">
      <w:r w:rsidRPr="00284A41">
        <w:t>This chapter assesses the available qualitative and quantitative evidence on various costs directly included in the cost model.</w:t>
      </w:r>
    </w:p>
    <w:p w14:paraId="4547C281" w14:textId="77777777" w:rsidR="00D15F2B" w:rsidRPr="00284A41" w:rsidRDefault="00845B8D" w:rsidP="00E4185C">
      <w:pPr>
        <w:pStyle w:val="Heading2"/>
      </w:pPr>
      <w:bookmarkStart w:id="37" w:name="_Ref66719974"/>
      <w:bookmarkStart w:id="38" w:name="_Ref66719984"/>
      <w:bookmarkStart w:id="39" w:name="_Toc75881967"/>
      <w:r w:rsidRPr="00284A41">
        <w:t>W</w:t>
      </w:r>
      <w:r w:rsidR="00DE5528" w:rsidRPr="00284A41">
        <w:t>ages and on-costs</w:t>
      </w:r>
      <w:bookmarkEnd w:id="37"/>
      <w:bookmarkEnd w:id="38"/>
      <w:bookmarkEnd w:id="39"/>
    </w:p>
    <w:p w14:paraId="6CFDB391" w14:textId="77777777" w:rsidR="00552476" w:rsidRPr="00284A41" w:rsidRDefault="00D70C69" w:rsidP="00D15F2B">
      <w:r w:rsidRPr="00284A41">
        <w:t xml:space="preserve">The NDIS Disability Support Worker Cost Model recognises that </w:t>
      </w:r>
      <w:r w:rsidR="00DE5528" w:rsidRPr="00284A41">
        <w:t>wages and on-costs</w:t>
      </w:r>
      <w:r w:rsidRPr="00284A41">
        <w:t xml:space="preserve"> </w:t>
      </w:r>
      <w:r w:rsidR="005314EB" w:rsidRPr="00284A41">
        <w:t xml:space="preserve">are the largest cost driver for providing disability support services. </w:t>
      </w:r>
      <w:r w:rsidR="00845B8D" w:rsidRPr="00284A41">
        <w:t>This section considers w</w:t>
      </w:r>
      <w:r w:rsidR="00552476" w:rsidRPr="00284A41">
        <w:t>hether</w:t>
      </w:r>
      <w:r w:rsidR="00A0008A" w:rsidRPr="00284A41">
        <w:t xml:space="preserve"> there </w:t>
      </w:r>
      <w:r w:rsidR="00845B8D" w:rsidRPr="00284A41">
        <w:t>are</w:t>
      </w:r>
      <w:r w:rsidR="00A0008A" w:rsidRPr="00284A41">
        <w:t xml:space="preserve"> material differences between the </w:t>
      </w:r>
      <w:r w:rsidR="00552476" w:rsidRPr="00284A41">
        <w:t xml:space="preserve">base hourly </w:t>
      </w:r>
      <w:r w:rsidR="00DE5528" w:rsidRPr="00284A41">
        <w:t>wages</w:t>
      </w:r>
      <w:r w:rsidR="00A0008A" w:rsidRPr="00284A41">
        <w:t xml:space="preserve"> paid to</w:t>
      </w:r>
      <w:r w:rsidR="00552476" w:rsidRPr="00284A41">
        <w:t>, and the on-costs associated with,</w:t>
      </w:r>
      <w:r w:rsidR="00A0008A" w:rsidRPr="00284A41">
        <w:t xml:space="preserve"> </w:t>
      </w:r>
      <w:r w:rsidR="00D15F2B" w:rsidRPr="00284A41">
        <w:t xml:space="preserve">SIL workers </w:t>
      </w:r>
      <w:r w:rsidR="00A0008A" w:rsidRPr="00284A41">
        <w:t>and non-SIL</w:t>
      </w:r>
      <w:r w:rsidR="00D15F2B" w:rsidRPr="00284A41">
        <w:t xml:space="preserve"> workers</w:t>
      </w:r>
      <w:r w:rsidR="00BE27DA" w:rsidRPr="00284A41">
        <w:t>.</w:t>
      </w:r>
      <w:r w:rsidR="00BE27DA" w:rsidRPr="00284A41">
        <w:rPr>
          <w:rStyle w:val="FootnoteReference"/>
        </w:rPr>
        <w:footnoteReference w:id="12"/>
      </w:r>
    </w:p>
    <w:p w14:paraId="5BDEA04F" w14:textId="77777777" w:rsidR="00BE27DA" w:rsidRPr="00284A41" w:rsidRDefault="00845B8D" w:rsidP="00D15F2B">
      <w:r w:rsidRPr="00284A41">
        <w:t>The key questions</w:t>
      </w:r>
      <w:r w:rsidR="00E33DFB" w:rsidRPr="00284A41">
        <w:t xml:space="preserve"> for the Review</w:t>
      </w:r>
      <w:r w:rsidRPr="00284A41">
        <w:t>, as outlined in the Issues Paper, are:</w:t>
      </w:r>
    </w:p>
    <w:p w14:paraId="06B8E06D" w14:textId="75D33EE2" w:rsidR="00DE5528" w:rsidRPr="005E5772" w:rsidRDefault="00D15F2B" w:rsidP="0042216D">
      <w:pPr>
        <w:pStyle w:val="DotPoint"/>
      </w:pPr>
      <w:r w:rsidRPr="005E5772">
        <w:t xml:space="preserve">Is there a material difference in the </w:t>
      </w:r>
      <w:r w:rsidR="005314EB" w:rsidRPr="005E5772">
        <w:t>base hourly wages</w:t>
      </w:r>
      <w:r w:rsidRPr="005E5772">
        <w:t xml:space="preserve"> paid to workers delivering SIL services compared to workers delivering </w:t>
      </w:r>
      <w:r w:rsidR="00DE5528" w:rsidRPr="005E5772">
        <w:t>non-SIL</w:t>
      </w:r>
      <w:r w:rsidRPr="005E5772">
        <w:t xml:space="preserve"> services</w:t>
      </w:r>
      <w:r w:rsidR="00552476" w:rsidRPr="005E5772">
        <w:t>?</w:t>
      </w:r>
      <w:r w:rsidR="00BE27DA" w:rsidRPr="005E5772">
        <w:t xml:space="preserve"> </w:t>
      </w:r>
      <w:r w:rsidR="00BD6C39">
        <w:t>Is this difference because of</w:t>
      </w:r>
      <w:r w:rsidR="001D2733" w:rsidRPr="005E5772">
        <w:t xml:space="preserve"> different levels of required training, the nature of the work, or some other reason?</w:t>
      </w:r>
      <w:r w:rsidR="001B65A2" w:rsidRPr="005E5772">
        <w:t xml:space="preserve"> </w:t>
      </w:r>
      <w:r w:rsidR="00BD6C39">
        <w:t>How large is this</w:t>
      </w:r>
      <w:r w:rsidR="00D70C69" w:rsidRPr="005E5772">
        <w:t xml:space="preserve"> difference</w:t>
      </w:r>
      <w:r w:rsidR="00DE5528" w:rsidRPr="005E5772">
        <w:t>?</w:t>
      </w:r>
    </w:p>
    <w:p w14:paraId="7D867462" w14:textId="77777777" w:rsidR="00D70C69" w:rsidRPr="005E5772" w:rsidRDefault="00AF150D" w:rsidP="0042216D">
      <w:pPr>
        <w:pStyle w:val="DotPoint"/>
      </w:pPr>
      <w:r w:rsidRPr="005E5772">
        <w:t xml:space="preserve">Are salary on-costs different for workers delivering SIL services compared to workers delivering </w:t>
      </w:r>
      <w:r w:rsidR="00DE5528" w:rsidRPr="005E5772">
        <w:t>non-SIL</w:t>
      </w:r>
      <w:r w:rsidRPr="005E5772">
        <w:t xml:space="preserve"> services?</w:t>
      </w:r>
      <w:r w:rsidR="001D2733" w:rsidRPr="005E5772">
        <w:t xml:space="preserve"> </w:t>
      </w:r>
      <w:r w:rsidR="00D70C69" w:rsidRPr="005E5772">
        <w:t>What</w:t>
      </w:r>
      <w:r w:rsidR="001D2733" w:rsidRPr="005E5772">
        <w:t xml:space="preserve"> aspects of each service type necessitate this difference?</w:t>
      </w:r>
      <w:r w:rsidR="001B65A2" w:rsidRPr="005E5772">
        <w:t xml:space="preserve"> </w:t>
      </w:r>
      <w:r w:rsidR="00D70C69" w:rsidRPr="005E5772">
        <w:t>How large is this difference?</w:t>
      </w:r>
    </w:p>
    <w:p w14:paraId="2A2BDC0C" w14:textId="77777777" w:rsidR="00D70C69" w:rsidRPr="005E5772" w:rsidRDefault="00845B8D" w:rsidP="0042216D">
      <w:pPr>
        <w:pStyle w:val="DotPoint"/>
      </w:pPr>
      <w:r w:rsidRPr="005E5772">
        <w:t>Are there</w:t>
      </w:r>
      <w:r w:rsidR="004F3D0D" w:rsidRPr="005E5772">
        <w:t xml:space="preserve"> differences in overtime costs between staff delivering SIL services compared to </w:t>
      </w:r>
      <w:r w:rsidR="00DE5528" w:rsidRPr="005E5772">
        <w:t>non-SIL</w:t>
      </w:r>
      <w:r w:rsidR="004F3D0D" w:rsidRPr="005E5772">
        <w:t xml:space="preserve"> services?</w:t>
      </w:r>
      <w:r w:rsidR="00BE27DA" w:rsidRPr="005E5772">
        <w:t xml:space="preserve"> </w:t>
      </w:r>
      <w:r w:rsidR="00D70C69" w:rsidRPr="005E5772">
        <w:t>What</w:t>
      </w:r>
      <w:r w:rsidR="00DE5528" w:rsidRPr="005E5772">
        <w:t xml:space="preserve"> aspects of each service type necessitate this difference?</w:t>
      </w:r>
      <w:r w:rsidR="001B65A2" w:rsidRPr="005E5772">
        <w:t xml:space="preserve"> </w:t>
      </w:r>
      <w:r w:rsidR="00D70C69" w:rsidRPr="005E5772">
        <w:t>How large is this difference?</w:t>
      </w:r>
    </w:p>
    <w:p w14:paraId="6FA5895B" w14:textId="77777777" w:rsidR="00D70C69" w:rsidRPr="005E5772" w:rsidRDefault="00552476" w:rsidP="0042216D">
      <w:pPr>
        <w:pStyle w:val="DotPoint"/>
      </w:pPr>
      <w:r w:rsidRPr="005E5772">
        <w:t xml:space="preserve">Are leave costs different for workers delivering SIL services compared to workers delivering non-SIL services? </w:t>
      </w:r>
      <w:r w:rsidR="00D70C69" w:rsidRPr="005E5772">
        <w:t>What</w:t>
      </w:r>
      <w:r w:rsidRPr="005E5772">
        <w:t xml:space="preserve"> aspects of each service type necessitate this difference?</w:t>
      </w:r>
      <w:r w:rsidR="001B65A2" w:rsidRPr="005E5772">
        <w:t xml:space="preserve"> </w:t>
      </w:r>
      <w:r w:rsidR="00D70C69" w:rsidRPr="005E5772">
        <w:t>How large is this difference?</w:t>
      </w:r>
    </w:p>
    <w:p w14:paraId="3C934F76" w14:textId="1404830E" w:rsidR="00D70C69" w:rsidRPr="005E5772" w:rsidRDefault="00845B8D" w:rsidP="0042216D">
      <w:pPr>
        <w:pStyle w:val="DotPoint"/>
      </w:pPr>
      <w:r w:rsidRPr="005E5772">
        <w:t>Do organisations operate under an</w:t>
      </w:r>
      <w:r w:rsidR="00DE5528" w:rsidRPr="005E5772">
        <w:t xml:space="preserve"> </w:t>
      </w:r>
      <w:r w:rsidR="00BE27DA" w:rsidRPr="005E5772">
        <w:t>Enterprise Bargaining Agreement (EBA)</w:t>
      </w:r>
      <w:r w:rsidR="00DE5528" w:rsidRPr="005E5772">
        <w:t xml:space="preserve"> </w:t>
      </w:r>
      <w:r w:rsidRPr="005E5772">
        <w:t>or under an Award?</w:t>
      </w:r>
      <w:r w:rsidR="00BE27DA" w:rsidRPr="005E5772">
        <w:t xml:space="preserve"> </w:t>
      </w:r>
      <w:r w:rsidR="00D70C69" w:rsidRPr="005E5772">
        <w:t>Do</w:t>
      </w:r>
      <w:r w:rsidR="00DE5528" w:rsidRPr="005E5772">
        <w:t xml:space="preserve"> the EBA conditions differ for workers delivering SIL </w:t>
      </w:r>
      <w:r w:rsidR="00BD6C39">
        <w:t>and non-SIL services</w:t>
      </w:r>
      <w:r w:rsidR="00DE5528" w:rsidRPr="005E5772">
        <w:t xml:space="preserve">? </w:t>
      </w:r>
      <w:r w:rsidR="00D70C69" w:rsidRPr="005E5772">
        <w:t>W</w:t>
      </w:r>
      <w:r w:rsidR="00DE5528" w:rsidRPr="005E5772">
        <w:t>hich conditions are different, and why?</w:t>
      </w:r>
      <w:r w:rsidR="001B65A2" w:rsidRPr="005E5772">
        <w:t xml:space="preserve"> </w:t>
      </w:r>
      <w:r w:rsidR="00D70C69" w:rsidRPr="005E5772">
        <w:t>How large is this difference?</w:t>
      </w:r>
    </w:p>
    <w:p w14:paraId="7A5C2ED1" w14:textId="77777777" w:rsidR="00DE1732" w:rsidRPr="00284A41" w:rsidRDefault="00DE1732" w:rsidP="00C24F50">
      <w:pPr>
        <w:pStyle w:val="Heading3"/>
      </w:pPr>
      <w:r w:rsidRPr="00284A41">
        <w:t>Base hourly wages</w:t>
      </w:r>
    </w:p>
    <w:p w14:paraId="3D7CF6AC" w14:textId="77777777" w:rsidR="008A27A8" w:rsidRPr="00284A41" w:rsidRDefault="001758FE" w:rsidP="008A27A8">
      <w:r w:rsidRPr="00284A41">
        <w:t xml:space="preserve">A number of submissions to the Review </w:t>
      </w:r>
      <w:r w:rsidR="003D7CC8" w:rsidRPr="00284A41">
        <w:t>argued</w:t>
      </w:r>
      <w:r w:rsidRPr="00284A41">
        <w:t xml:space="preserve"> that </w:t>
      </w:r>
      <w:r w:rsidR="009745FC" w:rsidRPr="00284A41">
        <w:t xml:space="preserve">staff in SIL were, in general, paid </w:t>
      </w:r>
      <w:r w:rsidR="00503277" w:rsidRPr="00284A41">
        <w:t>a higher wage than staff delivering other activities of daily living</w:t>
      </w:r>
      <w:r w:rsidR="003D7CC8" w:rsidRPr="00284A41">
        <w:t xml:space="preserve"> supports </w:t>
      </w:r>
      <w:r w:rsidR="009745FC" w:rsidRPr="00284A41">
        <w:t xml:space="preserve">because </w:t>
      </w:r>
      <w:r w:rsidR="00503277" w:rsidRPr="00284A41">
        <w:t>participants in SIL tended to have a higher level of complexity than other participants receiving supports with daily activities and therefore more highly qualified staff were needed to deliver support</w:t>
      </w:r>
      <w:r w:rsidR="008A27A8" w:rsidRPr="00284A41">
        <w:t xml:space="preserve">. </w:t>
      </w:r>
      <w:r w:rsidR="003D7CC8" w:rsidRPr="00284A41">
        <w:t>Some p</w:t>
      </w:r>
      <w:r w:rsidR="009745FC" w:rsidRPr="00284A41">
        <w:t xml:space="preserve">roviders </w:t>
      </w:r>
      <w:r w:rsidR="003D7CC8" w:rsidRPr="00284A41">
        <w:t>commented</w:t>
      </w:r>
      <w:r w:rsidR="009745FC" w:rsidRPr="00284A41">
        <w:t xml:space="preserve"> that </w:t>
      </w:r>
      <w:r w:rsidR="003D7CC8" w:rsidRPr="00284A41">
        <w:t>they</w:t>
      </w:r>
      <w:r w:rsidR="008A27A8" w:rsidRPr="00284A41">
        <w:t xml:space="preserve"> were more comfortable with experienced </w:t>
      </w:r>
      <w:r w:rsidR="00503277" w:rsidRPr="00284A41">
        <w:t>workers</w:t>
      </w:r>
      <w:r w:rsidR="008A27A8" w:rsidRPr="00284A41">
        <w:t xml:space="preserve"> who were more likely to be able to deliver these services seamlessly</w:t>
      </w:r>
      <w:r w:rsidR="003C0345" w:rsidRPr="00284A41">
        <w:t>.</w:t>
      </w:r>
      <w:r w:rsidR="00503277" w:rsidRPr="00284A41">
        <w:t xml:space="preserve"> The view that workers in SIL tended to be more qualified and higher paid than other workers delivering supports with activities of daily living was not, however, supported by all submissions.</w:t>
      </w:r>
      <w:r w:rsidR="00FB16CB" w:rsidRPr="00284A41">
        <w:t xml:space="preserve"> </w:t>
      </w:r>
    </w:p>
    <w:p w14:paraId="438EAB00" w14:textId="066C7A87" w:rsidR="002105BC" w:rsidRPr="00284A41" w:rsidRDefault="003D7CC8" w:rsidP="009745FC">
      <w:r w:rsidRPr="00284A41">
        <w:t>However, a</w:t>
      </w:r>
      <w:r w:rsidR="00503277" w:rsidRPr="00284A41">
        <w:t>nalysis of</w:t>
      </w:r>
      <w:r w:rsidR="009745FC" w:rsidRPr="00284A41">
        <w:t xml:space="preserve"> the Financial Benchmarking Survey data</w:t>
      </w:r>
      <w:r w:rsidR="00503277" w:rsidRPr="00284A41">
        <w:t xml:space="preserve"> does not support the contention that base salaries are higher in SIL settings</w:t>
      </w:r>
      <w:r w:rsidR="002105BC" w:rsidRPr="00284A41">
        <w:t xml:space="preserve"> (see</w:t>
      </w:r>
      <w:r w:rsidR="00A536D8" w:rsidRPr="00284A41">
        <w:t xml:space="preserve"> </w:t>
      </w:r>
      <w:r w:rsidR="00A536D8" w:rsidRPr="00284A41">
        <w:fldChar w:fldCharType="begin"/>
      </w:r>
      <w:r w:rsidR="00A536D8" w:rsidRPr="00284A41">
        <w:instrText xml:space="preserve"> REF _Ref68011039 \h </w:instrText>
      </w:r>
      <w:r w:rsidR="006842C8" w:rsidRPr="00284A41">
        <w:instrText xml:space="preserve"> \* MERGEFORMAT </w:instrText>
      </w:r>
      <w:r w:rsidR="00A536D8" w:rsidRPr="00284A41">
        <w:fldChar w:fldCharType="separate"/>
      </w:r>
      <w:r w:rsidR="00E0689D" w:rsidRPr="00EC5814">
        <w:t xml:space="preserve">Exhibit </w:t>
      </w:r>
      <w:r w:rsidR="00E0689D">
        <w:t>6</w:t>
      </w:r>
      <w:r w:rsidR="00A536D8" w:rsidRPr="00284A41">
        <w:fldChar w:fldCharType="end"/>
      </w:r>
      <w:r w:rsidR="00A536D8" w:rsidRPr="00284A41">
        <w:t xml:space="preserve"> and</w:t>
      </w:r>
      <w:r w:rsidR="00107E35" w:rsidRPr="00284A41">
        <w:t xml:space="preserve"> </w:t>
      </w:r>
      <w:r w:rsidR="00BD6C39">
        <w:fldChar w:fldCharType="begin"/>
      </w:r>
      <w:r w:rsidR="00BD6C39">
        <w:instrText xml:space="preserve"> REF _Ref68358225 \h </w:instrText>
      </w:r>
      <w:r w:rsidR="00BD6C39">
        <w:fldChar w:fldCharType="separate"/>
      </w:r>
      <w:r w:rsidR="00E0689D" w:rsidRPr="00284A41">
        <w:t xml:space="preserve">Exhibit </w:t>
      </w:r>
      <w:r w:rsidR="00E0689D">
        <w:rPr>
          <w:noProof/>
        </w:rPr>
        <w:t>7</w:t>
      </w:r>
      <w:r w:rsidR="00BD6C39">
        <w:fldChar w:fldCharType="end"/>
      </w:r>
      <w:r w:rsidR="002105BC" w:rsidRPr="00284A41">
        <w:t>)</w:t>
      </w:r>
      <w:r w:rsidR="00503277" w:rsidRPr="00284A41">
        <w:t>.</w:t>
      </w:r>
      <w:r w:rsidR="002105BC" w:rsidRPr="00284A41">
        <w:t xml:space="preserve"> Indeed the</w:t>
      </w:r>
      <w:r w:rsidR="002907F3" w:rsidRPr="00284A41">
        <w:t xml:space="preserve"> available evidence indicates that the</w:t>
      </w:r>
      <w:r w:rsidR="002105BC" w:rsidRPr="00284A41">
        <w:t xml:space="preserve"> average base salary paid by SIL providers is lower than the average base salary paid by non-SIL providers. It should also be noted that the 25</w:t>
      </w:r>
      <w:r w:rsidR="002105BC" w:rsidRPr="00284A41">
        <w:rPr>
          <w:vertAlign w:val="superscript"/>
        </w:rPr>
        <w:t>th</w:t>
      </w:r>
      <w:r w:rsidR="002105BC" w:rsidRPr="00284A41">
        <w:t xml:space="preserve"> percentiles for base salaries are almost equivalent for SIL and non-SIL providers.</w:t>
      </w:r>
    </w:p>
    <w:p w14:paraId="534300EE" w14:textId="308000E4" w:rsidR="00CF4279" w:rsidRPr="00284A41" w:rsidRDefault="00A536D8" w:rsidP="00066859">
      <w:pPr>
        <w:pStyle w:val="Caption"/>
      </w:pPr>
      <w:bookmarkStart w:id="40" w:name="_Ref68011039"/>
      <w:bookmarkStart w:id="41" w:name="_Toc75881509"/>
      <w:r w:rsidRPr="00EC5814">
        <w:t xml:space="preserve">Exhibit </w:t>
      </w:r>
      <w:r w:rsidR="00935584">
        <w:fldChar w:fldCharType="begin"/>
      </w:r>
      <w:r w:rsidR="00935584">
        <w:instrText xml:space="preserve"> SEQ Exhibit \* A</w:instrText>
      </w:r>
      <w:r w:rsidR="00935584">
        <w:instrText xml:space="preserve">RABIC </w:instrText>
      </w:r>
      <w:r w:rsidR="00935584">
        <w:fldChar w:fldCharType="separate"/>
      </w:r>
      <w:r w:rsidR="00E0689D">
        <w:rPr>
          <w:noProof/>
        </w:rPr>
        <w:t>6</w:t>
      </w:r>
      <w:r w:rsidR="00935584">
        <w:rPr>
          <w:noProof/>
        </w:rPr>
        <w:fldChar w:fldCharType="end"/>
      </w:r>
      <w:bookmarkEnd w:id="40"/>
      <w:r w:rsidRPr="00EC5814">
        <w:t xml:space="preserve">: </w:t>
      </w:r>
      <w:bookmarkStart w:id="42" w:name="_Ref51154465"/>
      <w:r w:rsidR="00264B60" w:rsidRPr="00EC5814">
        <w:t>Box P</w:t>
      </w:r>
      <w:r w:rsidR="003503B6" w:rsidRPr="00EC5814">
        <w:t>lot – Base W</w:t>
      </w:r>
      <w:r w:rsidR="00845B8D" w:rsidRPr="00EC5814">
        <w:t>ages</w:t>
      </w:r>
      <w:r w:rsidR="003503B6" w:rsidRPr="00EC5814">
        <w:t xml:space="preserve"> of Disability Support Worker</w:t>
      </w:r>
      <w:r w:rsidR="00B62894" w:rsidRPr="00EC5814">
        <w:t>s</w:t>
      </w:r>
      <w:bookmarkEnd w:id="41"/>
    </w:p>
    <w:p w14:paraId="4C8793CF" w14:textId="77777777" w:rsidR="009745FC" w:rsidRPr="00284A41" w:rsidRDefault="009745FC" w:rsidP="008A5FC2">
      <w:pPr>
        <w:spacing w:before="0" w:after="0"/>
        <w:ind w:left="431" w:hanging="431"/>
        <w:jc w:val="center"/>
        <w:rPr>
          <w:noProof/>
          <w:lang w:eastAsia="en-AU"/>
        </w:rPr>
      </w:pPr>
      <w:r w:rsidRPr="00284A41">
        <w:rPr>
          <w:noProof/>
          <w:lang w:eastAsia="en-AU"/>
        </w:rPr>
        <w:drawing>
          <wp:inline distT="0" distB="0" distL="0" distR="0" wp14:anchorId="07CF7D65" wp14:editId="3E0A441D">
            <wp:extent cx="5400000" cy="2840400"/>
            <wp:effectExtent l="0" t="0" r="0" b="0"/>
            <wp:docPr id="9" name="Picture 9" descr="A box plot to show the DSW base wages across the levels of SIL provision (based on revenue) based on the 25th percentile (efficient providers).&#10;Non-SIL providers were $28.25 with the largest variability of wages. &#10;SIL provision 0-25% were $28.07.&#10;SIL provision 26-50% were $28.50.&#10;SIL provision 51-75% were $28.03.&#10;SIL provision 76-100% were $28.50.&#10;" title="Exhibit 6: Box Plot – Base Wages of Disability Support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00" cy="2840400"/>
                    </a:xfrm>
                    <a:prstGeom prst="rect">
                      <a:avLst/>
                    </a:prstGeom>
                    <a:noFill/>
                  </pic:spPr>
                </pic:pic>
              </a:graphicData>
            </a:graphic>
          </wp:inline>
        </w:drawing>
      </w:r>
      <w:bookmarkEnd w:id="42"/>
    </w:p>
    <w:p w14:paraId="3EC40058" w14:textId="5B29793E" w:rsidR="00880BC1" w:rsidRPr="00284A41" w:rsidRDefault="00B62894" w:rsidP="0042216D">
      <w:pPr>
        <w:ind w:left="284"/>
        <w:jc w:val="center"/>
        <w:rPr>
          <w:sz w:val="18"/>
          <w:szCs w:val="18"/>
        </w:rPr>
      </w:pPr>
      <w:bookmarkStart w:id="43" w:name="_Ref68011056"/>
      <w:bookmarkStart w:id="44" w:name="_Ref68011047"/>
      <w:r w:rsidRPr="00284A41">
        <w:rPr>
          <w:sz w:val="18"/>
          <w:szCs w:val="18"/>
        </w:rPr>
        <w:t>Note: Data labels for the 25th percentile are shown to highlight the efficient frontier within each category</w:t>
      </w:r>
    </w:p>
    <w:p w14:paraId="5A4AE5B2" w14:textId="675C0149" w:rsidR="00205600" w:rsidRPr="00284A41" w:rsidRDefault="00A536D8" w:rsidP="00066859">
      <w:pPr>
        <w:pStyle w:val="Caption"/>
      </w:pPr>
      <w:bookmarkStart w:id="45" w:name="_Ref68358225"/>
      <w:bookmarkStart w:id="46" w:name="_Toc75881510"/>
      <w:r w:rsidRPr="00284A41">
        <w:t xml:space="preserve">Exhibit </w:t>
      </w:r>
      <w:bookmarkStart w:id="47" w:name="Exhibit7"/>
      <w:r w:rsidRPr="00284A41">
        <w:fldChar w:fldCharType="begin"/>
      </w:r>
      <w:r w:rsidRPr="00284A41">
        <w:instrText xml:space="preserve"> SEQ Exhibit \* ARABIC </w:instrText>
      </w:r>
      <w:r w:rsidRPr="00284A41">
        <w:fldChar w:fldCharType="separate"/>
      </w:r>
      <w:r w:rsidR="00E0689D">
        <w:rPr>
          <w:noProof/>
        </w:rPr>
        <w:t>7</w:t>
      </w:r>
      <w:r w:rsidRPr="00284A41">
        <w:fldChar w:fldCharType="end"/>
      </w:r>
      <w:bookmarkEnd w:id="43"/>
      <w:bookmarkEnd w:id="45"/>
      <w:bookmarkEnd w:id="47"/>
      <w:r w:rsidRPr="00284A41">
        <w:t xml:space="preserve">: </w:t>
      </w:r>
      <w:bookmarkStart w:id="48" w:name="_Toc68003288"/>
      <w:r w:rsidR="00066859" w:rsidRPr="00284A41">
        <w:t>Summary S</w:t>
      </w:r>
      <w:r w:rsidR="00237867" w:rsidRPr="00284A41">
        <w:t xml:space="preserve">tatistics </w:t>
      </w:r>
      <w:r w:rsidR="00845B8D" w:rsidRPr="00284A41">
        <w:softHyphen/>
        <w:t xml:space="preserve">– </w:t>
      </w:r>
      <w:bookmarkEnd w:id="44"/>
      <w:bookmarkEnd w:id="48"/>
      <w:r w:rsidR="003503B6" w:rsidRPr="00284A41">
        <w:t>Base Wages of Disability Support Workers</w:t>
      </w:r>
      <w:bookmarkEnd w:id="46"/>
    </w:p>
    <w:tbl>
      <w:tblPr>
        <w:tblStyle w:val="GridTable4-Accent4"/>
        <w:tblW w:w="9079" w:type="dxa"/>
        <w:tblLook w:val="0420" w:firstRow="1" w:lastRow="0" w:firstColumn="0" w:lastColumn="0" w:noHBand="0" w:noVBand="1"/>
        <w:tblCaption w:val="Exhibit 7: Summary Statistics ¬– Base Wages of Disability Support Workers"/>
        <w:tblDescription w:val="Table to display the sample size, mean, median, 25th percentile and 75th percentile statistics for the relevant non-SIL and portion of SIL provider."/>
      </w:tblPr>
      <w:tblGrid>
        <w:gridCol w:w="3397"/>
        <w:gridCol w:w="1128"/>
        <w:gridCol w:w="1128"/>
        <w:gridCol w:w="1129"/>
        <w:gridCol w:w="1168"/>
        <w:gridCol w:w="1129"/>
      </w:tblGrid>
      <w:tr w:rsidR="00205600" w:rsidRPr="00284A41" w14:paraId="0FA0FCB0"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1" w:type="pct"/>
          </w:tcPr>
          <w:p w14:paraId="065AD315" w14:textId="77777777" w:rsidR="00205600" w:rsidRPr="00284A41" w:rsidRDefault="006842C8" w:rsidP="00A536D8">
            <w:pPr>
              <w:rPr>
                <w:rFonts w:eastAsia="Arial" w:cstheme="minorHAnsi"/>
                <w:szCs w:val="18"/>
              </w:rPr>
            </w:pPr>
            <w:r w:rsidRPr="00284A41">
              <w:rPr>
                <w:rFonts w:eastAsia="Arial" w:cstheme="minorHAnsi"/>
                <w:szCs w:val="18"/>
              </w:rPr>
              <w:t>Respondent type</w:t>
            </w:r>
          </w:p>
        </w:tc>
        <w:tc>
          <w:tcPr>
            <w:tcW w:w="621" w:type="pct"/>
          </w:tcPr>
          <w:p w14:paraId="656071F1" w14:textId="77777777" w:rsidR="00205600" w:rsidRPr="00284A41" w:rsidRDefault="00205600" w:rsidP="00A536D8">
            <w:pPr>
              <w:jc w:val="center"/>
              <w:rPr>
                <w:rFonts w:eastAsia="Arial" w:cstheme="minorHAnsi"/>
                <w:szCs w:val="18"/>
              </w:rPr>
            </w:pPr>
            <w:r w:rsidRPr="00284A41">
              <w:rPr>
                <w:rFonts w:eastAsia="Arial" w:cstheme="minorHAnsi"/>
                <w:szCs w:val="18"/>
              </w:rPr>
              <w:t>Sample size</w:t>
            </w:r>
          </w:p>
        </w:tc>
        <w:tc>
          <w:tcPr>
            <w:tcW w:w="621" w:type="pct"/>
          </w:tcPr>
          <w:p w14:paraId="400015EC" w14:textId="77777777" w:rsidR="00205600" w:rsidRPr="00284A41" w:rsidRDefault="00205600" w:rsidP="00A536D8">
            <w:pPr>
              <w:jc w:val="center"/>
              <w:rPr>
                <w:rFonts w:eastAsia="Arial" w:cstheme="minorHAnsi"/>
                <w:szCs w:val="18"/>
              </w:rPr>
            </w:pPr>
            <w:r w:rsidRPr="00284A41">
              <w:rPr>
                <w:rFonts w:eastAsia="Arial" w:cstheme="minorHAnsi"/>
                <w:szCs w:val="18"/>
              </w:rPr>
              <w:t>Mean</w:t>
            </w:r>
          </w:p>
        </w:tc>
        <w:tc>
          <w:tcPr>
            <w:tcW w:w="622" w:type="pct"/>
          </w:tcPr>
          <w:p w14:paraId="5E55E3BC" w14:textId="77777777" w:rsidR="00205600" w:rsidRPr="00284A41" w:rsidRDefault="00205600" w:rsidP="00A536D8">
            <w:pPr>
              <w:jc w:val="center"/>
              <w:rPr>
                <w:rFonts w:eastAsia="Arial" w:cstheme="minorHAnsi"/>
                <w:szCs w:val="18"/>
              </w:rPr>
            </w:pPr>
            <w:r w:rsidRPr="00284A41">
              <w:rPr>
                <w:rFonts w:eastAsia="Arial" w:cstheme="minorHAnsi"/>
                <w:szCs w:val="18"/>
              </w:rPr>
              <w:t>Median</w:t>
            </w:r>
          </w:p>
        </w:tc>
        <w:tc>
          <w:tcPr>
            <w:tcW w:w="643" w:type="pct"/>
          </w:tcPr>
          <w:p w14:paraId="200E9DCF" w14:textId="77777777" w:rsidR="00205600" w:rsidRPr="00284A41" w:rsidRDefault="00205600" w:rsidP="00A536D8">
            <w:pPr>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2" w:type="pct"/>
          </w:tcPr>
          <w:p w14:paraId="6BC8C100" w14:textId="77777777" w:rsidR="00205600" w:rsidRPr="00284A41" w:rsidRDefault="00205600" w:rsidP="00A536D8">
            <w:pPr>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02AC3634"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2E0A9DC4" w14:textId="77777777" w:rsidR="001330ED" w:rsidRPr="00284A41" w:rsidRDefault="001330ED" w:rsidP="001330ED">
            <w:pPr>
              <w:rPr>
                <w:rFonts w:eastAsia="Arial" w:cstheme="minorHAnsi"/>
                <w:szCs w:val="18"/>
              </w:rPr>
            </w:pPr>
            <w:r w:rsidRPr="00284A41">
              <w:rPr>
                <w:rFonts w:eastAsia="Arial" w:cstheme="minorHAnsi"/>
                <w:szCs w:val="18"/>
              </w:rPr>
              <w:t>All respondents</w:t>
            </w:r>
          </w:p>
        </w:tc>
        <w:tc>
          <w:tcPr>
            <w:tcW w:w="621" w:type="pct"/>
          </w:tcPr>
          <w:p w14:paraId="68533A06" w14:textId="6F2F6529" w:rsidR="001330ED" w:rsidRPr="00284A41" w:rsidRDefault="001330ED" w:rsidP="001330ED">
            <w:pPr>
              <w:jc w:val="center"/>
              <w:rPr>
                <w:rFonts w:eastAsia="Arial" w:cstheme="minorHAnsi"/>
                <w:szCs w:val="18"/>
              </w:rPr>
            </w:pPr>
            <w:r w:rsidRPr="00284A41">
              <w:t>847</w:t>
            </w:r>
          </w:p>
        </w:tc>
        <w:tc>
          <w:tcPr>
            <w:tcW w:w="621" w:type="pct"/>
          </w:tcPr>
          <w:p w14:paraId="5BE5DF81" w14:textId="0848BD86" w:rsidR="001330ED" w:rsidRPr="00284A41" w:rsidRDefault="001330ED" w:rsidP="001330ED">
            <w:pPr>
              <w:jc w:val="center"/>
              <w:rPr>
                <w:rFonts w:eastAsia="Arial" w:cstheme="minorHAnsi"/>
                <w:szCs w:val="18"/>
              </w:rPr>
            </w:pPr>
            <w:r w:rsidRPr="00284A41">
              <w:t>$31.04</w:t>
            </w:r>
          </w:p>
        </w:tc>
        <w:tc>
          <w:tcPr>
            <w:tcW w:w="622" w:type="pct"/>
          </w:tcPr>
          <w:p w14:paraId="1CBC4436" w14:textId="699B793F" w:rsidR="001330ED" w:rsidRPr="00284A41" w:rsidRDefault="001330ED" w:rsidP="001330ED">
            <w:pPr>
              <w:jc w:val="center"/>
              <w:rPr>
                <w:rFonts w:eastAsia="Arial" w:cstheme="minorHAnsi"/>
                <w:szCs w:val="18"/>
              </w:rPr>
            </w:pPr>
            <w:r w:rsidRPr="00284A41">
              <w:t>$30.12</w:t>
            </w:r>
          </w:p>
        </w:tc>
        <w:tc>
          <w:tcPr>
            <w:tcW w:w="643" w:type="pct"/>
          </w:tcPr>
          <w:p w14:paraId="7D91981E" w14:textId="0C874F3D" w:rsidR="001330ED" w:rsidRPr="00284A41" w:rsidRDefault="001330ED" w:rsidP="001330ED">
            <w:pPr>
              <w:jc w:val="center"/>
              <w:rPr>
                <w:rFonts w:eastAsia="Arial" w:cstheme="minorHAnsi"/>
                <w:szCs w:val="18"/>
              </w:rPr>
            </w:pPr>
            <w:r w:rsidRPr="00284A41">
              <w:t>$28.23</w:t>
            </w:r>
          </w:p>
        </w:tc>
        <w:tc>
          <w:tcPr>
            <w:tcW w:w="622" w:type="pct"/>
          </w:tcPr>
          <w:p w14:paraId="5585A232" w14:textId="3DF79979" w:rsidR="001330ED" w:rsidRPr="00284A41" w:rsidRDefault="001330ED" w:rsidP="001330ED">
            <w:pPr>
              <w:jc w:val="center"/>
              <w:rPr>
                <w:rFonts w:eastAsia="Arial" w:cstheme="minorHAnsi"/>
                <w:szCs w:val="18"/>
              </w:rPr>
            </w:pPr>
            <w:r w:rsidRPr="00284A41">
              <w:t>$33.11</w:t>
            </w:r>
          </w:p>
        </w:tc>
      </w:tr>
      <w:tr w:rsidR="00205600" w:rsidRPr="00284A41" w14:paraId="7BBFACE5" w14:textId="77777777" w:rsidTr="0042216D">
        <w:tc>
          <w:tcPr>
            <w:tcW w:w="1871" w:type="pct"/>
          </w:tcPr>
          <w:p w14:paraId="23A81ACC" w14:textId="77777777" w:rsidR="00205600" w:rsidRPr="00284A41" w:rsidRDefault="00205600" w:rsidP="00A536D8">
            <w:pPr>
              <w:rPr>
                <w:rFonts w:eastAsia="Arial" w:cstheme="minorHAnsi"/>
                <w:szCs w:val="18"/>
              </w:rPr>
            </w:pPr>
            <w:r w:rsidRPr="00284A41">
              <w:rPr>
                <w:rFonts w:eastAsia="Arial" w:cstheme="minorHAnsi"/>
                <w:szCs w:val="18"/>
              </w:rPr>
              <w:t>Non-SIL respondents</w:t>
            </w:r>
          </w:p>
        </w:tc>
        <w:tc>
          <w:tcPr>
            <w:tcW w:w="621" w:type="pct"/>
          </w:tcPr>
          <w:p w14:paraId="0318B68B" w14:textId="77777777" w:rsidR="00205600" w:rsidRPr="00284A41" w:rsidRDefault="00205600" w:rsidP="00A536D8">
            <w:pPr>
              <w:jc w:val="center"/>
              <w:rPr>
                <w:rFonts w:eastAsia="Arial" w:cstheme="minorHAnsi"/>
                <w:szCs w:val="18"/>
              </w:rPr>
            </w:pPr>
            <w:r w:rsidRPr="00284A41">
              <w:rPr>
                <w:rFonts w:eastAsia="Arial" w:cstheme="minorHAnsi"/>
                <w:szCs w:val="18"/>
              </w:rPr>
              <w:t>626</w:t>
            </w:r>
          </w:p>
        </w:tc>
        <w:tc>
          <w:tcPr>
            <w:tcW w:w="621" w:type="pct"/>
          </w:tcPr>
          <w:p w14:paraId="661F9FFA" w14:textId="77777777" w:rsidR="00205600" w:rsidRPr="00284A41" w:rsidRDefault="00205600" w:rsidP="00A536D8">
            <w:pPr>
              <w:jc w:val="center"/>
              <w:rPr>
                <w:rFonts w:eastAsia="Arial" w:cstheme="minorHAnsi"/>
                <w:szCs w:val="18"/>
              </w:rPr>
            </w:pPr>
            <w:r w:rsidRPr="00284A41">
              <w:rPr>
                <w:rFonts w:eastAsia="Arial" w:cstheme="minorHAnsi"/>
                <w:szCs w:val="18"/>
              </w:rPr>
              <w:t>$31.30</w:t>
            </w:r>
          </w:p>
        </w:tc>
        <w:tc>
          <w:tcPr>
            <w:tcW w:w="622" w:type="pct"/>
          </w:tcPr>
          <w:p w14:paraId="66491D7A" w14:textId="77777777" w:rsidR="00205600" w:rsidRPr="00284A41" w:rsidRDefault="00205600" w:rsidP="00A536D8">
            <w:pPr>
              <w:jc w:val="center"/>
              <w:rPr>
                <w:rFonts w:eastAsia="Arial" w:cstheme="minorHAnsi"/>
                <w:szCs w:val="18"/>
              </w:rPr>
            </w:pPr>
            <w:r w:rsidRPr="00284A41">
              <w:rPr>
                <w:rFonts w:eastAsia="Arial" w:cstheme="minorHAnsi"/>
                <w:szCs w:val="18"/>
              </w:rPr>
              <w:t>$30.30</w:t>
            </w:r>
          </w:p>
        </w:tc>
        <w:tc>
          <w:tcPr>
            <w:tcW w:w="643" w:type="pct"/>
          </w:tcPr>
          <w:p w14:paraId="1DFCB221" w14:textId="1EF4E34E" w:rsidR="00205600" w:rsidRPr="00284A41" w:rsidRDefault="00205600" w:rsidP="009A51A5">
            <w:pPr>
              <w:jc w:val="center"/>
              <w:rPr>
                <w:rFonts w:eastAsia="Arial" w:cstheme="minorHAnsi"/>
                <w:szCs w:val="18"/>
              </w:rPr>
            </w:pPr>
            <w:r w:rsidRPr="00284A41">
              <w:rPr>
                <w:rFonts w:eastAsia="Arial" w:cstheme="minorHAnsi"/>
                <w:szCs w:val="18"/>
              </w:rPr>
              <w:t>$28.</w:t>
            </w:r>
            <w:r w:rsidR="009A51A5" w:rsidRPr="00284A41">
              <w:rPr>
                <w:rFonts w:eastAsia="Arial" w:cstheme="minorHAnsi"/>
                <w:szCs w:val="18"/>
              </w:rPr>
              <w:t>25</w:t>
            </w:r>
          </w:p>
        </w:tc>
        <w:tc>
          <w:tcPr>
            <w:tcW w:w="622" w:type="pct"/>
          </w:tcPr>
          <w:p w14:paraId="024A698B" w14:textId="77777777" w:rsidR="00205600" w:rsidRPr="00284A41" w:rsidRDefault="00205600" w:rsidP="00A536D8">
            <w:pPr>
              <w:jc w:val="center"/>
              <w:rPr>
                <w:rFonts w:eastAsia="Arial" w:cstheme="minorHAnsi"/>
                <w:szCs w:val="18"/>
              </w:rPr>
            </w:pPr>
            <w:r w:rsidRPr="00284A41">
              <w:rPr>
                <w:rFonts w:eastAsia="Arial" w:cstheme="minorHAnsi"/>
                <w:szCs w:val="18"/>
              </w:rPr>
              <w:t>$33.70</w:t>
            </w:r>
          </w:p>
        </w:tc>
      </w:tr>
      <w:tr w:rsidR="00205600" w:rsidRPr="00284A41" w14:paraId="12BB2456"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0358BE44" w14:textId="77777777" w:rsidR="00205600" w:rsidRPr="00284A41" w:rsidRDefault="00205600" w:rsidP="00A536D8">
            <w:pPr>
              <w:rPr>
                <w:rFonts w:eastAsia="Arial" w:cstheme="minorHAnsi"/>
                <w:szCs w:val="18"/>
              </w:rPr>
            </w:pPr>
            <w:r w:rsidRPr="00284A41">
              <w:rPr>
                <w:rFonts w:eastAsia="Arial" w:cstheme="minorHAnsi"/>
                <w:szCs w:val="18"/>
              </w:rPr>
              <w:t>Mixed (SIL/ADL) respondents</w:t>
            </w:r>
          </w:p>
        </w:tc>
        <w:tc>
          <w:tcPr>
            <w:tcW w:w="621" w:type="pct"/>
          </w:tcPr>
          <w:p w14:paraId="7E87DE7D" w14:textId="77777777" w:rsidR="00205600" w:rsidRPr="00284A41" w:rsidRDefault="00205600" w:rsidP="00A536D8">
            <w:pPr>
              <w:jc w:val="center"/>
              <w:rPr>
                <w:rFonts w:eastAsia="Arial" w:cstheme="minorHAnsi"/>
                <w:szCs w:val="18"/>
              </w:rPr>
            </w:pPr>
            <w:r w:rsidRPr="00284A41">
              <w:rPr>
                <w:rFonts w:eastAsia="Arial" w:cstheme="minorHAnsi"/>
                <w:szCs w:val="18"/>
              </w:rPr>
              <w:t>221</w:t>
            </w:r>
          </w:p>
        </w:tc>
        <w:tc>
          <w:tcPr>
            <w:tcW w:w="621" w:type="pct"/>
          </w:tcPr>
          <w:p w14:paraId="3D6F4C8F" w14:textId="77777777" w:rsidR="00205600" w:rsidRPr="00284A41" w:rsidRDefault="00205600" w:rsidP="00A536D8">
            <w:pPr>
              <w:jc w:val="center"/>
              <w:rPr>
                <w:rFonts w:eastAsia="Arial" w:cstheme="minorHAnsi"/>
                <w:szCs w:val="18"/>
              </w:rPr>
            </w:pPr>
            <w:r w:rsidRPr="00284A41">
              <w:rPr>
                <w:rFonts w:eastAsia="Arial" w:cstheme="minorHAnsi"/>
                <w:szCs w:val="18"/>
              </w:rPr>
              <w:t>$30.38</w:t>
            </w:r>
          </w:p>
        </w:tc>
        <w:tc>
          <w:tcPr>
            <w:tcW w:w="622" w:type="pct"/>
          </w:tcPr>
          <w:p w14:paraId="71D8DA32" w14:textId="77777777" w:rsidR="00205600" w:rsidRPr="00284A41" w:rsidRDefault="00205600" w:rsidP="00A536D8">
            <w:pPr>
              <w:jc w:val="center"/>
              <w:rPr>
                <w:rFonts w:eastAsia="Arial" w:cstheme="minorHAnsi"/>
                <w:szCs w:val="18"/>
              </w:rPr>
            </w:pPr>
            <w:r w:rsidRPr="00284A41">
              <w:rPr>
                <w:rFonts w:eastAsia="Arial" w:cstheme="minorHAnsi"/>
                <w:szCs w:val="18"/>
              </w:rPr>
              <w:t>$29.89</w:t>
            </w:r>
          </w:p>
        </w:tc>
        <w:tc>
          <w:tcPr>
            <w:tcW w:w="643" w:type="pct"/>
          </w:tcPr>
          <w:p w14:paraId="27379E9C" w14:textId="77777777" w:rsidR="00205600" w:rsidRPr="00284A41" w:rsidRDefault="00205600" w:rsidP="00A536D8">
            <w:pPr>
              <w:jc w:val="center"/>
              <w:rPr>
                <w:rFonts w:eastAsia="Arial" w:cstheme="minorHAnsi"/>
                <w:szCs w:val="18"/>
              </w:rPr>
            </w:pPr>
            <w:r w:rsidRPr="00284A41">
              <w:rPr>
                <w:rFonts w:eastAsia="Arial" w:cstheme="minorHAnsi"/>
                <w:szCs w:val="18"/>
              </w:rPr>
              <w:t>$28.14</w:t>
            </w:r>
          </w:p>
        </w:tc>
        <w:tc>
          <w:tcPr>
            <w:tcW w:w="622" w:type="pct"/>
          </w:tcPr>
          <w:p w14:paraId="1BCC969F" w14:textId="77777777" w:rsidR="00205600" w:rsidRPr="00284A41" w:rsidRDefault="00205600" w:rsidP="00A536D8">
            <w:pPr>
              <w:jc w:val="center"/>
              <w:rPr>
                <w:rFonts w:eastAsia="Arial" w:cstheme="minorHAnsi"/>
                <w:szCs w:val="18"/>
              </w:rPr>
            </w:pPr>
            <w:r w:rsidRPr="00284A41">
              <w:rPr>
                <w:rFonts w:eastAsia="Arial" w:cstheme="minorHAnsi"/>
                <w:szCs w:val="18"/>
              </w:rPr>
              <w:t>$32.14</w:t>
            </w:r>
          </w:p>
        </w:tc>
      </w:tr>
      <w:tr w:rsidR="00205600" w:rsidRPr="00284A41" w14:paraId="2F1B11C7" w14:textId="77777777" w:rsidTr="0042216D">
        <w:tc>
          <w:tcPr>
            <w:tcW w:w="1871" w:type="pct"/>
          </w:tcPr>
          <w:p w14:paraId="306DB12A" w14:textId="77777777" w:rsidR="00205600" w:rsidRPr="00284A41" w:rsidRDefault="00205600" w:rsidP="00A536D8">
            <w:pPr>
              <w:ind w:left="335"/>
              <w:rPr>
                <w:rFonts w:eastAsia="Arial" w:cstheme="minorHAnsi"/>
                <w:szCs w:val="18"/>
              </w:rPr>
            </w:pPr>
            <w:r w:rsidRPr="00284A41">
              <w:rPr>
                <w:rFonts w:eastAsia="Arial" w:cstheme="minorHAnsi"/>
                <w:szCs w:val="18"/>
              </w:rPr>
              <w:t>0-25% SIL respondents</w:t>
            </w:r>
          </w:p>
        </w:tc>
        <w:tc>
          <w:tcPr>
            <w:tcW w:w="621" w:type="pct"/>
          </w:tcPr>
          <w:p w14:paraId="7B325B64" w14:textId="77777777" w:rsidR="00205600" w:rsidRPr="00284A41" w:rsidRDefault="00205600" w:rsidP="00A536D8">
            <w:pPr>
              <w:jc w:val="center"/>
              <w:rPr>
                <w:rFonts w:eastAsia="Arial" w:cstheme="minorHAnsi"/>
                <w:szCs w:val="18"/>
              </w:rPr>
            </w:pPr>
            <w:r w:rsidRPr="00284A41">
              <w:rPr>
                <w:rFonts w:eastAsia="Arial" w:cstheme="minorHAnsi"/>
                <w:szCs w:val="18"/>
              </w:rPr>
              <w:t>81</w:t>
            </w:r>
          </w:p>
        </w:tc>
        <w:tc>
          <w:tcPr>
            <w:tcW w:w="621" w:type="pct"/>
          </w:tcPr>
          <w:p w14:paraId="55E901F0" w14:textId="77777777" w:rsidR="00205600" w:rsidRPr="00284A41" w:rsidRDefault="00205600" w:rsidP="00A536D8">
            <w:pPr>
              <w:jc w:val="center"/>
              <w:rPr>
                <w:rFonts w:eastAsia="Arial" w:cstheme="minorHAnsi"/>
                <w:szCs w:val="18"/>
              </w:rPr>
            </w:pPr>
            <w:r w:rsidRPr="00284A41">
              <w:rPr>
                <w:rFonts w:eastAsia="Arial" w:cstheme="minorHAnsi"/>
                <w:szCs w:val="18"/>
              </w:rPr>
              <w:t>$30.36</w:t>
            </w:r>
          </w:p>
        </w:tc>
        <w:tc>
          <w:tcPr>
            <w:tcW w:w="622" w:type="pct"/>
          </w:tcPr>
          <w:p w14:paraId="66FC42B4" w14:textId="77777777" w:rsidR="00205600" w:rsidRPr="00284A41" w:rsidRDefault="00205600" w:rsidP="00A536D8">
            <w:pPr>
              <w:jc w:val="center"/>
              <w:rPr>
                <w:rFonts w:eastAsia="Arial" w:cstheme="minorHAnsi"/>
                <w:szCs w:val="18"/>
              </w:rPr>
            </w:pPr>
            <w:r w:rsidRPr="00284A41">
              <w:rPr>
                <w:rFonts w:eastAsia="Arial" w:cstheme="minorHAnsi"/>
                <w:szCs w:val="18"/>
              </w:rPr>
              <w:t>$30.03</w:t>
            </w:r>
          </w:p>
        </w:tc>
        <w:tc>
          <w:tcPr>
            <w:tcW w:w="643" w:type="pct"/>
          </w:tcPr>
          <w:p w14:paraId="7697F085" w14:textId="77777777" w:rsidR="00205600" w:rsidRPr="00284A41" w:rsidRDefault="00205600" w:rsidP="00A536D8">
            <w:pPr>
              <w:jc w:val="center"/>
              <w:rPr>
                <w:rFonts w:eastAsia="Arial" w:cstheme="minorHAnsi"/>
                <w:szCs w:val="18"/>
              </w:rPr>
            </w:pPr>
            <w:r w:rsidRPr="00284A41">
              <w:rPr>
                <w:rFonts w:eastAsia="Arial" w:cstheme="minorHAnsi"/>
                <w:szCs w:val="18"/>
              </w:rPr>
              <w:t>$28.07</w:t>
            </w:r>
          </w:p>
        </w:tc>
        <w:tc>
          <w:tcPr>
            <w:tcW w:w="622" w:type="pct"/>
          </w:tcPr>
          <w:p w14:paraId="3DF30532" w14:textId="77777777" w:rsidR="00205600" w:rsidRPr="00284A41" w:rsidRDefault="00205600" w:rsidP="00A536D8">
            <w:pPr>
              <w:jc w:val="center"/>
              <w:rPr>
                <w:rFonts w:eastAsia="Arial" w:cstheme="minorHAnsi"/>
                <w:szCs w:val="18"/>
              </w:rPr>
            </w:pPr>
            <w:r w:rsidRPr="00284A41">
              <w:rPr>
                <w:rFonts w:eastAsia="Arial" w:cstheme="minorHAnsi"/>
                <w:szCs w:val="18"/>
              </w:rPr>
              <w:t>$32.49</w:t>
            </w:r>
          </w:p>
        </w:tc>
      </w:tr>
      <w:tr w:rsidR="00205600" w:rsidRPr="00284A41" w14:paraId="63EF13BB"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3C85C520" w14:textId="77777777" w:rsidR="00205600" w:rsidRPr="00284A41" w:rsidRDefault="00205600" w:rsidP="00A536D8">
            <w:pPr>
              <w:ind w:left="335"/>
              <w:rPr>
                <w:rFonts w:eastAsia="Arial" w:cstheme="minorHAnsi"/>
                <w:szCs w:val="18"/>
              </w:rPr>
            </w:pPr>
            <w:r w:rsidRPr="00284A41">
              <w:rPr>
                <w:rFonts w:eastAsia="Arial" w:cstheme="minorHAnsi"/>
                <w:szCs w:val="18"/>
              </w:rPr>
              <w:t>26-50% SIL respondents</w:t>
            </w:r>
          </w:p>
        </w:tc>
        <w:tc>
          <w:tcPr>
            <w:tcW w:w="621" w:type="pct"/>
          </w:tcPr>
          <w:p w14:paraId="72E8418D" w14:textId="77777777" w:rsidR="00205600" w:rsidRPr="00284A41" w:rsidRDefault="00205600" w:rsidP="00A536D8">
            <w:pPr>
              <w:jc w:val="center"/>
              <w:rPr>
                <w:rFonts w:eastAsia="Arial" w:cstheme="minorHAnsi"/>
                <w:szCs w:val="18"/>
              </w:rPr>
            </w:pPr>
            <w:r w:rsidRPr="00284A41">
              <w:rPr>
                <w:rFonts w:eastAsia="Arial" w:cstheme="minorHAnsi"/>
                <w:szCs w:val="18"/>
              </w:rPr>
              <w:t>47</w:t>
            </w:r>
          </w:p>
        </w:tc>
        <w:tc>
          <w:tcPr>
            <w:tcW w:w="621" w:type="pct"/>
          </w:tcPr>
          <w:p w14:paraId="5327B1C3" w14:textId="77777777" w:rsidR="00205600" w:rsidRPr="00284A41" w:rsidRDefault="00205600" w:rsidP="00A536D8">
            <w:pPr>
              <w:jc w:val="center"/>
              <w:rPr>
                <w:rFonts w:eastAsia="Arial" w:cstheme="minorHAnsi"/>
                <w:szCs w:val="18"/>
              </w:rPr>
            </w:pPr>
            <w:r w:rsidRPr="00284A41">
              <w:rPr>
                <w:rFonts w:eastAsia="Arial" w:cstheme="minorHAnsi"/>
                <w:szCs w:val="18"/>
              </w:rPr>
              <w:t>$30.72</w:t>
            </w:r>
          </w:p>
        </w:tc>
        <w:tc>
          <w:tcPr>
            <w:tcW w:w="622" w:type="pct"/>
          </w:tcPr>
          <w:p w14:paraId="34DB6347" w14:textId="77777777" w:rsidR="00205600" w:rsidRPr="00284A41" w:rsidRDefault="00205600" w:rsidP="00A536D8">
            <w:pPr>
              <w:jc w:val="center"/>
              <w:rPr>
                <w:rFonts w:eastAsia="Arial" w:cstheme="minorHAnsi"/>
                <w:szCs w:val="18"/>
              </w:rPr>
            </w:pPr>
            <w:r w:rsidRPr="00284A41">
              <w:rPr>
                <w:rFonts w:eastAsia="Arial" w:cstheme="minorHAnsi"/>
                <w:szCs w:val="18"/>
              </w:rPr>
              <w:t>$30.22</w:t>
            </w:r>
          </w:p>
        </w:tc>
        <w:tc>
          <w:tcPr>
            <w:tcW w:w="643" w:type="pct"/>
          </w:tcPr>
          <w:p w14:paraId="5F7C61AC" w14:textId="77777777" w:rsidR="00205600" w:rsidRPr="00284A41" w:rsidRDefault="00205600" w:rsidP="00A536D8">
            <w:pPr>
              <w:jc w:val="center"/>
              <w:rPr>
                <w:rFonts w:eastAsia="Arial" w:cstheme="minorHAnsi"/>
                <w:szCs w:val="18"/>
              </w:rPr>
            </w:pPr>
            <w:r w:rsidRPr="00284A41">
              <w:rPr>
                <w:rFonts w:eastAsia="Arial" w:cstheme="minorHAnsi"/>
                <w:szCs w:val="18"/>
              </w:rPr>
              <w:t>$28.50</w:t>
            </w:r>
          </w:p>
        </w:tc>
        <w:tc>
          <w:tcPr>
            <w:tcW w:w="622" w:type="pct"/>
          </w:tcPr>
          <w:p w14:paraId="41BBFD3E" w14:textId="77777777" w:rsidR="00205600" w:rsidRPr="00284A41" w:rsidRDefault="00205600" w:rsidP="00A536D8">
            <w:pPr>
              <w:jc w:val="center"/>
              <w:rPr>
                <w:rFonts w:eastAsia="Arial" w:cstheme="minorHAnsi"/>
                <w:szCs w:val="18"/>
              </w:rPr>
            </w:pPr>
            <w:r w:rsidRPr="00284A41">
              <w:rPr>
                <w:rFonts w:eastAsia="Arial" w:cstheme="minorHAnsi"/>
                <w:szCs w:val="18"/>
              </w:rPr>
              <w:t>$32.84</w:t>
            </w:r>
          </w:p>
        </w:tc>
      </w:tr>
      <w:tr w:rsidR="00205600" w:rsidRPr="00284A41" w14:paraId="5160637F" w14:textId="77777777" w:rsidTr="0042216D">
        <w:tc>
          <w:tcPr>
            <w:tcW w:w="1871" w:type="pct"/>
          </w:tcPr>
          <w:p w14:paraId="65D4CF76" w14:textId="77777777" w:rsidR="00205600" w:rsidRPr="00284A41" w:rsidRDefault="00205600" w:rsidP="00A536D8">
            <w:pPr>
              <w:ind w:left="335"/>
              <w:rPr>
                <w:rFonts w:eastAsia="Arial" w:cstheme="minorHAnsi"/>
                <w:szCs w:val="18"/>
              </w:rPr>
            </w:pPr>
            <w:r w:rsidRPr="00284A41">
              <w:rPr>
                <w:rFonts w:eastAsia="Arial" w:cstheme="minorHAnsi"/>
                <w:szCs w:val="18"/>
              </w:rPr>
              <w:t>51-75% SIL respondents</w:t>
            </w:r>
          </w:p>
        </w:tc>
        <w:tc>
          <w:tcPr>
            <w:tcW w:w="621" w:type="pct"/>
          </w:tcPr>
          <w:p w14:paraId="3027DC9A" w14:textId="77777777" w:rsidR="00205600" w:rsidRPr="00284A41" w:rsidRDefault="00205600" w:rsidP="00A536D8">
            <w:pPr>
              <w:jc w:val="center"/>
              <w:rPr>
                <w:rFonts w:eastAsia="Arial" w:cstheme="minorHAnsi"/>
                <w:szCs w:val="18"/>
              </w:rPr>
            </w:pPr>
            <w:r w:rsidRPr="00284A41">
              <w:rPr>
                <w:rFonts w:eastAsia="Arial" w:cstheme="minorHAnsi"/>
                <w:szCs w:val="18"/>
              </w:rPr>
              <w:t>64</w:t>
            </w:r>
          </w:p>
        </w:tc>
        <w:tc>
          <w:tcPr>
            <w:tcW w:w="621" w:type="pct"/>
          </w:tcPr>
          <w:p w14:paraId="0446C7A8" w14:textId="77777777" w:rsidR="00205600" w:rsidRPr="00284A41" w:rsidRDefault="00205600" w:rsidP="00A536D8">
            <w:pPr>
              <w:jc w:val="center"/>
              <w:rPr>
                <w:rFonts w:eastAsia="Arial" w:cstheme="minorHAnsi"/>
                <w:szCs w:val="18"/>
              </w:rPr>
            </w:pPr>
            <w:r w:rsidRPr="00284A41">
              <w:rPr>
                <w:rFonts w:eastAsia="Arial" w:cstheme="minorHAnsi"/>
                <w:szCs w:val="18"/>
              </w:rPr>
              <w:t>$30.17</w:t>
            </w:r>
          </w:p>
        </w:tc>
        <w:tc>
          <w:tcPr>
            <w:tcW w:w="622" w:type="pct"/>
          </w:tcPr>
          <w:p w14:paraId="2A6624FD" w14:textId="77777777" w:rsidR="00205600" w:rsidRPr="00284A41" w:rsidRDefault="00205600" w:rsidP="00A536D8">
            <w:pPr>
              <w:jc w:val="center"/>
              <w:rPr>
                <w:rFonts w:eastAsia="Arial" w:cstheme="minorHAnsi"/>
                <w:szCs w:val="18"/>
              </w:rPr>
            </w:pPr>
            <w:r w:rsidRPr="00284A41">
              <w:rPr>
                <w:rFonts w:eastAsia="Arial" w:cstheme="minorHAnsi"/>
                <w:szCs w:val="18"/>
              </w:rPr>
              <w:t>$29.46</w:t>
            </w:r>
          </w:p>
        </w:tc>
        <w:tc>
          <w:tcPr>
            <w:tcW w:w="643" w:type="pct"/>
          </w:tcPr>
          <w:p w14:paraId="2BA5D727" w14:textId="77777777" w:rsidR="00205600" w:rsidRPr="00284A41" w:rsidRDefault="00205600" w:rsidP="00A536D8">
            <w:pPr>
              <w:jc w:val="center"/>
              <w:rPr>
                <w:rFonts w:eastAsia="Arial" w:cstheme="minorHAnsi"/>
                <w:szCs w:val="18"/>
              </w:rPr>
            </w:pPr>
            <w:r w:rsidRPr="00284A41">
              <w:rPr>
                <w:rFonts w:eastAsia="Arial" w:cstheme="minorHAnsi"/>
                <w:szCs w:val="18"/>
              </w:rPr>
              <w:t>$28.03</w:t>
            </w:r>
          </w:p>
        </w:tc>
        <w:tc>
          <w:tcPr>
            <w:tcW w:w="622" w:type="pct"/>
          </w:tcPr>
          <w:p w14:paraId="143BB376" w14:textId="77777777" w:rsidR="00205600" w:rsidRPr="00284A41" w:rsidRDefault="00205600" w:rsidP="00A536D8">
            <w:pPr>
              <w:jc w:val="center"/>
              <w:rPr>
                <w:rFonts w:eastAsia="Arial" w:cstheme="minorHAnsi"/>
                <w:szCs w:val="18"/>
              </w:rPr>
            </w:pPr>
            <w:r w:rsidRPr="00284A41">
              <w:rPr>
                <w:rFonts w:eastAsia="Arial" w:cstheme="minorHAnsi"/>
                <w:szCs w:val="18"/>
              </w:rPr>
              <w:t>$31.73</w:t>
            </w:r>
          </w:p>
        </w:tc>
      </w:tr>
      <w:tr w:rsidR="00205600" w:rsidRPr="00284A41" w14:paraId="333800DD"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79D5F0BA" w14:textId="77777777" w:rsidR="00205600" w:rsidRPr="00284A41" w:rsidRDefault="00CC5D96" w:rsidP="00A536D8">
            <w:pPr>
              <w:ind w:left="335"/>
              <w:rPr>
                <w:rFonts w:eastAsia="Arial" w:cstheme="minorHAnsi"/>
                <w:szCs w:val="18"/>
              </w:rPr>
            </w:pPr>
            <w:r w:rsidRPr="00284A41">
              <w:rPr>
                <w:rFonts w:eastAsia="Arial" w:cstheme="minorHAnsi"/>
                <w:szCs w:val="18"/>
              </w:rPr>
              <w:t>76</w:t>
            </w:r>
            <w:r w:rsidR="00205600" w:rsidRPr="00284A41">
              <w:rPr>
                <w:rFonts w:eastAsia="Arial" w:cstheme="minorHAnsi"/>
                <w:szCs w:val="18"/>
              </w:rPr>
              <w:t>-100% SIL respondents</w:t>
            </w:r>
          </w:p>
        </w:tc>
        <w:tc>
          <w:tcPr>
            <w:tcW w:w="621" w:type="pct"/>
          </w:tcPr>
          <w:p w14:paraId="1F80F780" w14:textId="77777777" w:rsidR="00205600" w:rsidRPr="00284A41" w:rsidRDefault="00205600" w:rsidP="00A536D8">
            <w:pPr>
              <w:jc w:val="center"/>
              <w:rPr>
                <w:rFonts w:eastAsia="Arial" w:cstheme="minorHAnsi"/>
                <w:szCs w:val="18"/>
              </w:rPr>
            </w:pPr>
            <w:r w:rsidRPr="00284A41">
              <w:rPr>
                <w:rFonts w:eastAsia="Arial" w:cstheme="minorHAnsi"/>
                <w:szCs w:val="18"/>
              </w:rPr>
              <w:t>29</w:t>
            </w:r>
          </w:p>
        </w:tc>
        <w:tc>
          <w:tcPr>
            <w:tcW w:w="621" w:type="pct"/>
          </w:tcPr>
          <w:p w14:paraId="31A39A94" w14:textId="77777777" w:rsidR="00205600" w:rsidRPr="00284A41" w:rsidRDefault="00205600" w:rsidP="00A536D8">
            <w:pPr>
              <w:jc w:val="center"/>
              <w:rPr>
                <w:rFonts w:eastAsia="Arial" w:cstheme="minorHAnsi"/>
                <w:szCs w:val="18"/>
              </w:rPr>
            </w:pPr>
            <w:r w:rsidRPr="00284A41">
              <w:rPr>
                <w:rFonts w:eastAsia="Arial" w:cstheme="minorHAnsi"/>
                <w:szCs w:val="18"/>
              </w:rPr>
              <w:t>$30.33</w:t>
            </w:r>
          </w:p>
        </w:tc>
        <w:tc>
          <w:tcPr>
            <w:tcW w:w="622" w:type="pct"/>
          </w:tcPr>
          <w:p w14:paraId="6C6DF8A1" w14:textId="77777777" w:rsidR="00205600" w:rsidRPr="00284A41" w:rsidRDefault="00205600" w:rsidP="00A536D8">
            <w:pPr>
              <w:jc w:val="center"/>
              <w:rPr>
                <w:rFonts w:eastAsia="Arial" w:cstheme="minorHAnsi"/>
                <w:szCs w:val="18"/>
              </w:rPr>
            </w:pPr>
            <w:r w:rsidRPr="00284A41">
              <w:rPr>
                <w:rFonts w:eastAsia="Arial" w:cstheme="minorHAnsi"/>
                <w:szCs w:val="18"/>
              </w:rPr>
              <w:t>$29.89</w:t>
            </w:r>
          </w:p>
        </w:tc>
        <w:tc>
          <w:tcPr>
            <w:tcW w:w="643" w:type="pct"/>
          </w:tcPr>
          <w:p w14:paraId="51E822A9" w14:textId="77777777" w:rsidR="00205600" w:rsidRPr="00284A41" w:rsidRDefault="00205600" w:rsidP="00A536D8">
            <w:pPr>
              <w:jc w:val="center"/>
              <w:rPr>
                <w:rFonts w:eastAsia="Arial" w:cstheme="minorHAnsi"/>
                <w:szCs w:val="18"/>
              </w:rPr>
            </w:pPr>
            <w:r w:rsidRPr="00284A41">
              <w:rPr>
                <w:rFonts w:eastAsia="Arial" w:cstheme="minorHAnsi"/>
                <w:szCs w:val="18"/>
              </w:rPr>
              <w:t>$28.50</w:t>
            </w:r>
          </w:p>
        </w:tc>
        <w:tc>
          <w:tcPr>
            <w:tcW w:w="622" w:type="pct"/>
          </w:tcPr>
          <w:p w14:paraId="51869612" w14:textId="77777777" w:rsidR="00205600" w:rsidRPr="00284A41" w:rsidRDefault="00205600" w:rsidP="00A536D8">
            <w:pPr>
              <w:jc w:val="center"/>
              <w:rPr>
                <w:rFonts w:eastAsia="Arial" w:cstheme="minorHAnsi"/>
                <w:szCs w:val="18"/>
              </w:rPr>
            </w:pPr>
            <w:r w:rsidRPr="00284A41">
              <w:rPr>
                <w:rFonts w:eastAsia="Arial" w:cstheme="minorHAnsi"/>
                <w:szCs w:val="18"/>
              </w:rPr>
              <w:t>$31.62</w:t>
            </w:r>
          </w:p>
        </w:tc>
      </w:tr>
    </w:tbl>
    <w:p w14:paraId="0685ED57" w14:textId="4D02BF8C" w:rsidR="002105BC" w:rsidRPr="00284A41" w:rsidRDefault="002105BC" w:rsidP="002105BC">
      <w:bookmarkStart w:id="49" w:name="_Ref66974985"/>
      <w:r w:rsidRPr="00284A41">
        <w:t>Regression analysis (</w:t>
      </w:r>
      <w:r w:rsidR="00A536D8" w:rsidRPr="00284A41">
        <w:fldChar w:fldCharType="begin"/>
      </w:r>
      <w:r w:rsidR="00A536D8" w:rsidRPr="00284A41">
        <w:instrText xml:space="preserve"> REF _Ref68011229 \h </w:instrText>
      </w:r>
      <w:r w:rsidR="00284A41">
        <w:instrText xml:space="preserve"> \* MERGEFORMAT </w:instrText>
      </w:r>
      <w:r w:rsidR="00A536D8" w:rsidRPr="00284A41">
        <w:fldChar w:fldCharType="separate"/>
      </w:r>
      <w:r w:rsidR="00E0689D" w:rsidRPr="00284A41">
        <w:t xml:space="preserve">Exhibit </w:t>
      </w:r>
      <w:r w:rsidR="00E0689D">
        <w:rPr>
          <w:noProof/>
        </w:rPr>
        <w:t>8</w:t>
      </w:r>
      <w:r w:rsidR="00A536D8" w:rsidRPr="00284A41">
        <w:fldChar w:fldCharType="end"/>
      </w:r>
      <w:r w:rsidRPr="00284A41">
        <w:t>) confirms that there is no clear relationship between the extent to which a provider is engaged in the provision of SIL and the average base wage that the provider pays to their disability support worker employees. The coefficients for the SIL indicator variable and SIL share variable are both not statistically significantly different from zero.</w:t>
      </w:r>
      <w:r w:rsidR="00845B8D" w:rsidRPr="00284A41">
        <w:t xml:space="preserve"> There is some evidence that average base wages are slightly lower for larger organisations.</w:t>
      </w:r>
    </w:p>
    <w:p w14:paraId="5AEEC7EB" w14:textId="3C5A594C" w:rsidR="009745FC" w:rsidRPr="00284A41" w:rsidRDefault="00A536D8" w:rsidP="00066859">
      <w:pPr>
        <w:pStyle w:val="Caption"/>
      </w:pPr>
      <w:bookmarkStart w:id="50" w:name="_Ref68011229"/>
      <w:bookmarkStart w:id="51" w:name="_Toc75881511"/>
      <w:r w:rsidRPr="00284A41">
        <w:t xml:space="preserve">Exhibit </w:t>
      </w:r>
      <w:r w:rsidR="00935584">
        <w:fldChar w:fldCharType="begin"/>
      </w:r>
      <w:r w:rsidR="00935584">
        <w:instrText xml:space="preserve"> SEQ Exhibit \* ARABIC </w:instrText>
      </w:r>
      <w:r w:rsidR="00935584">
        <w:fldChar w:fldCharType="separate"/>
      </w:r>
      <w:r w:rsidR="00E0689D">
        <w:rPr>
          <w:noProof/>
        </w:rPr>
        <w:t>8</w:t>
      </w:r>
      <w:r w:rsidR="00935584">
        <w:rPr>
          <w:noProof/>
        </w:rPr>
        <w:fldChar w:fldCharType="end"/>
      </w:r>
      <w:bookmarkEnd w:id="50"/>
      <w:r w:rsidRPr="00284A41">
        <w:t xml:space="preserve">: </w:t>
      </w:r>
      <w:bookmarkStart w:id="52" w:name="_Toc68003289"/>
      <w:bookmarkEnd w:id="49"/>
      <w:r w:rsidR="00237867" w:rsidRPr="00284A41">
        <w:t>Regression</w:t>
      </w:r>
      <w:r w:rsidR="00066859" w:rsidRPr="00284A41">
        <w:t xml:space="preserve"> Analysis</w:t>
      </w:r>
      <w:r w:rsidR="003503B6" w:rsidRPr="00284A41">
        <w:t xml:space="preserve"> </w:t>
      </w:r>
      <w:r w:rsidR="00237867" w:rsidRPr="00284A41">
        <w:t>–</w:t>
      </w:r>
      <w:r w:rsidR="00845B8D" w:rsidRPr="00284A41">
        <w:t xml:space="preserve"> </w:t>
      </w:r>
      <w:bookmarkEnd w:id="52"/>
      <w:r w:rsidR="003503B6" w:rsidRPr="00284A41">
        <w:t>Base Wages of Disability Support Workers</w:t>
      </w:r>
      <w:r w:rsidR="0042216D" w:rsidRPr="00284A41">
        <w:rPr>
          <w:rStyle w:val="FootnoteReference"/>
        </w:rPr>
        <w:footnoteReference w:id="13"/>
      </w:r>
      <w:bookmarkEnd w:id="51"/>
    </w:p>
    <w:tbl>
      <w:tblPr>
        <w:tblStyle w:val="GridTable4-Accent4"/>
        <w:tblW w:w="9147" w:type="dxa"/>
        <w:tblLook w:val="0460" w:firstRow="1" w:lastRow="1" w:firstColumn="0" w:lastColumn="0" w:noHBand="0" w:noVBand="1"/>
        <w:tblCaption w:val="Exhibit 8: Regression Analysis – Base Wages of Disability Support Workers"/>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9745FC" w:rsidRPr="00284A41" w14:paraId="31AE231B"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501" w:type="pct"/>
          </w:tcPr>
          <w:p w14:paraId="15786DBF" w14:textId="77777777" w:rsidR="009745FC" w:rsidRPr="00284A41" w:rsidRDefault="006842C8" w:rsidP="00A536D8">
            <w:pPr>
              <w:keepNext/>
              <w:keepLines/>
              <w:rPr>
                <w:rFonts w:eastAsia="Arial" w:cstheme="minorHAnsi"/>
                <w:szCs w:val="18"/>
              </w:rPr>
            </w:pPr>
            <w:r w:rsidRPr="00284A41">
              <w:rPr>
                <w:rFonts w:eastAsia="Arial" w:cstheme="minorHAnsi"/>
                <w:szCs w:val="18"/>
              </w:rPr>
              <w:t>Regression variables</w:t>
            </w:r>
          </w:p>
        </w:tc>
        <w:tc>
          <w:tcPr>
            <w:tcW w:w="625" w:type="pct"/>
          </w:tcPr>
          <w:p w14:paraId="4816F707"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Mean</w:t>
            </w:r>
          </w:p>
        </w:tc>
        <w:tc>
          <w:tcPr>
            <w:tcW w:w="625" w:type="pct"/>
          </w:tcPr>
          <w:p w14:paraId="340F9BB0" w14:textId="77777777" w:rsidR="009745FC" w:rsidRPr="00284A41" w:rsidRDefault="003D1FD7" w:rsidP="00A536D8">
            <w:pPr>
              <w:keepNext/>
              <w:keepLines/>
              <w:jc w:val="center"/>
              <w:rPr>
                <w:rFonts w:eastAsia="Arial" w:cstheme="minorHAnsi"/>
                <w:szCs w:val="18"/>
              </w:rPr>
            </w:pPr>
            <w:r w:rsidRPr="00284A41">
              <w:rPr>
                <w:rFonts w:eastAsia="Arial" w:cstheme="minorHAnsi"/>
                <w:szCs w:val="18"/>
              </w:rPr>
              <w:t>Median</w:t>
            </w:r>
          </w:p>
        </w:tc>
        <w:tc>
          <w:tcPr>
            <w:tcW w:w="625" w:type="pct"/>
          </w:tcPr>
          <w:p w14:paraId="55D4881A"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003D1FD7" w:rsidRPr="00284A41">
              <w:rPr>
                <w:rFonts w:eastAsia="Arial" w:cstheme="minorHAnsi"/>
                <w:szCs w:val="18"/>
              </w:rPr>
              <w:t xml:space="preserve"> percentile</w:t>
            </w:r>
          </w:p>
        </w:tc>
        <w:tc>
          <w:tcPr>
            <w:tcW w:w="624" w:type="pct"/>
          </w:tcPr>
          <w:p w14:paraId="55762D21"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h</w:t>
            </w:r>
            <w:r w:rsidR="003D1FD7" w:rsidRPr="00284A41">
              <w:rPr>
                <w:rFonts w:eastAsia="Arial" w:cstheme="minorHAnsi"/>
                <w:szCs w:val="18"/>
              </w:rPr>
              <w:t xml:space="preserve"> percentile</w:t>
            </w:r>
          </w:p>
        </w:tc>
      </w:tr>
      <w:tr w:rsidR="009745FC" w:rsidRPr="00284A41" w14:paraId="263EABAE"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00858DAB" w14:textId="77777777" w:rsidR="009745FC" w:rsidRPr="00284A41" w:rsidRDefault="009745FC" w:rsidP="00A536D8">
            <w:pPr>
              <w:keepNext/>
              <w:keepLines/>
              <w:rPr>
                <w:rFonts w:eastAsia="Arial" w:cstheme="minorHAnsi"/>
                <w:szCs w:val="18"/>
              </w:rPr>
            </w:pPr>
            <w:r w:rsidRPr="00284A41">
              <w:rPr>
                <w:rFonts w:eastAsia="Arial" w:cstheme="minorHAnsi"/>
                <w:szCs w:val="18"/>
              </w:rPr>
              <w:t>SIL provider indicator</w:t>
            </w:r>
          </w:p>
        </w:tc>
        <w:tc>
          <w:tcPr>
            <w:tcW w:w="625" w:type="pct"/>
          </w:tcPr>
          <w:p w14:paraId="1E9877D8"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-0.32</w:t>
            </w:r>
          </w:p>
        </w:tc>
        <w:tc>
          <w:tcPr>
            <w:tcW w:w="625" w:type="pct"/>
          </w:tcPr>
          <w:p w14:paraId="5A3A5F14"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0.31</w:t>
            </w:r>
          </w:p>
        </w:tc>
        <w:tc>
          <w:tcPr>
            <w:tcW w:w="625" w:type="pct"/>
          </w:tcPr>
          <w:p w14:paraId="0C5E5DCB"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0.03</w:t>
            </w:r>
          </w:p>
        </w:tc>
        <w:tc>
          <w:tcPr>
            <w:tcW w:w="624" w:type="pct"/>
          </w:tcPr>
          <w:p w14:paraId="1B40F689"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-0.43</w:t>
            </w:r>
          </w:p>
        </w:tc>
      </w:tr>
      <w:tr w:rsidR="009745FC" w:rsidRPr="00284A41" w14:paraId="5C21B543" w14:textId="77777777" w:rsidTr="0042216D">
        <w:tc>
          <w:tcPr>
            <w:tcW w:w="2501" w:type="pct"/>
          </w:tcPr>
          <w:p w14:paraId="4D4CF7BE" w14:textId="77777777" w:rsidR="009745FC" w:rsidRPr="00284A41" w:rsidRDefault="009745FC" w:rsidP="00A536D8">
            <w:pPr>
              <w:keepNext/>
              <w:keepLines/>
              <w:rPr>
                <w:rFonts w:eastAsia="Arial" w:cstheme="minorHAnsi"/>
                <w:szCs w:val="18"/>
              </w:rPr>
            </w:pPr>
            <w:r w:rsidRPr="00284A41">
              <w:rPr>
                <w:rFonts w:eastAsia="Arial" w:cstheme="minorHAnsi"/>
                <w:szCs w:val="18"/>
              </w:rPr>
              <w:t>Percentage of revenue sourced from SIL</w:t>
            </w:r>
          </w:p>
        </w:tc>
        <w:tc>
          <w:tcPr>
            <w:tcW w:w="625" w:type="pct"/>
          </w:tcPr>
          <w:p w14:paraId="1CC92372"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0.93</w:t>
            </w:r>
          </w:p>
        </w:tc>
        <w:tc>
          <w:tcPr>
            <w:tcW w:w="625" w:type="pct"/>
          </w:tcPr>
          <w:p w14:paraId="6B6183B5"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0.74</w:t>
            </w:r>
          </w:p>
        </w:tc>
        <w:tc>
          <w:tcPr>
            <w:tcW w:w="625" w:type="pct"/>
          </w:tcPr>
          <w:p w14:paraId="1706B8E8"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0.88</w:t>
            </w:r>
          </w:p>
        </w:tc>
        <w:tc>
          <w:tcPr>
            <w:tcW w:w="624" w:type="pct"/>
          </w:tcPr>
          <w:p w14:paraId="77F06363"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0.02</w:t>
            </w:r>
          </w:p>
        </w:tc>
      </w:tr>
      <w:tr w:rsidR="009745FC" w:rsidRPr="00284A41" w14:paraId="1E4E9040"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1433C58D" w14:textId="77777777" w:rsidR="009745FC" w:rsidRPr="00284A41" w:rsidRDefault="009745FC" w:rsidP="00A536D8">
            <w:pPr>
              <w:keepNext/>
              <w:keepLines/>
              <w:rPr>
                <w:rFonts w:eastAsia="Arial" w:cstheme="minorHAnsi"/>
                <w:szCs w:val="18"/>
              </w:rPr>
            </w:pPr>
            <w:r w:rsidRPr="00284A41">
              <w:rPr>
                <w:rFonts w:eastAsia="Arial" w:cstheme="minorHAnsi"/>
                <w:szCs w:val="18"/>
              </w:rPr>
              <w:t>Number of clients (log)</w:t>
            </w:r>
          </w:p>
        </w:tc>
        <w:tc>
          <w:tcPr>
            <w:tcW w:w="625" w:type="pct"/>
          </w:tcPr>
          <w:p w14:paraId="212E6F84"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0.83**</w:t>
            </w:r>
          </w:p>
        </w:tc>
        <w:tc>
          <w:tcPr>
            <w:tcW w:w="625" w:type="pct"/>
          </w:tcPr>
          <w:p w14:paraId="0D78E4C3"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0.60</w:t>
            </w:r>
          </w:p>
        </w:tc>
        <w:tc>
          <w:tcPr>
            <w:tcW w:w="625" w:type="pct"/>
          </w:tcPr>
          <w:p w14:paraId="71ECBD17"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0.85**</w:t>
            </w:r>
          </w:p>
        </w:tc>
        <w:tc>
          <w:tcPr>
            <w:tcW w:w="624" w:type="pct"/>
          </w:tcPr>
          <w:p w14:paraId="221F1AA9"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0.70</w:t>
            </w:r>
          </w:p>
        </w:tc>
      </w:tr>
      <w:tr w:rsidR="009745FC" w:rsidRPr="00284A41" w14:paraId="64D7365D" w14:textId="77777777" w:rsidTr="0042216D">
        <w:tc>
          <w:tcPr>
            <w:tcW w:w="2501" w:type="pct"/>
          </w:tcPr>
          <w:p w14:paraId="4700AC55" w14:textId="77777777" w:rsidR="009745FC" w:rsidRPr="00284A41" w:rsidRDefault="009745FC" w:rsidP="00A536D8">
            <w:pPr>
              <w:keepNext/>
              <w:keepLines/>
              <w:rPr>
                <w:rFonts w:eastAsia="Arial" w:cstheme="minorHAnsi"/>
                <w:szCs w:val="18"/>
              </w:rPr>
            </w:pPr>
            <w:r w:rsidRPr="00284A41">
              <w:rPr>
                <w:rFonts w:eastAsia="Arial" w:cstheme="minorHAnsi"/>
                <w:szCs w:val="18"/>
              </w:rPr>
              <w:t>Number of staff (log)</w:t>
            </w:r>
          </w:p>
        </w:tc>
        <w:tc>
          <w:tcPr>
            <w:tcW w:w="625" w:type="pct"/>
          </w:tcPr>
          <w:p w14:paraId="7FE024D9"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-1.84**</w:t>
            </w:r>
          </w:p>
        </w:tc>
        <w:tc>
          <w:tcPr>
            <w:tcW w:w="625" w:type="pct"/>
          </w:tcPr>
          <w:p w14:paraId="54F28F38"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-2.04**</w:t>
            </w:r>
          </w:p>
        </w:tc>
        <w:tc>
          <w:tcPr>
            <w:tcW w:w="625" w:type="pct"/>
          </w:tcPr>
          <w:p w14:paraId="786D30E1"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-1.23**</w:t>
            </w:r>
          </w:p>
        </w:tc>
        <w:tc>
          <w:tcPr>
            <w:tcW w:w="624" w:type="pct"/>
          </w:tcPr>
          <w:p w14:paraId="0FF92A44"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-2.32**</w:t>
            </w:r>
          </w:p>
        </w:tc>
      </w:tr>
      <w:tr w:rsidR="009745FC" w:rsidRPr="00284A41" w14:paraId="2B43441A"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2F4D6873" w14:textId="77777777" w:rsidR="009745FC" w:rsidRPr="00284A41" w:rsidRDefault="009745FC" w:rsidP="00A536D8">
            <w:pPr>
              <w:keepNext/>
              <w:keepLines/>
              <w:rPr>
                <w:rFonts w:eastAsia="Arial" w:cstheme="minorHAnsi"/>
                <w:szCs w:val="18"/>
              </w:rPr>
            </w:pPr>
            <w:r w:rsidRPr="00284A41">
              <w:rPr>
                <w:rFonts w:eastAsia="Arial" w:cstheme="minorHAnsi"/>
                <w:szCs w:val="18"/>
              </w:rPr>
              <w:t>Staff-supervisor ratio (log)</w:t>
            </w:r>
          </w:p>
        </w:tc>
        <w:tc>
          <w:tcPr>
            <w:tcW w:w="625" w:type="pct"/>
          </w:tcPr>
          <w:p w14:paraId="47ACD560"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0.14</w:t>
            </w:r>
          </w:p>
        </w:tc>
        <w:tc>
          <w:tcPr>
            <w:tcW w:w="625" w:type="pct"/>
          </w:tcPr>
          <w:p w14:paraId="4C82964C"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0.39</w:t>
            </w:r>
          </w:p>
        </w:tc>
        <w:tc>
          <w:tcPr>
            <w:tcW w:w="625" w:type="pct"/>
          </w:tcPr>
          <w:p w14:paraId="48CCB3F5" w14:textId="6B59CADA" w:rsidR="009745FC" w:rsidRPr="00284A41" w:rsidRDefault="003A1D65" w:rsidP="00A536D8">
            <w:pPr>
              <w:keepNext/>
              <w:keepLines/>
              <w:jc w:val="center"/>
              <w:rPr>
                <w:rFonts w:eastAsia="Arial" w:cstheme="minorHAnsi"/>
                <w:szCs w:val="18"/>
              </w:rPr>
            </w:pPr>
            <w:r>
              <w:rPr>
                <w:rFonts w:eastAsia="Arial" w:cstheme="minorHAnsi"/>
                <w:szCs w:val="18"/>
              </w:rPr>
              <w:t>0.83</w:t>
            </w:r>
            <w:r w:rsidR="009745FC" w:rsidRPr="00284A41">
              <w:rPr>
                <w:rFonts w:eastAsia="Arial" w:cstheme="minorHAnsi"/>
                <w:szCs w:val="18"/>
              </w:rPr>
              <w:t>**</w:t>
            </w:r>
          </w:p>
        </w:tc>
        <w:tc>
          <w:tcPr>
            <w:tcW w:w="624" w:type="pct"/>
          </w:tcPr>
          <w:p w14:paraId="70208961"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-0.38</w:t>
            </w:r>
          </w:p>
        </w:tc>
      </w:tr>
      <w:tr w:rsidR="009745FC" w:rsidRPr="00BD6C39" w14:paraId="510D2EDF" w14:textId="77777777" w:rsidTr="0042216D">
        <w:trPr>
          <w:cnfStyle w:val="010000000000" w:firstRow="0" w:lastRow="1" w:firstColumn="0" w:lastColumn="0" w:oddVBand="0" w:evenVBand="0" w:oddHBand="0" w:evenHBand="0" w:firstRowFirstColumn="0" w:firstRowLastColumn="0" w:lastRowFirstColumn="0" w:lastRowLastColumn="0"/>
        </w:trPr>
        <w:tc>
          <w:tcPr>
            <w:tcW w:w="2501" w:type="pct"/>
          </w:tcPr>
          <w:p w14:paraId="4E9868A5" w14:textId="77777777" w:rsidR="009745FC" w:rsidRPr="00BD6C39" w:rsidRDefault="009745FC" w:rsidP="00A536D8">
            <w:pPr>
              <w:keepNext/>
              <w:keepLines/>
              <w:rPr>
                <w:rFonts w:eastAsia="Arial" w:cstheme="minorHAnsi"/>
                <w:szCs w:val="18"/>
              </w:rPr>
            </w:pPr>
            <w:r w:rsidRPr="00BD6C39">
              <w:rPr>
                <w:rFonts w:eastAsia="Arial" w:cstheme="minorHAnsi"/>
                <w:szCs w:val="18"/>
              </w:rPr>
              <w:t>R</w:t>
            </w:r>
            <w:r w:rsidR="003D1FD7" w:rsidRPr="00BD6C39">
              <w:rPr>
                <w:rFonts w:eastAsia="Arial" w:cstheme="minorHAnsi"/>
                <w:szCs w:val="18"/>
                <w:vertAlign w:val="superscript"/>
              </w:rPr>
              <w:t>2</w:t>
            </w:r>
          </w:p>
        </w:tc>
        <w:tc>
          <w:tcPr>
            <w:tcW w:w="625" w:type="pct"/>
          </w:tcPr>
          <w:p w14:paraId="47F35B8E"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4.5%</w:t>
            </w:r>
          </w:p>
        </w:tc>
        <w:tc>
          <w:tcPr>
            <w:tcW w:w="625" w:type="pct"/>
          </w:tcPr>
          <w:p w14:paraId="5E0C39B7"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3.2%</w:t>
            </w:r>
          </w:p>
        </w:tc>
        <w:tc>
          <w:tcPr>
            <w:tcW w:w="625" w:type="pct"/>
          </w:tcPr>
          <w:p w14:paraId="160F073C"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2.8%</w:t>
            </w:r>
          </w:p>
        </w:tc>
        <w:tc>
          <w:tcPr>
            <w:tcW w:w="624" w:type="pct"/>
          </w:tcPr>
          <w:p w14:paraId="599555E6"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4.9%</w:t>
            </w:r>
          </w:p>
        </w:tc>
      </w:tr>
    </w:tbl>
    <w:p w14:paraId="24F1F7D2" w14:textId="6C5C5E26" w:rsidR="00B62894" w:rsidRPr="00284A41" w:rsidRDefault="00B62894" w:rsidP="0042216D">
      <w:pPr>
        <w:spacing w:before="0"/>
        <w:jc w:val="center"/>
        <w:rPr>
          <w:sz w:val="18"/>
          <w:szCs w:val="18"/>
        </w:rPr>
      </w:pPr>
      <w:r w:rsidRPr="00284A41">
        <w:rPr>
          <w:sz w:val="18"/>
          <w:szCs w:val="18"/>
        </w:rPr>
        <w:t>Note: *</w:t>
      </w:r>
      <w:r w:rsidR="003A1D65">
        <w:rPr>
          <w:sz w:val="18"/>
          <w:szCs w:val="18"/>
        </w:rPr>
        <w:t xml:space="preserve"> and **</w:t>
      </w:r>
      <w:r w:rsidRPr="00284A41">
        <w:rPr>
          <w:sz w:val="18"/>
          <w:szCs w:val="18"/>
        </w:rPr>
        <w:t xml:space="preserve"> </w:t>
      </w:r>
      <w:r w:rsidR="003A1D65">
        <w:rPr>
          <w:sz w:val="18"/>
          <w:szCs w:val="18"/>
        </w:rPr>
        <w:t>indicate</w:t>
      </w:r>
      <w:r w:rsidRPr="00284A41">
        <w:rPr>
          <w:sz w:val="18"/>
          <w:szCs w:val="18"/>
        </w:rPr>
        <w:t xml:space="preserve"> </w:t>
      </w:r>
      <w:r w:rsidR="003A1D65">
        <w:rPr>
          <w:sz w:val="18"/>
          <w:szCs w:val="18"/>
        </w:rPr>
        <w:t>the variable</w:t>
      </w:r>
      <w:r w:rsidRPr="00284A41">
        <w:rPr>
          <w:sz w:val="18"/>
          <w:szCs w:val="18"/>
        </w:rPr>
        <w:t xml:space="preserve"> is significant at 10% and 5%</w:t>
      </w:r>
      <w:r w:rsidR="003A1D65">
        <w:rPr>
          <w:sz w:val="18"/>
          <w:szCs w:val="18"/>
        </w:rPr>
        <w:t xml:space="preserve"> thresholds respectively (586 observations).</w:t>
      </w:r>
    </w:p>
    <w:p w14:paraId="71BD0ABA" w14:textId="77777777" w:rsidR="008A27A8" w:rsidRPr="00284A41" w:rsidRDefault="002105BC" w:rsidP="00C24F50">
      <w:pPr>
        <w:pStyle w:val="Heading3"/>
      </w:pPr>
      <w:r w:rsidRPr="00284A41">
        <w:t>On-costs</w:t>
      </w:r>
    </w:p>
    <w:p w14:paraId="7C5180CC" w14:textId="77777777" w:rsidR="00A37557" w:rsidRPr="00284A41" w:rsidRDefault="00201F1B" w:rsidP="008A27A8">
      <w:r w:rsidRPr="00284A41">
        <w:t>The principal</w:t>
      </w:r>
      <w:r w:rsidR="00A37557" w:rsidRPr="00284A41">
        <w:t xml:space="preserve"> on-costs </w:t>
      </w:r>
      <w:r w:rsidRPr="00284A41">
        <w:t>recognised in the NDIS DSW Cost Model are:</w:t>
      </w:r>
    </w:p>
    <w:p w14:paraId="5DC6FC6E" w14:textId="77777777" w:rsidR="00A37557" w:rsidRPr="005E5772" w:rsidRDefault="00201F1B" w:rsidP="0042216D">
      <w:pPr>
        <w:pStyle w:val="DotPoint"/>
      </w:pPr>
      <w:r w:rsidRPr="005E5772">
        <w:t>Superannuation</w:t>
      </w:r>
      <w:r w:rsidR="00845B8D" w:rsidRPr="005E5772">
        <w:t>;</w:t>
      </w:r>
    </w:p>
    <w:p w14:paraId="35CEFE93" w14:textId="77777777" w:rsidR="00201F1B" w:rsidRPr="005E5772" w:rsidRDefault="00201F1B" w:rsidP="0042216D">
      <w:pPr>
        <w:pStyle w:val="DotPoint"/>
      </w:pPr>
      <w:r w:rsidRPr="005E5772">
        <w:t>Workers Compensation</w:t>
      </w:r>
      <w:r w:rsidR="00845B8D" w:rsidRPr="005E5772">
        <w:t>; and</w:t>
      </w:r>
    </w:p>
    <w:p w14:paraId="6109157B" w14:textId="77777777" w:rsidR="00201F1B" w:rsidRPr="005E5772" w:rsidRDefault="00201F1B" w:rsidP="0042216D">
      <w:pPr>
        <w:pStyle w:val="DotPoint"/>
      </w:pPr>
      <w:r w:rsidRPr="005E5772">
        <w:t>Employee Allowances</w:t>
      </w:r>
      <w:r w:rsidR="00845B8D" w:rsidRPr="005E5772">
        <w:t>.</w:t>
      </w:r>
    </w:p>
    <w:p w14:paraId="348A05D9" w14:textId="77777777" w:rsidR="00201F1B" w:rsidRPr="00284A41" w:rsidRDefault="00201F1B" w:rsidP="008A27A8">
      <w:r w:rsidRPr="00284A41">
        <w:t xml:space="preserve">The Review found no evidence that the costs of </w:t>
      </w:r>
      <w:r w:rsidR="0090630F" w:rsidRPr="00284A41">
        <w:t xml:space="preserve">either </w:t>
      </w:r>
      <w:r w:rsidRPr="00284A41">
        <w:t xml:space="preserve">superannuation </w:t>
      </w:r>
      <w:r w:rsidR="0090630F" w:rsidRPr="00284A41">
        <w:t xml:space="preserve">or </w:t>
      </w:r>
      <w:r w:rsidRPr="00284A41">
        <w:t>employee allowances varied between SIL and non-SIL providers.</w:t>
      </w:r>
    </w:p>
    <w:p w14:paraId="2E0F1A78" w14:textId="77777777" w:rsidR="009215CF" w:rsidRPr="00284A41" w:rsidRDefault="00A37557" w:rsidP="00A37557">
      <w:r w:rsidRPr="00284A41">
        <w:t xml:space="preserve">There was consensus among providers that workers’ compensation costs were higher in the SIL environment. </w:t>
      </w:r>
      <w:r w:rsidR="00201F1B" w:rsidRPr="00284A41">
        <w:t xml:space="preserve">In part, they argued, this is driven because SIL providers are </w:t>
      </w:r>
      <w:r w:rsidR="00E33DFB" w:rsidRPr="00284A41">
        <w:t>sometimes</w:t>
      </w:r>
      <w:r w:rsidR="00201F1B" w:rsidRPr="00284A41">
        <w:t xml:space="preserve"> classified into a different workers compensation risk pool than non-SIL providers. </w:t>
      </w:r>
      <w:r w:rsidR="009215CF" w:rsidRPr="00284A41">
        <w:t xml:space="preserve">For example, in New South Wales, SIL providers are </w:t>
      </w:r>
      <w:r w:rsidR="00373B4A" w:rsidRPr="00284A41">
        <w:t xml:space="preserve">sometimes </w:t>
      </w:r>
      <w:r w:rsidR="009215CF" w:rsidRPr="00284A41">
        <w:t>classified in th</w:t>
      </w:r>
      <w:r w:rsidR="00373B4A" w:rsidRPr="00284A41">
        <w:t>e Residential Care Services (not elsewhere classified</w:t>
      </w:r>
      <w:r w:rsidR="009215CF" w:rsidRPr="00284A41">
        <w:t xml:space="preserve">) sector whereas </w:t>
      </w:r>
      <w:r w:rsidR="00373B4A" w:rsidRPr="00284A41">
        <w:t>most</w:t>
      </w:r>
      <w:r w:rsidR="009215CF" w:rsidRPr="00284A41">
        <w:t xml:space="preserve"> providers of activ</w:t>
      </w:r>
      <w:r w:rsidR="00E33DFB" w:rsidRPr="00284A41">
        <w:t xml:space="preserve">ities of daily living supports </w:t>
      </w:r>
      <w:r w:rsidR="009215CF" w:rsidRPr="00284A41">
        <w:t xml:space="preserve">are classified as part of the </w:t>
      </w:r>
      <w:r w:rsidR="00373B4A" w:rsidRPr="00284A41">
        <w:t xml:space="preserve">Non-Residential Care Services (not elsewhere classified) </w:t>
      </w:r>
      <w:r w:rsidR="009215CF" w:rsidRPr="00284A41">
        <w:t>sector. The basic NSW Workers Compensation Industry Classification Rates</w:t>
      </w:r>
      <w:r w:rsidR="00373B4A" w:rsidRPr="00284A41">
        <w:t xml:space="preserve">, prior to adjustments for size and experience, </w:t>
      </w:r>
      <w:r w:rsidR="009215CF" w:rsidRPr="00284A41">
        <w:t>for the</w:t>
      </w:r>
      <w:r w:rsidR="00373B4A" w:rsidRPr="00284A41">
        <w:t>se two sectors in 2021 are 4.07</w:t>
      </w:r>
      <w:r w:rsidR="009215CF" w:rsidRPr="00284A41">
        <w:t xml:space="preserve">% </w:t>
      </w:r>
      <w:r w:rsidR="00373B4A" w:rsidRPr="00284A41">
        <w:t>and 2.2% respectively.</w:t>
      </w:r>
      <w:r w:rsidR="009215CF" w:rsidRPr="00284A41">
        <w:t xml:space="preserve"> </w:t>
      </w:r>
    </w:p>
    <w:p w14:paraId="14772FC2" w14:textId="62315B28" w:rsidR="00201F1B" w:rsidRPr="00284A41" w:rsidRDefault="00395A93" w:rsidP="00EF2F81">
      <w:r w:rsidRPr="00284A41">
        <w:t xml:space="preserve">Analysis of the Financial Benchmarking Survey data confirms that </w:t>
      </w:r>
      <w:r w:rsidR="00201F1B" w:rsidRPr="00284A41">
        <w:t xml:space="preserve">SIL providers tend to have a higher rate </w:t>
      </w:r>
      <w:r w:rsidR="00726785" w:rsidRPr="00284A41">
        <w:t>of workers compensation premium</w:t>
      </w:r>
      <w:r w:rsidR="00201F1B" w:rsidRPr="00284A41">
        <w:t xml:space="preserve"> as a percentage of wages and salaries than non-SIL providers </w:t>
      </w:r>
      <w:r w:rsidR="00EF1D9B" w:rsidRPr="00284A41">
        <w:t>(</w:t>
      </w:r>
      <w:r w:rsidR="003D7CC8" w:rsidRPr="00284A41">
        <w:fldChar w:fldCharType="begin"/>
      </w:r>
      <w:r w:rsidR="003D7CC8" w:rsidRPr="00284A41">
        <w:instrText xml:space="preserve"> REF _Ref68102809 \h </w:instrText>
      </w:r>
      <w:r w:rsidR="00A1778D" w:rsidRPr="00284A41">
        <w:instrText xml:space="preserve"> \* MERGEFORMAT </w:instrText>
      </w:r>
      <w:r w:rsidR="003D7CC8" w:rsidRPr="00284A41">
        <w:fldChar w:fldCharType="separate"/>
      </w:r>
      <w:r w:rsidR="00E0689D" w:rsidRPr="00284A41">
        <w:t xml:space="preserve">Exhibit </w:t>
      </w:r>
      <w:r w:rsidR="00E0689D">
        <w:rPr>
          <w:noProof/>
        </w:rPr>
        <w:t>9</w:t>
      </w:r>
      <w:r w:rsidR="003D7CC8" w:rsidRPr="00284A41">
        <w:fldChar w:fldCharType="end"/>
      </w:r>
      <w:r w:rsidR="003D7CC8" w:rsidRPr="00284A41">
        <w:t xml:space="preserve"> and</w:t>
      </w:r>
      <w:r w:rsidR="00EF2F81" w:rsidRPr="00284A41">
        <w:t xml:space="preserve"> </w:t>
      </w:r>
      <w:r w:rsidR="00EF2F81" w:rsidRPr="00284A41">
        <w:fldChar w:fldCharType="begin"/>
      </w:r>
      <w:r w:rsidR="00EF2F81" w:rsidRPr="00284A41">
        <w:instrText xml:space="preserve"> REF _Ref68358410 \h </w:instrText>
      </w:r>
      <w:r w:rsidR="00A1778D" w:rsidRPr="00284A41">
        <w:instrText xml:space="preserve"> \* MERGEFORMAT </w:instrText>
      </w:r>
      <w:r w:rsidR="00EF2F81" w:rsidRPr="00284A41">
        <w:fldChar w:fldCharType="separate"/>
      </w:r>
      <w:r w:rsidR="00E0689D" w:rsidRPr="00284A41">
        <w:t xml:space="preserve">Exhibit </w:t>
      </w:r>
      <w:r w:rsidR="00E0689D">
        <w:rPr>
          <w:noProof/>
        </w:rPr>
        <w:t>10</w:t>
      </w:r>
      <w:r w:rsidR="00EF2F81" w:rsidRPr="00284A41">
        <w:fldChar w:fldCharType="end"/>
      </w:r>
      <w:r w:rsidR="00201F1B" w:rsidRPr="00284A41">
        <w:t>). The</w:t>
      </w:r>
      <w:r w:rsidR="00726785" w:rsidRPr="00284A41">
        <w:t xml:space="preserve"> data indicates that the</w:t>
      </w:r>
      <w:r w:rsidR="00201F1B" w:rsidRPr="00284A41">
        <w:t xml:space="preserve"> </w:t>
      </w:r>
      <w:r w:rsidR="00726785" w:rsidRPr="00284A41">
        <w:t>average</w:t>
      </w:r>
      <w:r w:rsidR="00201F1B" w:rsidRPr="00284A41">
        <w:t xml:space="preserve"> provider that offers SIL services pays a workers co</w:t>
      </w:r>
      <w:r w:rsidR="00726785" w:rsidRPr="00284A41">
        <w:t>mpensation premium of 2.8</w:t>
      </w:r>
      <w:r w:rsidR="00201F1B" w:rsidRPr="00284A41">
        <w:t>% of their total wag</w:t>
      </w:r>
      <w:r w:rsidR="00726785" w:rsidRPr="00284A41">
        <w:t>es and salaries, compared to 2.5</w:t>
      </w:r>
      <w:r w:rsidR="00201F1B" w:rsidRPr="00284A41">
        <w:t>% for the median provid</w:t>
      </w:r>
      <w:r w:rsidRPr="00284A41">
        <w:t>er that offers no SIL services</w:t>
      </w:r>
      <w:r w:rsidR="00201F1B" w:rsidRPr="00284A41">
        <w:t>.</w:t>
      </w:r>
      <w:r w:rsidR="00726785" w:rsidRPr="00284A41">
        <w:t xml:space="preserve"> However, the </w:t>
      </w:r>
      <w:r w:rsidR="00C50656" w:rsidRPr="00284A41">
        <w:t xml:space="preserve">level of </w:t>
      </w:r>
      <w:r w:rsidR="00726785" w:rsidRPr="00284A41">
        <w:t xml:space="preserve">workers compensation premium increases, on average, </w:t>
      </w:r>
      <w:r w:rsidR="00C50656" w:rsidRPr="00284A41">
        <w:t>in line with</w:t>
      </w:r>
      <w:r w:rsidR="00726785" w:rsidRPr="00284A41">
        <w:t xml:space="preserve"> the share of SIL provision. In particular, providers for whom SIL makes up more than 75%</w:t>
      </w:r>
      <w:r w:rsidR="00C50656" w:rsidRPr="00284A41">
        <w:t xml:space="preserve"> of their business have an average </w:t>
      </w:r>
      <w:r w:rsidR="00726785" w:rsidRPr="00284A41">
        <w:t xml:space="preserve">workers compensation premium of </w:t>
      </w:r>
      <w:r w:rsidR="00C50656" w:rsidRPr="00284A41">
        <w:t>3.2%.</w:t>
      </w:r>
    </w:p>
    <w:p w14:paraId="0B5B5835" w14:textId="465D8672" w:rsidR="002516F0" w:rsidRPr="00284A41" w:rsidRDefault="002516F0" w:rsidP="00EF2F81">
      <w:r w:rsidRPr="00284A41">
        <w:t>A similar relationship is seen for efficient providers, with the 25</w:t>
      </w:r>
      <w:r w:rsidRPr="00284A41">
        <w:rPr>
          <w:vertAlign w:val="superscript"/>
        </w:rPr>
        <w:t>th</w:t>
      </w:r>
      <w:r w:rsidRPr="00284A41">
        <w:t xml:space="preserve"> percentile of non-SIL providers having a workers compensation premium of 1.7% compared to 2.0% for the 25</w:t>
      </w:r>
      <w:r w:rsidRPr="00284A41">
        <w:rPr>
          <w:vertAlign w:val="superscript"/>
        </w:rPr>
        <w:t>th</w:t>
      </w:r>
      <w:r w:rsidRPr="00284A41">
        <w:t xml:space="preserve"> percentile of all SIL providers and 2.3% for efficient providers for whom SIL makes up more than 75% of their business.</w:t>
      </w:r>
    </w:p>
    <w:p w14:paraId="3B6FE7DD" w14:textId="03BC8BFB" w:rsidR="00405A0D" w:rsidRPr="00284A41" w:rsidRDefault="00A536D8" w:rsidP="00066859">
      <w:pPr>
        <w:pStyle w:val="Caption"/>
      </w:pPr>
      <w:bookmarkStart w:id="53" w:name="_Ref68102809"/>
      <w:bookmarkStart w:id="54" w:name="_Toc75881512"/>
      <w:r w:rsidRPr="00284A41">
        <w:t xml:space="preserve">Exhibit </w:t>
      </w:r>
      <w:r w:rsidR="00935584">
        <w:fldChar w:fldCharType="begin"/>
      </w:r>
      <w:r w:rsidR="00935584">
        <w:instrText xml:space="preserve"> SEQ Exhibit \* ARABIC </w:instrText>
      </w:r>
      <w:r w:rsidR="00935584">
        <w:fldChar w:fldCharType="separate"/>
      </w:r>
      <w:r w:rsidR="00E0689D">
        <w:rPr>
          <w:noProof/>
        </w:rPr>
        <w:t>9</w:t>
      </w:r>
      <w:r w:rsidR="00935584">
        <w:rPr>
          <w:noProof/>
        </w:rPr>
        <w:fldChar w:fldCharType="end"/>
      </w:r>
      <w:bookmarkEnd w:id="53"/>
      <w:r w:rsidRPr="00284A41">
        <w:t xml:space="preserve">: </w:t>
      </w:r>
      <w:bookmarkStart w:id="55" w:name="_Ref64882717"/>
      <w:bookmarkStart w:id="56" w:name="_Ref51095383"/>
      <w:bookmarkStart w:id="57" w:name="_Ref51847827"/>
      <w:r w:rsidR="00405A0D" w:rsidRPr="00284A41">
        <w:t>B</w:t>
      </w:r>
      <w:r w:rsidRPr="00284A41">
        <w:t>ox Plot – Workers Compensation P</w:t>
      </w:r>
      <w:r w:rsidR="00405A0D" w:rsidRPr="00284A41">
        <w:t>remium</w:t>
      </w:r>
      <w:r w:rsidR="00B62894" w:rsidRPr="00284A41">
        <w:t>s</w:t>
      </w:r>
      <w:bookmarkEnd w:id="54"/>
    </w:p>
    <w:p w14:paraId="4F1EE093" w14:textId="77777777" w:rsidR="00726785" w:rsidRPr="00284A41" w:rsidRDefault="00726785" w:rsidP="008A5FC2">
      <w:pPr>
        <w:spacing w:before="0" w:after="0"/>
        <w:ind w:left="431" w:hanging="431"/>
        <w:jc w:val="center"/>
        <w:rPr>
          <w:noProof/>
          <w:lang w:eastAsia="en-AU"/>
        </w:rPr>
      </w:pPr>
      <w:r w:rsidRPr="00284A41">
        <w:rPr>
          <w:noProof/>
          <w:lang w:eastAsia="en-AU"/>
        </w:rPr>
        <w:drawing>
          <wp:inline distT="0" distB="0" distL="0" distR="0" wp14:anchorId="2AE3DDC2" wp14:editId="02BF316C">
            <wp:extent cx="5400000" cy="2836800"/>
            <wp:effectExtent l="0" t="0" r="0" b="1905"/>
            <wp:docPr id="14" name="Picture 14" descr="A box plot to show the Workers Compensation Premiums across the levels of SIL provision (based on revenue) based on the 25th percentile (efficient providers).&#10;Non-SIL providers were 1.7%. &#10;SIL provision 0-25% were 1.6% with the largest variability.&#10;SIL provision 26-50% were 2.0%.&#10;SIL provision 51-75% were 2.0%.&#10;SIL provision 76-100% were 2.3%." title="Exhibit 9: Box Plot – Workers Compensation Premi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00" cy="2836800"/>
                    </a:xfrm>
                    <a:prstGeom prst="rect">
                      <a:avLst/>
                    </a:prstGeom>
                    <a:noFill/>
                  </pic:spPr>
                </pic:pic>
              </a:graphicData>
            </a:graphic>
          </wp:inline>
        </w:drawing>
      </w:r>
    </w:p>
    <w:p w14:paraId="6E9A58B1" w14:textId="77777777" w:rsidR="00B62894" w:rsidRPr="00284A41" w:rsidRDefault="00B62894" w:rsidP="00B62894">
      <w:pPr>
        <w:ind w:left="284"/>
        <w:jc w:val="center"/>
        <w:rPr>
          <w:sz w:val="18"/>
          <w:szCs w:val="18"/>
        </w:rPr>
      </w:pPr>
      <w:bookmarkStart w:id="58" w:name="_Ref68102814"/>
      <w:bookmarkStart w:id="59" w:name="_Toc68003290"/>
      <w:r w:rsidRPr="00284A41">
        <w:rPr>
          <w:sz w:val="18"/>
          <w:szCs w:val="18"/>
        </w:rPr>
        <w:t>Note: Data labels for the 25th percentile are shown to highlight the efficient frontier within each category</w:t>
      </w:r>
    </w:p>
    <w:p w14:paraId="324970B8" w14:textId="7F0E6E61" w:rsidR="00726785" w:rsidRPr="00284A41" w:rsidRDefault="00A536D8" w:rsidP="00066859">
      <w:pPr>
        <w:pStyle w:val="Caption"/>
      </w:pPr>
      <w:bookmarkStart w:id="60" w:name="_Ref68358410"/>
      <w:bookmarkStart w:id="61" w:name="_Toc75881513"/>
      <w:r w:rsidRPr="00284A41">
        <w:t xml:space="preserve">Exhibit </w:t>
      </w:r>
      <w:r w:rsidR="00935584">
        <w:fldChar w:fldCharType="begin"/>
      </w:r>
      <w:r w:rsidR="00935584">
        <w:instrText xml:space="preserve"> SEQ Exhibit \* ARABIC </w:instrText>
      </w:r>
      <w:r w:rsidR="00935584">
        <w:fldChar w:fldCharType="separate"/>
      </w:r>
      <w:r w:rsidR="00E0689D">
        <w:rPr>
          <w:noProof/>
        </w:rPr>
        <w:t>10</w:t>
      </w:r>
      <w:r w:rsidR="00935584">
        <w:rPr>
          <w:noProof/>
        </w:rPr>
        <w:fldChar w:fldCharType="end"/>
      </w:r>
      <w:bookmarkEnd w:id="58"/>
      <w:bookmarkEnd w:id="60"/>
      <w:r w:rsidRPr="00284A41">
        <w:t xml:space="preserve">: </w:t>
      </w:r>
      <w:r w:rsidR="00066859" w:rsidRPr="00284A41">
        <w:t>Summary S</w:t>
      </w:r>
      <w:r w:rsidR="004F558D" w:rsidRPr="00284A41">
        <w:t>tatistics – W</w:t>
      </w:r>
      <w:r w:rsidR="003503B6" w:rsidRPr="00284A41">
        <w:t>orkers C</w:t>
      </w:r>
      <w:r w:rsidR="00726785" w:rsidRPr="00284A41">
        <w:t xml:space="preserve">ompensation </w:t>
      </w:r>
      <w:r w:rsidR="003503B6" w:rsidRPr="00284A41">
        <w:t>P</w:t>
      </w:r>
      <w:r w:rsidR="004F558D" w:rsidRPr="00284A41">
        <w:t>remiums</w:t>
      </w:r>
      <w:bookmarkEnd w:id="59"/>
      <w:bookmarkEnd w:id="61"/>
    </w:p>
    <w:tbl>
      <w:tblPr>
        <w:tblStyle w:val="GridTable4-Accent4"/>
        <w:tblW w:w="9079" w:type="dxa"/>
        <w:tblLook w:val="0420" w:firstRow="1" w:lastRow="0" w:firstColumn="0" w:lastColumn="0" w:noHBand="0" w:noVBand="1"/>
        <w:tblCaption w:val="Exhibit 10: Summary Statistics – Workers Compensation Premium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726785" w:rsidRPr="00284A41" w14:paraId="1951D34B"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5" w:type="pct"/>
          </w:tcPr>
          <w:p w14:paraId="46760468" w14:textId="77777777" w:rsidR="00726785" w:rsidRPr="00284A41" w:rsidRDefault="006842C8" w:rsidP="00BF19CA">
            <w:pPr>
              <w:keepNext/>
              <w:rPr>
                <w:rFonts w:eastAsia="Arial" w:cstheme="minorHAnsi"/>
                <w:szCs w:val="18"/>
              </w:rPr>
            </w:pPr>
            <w:r w:rsidRPr="00284A41">
              <w:rPr>
                <w:rFonts w:eastAsia="Arial" w:cstheme="minorHAnsi"/>
                <w:szCs w:val="18"/>
              </w:rPr>
              <w:t>Respondent type</w:t>
            </w:r>
          </w:p>
        </w:tc>
        <w:tc>
          <w:tcPr>
            <w:tcW w:w="625" w:type="pct"/>
          </w:tcPr>
          <w:p w14:paraId="3893E126" w14:textId="77777777" w:rsidR="00726785" w:rsidRPr="00284A41" w:rsidRDefault="00726785" w:rsidP="00BF19CA">
            <w:pPr>
              <w:keepNext/>
              <w:jc w:val="center"/>
              <w:rPr>
                <w:rFonts w:eastAsia="Arial" w:cstheme="minorHAnsi"/>
                <w:szCs w:val="18"/>
              </w:rPr>
            </w:pPr>
            <w:r w:rsidRPr="00284A41">
              <w:rPr>
                <w:rFonts w:eastAsia="Arial" w:cstheme="minorHAnsi"/>
                <w:szCs w:val="18"/>
              </w:rPr>
              <w:t>Sample size</w:t>
            </w:r>
          </w:p>
        </w:tc>
        <w:tc>
          <w:tcPr>
            <w:tcW w:w="625" w:type="pct"/>
          </w:tcPr>
          <w:p w14:paraId="1C3140B4" w14:textId="77777777" w:rsidR="00726785" w:rsidRPr="00284A41" w:rsidRDefault="00726785" w:rsidP="00BF19CA">
            <w:pPr>
              <w:keepNext/>
              <w:jc w:val="center"/>
              <w:rPr>
                <w:rFonts w:eastAsia="Arial" w:cstheme="minorHAnsi"/>
                <w:szCs w:val="18"/>
              </w:rPr>
            </w:pPr>
            <w:r w:rsidRPr="00284A41">
              <w:rPr>
                <w:rFonts w:eastAsia="Arial" w:cstheme="minorHAnsi"/>
                <w:szCs w:val="18"/>
              </w:rPr>
              <w:t>Mean</w:t>
            </w:r>
          </w:p>
        </w:tc>
        <w:tc>
          <w:tcPr>
            <w:tcW w:w="625" w:type="pct"/>
          </w:tcPr>
          <w:p w14:paraId="288C0153" w14:textId="77777777" w:rsidR="00726785" w:rsidRPr="00284A41" w:rsidRDefault="00726785" w:rsidP="00BF19CA">
            <w:pPr>
              <w:keepNext/>
              <w:jc w:val="center"/>
              <w:rPr>
                <w:rFonts w:eastAsia="Arial" w:cstheme="minorHAnsi"/>
                <w:szCs w:val="18"/>
              </w:rPr>
            </w:pPr>
            <w:r w:rsidRPr="00284A41">
              <w:rPr>
                <w:rFonts w:eastAsia="Arial" w:cstheme="minorHAnsi"/>
                <w:szCs w:val="18"/>
              </w:rPr>
              <w:t>Median</w:t>
            </w:r>
          </w:p>
        </w:tc>
        <w:tc>
          <w:tcPr>
            <w:tcW w:w="625" w:type="pct"/>
          </w:tcPr>
          <w:p w14:paraId="1E1B8F04" w14:textId="77777777" w:rsidR="00726785" w:rsidRPr="00284A41" w:rsidRDefault="00726785" w:rsidP="00BF19CA">
            <w:pPr>
              <w:keepNext/>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5" w:type="pct"/>
          </w:tcPr>
          <w:p w14:paraId="224A5955" w14:textId="77777777" w:rsidR="00726785" w:rsidRPr="00284A41" w:rsidRDefault="00726785" w:rsidP="00BF19CA">
            <w:pPr>
              <w:keepNext/>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7A10EDEF"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7323ADAC" w14:textId="77777777" w:rsidR="001330ED" w:rsidRPr="00284A41" w:rsidRDefault="001330ED" w:rsidP="001330ED">
            <w:pPr>
              <w:keepNext/>
              <w:rPr>
                <w:rFonts w:eastAsia="Arial" w:cstheme="minorHAnsi"/>
                <w:szCs w:val="18"/>
              </w:rPr>
            </w:pPr>
            <w:r w:rsidRPr="00284A41">
              <w:rPr>
                <w:rFonts w:eastAsia="Arial" w:cstheme="minorHAnsi"/>
                <w:szCs w:val="18"/>
              </w:rPr>
              <w:t>All respondents</w:t>
            </w:r>
          </w:p>
        </w:tc>
        <w:tc>
          <w:tcPr>
            <w:tcW w:w="625" w:type="pct"/>
          </w:tcPr>
          <w:p w14:paraId="3ACA9FFD" w14:textId="5EC78747" w:rsidR="001330ED" w:rsidRPr="00284A41" w:rsidRDefault="001330ED" w:rsidP="001330ED">
            <w:pPr>
              <w:keepNext/>
              <w:keepLines/>
              <w:jc w:val="center"/>
              <w:rPr>
                <w:szCs w:val="20"/>
              </w:rPr>
            </w:pPr>
            <w:r w:rsidRPr="00284A41">
              <w:t>576</w:t>
            </w:r>
          </w:p>
        </w:tc>
        <w:tc>
          <w:tcPr>
            <w:tcW w:w="625" w:type="pct"/>
          </w:tcPr>
          <w:p w14:paraId="0A68742C" w14:textId="279DA435" w:rsidR="001330ED" w:rsidRPr="00284A41" w:rsidRDefault="001330ED" w:rsidP="001330ED">
            <w:pPr>
              <w:keepNext/>
              <w:keepLines/>
              <w:jc w:val="center"/>
              <w:rPr>
                <w:szCs w:val="20"/>
              </w:rPr>
            </w:pPr>
            <w:r w:rsidRPr="00284A41">
              <w:t>2.6%</w:t>
            </w:r>
          </w:p>
        </w:tc>
        <w:tc>
          <w:tcPr>
            <w:tcW w:w="625" w:type="pct"/>
          </w:tcPr>
          <w:p w14:paraId="643D657E" w14:textId="65B150EE" w:rsidR="001330ED" w:rsidRPr="00284A41" w:rsidRDefault="001330ED" w:rsidP="001330ED">
            <w:pPr>
              <w:keepNext/>
              <w:keepLines/>
              <w:jc w:val="center"/>
              <w:rPr>
                <w:szCs w:val="20"/>
              </w:rPr>
            </w:pPr>
            <w:r w:rsidRPr="00284A41">
              <w:t>2.3%</w:t>
            </w:r>
          </w:p>
        </w:tc>
        <w:tc>
          <w:tcPr>
            <w:tcW w:w="625" w:type="pct"/>
          </w:tcPr>
          <w:p w14:paraId="226B84BE" w14:textId="5E7AA5D5" w:rsidR="001330ED" w:rsidRPr="00284A41" w:rsidRDefault="001330ED" w:rsidP="001330ED">
            <w:pPr>
              <w:keepNext/>
              <w:keepLines/>
              <w:jc w:val="center"/>
              <w:rPr>
                <w:szCs w:val="20"/>
              </w:rPr>
            </w:pPr>
            <w:r w:rsidRPr="00284A41">
              <w:t>1.8%</w:t>
            </w:r>
          </w:p>
        </w:tc>
        <w:tc>
          <w:tcPr>
            <w:tcW w:w="625" w:type="pct"/>
          </w:tcPr>
          <w:p w14:paraId="11D02B11" w14:textId="2238C162" w:rsidR="001330ED" w:rsidRPr="00284A41" w:rsidRDefault="001330ED" w:rsidP="001330ED">
            <w:pPr>
              <w:keepNext/>
              <w:keepLines/>
              <w:jc w:val="center"/>
              <w:rPr>
                <w:szCs w:val="20"/>
              </w:rPr>
            </w:pPr>
            <w:r w:rsidRPr="00284A41">
              <w:t>3.5%</w:t>
            </w:r>
          </w:p>
        </w:tc>
      </w:tr>
      <w:tr w:rsidR="00726785" w:rsidRPr="00284A41" w14:paraId="0C73239A" w14:textId="77777777" w:rsidTr="0042216D">
        <w:tc>
          <w:tcPr>
            <w:tcW w:w="1875" w:type="pct"/>
          </w:tcPr>
          <w:p w14:paraId="7684E3F4" w14:textId="77777777" w:rsidR="00726785" w:rsidRPr="00284A41" w:rsidRDefault="00726785" w:rsidP="00BF19CA">
            <w:pPr>
              <w:keepNext/>
              <w:rPr>
                <w:rFonts w:eastAsia="Arial" w:cstheme="minorHAnsi"/>
                <w:szCs w:val="18"/>
              </w:rPr>
            </w:pPr>
            <w:r w:rsidRPr="00284A41">
              <w:rPr>
                <w:rFonts w:eastAsia="Arial" w:cstheme="minorHAnsi"/>
                <w:szCs w:val="18"/>
              </w:rPr>
              <w:t>Non-SIL respondents</w:t>
            </w:r>
          </w:p>
        </w:tc>
        <w:tc>
          <w:tcPr>
            <w:tcW w:w="625" w:type="pct"/>
          </w:tcPr>
          <w:p w14:paraId="632A0AD7" w14:textId="77777777" w:rsidR="00726785" w:rsidRPr="00284A41" w:rsidRDefault="00726785" w:rsidP="00BF19CA">
            <w:pPr>
              <w:keepNext/>
              <w:keepLines/>
              <w:jc w:val="center"/>
              <w:rPr>
                <w:szCs w:val="20"/>
              </w:rPr>
            </w:pPr>
            <w:r w:rsidRPr="00284A41">
              <w:rPr>
                <w:szCs w:val="20"/>
              </w:rPr>
              <w:t>401</w:t>
            </w:r>
          </w:p>
        </w:tc>
        <w:tc>
          <w:tcPr>
            <w:tcW w:w="625" w:type="pct"/>
          </w:tcPr>
          <w:p w14:paraId="5EEEB60A" w14:textId="77777777" w:rsidR="00726785" w:rsidRPr="00284A41" w:rsidRDefault="00726785" w:rsidP="00BF19CA">
            <w:pPr>
              <w:keepNext/>
              <w:keepLines/>
              <w:jc w:val="center"/>
              <w:rPr>
                <w:szCs w:val="20"/>
              </w:rPr>
            </w:pPr>
            <w:r w:rsidRPr="00284A41">
              <w:rPr>
                <w:szCs w:val="20"/>
              </w:rPr>
              <w:t>2.5%</w:t>
            </w:r>
          </w:p>
        </w:tc>
        <w:tc>
          <w:tcPr>
            <w:tcW w:w="625" w:type="pct"/>
          </w:tcPr>
          <w:p w14:paraId="06CA98F8" w14:textId="77777777" w:rsidR="00726785" w:rsidRPr="00284A41" w:rsidRDefault="00726785" w:rsidP="00BF19CA">
            <w:pPr>
              <w:keepNext/>
              <w:keepLines/>
              <w:jc w:val="center"/>
              <w:rPr>
                <w:szCs w:val="20"/>
              </w:rPr>
            </w:pPr>
            <w:r w:rsidRPr="00284A41">
              <w:rPr>
                <w:szCs w:val="20"/>
              </w:rPr>
              <w:t>2.2%</w:t>
            </w:r>
          </w:p>
        </w:tc>
        <w:tc>
          <w:tcPr>
            <w:tcW w:w="625" w:type="pct"/>
          </w:tcPr>
          <w:p w14:paraId="255B14D2" w14:textId="77777777" w:rsidR="00726785" w:rsidRPr="00284A41" w:rsidRDefault="00726785" w:rsidP="00BF19CA">
            <w:pPr>
              <w:keepNext/>
              <w:keepLines/>
              <w:jc w:val="center"/>
              <w:rPr>
                <w:szCs w:val="20"/>
              </w:rPr>
            </w:pPr>
            <w:r w:rsidRPr="00284A41">
              <w:rPr>
                <w:szCs w:val="20"/>
              </w:rPr>
              <w:t>1.7%</w:t>
            </w:r>
          </w:p>
        </w:tc>
        <w:tc>
          <w:tcPr>
            <w:tcW w:w="625" w:type="pct"/>
          </w:tcPr>
          <w:p w14:paraId="323A9501" w14:textId="77777777" w:rsidR="00726785" w:rsidRPr="00284A41" w:rsidRDefault="00726785" w:rsidP="00BF19CA">
            <w:pPr>
              <w:keepNext/>
              <w:keepLines/>
              <w:jc w:val="center"/>
              <w:rPr>
                <w:szCs w:val="20"/>
              </w:rPr>
            </w:pPr>
            <w:r w:rsidRPr="00284A41">
              <w:rPr>
                <w:szCs w:val="20"/>
              </w:rPr>
              <w:t>3.0%</w:t>
            </w:r>
          </w:p>
        </w:tc>
      </w:tr>
      <w:tr w:rsidR="00726785" w:rsidRPr="00284A41" w14:paraId="36969036"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3829956D" w14:textId="77777777" w:rsidR="00726785" w:rsidRPr="00284A41" w:rsidRDefault="00726785" w:rsidP="00A536D8">
            <w:pPr>
              <w:rPr>
                <w:rFonts w:eastAsia="Arial" w:cstheme="minorHAnsi"/>
                <w:szCs w:val="18"/>
              </w:rPr>
            </w:pPr>
            <w:r w:rsidRPr="00284A41">
              <w:rPr>
                <w:rFonts w:eastAsia="Arial" w:cstheme="minorHAnsi"/>
                <w:szCs w:val="18"/>
              </w:rPr>
              <w:t>Mixed (SIL/ADL) respondents</w:t>
            </w:r>
          </w:p>
        </w:tc>
        <w:tc>
          <w:tcPr>
            <w:tcW w:w="625" w:type="pct"/>
          </w:tcPr>
          <w:p w14:paraId="2E563F34" w14:textId="77777777" w:rsidR="00726785" w:rsidRPr="00284A41" w:rsidRDefault="00726785" w:rsidP="00A536D8">
            <w:pPr>
              <w:keepNext/>
              <w:keepLines/>
              <w:jc w:val="center"/>
              <w:rPr>
                <w:szCs w:val="20"/>
              </w:rPr>
            </w:pPr>
            <w:r w:rsidRPr="00284A41">
              <w:rPr>
                <w:szCs w:val="20"/>
              </w:rPr>
              <w:t>175</w:t>
            </w:r>
          </w:p>
        </w:tc>
        <w:tc>
          <w:tcPr>
            <w:tcW w:w="625" w:type="pct"/>
          </w:tcPr>
          <w:p w14:paraId="3DC3881B" w14:textId="77777777" w:rsidR="00726785" w:rsidRPr="00284A41" w:rsidRDefault="00726785" w:rsidP="00A536D8">
            <w:pPr>
              <w:keepNext/>
              <w:keepLines/>
              <w:jc w:val="center"/>
              <w:rPr>
                <w:szCs w:val="20"/>
              </w:rPr>
            </w:pPr>
            <w:r w:rsidRPr="00284A41">
              <w:rPr>
                <w:szCs w:val="20"/>
              </w:rPr>
              <w:t>2.8%</w:t>
            </w:r>
          </w:p>
        </w:tc>
        <w:tc>
          <w:tcPr>
            <w:tcW w:w="625" w:type="pct"/>
          </w:tcPr>
          <w:p w14:paraId="114941F6" w14:textId="77777777" w:rsidR="00726785" w:rsidRPr="00284A41" w:rsidRDefault="00726785" w:rsidP="00A536D8">
            <w:pPr>
              <w:keepNext/>
              <w:keepLines/>
              <w:jc w:val="center"/>
              <w:rPr>
                <w:szCs w:val="20"/>
              </w:rPr>
            </w:pPr>
            <w:r w:rsidRPr="00284A41">
              <w:rPr>
                <w:szCs w:val="20"/>
              </w:rPr>
              <w:t>2.6%</w:t>
            </w:r>
          </w:p>
        </w:tc>
        <w:tc>
          <w:tcPr>
            <w:tcW w:w="625" w:type="pct"/>
          </w:tcPr>
          <w:p w14:paraId="42743F27" w14:textId="77777777" w:rsidR="00726785" w:rsidRPr="00284A41" w:rsidRDefault="00726785" w:rsidP="00A536D8">
            <w:pPr>
              <w:keepNext/>
              <w:keepLines/>
              <w:jc w:val="center"/>
              <w:rPr>
                <w:szCs w:val="20"/>
              </w:rPr>
            </w:pPr>
            <w:r w:rsidRPr="00284A41">
              <w:rPr>
                <w:szCs w:val="20"/>
              </w:rPr>
              <w:t>2.0%</w:t>
            </w:r>
          </w:p>
        </w:tc>
        <w:tc>
          <w:tcPr>
            <w:tcW w:w="625" w:type="pct"/>
          </w:tcPr>
          <w:p w14:paraId="00A78B45" w14:textId="77777777" w:rsidR="00726785" w:rsidRPr="00284A41" w:rsidRDefault="00726785" w:rsidP="00A536D8">
            <w:pPr>
              <w:keepNext/>
              <w:keepLines/>
              <w:jc w:val="center"/>
              <w:rPr>
                <w:szCs w:val="20"/>
              </w:rPr>
            </w:pPr>
            <w:r w:rsidRPr="00284A41">
              <w:rPr>
                <w:szCs w:val="20"/>
              </w:rPr>
              <w:t>4.0%</w:t>
            </w:r>
          </w:p>
        </w:tc>
      </w:tr>
      <w:tr w:rsidR="00726785" w:rsidRPr="00284A41" w14:paraId="5F7670C4" w14:textId="77777777" w:rsidTr="0042216D">
        <w:tc>
          <w:tcPr>
            <w:tcW w:w="1875" w:type="pct"/>
          </w:tcPr>
          <w:p w14:paraId="49273FA9" w14:textId="77777777" w:rsidR="00726785" w:rsidRPr="00284A41" w:rsidRDefault="00726785" w:rsidP="00A536D8">
            <w:pPr>
              <w:ind w:left="335"/>
              <w:rPr>
                <w:rFonts w:eastAsia="Arial" w:cstheme="minorHAnsi"/>
                <w:szCs w:val="18"/>
              </w:rPr>
            </w:pPr>
            <w:r w:rsidRPr="00284A41">
              <w:rPr>
                <w:rFonts w:eastAsia="Arial" w:cstheme="minorHAnsi"/>
                <w:szCs w:val="18"/>
              </w:rPr>
              <w:t>0-25% SIL respondents</w:t>
            </w:r>
          </w:p>
        </w:tc>
        <w:tc>
          <w:tcPr>
            <w:tcW w:w="625" w:type="pct"/>
          </w:tcPr>
          <w:p w14:paraId="01C205BF" w14:textId="77777777" w:rsidR="00726785" w:rsidRPr="00284A41" w:rsidRDefault="00726785" w:rsidP="00A536D8">
            <w:pPr>
              <w:keepNext/>
              <w:keepLines/>
              <w:jc w:val="center"/>
              <w:rPr>
                <w:szCs w:val="20"/>
              </w:rPr>
            </w:pPr>
            <w:r w:rsidRPr="00284A41">
              <w:rPr>
                <w:szCs w:val="20"/>
              </w:rPr>
              <w:t>60</w:t>
            </w:r>
          </w:p>
        </w:tc>
        <w:tc>
          <w:tcPr>
            <w:tcW w:w="625" w:type="pct"/>
          </w:tcPr>
          <w:p w14:paraId="0B633194" w14:textId="77777777" w:rsidR="00726785" w:rsidRPr="00284A41" w:rsidRDefault="00726785" w:rsidP="00A536D8">
            <w:pPr>
              <w:keepNext/>
              <w:keepLines/>
              <w:jc w:val="center"/>
              <w:rPr>
                <w:szCs w:val="20"/>
              </w:rPr>
            </w:pPr>
            <w:r w:rsidRPr="00284A41">
              <w:rPr>
                <w:szCs w:val="20"/>
              </w:rPr>
              <w:t>2.5%</w:t>
            </w:r>
          </w:p>
        </w:tc>
        <w:tc>
          <w:tcPr>
            <w:tcW w:w="625" w:type="pct"/>
          </w:tcPr>
          <w:p w14:paraId="7771AF4A" w14:textId="77777777" w:rsidR="00726785" w:rsidRPr="00284A41" w:rsidRDefault="00726785" w:rsidP="00A536D8">
            <w:pPr>
              <w:keepNext/>
              <w:keepLines/>
              <w:jc w:val="center"/>
              <w:rPr>
                <w:szCs w:val="20"/>
              </w:rPr>
            </w:pPr>
            <w:r w:rsidRPr="00284A41">
              <w:rPr>
                <w:szCs w:val="20"/>
              </w:rPr>
              <w:t>2.3%</w:t>
            </w:r>
          </w:p>
        </w:tc>
        <w:tc>
          <w:tcPr>
            <w:tcW w:w="625" w:type="pct"/>
          </w:tcPr>
          <w:p w14:paraId="5F5EA760" w14:textId="77777777" w:rsidR="00726785" w:rsidRPr="00284A41" w:rsidRDefault="00726785" w:rsidP="00A536D8">
            <w:pPr>
              <w:keepNext/>
              <w:keepLines/>
              <w:jc w:val="center"/>
              <w:rPr>
                <w:szCs w:val="20"/>
              </w:rPr>
            </w:pPr>
            <w:r w:rsidRPr="00284A41">
              <w:rPr>
                <w:szCs w:val="20"/>
              </w:rPr>
              <w:t>1.6%</w:t>
            </w:r>
          </w:p>
        </w:tc>
        <w:tc>
          <w:tcPr>
            <w:tcW w:w="625" w:type="pct"/>
          </w:tcPr>
          <w:p w14:paraId="4D480862" w14:textId="77777777" w:rsidR="00726785" w:rsidRPr="00284A41" w:rsidRDefault="00726785" w:rsidP="00A536D8">
            <w:pPr>
              <w:keepNext/>
              <w:keepLines/>
              <w:jc w:val="center"/>
              <w:rPr>
                <w:szCs w:val="20"/>
              </w:rPr>
            </w:pPr>
            <w:r w:rsidRPr="00284A41">
              <w:rPr>
                <w:szCs w:val="20"/>
              </w:rPr>
              <w:t>3.4%</w:t>
            </w:r>
          </w:p>
        </w:tc>
      </w:tr>
      <w:tr w:rsidR="00726785" w:rsidRPr="00284A41" w14:paraId="699F2650"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5DD0EEE3" w14:textId="77777777" w:rsidR="00726785" w:rsidRPr="00284A41" w:rsidRDefault="00726785" w:rsidP="00A536D8">
            <w:pPr>
              <w:ind w:left="335"/>
              <w:rPr>
                <w:rFonts w:eastAsia="Arial" w:cstheme="minorHAnsi"/>
                <w:szCs w:val="18"/>
              </w:rPr>
            </w:pPr>
            <w:r w:rsidRPr="00284A41">
              <w:rPr>
                <w:rFonts w:eastAsia="Arial" w:cstheme="minorHAnsi"/>
                <w:szCs w:val="18"/>
              </w:rPr>
              <w:t>26-50% SIL respondents</w:t>
            </w:r>
          </w:p>
        </w:tc>
        <w:tc>
          <w:tcPr>
            <w:tcW w:w="625" w:type="pct"/>
          </w:tcPr>
          <w:p w14:paraId="33695295" w14:textId="77777777" w:rsidR="00726785" w:rsidRPr="00284A41" w:rsidRDefault="00726785" w:rsidP="00A536D8">
            <w:pPr>
              <w:keepNext/>
              <w:keepLines/>
              <w:jc w:val="center"/>
              <w:rPr>
                <w:szCs w:val="20"/>
              </w:rPr>
            </w:pPr>
            <w:r w:rsidRPr="00284A41">
              <w:rPr>
                <w:szCs w:val="20"/>
              </w:rPr>
              <w:t>37</w:t>
            </w:r>
          </w:p>
        </w:tc>
        <w:tc>
          <w:tcPr>
            <w:tcW w:w="625" w:type="pct"/>
          </w:tcPr>
          <w:p w14:paraId="6A91E8FB" w14:textId="77777777" w:rsidR="00726785" w:rsidRPr="00284A41" w:rsidRDefault="00726785" w:rsidP="00A536D8">
            <w:pPr>
              <w:keepNext/>
              <w:keepLines/>
              <w:jc w:val="center"/>
              <w:rPr>
                <w:szCs w:val="20"/>
              </w:rPr>
            </w:pPr>
            <w:r w:rsidRPr="00284A41">
              <w:rPr>
                <w:szCs w:val="20"/>
              </w:rPr>
              <w:t>3.0%</w:t>
            </w:r>
          </w:p>
        </w:tc>
        <w:tc>
          <w:tcPr>
            <w:tcW w:w="625" w:type="pct"/>
          </w:tcPr>
          <w:p w14:paraId="7AA3D0A1" w14:textId="77777777" w:rsidR="00726785" w:rsidRPr="00284A41" w:rsidRDefault="00726785" w:rsidP="00A536D8">
            <w:pPr>
              <w:keepNext/>
              <w:keepLines/>
              <w:jc w:val="center"/>
              <w:rPr>
                <w:szCs w:val="20"/>
              </w:rPr>
            </w:pPr>
            <w:r w:rsidRPr="00284A41">
              <w:rPr>
                <w:szCs w:val="20"/>
              </w:rPr>
              <w:t>2.9%</w:t>
            </w:r>
          </w:p>
        </w:tc>
        <w:tc>
          <w:tcPr>
            <w:tcW w:w="625" w:type="pct"/>
          </w:tcPr>
          <w:p w14:paraId="79879C75" w14:textId="77777777" w:rsidR="00726785" w:rsidRPr="00284A41" w:rsidRDefault="00726785" w:rsidP="00A536D8">
            <w:pPr>
              <w:keepNext/>
              <w:keepLines/>
              <w:jc w:val="center"/>
              <w:rPr>
                <w:szCs w:val="20"/>
              </w:rPr>
            </w:pPr>
            <w:r w:rsidRPr="00284A41">
              <w:rPr>
                <w:szCs w:val="20"/>
              </w:rPr>
              <w:t>2.0%</w:t>
            </w:r>
          </w:p>
        </w:tc>
        <w:tc>
          <w:tcPr>
            <w:tcW w:w="625" w:type="pct"/>
          </w:tcPr>
          <w:p w14:paraId="628A2AF7" w14:textId="77777777" w:rsidR="00726785" w:rsidRPr="00284A41" w:rsidRDefault="00726785" w:rsidP="00A536D8">
            <w:pPr>
              <w:keepNext/>
              <w:keepLines/>
              <w:jc w:val="center"/>
              <w:rPr>
                <w:szCs w:val="20"/>
              </w:rPr>
            </w:pPr>
            <w:r w:rsidRPr="00284A41">
              <w:rPr>
                <w:szCs w:val="20"/>
              </w:rPr>
              <w:t>4.0%</w:t>
            </w:r>
          </w:p>
        </w:tc>
      </w:tr>
      <w:tr w:rsidR="00726785" w:rsidRPr="00284A41" w14:paraId="2D3E9D8A" w14:textId="77777777" w:rsidTr="0042216D">
        <w:tc>
          <w:tcPr>
            <w:tcW w:w="1875" w:type="pct"/>
          </w:tcPr>
          <w:p w14:paraId="198DAA13" w14:textId="77777777" w:rsidR="00726785" w:rsidRPr="00284A41" w:rsidRDefault="00726785" w:rsidP="00A536D8">
            <w:pPr>
              <w:ind w:left="335"/>
              <w:rPr>
                <w:rFonts w:eastAsia="Arial" w:cstheme="minorHAnsi"/>
                <w:szCs w:val="18"/>
              </w:rPr>
            </w:pPr>
            <w:r w:rsidRPr="00284A41">
              <w:rPr>
                <w:rFonts w:eastAsia="Arial" w:cstheme="minorHAnsi"/>
                <w:szCs w:val="18"/>
              </w:rPr>
              <w:t>51-75% SIL respondents</w:t>
            </w:r>
          </w:p>
        </w:tc>
        <w:tc>
          <w:tcPr>
            <w:tcW w:w="625" w:type="pct"/>
          </w:tcPr>
          <w:p w14:paraId="6AC25AAA" w14:textId="77777777" w:rsidR="00726785" w:rsidRPr="00284A41" w:rsidRDefault="00726785" w:rsidP="00A536D8">
            <w:pPr>
              <w:keepNext/>
              <w:keepLines/>
              <w:jc w:val="center"/>
              <w:rPr>
                <w:szCs w:val="20"/>
              </w:rPr>
            </w:pPr>
            <w:r w:rsidRPr="00284A41">
              <w:rPr>
                <w:szCs w:val="20"/>
              </w:rPr>
              <w:t>54</w:t>
            </w:r>
          </w:p>
        </w:tc>
        <w:tc>
          <w:tcPr>
            <w:tcW w:w="625" w:type="pct"/>
          </w:tcPr>
          <w:p w14:paraId="3D1D1BB4" w14:textId="77777777" w:rsidR="00726785" w:rsidRPr="00284A41" w:rsidRDefault="00726785" w:rsidP="00A536D8">
            <w:pPr>
              <w:keepNext/>
              <w:keepLines/>
              <w:jc w:val="center"/>
              <w:rPr>
                <w:szCs w:val="20"/>
              </w:rPr>
            </w:pPr>
            <w:r w:rsidRPr="00284A41">
              <w:rPr>
                <w:szCs w:val="20"/>
              </w:rPr>
              <w:t>3.1%</w:t>
            </w:r>
          </w:p>
        </w:tc>
        <w:tc>
          <w:tcPr>
            <w:tcW w:w="625" w:type="pct"/>
          </w:tcPr>
          <w:p w14:paraId="20BC8A1B" w14:textId="77777777" w:rsidR="00726785" w:rsidRPr="00284A41" w:rsidRDefault="00726785" w:rsidP="00A536D8">
            <w:pPr>
              <w:keepNext/>
              <w:keepLines/>
              <w:jc w:val="center"/>
              <w:rPr>
                <w:szCs w:val="20"/>
              </w:rPr>
            </w:pPr>
            <w:r w:rsidRPr="00284A41">
              <w:rPr>
                <w:szCs w:val="20"/>
              </w:rPr>
              <w:t>3.0%</w:t>
            </w:r>
          </w:p>
        </w:tc>
        <w:tc>
          <w:tcPr>
            <w:tcW w:w="625" w:type="pct"/>
          </w:tcPr>
          <w:p w14:paraId="7C0AECBF" w14:textId="77777777" w:rsidR="00726785" w:rsidRPr="00284A41" w:rsidRDefault="00726785" w:rsidP="00A536D8">
            <w:pPr>
              <w:keepNext/>
              <w:keepLines/>
              <w:jc w:val="center"/>
              <w:rPr>
                <w:szCs w:val="20"/>
              </w:rPr>
            </w:pPr>
            <w:r w:rsidRPr="00284A41">
              <w:rPr>
                <w:szCs w:val="20"/>
              </w:rPr>
              <w:t>2.0%</w:t>
            </w:r>
          </w:p>
        </w:tc>
        <w:tc>
          <w:tcPr>
            <w:tcW w:w="625" w:type="pct"/>
          </w:tcPr>
          <w:p w14:paraId="4A294B67" w14:textId="77777777" w:rsidR="00726785" w:rsidRPr="00284A41" w:rsidRDefault="00726785" w:rsidP="00A536D8">
            <w:pPr>
              <w:keepNext/>
              <w:keepLines/>
              <w:jc w:val="center"/>
              <w:rPr>
                <w:szCs w:val="20"/>
              </w:rPr>
            </w:pPr>
            <w:r w:rsidRPr="00284A41">
              <w:rPr>
                <w:szCs w:val="20"/>
              </w:rPr>
              <w:t>4.1%</w:t>
            </w:r>
          </w:p>
        </w:tc>
      </w:tr>
      <w:tr w:rsidR="00726785" w:rsidRPr="00284A41" w14:paraId="54874EB9"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562E78EB" w14:textId="77777777" w:rsidR="00726785" w:rsidRPr="00284A41" w:rsidRDefault="00726785" w:rsidP="00A536D8">
            <w:pPr>
              <w:ind w:left="335"/>
              <w:rPr>
                <w:rFonts w:eastAsia="Arial" w:cstheme="minorHAnsi"/>
                <w:szCs w:val="18"/>
              </w:rPr>
            </w:pPr>
            <w:r w:rsidRPr="00284A41">
              <w:rPr>
                <w:rFonts w:eastAsia="Arial" w:cstheme="minorHAnsi"/>
                <w:szCs w:val="18"/>
              </w:rPr>
              <w:t>76-100% SIL respondents</w:t>
            </w:r>
          </w:p>
        </w:tc>
        <w:tc>
          <w:tcPr>
            <w:tcW w:w="625" w:type="pct"/>
          </w:tcPr>
          <w:p w14:paraId="4FE1BBA4" w14:textId="77777777" w:rsidR="00726785" w:rsidRPr="00284A41" w:rsidRDefault="00726785" w:rsidP="00A536D8">
            <w:pPr>
              <w:keepNext/>
              <w:keepLines/>
              <w:jc w:val="center"/>
              <w:rPr>
                <w:szCs w:val="20"/>
              </w:rPr>
            </w:pPr>
            <w:r w:rsidRPr="00284A41">
              <w:rPr>
                <w:szCs w:val="20"/>
              </w:rPr>
              <w:t>24</w:t>
            </w:r>
          </w:p>
        </w:tc>
        <w:tc>
          <w:tcPr>
            <w:tcW w:w="625" w:type="pct"/>
          </w:tcPr>
          <w:p w14:paraId="21E86E7A" w14:textId="77777777" w:rsidR="00726785" w:rsidRPr="00284A41" w:rsidRDefault="00726785" w:rsidP="00A536D8">
            <w:pPr>
              <w:keepNext/>
              <w:keepLines/>
              <w:jc w:val="center"/>
              <w:rPr>
                <w:szCs w:val="20"/>
              </w:rPr>
            </w:pPr>
            <w:r w:rsidRPr="00284A41">
              <w:rPr>
                <w:szCs w:val="20"/>
              </w:rPr>
              <w:t>3.2%</w:t>
            </w:r>
          </w:p>
        </w:tc>
        <w:tc>
          <w:tcPr>
            <w:tcW w:w="625" w:type="pct"/>
          </w:tcPr>
          <w:p w14:paraId="6CE3075F" w14:textId="77777777" w:rsidR="00726785" w:rsidRPr="00284A41" w:rsidRDefault="00726785" w:rsidP="00A536D8">
            <w:pPr>
              <w:keepNext/>
              <w:keepLines/>
              <w:jc w:val="center"/>
              <w:rPr>
                <w:szCs w:val="20"/>
              </w:rPr>
            </w:pPr>
            <w:r w:rsidRPr="00284A41">
              <w:rPr>
                <w:szCs w:val="20"/>
              </w:rPr>
              <w:t>2.6%</w:t>
            </w:r>
          </w:p>
        </w:tc>
        <w:tc>
          <w:tcPr>
            <w:tcW w:w="625" w:type="pct"/>
          </w:tcPr>
          <w:p w14:paraId="5C9ECB89" w14:textId="77777777" w:rsidR="00726785" w:rsidRPr="00284A41" w:rsidRDefault="00726785" w:rsidP="00A536D8">
            <w:pPr>
              <w:keepNext/>
              <w:keepLines/>
              <w:jc w:val="center"/>
              <w:rPr>
                <w:szCs w:val="20"/>
              </w:rPr>
            </w:pPr>
            <w:r w:rsidRPr="00284A41">
              <w:rPr>
                <w:szCs w:val="20"/>
              </w:rPr>
              <w:t>2.3%</w:t>
            </w:r>
          </w:p>
        </w:tc>
        <w:tc>
          <w:tcPr>
            <w:tcW w:w="625" w:type="pct"/>
          </w:tcPr>
          <w:p w14:paraId="52F322B5" w14:textId="77777777" w:rsidR="00726785" w:rsidRPr="00284A41" w:rsidRDefault="00726785" w:rsidP="00A536D8">
            <w:pPr>
              <w:keepNext/>
              <w:keepLines/>
              <w:jc w:val="center"/>
              <w:rPr>
                <w:szCs w:val="20"/>
              </w:rPr>
            </w:pPr>
            <w:r w:rsidRPr="00284A41">
              <w:rPr>
                <w:szCs w:val="20"/>
              </w:rPr>
              <w:t>4.3%</w:t>
            </w:r>
          </w:p>
        </w:tc>
      </w:tr>
    </w:tbl>
    <w:p w14:paraId="27BF172E" w14:textId="39C4B816" w:rsidR="002516F0" w:rsidRPr="00284A41" w:rsidRDefault="00726785" w:rsidP="002516F0">
      <w:r w:rsidRPr="00284A41">
        <w:t>Regression analysis (</w:t>
      </w:r>
      <w:r w:rsidR="00A536D8" w:rsidRPr="00284A41">
        <w:fldChar w:fldCharType="begin"/>
      </w:r>
      <w:r w:rsidR="00A536D8" w:rsidRPr="00284A41">
        <w:instrText xml:space="preserve"> REF _Ref68011381 \h </w:instrText>
      </w:r>
      <w:r w:rsidR="00284A41">
        <w:instrText xml:space="preserve"> \* MERGEFORMAT </w:instrText>
      </w:r>
      <w:r w:rsidR="00A536D8" w:rsidRPr="00284A41">
        <w:fldChar w:fldCharType="separate"/>
      </w:r>
      <w:r w:rsidR="00E0689D" w:rsidRPr="00284A41">
        <w:t xml:space="preserve">Exhibit </w:t>
      </w:r>
      <w:r w:rsidR="00E0689D">
        <w:rPr>
          <w:noProof/>
        </w:rPr>
        <w:t>11</w:t>
      </w:r>
      <w:r w:rsidR="00A536D8" w:rsidRPr="00284A41">
        <w:fldChar w:fldCharType="end"/>
      </w:r>
      <w:r w:rsidRPr="00284A41">
        <w:t>) further confirmed a positive relationship between SIL provision and workers compensation premiums paid as a percentage of wages and salaries</w:t>
      </w:r>
      <w:r w:rsidR="00C50656" w:rsidRPr="00284A41">
        <w:t xml:space="preserve">. </w:t>
      </w:r>
    </w:p>
    <w:p w14:paraId="6700497F" w14:textId="4BAF8646" w:rsidR="002516F0" w:rsidRPr="00284A41" w:rsidRDefault="002516F0" w:rsidP="002516F0">
      <w:r w:rsidRPr="00284A41">
        <w:t xml:space="preserve">There are no inherent structural differences between providers that offer some SIL services to those that do not offer SIL services that would contribute to differences in the level of workers compensation premiums paid by a provider. This is indicated by the fact that the indicator variable for SIL provision is not significantly different than zero across the regression equations. However, there is a statistically significant relationship to the share of revenue from SIL increases, as this increases, so do workers’ compensation premiums. </w:t>
      </w:r>
    </w:p>
    <w:p w14:paraId="11108972" w14:textId="1B13486A" w:rsidR="002516F0" w:rsidRPr="00284A41" w:rsidRDefault="002516F0" w:rsidP="002516F0">
      <w:r w:rsidRPr="00284A41">
        <w:t>A one percentage point increase in the proportion of revenue received from SIL services by an organisation is associated with a 0.009 percentage point increase in the workers compensation premium paid by an organisation, on average. For example, if an organisation that received 0% of their revenue from SIL had a workers compensation premium of 1.7%, then an otherwise identical organisation with 100% revenue sourced from SIL would be expected to have a workers compensation premium of 2.6%. A similar effect, but slightly smaller difference, is observed for efficient (25</w:t>
      </w:r>
      <w:r w:rsidRPr="00284A41">
        <w:rPr>
          <w:vertAlign w:val="superscript"/>
        </w:rPr>
        <w:t>th</w:t>
      </w:r>
      <w:r w:rsidRPr="00284A41">
        <w:t xml:space="preserve"> percentile) providers. So given the observed average workers compensation premium for efficient non-SIL providers is 1.7% (see </w:t>
      </w:r>
      <w:r w:rsidRPr="00284A41">
        <w:fldChar w:fldCharType="begin"/>
      </w:r>
      <w:r w:rsidRPr="00284A41">
        <w:instrText xml:space="preserve"> REF _Ref68358410 \h  \* MERGEFORMAT </w:instrText>
      </w:r>
      <w:r w:rsidRPr="00284A41">
        <w:fldChar w:fldCharType="separate"/>
      </w:r>
      <w:r w:rsidR="00E0689D" w:rsidRPr="00284A41">
        <w:t xml:space="preserve">Exhibit </w:t>
      </w:r>
      <w:r w:rsidR="00E0689D">
        <w:rPr>
          <w:noProof/>
        </w:rPr>
        <w:t>10</w:t>
      </w:r>
      <w:r w:rsidRPr="00284A41">
        <w:fldChar w:fldCharType="end"/>
      </w:r>
      <w:r w:rsidRPr="00284A41">
        <w:t>) then the expected average workers compensation premium for efficient SIL providers is 2.4%</w:t>
      </w:r>
      <w:r w:rsidR="00C730FC">
        <w:t>. The implications of this</w:t>
      </w:r>
      <w:r w:rsidR="00C730FC" w:rsidRPr="00284A41">
        <w:t xml:space="preserve"> finding will be considered in Chapter 3.</w:t>
      </w:r>
    </w:p>
    <w:p w14:paraId="66084063" w14:textId="662F3957" w:rsidR="00102C6D" w:rsidRPr="00284A41" w:rsidRDefault="00A536D8" w:rsidP="00066859">
      <w:pPr>
        <w:pStyle w:val="Caption"/>
      </w:pPr>
      <w:bookmarkStart w:id="62" w:name="_Ref68011381"/>
      <w:bookmarkStart w:id="63" w:name="_Toc75881514"/>
      <w:r w:rsidRPr="00284A41">
        <w:t xml:space="preserve">Exhibit </w:t>
      </w:r>
      <w:r w:rsidR="00935584">
        <w:fldChar w:fldCharType="begin"/>
      </w:r>
      <w:r w:rsidR="00935584">
        <w:instrText xml:space="preserve"> SEQ Exhibit \* ARABIC </w:instrText>
      </w:r>
      <w:r w:rsidR="00935584">
        <w:fldChar w:fldCharType="separate"/>
      </w:r>
      <w:r w:rsidR="00E0689D">
        <w:rPr>
          <w:noProof/>
        </w:rPr>
        <w:t>11</w:t>
      </w:r>
      <w:r w:rsidR="00935584">
        <w:rPr>
          <w:noProof/>
        </w:rPr>
        <w:fldChar w:fldCharType="end"/>
      </w:r>
      <w:bookmarkEnd w:id="62"/>
      <w:r w:rsidRPr="00284A41">
        <w:t xml:space="preserve">: </w:t>
      </w:r>
      <w:bookmarkStart w:id="64" w:name="_Toc68003291"/>
      <w:r w:rsidR="00710C25" w:rsidRPr="00284A41">
        <w:t>Regressio</w:t>
      </w:r>
      <w:r w:rsidRPr="00284A41">
        <w:t>n</w:t>
      </w:r>
      <w:r w:rsidR="00066859" w:rsidRPr="00284A41">
        <w:t xml:space="preserve"> Analysis</w:t>
      </w:r>
      <w:r w:rsidR="003503B6" w:rsidRPr="00284A41">
        <w:t xml:space="preserve"> </w:t>
      </w:r>
      <w:r w:rsidR="00EE429E" w:rsidRPr="00284A41">
        <w:t>– Workers’ Compensation P</w:t>
      </w:r>
      <w:r w:rsidR="00710C25" w:rsidRPr="00284A41">
        <w:t>remium</w:t>
      </w:r>
      <w:bookmarkEnd w:id="64"/>
      <w:r w:rsidRPr="00284A41">
        <w:t>s</w:t>
      </w:r>
      <w:r w:rsidR="00264B60" w:rsidRPr="00284A41">
        <w:rPr>
          <w:rStyle w:val="FootnoteReference"/>
        </w:rPr>
        <w:footnoteReference w:id="14"/>
      </w:r>
      <w:bookmarkEnd w:id="63"/>
    </w:p>
    <w:tbl>
      <w:tblPr>
        <w:tblStyle w:val="GridTable4-Accent4"/>
        <w:tblW w:w="8956" w:type="dxa"/>
        <w:tblLook w:val="0460" w:firstRow="1" w:lastRow="1" w:firstColumn="0" w:lastColumn="0" w:noHBand="0" w:noVBand="1"/>
        <w:tblCaption w:val="Exhibit 11: Regression Analysis – Workers’ Compensation Premiums"/>
        <w:tblDescription w:val="A table displaying the regression variables and results received for the mean, median, 25th pecentile and 75th percentile values and at the relevant signficance level."/>
      </w:tblPr>
      <w:tblGrid>
        <w:gridCol w:w="4476"/>
        <w:gridCol w:w="1120"/>
        <w:gridCol w:w="1120"/>
        <w:gridCol w:w="1120"/>
        <w:gridCol w:w="1120"/>
      </w:tblGrid>
      <w:tr w:rsidR="00102C6D" w:rsidRPr="00284A41" w14:paraId="1CF3BDE7" w14:textId="77777777" w:rsidTr="001F10E4">
        <w:trPr>
          <w:cnfStyle w:val="100000000000" w:firstRow="1" w:lastRow="0" w:firstColumn="0" w:lastColumn="0" w:oddVBand="0" w:evenVBand="0" w:oddHBand="0" w:evenHBand="0" w:firstRowFirstColumn="0" w:firstRowLastColumn="0" w:lastRowFirstColumn="0" w:lastRowLastColumn="0"/>
          <w:trHeight w:val="252"/>
          <w:tblHeader/>
        </w:trPr>
        <w:tc>
          <w:tcPr>
            <w:tcW w:w="2499" w:type="pct"/>
          </w:tcPr>
          <w:p w14:paraId="659B06E1" w14:textId="77777777" w:rsidR="00102C6D" w:rsidRPr="00284A41" w:rsidRDefault="006842C8" w:rsidP="00A4091E">
            <w:pPr>
              <w:keepNext/>
              <w:keepLines/>
              <w:rPr>
                <w:rFonts w:ascii="Arial" w:eastAsia="Arial" w:hAnsi="Arial" w:cs="Arial"/>
                <w:szCs w:val="20"/>
              </w:rPr>
            </w:pPr>
            <w:r w:rsidRPr="00284A41">
              <w:rPr>
                <w:rFonts w:ascii="Arial" w:eastAsia="Arial" w:hAnsi="Arial" w:cs="Arial"/>
                <w:szCs w:val="20"/>
              </w:rPr>
              <w:t>Regression variables</w:t>
            </w:r>
          </w:p>
        </w:tc>
        <w:tc>
          <w:tcPr>
            <w:tcW w:w="625" w:type="pct"/>
          </w:tcPr>
          <w:p w14:paraId="0763DBA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20"/>
              </w:rPr>
              <w:t>Mean</w:t>
            </w:r>
          </w:p>
        </w:tc>
        <w:tc>
          <w:tcPr>
            <w:tcW w:w="625" w:type="pct"/>
          </w:tcPr>
          <w:p w14:paraId="1CEF51F1"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20"/>
              </w:rPr>
              <w:t>Median</w:t>
            </w:r>
          </w:p>
        </w:tc>
        <w:tc>
          <w:tcPr>
            <w:tcW w:w="625" w:type="pct"/>
          </w:tcPr>
          <w:p w14:paraId="24275914"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00C50656" w:rsidRPr="00284A41">
              <w:rPr>
                <w:rFonts w:ascii="Arial" w:eastAsia="Arial" w:hAnsi="Arial" w:cs="Arial"/>
                <w:szCs w:val="20"/>
              </w:rPr>
              <w:t xml:space="preserve"> percentile</w:t>
            </w:r>
          </w:p>
        </w:tc>
        <w:tc>
          <w:tcPr>
            <w:tcW w:w="625" w:type="pct"/>
          </w:tcPr>
          <w:p w14:paraId="14911588"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h</w:t>
            </w:r>
            <w:r w:rsidR="00C50656" w:rsidRPr="00284A41">
              <w:rPr>
                <w:rFonts w:ascii="Arial" w:eastAsia="Arial" w:hAnsi="Arial" w:cs="Arial"/>
                <w:szCs w:val="20"/>
              </w:rPr>
              <w:t xml:space="preserve"> percentile</w:t>
            </w:r>
          </w:p>
        </w:tc>
      </w:tr>
      <w:tr w:rsidR="00102C6D" w:rsidRPr="00284A41" w14:paraId="0B7DBBEC"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4DC902EF" w14:textId="77777777" w:rsidR="00102C6D" w:rsidRPr="00284A41" w:rsidRDefault="00C50656" w:rsidP="00A4091E">
            <w:pPr>
              <w:keepNext/>
              <w:keepLines/>
              <w:rPr>
                <w:rFonts w:ascii="Arial" w:eastAsia="Arial" w:hAnsi="Arial" w:cs="Arial"/>
                <w:szCs w:val="20"/>
              </w:rPr>
            </w:pPr>
            <w:r w:rsidRPr="00284A41">
              <w:rPr>
                <w:rFonts w:ascii="Arial" w:eastAsia="Arial" w:hAnsi="Arial" w:cs="Arial"/>
                <w:szCs w:val="20"/>
              </w:rPr>
              <w:t>SIL provider indicator</w:t>
            </w:r>
          </w:p>
        </w:tc>
        <w:tc>
          <w:tcPr>
            <w:tcW w:w="625" w:type="pct"/>
          </w:tcPr>
          <w:p w14:paraId="3382779F"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c>
          <w:tcPr>
            <w:tcW w:w="625" w:type="pct"/>
          </w:tcPr>
          <w:p w14:paraId="2F33DEB6"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-0.001</w:t>
            </w:r>
          </w:p>
        </w:tc>
        <w:tc>
          <w:tcPr>
            <w:tcW w:w="625" w:type="pct"/>
          </w:tcPr>
          <w:p w14:paraId="73F3BEAF"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c>
          <w:tcPr>
            <w:tcW w:w="625" w:type="pct"/>
          </w:tcPr>
          <w:p w14:paraId="68E74638"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r>
      <w:tr w:rsidR="00102C6D" w:rsidRPr="00284A41" w14:paraId="3802635E" w14:textId="77777777" w:rsidTr="0042216D">
        <w:trPr>
          <w:trHeight w:val="263"/>
        </w:trPr>
        <w:tc>
          <w:tcPr>
            <w:tcW w:w="2499" w:type="pct"/>
          </w:tcPr>
          <w:p w14:paraId="719EFD96"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Percentage of revenue sourced from SIL</w:t>
            </w:r>
          </w:p>
        </w:tc>
        <w:tc>
          <w:tcPr>
            <w:tcW w:w="625" w:type="pct"/>
          </w:tcPr>
          <w:p w14:paraId="7B734DD0"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0.009</w:t>
            </w:r>
            <w:r w:rsidR="00102C6D" w:rsidRPr="00284A41">
              <w:rPr>
                <w:rFonts w:ascii="Arial" w:eastAsia="Arial" w:hAnsi="Arial" w:cs="Arial"/>
                <w:szCs w:val="18"/>
              </w:rPr>
              <w:t>**</w:t>
            </w:r>
          </w:p>
        </w:tc>
        <w:tc>
          <w:tcPr>
            <w:tcW w:w="625" w:type="pct"/>
          </w:tcPr>
          <w:p w14:paraId="117D1B2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0.011**</w:t>
            </w:r>
          </w:p>
        </w:tc>
        <w:tc>
          <w:tcPr>
            <w:tcW w:w="625" w:type="pct"/>
          </w:tcPr>
          <w:p w14:paraId="07885582"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0.007</w:t>
            </w:r>
            <w:r w:rsidR="00102C6D" w:rsidRPr="00284A41">
              <w:rPr>
                <w:rFonts w:ascii="Arial" w:eastAsia="Arial" w:hAnsi="Arial" w:cs="Arial"/>
                <w:szCs w:val="18"/>
              </w:rPr>
              <w:t>*</w:t>
            </w:r>
          </w:p>
        </w:tc>
        <w:tc>
          <w:tcPr>
            <w:tcW w:w="625" w:type="pct"/>
          </w:tcPr>
          <w:p w14:paraId="14450CA2"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0.017**</w:t>
            </w:r>
          </w:p>
        </w:tc>
      </w:tr>
      <w:tr w:rsidR="00102C6D" w:rsidRPr="00284A41" w14:paraId="7BF05152"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4EAACFAF"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Number of clients (log)</w:t>
            </w:r>
          </w:p>
        </w:tc>
        <w:tc>
          <w:tcPr>
            <w:tcW w:w="625" w:type="pct"/>
          </w:tcPr>
          <w:p w14:paraId="09EE51C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-0.004**</w:t>
            </w:r>
          </w:p>
        </w:tc>
        <w:tc>
          <w:tcPr>
            <w:tcW w:w="625" w:type="pct"/>
          </w:tcPr>
          <w:p w14:paraId="16C50E86"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-0.004</w:t>
            </w:r>
            <w:r w:rsidR="00102C6D" w:rsidRPr="00284A41">
              <w:rPr>
                <w:rFonts w:ascii="Arial" w:eastAsia="Arial" w:hAnsi="Arial" w:cs="Arial"/>
                <w:szCs w:val="18"/>
              </w:rPr>
              <w:t>**</w:t>
            </w:r>
          </w:p>
        </w:tc>
        <w:tc>
          <w:tcPr>
            <w:tcW w:w="625" w:type="pct"/>
          </w:tcPr>
          <w:p w14:paraId="20CAF77C"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-0.001</w:t>
            </w:r>
          </w:p>
        </w:tc>
        <w:tc>
          <w:tcPr>
            <w:tcW w:w="625" w:type="pct"/>
          </w:tcPr>
          <w:p w14:paraId="25850A7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-0.006**</w:t>
            </w:r>
          </w:p>
        </w:tc>
      </w:tr>
      <w:tr w:rsidR="00102C6D" w:rsidRPr="00284A41" w14:paraId="04E631DC" w14:textId="77777777" w:rsidTr="0042216D">
        <w:trPr>
          <w:trHeight w:val="263"/>
        </w:trPr>
        <w:tc>
          <w:tcPr>
            <w:tcW w:w="2499" w:type="pct"/>
          </w:tcPr>
          <w:p w14:paraId="4D6CB6EA"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Staff-supervisor ratio (headcount) (log)</w:t>
            </w:r>
          </w:p>
        </w:tc>
        <w:tc>
          <w:tcPr>
            <w:tcW w:w="625" w:type="pct"/>
          </w:tcPr>
          <w:p w14:paraId="5EB22039"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728B1627"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5CDDC223"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426DAF2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238B0DAF"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0E13769A"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 xml:space="preserve">Average base wage (Front line supervisor) </w:t>
            </w:r>
          </w:p>
        </w:tc>
        <w:tc>
          <w:tcPr>
            <w:tcW w:w="625" w:type="pct"/>
          </w:tcPr>
          <w:p w14:paraId="1BB9B5D5"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3E817596"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0788C0BB"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2456731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6C4D44C6" w14:textId="77777777" w:rsidTr="0042216D">
        <w:trPr>
          <w:trHeight w:val="263"/>
        </w:trPr>
        <w:tc>
          <w:tcPr>
            <w:tcW w:w="2499" w:type="pct"/>
          </w:tcPr>
          <w:p w14:paraId="2898A680"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 xml:space="preserve">Average base wage (DSW) </w:t>
            </w:r>
          </w:p>
        </w:tc>
        <w:tc>
          <w:tcPr>
            <w:tcW w:w="625" w:type="pct"/>
          </w:tcPr>
          <w:p w14:paraId="0338519F"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-0.001</w:t>
            </w:r>
            <w:r w:rsidR="00102C6D" w:rsidRPr="00284A41">
              <w:rPr>
                <w:rFonts w:ascii="Arial" w:eastAsia="Arial" w:hAnsi="Arial" w:cs="Arial"/>
                <w:szCs w:val="18"/>
              </w:rPr>
              <w:t>*</w:t>
            </w:r>
          </w:p>
        </w:tc>
        <w:tc>
          <w:tcPr>
            <w:tcW w:w="625" w:type="pct"/>
          </w:tcPr>
          <w:p w14:paraId="22A0016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6F638312"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57A83D87"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0C12C078"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6B544CE0"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QLD</w:t>
            </w:r>
            <w:r w:rsidR="00D51C6F" w:rsidRPr="00284A41">
              <w:rPr>
                <w:rFonts w:ascii="Arial" w:eastAsia="Arial" w:hAnsi="Arial" w:cs="Arial"/>
                <w:szCs w:val="20"/>
              </w:rPr>
              <w:t xml:space="preserve"> provider indicator</w:t>
            </w:r>
          </w:p>
        </w:tc>
        <w:tc>
          <w:tcPr>
            <w:tcW w:w="625" w:type="pct"/>
          </w:tcPr>
          <w:p w14:paraId="1C160B6A"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-0.011**</w:t>
            </w:r>
          </w:p>
        </w:tc>
        <w:tc>
          <w:tcPr>
            <w:tcW w:w="625" w:type="pct"/>
          </w:tcPr>
          <w:p w14:paraId="14C0937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-0.013**</w:t>
            </w:r>
          </w:p>
        </w:tc>
        <w:tc>
          <w:tcPr>
            <w:tcW w:w="625" w:type="pct"/>
          </w:tcPr>
          <w:p w14:paraId="3AE6DBC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-0.008**</w:t>
            </w:r>
          </w:p>
        </w:tc>
        <w:tc>
          <w:tcPr>
            <w:tcW w:w="625" w:type="pct"/>
          </w:tcPr>
          <w:p w14:paraId="458B4CEC"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-0.012**</w:t>
            </w:r>
          </w:p>
        </w:tc>
      </w:tr>
      <w:tr w:rsidR="00102C6D" w:rsidRPr="00284A41" w14:paraId="1B44BA4B" w14:textId="77777777" w:rsidTr="0042216D">
        <w:trPr>
          <w:trHeight w:val="263"/>
        </w:trPr>
        <w:tc>
          <w:tcPr>
            <w:tcW w:w="2499" w:type="pct"/>
          </w:tcPr>
          <w:p w14:paraId="466E810D"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NSW</w:t>
            </w:r>
            <w:r w:rsidR="00D51C6F" w:rsidRPr="00284A41">
              <w:rPr>
                <w:rFonts w:ascii="Arial" w:eastAsia="Arial" w:hAnsi="Arial" w:cs="Arial"/>
                <w:szCs w:val="20"/>
              </w:rPr>
              <w:t xml:space="preserve"> provider indicator</w:t>
            </w:r>
          </w:p>
        </w:tc>
        <w:tc>
          <w:tcPr>
            <w:tcW w:w="625" w:type="pct"/>
          </w:tcPr>
          <w:p w14:paraId="1859B82D"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-0.004</w:t>
            </w:r>
            <w:r w:rsidR="00102C6D" w:rsidRPr="00284A41">
              <w:rPr>
                <w:rFonts w:ascii="Arial" w:eastAsia="Arial" w:hAnsi="Arial" w:cs="Arial"/>
                <w:szCs w:val="18"/>
              </w:rPr>
              <w:t>*</w:t>
            </w:r>
          </w:p>
        </w:tc>
        <w:tc>
          <w:tcPr>
            <w:tcW w:w="625" w:type="pct"/>
          </w:tcPr>
          <w:p w14:paraId="44FB51C4"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-0.006</w:t>
            </w:r>
            <w:r w:rsidR="00102C6D" w:rsidRPr="00284A41">
              <w:rPr>
                <w:rFonts w:ascii="Arial" w:eastAsia="Arial" w:hAnsi="Arial" w:cs="Arial"/>
                <w:szCs w:val="18"/>
              </w:rPr>
              <w:t>*</w:t>
            </w:r>
          </w:p>
        </w:tc>
        <w:tc>
          <w:tcPr>
            <w:tcW w:w="625" w:type="pct"/>
          </w:tcPr>
          <w:p w14:paraId="787CA79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-0.005</w:t>
            </w:r>
          </w:p>
        </w:tc>
        <w:tc>
          <w:tcPr>
            <w:tcW w:w="625" w:type="pct"/>
          </w:tcPr>
          <w:p w14:paraId="613722F3"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6A0F1340"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36AB85F2"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VIC</w:t>
            </w:r>
            <w:r w:rsidR="00D51C6F" w:rsidRPr="00284A41">
              <w:rPr>
                <w:rFonts w:ascii="Arial" w:eastAsia="Arial" w:hAnsi="Arial" w:cs="Arial"/>
                <w:szCs w:val="20"/>
              </w:rPr>
              <w:t xml:space="preserve"> provider indicator</w:t>
            </w:r>
          </w:p>
        </w:tc>
        <w:tc>
          <w:tcPr>
            <w:tcW w:w="625" w:type="pct"/>
          </w:tcPr>
          <w:p w14:paraId="6D3E5F51"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-0.007</w:t>
            </w:r>
            <w:r w:rsidR="00102C6D" w:rsidRPr="00284A41">
              <w:rPr>
                <w:rFonts w:ascii="Arial" w:eastAsia="Arial" w:hAnsi="Arial" w:cs="Arial"/>
                <w:szCs w:val="18"/>
              </w:rPr>
              <w:t>**</w:t>
            </w:r>
          </w:p>
        </w:tc>
        <w:tc>
          <w:tcPr>
            <w:tcW w:w="625" w:type="pct"/>
          </w:tcPr>
          <w:p w14:paraId="0CDB8E6E"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-0.009</w:t>
            </w:r>
            <w:r w:rsidR="00102C6D" w:rsidRPr="00284A41">
              <w:rPr>
                <w:rFonts w:ascii="Arial" w:eastAsia="Arial" w:hAnsi="Arial" w:cs="Arial"/>
                <w:szCs w:val="18"/>
              </w:rPr>
              <w:t>**</w:t>
            </w:r>
          </w:p>
        </w:tc>
        <w:tc>
          <w:tcPr>
            <w:tcW w:w="625" w:type="pct"/>
          </w:tcPr>
          <w:p w14:paraId="5DF3C9EE"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-0.006</w:t>
            </w:r>
            <w:r w:rsidR="00102C6D" w:rsidRPr="00284A41">
              <w:rPr>
                <w:rFonts w:ascii="Arial" w:eastAsia="Arial" w:hAnsi="Arial" w:cs="Arial"/>
                <w:szCs w:val="18"/>
              </w:rPr>
              <w:t>**</w:t>
            </w:r>
          </w:p>
        </w:tc>
        <w:tc>
          <w:tcPr>
            <w:tcW w:w="625" w:type="pct"/>
          </w:tcPr>
          <w:p w14:paraId="6C96A399"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-0.004</w:t>
            </w:r>
          </w:p>
        </w:tc>
      </w:tr>
      <w:tr w:rsidR="00102C6D" w:rsidRPr="00284A41" w14:paraId="650C8EA3" w14:textId="77777777" w:rsidTr="0042216D">
        <w:trPr>
          <w:trHeight w:val="263"/>
        </w:trPr>
        <w:tc>
          <w:tcPr>
            <w:tcW w:w="2499" w:type="pct"/>
          </w:tcPr>
          <w:p w14:paraId="5F626307"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SA</w:t>
            </w:r>
            <w:r w:rsidR="00D51C6F" w:rsidRPr="00284A41">
              <w:rPr>
                <w:rFonts w:ascii="Arial" w:eastAsia="Arial" w:hAnsi="Arial" w:cs="Arial"/>
                <w:szCs w:val="20"/>
              </w:rPr>
              <w:t xml:space="preserve"> provider indicator</w:t>
            </w:r>
          </w:p>
        </w:tc>
        <w:tc>
          <w:tcPr>
            <w:tcW w:w="625" w:type="pct"/>
          </w:tcPr>
          <w:p w14:paraId="5C7DE925"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c>
          <w:tcPr>
            <w:tcW w:w="625" w:type="pct"/>
          </w:tcPr>
          <w:p w14:paraId="656615F8"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c>
          <w:tcPr>
            <w:tcW w:w="625" w:type="pct"/>
          </w:tcPr>
          <w:p w14:paraId="1865A9A8"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c>
          <w:tcPr>
            <w:tcW w:w="625" w:type="pct"/>
          </w:tcPr>
          <w:p w14:paraId="0F2A4E5A"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-0.004</w:t>
            </w:r>
          </w:p>
        </w:tc>
      </w:tr>
      <w:tr w:rsidR="00102C6D" w:rsidRPr="00284A41" w14:paraId="5014B3FF"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2DC8E90B"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WA</w:t>
            </w:r>
            <w:r w:rsidR="00D51C6F" w:rsidRPr="00284A41">
              <w:rPr>
                <w:rFonts w:ascii="Arial" w:eastAsia="Arial" w:hAnsi="Arial" w:cs="Arial"/>
                <w:szCs w:val="20"/>
              </w:rPr>
              <w:t xml:space="preserve"> provider indicator</w:t>
            </w:r>
          </w:p>
        </w:tc>
        <w:tc>
          <w:tcPr>
            <w:tcW w:w="625" w:type="pct"/>
          </w:tcPr>
          <w:p w14:paraId="0FA11F12"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c>
          <w:tcPr>
            <w:tcW w:w="625" w:type="pct"/>
          </w:tcPr>
          <w:p w14:paraId="3331A160"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-0.001</w:t>
            </w:r>
          </w:p>
        </w:tc>
        <w:tc>
          <w:tcPr>
            <w:tcW w:w="625" w:type="pct"/>
          </w:tcPr>
          <w:p w14:paraId="12089D52"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-0.003</w:t>
            </w:r>
          </w:p>
        </w:tc>
        <w:tc>
          <w:tcPr>
            <w:tcW w:w="625" w:type="pct"/>
          </w:tcPr>
          <w:p w14:paraId="6F88042A"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r>
      <w:tr w:rsidR="00EE429E" w:rsidRPr="0042216D" w14:paraId="5B1D48F3" w14:textId="77777777" w:rsidTr="0042216D">
        <w:trPr>
          <w:cnfStyle w:val="010000000000" w:firstRow="0" w:lastRow="1" w:firstColumn="0" w:lastColumn="0" w:oddVBand="0" w:evenVBand="0" w:oddHBand="0" w:evenHBand="0" w:firstRowFirstColumn="0" w:firstRowLastColumn="0" w:lastRowFirstColumn="0" w:lastRowLastColumn="0"/>
          <w:trHeight w:val="263"/>
        </w:trPr>
        <w:tc>
          <w:tcPr>
            <w:tcW w:w="2499" w:type="pct"/>
          </w:tcPr>
          <w:p w14:paraId="454A177A" w14:textId="77777777" w:rsidR="00102C6D" w:rsidRPr="0042216D" w:rsidRDefault="00102C6D" w:rsidP="00A4091E">
            <w:pPr>
              <w:keepNext/>
              <w:keepLines/>
              <w:rPr>
                <w:rFonts w:ascii="Arial" w:eastAsia="Arial" w:hAnsi="Arial" w:cs="Arial"/>
                <w:szCs w:val="20"/>
              </w:rPr>
            </w:pPr>
            <w:r w:rsidRPr="0042216D">
              <w:rPr>
                <w:rFonts w:ascii="Arial" w:eastAsia="Arial" w:hAnsi="Arial" w:cs="Arial"/>
                <w:szCs w:val="20"/>
              </w:rPr>
              <w:t>R</w:t>
            </w:r>
            <w:r w:rsidRPr="0042216D">
              <w:rPr>
                <w:rFonts w:ascii="Arial" w:eastAsia="Arial" w:hAnsi="Arial" w:cs="Arial"/>
                <w:szCs w:val="20"/>
                <w:vertAlign w:val="superscript"/>
              </w:rPr>
              <w:t>2</w:t>
            </w:r>
          </w:p>
        </w:tc>
        <w:tc>
          <w:tcPr>
            <w:tcW w:w="625" w:type="pct"/>
          </w:tcPr>
          <w:p w14:paraId="467374FE"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13.8%</w:t>
            </w:r>
          </w:p>
        </w:tc>
        <w:tc>
          <w:tcPr>
            <w:tcW w:w="625" w:type="pct"/>
          </w:tcPr>
          <w:p w14:paraId="565C0DA9"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10.1%</w:t>
            </w:r>
          </w:p>
        </w:tc>
        <w:tc>
          <w:tcPr>
            <w:tcW w:w="625" w:type="pct"/>
          </w:tcPr>
          <w:p w14:paraId="248500FC"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7.3%</w:t>
            </w:r>
          </w:p>
        </w:tc>
        <w:tc>
          <w:tcPr>
            <w:tcW w:w="625" w:type="pct"/>
          </w:tcPr>
          <w:p w14:paraId="1D838F4D"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13.9%</w:t>
            </w:r>
          </w:p>
        </w:tc>
      </w:tr>
    </w:tbl>
    <w:bookmarkEnd w:id="55"/>
    <w:bookmarkEnd w:id="56"/>
    <w:bookmarkEnd w:id="57"/>
    <w:p w14:paraId="20ECBA18" w14:textId="5A48BC62"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(428 observations).</w:t>
      </w:r>
    </w:p>
    <w:p w14:paraId="61582306" w14:textId="77777777" w:rsidR="008A27A8" w:rsidRPr="00284A41" w:rsidRDefault="008A27A8" w:rsidP="00C24F50">
      <w:pPr>
        <w:pStyle w:val="Heading3"/>
      </w:pPr>
      <w:r w:rsidRPr="00284A41">
        <w:t>Overtime costs</w:t>
      </w:r>
    </w:p>
    <w:p w14:paraId="0D4489D4" w14:textId="77777777" w:rsidR="008A27A8" w:rsidRPr="00284A41" w:rsidRDefault="008A27A8" w:rsidP="008A27A8">
      <w:r w:rsidRPr="00284A41">
        <w:t xml:space="preserve">Generally overtime </w:t>
      </w:r>
      <w:r w:rsidR="00373B4A" w:rsidRPr="00284A41">
        <w:t>costs were</w:t>
      </w:r>
      <w:r w:rsidRPr="00284A41">
        <w:t xml:space="preserve"> reported by providers as being higher in S</w:t>
      </w:r>
      <w:r w:rsidR="006E3C05" w:rsidRPr="00284A41">
        <w:t>IL than non SIL services. This wa</w:t>
      </w:r>
      <w:r w:rsidRPr="00284A41">
        <w:t xml:space="preserve">s mostly attributed </w:t>
      </w:r>
      <w:r w:rsidR="006E3C05" w:rsidRPr="00284A41">
        <w:t xml:space="preserve">by providers </w:t>
      </w:r>
      <w:r w:rsidRPr="00284A41">
        <w:t xml:space="preserve">to </w:t>
      </w:r>
      <w:r w:rsidR="006E3C05" w:rsidRPr="00284A41">
        <w:t>the suppo</w:t>
      </w:r>
      <w:r w:rsidR="00373B4A" w:rsidRPr="00284A41">
        <w:t>rt needs of SIL participants</w:t>
      </w:r>
      <w:r w:rsidR="006E3C05" w:rsidRPr="00284A41">
        <w:t>. Providers argued that that when</w:t>
      </w:r>
      <w:r w:rsidRPr="00284A41">
        <w:t xml:space="preserve"> a staff member </w:t>
      </w:r>
      <w:r w:rsidR="006E3C05" w:rsidRPr="00284A41">
        <w:t xml:space="preserve">could not fulfil a shift the provider did not have the option to let </w:t>
      </w:r>
      <w:r w:rsidRPr="00284A41">
        <w:t xml:space="preserve">the participant go without </w:t>
      </w:r>
      <w:r w:rsidR="006E3C05" w:rsidRPr="00284A41">
        <w:t>support</w:t>
      </w:r>
      <w:r w:rsidRPr="00284A41">
        <w:t xml:space="preserve">. As </w:t>
      </w:r>
      <w:r w:rsidR="00373B4A" w:rsidRPr="00284A41">
        <w:t>a result,</w:t>
      </w:r>
      <w:r w:rsidRPr="00284A41">
        <w:t xml:space="preserve"> </w:t>
      </w:r>
      <w:r w:rsidR="006E3C05" w:rsidRPr="00284A41">
        <w:t>workers were sometimes</w:t>
      </w:r>
      <w:r w:rsidRPr="00284A41">
        <w:t xml:space="preserve"> required to continue beyond the end of their shift. The </w:t>
      </w:r>
      <w:r w:rsidR="005A4882" w:rsidRPr="00284A41">
        <w:t>wrap around nature of</w:t>
      </w:r>
      <w:r w:rsidRPr="00284A41">
        <w:t xml:space="preserve"> SIL also meant that workers were more inclined to be asked to work overtime. The range of reported overtime was varied but a number of providers considered it common to see 10 – 20 hours of overtime per house per week.</w:t>
      </w:r>
    </w:p>
    <w:p w14:paraId="19684C08" w14:textId="77777777" w:rsidR="006E3C05" w:rsidRPr="00284A41" w:rsidRDefault="00D57A71" w:rsidP="006E3C05">
      <w:r w:rsidRPr="00284A41">
        <w:t>Submissions reported</w:t>
      </w:r>
      <w:r w:rsidR="00A37557" w:rsidRPr="00284A41">
        <w:t xml:space="preserve"> that</w:t>
      </w:r>
      <w:r w:rsidRPr="00284A41">
        <w:t xml:space="preserve"> </w:t>
      </w:r>
      <w:r w:rsidR="00A37557" w:rsidRPr="00284A41">
        <w:t xml:space="preserve">households with complex participants or challenging behaviours </w:t>
      </w:r>
      <w:r w:rsidR="00373B4A" w:rsidRPr="00284A41">
        <w:t>were more likely to have higher levels of overtime, as s</w:t>
      </w:r>
      <w:r w:rsidR="00A37557" w:rsidRPr="00284A41">
        <w:t>taff cannot leave the participant unattended, or can</w:t>
      </w:r>
      <w:r w:rsidRPr="00284A41">
        <w:t>not</w:t>
      </w:r>
      <w:r w:rsidR="00A37557" w:rsidRPr="00284A41">
        <w:t xml:space="preserve"> leave until </w:t>
      </w:r>
      <w:r w:rsidR="006E3C05" w:rsidRPr="00284A41">
        <w:t>the participant is comfortable.</w:t>
      </w:r>
      <w:r w:rsidR="00373B4A" w:rsidRPr="00284A41">
        <w:t xml:space="preserve"> </w:t>
      </w:r>
      <w:r w:rsidR="006E3C05" w:rsidRPr="00284A41">
        <w:t xml:space="preserve">Providers generally reported that they preferred to minimise rostering overtime where possible, as excessive overtime was seen to negatively impact the level of care due to staff fatigue. </w:t>
      </w:r>
    </w:p>
    <w:p w14:paraId="5139835B" w14:textId="77777777" w:rsidR="0090630F" w:rsidRPr="00284A41" w:rsidRDefault="0090630F" w:rsidP="0090630F">
      <w:r w:rsidRPr="00284A41">
        <w:t xml:space="preserve">The </w:t>
      </w:r>
      <w:r w:rsidR="00373B4A" w:rsidRPr="00284A41">
        <w:t>Review</w:t>
      </w:r>
      <w:r w:rsidRPr="00284A41">
        <w:t xml:space="preserve"> </w:t>
      </w:r>
      <w:r w:rsidR="00373B4A" w:rsidRPr="00284A41">
        <w:t xml:space="preserve">understands the arguments presented by providers that </w:t>
      </w:r>
      <w:r w:rsidRPr="00284A41">
        <w:t xml:space="preserve">overtime may be </w:t>
      </w:r>
      <w:r w:rsidR="00373B4A" w:rsidRPr="00284A41">
        <w:t>more common in SIL settings than in non-SIL settings. However, the Review did not have an empirical base on which to estimate the materiality of this difference. The Review recommends that future financial benchmarking surveys should examine the use of overtime by efficient SIL and no</w:t>
      </w:r>
      <w:r w:rsidR="00276264" w:rsidRPr="00284A41">
        <w:t>n</w:t>
      </w:r>
      <w:r w:rsidR="00373B4A" w:rsidRPr="00284A41">
        <w:t>-SIL providers.</w:t>
      </w:r>
    </w:p>
    <w:p w14:paraId="26711998" w14:textId="77777777" w:rsidR="008A27A8" w:rsidRPr="00284A41" w:rsidRDefault="008A27A8" w:rsidP="00C24F50">
      <w:pPr>
        <w:pStyle w:val="Heading3"/>
      </w:pPr>
      <w:r w:rsidRPr="00284A41">
        <w:t>Leave costs</w:t>
      </w:r>
    </w:p>
    <w:p w14:paraId="5BEFA665" w14:textId="77777777" w:rsidR="003C0345" w:rsidRPr="00284A41" w:rsidRDefault="003C0345" w:rsidP="008A27A8">
      <w:r w:rsidRPr="00284A41">
        <w:t xml:space="preserve">The Review notes that under the </w:t>
      </w:r>
      <w:r w:rsidR="00B8187D" w:rsidRPr="00284A41">
        <w:t>Social, Community, Home Care and Disability Services Award 2010 (</w:t>
      </w:r>
      <w:r w:rsidRPr="00284A41">
        <w:t>SCHADS Award</w:t>
      </w:r>
      <w:r w:rsidR="00B8187D" w:rsidRPr="00284A41">
        <w:t>)</w:t>
      </w:r>
      <w:r w:rsidRPr="00284A41">
        <w:t>, workers who work on ten or more weeken</w:t>
      </w:r>
      <w:r w:rsidR="006E3C05" w:rsidRPr="00284A41">
        <w:t>ds or public holidays a year are</w:t>
      </w:r>
      <w:r w:rsidRPr="00284A41">
        <w:t xml:space="preserve"> defined as “shift workers” and entitled to an extra week’s annual leave.</w:t>
      </w:r>
    </w:p>
    <w:p w14:paraId="13CF6A27" w14:textId="77777777" w:rsidR="00201F1B" w:rsidRPr="00284A41" w:rsidRDefault="003C0345" w:rsidP="00201F1B">
      <w:r w:rsidRPr="00284A41">
        <w:t>Submission</w:t>
      </w:r>
      <w:r w:rsidR="003D1FD7" w:rsidRPr="00284A41">
        <w:t>s to the Review</w:t>
      </w:r>
      <w:r w:rsidRPr="00284A41">
        <w:t xml:space="preserve"> </w:t>
      </w:r>
      <w:r w:rsidR="008A27A8" w:rsidRPr="00284A41">
        <w:t xml:space="preserve">consistently </w:t>
      </w:r>
      <w:r w:rsidR="003D1FD7" w:rsidRPr="00284A41">
        <w:t>argued</w:t>
      </w:r>
      <w:r w:rsidRPr="00284A41">
        <w:t xml:space="preserve"> </w:t>
      </w:r>
      <w:r w:rsidR="008A27A8" w:rsidRPr="00284A41">
        <w:t xml:space="preserve">that </w:t>
      </w:r>
      <w:r w:rsidR="003D1FD7" w:rsidRPr="00284A41">
        <w:t>SIL supports were much more likely to be delivered on weekends and public holidays than other activities of daily living supports, and that this resulted in more workers qualifying as shift workers. Providers also pointed out that shift workers are entitled to be paid their weekend loadings even when on leave.</w:t>
      </w:r>
    </w:p>
    <w:p w14:paraId="17281E81" w14:textId="5AA63DE6" w:rsidR="00A9266C" w:rsidRPr="00284A41" w:rsidRDefault="00A9266C" w:rsidP="00A9266C">
      <w:r w:rsidRPr="00284A41">
        <w:t>Ability First’s submission</w:t>
      </w:r>
      <w:r w:rsidR="0080084A" w:rsidRPr="00284A41">
        <w:t>, which con</w:t>
      </w:r>
      <w:r w:rsidR="006E3C05" w:rsidRPr="00284A41">
        <w:t>tained</w:t>
      </w:r>
      <w:r w:rsidR="004D1ED4" w:rsidRPr="00284A41">
        <w:t xml:space="preserve"> </w:t>
      </w:r>
      <w:r w:rsidR="0080084A" w:rsidRPr="00284A41">
        <w:t>financial benchmarking data</w:t>
      </w:r>
      <w:r w:rsidR="006E3C05" w:rsidRPr="00284A41">
        <w:t xml:space="preserve"> from their providers</w:t>
      </w:r>
      <w:r w:rsidR="0080084A" w:rsidRPr="00284A41">
        <w:t>,</w:t>
      </w:r>
      <w:r w:rsidRPr="00284A41">
        <w:t xml:space="preserve"> stated that “</w:t>
      </w:r>
      <w:r w:rsidR="006E3C05" w:rsidRPr="00284A41">
        <w:t>t</w:t>
      </w:r>
      <w:r w:rsidR="004D1ED4" w:rsidRPr="00284A41">
        <w:t>he m</w:t>
      </w:r>
      <w:r w:rsidRPr="00284A41">
        <w:t>ajority of DSWs (95%) meet the threshold for five weeks annual leave under the Award.”</w:t>
      </w:r>
    </w:p>
    <w:p w14:paraId="36A195AB" w14:textId="4D714B34" w:rsidR="00880BC1" w:rsidRPr="00284A41" w:rsidRDefault="00880BC1" w:rsidP="00A9266C">
      <w:r w:rsidRPr="00284A41">
        <w:t xml:space="preserve">The </w:t>
      </w:r>
      <w:r w:rsidR="002516F0" w:rsidRPr="00284A41">
        <w:t xml:space="preserve">Review </w:t>
      </w:r>
      <w:r w:rsidRPr="00284A41">
        <w:t>acknowledges that the nature of supporting par</w:t>
      </w:r>
      <w:r w:rsidR="00284A41" w:rsidRPr="00284A41">
        <w:t xml:space="preserve">ticipants in a SIL arrangement </w:t>
      </w:r>
      <w:r w:rsidRPr="00284A41">
        <w:t xml:space="preserve">may </w:t>
      </w:r>
      <w:r w:rsidR="00284A41" w:rsidRPr="00284A41">
        <w:t>require</w:t>
      </w:r>
      <w:r w:rsidRPr="00284A41">
        <w:t xml:space="preserve"> many </w:t>
      </w:r>
      <w:r w:rsidR="00BE4049" w:rsidRPr="00284A41">
        <w:t xml:space="preserve">workers of a SIL provider </w:t>
      </w:r>
      <w:r w:rsidRPr="00284A41">
        <w:t>to work over the threshold of weekends required by the SCHADS Award to classify the worker as a shift worker, thus requiring an addi</w:t>
      </w:r>
      <w:r w:rsidR="00C730FC">
        <w:t>tional week of annual leave. The implications of thi</w:t>
      </w:r>
      <w:r w:rsidRPr="00284A41">
        <w:t xml:space="preserve">s </w:t>
      </w:r>
      <w:r w:rsidR="002516F0" w:rsidRPr="00284A41">
        <w:t xml:space="preserve">finding </w:t>
      </w:r>
      <w:r w:rsidRPr="00284A41">
        <w:t>will be considered in Chapter 3.</w:t>
      </w:r>
    </w:p>
    <w:p w14:paraId="79270783" w14:textId="77777777" w:rsidR="00A97CE3" w:rsidRPr="00284A41" w:rsidRDefault="008A27A8" w:rsidP="00C24F50">
      <w:pPr>
        <w:pStyle w:val="Heading3"/>
      </w:pPr>
      <w:r w:rsidRPr="00284A41">
        <w:t>Enterprise Bargaining Agreements</w:t>
      </w:r>
      <w:r w:rsidR="0080084A" w:rsidRPr="00284A41">
        <w:t xml:space="preserve"> (EBAs)</w:t>
      </w:r>
    </w:p>
    <w:p w14:paraId="695825D2" w14:textId="77777777" w:rsidR="00D72609" w:rsidRPr="00284A41" w:rsidRDefault="008A27A8" w:rsidP="00D72609">
      <w:r w:rsidRPr="00284A41">
        <w:t xml:space="preserve">In keeping with the fact that many, if not most, providers do not have EBAs, </w:t>
      </w:r>
      <w:r w:rsidR="003D1FD7" w:rsidRPr="00284A41">
        <w:t xml:space="preserve">the Review received </w:t>
      </w:r>
      <w:r w:rsidRPr="00284A41">
        <w:t xml:space="preserve">fewer submission responses on this topic than </w:t>
      </w:r>
      <w:r w:rsidR="003D1FD7" w:rsidRPr="00284A41">
        <w:t>others</w:t>
      </w:r>
      <w:r w:rsidRPr="00284A41">
        <w:t xml:space="preserve">. Of those who did </w:t>
      </w:r>
      <w:r w:rsidR="007E0179" w:rsidRPr="00284A41">
        <w:t>respond</w:t>
      </w:r>
      <w:r w:rsidRPr="00284A41">
        <w:t xml:space="preserve">, about a third had their own EBA. </w:t>
      </w:r>
      <w:r w:rsidR="007E0179" w:rsidRPr="00284A41">
        <w:t xml:space="preserve">Providers reported that it was taking longer to transition out of inherited EBAs than they had expected. Moreover, when they were successfully able to do so, this </w:t>
      </w:r>
      <w:r w:rsidR="003D1FD7" w:rsidRPr="00284A41">
        <w:t>sometimes resulted</w:t>
      </w:r>
      <w:r w:rsidR="007E0179" w:rsidRPr="00284A41">
        <w:t xml:space="preserve"> in </w:t>
      </w:r>
      <w:r w:rsidRPr="00284A41">
        <w:t>highe</w:t>
      </w:r>
      <w:r w:rsidR="003D1FD7" w:rsidRPr="00284A41">
        <w:t>r incidence of staff turnover</w:t>
      </w:r>
      <w:r w:rsidRPr="00284A41">
        <w:t xml:space="preserve">. </w:t>
      </w:r>
      <w:r w:rsidR="00D31206" w:rsidRPr="00284A41">
        <w:t>T</w:t>
      </w:r>
      <w:r w:rsidR="00D72609" w:rsidRPr="00284A41">
        <w:t xml:space="preserve">he limited analysis that could be conducted </w:t>
      </w:r>
      <w:r w:rsidR="007E0179" w:rsidRPr="00284A41">
        <w:t>across recent ‘SCHADS-</w:t>
      </w:r>
      <w:r w:rsidR="009440CF" w:rsidRPr="00284A41">
        <w:t>compatible</w:t>
      </w:r>
      <w:r w:rsidR="007E0179" w:rsidRPr="00284A41">
        <w:t xml:space="preserve">’ EBAs </w:t>
      </w:r>
      <w:r w:rsidR="00D31206" w:rsidRPr="00284A41">
        <w:t>did not identify any significant systemic differences between the treatment of SIL and non-SIL workers</w:t>
      </w:r>
      <w:r w:rsidR="00D72609" w:rsidRPr="00284A41">
        <w:t>.</w:t>
      </w:r>
    </w:p>
    <w:p w14:paraId="75AFE598" w14:textId="77777777" w:rsidR="00EC7477" w:rsidRPr="00284A41" w:rsidRDefault="00373B4A" w:rsidP="00E4185C">
      <w:pPr>
        <w:pStyle w:val="Heading2"/>
      </w:pPr>
      <w:bookmarkStart w:id="65" w:name="_Toc75881968"/>
      <w:r w:rsidRPr="00284A41">
        <w:t>W</w:t>
      </w:r>
      <w:r w:rsidR="00EC7477" w:rsidRPr="00284A41">
        <w:t>orkforce mix</w:t>
      </w:r>
      <w:bookmarkEnd w:id="65"/>
    </w:p>
    <w:p w14:paraId="7807DF2B" w14:textId="77777777" w:rsidR="00BE27DA" w:rsidRPr="00284A41" w:rsidRDefault="00D70C69" w:rsidP="00BE27DA">
      <w:r w:rsidRPr="00284A41">
        <w:t xml:space="preserve">The </w:t>
      </w:r>
      <w:r w:rsidR="00D72609" w:rsidRPr="00284A41">
        <w:t>DSW</w:t>
      </w:r>
      <w:r w:rsidRPr="00284A41">
        <w:t xml:space="preserve"> Cost Model </w:t>
      </w:r>
      <w:r w:rsidR="00552476" w:rsidRPr="00284A41">
        <w:t>recognises that the costs of employing casual and permanent wor</w:t>
      </w:r>
      <w:r w:rsidR="00BE27DA" w:rsidRPr="00284A41">
        <w:t xml:space="preserve">kers are different. The </w:t>
      </w:r>
      <w:r w:rsidR="00E24894" w:rsidRPr="00284A41">
        <w:t>Review</w:t>
      </w:r>
      <w:r w:rsidR="00BE27DA" w:rsidRPr="00284A41">
        <w:t xml:space="preserve"> </w:t>
      </w:r>
      <w:r w:rsidR="00552476" w:rsidRPr="00284A41">
        <w:t xml:space="preserve">therefore </w:t>
      </w:r>
      <w:r w:rsidR="00BE27DA" w:rsidRPr="00284A41">
        <w:t>sought</w:t>
      </w:r>
      <w:r w:rsidR="00552476" w:rsidRPr="00284A41">
        <w:t xml:space="preserve"> evidence on whether there </w:t>
      </w:r>
      <w:r w:rsidR="00BE27DA" w:rsidRPr="00284A41">
        <w:t>were</w:t>
      </w:r>
      <w:r w:rsidR="00552476" w:rsidRPr="00284A41">
        <w:t xml:space="preserve"> material differences in these </w:t>
      </w:r>
      <w:r w:rsidR="0099317C" w:rsidRPr="00284A41">
        <w:t xml:space="preserve">distribution or permanent and casual employment </w:t>
      </w:r>
      <w:r w:rsidR="00552476" w:rsidRPr="00284A41">
        <w:t xml:space="preserve">arrangements between SIL </w:t>
      </w:r>
      <w:r w:rsidR="00554D49" w:rsidRPr="00284A41">
        <w:t>providers</w:t>
      </w:r>
      <w:r w:rsidR="00552476" w:rsidRPr="00284A41">
        <w:t xml:space="preserve"> and non-SIL </w:t>
      </w:r>
      <w:r w:rsidR="00554D49" w:rsidRPr="00284A41">
        <w:t>providers</w:t>
      </w:r>
      <w:r w:rsidR="00552476" w:rsidRPr="00284A41">
        <w:t>.</w:t>
      </w:r>
      <w:r w:rsidR="00554D49" w:rsidRPr="00284A41">
        <w:t xml:space="preserve"> </w:t>
      </w:r>
    </w:p>
    <w:p w14:paraId="610964A3" w14:textId="77777777" w:rsidR="0099317C" w:rsidRPr="00284A41" w:rsidRDefault="0099317C" w:rsidP="0099317C">
      <w:r w:rsidRPr="00284A41">
        <w:t>The key questions for the Review, as outlined in the Issues Paper, are:</w:t>
      </w:r>
    </w:p>
    <w:p w14:paraId="4066B055" w14:textId="77777777" w:rsidR="00EB3AF2" w:rsidRPr="005E5772" w:rsidRDefault="00573D54" w:rsidP="0042216D">
      <w:pPr>
        <w:pStyle w:val="DotPoint"/>
      </w:pPr>
      <w:r w:rsidRPr="005E5772">
        <w:t xml:space="preserve">Is there a </w:t>
      </w:r>
      <w:r w:rsidR="00552476" w:rsidRPr="005E5772">
        <w:t xml:space="preserve">material </w:t>
      </w:r>
      <w:r w:rsidRPr="005E5772">
        <w:t xml:space="preserve">difference in the proportion of employees employed on a </w:t>
      </w:r>
      <w:r w:rsidR="00EB3AF2" w:rsidRPr="005E5772">
        <w:t>casual</w:t>
      </w:r>
      <w:r w:rsidRPr="005E5772">
        <w:t xml:space="preserve"> basis between</w:t>
      </w:r>
      <w:r w:rsidR="00EB3AF2" w:rsidRPr="005E5772">
        <w:t xml:space="preserve"> employees providing </w:t>
      </w:r>
      <w:r w:rsidRPr="005E5772">
        <w:t xml:space="preserve">SIL and </w:t>
      </w:r>
      <w:r w:rsidR="00DE5528" w:rsidRPr="005E5772">
        <w:t>non-SIL</w:t>
      </w:r>
      <w:r w:rsidRPr="005E5772">
        <w:t xml:space="preserve"> </w:t>
      </w:r>
      <w:r w:rsidR="00EB3AF2" w:rsidRPr="005E5772">
        <w:t>services</w:t>
      </w:r>
      <w:r w:rsidRPr="005E5772">
        <w:t>?</w:t>
      </w:r>
      <w:r w:rsidR="001D2733" w:rsidRPr="005E5772">
        <w:t xml:space="preserve"> If there is a difference, </w:t>
      </w:r>
      <w:r w:rsidR="003C5F87" w:rsidRPr="005E5772">
        <w:t>which aspects of SIL service delivery are suited to more (or fewer) permanent employees relative to casual employees?</w:t>
      </w:r>
      <w:r w:rsidR="001B65A2" w:rsidRPr="005E5772">
        <w:t xml:space="preserve"> </w:t>
      </w:r>
      <w:r w:rsidR="003871F3" w:rsidRPr="005E5772">
        <w:t>How large</w:t>
      </w:r>
      <w:r w:rsidR="00D70C69" w:rsidRPr="005E5772">
        <w:t xml:space="preserve"> is this difference?</w:t>
      </w:r>
      <w:r w:rsidR="00BE27DA" w:rsidRPr="005E5772">
        <w:t xml:space="preserve"> </w:t>
      </w:r>
      <w:r w:rsidR="00EB3AF2" w:rsidRPr="005E5772">
        <w:t xml:space="preserve">What is the average number of hours per week that a </w:t>
      </w:r>
      <w:r w:rsidR="0099317C" w:rsidRPr="005E5772">
        <w:t>casual staff member is employed</w:t>
      </w:r>
      <w:r w:rsidR="00EB3AF2" w:rsidRPr="005E5772">
        <w:t>?</w:t>
      </w:r>
      <w:r w:rsidR="00BE27DA" w:rsidRPr="005E5772">
        <w:t xml:space="preserve"> </w:t>
      </w:r>
      <w:r w:rsidR="00EB3AF2" w:rsidRPr="005E5772">
        <w:t>Is there a material difference in the average number of hours per week that a cas</w:t>
      </w:r>
      <w:r w:rsidR="0099317C" w:rsidRPr="005E5772">
        <w:t xml:space="preserve">ual staff member is employed </w:t>
      </w:r>
      <w:r w:rsidR="00EB3AF2" w:rsidRPr="005E5772">
        <w:t>between employees providing SIL and non-SIL services?</w:t>
      </w:r>
      <w:r w:rsidR="00BE27DA" w:rsidRPr="005E5772">
        <w:t xml:space="preserve"> </w:t>
      </w:r>
      <w:r w:rsidR="00EB3AF2" w:rsidRPr="005E5772">
        <w:t>If there is a difference, how large is this difference?</w:t>
      </w:r>
    </w:p>
    <w:p w14:paraId="3E879508" w14:textId="77777777" w:rsidR="00EB3AF2" w:rsidRPr="005E5772" w:rsidRDefault="00EB3AF2" w:rsidP="0042216D">
      <w:pPr>
        <w:pStyle w:val="DotPoint"/>
      </w:pPr>
      <w:r w:rsidRPr="005E5772">
        <w:t>Is there a material difference in the proportion of employees employed on a part-time basis between employees providing SIL and non-SIL services? If there is a difference, which aspects of SIL service delivery are suited to more (or fewer) part-time permanent employees relative to full-time permanent employees? How large is this difference?</w:t>
      </w:r>
      <w:r w:rsidR="00BE27DA" w:rsidRPr="005E5772">
        <w:t xml:space="preserve"> </w:t>
      </w:r>
      <w:r w:rsidRPr="005E5772">
        <w:t>What is the average number of hours per week that a part-</w:t>
      </w:r>
      <w:r w:rsidR="0099317C" w:rsidRPr="005E5772">
        <w:t>time staff member is employed</w:t>
      </w:r>
      <w:r w:rsidRPr="005E5772">
        <w:t>?</w:t>
      </w:r>
      <w:r w:rsidR="00BE27DA" w:rsidRPr="005E5772">
        <w:t xml:space="preserve"> </w:t>
      </w:r>
      <w:r w:rsidRPr="005E5772">
        <w:t>Is there a material difference in the average number of hours per week that a par</w:t>
      </w:r>
      <w:r w:rsidR="0099317C" w:rsidRPr="005E5772">
        <w:t xml:space="preserve">t-time staff member is employed </w:t>
      </w:r>
      <w:r w:rsidRPr="005E5772">
        <w:t>between employees providing SIL and non-SIL services?</w:t>
      </w:r>
      <w:r w:rsidR="00BE27DA" w:rsidRPr="005E5772">
        <w:t xml:space="preserve"> </w:t>
      </w:r>
      <w:r w:rsidRPr="005E5772">
        <w:t>If there is a difference, how large is this difference?</w:t>
      </w:r>
    </w:p>
    <w:p w14:paraId="726D19D0" w14:textId="77777777" w:rsidR="00D70C69" w:rsidRPr="005E5772" w:rsidRDefault="00C268D3" w:rsidP="0042216D">
      <w:pPr>
        <w:pStyle w:val="DotPoint"/>
      </w:pPr>
      <w:r w:rsidRPr="005E5772">
        <w:t>Are temporary replacement staff engaged more or less often for SIL services</w:t>
      </w:r>
      <w:r w:rsidR="00D70C69" w:rsidRPr="005E5772">
        <w:t>?</w:t>
      </w:r>
      <w:r w:rsidR="00BE27DA" w:rsidRPr="005E5772">
        <w:t xml:space="preserve"> </w:t>
      </w:r>
      <w:r w:rsidR="00D70C69" w:rsidRPr="005E5772">
        <w:t>If there is a difference, what are the key drivers of this difference?</w:t>
      </w:r>
      <w:r w:rsidR="001B65A2" w:rsidRPr="005E5772">
        <w:t xml:space="preserve"> </w:t>
      </w:r>
      <w:r w:rsidR="00D70C69" w:rsidRPr="005E5772">
        <w:t>How large is this difference?</w:t>
      </w:r>
      <w:r w:rsidR="00BE27DA" w:rsidRPr="005E5772">
        <w:t xml:space="preserve"> </w:t>
      </w:r>
      <w:r w:rsidR="00D70C69" w:rsidRPr="005E5772">
        <w:t>Is</w:t>
      </w:r>
      <w:r w:rsidRPr="005E5772">
        <w:t xml:space="preserve"> the cost of the temporary replacement staff different between SIL services and </w:t>
      </w:r>
      <w:r w:rsidR="00DE5528" w:rsidRPr="005E5772">
        <w:t>non-SIL</w:t>
      </w:r>
      <w:r w:rsidRPr="005E5772">
        <w:t xml:space="preserve"> services?</w:t>
      </w:r>
      <w:r w:rsidR="00BE27DA" w:rsidRPr="005E5772">
        <w:t xml:space="preserve"> </w:t>
      </w:r>
      <w:r w:rsidR="00D70C69" w:rsidRPr="005E5772">
        <w:t>If there is a difference, what are the key drivers of this difference?</w:t>
      </w:r>
      <w:r w:rsidR="001B65A2" w:rsidRPr="005E5772">
        <w:t xml:space="preserve"> </w:t>
      </w:r>
      <w:r w:rsidR="00D70C69" w:rsidRPr="005E5772">
        <w:t>How large is this difference?</w:t>
      </w:r>
    </w:p>
    <w:p w14:paraId="5E842C75" w14:textId="77777777" w:rsidR="00521BF9" w:rsidRPr="005E5772" w:rsidRDefault="001100FB" w:rsidP="0042216D">
      <w:pPr>
        <w:pStyle w:val="DotPoint"/>
      </w:pPr>
      <w:r w:rsidRPr="005E5772">
        <w:t xml:space="preserve">What level of worker </w:t>
      </w:r>
      <w:r w:rsidR="00521BF9" w:rsidRPr="005E5772">
        <w:t>is employed for standard and higher requirements?</w:t>
      </w:r>
    </w:p>
    <w:p w14:paraId="0FAA73ED" w14:textId="77777777" w:rsidR="001758FE" w:rsidRPr="00284A41" w:rsidRDefault="001758FE" w:rsidP="0099317C">
      <w:pPr>
        <w:pStyle w:val="Heading3"/>
      </w:pPr>
      <w:r w:rsidRPr="00284A41">
        <w:t>Casual / Permanent Staff Mix</w:t>
      </w:r>
    </w:p>
    <w:p w14:paraId="192E0266" w14:textId="77777777" w:rsidR="001758FE" w:rsidRPr="00284A41" w:rsidRDefault="002964D1" w:rsidP="001758FE">
      <w:pPr>
        <w:rPr>
          <w:rFonts w:cstheme="minorHAnsi"/>
        </w:rPr>
      </w:pPr>
      <w:r w:rsidRPr="00284A41">
        <w:rPr>
          <w:rFonts w:cstheme="minorHAnsi"/>
        </w:rPr>
        <w:t>Many</w:t>
      </w:r>
      <w:r w:rsidR="001758FE" w:rsidRPr="00284A41">
        <w:rPr>
          <w:rFonts w:cstheme="minorHAnsi"/>
        </w:rPr>
        <w:t xml:space="preserve"> submissions to the Review argued that SIL providers were, in general, likely to have a higher proportion of permanent workers than non-SIL providers. The same point was made in consultations with providers. Casualization was typically reported as lower in SIL than in non-SIL settings because there was a preference for higher skilled, more experienced workers and permanence owing to the requirement for 24/7 services. Permanent employment rates were </w:t>
      </w:r>
      <w:r w:rsidR="005005C0" w:rsidRPr="00284A41">
        <w:rPr>
          <w:rFonts w:cstheme="minorHAnsi"/>
        </w:rPr>
        <w:t xml:space="preserve">reported </w:t>
      </w:r>
      <w:r w:rsidR="001758FE" w:rsidRPr="00284A41">
        <w:rPr>
          <w:rFonts w:cstheme="minorHAnsi"/>
        </w:rPr>
        <w:t xml:space="preserve">to be higher </w:t>
      </w:r>
      <w:r w:rsidR="005005C0" w:rsidRPr="00284A41">
        <w:rPr>
          <w:rFonts w:cstheme="minorHAnsi"/>
        </w:rPr>
        <w:t xml:space="preserve">the more </w:t>
      </w:r>
      <w:r w:rsidR="001758FE" w:rsidRPr="00284A41">
        <w:rPr>
          <w:rFonts w:cstheme="minorHAnsi"/>
        </w:rPr>
        <w:t>skilled</w:t>
      </w:r>
      <w:r w:rsidR="005005C0" w:rsidRPr="00284A41">
        <w:rPr>
          <w:rFonts w:cstheme="minorHAnsi"/>
        </w:rPr>
        <w:t xml:space="preserve"> the</w:t>
      </w:r>
      <w:r w:rsidR="001758FE" w:rsidRPr="00284A41">
        <w:rPr>
          <w:rFonts w:cstheme="minorHAnsi"/>
        </w:rPr>
        <w:t xml:space="preserve"> position</w:t>
      </w:r>
      <w:r w:rsidR="005005C0" w:rsidRPr="00284A41">
        <w:rPr>
          <w:rFonts w:cstheme="minorHAnsi"/>
        </w:rPr>
        <w:t xml:space="preserve"> was</w:t>
      </w:r>
      <w:r w:rsidR="001758FE" w:rsidRPr="00284A41">
        <w:rPr>
          <w:rFonts w:cstheme="minorHAnsi"/>
        </w:rPr>
        <w:t xml:space="preserve"> (such as team leaders).</w:t>
      </w:r>
      <w:r w:rsidR="005005C0" w:rsidRPr="00284A41">
        <w:rPr>
          <w:rFonts w:cstheme="minorHAnsi"/>
        </w:rPr>
        <w:t xml:space="preserve"> A few providers noted</w:t>
      </w:r>
      <w:r w:rsidR="001758FE" w:rsidRPr="00284A41">
        <w:rPr>
          <w:rFonts w:cstheme="minorHAnsi"/>
        </w:rPr>
        <w:t xml:space="preserve"> that the National Disability Services</w:t>
      </w:r>
      <w:r w:rsidR="005005C0" w:rsidRPr="00284A41">
        <w:rPr>
          <w:rFonts w:cstheme="minorHAnsi"/>
        </w:rPr>
        <w:t>’</w:t>
      </w:r>
      <w:r w:rsidR="001758FE" w:rsidRPr="00284A41">
        <w:rPr>
          <w:rFonts w:cstheme="minorHAnsi"/>
        </w:rPr>
        <w:t xml:space="preserve"> </w:t>
      </w:r>
      <w:r w:rsidR="001758FE" w:rsidRPr="00284A41">
        <w:rPr>
          <w:rFonts w:cstheme="minorHAnsi"/>
          <w:i/>
        </w:rPr>
        <w:t>Provider Benchmarking Survey 2017-18</w:t>
      </w:r>
      <w:r w:rsidR="005005C0" w:rsidRPr="00284A41">
        <w:rPr>
          <w:rFonts w:cstheme="minorHAnsi"/>
        </w:rPr>
        <w:t xml:space="preserve"> found </w:t>
      </w:r>
      <w:r w:rsidR="001758FE" w:rsidRPr="00284A41">
        <w:rPr>
          <w:rFonts w:cstheme="minorHAnsi"/>
        </w:rPr>
        <w:t>the mix of the SIL workforce was 72% permanent</w:t>
      </w:r>
      <w:r w:rsidR="00FB16CB" w:rsidRPr="00284A41">
        <w:rPr>
          <w:rFonts w:cstheme="minorHAnsi"/>
        </w:rPr>
        <w:t xml:space="preserve"> </w:t>
      </w:r>
      <w:r w:rsidR="001758FE" w:rsidRPr="00284A41">
        <w:rPr>
          <w:rFonts w:cstheme="minorHAnsi"/>
        </w:rPr>
        <w:t xml:space="preserve">compared to 59% permanent in </w:t>
      </w:r>
      <w:r w:rsidR="002320DC" w:rsidRPr="00284A41">
        <w:rPr>
          <w:rFonts w:cstheme="minorHAnsi"/>
        </w:rPr>
        <w:t>supports for activities of daily living</w:t>
      </w:r>
      <w:r w:rsidR="001758FE" w:rsidRPr="00284A41">
        <w:rPr>
          <w:rFonts w:cstheme="minorHAnsi"/>
        </w:rPr>
        <w:t>. Ability First suggested that on average 78% of all hours delivered in SIL are delivered by permanent staff.</w:t>
      </w:r>
    </w:p>
    <w:p w14:paraId="151EB87B" w14:textId="76EEF4FB" w:rsidR="001758FE" w:rsidRPr="00284A41" w:rsidRDefault="006A795D" w:rsidP="001758FE">
      <w:r w:rsidRPr="00284A41">
        <w:rPr>
          <w:rFonts w:cstheme="minorHAnsi"/>
        </w:rPr>
        <w:t>A</w:t>
      </w:r>
      <w:r w:rsidR="001758FE" w:rsidRPr="00284A41">
        <w:rPr>
          <w:rFonts w:cstheme="minorHAnsi"/>
        </w:rPr>
        <w:t>nalysis</w:t>
      </w:r>
      <w:r w:rsidR="001758FE" w:rsidRPr="00284A41">
        <w:t xml:space="preserve"> of the Financial </w:t>
      </w:r>
      <w:r w:rsidR="004C07B8" w:rsidRPr="00284A41">
        <w:t>Benchmark</w:t>
      </w:r>
      <w:r w:rsidR="001758FE" w:rsidRPr="00284A41">
        <w:t>ing Survey Data (</w:t>
      </w:r>
      <w:r w:rsidR="00B3744F" w:rsidRPr="00284A41">
        <w:fldChar w:fldCharType="begin"/>
      </w:r>
      <w:r w:rsidR="00B3744F" w:rsidRPr="00284A41">
        <w:instrText xml:space="preserve"> REF _Ref68012566 \h </w:instrText>
      </w:r>
      <w:r w:rsidR="00A1778D" w:rsidRPr="00284A41">
        <w:instrText xml:space="preserve"> \* MERGEFORMAT </w:instrText>
      </w:r>
      <w:r w:rsidR="00B3744F" w:rsidRPr="00284A41">
        <w:fldChar w:fldCharType="separate"/>
      </w:r>
      <w:r w:rsidR="00E0689D" w:rsidRPr="00284A41">
        <w:t xml:space="preserve">Exhibit </w:t>
      </w:r>
      <w:r w:rsidR="00E0689D">
        <w:rPr>
          <w:noProof/>
        </w:rPr>
        <w:t>12</w:t>
      </w:r>
      <w:r w:rsidR="00B3744F" w:rsidRPr="00284A41">
        <w:fldChar w:fldCharType="end"/>
      </w:r>
      <w:r w:rsidR="00B3744F" w:rsidRPr="00284A41">
        <w:t xml:space="preserve"> </w:t>
      </w:r>
      <w:r w:rsidR="004C07B8" w:rsidRPr="00284A41">
        <w:t>and</w:t>
      </w:r>
      <w:r w:rsidR="00D51C6F" w:rsidRPr="00284A41">
        <w:t xml:space="preserve"> </w:t>
      </w:r>
      <w:r w:rsidR="00D51C6F" w:rsidRPr="00284A41">
        <w:fldChar w:fldCharType="begin"/>
      </w:r>
      <w:r w:rsidR="00D51C6F" w:rsidRPr="00284A41">
        <w:instrText xml:space="preserve"> REF _Ref68358147 \h </w:instrText>
      </w:r>
      <w:r w:rsidR="00A1778D" w:rsidRPr="00284A41">
        <w:instrText xml:space="preserve"> \* MERGEFORMAT </w:instrText>
      </w:r>
      <w:r w:rsidR="00D51C6F" w:rsidRPr="00284A41">
        <w:fldChar w:fldCharType="separate"/>
      </w:r>
      <w:r w:rsidR="00E0689D" w:rsidRPr="00284A41">
        <w:t xml:space="preserve">Exhibit </w:t>
      </w:r>
      <w:r w:rsidR="00E0689D">
        <w:rPr>
          <w:noProof/>
        </w:rPr>
        <w:t>13</w:t>
      </w:r>
      <w:r w:rsidR="00D51C6F" w:rsidRPr="00284A41">
        <w:fldChar w:fldCharType="end"/>
      </w:r>
      <w:r w:rsidR="004C07B8" w:rsidRPr="00284A41">
        <w:t xml:space="preserve">) </w:t>
      </w:r>
      <w:r w:rsidR="001758FE" w:rsidRPr="00284A41">
        <w:t>confirms that SIL providers do tend to employ a larger proportion of their workforce on a permanent basis. The median provi</w:t>
      </w:r>
      <w:r w:rsidR="00120AC1" w:rsidRPr="00284A41">
        <w:t>der of SIL services employs 59</w:t>
      </w:r>
      <w:r w:rsidR="001758FE" w:rsidRPr="00284A41">
        <w:t>% of their workforce on a permanent basis, compa</w:t>
      </w:r>
      <w:r w:rsidR="00120AC1" w:rsidRPr="00284A41">
        <w:t>red to 30</w:t>
      </w:r>
      <w:r w:rsidR="001758FE" w:rsidRPr="00284A41">
        <w:t>% for the median provider</w:t>
      </w:r>
      <w:r w:rsidR="002964D1" w:rsidRPr="00284A41">
        <w:t xml:space="preserve"> that provides no SIL services</w:t>
      </w:r>
      <w:r w:rsidR="001758FE" w:rsidRPr="00284A41">
        <w:t xml:space="preserve">. For </w:t>
      </w:r>
      <w:r w:rsidR="002964D1" w:rsidRPr="00284A41">
        <w:t>efficient</w:t>
      </w:r>
      <w:r w:rsidR="001758FE" w:rsidRPr="00284A41">
        <w:t xml:space="preserve"> providers (the 25</w:t>
      </w:r>
      <w:r w:rsidR="001758FE" w:rsidRPr="00284A41">
        <w:rPr>
          <w:vertAlign w:val="superscript"/>
        </w:rPr>
        <w:t>th</w:t>
      </w:r>
      <w:r w:rsidR="001758FE" w:rsidRPr="00284A41">
        <w:t xml:space="preserve"> percentile) SIL providers employ 77.5% of their workforce on a permanent basis, compared to 70.0% for non-SIL providers.</w:t>
      </w:r>
    </w:p>
    <w:p w14:paraId="56980DB7" w14:textId="4EBAC634" w:rsidR="001758FE" w:rsidRPr="00284A41" w:rsidRDefault="00B3744F" w:rsidP="00066859">
      <w:pPr>
        <w:pStyle w:val="Caption"/>
      </w:pPr>
      <w:bookmarkStart w:id="66" w:name="_Ref68012566"/>
      <w:bookmarkStart w:id="67" w:name="_Toc75881515"/>
      <w:r w:rsidRPr="00284A41">
        <w:t xml:space="preserve">Exhibit </w:t>
      </w:r>
      <w:r w:rsidR="00935584">
        <w:fldChar w:fldCharType="begin"/>
      </w:r>
      <w:r w:rsidR="00935584">
        <w:instrText xml:space="preserve"> SEQ Exhibit \* ARABIC </w:instrText>
      </w:r>
      <w:r w:rsidR="00935584">
        <w:fldChar w:fldCharType="separate"/>
      </w:r>
      <w:r w:rsidR="00E0689D">
        <w:rPr>
          <w:noProof/>
        </w:rPr>
        <w:t>12</w:t>
      </w:r>
      <w:r w:rsidR="00935584">
        <w:rPr>
          <w:noProof/>
        </w:rPr>
        <w:fldChar w:fldCharType="end"/>
      </w:r>
      <w:bookmarkEnd w:id="66"/>
      <w:r w:rsidRPr="00284A41">
        <w:t xml:space="preserve">: </w:t>
      </w:r>
      <w:r w:rsidR="001758FE" w:rsidRPr="00284A41">
        <w:t xml:space="preserve">Box </w:t>
      </w:r>
      <w:r w:rsidR="00264B60" w:rsidRPr="00284A41">
        <w:t>P</w:t>
      </w:r>
      <w:r w:rsidR="001758FE" w:rsidRPr="00284A41">
        <w:t xml:space="preserve">lot </w:t>
      </w:r>
      <w:r w:rsidRPr="00284A41">
        <w:t>–</w:t>
      </w:r>
      <w:r w:rsidR="001758FE" w:rsidRPr="00284A41">
        <w:t xml:space="preserve"> </w:t>
      </w:r>
      <w:r w:rsidRPr="00284A41">
        <w:t>P</w:t>
      </w:r>
      <w:r w:rsidR="003503B6" w:rsidRPr="00284A41">
        <w:t>ermanent E</w:t>
      </w:r>
      <w:r w:rsidR="001758FE" w:rsidRPr="00284A41">
        <w:t>mp</w:t>
      </w:r>
      <w:r w:rsidR="003503B6" w:rsidRPr="00284A41">
        <w:t>loyment S</w:t>
      </w:r>
      <w:r w:rsidR="001758FE" w:rsidRPr="00284A41">
        <w:t>har</w:t>
      </w:r>
      <w:r w:rsidR="00B62894" w:rsidRPr="00284A41">
        <w:t>e</w:t>
      </w:r>
      <w:bookmarkEnd w:id="67"/>
    </w:p>
    <w:p w14:paraId="225306D1" w14:textId="77777777" w:rsidR="004C07B8" w:rsidRPr="00284A41" w:rsidRDefault="004C07B8" w:rsidP="00264B60">
      <w:pPr>
        <w:spacing w:before="0" w:after="0"/>
        <w:ind w:left="431" w:hanging="431"/>
        <w:jc w:val="center"/>
        <w:rPr>
          <w:sz w:val="18"/>
          <w:szCs w:val="18"/>
        </w:rPr>
      </w:pPr>
      <w:r w:rsidRPr="00284A41">
        <w:rPr>
          <w:noProof/>
          <w:lang w:eastAsia="en-AU"/>
        </w:rPr>
        <w:drawing>
          <wp:inline distT="0" distB="0" distL="0" distR="0" wp14:anchorId="7BD7BCD2" wp14:editId="1E73B429">
            <wp:extent cx="5400000" cy="2905200"/>
            <wp:effectExtent l="0" t="0" r="0" b="0"/>
            <wp:docPr id="4" name="Picture 4" descr="A box plot to show the Permanent Employment Share across the levels of SIL provision (based on revenue) based on the 25th percentile (efficient providers).&#10;Non-SIL providers were 70.0%. &#10;SIL provision 0-25% were 75.5% with the largest variability.&#10;SIL provision 26-50% were 73.1%.&#10;SIL provision 51-75% were 79.1%.&#10;SIL provision 76-100% were 78.0%." title="Exhibit 12: Box Plot – Permanent Employment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00" cy="2905200"/>
                    </a:xfrm>
                    <a:prstGeom prst="rect">
                      <a:avLst/>
                    </a:prstGeom>
                    <a:noFill/>
                    <a:ln>
                      <a:noFill/>
                    </a:ln>
                  </pic:spPr>
                </pic:pic>
              </a:graphicData>
            </a:graphic>
          </wp:inline>
        </w:drawing>
      </w:r>
    </w:p>
    <w:p w14:paraId="66393187" w14:textId="77777777" w:rsidR="00B62894" w:rsidRPr="00284A41" w:rsidRDefault="00B62894" w:rsidP="00B62894">
      <w:pPr>
        <w:ind w:left="284"/>
        <w:jc w:val="center"/>
        <w:rPr>
          <w:sz w:val="18"/>
          <w:szCs w:val="18"/>
        </w:rPr>
      </w:pPr>
      <w:bookmarkStart w:id="68" w:name="_Ref68012571"/>
      <w:bookmarkStart w:id="69" w:name="_Ref66883574"/>
      <w:bookmarkStart w:id="70" w:name="_Toc68003292"/>
      <w:r w:rsidRPr="00284A41">
        <w:rPr>
          <w:sz w:val="18"/>
          <w:szCs w:val="18"/>
        </w:rPr>
        <w:t>Note: Data labels for the 25th percentile are shown to highlight the efficient frontier within each category</w:t>
      </w:r>
    </w:p>
    <w:p w14:paraId="3B2DEB53" w14:textId="32C41CCB" w:rsidR="001758FE" w:rsidRPr="00284A41" w:rsidRDefault="00B3744F" w:rsidP="00066859">
      <w:pPr>
        <w:pStyle w:val="Caption"/>
      </w:pPr>
      <w:bookmarkStart w:id="71" w:name="_Ref68358147"/>
      <w:bookmarkStart w:id="72" w:name="_Toc75881516"/>
      <w:r w:rsidRPr="00284A41">
        <w:t xml:space="preserve">Exhibit </w:t>
      </w:r>
      <w:r w:rsidR="00935584">
        <w:fldChar w:fldCharType="begin"/>
      </w:r>
      <w:r w:rsidR="00935584">
        <w:instrText xml:space="preserve"> SEQ Exhibit \* ARABIC </w:instrText>
      </w:r>
      <w:r w:rsidR="00935584">
        <w:fldChar w:fldCharType="separate"/>
      </w:r>
      <w:r w:rsidR="00E0689D">
        <w:rPr>
          <w:noProof/>
        </w:rPr>
        <w:t>13</w:t>
      </w:r>
      <w:r w:rsidR="00935584">
        <w:rPr>
          <w:noProof/>
        </w:rPr>
        <w:fldChar w:fldCharType="end"/>
      </w:r>
      <w:bookmarkEnd w:id="68"/>
      <w:bookmarkEnd w:id="71"/>
      <w:r w:rsidRPr="00284A41">
        <w:t xml:space="preserve">: </w:t>
      </w:r>
      <w:bookmarkEnd w:id="69"/>
      <w:r w:rsidR="00066859" w:rsidRPr="00284A41">
        <w:t>Summary S</w:t>
      </w:r>
      <w:r w:rsidR="006D79F2" w:rsidRPr="00284A41">
        <w:t>tatistics</w:t>
      </w:r>
      <w:bookmarkEnd w:id="70"/>
      <w:r w:rsidR="003503B6" w:rsidRPr="00284A41">
        <w:t xml:space="preserve"> – Permanent Employment Share</w:t>
      </w:r>
      <w:bookmarkEnd w:id="72"/>
    </w:p>
    <w:tbl>
      <w:tblPr>
        <w:tblStyle w:val="GridTable4-Accent4"/>
        <w:tblW w:w="9079" w:type="dxa"/>
        <w:tblLook w:val="0420" w:firstRow="1" w:lastRow="0" w:firstColumn="0" w:lastColumn="0" w:noHBand="0" w:noVBand="1"/>
        <w:tblCaption w:val="Exhibit 13: Summary Statistics – Permanent Employment Share"/>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1758FE" w:rsidRPr="00284A41" w14:paraId="78C0669F"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6BA99C7A" w14:textId="77777777" w:rsidR="001758FE" w:rsidRPr="00284A41" w:rsidRDefault="006842C8" w:rsidP="00B3744F">
            <w:pPr>
              <w:rPr>
                <w:rFonts w:ascii="Arial" w:eastAsia="Arial" w:hAnsi="Arial" w:cs="Arial"/>
                <w:szCs w:val="20"/>
              </w:rPr>
            </w:pPr>
            <w:r w:rsidRPr="00284A41">
              <w:rPr>
                <w:rFonts w:ascii="Arial" w:eastAsia="Arial" w:hAnsi="Arial" w:cs="Arial"/>
                <w:szCs w:val="20"/>
              </w:rPr>
              <w:t>Respondent type</w:t>
            </w:r>
          </w:p>
        </w:tc>
        <w:tc>
          <w:tcPr>
            <w:tcW w:w="625" w:type="pct"/>
          </w:tcPr>
          <w:p w14:paraId="64E4DF8A"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Sample size</w:t>
            </w:r>
          </w:p>
        </w:tc>
        <w:tc>
          <w:tcPr>
            <w:tcW w:w="625" w:type="pct"/>
          </w:tcPr>
          <w:p w14:paraId="3B60AEA3"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Mean</w:t>
            </w:r>
          </w:p>
        </w:tc>
        <w:tc>
          <w:tcPr>
            <w:tcW w:w="625" w:type="pct"/>
          </w:tcPr>
          <w:p w14:paraId="07188693"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Median</w:t>
            </w:r>
          </w:p>
        </w:tc>
        <w:tc>
          <w:tcPr>
            <w:tcW w:w="625" w:type="pct"/>
          </w:tcPr>
          <w:p w14:paraId="52EF6355"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44C29AFB"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383EF710"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82DE0FE" w14:textId="77777777" w:rsidR="001330ED" w:rsidRPr="00284A41" w:rsidRDefault="001330ED" w:rsidP="001330ED">
            <w:pPr>
              <w:rPr>
                <w:rFonts w:ascii="Arial" w:eastAsia="Arial" w:hAnsi="Arial" w:cs="Arial"/>
                <w:szCs w:val="18"/>
              </w:rPr>
            </w:pPr>
            <w:r w:rsidRPr="00284A41">
              <w:rPr>
                <w:rFonts w:ascii="Arial" w:eastAsia="Arial" w:hAnsi="Arial" w:cs="Arial"/>
                <w:szCs w:val="18"/>
              </w:rPr>
              <w:t>All respondents</w:t>
            </w:r>
          </w:p>
        </w:tc>
        <w:tc>
          <w:tcPr>
            <w:tcW w:w="625" w:type="pct"/>
          </w:tcPr>
          <w:p w14:paraId="631D343B" w14:textId="7B5595AB" w:rsidR="001330ED" w:rsidRPr="00284A41" w:rsidRDefault="001330ED" w:rsidP="001330ED">
            <w:pPr>
              <w:jc w:val="center"/>
              <w:rPr>
                <w:rFonts w:ascii="Arial" w:eastAsia="Arial" w:hAnsi="Arial" w:cs="Arial"/>
                <w:szCs w:val="18"/>
              </w:rPr>
            </w:pPr>
            <w:r w:rsidRPr="00284A41">
              <w:t>837</w:t>
            </w:r>
          </w:p>
        </w:tc>
        <w:tc>
          <w:tcPr>
            <w:tcW w:w="625" w:type="pct"/>
          </w:tcPr>
          <w:p w14:paraId="7269B1F8" w14:textId="1D5BAD65" w:rsidR="001330ED" w:rsidRPr="00284A41" w:rsidRDefault="001330ED" w:rsidP="001330ED">
            <w:pPr>
              <w:jc w:val="center"/>
              <w:rPr>
                <w:rFonts w:ascii="Arial" w:eastAsia="Arial" w:hAnsi="Arial" w:cs="Arial"/>
                <w:szCs w:val="18"/>
              </w:rPr>
            </w:pPr>
            <w:r w:rsidRPr="00284A41">
              <w:t>44.3%</w:t>
            </w:r>
          </w:p>
        </w:tc>
        <w:tc>
          <w:tcPr>
            <w:tcW w:w="625" w:type="pct"/>
          </w:tcPr>
          <w:p w14:paraId="5BDD5E91" w14:textId="6117C14C" w:rsidR="001330ED" w:rsidRPr="00284A41" w:rsidRDefault="001330ED" w:rsidP="001330ED">
            <w:pPr>
              <w:jc w:val="center"/>
              <w:rPr>
                <w:rFonts w:ascii="Arial" w:eastAsia="Arial" w:hAnsi="Arial" w:cs="Arial"/>
                <w:szCs w:val="18"/>
              </w:rPr>
            </w:pPr>
            <w:r w:rsidRPr="00284A41">
              <w:t>40.2%</w:t>
            </w:r>
          </w:p>
        </w:tc>
        <w:tc>
          <w:tcPr>
            <w:tcW w:w="625" w:type="pct"/>
          </w:tcPr>
          <w:p w14:paraId="5681DB08" w14:textId="675F76FE" w:rsidR="001330ED" w:rsidRPr="00284A41" w:rsidRDefault="001330ED" w:rsidP="001330ED">
            <w:pPr>
              <w:jc w:val="center"/>
              <w:rPr>
                <w:rFonts w:ascii="Arial" w:eastAsia="Arial" w:hAnsi="Arial" w:cs="Arial"/>
                <w:szCs w:val="18"/>
              </w:rPr>
            </w:pPr>
            <w:r w:rsidRPr="00284A41">
              <w:t>12.5%</w:t>
            </w:r>
          </w:p>
        </w:tc>
        <w:tc>
          <w:tcPr>
            <w:tcW w:w="625" w:type="pct"/>
          </w:tcPr>
          <w:p w14:paraId="4EBCB37F" w14:textId="5464EE2D" w:rsidR="001330ED" w:rsidRPr="00284A41" w:rsidRDefault="001330ED" w:rsidP="001330ED">
            <w:pPr>
              <w:jc w:val="center"/>
              <w:rPr>
                <w:rFonts w:ascii="Arial" w:eastAsia="Arial" w:hAnsi="Arial" w:cs="Arial"/>
                <w:szCs w:val="18"/>
              </w:rPr>
            </w:pPr>
            <w:r w:rsidRPr="00284A41">
              <w:t>72.6%</w:t>
            </w:r>
          </w:p>
        </w:tc>
      </w:tr>
      <w:tr w:rsidR="001758FE" w:rsidRPr="00284A41" w14:paraId="07816D76" w14:textId="77777777" w:rsidTr="0042216D">
        <w:trPr>
          <w:trHeight w:val="276"/>
        </w:trPr>
        <w:tc>
          <w:tcPr>
            <w:tcW w:w="1875" w:type="pct"/>
          </w:tcPr>
          <w:p w14:paraId="6298F82D" w14:textId="77777777" w:rsidR="001758FE" w:rsidRPr="00284A41" w:rsidRDefault="001758FE" w:rsidP="00B3744F">
            <w:pPr>
              <w:rPr>
                <w:rFonts w:ascii="Arial" w:eastAsia="Arial" w:hAnsi="Arial" w:cs="Arial"/>
                <w:szCs w:val="18"/>
              </w:rPr>
            </w:pPr>
            <w:r w:rsidRPr="00284A41">
              <w:rPr>
                <w:rFonts w:ascii="Arial" w:eastAsia="Arial" w:hAnsi="Arial" w:cs="Arial"/>
                <w:szCs w:val="18"/>
              </w:rPr>
              <w:t>Non-SIL respondents</w:t>
            </w:r>
          </w:p>
        </w:tc>
        <w:tc>
          <w:tcPr>
            <w:tcW w:w="625" w:type="pct"/>
          </w:tcPr>
          <w:p w14:paraId="2175CE9C"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617</w:t>
            </w:r>
          </w:p>
        </w:tc>
        <w:tc>
          <w:tcPr>
            <w:tcW w:w="625" w:type="pct"/>
          </w:tcPr>
          <w:p w14:paraId="3F83FE9A"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40.5%</w:t>
            </w:r>
          </w:p>
        </w:tc>
        <w:tc>
          <w:tcPr>
            <w:tcW w:w="625" w:type="pct"/>
          </w:tcPr>
          <w:p w14:paraId="45CB422C"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30.2%</w:t>
            </w:r>
          </w:p>
        </w:tc>
        <w:tc>
          <w:tcPr>
            <w:tcW w:w="625" w:type="pct"/>
          </w:tcPr>
          <w:p w14:paraId="21B65EDD"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10.5%</w:t>
            </w:r>
          </w:p>
        </w:tc>
        <w:tc>
          <w:tcPr>
            <w:tcW w:w="625" w:type="pct"/>
          </w:tcPr>
          <w:p w14:paraId="6C6205B2"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70.0%</w:t>
            </w:r>
          </w:p>
        </w:tc>
      </w:tr>
      <w:tr w:rsidR="001758FE" w:rsidRPr="00284A41" w14:paraId="33FE147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B50FBA5" w14:textId="77777777" w:rsidR="001758FE" w:rsidRPr="00284A41" w:rsidRDefault="001758FE" w:rsidP="00B3744F">
            <w:pPr>
              <w:rPr>
                <w:rFonts w:ascii="Arial" w:eastAsia="Arial" w:hAnsi="Arial" w:cs="Arial"/>
                <w:szCs w:val="18"/>
              </w:rPr>
            </w:pPr>
            <w:r w:rsidRPr="00284A41">
              <w:rPr>
                <w:rFonts w:ascii="Arial" w:eastAsia="Arial" w:hAnsi="Arial" w:cs="Arial"/>
                <w:szCs w:val="18"/>
              </w:rPr>
              <w:t>Mixed (SIL/ADL) respondents</w:t>
            </w:r>
          </w:p>
        </w:tc>
        <w:tc>
          <w:tcPr>
            <w:tcW w:w="625" w:type="pct"/>
          </w:tcPr>
          <w:p w14:paraId="3CD2B020"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220</w:t>
            </w:r>
          </w:p>
        </w:tc>
        <w:tc>
          <w:tcPr>
            <w:tcW w:w="625" w:type="pct"/>
          </w:tcPr>
          <w:p w14:paraId="79BB8487"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54.5%</w:t>
            </w:r>
          </w:p>
        </w:tc>
        <w:tc>
          <w:tcPr>
            <w:tcW w:w="625" w:type="pct"/>
          </w:tcPr>
          <w:p w14:paraId="29D82522"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59.3%</w:t>
            </w:r>
          </w:p>
        </w:tc>
        <w:tc>
          <w:tcPr>
            <w:tcW w:w="625" w:type="pct"/>
          </w:tcPr>
          <w:p w14:paraId="6415470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30.0%</w:t>
            </w:r>
          </w:p>
        </w:tc>
        <w:tc>
          <w:tcPr>
            <w:tcW w:w="625" w:type="pct"/>
          </w:tcPr>
          <w:p w14:paraId="1F52511A"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77.5%</w:t>
            </w:r>
          </w:p>
        </w:tc>
      </w:tr>
      <w:tr w:rsidR="001758FE" w:rsidRPr="00284A41" w14:paraId="257B88D9" w14:textId="77777777" w:rsidTr="0042216D">
        <w:trPr>
          <w:trHeight w:val="281"/>
        </w:trPr>
        <w:tc>
          <w:tcPr>
            <w:tcW w:w="1875" w:type="pct"/>
          </w:tcPr>
          <w:p w14:paraId="3563A751"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0-25% SIL respondents</w:t>
            </w:r>
          </w:p>
        </w:tc>
        <w:tc>
          <w:tcPr>
            <w:tcW w:w="625" w:type="pct"/>
          </w:tcPr>
          <w:p w14:paraId="4B16ADF6"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81</w:t>
            </w:r>
          </w:p>
        </w:tc>
        <w:tc>
          <w:tcPr>
            <w:tcW w:w="625" w:type="pct"/>
          </w:tcPr>
          <w:p w14:paraId="401C808C"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48.3%</w:t>
            </w:r>
          </w:p>
        </w:tc>
        <w:tc>
          <w:tcPr>
            <w:tcW w:w="625" w:type="pct"/>
          </w:tcPr>
          <w:p w14:paraId="207C4DF5"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46.6%</w:t>
            </w:r>
          </w:p>
        </w:tc>
        <w:tc>
          <w:tcPr>
            <w:tcW w:w="625" w:type="pct"/>
          </w:tcPr>
          <w:p w14:paraId="5BC77456"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20.0%</w:t>
            </w:r>
          </w:p>
        </w:tc>
        <w:tc>
          <w:tcPr>
            <w:tcW w:w="625" w:type="pct"/>
          </w:tcPr>
          <w:p w14:paraId="0DC6FA4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75.5%</w:t>
            </w:r>
          </w:p>
        </w:tc>
      </w:tr>
      <w:tr w:rsidR="001758FE" w:rsidRPr="00284A41" w14:paraId="2B42BDB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F3DC2A1"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26-50% SIL respondents</w:t>
            </w:r>
          </w:p>
        </w:tc>
        <w:tc>
          <w:tcPr>
            <w:tcW w:w="625" w:type="pct"/>
          </w:tcPr>
          <w:p w14:paraId="4F604D2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47</w:t>
            </w:r>
          </w:p>
        </w:tc>
        <w:tc>
          <w:tcPr>
            <w:tcW w:w="625" w:type="pct"/>
          </w:tcPr>
          <w:p w14:paraId="3C7C2FD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50.5%</w:t>
            </w:r>
          </w:p>
        </w:tc>
        <w:tc>
          <w:tcPr>
            <w:tcW w:w="625" w:type="pct"/>
          </w:tcPr>
          <w:p w14:paraId="0343920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49.4%</w:t>
            </w:r>
          </w:p>
        </w:tc>
        <w:tc>
          <w:tcPr>
            <w:tcW w:w="625" w:type="pct"/>
          </w:tcPr>
          <w:p w14:paraId="52454731"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25.5%</w:t>
            </w:r>
          </w:p>
        </w:tc>
        <w:tc>
          <w:tcPr>
            <w:tcW w:w="625" w:type="pct"/>
          </w:tcPr>
          <w:p w14:paraId="46C9154B"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73.1%</w:t>
            </w:r>
          </w:p>
        </w:tc>
      </w:tr>
      <w:tr w:rsidR="001758FE" w:rsidRPr="00284A41" w14:paraId="0BCFBA72" w14:textId="77777777" w:rsidTr="0042216D">
        <w:trPr>
          <w:trHeight w:val="281"/>
        </w:trPr>
        <w:tc>
          <w:tcPr>
            <w:tcW w:w="1875" w:type="pct"/>
          </w:tcPr>
          <w:p w14:paraId="3A748BF7"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51-75% SIL respondents</w:t>
            </w:r>
          </w:p>
        </w:tc>
        <w:tc>
          <w:tcPr>
            <w:tcW w:w="625" w:type="pct"/>
          </w:tcPr>
          <w:p w14:paraId="242A59F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64</w:t>
            </w:r>
          </w:p>
        </w:tc>
        <w:tc>
          <w:tcPr>
            <w:tcW w:w="625" w:type="pct"/>
          </w:tcPr>
          <w:p w14:paraId="07C9833E"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61.8%</w:t>
            </w:r>
          </w:p>
        </w:tc>
        <w:tc>
          <w:tcPr>
            <w:tcW w:w="625" w:type="pct"/>
          </w:tcPr>
          <w:p w14:paraId="58BC8B55"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63.7%</w:t>
            </w:r>
          </w:p>
        </w:tc>
        <w:tc>
          <w:tcPr>
            <w:tcW w:w="625" w:type="pct"/>
          </w:tcPr>
          <w:p w14:paraId="543A235B"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51.2%</w:t>
            </w:r>
          </w:p>
        </w:tc>
        <w:tc>
          <w:tcPr>
            <w:tcW w:w="625" w:type="pct"/>
          </w:tcPr>
          <w:p w14:paraId="556B2DFA"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79.1%</w:t>
            </w:r>
          </w:p>
        </w:tc>
      </w:tr>
      <w:tr w:rsidR="001758FE" w:rsidRPr="00284A41" w14:paraId="68D2036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3B306D19"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75-100% SIL respondents</w:t>
            </w:r>
          </w:p>
        </w:tc>
        <w:tc>
          <w:tcPr>
            <w:tcW w:w="625" w:type="pct"/>
          </w:tcPr>
          <w:p w14:paraId="4BD62F1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28</w:t>
            </w:r>
          </w:p>
        </w:tc>
        <w:tc>
          <w:tcPr>
            <w:tcW w:w="625" w:type="pct"/>
          </w:tcPr>
          <w:p w14:paraId="72D8C151"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65.2%</w:t>
            </w:r>
          </w:p>
        </w:tc>
        <w:tc>
          <w:tcPr>
            <w:tcW w:w="625" w:type="pct"/>
          </w:tcPr>
          <w:p w14:paraId="007D435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71.3%</w:t>
            </w:r>
          </w:p>
        </w:tc>
        <w:tc>
          <w:tcPr>
            <w:tcW w:w="625" w:type="pct"/>
          </w:tcPr>
          <w:p w14:paraId="608CAD9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57.7%</w:t>
            </w:r>
          </w:p>
        </w:tc>
        <w:tc>
          <w:tcPr>
            <w:tcW w:w="625" w:type="pct"/>
          </w:tcPr>
          <w:p w14:paraId="0FEBEC39"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78.0%</w:t>
            </w:r>
          </w:p>
        </w:tc>
      </w:tr>
    </w:tbl>
    <w:p w14:paraId="7C085EFD" w14:textId="22AF41DC" w:rsidR="00BE4049" w:rsidRPr="00284A41" w:rsidRDefault="001758FE" w:rsidP="00D51C6F">
      <w:pPr>
        <w:rPr>
          <w:rFonts w:ascii="Arial" w:eastAsia="Arial" w:hAnsi="Arial" w:cs="Arial"/>
        </w:rPr>
      </w:pPr>
      <w:r w:rsidRPr="00284A41">
        <w:rPr>
          <w:rFonts w:ascii="Arial" w:eastAsia="Arial" w:hAnsi="Arial" w:cs="Arial"/>
        </w:rPr>
        <w:t xml:space="preserve">Regression analysis </w:t>
      </w:r>
      <w:r w:rsidR="00EF1D9B" w:rsidRPr="00284A41">
        <w:rPr>
          <w:rFonts w:ascii="Arial" w:eastAsia="Arial" w:hAnsi="Arial" w:cs="Arial"/>
        </w:rPr>
        <w:t>(</w:t>
      </w:r>
      <w:r w:rsidR="00B3744F" w:rsidRPr="00284A41">
        <w:rPr>
          <w:rFonts w:ascii="Arial" w:eastAsia="Arial" w:hAnsi="Arial" w:cs="Arial"/>
        </w:rPr>
        <w:fldChar w:fldCharType="begin"/>
      </w:r>
      <w:r w:rsidR="00B3744F" w:rsidRPr="00284A41">
        <w:rPr>
          <w:rFonts w:ascii="Arial" w:eastAsia="Arial" w:hAnsi="Arial" w:cs="Arial"/>
        </w:rPr>
        <w:instrText xml:space="preserve"> REF _Ref68012585 \h </w:instrText>
      </w:r>
      <w:r w:rsidR="00284A41">
        <w:rPr>
          <w:rFonts w:ascii="Arial" w:eastAsia="Arial" w:hAnsi="Arial" w:cs="Arial"/>
        </w:rPr>
        <w:instrText xml:space="preserve"> \* MERGEFORMAT </w:instrText>
      </w:r>
      <w:r w:rsidR="00B3744F" w:rsidRPr="00284A41">
        <w:rPr>
          <w:rFonts w:ascii="Arial" w:eastAsia="Arial" w:hAnsi="Arial" w:cs="Arial"/>
        </w:rPr>
      </w:r>
      <w:r w:rsidR="00B3744F" w:rsidRPr="00284A41">
        <w:rPr>
          <w:rFonts w:ascii="Arial" w:eastAsia="Arial" w:hAnsi="Arial" w:cs="Arial"/>
        </w:rPr>
        <w:fldChar w:fldCharType="separate"/>
      </w:r>
      <w:r w:rsidR="00E0689D" w:rsidRPr="00284A41">
        <w:t xml:space="preserve">Exhibit </w:t>
      </w:r>
      <w:r w:rsidR="00E0689D">
        <w:rPr>
          <w:noProof/>
        </w:rPr>
        <w:t>14</w:t>
      </w:r>
      <w:r w:rsidR="00B3744F" w:rsidRPr="00284A41">
        <w:rPr>
          <w:rFonts w:ascii="Arial" w:eastAsia="Arial" w:hAnsi="Arial" w:cs="Arial"/>
        </w:rPr>
        <w:fldChar w:fldCharType="end"/>
      </w:r>
      <w:r w:rsidR="00554D49" w:rsidRPr="00284A41">
        <w:rPr>
          <w:rFonts w:ascii="Arial" w:eastAsia="Arial" w:hAnsi="Arial" w:cs="Arial"/>
        </w:rPr>
        <w:t xml:space="preserve">) </w:t>
      </w:r>
      <w:r w:rsidRPr="00284A41">
        <w:rPr>
          <w:rFonts w:ascii="Arial" w:eastAsia="Arial" w:hAnsi="Arial" w:cs="Arial"/>
        </w:rPr>
        <w:t xml:space="preserve">further confirms a positive relationship between SIL service provision and the percentage of the workforce that is employed on a permanent basis. </w:t>
      </w:r>
      <w:r w:rsidR="00D51C6F" w:rsidRPr="00284A41">
        <w:t>The regression analysis also indicates that there are no inherent structural differences, between providers that offer any SIL services to those that offer none, which have a significant impact on the permanent share of a provider’s workforce.</w:t>
      </w:r>
      <w:r w:rsidR="00D51C6F" w:rsidRPr="00284A41">
        <w:rPr>
          <w:rFonts w:ascii="Arial" w:eastAsia="Arial" w:hAnsi="Arial" w:cs="Arial"/>
        </w:rPr>
        <w:t xml:space="preserve"> However, the data does show that as the share of revenue from SIL increases, so does the permanent share of the workforce. </w:t>
      </w:r>
    </w:p>
    <w:p w14:paraId="5BD93ED6" w14:textId="3E6DB151" w:rsidR="00D51C6F" w:rsidRPr="00284A41" w:rsidRDefault="00D51C6F" w:rsidP="00D51C6F">
      <w:r w:rsidRPr="00284A41">
        <w:t xml:space="preserve">A one percentage </w:t>
      </w:r>
      <w:r w:rsidRPr="00284A41">
        <w:rPr>
          <w:rFonts w:ascii="Arial" w:eastAsia="Arial" w:hAnsi="Arial" w:cs="Arial"/>
        </w:rPr>
        <w:t>point</w:t>
      </w:r>
      <w:r w:rsidRPr="00284A41">
        <w:t xml:space="preserve"> increase in the proportion of revenue received from SIL services by an organisation is associated with a 0.4</w:t>
      </w:r>
      <w:r w:rsidR="00BE4049" w:rsidRPr="00284A41">
        <w:t>1</w:t>
      </w:r>
      <w:r w:rsidRPr="00284A41">
        <w:t xml:space="preserve"> percentage point increase in the proportion of an organisation’s workforce that is employed on a permanent basis, on average. For example, if an organisation that received 0% of their revenue from SIL had a permanent workforce share of 40.5%, then an otherwise identical organisation with 100% revenue sourced from SIL would be expected to have a permanent workforce share of 8</w:t>
      </w:r>
      <w:r w:rsidR="00BE4049" w:rsidRPr="00284A41">
        <w:t>1</w:t>
      </w:r>
      <w:r w:rsidRPr="00284A41">
        <w:t>.5%. A similar effect, but smaller difference, is observed for efficient (</w:t>
      </w:r>
      <w:r w:rsidR="00BE4049" w:rsidRPr="00284A41">
        <w:t>7</w:t>
      </w:r>
      <w:r w:rsidRPr="00284A41">
        <w:t>5</w:t>
      </w:r>
      <w:r w:rsidRPr="00284A41">
        <w:rPr>
          <w:vertAlign w:val="superscript"/>
        </w:rPr>
        <w:t>th</w:t>
      </w:r>
      <w:r w:rsidRPr="00284A41">
        <w:t xml:space="preserve"> percentile) providers. If an organisation that received 0% of their revenue from SIL had a permanent workforce share of 70.0%, then an otherwise identical organisation with 100% revenue sourced from SIL would be expected to have a permanent workforce share of 85</w:t>
      </w:r>
      <w:r w:rsidR="00BE4049" w:rsidRPr="00284A41">
        <w:t>.1</w:t>
      </w:r>
      <w:r w:rsidRPr="00284A41">
        <w:t>%.</w:t>
      </w:r>
      <w:r w:rsidR="00C730FC">
        <w:t xml:space="preserve"> The implications of thi</w:t>
      </w:r>
      <w:r w:rsidR="00C730FC" w:rsidRPr="00284A41">
        <w:t>s finding will be considered in Chapter 3.</w:t>
      </w:r>
    </w:p>
    <w:p w14:paraId="384C8F54" w14:textId="5DA60697" w:rsidR="001758FE" w:rsidRPr="00284A41" w:rsidRDefault="00B3744F" w:rsidP="00B62894">
      <w:pPr>
        <w:pStyle w:val="Caption"/>
      </w:pPr>
      <w:bookmarkStart w:id="73" w:name="_Ref68012585"/>
      <w:bookmarkStart w:id="74" w:name="_Toc75881517"/>
      <w:r w:rsidRPr="00284A41">
        <w:t xml:space="preserve">Exhibit </w:t>
      </w:r>
      <w:r w:rsidR="00935584">
        <w:fldChar w:fldCharType="begin"/>
      </w:r>
      <w:r w:rsidR="00935584">
        <w:instrText xml:space="preserve"> SEQ Exhibit \* ARABIC </w:instrText>
      </w:r>
      <w:r w:rsidR="00935584">
        <w:fldChar w:fldCharType="separate"/>
      </w:r>
      <w:r w:rsidR="00E0689D">
        <w:rPr>
          <w:noProof/>
        </w:rPr>
        <w:t>14</w:t>
      </w:r>
      <w:r w:rsidR="00935584">
        <w:rPr>
          <w:noProof/>
        </w:rPr>
        <w:fldChar w:fldCharType="end"/>
      </w:r>
      <w:bookmarkEnd w:id="73"/>
      <w:r w:rsidRPr="00284A41">
        <w:t xml:space="preserve">: </w:t>
      </w:r>
      <w:bookmarkStart w:id="75" w:name="_Toc68003293"/>
      <w:r w:rsidR="006D79F2" w:rsidRPr="00284A41">
        <w:t>Regression</w:t>
      </w:r>
      <w:r w:rsidR="00066859" w:rsidRPr="00284A41">
        <w:t xml:space="preserve"> Analysis</w:t>
      </w:r>
      <w:r w:rsidR="003503B6" w:rsidRPr="00284A41">
        <w:t xml:space="preserve"> </w:t>
      </w:r>
      <w:r w:rsidR="006D79F2" w:rsidRPr="00284A41">
        <w:t xml:space="preserve">– </w:t>
      </w:r>
      <w:r w:rsidRPr="00284A41">
        <w:t>P</w:t>
      </w:r>
      <w:r w:rsidR="006D79F2" w:rsidRPr="00284A41">
        <w:t xml:space="preserve">ermanent </w:t>
      </w:r>
      <w:bookmarkEnd w:id="75"/>
      <w:r w:rsidR="003503B6" w:rsidRPr="00284A41">
        <w:t>E</w:t>
      </w:r>
      <w:r w:rsidRPr="00284A41">
        <w:t>mplo</w:t>
      </w:r>
      <w:r w:rsidR="003503B6" w:rsidRPr="00284A41">
        <w:t>yment S</w:t>
      </w:r>
      <w:r w:rsidRPr="00284A41">
        <w:t>hare</w:t>
      </w:r>
      <w:r w:rsidR="00264B60" w:rsidRPr="00284A41">
        <w:rPr>
          <w:rStyle w:val="FootnoteReference"/>
        </w:rPr>
        <w:footnoteReference w:id="15"/>
      </w:r>
      <w:bookmarkEnd w:id="74"/>
    </w:p>
    <w:tbl>
      <w:tblPr>
        <w:tblStyle w:val="GridTable4-Accent4"/>
        <w:tblW w:w="9147" w:type="dxa"/>
        <w:tblLook w:val="0460" w:firstRow="1" w:lastRow="1" w:firstColumn="0" w:lastColumn="0" w:noHBand="0" w:noVBand="1"/>
        <w:tblCaption w:val="Exhibit 14: Regression Analysis – Permanent Employment Share"/>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1758FE" w:rsidRPr="00284A41" w14:paraId="6BC2CD85" w14:textId="77777777" w:rsidTr="001F10E4">
        <w:trPr>
          <w:cnfStyle w:val="100000000000" w:firstRow="1" w:lastRow="0" w:firstColumn="0" w:lastColumn="0" w:oddVBand="0" w:evenVBand="0" w:oddHBand="0" w:evenHBand="0" w:firstRowFirstColumn="0" w:firstRowLastColumn="0" w:lastRowFirstColumn="0" w:lastRowLastColumn="0"/>
          <w:trHeight w:val="102"/>
          <w:tblHeader/>
        </w:trPr>
        <w:tc>
          <w:tcPr>
            <w:tcW w:w="2501" w:type="pct"/>
          </w:tcPr>
          <w:p w14:paraId="6C235F75" w14:textId="77777777" w:rsidR="001758FE" w:rsidRPr="00284A41" w:rsidRDefault="0055100F" w:rsidP="00B62894">
            <w:pPr>
              <w:keepNext/>
              <w:keepLines/>
              <w:rPr>
                <w:rFonts w:eastAsia="Arial" w:cstheme="minorHAnsi"/>
                <w:szCs w:val="18"/>
              </w:rPr>
            </w:pPr>
            <w:r w:rsidRPr="00284A41">
              <w:rPr>
                <w:rFonts w:eastAsia="Arial" w:cstheme="minorHAnsi"/>
                <w:szCs w:val="18"/>
              </w:rPr>
              <w:t>Regression variables</w:t>
            </w:r>
          </w:p>
        </w:tc>
        <w:tc>
          <w:tcPr>
            <w:tcW w:w="625" w:type="pct"/>
          </w:tcPr>
          <w:p w14:paraId="2411F275"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Mean</w:t>
            </w:r>
          </w:p>
        </w:tc>
        <w:tc>
          <w:tcPr>
            <w:tcW w:w="625" w:type="pct"/>
          </w:tcPr>
          <w:p w14:paraId="5F8F3C28" w14:textId="77777777" w:rsidR="001758FE" w:rsidRPr="00284A41" w:rsidRDefault="001E796D" w:rsidP="00B62894">
            <w:pPr>
              <w:keepNext/>
              <w:keepLines/>
              <w:jc w:val="center"/>
              <w:rPr>
                <w:rFonts w:eastAsia="Arial" w:cstheme="minorHAnsi"/>
                <w:szCs w:val="18"/>
              </w:rPr>
            </w:pPr>
            <w:r w:rsidRPr="00284A41">
              <w:rPr>
                <w:rFonts w:eastAsia="Arial" w:cstheme="minorHAnsi"/>
                <w:szCs w:val="18"/>
              </w:rPr>
              <w:t>Median</w:t>
            </w:r>
          </w:p>
        </w:tc>
        <w:tc>
          <w:tcPr>
            <w:tcW w:w="625" w:type="pct"/>
          </w:tcPr>
          <w:p w14:paraId="1503B994"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0055100F" w:rsidRPr="00284A41">
              <w:rPr>
                <w:rFonts w:eastAsia="Arial" w:cstheme="minorHAnsi"/>
                <w:szCs w:val="18"/>
              </w:rPr>
              <w:br/>
            </w:r>
            <w:r w:rsidR="001E796D" w:rsidRPr="00284A41">
              <w:rPr>
                <w:rFonts w:eastAsia="Arial" w:cstheme="minorHAnsi"/>
                <w:szCs w:val="18"/>
              </w:rPr>
              <w:t>percentile</w:t>
            </w:r>
          </w:p>
        </w:tc>
        <w:tc>
          <w:tcPr>
            <w:tcW w:w="624" w:type="pct"/>
          </w:tcPr>
          <w:p w14:paraId="4AF31D96"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75</w:t>
            </w:r>
            <w:r w:rsidR="00EA1F93" w:rsidRPr="00284A41">
              <w:rPr>
                <w:rFonts w:eastAsia="Arial" w:cstheme="minorHAnsi"/>
                <w:szCs w:val="18"/>
                <w:vertAlign w:val="superscript"/>
              </w:rPr>
              <w:t>t</w:t>
            </w:r>
            <w:r w:rsidRPr="00284A41">
              <w:rPr>
                <w:rFonts w:eastAsia="Arial" w:cstheme="minorHAnsi"/>
                <w:szCs w:val="18"/>
                <w:vertAlign w:val="superscript"/>
              </w:rPr>
              <w:t>h</w:t>
            </w:r>
            <w:r w:rsidR="0055100F" w:rsidRPr="00284A41">
              <w:rPr>
                <w:rFonts w:eastAsia="Arial" w:cstheme="minorHAnsi"/>
                <w:szCs w:val="18"/>
              </w:rPr>
              <w:br/>
            </w:r>
            <w:r w:rsidR="001E796D" w:rsidRPr="00284A41">
              <w:rPr>
                <w:rFonts w:eastAsia="Arial" w:cstheme="minorHAnsi"/>
                <w:szCs w:val="18"/>
              </w:rPr>
              <w:t>percentile</w:t>
            </w:r>
          </w:p>
        </w:tc>
      </w:tr>
      <w:tr w:rsidR="001758FE" w:rsidRPr="00284A41" w14:paraId="535F2C53"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2B5352D7" w14:textId="77777777" w:rsidR="001758FE" w:rsidRPr="00284A41" w:rsidRDefault="001758FE" w:rsidP="00B62894">
            <w:pPr>
              <w:keepNext/>
              <w:keepLines/>
              <w:rPr>
                <w:rFonts w:eastAsia="Arial" w:cstheme="minorHAnsi"/>
                <w:szCs w:val="18"/>
              </w:rPr>
            </w:pPr>
            <w:r w:rsidRPr="00284A41">
              <w:rPr>
                <w:rFonts w:eastAsia="Arial" w:cstheme="minorHAnsi"/>
                <w:szCs w:val="18"/>
              </w:rPr>
              <w:t>SIL pr</w:t>
            </w:r>
            <w:r w:rsidR="001E796D" w:rsidRPr="00284A41">
              <w:rPr>
                <w:rFonts w:eastAsia="Arial" w:cstheme="minorHAnsi"/>
                <w:szCs w:val="18"/>
              </w:rPr>
              <w:t>ovider indicator</w:t>
            </w:r>
          </w:p>
        </w:tc>
        <w:tc>
          <w:tcPr>
            <w:tcW w:w="625" w:type="pct"/>
          </w:tcPr>
          <w:p w14:paraId="369DCEC2"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w:t>
            </w:r>
            <w:r w:rsidR="00EA1F93" w:rsidRPr="00284A41">
              <w:rPr>
                <w:rFonts w:eastAsia="Arial" w:cstheme="minorHAnsi"/>
                <w:szCs w:val="18"/>
              </w:rPr>
              <w:t>.03</w:t>
            </w:r>
          </w:p>
        </w:tc>
        <w:tc>
          <w:tcPr>
            <w:tcW w:w="625" w:type="pct"/>
          </w:tcPr>
          <w:p w14:paraId="5F11BB58"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0.08</w:t>
            </w:r>
          </w:p>
        </w:tc>
        <w:tc>
          <w:tcPr>
            <w:tcW w:w="625" w:type="pct"/>
          </w:tcPr>
          <w:p w14:paraId="464D1B20"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-0.01</w:t>
            </w:r>
          </w:p>
        </w:tc>
        <w:tc>
          <w:tcPr>
            <w:tcW w:w="624" w:type="pct"/>
          </w:tcPr>
          <w:p w14:paraId="171673A5"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0.20</w:t>
            </w:r>
          </w:p>
        </w:tc>
      </w:tr>
      <w:tr w:rsidR="001758FE" w:rsidRPr="00284A41" w14:paraId="3D8C062A" w14:textId="77777777" w:rsidTr="0042216D">
        <w:trPr>
          <w:trHeight w:val="231"/>
        </w:trPr>
        <w:tc>
          <w:tcPr>
            <w:tcW w:w="2501" w:type="pct"/>
          </w:tcPr>
          <w:p w14:paraId="05344C84"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Percentage of revenue sourced from SIL </w:t>
            </w:r>
          </w:p>
        </w:tc>
        <w:tc>
          <w:tcPr>
            <w:tcW w:w="625" w:type="pct"/>
          </w:tcPr>
          <w:p w14:paraId="426807B2"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0.81**</w:t>
            </w:r>
          </w:p>
        </w:tc>
        <w:tc>
          <w:tcPr>
            <w:tcW w:w="625" w:type="pct"/>
          </w:tcPr>
          <w:p w14:paraId="2BFC03CB"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0.86**</w:t>
            </w:r>
          </w:p>
        </w:tc>
        <w:tc>
          <w:tcPr>
            <w:tcW w:w="625" w:type="pct"/>
          </w:tcPr>
          <w:p w14:paraId="7E2A4B33"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1.05</w:t>
            </w:r>
            <w:r w:rsidR="001758FE" w:rsidRPr="00284A41">
              <w:rPr>
                <w:rFonts w:eastAsia="Arial" w:cstheme="minorHAnsi"/>
                <w:szCs w:val="18"/>
              </w:rPr>
              <w:t>**</w:t>
            </w:r>
          </w:p>
        </w:tc>
        <w:tc>
          <w:tcPr>
            <w:tcW w:w="624" w:type="pct"/>
          </w:tcPr>
          <w:p w14:paraId="3793D62B"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0.39</w:t>
            </w:r>
            <w:r w:rsidR="001758FE" w:rsidRPr="00284A41">
              <w:rPr>
                <w:rFonts w:eastAsia="Arial" w:cstheme="minorHAnsi"/>
                <w:szCs w:val="18"/>
              </w:rPr>
              <w:t>*</w:t>
            </w:r>
          </w:p>
        </w:tc>
      </w:tr>
      <w:tr w:rsidR="001758FE" w:rsidRPr="00284A41" w14:paraId="40ECCDF9"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3FD54B3B"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Number of clients </w:t>
            </w:r>
            <w:r w:rsidR="008A0A72" w:rsidRPr="00284A41">
              <w:rPr>
                <w:rFonts w:eastAsia="Arial" w:cstheme="minorHAnsi"/>
                <w:szCs w:val="18"/>
              </w:rPr>
              <w:t>(log)</w:t>
            </w:r>
          </w:p>
        </w:tc>
        <w:tc>
          <w:tcPr>
            <w:tcW w:w="625" w:type="pct"/>
          </w:tcPr>
          <w:p w14:paraId="74B3E555"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0.22**</w:t>
            </w:r>
          </w:p>
        </w:tc>
        <w:tc>
          <w:tcPr>
            <w:tcW w:w="625" w:type="pct"/>
          </w:tcPr>
          <w:p w14:paraId="3471D1FC"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0.25**</w:t>
            </w:r>
          </w:p>
        </w:tc>
        <w:tc>
          <w:tcPr>
            <w:tcW w:w="625" w:type="pct"/>
          </w:tcPr>
          <w:p w14:paraId="0D917DCD"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0.31</w:t>
            </w:r>
            <w:r w:rsidR="001758FE" w:rsidRPr="00284A41">
              <w:rPr>
                <w:rFonts w:eastAsia="Arial" w:cstheme="minorHAnsi"/>
                <w:szCs w:val="18"/>
              </w:rPr>
              <w:t>**</w:t>
            </w:r>
          </w:p>
        </w:tc>
        <w:tc>
          <w:tcPr>
            <w:tcW w:w="624" w:type="pct"/>
          </w:tcPr>
          <w:p w14:paraId="2193DF5E"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0.24</w:t>
            </w:r>
            <w:r w:rsidR="001758FE" w:rsidRPr="00284A41">
              <w:rPr>
                <w:rFonts w:eastAsia="Arial" w:cstheme="minorHAnsi"/>
                <w:szCs w:val="18"/>
              </w:rPr>
              <w:t>**</w:t>
            </w:r>
          </w:p>
        </w:tc>
      </w:tr>
      <w:tr w:rsidR="001758FE" w:rsidRPr="00284A41" w14:paraId="5FCD6685" w14:textId="77777777" w:rsidTr="0042216D">
        <w:trPr>
          <w:trHeight w:val="231"/>
        </w:trPr>
        <w:tc>
          <w:tcPr>
            <w:tcW w:w="2501" w:type="pct"/>
          </w:tcPr>
          <w:p w14:paraId="57A6A578" w14:textId="77777777" w:rsidR="001758FE" w:rsidRPr="00284A41" w:rsidRDefault="001758FE" w:rsidP="00B62894">
            <w:pPr>
              <w:keepNext/>
              <w:keepLines/>
              <w:rPr>
                <w:rFonts w:eastAsia="Arial" w:cstheme="minorHAnsi"/>
                <w:szCs w:val="18"/>
              </w:rPr>
            </w:pPr>
            <w:r w:rsidRPr="00284A41">
              <w:rPr>
                <w:rFonts w:eastAsia="Arial" w:cstheme="minorHAnsi"/>
                <w:szCs w:val="18"/>
              </w:rPr>
              <w:t>Average base wage (DSW)</w:t>
            </w:r>
            <w:r w:rsidR="008A0A72" w:rsidRPr="00284A41">
              <w:rPr>
                <w:rFonts w:eastAsia="Arial" w:cstheme="minorHAnsi"/>
                <w:szCs w:val="18"/>
              </w:rPr>
              <w:t xml:space="preserve"> (log)</w:t>
            </w:r>
          </w:p>
        </w:tc>
        <w:tc>
          <w:tcPr>
            <w:tcW w:w="625" w:type="pct"/>
          </w:tcPr>
          <w:p w14:paraId="2F26C888"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-1.82**</w:t>
            </w:r>
          </w:p>
        </w:tc>
        <w:tc>
          <w:tcPr>
            <w:tcW w:w="625" w:type="pct"/>
          </w:tcPr>
          <w:p w14:paraId="7DE7DE5F"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-1.96**</w:t>
            </w:r>
          </w:p>
        </w:tc>
        <w:tc>
          <w:tcPr>
            <w:tcW w:w="625" w:type="pct"/>
          </w:tcPr>
          <w:p w14:paraId="434AE1F7"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-0.46</w:t>
            </w:r>
          </w:p>
        </w:tc>
        <w:tc>
          <w:tcPr>
            <w:tcW w:w="624" w:type="pct"/>
          </w:tcPr>
          <w:p w14:paraId="2ACB9986"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-3.89</w:t>
            </w:r>
            <w:r w:rsidR="001758FE" w:rsidRPr="00284A41">
              <w:rPr>
                <w:rFonts w:eastAsia="Arial" w:cstheme="minorHAnsi"/>
                <w:szCs w:val="18"/>
              </w:rPr>
              <w:t>**</w:t>
            </w:r>
          </w:p>
        </w:tc>
      </w:tr>
      <w:tr w:rsidR="001758FE" w:rsidRPr="00284A41" w14:paraId="417B7476"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5E2E909" w14:textId="77777777" w:rsidR="001758FE" w:rsidRPr="00284A41" w:rsidRDefault="001758FE" w:rsidP="00B62894">
            <w:pPr>
              <w:keepNext/>
              <w:keepLines/>
              <w:rPr>
                <w:rFonts w:eastAsia="Arial" w:cstheme="minorHAnsi"/>
                <w:szCs w:val="18"/>
              </w:rPr>
            </w:pPr>
            <w:r w:rsidRPr="00284A41">
              <w:rPr>
                <w:rFonts w:eastAsia="Arial" w:cstheme="minorHAnsi"/>
                <w:szCs w:val="18"/>
              </w:rPr>
              <w:t>Staff-supervisor ratio (headcount)</w:t>
            </w:r>
            <w:r w:rsidR="008A0A72" w:rsidRPr="00284A41">
              <w:rPr>
                <w:rFonts w:eastAsia="Arial" w:cstheme="minorHAnsi"/>
                <w:szCs w:val="18"/>
              </w:rPr>
              <w:t xml:space="preserve"> (log)</w:t>
            </w:r>
          </w:p>
        </w:tc>
        <w:tc>
          <w:tcPr>
            <w:tcW w:w="625" w:type="pct"/>
          </w:tcPr>
          <w:p w14:paraId="4D12ED9D"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-0.39**</w:t>
            </w:r>
          </w:p>
        </w:tc>
        <w:tc>
          <w:tcPr>
            <w:tcW w:w="625" w:type="pct"/>
          </w:tcPr>
          <w:p w14:paraId="6A3276BA"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-0.54**</w:t>
            </w:r>
          </w:p>
        </w:tc>
        <w:tc>
          <w:tcPr>
            <w:tcW w:w="625" w:type="pct"/>
          </w:tcPr>
          <w:p w14:paraId="2D019D7B"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-0.37</w:t>
            </w:r>
            <w:r w:rsidR="001758FE" w:rsidRPr="00284A41">
              <w:rPr>
                <w:rFonts w:eastAsia="Arial" w:cstheme="minorHAnsi"/>
                <w:szCs w:val="18"/>
              </w:rPr>
              <w:t>**</w:t>
            </w:r>
          </w:p>
        </w:tc>
        <w:tc>
          <w:tcPr>
            <w:tcW w:w="624" w:type="pct"/>
          </w:tcPr>
          <w:p w14:paraId="32033E58"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-0.51</w:t>
            </w:r>
            <w:r w:rsidR="001758FE" w:rsidRPr="00284A41">
              <w:rPr>
                <w:rFonts w:eastAsia="Arial" w:cstheme="minorHAnsi"/>
                <w:szCs w:val="18"/>
              </w:rPr>
              <w:t>**</w:t>
            </w:r>
          </w:p>
        </w:tc>
      </w:tr>
      <w:tr w:rsidR="001758FE" w:rsidRPr="00284A41" w14:paraId="23B14B16" w14:textId="77777777" w:rsidTr="0042216D">
        <w:trPr>
          <w:trHeight w:val="231"/>
        </w:trPr>
        <w:tc>
          <w:tcPr>
            <w:tcW w:w="2501" w:type="pct"/>
          </w:tcPr>
          <w:p w14:paraId="382F9913"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Labour time spent on billable work (% of </w:t>
            </w:r>
            <w:r w:rsidR="0055100F" w:rsidRPr="00284A41">
              <w:rPr>
                <w:rFonts w:eastAsia="Arial" w:cstheme="minorHAnsi"/>
                <w:szCs w:val="18"/>
              </w:rPr>
              <w:t xml:space="preserve">all </w:t>
            </w:r>
            <w:r w:rsidRPr="00284A41">
              <w:rPr>
                <w:rFonts w:eastAsia="Arial" w:cstheme="minorHAnsi"/>
                <w:szCs w:val="18"/>
              </w:rPr>
              <w:t>time)</w:t>
            </w:r>
          </w:p>
        </w:tc>
        <w:tc>
          <w:tcPr>
            <w:tcW w:w="625" w:type="pct"/>
          </w:tcPr>
          <w:p w14:paraId="15104F50" w14:textId="77777777" w:rsidR="001758FE" w:rsidRPr="00284A41" w:rsidRDefault="001758FE" w:rsidP="00B62894">
            <w:pPr>
              <w:keepNext/>
              <w:keepLines/>
              <w:jc w:val="center"/>
              <w:rPr>
                <w:rFonts w:eastAsia="Arial" w:cstheme="minorHAnsi"/>
                <w:b/>
                <w:szCs w:val="18"/>
              </w:rPr>
            </w:pPr>
            <w:r w:rsidRPr="00284A41">
              <w:rPr>
                <w:rFonts w:eastAsia="Arial" w:cstheme="minorHAnsi"/>
                <w:szCs w:val="18"/>
              </w:rPr>
              <w:t>0.92*</w:t>
            </w:r>
          </w:p>
        </w:tc>
        <w:tc>
          <w:tcPr>
            <w:tcW w:w="625" w:type="pct"/>
          </w:tcPr>
          <w:p w14:paraId="2DBF68A3"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0.88</w:t>
            </w:r>
          </w:p>
        </w:tc>
        <w:tc>
          <w:tcPr>
            <w:tcW w:w="625" w:type="pct"/>
          </w:tcPr>
          <w:p w14:paraId="231DEE03"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0.80</w:t>
            </w:r>
          </w:p>
        </w:tc>
        <w:tc>
          <w:tcPr>
            <w:tcW w:w="624" w:type="pct"/>
          </w:tcPr>
          <w:p w14:paraId="4E40B6CA"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1.27</w:t>
            </w:r>
            <w:r w:rsidR="001758FE" w:rsidRPr="00284A41">
              <w:rPr>
                <w:rFonts w:eastAsia="Arial" w:cstheme="minorHAnsi"/>
                <w:szCs w:val="18"/>
              </w:rPr>
              <w:t>*</w:t>
            </w:r>
          </w:p>
        </w:tc>
      </w:tr>
      <w:tr w:rsidR="001758FE" w:rsidRPr="00284A41" w14:paraId="567C2F76"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39A4D74" w14:textId="77777777" w:rsidR="001758FE" w:rsidRPr="00284A41" w:rsidRDefault="001758FE" w:rsidP="00B62894">
            <w:pPr>
              <w:keepNext/>
              <w:keepLines/>
              <w:rPr>
                <w:rFonts w:eastAsia="Arial" w:cstheme="minorHAnsi"/>
                <w:szCs w:val="18"/>
              </w:rPr>
            </w:pPr>
            <w:r w:rsidRPr="00284A41">
              <w:rPr>
                <w:rFonts w:eastAsia="Arial" w:cstheme="minorHAnsi"/>
                <w:szCs w:val="18"/>
              </w:rPr>
              <w:t>Labour time spent training (% of</w:t>
            </w:r>
            <w:r w:rsidR="0055100F" w:rsidRPr="00284A41">
              <w:rPr>
                <w:rFonts w:eastAsia="Arial" w:cstheme="minorHAnsi"/>
                <w:szCs w:val="18"/>
              </w:rPr>
              <w:t xml:space="preserve"> all</w:t>
            </w:r>
            <w:r w:rsidRPr="00284A41">
              <w:rPr>
                <w:rFonts w:eastAsia="Arial" w:cstheme="minorHAnsi"/>
                <w:szCs w:val="18"/>
              </w:rPr>
              <w:t xml:space="preserve"> time)</w:t>
            </w:r>
          </w:p>
        </w:tc>
        <w:tc>
          <w:tcPr>
            <w:tcW w:w="625" w:type="pct"/>
          </w:tcPr>
          <w:p w14:paraId="319A3967"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-0.52</w:t>
            </w:r>
          </w:p>
        </w:tc>
        <w:tc>
          <w:tcPr>
            <w:tcW w:w="625" w:type="pct"/>
          </w:tcPr>
          <w:p w14:paraId="0498EB3B"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1.00</w:t>
            </w:r>
          </w:p>
        </w:tc>
        <w:tc>
          <w:tcPr>
            <w:tcW w:w="625" w:type="pct"/>
          </w:tcPr>
          <w:p w14:paraId="7984DC7E"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0.96</w:t>
            </w:r>
          </w:p>
        </w:tc>
        <w:tc>
          <w:tcPr>
            <w:tcW w:w="624" w:type="pct"/>
          </w:tcPr>
          <w:p w14:paraId="790BD876"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0.50</w:t>
            </w:r>
          </w:p>
        </w:tc>
      </w:tr>
      <w:tr w:rsidR="001758FE" w:rsidRPr="00284A41" w14:paraId="4A242D5B" w14:textId="77777777" w:rsidTr="0042216D">
        <w:trPr>
          <w:trHeight w:val="231"/>
        </w:trPr>
        <w:tc>
          <w:tcPr>
            <w:tcW w:w="2501" w:type="pct"/>
          </w:tcPr>
          <w:p w14:paraId="7535A0CC"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Labour time spent </w:t>
            </w:r>
            <w:r w:rsidR="00E24894" w:rsidRPr="00284A41">
              <w:rPr>
                <w:rFonts w:eastAsia="Arial" w:cstheme="minorHAnsi"/>
                <w:szCs w:val="18"/>
              </w:rPr>
              <w:t xml:space="preserve">client </w:t>
            </w:r>
            <w:r w:rsidRPr="00284A41">
              <w:rPr>
                <w:rFonts w:eastAsia="Arial" w:cstheme="minorHAnsi"/>
                <w:szCs w:val="18"/>
              </w:rPr>
              <w:t xml:space="preserve">admin (% of </w:t>
            </w:r>
            <w:r w:rsidR="0055100F" w:rsidRPr="00284A41">
              <w:rPr>
                <w:rFonts w:eastAsia="Arial" w:cstheme="minorHAnsi"/>
                <w:szCs w:val="18"/>
              </w:rPr>
              <w:t xml:space="preserve">all </w:t>
            </w:r>
            <w:r w:rsidRPr="00284A41">
              <w:rPr>
                <w:rFonts w:eastAsia="Arial" w:cstheme="minorHAnsi"/>
                <w:szCs w:val="18"/>
              </w:rPr>
              <w:t>time)</w:t>
            </w:r>
          </w:p>
        </w:tc>
        <w:tc>
          <w:tcPr>
            <w:tcW w:w="625" w:type="pct"/>
          </w:tcPr>
          <w:p w14:paraId="2566B7A2"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1.60**</w:t>
            </w:r>
          </w:p>
        </w:tc>
        <w:tc>
          <w:tcPr>
            <w:tcW w:w="625" w:type="pct"/>
          </w:tcPr>
          <w:p w14:paraId="709F8FB3"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1.27</w:t>
            </w:r>
          </w:p>
        </w:tc>
        <w:tc>
          <w:tcPr>
            <w:tcW w:w="625" w:type="pct"/>
          </w:tcPr>
          <w:p w14:paraId="3458BBAA"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2.10</w:t>
            </w:r>
            <w:r w:rsidR="001758FE" w:rsidRPr="00284A41">
              <w:rPr>
                <w:rFonts w:eastAsia="Arial" w:cstheme="minorHAnsi"/>
                <w:szCs w:val="18"/>
              </w:rPr>
              <w:t>**</w:t>
            </w:r>
          </w:p>
        </w:tc>
        <w:tc>
          <w:tcPr>
            <w:tcW w:w="624" w:type="pct"/>
          </w:tcPr>
          <w:p w14:paraId="4B24497D"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2.24</w:t>
            </w:r>
            <w:r w:rsidR="001758FE" w:rsidRPr="00284A41">
              <w:rPr>
                <w:rFonts w:eastAsia="Arial" w:cstheme="minorHAnsi"/>
                <w:szCs w:val="18"/>
              </w:rPr>
              <w:t>*</w:t>
            </w:r>
          </w:p>
        </w:tc>
      </w:tr>
      <w:tr w:rsidR="001758FE" w:rsidRPr="00284A41" w14:paraId="7B98FFE1"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8ECD9F1"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Labour time spent on admin (% of </w:t>
            </w:r>
            <w:r w:rsidR="0055100F" w:rsidRPr="00284A41">
              <w:rPr>
                <w:rFonts w:eastAsia="Arial" w:cstheme="minorHAnsi"/>
                <w:szCs w:val="18"/>
              </w:rPr>
              <w:t xml:space="preserve">all </w:t>
            </w:r>
            <w:r w:rsidRPr="00284A41">
              <w:rPr>
                <w:rFonts w:eastAsia="Arial" w:cstheme="minorHAnsi"/>
                <w:szCs w:val="18"/>
              </w:rPr>
              <w:t>time)</w:t>
            </w:r>
          </w:p>
        </w:tc>
        <w:tc>
          <w:tcPr>
            <w:tcW w:w="625" w:type="pct"/>
          </w:tcPr>
          <w:p w14:paraId="6171E33E"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1.91**</w:t>
            </w:r>
          </w:p>
        </w:tc>
        <w:tc>
          <w:tcPr>
            <w:tcW w:w="625" w:type="pct"/>
          </w:tcPr>
          <w:p w14:paraId="6927A28E"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1.65</w:t>
            </w:r>
          </w:p>
        </w:tc>
        <w:tc>
          <w:tcPr>
            <w:tcW w:w="625" w:type="pct"/>
          </w:tcPr>
          <w:p w14:paraId="3094040B"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0.93</w:t>
            </w:r>
          </w:p>
        </w:tc>
        <w:tc>
          <w:tcPr>
            <w:tcW w:w="624" w:type="pct"/>
          </w:tcPr>
          <w:p w14:paraId="396BE766"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3.51</w:t>
            </w:r>
            <w:r w:rsidR="001758FE" w:rsidRPr="00284A41">
              <w:rPr>
                <w:rFonts w:eastAsia="Arial" w:cstheme="minorHAnsi"/>
                <w:szCs w:val="18"/>
              </w:rPr>
              <w:t>**</w:t>
            </w:r>
          </w:p>
        </w:tc>
      </w:tr>
      <w:tr w:rsidR="001758FE" w:rsidRPr="0042216D" w14:paraId="6B80EE18" w14:textId="77777777" w:rsidTr="0042216D">
        <w:trPr>
          <w:cnfStyle w:val="010000000000" w:firstRow="0" w:lastRow="1" w:firstColumn="0" w:lastColumn="0" w:oddVBand="0" w:evenVBand="0" w:oddHBand="0" w:evenHBand="0" w:firstRowFirstColumn="0" w:firstRowLastColumn="0" w:lastRowFirstColumn="0" w:lastRowLastColumn="0"/>
          <w:trHeight w:val="231"/>
        </w:trPr>
        <w:tc>
          <w:tcPr>
            <w:tcW w:w="2501" w:type="pct"/>
          </w:tcPr>
          <w:p w14:paraId="379D540C" w14:textId="77777777" w:rsidR="001758FE" w:rsidRPr="0042216D" w:rsidRDefault="001758FE" w:rsidP="00B62894">
            <w:pPr>
              <w:keepNext/>
              <w:keepLines/>
              <w:rPr>
                <w:rFonts w:eastAsia="Arial" w:cstheme="minorHAnsi"/>
                <w:szCs w:val="18"/>
              </w:rPr>
            </w:pPr>
            <w:r w:rsidRPr="0042216D">
              <w:rPr>
                <w:rFonts w:eastAsia="Arial" w:cstheme="minorHAnsi"/>
                <w:szCs w:val="18"/>
              </w:rPr>
              <w:t>R</w:t>
            </w:r>
            <w:r w:rsidRPr="0042216D">
              <w:rPr>
                <w:rFonts w:eastAsia="Arial" w:cstheme="minorHAnsi"/>
                <w:szCs w:val="18"/>
                <w:vertAlign w:val="superscript"/>
              </w:rPr>
              <w:t>2</w:t>
            </w:r>
          </w:p>
        </w:tc>
        <w:tc>
          <w:tcPr>
            <w:tcW w:w="625" w:type="pct"/>
          </w:tcPr>
          <w:p w14:paraId="29AE2D32" w14:textId="77777777" w:rsidR="001758FE" w:rsidRPr="0042216D" w:rsidRDefault="001758FE" w:rsidP="00B62894">
            <w:pPr>
              <w:keepNext/>
              <w:keepLines/>
              <w:jc w:val="center"/>
              <w:rPr>
                <w:rFonts w:eastAsia="Arial" w:cstheme="minorHAnsi"/>
                <w:szCs w:val="18"/>
              </w:rPr>
            </w:pPr>
            <w:r w:rsidRPr="0042216D">
              <w:rPr>
                <w:rFonts w:eastAsia="Arial" w:cstheme="minorHAnsi"/>
                <w:szCs w:val="18"/>
              </w:rPr>
              <w:t>21.6%</w:t>
            </w:r>
          </w:p>
        </w:tc>
        <w:tc>
          <w:tcPr>
            <w:tcW w:w="625" w:type="pct"/>
          </w:tcPr>
          <w:p w14:paraId="1A08B307" w14:textId="77777777" w:rsidR="001758FE" w:rsidRPr="0042216D" w:rsidRDefault="00EA1F93" w:rsidP="00B62894">
            <w:pPr>
              <w:keepNext/>
              <w:keepLines/>
              <w:jc w:val="center"/>
              <w:rPr>
                <w:rFonts w:eastAsia="Arial" w:cstheme="minorHAnsi"/>
                <w:szCs w:val="18"/>
              </w:rPr>
            </w:pPr>
            <w:r w:rsidRPr="0042216D">
              <w:rPr>
                <w:rFonts w:eastAsia="Arial" w:cstheme="minorHAnsi"/>
                <w:szCs w:val="18"/>
              </w:rPr>
              <w:t>16.9%</w:t>
            </w:r>
          </w:p>
        </w:tc>
        <w:tc>
          <w:tcPr>
            <w:tcW w:w="625" w:type="pct"/>
          </w:tcPr>
          <w:p w14:paraId="5AC8E18B" w14:textId="77777777" w:rsidR="001758FE" w:rsidRPr="0042216D" w:rsidRDefault="00EA1F93" w:rsidP="00B62894">
            <w:pPr>
              <w:keepNext/>
              <w:keepLines/>
              <w:jc w:val="center"/>
              <w:rPr>
                <w:rFonts w:eastAsia="Arial" w:cstheme="minorHAnsi"/>
                <w:szCs w:val="18"/>
              </w:rPr>
            </w:pPr>
            <w:r w:rsidRPr="0042216D">
              <w:rPr>
                <w:rFonts w:eastAsia="Arial" w:cstheme="minorHAnsi"/>
                <w:szCs w:val="18"/>
              </w:rPr>
              <w:t>17.2%</w:t>
            </w:r>
          </w:p>
        </w:tc>
        <w:tc>
          <w:tcPr>
            <w:tcW w:w="624" w:type="pct"/>
          </w:tcPr>
          <w:p w14:paraId="67816EB4" w14:textId="77777777" w:rsidR="001758FE" w:rsidRPr="0042216D" w:rsidRDefault="00EA1F93" w:rsidP="00B62894">
            <w:pPr>
              <w:keepNext/>
              <w:keepLines/>
              <w:jc w:val="center"/>
              <w:rPr>
                <w:rFonts w:eastAsia="Arial" w:cstheme="minorHAnsi"/>
                <w:szCs w:val="18"/>
              </w:rPr>
            </w:pPr>
            <w:r w:rsidRPr="0042216D">
              <w:rPr>
                <w:rFonts w:eastAsia="Arial" w:cstheme="minorHAnsi"/>
                <w:szCs w:val="18"/>
              </w:rPr>
              <w:t>10.9%</w:t>
            </w:r>
          </w:p>
        </w:tc>
      </w:tr>
    </w:tbl>
    <w:p w14:paraId="42951455" w14:textId="072EC04F"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(477 observations).</w:t>
      </w:r>
    </w:p>
    <w:p w14:paraId="557A3BE1" w14:textId="77777777" w:rsidR="00E24894" w:rsidRPr="00284A41" w:rsidRDefault="00E24894" w:rsidP="0099317C">
      <w:pPr>
        <w:pStyle w:val="Heading3"/>
      </w:pPr>
      <w:r w:rsidRPr="00284A41">
        <w:t>Part time staff</w:t>
      </w:r>
    </w:p>
    <w:p w14:paraId="4D58005A" w14:textId="77777777" w:rsidR="00E24894" w:rsidRPr="00284A41" w:rsidRDefault="00EF2F81" w:rsidP="00E24894">
      <w:r w:rsidRPr="00284A41">
        <w:rPr>
          <w:rFonts w:cstheme="minorHAnsi"/>
        </w:rPr>
        <w:t>Most providers</w:t>
      </w:r>
      <w:r w:rsidR="00E24894" w:rsidRPr="00284A41">
        <w:rPr>
          <w:rFonts w:cstheme="minorHAnsi"/>
        </w:rPr>
        <w:t xml:space="preserve"> indicated that part-time employment was the most common type of employment in a SIL arrangement. </w:t>
      </w:r>
      <w:r w:rsidR="00C20C98" w:rsidRPr="00284A41">
        <w:rPr>
          <w:rFonts w:cstheme="minorHAnsi"/>
        </w:rPr>
        <w:t>Many</w:t>
      </w:r>
      <w:r w:rsidR="00E24894" w:rsidRPr="00284A41">
        <w:rPr>
          <w:rFonts w:cstheme="minorHAnsi"/>
        </w:rPr>
        <w:t xml:space="preserve"> providers stated that the majority of their staff were permanent part time, with </w:t>
      </w:r>
      <w:r w:rsidR="00C20C98" w:rsidRPr="00284A41">
        <w:rPr>
          <w:rFonts w:cstheme="minorHAnsi"/>
        </w:rPr>
        <w:t xml:space="preserve">some indicating that </w:t>
      </w:r>
      <w:r w:rsidR="00E24894" w:rsidRPr="00284A41">
        <w:rPr>
          <w:rFonts w:cstheme="minorHAnsi"/>
        </w:rPr>
        <w:t xml:space="preserve">70%-80% </w:t>
      </w:r>
      <w:r w:rsidR="00C20C98" w:rsidRPr="00284A41">
        <w:rPr>
          <w:rFonts w:cstheme="minorHAnsi"/>
        </w:rPr>
        <w:t>of their staff</w:t>
      </w:r>
      <w:r w:rsidR="00E24894" w:rsidRPr="00284A41">
        <w:rPr>
          <w:rFonts w:cstheme="minorHAnsi"/>
        </w:rPr>
        <w:t xml:space="preserve"> were permanent part time. Part time staff hours were reported to range between 15–40 hours per week, with the most common range between 18–28 hours per week.</w:t>
      </w:r>
      <w:r w:rsidR="00E24894" w:rsidRPr="00284A41">
        <w:t xml:space="preserve"> Offering standard full-time contracts was perceived to be difficult given the atypical hours associated with SIL work.</w:t>
      </w:r>
    </w:p>
    <w:p w14:paraId="44125FD3" w14:textId="77777777" w:rsidR="00C20C98" w:rsidRPr="00284A41" w:rsidRDefault="00C20C98" w:rsidP="00E24894">
      <w:r w:rsidRPr="00284A41">
        <w:t>This issue was considered in depth in AbleInsight’s 2017-18 Financial Benchmarking Survey Report. That Report found that, on average, 53.1% of all disability support worker hours in SIL (and 74.1% of all permanent disability support worker hours</w:t>
      </w:r>
      <w:r w:rsidR="00942A23" w:rsidRPr="00284A41">
        <w:t xml:space="preserve"> in SIL) were delivered by part-</w:t>
      </w:r>
      <w:r w:rsidRPr="00284A41">
        <w:t>time workers. This compared to 42.7% of all disability support worker hours (and 73.0% of all permanent disability support worker hours) in non-SIL settings.</w:t>
      </w:r>
    </w:p>
    <w:p w14:paraId="0FF30769" w14:textId="77777777" w:rsidR="00C20C98" w:rsidRPr="00284A41" w:rsidRDefault="00C20C98" w:rsidP="00E24894">
      <w:r w:rsidRPr="00284A41">
        <w:t>Although there may some additional administrative costs involved in a workforce with a larger share of part-time workers, the Review did not find any evidence of significant differences in costs in this regard between SIL and non-SIL providers.</w:t>
      </w:r>
    </w:p>
    <w:p w14:paraId="796FEDE1" w14:textId="77777777" w:rsidR="00E24894" w:rsidRPr="00284A41" w:rsidRDefault="00E24894" w:rsidP="0099317C">
      <w:pPr>
        <w:pStyle w:val="Heading3"/>
      </w:pPr>
      <w:r w:rsidRPr="00284A41">
        <w:t>Agency staff / temporary replacement staff</w:t>
      </w:r>
    </w:p>
    <w:p w14:paraId="5605CD6B" w14:textId="77777777" w:rsidR="00E24894" w:rsidRPr="00284A41" w:rsidRDefault="00E24894" w:rsidP="00E24894">
      <w:r w:rsidRPr="00284A41">
        <w:t xml:space="preserve">It was fairly common for providers to report in response to the Issue Paper that they did not use Agency or temporary staff at all. Organisations that did report employing these types of staff said that they are more likely to do so for SIL than non-SIL services. All respondents who used Agency or temporary staff said that they were more expensive and that this sometimes de-incentivised providers from using them. </w:t>
      </w:r>
      <w:r w:rsidR="00942A23" w:rsidRPr="00284A41">
        <w:t xml:space="preserve">Based </w:t>
      </w:r>
      <w:r w:rsidRPr="00284A41">
        <w:t xml:space="preserve">on data from </w:t>
      </w:r>
      <w:r w:rsidR="00F57B6D" w:rsidRPr="00284A41">
        <w:t>five</w:t>
      </w:r>
      <w:r w:rsidR="00942A23" w:rsidRPr="00284A41">
        <w:t xml:space="preserve"> providers, Alliance 20 reported </w:t>
      </w:r>
      <w:r w:rsidRPr="00284A41">
        <w:t>that agency staff hours accounted for about 2.8% of all hours. Ability First suggested that there was pressure to keep houses fully staffed in SIL. They argued that this can necessitate the use of agency staff, overtime, increased wages and recruitment costs. One provider argued that as agency staff often had to be used</w:t>
      </w:r>
      <w:r w:rsidR="00F57B6D" w:rsidRPr="00284A41">
        <w:t xml:space="preserve"> instead of full-time employees and that</w:t>
      </w:r>
      <w:r w:rsidRPr="00284A41">
        <w:t xml:space="preserve"> this should be accounted for in the Cost Model. </w:t>
      </w:r>
    </w:p>
    <w:p w14:paraId="37A6654D" w14:textId="77777777" w:rsidR="00F57B6D" w:rsidRPr="00284A41" w:rsidRDefault="00F57B6D" w:rsidP="00E24894">
      <w:r w:rsidRPr="00284A41">
        <w:t>On balanced, the Review did not consider that there was significant evidence of a material difference in the cost structures of SIL and non-SIL settings in respect to this cost driver.</w:t>
      </w:r>
    </w:p>
    <w:p w14:paraId="0589163D" w14:textId="77777777" w:rsidR="00120AC1" w:rsidRPr="00284A41" w:rsidRDefault="00120AC1" w:rsidP="00521BF9">
      <w:pPr>
        <w:pStyle w:val="Heading3"/>
      </w:pPr>
      <w:r w:rsidRPr="00284A41">
        <w:t>Level of staff</w:t>
      </w:r>
    </w:p>
    <w:p w14:paraId="7726DEC6" w14:textId="77777777" w:rsidR="0090490A" w:rsidRPr="00284A41" w:rsidRDefault="00942A23" w:rsidP="00504F1B">
      <w:r w:rsidRPr="00284A41">
        <w:t>Many</w:t>
      </w:r>
      <w:r w:rsidR="00120AC1" w:rsidRPr="00284A41">
        <w:t xml:space="preserve"> respondents </w:t>
      </w:r>
      <w:r w:rsidRPr="00284A41">
        <w:t>to the Issues Paper argued that</w:t>
      </w:r>
      <w:r w:rsidR="00120AC1" w:rsidRPr="00284A41">
        <w:t xml:space="preserve"> the average level </w:t>
      </w:r>
      <w:r w:rsidRPr="00284A41">
        <w:t xml:space="preserve">of worker </w:t>
      </w:r>
      <w:r w:rsidR="00077E4C" w:rsidRPr="00284A41">
        <w:t xml:space="preserve">used </w:t>
      </w:r>
      <w:r w:rsidRPr="00284A41">
        <w:t xml:space="preserve">in SIL </w:t>
      </w:r>
      <w:r w:rsidR="00077E4C" w:rsidRPr="00284A41">
        <w:t xml:space="preserve">was </w:t>
      </w:r>
      <w:r w:rsidR="00120AC1" w:rsidRPr="00284A41">
        <w:t>much higher</w:t>
      </w:r>
      <w:r w:rsidRPr="00284A41">
        <w:t xml:space="preserve"> than that allowed for the NDIS Disability Support Worker Cost Model</w:t>
      </w:r>
      <w:r w:rsidR="00120AC1" w:rsidRPr="00284A41">
        <w:t>. One provider suggested that in SIL services, they employ staff around SCHA</w:t>
      </w:r>
      <w:r w:rsidRPr="00284A41">
        <w:t>DS level 4. They argued that t</w:t>
      </w:r>
      <w:r w:rsidR="0090490A" w:rsidRPr="00284A41">
        <w:t>his was because more experience</w:t>
      </w:r>
      <w:r w:rsidR="00077E4C" w:rsidRPr="00284A41">
        <w:t xml:space="preserve"> was needed</w:t>
      </w:r>
      <w:r w:rsidR="0090490A" w:rsidRPr="00284A41">
        <w:t xml:space="preserve"> to deal with the challenges </w:t>
      </w:r>
      <w:r w:rsidR="00077E4C" w:rsidRPr="00284A41">
        <w:t xml:space="preserve">- </w:t>
      </w:r>
      <w:r w:rsidR="0090490A" w:rsidRPr="00284A41">
        <w:t xml:space="preserve">and at times volatility </w:t>
      </w:r>
      <w:r w:rsidR="00077E4C" w:rsidRPr="00284A41">
        <w:t xml:space="preserve">- </w:t>
      </w:r>
      <w:r w:rsidR="0090490A" w:rsidRPr="00284A41">
        <w:t>experienced in the SIL environment. Aspects of care such as medication management and the delivery of specialised services are tasks that require training and experience</w:t>
      </w:r>
      <w:r w:rsidR="00077E4C" w:rsidRPr="00284A41">
        <w:t>, so</w:t>
      </w:r>
      <w:r w:rsidR="00FB16CB" w:rsidRPr="00284A41">
        <w:t xml:space="preserve"> </w:t>
      </w:r>
      <w:r w:rsidR="0090490A" w:rsidRPr="00284A41">
        <w:t xml:space="preserve">providers </w:t>
      </w:r>
      <w:r w:rsidR="00077E4C" w:rsidRPr="00284A41">
        <w:t>wanted</w:t>
      </w:r>
      <w:r w:rsidR="0090490A" w:rsidRPr="00284A41">
        <w:t xml:space="preserve"> experienced staff who were more likely to be able to deliver these services </w:t>
      </w:r>
      <w:r w:rsidR="00077E4C" w:rsidRPr="00284A41">
        <w:t>effectively</w:t>
      </w:r>
      <w:r w:rsidRPr="00284A41">
        <w:t>.</w:t>
      </w:r>
    </w:p>
    <w:p w14:paraId="293D501C" w14:textId="15D3D39B" w:rsidR="00942A23" w:rsidRPr="00284A41" w:rsidRDefault="00942A23" w:rsidP="00942A23">
      <w:r w:rsidRPr="00284A41">
        <w:t>These claims are not, however, suppor</w:t>
      </w:r>
      <w:r w:rsidR="00D51C6F" w:rsidRPr="00284A41">
        <w:t>ted by the evidence on base pay</w:t>
      </w:r>
      <w:r w:rsidRPr="00284A41">
        <w:t xml:space="preserve"> rates in SIL and no</w:t>
      </w:r>
      <w:r w:rsidR="00D51C6F" w:rsidRPr="00284A41">
        <w:t>n-SIL settings discussed above.</w:t>
      </w:r>
      <w:r w:rsidRPr="00284A41">
        <w:t xml:space="preserve"> </w:t>
      </w:r>
      <w:r w:rsidR="00D51C6F" w:rsidRPr="00284A41">
        <w:t>The</w:t>
      </w:r>
      <w:r w:rsidRPr="00284A41">
        <w:t xml:space="preserve"> Financial Benchmarking Survey data does not support the contention that base salaries are higher in SIL settings (see </w:t>
      </w:r>
      <w:r w:rsidRPr="00284A41">
        <w:fldChar w:fldCharType="begin"/>
      </w:r>
      <w:r w:rsidRPr="00284A41">
        <w:instrText xml:space="preserve"> REF _Ref68011039 \h </w:instrText>
      </w:r>
      <w:r w:rsidR="00A1778D" w:rsidRPr="00284A41">
        <w:instrText xml:space="preserve"> \* MERGEFORMAT </w:instrText>
      </w:r>
      <w:r w:rsidRPr="00284A41">
        <w:fldChar w:fldCharType="separate"/>
      </w:r>
      <w:r w:rsidR="00E0689D" w:rsidRPr="00EC5814">
        <w:t xml:space="preserve">Exhibit </w:t>
      </w:r>
      <w:r w:rsidR="00E0689D">
        <w:rPr>
          <w:noProof/>
        </w:rPr>
        <w:t>6</w:t>
      </w:r>
      <w:r w:rsidRPr="00284A41">
        <w:fldChar w:fldCharType="end"/>
      </w:r>
      <w:r w:rsidRPr="00284A41">
        <w:t xml:space="preserve"> and </w:t>
      </w:r>
      <w:r w:rsidR="00D51C6F" w:rsidRPr="00284A41">
        <w:fldChar w:fldCharType="begin"/>
      </w:r>
      <w:r w:rsidR="00D51C6F" w:rsidRPr="00284A41">
        <w:instrText xml:space="preserve"> REF _Ref68358225 \h </w:instrText>
      </w:r>
      <w:r w:rsidR="00A1778D" w:rsidRPr="00284A41">
        <w:instrText xml:space="preserve"> \* MERGEFORMAT </w:instrText>
      </w:r>
      <w:r w:rsidR="00D51C6F" w:rsidRPr="00284A41">
        <w:fldChar w:fldCharType="separate"/>
      </w:r>
      <w:r w:rsidR="00E0689D" w:rsidRPr="00284A41">
        <w:t xml:space="preserve">Exhibit </w:t>
      </w:r>
      <w:r w:rsidR="00E0689D">
        <w:rPr>
          <w:noProof/>
        </w:rPr>
        <w:t>7</w:t>
      </w:r>
      <w:r w:rsidR="00D51C6F" w:rsidRPr="00284A41">
        <w:fldChar w:fldCharType="end"/>
      </w:r>
      <w:r w:rsidR="00D51C6F" w:rsidRPr="00284A41">
        <w:t xml:space="preserve"> </w:t>
      </w:r>
      <w:r w:rsidRPr="00284A41">
        <w:t>above). Indeed the average base salary paid by SIL providers is lower than the average bases salary paid by non-SIL providers. It should also be noted that the 25</w:t>
      </w:r>
      <w:r w:rsidRPr="00284A41">
        <w:rPr>
          <w:vertAlign w:val="superscript"/>
        </w:rPr>
        <w:t>th</w:t>
      </w:r>
      <w:r w:rsidRPr="00284A41">
        <w:t xml:space="preserve"> percentiles for base salaries are almost equivalent for SIL and non-SIL providers. These findings are not consistent with a consistently higher use of more qualified staff in SIL settings.</w:t>
      </w:r>
    </w:p>
    <w:p w14:paraId="30371784" w14:textId="77777777" w:rsidR="00FB16CB" w:rsidRPr="00284A41" w:rsidRDefault="00FB16CB" w:rsidP="00E4185C">
      <w:pPr>
        <w:pStyle w:val="Heading2"/>
      </w:pPr>
      <w:bookmarkStart w:id="76" w:name="_Toc75881969"/>
      <w:r w:rsidRPr="00284A41">
        <w:t>U</w:t>
      </w:r>
      <w:r w:rsidR="0090490A" w:rsidRPr="00284A41">
        <w:t>tilisation</w:t>
      </w:r>
      <w:bookmarkEnd w:id="76"/>
    </w:p>
    <w:p w14:paraId="4C8DF885" w14:textId="77777777" w:rsidR="00BF7BC9" w:rsidRPr="00284A41" w:rsidRDefault="00D70C69" w:rsidP="00B821D8">
      <w:r w:rsidRPr="00284A41">
        <w:t xml:space="preserve">The NDIS Disability Support Worker Cost Model recognises that staff need to spend some working time undertaking non-billable work, including breaks and training. </w:t>
      </w:r>
      <w:r w:rsidR="00B821D8" w:rsidRPr="00284A41">
        <w:t xml:space="preserve">The NDIA therefore sought evidence on whether there were material differences in these arrangements between SIL providers and non-SIL providers. </w:t>
      </w:r>
    </w:p>
    <w:p w14:paraId="7D83F0C9" w14:textId="77777777" w:rsidR="00521BF9" w:rsidRPr="00284A41" w:rsidRDefault="00521BF9" w:rsidP="00521BF9">
      <w:r w:rsidRPr="00284A41">
        <w:t>The key questions for the Review, as outlined in the Issues Paper, are:</w:t>
      </w:r>
    </w:p>
    <w:p w14:paraId="49B9537E" w14:textId="77777777" w:rsidR="00483963" w:rsidRPr="005E5772" w:rsidRDefault="000C0D49" w:rsidP="0042216D">
      <w:pPr>
        <w:pStyle w:val="DotPoint"/>
      </w:pPr>
      <w:r w:rsidRPr="005E5772">
        <w:t xml:space="preserve">Do training requirements – and associated costs – for workers differ between SIL services </w:t>
      </w:r>
      <w:r w:rsidR="00AD62FF" w:rsidRPr="005E5772">
        <w:t>and</w:t>
      </w:r>
      <w:r w:rsidRPr="005E5772">
        <w:t xml:space="preserve"> </w:t>
      </w:r>
      <w:r w:rsidR="00DE5528" w:rsidRPr="005E5772">
        <w:t>non-SIL</w:t>
      </w:r>
      <w:r w:rsidRPr="005E5772">
        <w:t xml:space="preserve"> services?</w:t>
      </w:r>
      <w:r w:rsidR="003C5F87" w:rsidRPr="005E5772">
        <w:t xml:space="preserve"> </w:t>
      </w:r>
      <w:r w:rsidR="00D70C69" w:rsidRPr="005E5772">
        <w:t>If there is a difference, what are the key drivers of this difference? How large is this difference?</w:t>
      </w:r>
      <w:r w:rsidR="00B821D8" w:rsidRPr="005E5772">
        <w:t xml:space="preserve"> </w:t>
      </w:r>
    </w:p>
    <w:p w14:paraId="65C4E801" w14:textId="77777777" w:rsidR="003871F3" w:rsidRPr="005E5772" w:rsidRDefault="003871F3" w:rsidP="0042216D">
      <w:pPr>
        <w:pStyle w:val="DotPoint"/>
      </w:pPr>
      <w:r w:rsidRPr="005E5772">
        <w:t xml:space="preserve">Is there a material difference in the non-direct care </w:t>
      </w:r>
      <w:r w:rsidR="00C46E22" w:rsidRPr="005E5772">
        <w:t>activities</w:t>
      </w:r>
      <w:r w:rsidRPr="005E5772">
        <w:t xml:space="preserve"> that staff in SIL services, compared to staff in non-SIL services, </w:t>
      </w:r>
      <w:r w:rsidR="00C46E22" w:rsidRPr="005E5772">
        <w:t xml:space="preserve">are required to </w:t>
      </w:r>
      <w:r w:rsidR="00FB6354" w:rsidRPr="005E5772">
        <w:t>undertake? W</w:t>
      </w:r>
      <w:r w:rsidRPr="005E5772">
        <w:t>hat are the key drivers of these differences? How large are these differences?</w:t>
      </w:r>
    </w:p>
    <w:p w14:paraId="4E056965" w14:textId="77777777" w:rsidR="00FC141E" w:rsidRPr="00284A41" w:rsidRDefault="00FB16CB" w:rsidP="001E796D">
      <w:pPr>
        <w:pStyle w:val="Heading3"/>
      </w:pPr>
      <w:r w:rsidRPr="00284A41">
        <w:t>Utilisation (billable v unbillable hours)</w:t>
      </w:r>
    </w:p>
    <w:p w14:paraId="40A92B45" w14:textId="77777777" w:rsidR="00294E04" w:rsidRPr="00284A41" w:rsidRDefault="001B58E8" w:rsidP="00294E04">
      <w:r w:rsidRPr="00284A41">
        <w:t xml:space="preserve">Most </w:t>
      </w:r>
      <w:r w:rsidRPr="00284A41">
        <w:rPr>
          <w:rFonts w:cstheme="minorHAnsi"/>
        </w:rPr>
        <w:t>respondents to the Issues Paper mentioned that workers spent</w:t>
      </w:r>
      <w:r w:rsidR="00BF7BC9" w:rsidRPr="00284A41">
        <w:rPr>
          <w:rFonts w:cstheme="minorHAnsi"/>
        </w:rPr>
        <w:t xml:space="preserve"> the great</w:t>
      </w:r>
      <w:r w:rsidRPr="00284A41">
        <w:rPr>
          <w:rFonts w:cstheme="minorHAnsi"/>
        </w:rPr>
        <w:t xml:space="preserve"> majority of their time delivering supports, with most responses between 80-95%.</w:t>
      </w:r>
      <w:r w:rsidR="00FB16CB" w:rsidRPr="00284A41">
        <w:rPr>
          <w:rFonts w:cstheme="minorHAnsi"/>
        </w:rPr>
        <w:t xml:space="preserve"> </w:t>
      </w:r>
      <w:r w:rsidRPr="00284A41">
        <w:rPr>
          <w:rFonts w:cstheme="minorHAnsi"/>
        </w:rPr>
        <w:t xml:space="preserve">Although providers noted that this </w:t>
      </w:r>
      <w:r w:rsidR="00BF7BC9" w:rsidRPr="00284A41">
        <w:rPr>
          <w:rFonts w:cstheme="minorHAnsi"/>
        </w:rPr>
        <w:t xml:space="preserve">could </w:t>
      </w:r>
      <w:r w:rsidRPr="00284A41">
        <w:rPr>
          <w:rFonts w:cstheme="minorHAnsi"/>
        </w:rPr>
        <w:t xml:space="preserve">vary substantially between participants. </w:t>
      </w:r>
      <w:r w:rsidR="00294E04" w:rsidRPr="00284A41">
        <w:t xml:space="preserve">Respondents suggested that SIL staff </w:t>
      </w:r>
      <w:r w:rsidR="00BF7BC9" w:rsidRPr="00284A41">
        <w:t xml:space="preserve">were </w:t>
      </w:r>
      <w:r w:rsidR="006A795D" w:rsidRPr="00284A41">
        <w:t xml:space="preserve">more </w:t>
      </w:r>
      <w:r w:rsidR="00294E04" w:rsidRPr="00284A41">
        <w:t>often engaged in unbillable activities</w:t>
      </w:r>
      <w:r w:rsidR="00BF7BC9" w:rsidRPr="00284A41">
        <w:t xml:space="preserve"> than were </w:t>
      </w:r>
      <w:r w:rsidR="00FB16CB" w:rsidRPr="00284A41">
        <w:t>other staff supporting activities of daily livings</w:t>
      </w:r>
      <w:r w:rsidR="00294E04" w:rsidRPr="00284A41">
        <w:t xml:space="preserve">, </w:t>
      </w:r>
      <w:r w:rsidR="00B12AE9" w:rsidRPr="00284A41">
        <w:t>because of an increased emphasis on</w:t>
      </w:r>
      <w:r w:rsidR="00294E04" w:rsidRPr="00284A41">
        <w:t xml:space="preserve"> quality and safeguarding</w:t>
      </w:r>
      <w:r w:rsidR="00B12AE9" w:rsidRPr="00284A41">
        <w:t xml:space="preserve"> in SIL settings</w:t>
      </w:r>
      <w:r w:rsidR="00294E04" w:rsidRPr="00284A41">
        <w:t xml:space="preserve">. This includes team meetings, handover, increased reporting, coordination of stakeholders and household management. SIL arrangements </w:t>
      </w:r>
      <w:r w:rsidR="00850025" w:rsidRPr="00284A41">
        <w:t xml:space="preserve">were </w:t>
      </w:r>
      <w:r w:rsidR="00BF7BC9" w:rsidRPr="00284A41">
        <w:t xml:space="preserve">reported </w:t>
      </w:r>
      <w:r w:rsidR="00294E04" w:rsidRPr="00284A41">
        <w:t xml:space="preserve">to </w:t>
      </w:r>
      <w:r w:rsidR="00B12AE9" w:rsidRPr="00284A41">
        <w:t xml:space="preserve">also </w:t>
      </w:r>
      <w:r w:rsidR="00850025" w:rsidRPr="00284A41">
        <w:t xml:space="preserve">entail </w:t>
      </w:r>
      <w:r w:rsidR="00294E04" w:rsidRPr="00284A41">
        <w:t xml:space="preserve">a lot of </w:t>
      </w:r>
      <w:r w:rsidR="00BF7BC9" w:rsidRPr="00284A41">
        <w:t xml:space="preserve">external stakeholder </w:t>
      </w:r>
      <w:r w:rsidR="00294E04" w:rsidRPr="00284A41">
        <w:t xml:space="preserve">involvement, family meetings, and communication back and forth </w:t>
      </w:r>
      <w:r w:rsidR="00BF7BC9" w:rsidRPr="00284A41">
        <w:t xml:space="preserve">with other providers </w:t>
      </w:r>
      <w:r w:rsidR="00294E04" w:rsidRPr="00284A41">
        <w:t xml:space="preserve">that </w:t>
      </w:r>
      <w:r w:rsidR="00BF7BC9" w:rsidRPr="00284A41">
        <w:t>cannot be</w:t>
      </w:r>
      <w:r w:rsidR="00294E04" w:rsidRPr="00284A41">
        <w:t xml:space="preserve"> attributed directly to the participant. Ability First </w:t>
      </w:r>
      <w:r w:rsidR="00BF7BC9" w:rsidRPr="00284A41">
        <w:t>reported</w:t>
      </w:r>
      <w:r w:rsidR="00294E04" w:rsidRPr="00284A41">
        <w:t xml:space="preserve"> that family/ stakeholder engagement accounts for 1.5% </w:t>
      </w:r>
      <w:r w:rsidR="006A795D" w:rsidRPr="00284A41">
        <w:t>of disability support worker hours</w:t>
      </w:r>
      <w:r w:rsidR="00294E04" w:rsidRPr="00284A41">
        <w:t xml:space="preserve"> </w:t>
      </w:r>
      <w:r w:rsidR="00BF7BC9" w:rsidRPr="00284A41">
        <w:t xml:space="preserve">for </w:t>
      </w:r>
      <w:r w:rsidR="00294E04" w:rsidRPr="00284A41">
        <w:t xml:space="preserve">standard </w:t>
      </w:r>
      <w:r w:rsidR="00BF7BC9" w:rsidRPr="00284A41">
        <w:t xml:space="preserve">participants </w:t>
      </w:r>
      <w:r w:rsidR="00294E04" w:rsidRPr="00284A41">
        <w:t xml:space="preserve">and 2.1% </w:t>
      </w:r>
      <w:r w:rsidR="00BF7BC9" w:rsidRPr="00284A41">
        <w:t xml:space="preserve">for </w:t>
      </w:r>
      <w:r w:rsidR="00294E04" w:rsidRPr="00284A41">
        <w:t>high intensity</w:t>
      </w:r>
      <w:r w:rsidR="00BF7BC9" w:rsidRPr="00284A41">
        <w:t xml:space="preserve"> </w:t>
      </w:r>
      <w:r w:rsidR="006A795D" w:rsidRPr="00284A41">
        <w:t>participants</w:t>
      </w:r>
      <w:r w:rsidR="00294E04" w:rsidRPr="00284A41">
        <w:t>. In addition,</w:t>
      </w:r>
      <w:r w:rsidR="00BF7BC9" w:rsidRPr="00284A41">
        <w:t xml:space="preserve"> they reported that</w:t>
      </w:r>
      <w:r w:rsidR="00294E04" w:rsidRPr="00284A41">
        <w:t xml:space="preserve"> liaising and coordinating with other supports and services accounts for 1% of </w:t>
      </w:r>
      <w:r w:rsidR="006A795D" w:rsidRPr="00284A41">
        <w:t>disability support worker hours</w:t>
      </w:r>
      <w:r w:rsidR="00294E04" w:rsidRPr="00284A41">
        <w:t xml:space="preserve"> for standard </w:t>
      </w:r>
      <w:r w:rsidR="006A795D" w:rsidRPr="00284A41">
        <w:t xml:space="preserve">participants </w:t>
      </w:r>
      <w:r w:rsidR="00294E04" w:rsidRPr="00284A41">
        <w:t>and 1.2% in high intensity</w:t>
      </w:r>
      <w:r w:rsidR="006A795D" w:rsidRPr="00284A41">
        <w:t xml:space="preserve"> participants</w:t>
      </w:r>
      <w:r w:rsidR="00294E04" w:rsidRPr="00284A41">
        <w:t>.</w:t>
      </w:r>
    </w:p>
    <w:p w14:paraId="34EDDF44" w14:textId="7A743C4E" w:rsidR="00FB6354" w:rsidRPr="00284A41" w:rsidRDefault="00FB6354" w:rsidP="00FB6354">
      <w:r w:rsidRPr="00284A41">
        <w:t>The</w:t>
      </w:r>
      <w:r w:rsidR="006A795D" w:rsidRPr="00284A41">
        <w:t xml:space="preserve"> Financial Benchmarking Survey Data (</w:t>
      </w:r>
      <w:r w:rsidR="00B12AE9" w:rsidRPr="00284A41">
        <w:fldChar w:fldCharType="begin"/>
      </w:r>
      <w:r w:rsidR="00B12AE9" w:rsidRPr="00284A41">
        <w:instrText xml:space="preserve"> REF _Ref68015245 \h </w:instrText>
      </w:r>
      <w:r w:rsidR="00284A41">
        <w:instrText xml:space="preserve"> \* MERGEFORMAT </w:instrText>
      </w:r>
      <w:r w:rsidR="00B12AE9" w:rsidRPr="00284A41">
        <w:fldChar w:fldCharType="separate"/>
      </w:r>
      <w:r w:rsidR="00E0689D" w:rsidRPr="00284A41">
        <w:t xml:space="preserve">Exhibit </w:t>
      </w:r>
      <w:r w:rsidR="00E0689D">
        <w:rPr>
          <w:noProof/>
        </w:rPr>
        <w:t>15</w:t>
      </w:r>
      <w:r w:rsidR="00B12AE9" w:rsidRPr="00284A41">
        <w:fldChar w:fldCharType="end"/>
      </w:r>
      <w:r w:rsidR="00B12AE9" w:rsidRPr="00284A41">
        <w:t xml:space="preserve"> and</w:t>
      </w:r>
      <w:r w:rsidR="00D51C6F" w:rsidRPr="00284A41">
        <w:t xml:space="preserve"> </w:t>
      </w:r>
      <w:r w:rsidR="00D51C6F" w:rsidRPr="00284A41">
        <w:fldChar w:fldCharType="begin"/>
      </w:r>
      <w:r w:rsidR="00D51C6F" w:rsidRPr="00284A41">
        <w:instrText xml:space="preserve"> REF _Ref68358259 \h </w:instrText>
      </w:r>
      <w:r w:rsidR="00284A41">
        <w:instrText xml:space="preserve"> \* MERGEFORMAT </w:instrText>
      </w:r>
      <w:r w:rsidR="00D51C6F" w:rsidRPr="00284A41">
        <w:fldChar w:fldCharType="separate"/>
      </w:r>
      <w:r w:rsidR="00E0689D" w:rsidRPr="00284A41">
        <w:t xml:space="preserve">Exhibit </w:t>
      </w:r>
      <w:r w:rsidR="00E0689D">
        <w:rPr>
          <w:noProof/>
        </w:rPr>
        <w:t>16</w:t>
      </w:r>
      <w:r w:rsidR="00D51C6F" w:rsidRPr="00284A41">
        <w:fldChar w:fldCharType="end"/>
      </w:r>
      <w:r w:rsidR="006A795D" w:rsidRPr="00284A41">
        <w:t xml:space="preserve">) </w:t>
      </w:r>
      <w:r w:rsidR="00B12AE9" w:rsidRPr="00284A41">
        <w:t>tends to indicate</w:t>
      </w:r>
      <w:r w:rsidR="006A795D" w:rsidRPr="00284A41">
        <w:t xml:space="preserve"> that SIL providers do tend to </w:t>
      </w:r>
      <w:r w:rsidR="00B12AE9" w:rsidRPr="00284A41">
        <w:t xml:space="preserve">have slightly </w:t>
      </w:r>
      <w:r w:rsidR="00012F44" w:rsidRPr="00284A41">
        <w:t>higher</w:t>
      </w:r>
      <w:r w:rsidR="00B12AE9" w:rsidRPr="00284A41">
        <w:t xml:space="preserve"> utilisation rates than other providers of activities of daily living supports</w:t>
      </w:r>
      <w:r w:rsidR="00C730FC">
        <w:t>.</w:t>
      </w:r>
    </w:p>
    <w:p w14:paraId="6B85DD9D" w14:textId="0DC94725" w:rsidR="00AE2F54" w:rsidRPr="00284A41" w:rsidRDefault="00720EBF" w:rsidP="00066859">
      <w:pPr>
        <w:pStyle w:val="Caption"/>
      </w:pPr>
      <w:bookmarkStart w:id="77" w:name="_Ref68015245"/>
      <w:bookmarkStart w:id="78" w:name="_Toc75881518"/>
      <w:r w:rsidRPr="00284A41">
        <w:t xml:space="preserve">Exhibit </w:t>
      </w:r>
      <w:r w:rsidR="00935584">
        <w:fldChar w:fldCharType="begin"/>
      </w:r>
      <w:r w:rsidR="00935584">
        <w:instrText xml:space="preserve"> SEQ Exhibit \* ARABIC </w:instrText>
      </w:r>
      <w:r w:rsidR="00935584">
        <w:fldChar w:fldCharType="separate"/>
      </w:r>
      <w:r w:rsidR="00E0689D">
        <w:rPr>
          <w:noProof/>
        </w:rPr>
        <w:t>15</w:t>
      </w:r>
      <w:r w:rsidR="00935584">
        <w:rPr>
          <w:noProof/>
        </w:rPr>
        <w:fldChar w:fldCharType="end"/>
      </w:r>
      <w:bookmarkEnd w:id="77"/>
      <w:r w:rsidRPr="00284A41">
        <w:t xml:space="preserve">: </w:t>
      </w:r>
      <w:bookmarkStart w:id="79" w:name="_Ref51095761"/>
      <w:r w:rsidR="00AE2F54" w:rsidRPr="00284A41">
        <w:t xml:space="preserve">Box </w:t>
      </w:r>
      <w:r w:rsidR="00264B60" w:rsidRPr="00284A41">
        <w:t>P</w:t>
      </w:r>
      <w:r w:rsidR="00AE2F54" w:rsidRPr="00284A41">
        <w:t xml:space="preserve">lot </w:t>
      </w:r>
      <w:r w:rsidRPr="00284A41">
        <w:softHyphen/>
        <w:t xml:space="preserve">– </w:t>
      </w:r>
      <w:r w:rsidR="003503B6" w:rsidRPr="00284A41">
        <w:t xml:space="preserve">Staff </w:t>
      </w:r>
      <w:r w:rsidRPr="00284A41">
        <w:t>U</w:t>
      </w:r>
      <w:r w:rsidR="00AE2F54" w:rsidRPr="00284A41">
        <w:t>tilisation</w:t>
      </w:r>
      <w:r w:rsidR="009D71B2" w:rsidRPr="00284A41">
        <w:t xml:space="preserve"> </w:t>
      </w:r>
      <w:r w:rsidR="003503B6" w:rsidRPr="00284A41">
        <w:t>R</w:t>
      </w:r>
      <w:r w:rsidR="00AE2F54" w:rsidRPr="00284A41">
        <w:t>ate</w:t>
      </w:r>
      <w:bookmarkEnd w:id="78"/>
    </w:p>
    <w:p w14:paraId="0993C4B4" w14:textId="77777777" w:rsidR="00AE2F54" w:rsidRPr="00284A41" w:rsidRDefault="00AE2F54" w:rsidP="008A5FC2">
      <w:pPr>
        <w:spacing w:before="0" w:after="0"/>
        <w:ind w:left="431" w:hanging="431"/>
        <w:jc w:val="center"/>
        <w:rPr>
          <w:noProof/>
          <w:lang w:eastAsia="en-AU"/>
        </w:rPr>
      </w:pPr>
      <w:r w:rsidRPr="00284A41">
        <w:rPr>
          <w:noProof/>
          <w:lang w:eastAsia="en-AU"/>
        </w:rPr>
        <w:drawing>
          <wp:inline distT="0" distB="0" distL="0" distR="0" wp14:anchorId="57D35AA4" wp14:editId="624925EF">
            <wp:extent cx="5400000" cy="2833200"/>
            <wp:effectExtent l="0" t="0" r="0" b="5715"/>
            <wp:docPr id="2" name="Picture 2" descr="A box plot to show the Staff Utilisation Rate across the levels of SIL provision (based on revenue) based on the 25th percentile (efficient providers).&#10;Non-SIL providers were 88.0%. &#10;SIL provision 0-25% were 92.0%.&#10;SIL provision 26-50% were 92.0%.&#10;SIL provision 51-75% were 91.6%.&#10;SIL provision 76-100% were 85.0%." title="Exhibit 15: Box Plot ¬– Staff Utilis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00" cy="2833200"/>
                    </a:xfrm>
                    <a:prstGeom prst="rect">
                      <a:avLst/>
                    </a:prstGeom>
                    <a:noFill/>
                    <a:ln>
                      <a:noFill/>
                    </a:ln>
                  </pic:spPr>
                </pic:pic>
              </a:graphicData>
            </a:graphic>
          </wp:inline>
        </w:drawing>
      </w:r>
    </w:p>
    <w:p w14:paraId="04EDD9D4" w14:textId="77777777" w:rsidR="00B62894" w:rsidRPr="00284A41" w:rsidRDefault="00B62894" w:rsidP="0042216D">
      <w:pPr>
        <w:spacing w:before="0"/>
        <w:ind w:left="284"/>
        <w:jc w:val="center"/>
        <w:rPr>
          <w:sz w:val="18"/>
          <w:szCs w:val="18"/>
        </w:rPr>
      </w:pPr>
      <w:bookmarkStart w:id="80" w:name="_Ref68015254"/>
      <w:bookmarkStart w:id="81" w:name="_Toc68003294"/>
      <w:bookmarkEnd w:id="79"/>
      <w:r w:rsidRPr="00284A41">
        <w:rPr>
          <w:sz w:val="18"/>
          <w:szCs w:val="18"/>
        </w:rPr>
        <w:t>Note: Data labels for the 25th percentile are shown to highlight the efficient frontier within each category</w:t>
      </w:r>
    </w:p>
    <w:p w14:paraId="33CA427A" w14:textId="304248B2" w:rsidR="00FC141E" w:rsidRPr="00284A41" w:rsidRDefault="00720EBF" w:rsidP="00FB6354">
      <w:pPr>
        <w:pStyle w:val="Caption"/>
      </w:pPr>
      <w:bookmarkStart w:id="82" w:name="_Ref68358259"/>
      <w:bookmarkStart w:id="83" w:name="_Toc75881519"/>
      <w:r w:rsidRPr="00284A41">
        <w:t xml:space="preserve">Exhibit </w:t>
      </w:r>
      <w:r w:rsidR="00935584">
        <w:fldChar w:fldCharType="begin"/>
      </w:r>
      <w:r w:rsidR="00935584">
        <w:instrText xml:space="preserve"> SEQ Exhibit \* ARABIC </w:instrText>
      </w:r>
      <w:r w:rsidR="00935584">
        <w:fldChar w:fldCharType="separate"/>
      </w:r>
      <w:r w:rsidR="00E0689D">
        <w:rPr>
          <w:noProof/>
        </w:rPr>
        <w:t>16</w:t>
      </w:r>
      <w:r w:rsidR="00935584">
        <w:rPr>
          <w:noProof/>
        </w:rPr>
        <w:fldChar w:fldCharType="end"/>
      </w:r>
      <w:bookmarkEnd w:id="80"/>
      <w:bookmarkEnd w:id="82"/>
      <w:r w:rsidRPr="00284A41">
        <w:t xml:space="preserve">: </w:t>
      </w:r>
      <w:r w:rsidR="00066859" w:rsidRPr="00284A41">
        <w:t>Summary S</w:t>
      </w:r>
      <w:r w:rsidR="00450235" w:rsidRPr="00284A41">
        <w:t xml:space="preserve">tatistics </w:t>
      </w:r>
      <w:r w:rsidRPr="00284A41">
        <w:t>– S</w:t>
      </w:r>
      <w:r w:rsidR="003503B6" w:rsidRPr="00284A41">
        <w:t>taff Utilisation R</w:t>
      </w:r>
      <w:r w:rsidR="00450235" w:rsidRPr="00284A41">
        <w:t>ate</w:t>
      </w:r>
      <w:bookmarkEnd w:id="81"/>
      <w:bookmarkEnd w:id="83"/>
    </w:p>
    <w:tbl>
      <w:tblPr>
        <w:tblStyle w:val="GridTable4-Accent4"/>
        <w:tblW w:w="9079" w:type="dxa"/>
        <w:tblLook w:val="0420" w:firstRow="1" w:lastRow="0" w:firstColumn="0" w:lastColumn="0" w:noHBand="0" w:noVBand="1"/>
        <w:tblCaption w:val="Exhibit 16: Summary Statistics – Staff Utilisation Rate"/>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AF537D" w:rsidRPr="00284A41" w14:paraId="67B3CDC8"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71651F74" w14:textId="77777777" w:rsidR="00FB16CB" w:rsidRPr="00284A41" w:rsidRDefault="006842C8" w:rsidP="00FB6354">
            <w:pPr>
              <w:keepNext/>
              <w:rPr>
                <w:rFonts w:ascii="Arial" w:eastAsia="Arial" w:hAnsi="Arial" w:cs="Arial"/>
                <w:szCs w:val="20"/>
              </w:rPr>
            </w:pPr>
            <w:r w:rsidRPr="00284A41">
              <w:rPr>
                <w:rFonts w:ascii="Arial" w:eastAsia="Arial" w:hAnsi="Arial" w:cs="Arial"/>
                <w:szCs w:val="20"/>
              </w:rPr>
              <w:t>Respondent type</w:t>
            </w:r>
          </w:p>
        </w:tc>
        <w:tc>
          <w:tcPr>
            <w:tcW w:w="625" w:type="pct"/>
          </w:tcPr>
          <w:p w14:paraId="4F749CE0"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Sample size</w:t>
            </w:r>
          </w:p>
        </w:tc>
        <w:tc>
          <w:tcPr>
            <w:tcW w:w="625" w:type="pct"/>
          </w:tcPr>
          <w:p w14:paraId="47B32167"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Mean</w:t>
            </w:r>
          </w:p>
        </w:tc>
        <w:tc>
          <w:tcPr>
            <w:tcW w:w="625" w:type="pct"/>
          </w:tcPr>
          <w:p w14:paraId="3E155910"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Median</w:t>
            </w:r>
          </w:p>
        </w:tc>
        <w:tc>
          <w:tcPr>
            <w:tcW w:w="625" w:type="pct"/>
          </w:tcPr>
          <w:p w14:paraId="5406A330"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1DAF4341"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63832E0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77EA6232" w14:textId="77777777" w:rsidR="001330ED" w:rsidRPr="00284A41" w:rsidRDefault="001330ED" w:rsidP="001330ED">
            <w:pPr>
              <w:keepNext/>
              <w:rPr>
                <w:rFonts w:ascii="Arial" w:eastAsia="Arial" w:hAnsi="Arial" w:cs="Arial"/>
                <w:szCs w:val="18"/>
              </w:rPr>
            </w:pPr>
            <w:r w:rsidRPr="00284A41">
              <w:rPr>
                <w:rFonts w:ascii="Arial" w:eastAsia="Arial" w:hAnsi="Arial" w:cs="Arial"/>
                <w:szCs w:val="18"/>
              </w:rPr>
              <w:t>All respondents</w:t>
            </w:r>
          </w:p>
        </w:tc>
        <w:tc>
          <w:tcPr>
            <w:tcW w:w="625" w:type="pct"/>
          </w:tcPr>
          <w:p w14:paraId="75C6119F" w14:textId="3B72824C" w:rsidR="001330ED" w:rsidRPr="00284A41" w:rsidRDefault="001330ED" w:rsidP="001330ED">
            <w:pPr>
              <w:keepNext/>
              <w:jc w:val="center"/>
              <w:rPr>
                <w:rFonts w:ascii="Arial" w:eastAsia="Arial" w:hAnsi="Arial" w:cs="Arial"/>
                <w:szCs w:val="18"/>
              </w:rPr>
            </w:pPr>
            <w:r w:rsidRPr="00284A41">
              <w:t>698</w:t>
            </w:r>
          </w:p>
        </w:tc>
        <w:tc>
          <w:tcPr>
            <w:tcW w:w="625" w:type="pct"/>
          </w:tcPr>
          <w:p w14:paraId="4A9EEB89" w14:textId="32FD7E01" w:rsidR="001330ED" w:rsidRPr="00284A41" w:rsidRDefault="001330ED" w:rsidP="001330ED">
            <w:pPr>
              <w:keepNext/>
              <w:jc w:val="center"/>
              <w:rPr>
                <w:rFonts w:ascii="Arial" w:eastAsia="Arial" w:hAnsi="Arial" w:cs="Arial"/>
                <w:szCs w:val="18"/>
              </w:rPr>
            </w:pPr>
            <w:r w:rsidRPr="00284A41">
              <w:t>79.4%</w:t>
            </w:r>
          </w:p>
        </w:tc>
        <w:tc>
          <w:tcPr>
            <w:tcW w:w="625" w:type="pct"/>
          </w:tcPr>
          <w:p w14:paraId="4DBEBA77" w14:textId="41D7CD2C" w:rsidR="001330ED" w:rsidRPr="00284A41" w:rsidRDefault="001330ED" w:rsidP="001330ED">
            <w:pPr>
              <w:keepNext/>
              <w:jc w:val="center"/>
              <w:rPr>
                <w:rFonts w:ascii="Arial" w:eastAsia="Arial" w:hAnsi="Arial" w:cs="Arial"/>
                <w:szCs w:val="18"/>
              </w:rPr>
            </w:pPr>
            <w:r w:rsidRPr="00284A41">
              <w:t>80.0%</w:t>
            </w:r>
          </w:p>
        </w:tc>
        <w:tc>
          <w:tcPr>
            <w:tcW w:w="625" w:type="pct"/>
          </w:tcPr>
          <w:p w14:paraId="29043CF3" w14:textId="0EE6DE8A" w:rsidR="001330ED" w:rsidRPr="00284A41" w:rsidRDefault="001330ED" w:rsidP="001330ED">
            <w:pPr>
              <w:keepNext/>
              <w:jc w:val="center"/>
              <w:rPr>
                <w:rFonts w:ascii="Arial" w:eastAsia="Arial" w:hAnsi="Arial" w:cs="Arial"/>
                <w:szCs w:val="18"/>
              </w:rPr>
            </w:pPr>
            <w:r w:rsidRPr="00284A41">
              <w:t>70.0%</w:t>
            </w:r>
          </w:p>
        </w:tc>
        <w:tc>
          <w:tcPr>
            <w:tcW w:w="625" w:type="pct"/>
          </w:tcPr>
          <w:p w14:paraId="22A30853" w14:textId="49F40789" w:rsidR="001330ED" w:rsidRPr="00284A41" w:rsidRDefault="001330ED" w:rsidP="001330ED">
            <w:pPr>
              <w:keepNext/>
              <w:jc w:val="center"/>
              <w:rPr>
                <w:rFonts w:ascii="Arial" w:eastAsia="Arial" w:hAnsi="Arial" w:cs="Arial"/>
                <w:szCs w:val="18"/>
              </w:rPr>
            </w:pPr>
            <w:r w:rsidRPr="00284A41">
              <w:t>90.0%</w:t>
            </w:r>
          </w:p>
        </w:tc>
      </w:tr>
      <w:tr w:rsidR="00FB16CB" w:rsidRPr="00284A41" w14:paraId="22E1DC52" w14:textId="77777777" w:rsidTr="0042216D">
        <w:trPr>
          <w:trHeight w:val="276"/>
        </w:trPr>
        <w:tc>
          <w:tcPr>
            <w:tcW w:w="1875" w:type="pct"/>
          </w:tcPr>
          <w:p w14:paraId="3A8955CD" w14:textId="77777777" w:rsidR="00FB16CB" w:rsidRPr="00284A41" w:rsidRDefault="00FB16CB" w:rsidP="00FB6354">
            <w:pPr>
              <w:keepNext/>
              <w:rPr>
                <w:rFonts w:ascii="Arial" w:eastAsia="Arial" w:hAnsi="Arial" w:cs="Arial"/>
                <w:szCs w:val="18"/>
              </w:rPr>
            </w:pPr>
            <w:r w:rsidRPr="00284A41">
              <w:rPr>
                <w:rFonts w:ascii="Arial" w:eastAsia="Arial" w:hAnsi="Arial" w:cs="Arial"/>
                <w:szCs w:val="18"/>
              </w:rPr>
              <w:t>Non-SIL respondents</w:t>
            </w:r>
          </w:p>
        </w:tc>
        <w:tc>
          <w:tcPr>
            <w:tcW w:w="625" w:type="pct"/>
          </w:tcPr>
          <w:p w14:paraId="41AD6719" w14:textId="77777777" w:rsidR="00FB16CB" w:rsidRPr="00284A41" w:rsidRDefault="00FB16CB" w:rsidP="00FB6354">
            <w:pPr>
              <w:keepNext/>
              <w:jc w:val="center"/>
              <w:rPr>
                <w:rFonts w:ascii="Arial" w:eastAsia="Arial" w:hAnsi="Arial" w:cs="Arial"/>
                <w:szCs w:val="18"/>
              </w:rPr>
            </w:pPr>
            <w:r w:rsidRPr="00284A41">
              <w:rPr>
                <w:szCs w:val="20"/>
              </w:rPr>
              <w:t>495</w:t>
            </w:r>
          </w:p>
        </w:tc>
        <w:tc>
          <w:tcPr>
            <w:tcW w:w="625" w:type="pct"/>
          </w:tcPr>
          <w:p w14:paraId="34590AD1" w14:textId="77777777" w:rsidR="00FB16CB" w:rsidRPr="00284A41" w:rsidRDefault="00FB16CB" w:rsidP="00FB6354">
            <w:pPr>
              <w:keepNext/>
              <w:jc w:val="center"/>
              <w:rPr>
                <w:rFonts w:ascii="Arial" w:eastAsia="Arial" w:hAnsi="Arial" w:cs="Arial"/>
                <w:szCs w:val="18"/>
              </w:rPr>
            </w:pPr>
            <w:r w:rsidRPr="00284A41">
              <w:rPr>
                <w:szCs w:val="20"/>
              </w:rPr>
              <w:t>77.9%</w:t>
            </w:r>
          </w:p>
        </w:tc>
        <w:tc>
          <w:tcPr>
            <w:tcW w:w="625" w:type="pct"/>
          </w:tcPr>
          <w:p w14:paraId="5700BA82" w14:textId="77777777" w:rsidR="00FB16CB" w:rsidRPr="00284A41" w:rsidRDefault="00FB16CB" w:rsidP="00FB6354">
            <w:pPr>
              <w:keepNext/>
              <w:jc w:val="center"/>
              <w:rPr>
                <w:rFonts w:ascii="Arial" w:eastAsia="Arial" w:hAnsi="Arial" w:cs="Arial"/>
                <w:szCs w:val="18"/>
              </w:rPr>
            </w:pPr>
            <w:r w:rsidRPr="00284A41">
              <w:rPr>
                <w:szCs w:val="20"/>
              </w:rPr>
              <w:t>80.0%</w:t>
            </w:r>
          </w:p>
        </w:tc>
        <w:tc>
          <w:tcPr>
            <w:tcW w:w="625" w:type="pct"/>
          </w:tcPr>
          <w:p w14:paraId="51FFEB1C" w14:textId="77777777" w:rsidR="00FB16CB" w:rsidRPr="00284A41" w:rsidRDefault="00FB16CB" w:rsidP="00FB6354">
            <w:pPr>
              <w:keepNext/>
              <w:jc w:val="center"/>
              <w:rPr>
                <w:rFonts w:ascii="Arial" w:eastAsia="Arial" w:hAnsi="Arial" w:cs="Arial"/>
                <w:szCs w:val="18"/>
              </w:rPr>
            </w:pPr>
            <w:r w:rsidRPr="00284A41">
              <w:rPr>
                <w:szCs w:val="20"/>
              </w:rPr>
              <w:t>70.0%</w:t>
            </w:r>
          </w:p>
        </w:tc>
        <w:tc>
          <w:tcPr>
            <w:tcW w:w="625" w:type="pct"/>
          </w:tcPr>
          <w:p w14:paraId="61EB81DD" w14:textId="77777777" w:rsidR="00FB16CB" w:rsidRPr="00284A41" w:rsidRDefault="00FB16CB" w:rsidP="00FB6354">
            <w:pPr>
              <w:keepNext/>
              <w:jc w:val="center"/>
              <w:rPr>
                <w:rFonts w:ascii="Arial" w:eastAsia="Arial" w:hAnsi="Arial" w:cs="Arial"/>
                <w:szCs w:val="18"/>
              </w:rPr>
            </w:pPr>
            <w:r w:rsidRPr="00284A41">
              <w:rPr>
                <w:szCs w:val="20"/>
              </w:rPr>
              <w:t>88.0%</w:t>
            </w:r>
          </w:p>
        </w:tc>
      </w:tr>
      <w:tr w:rsidR="00FB16CB" w:rsidRPr="00284A41" w14:paraId="3D1C61A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4DCDF1E2" w14:textId="77777777" w:rsidR="00FB16CB" w:rsidRPr="00284A41" w:rsidRDefault="00FB16CB" w:rsidP="00720EBF">
            <w:pPr>
              <w:rPr>
                <w:rFonts w:ascii="Arial" w:eastAsia="Arial" w:hAnsi="Arial" w:cs="Arial"/>
                <w:szCs w:val="18"/>
              </w:rPr>
            </w:pPr>
            <w:r w:rsidRPr="00284A41">
              <w:rPr>
                <w:rFonts w:ascii="Arial" w:eastAsia="Arial" w:hAnsi="Arial" w:cs="Arial"/>
                <w:szCs w:val="18"/>
              </w:rPr>
              <w:t>Mixed (SIL/ADL) respondents</w:t>
            </w:r>
          </w:p>
        </w:tc>
        <w:tc>
          <w:tcPr>
            <w:tcW w:w="625" w:type="pct"/>
          </w:tcPr>
          <w:p w14:paraId="70C53880" w14:textId="77777777" w:rsidR="00FB16CB" w:rsidRPr="00284A41" w:rsidRDefault="00FB16CB" w:rsidP="00720EBF">
            <w:pPr>
              <w:jc w:val="center"/>
              <w:rPr>
                <w:rFonts w:ascii="Arial" w:eastAsia="Arial" w:hAnsi="Arial" w:cs="Arial"/>
                <w:szCs w:val="18"/>
              </w:rPr>
            </w:pPr>
            <w:r w:rsidRPr="00284A41">
              <w:rPr>
                <w:szCs w:val="20"/>
              </w:rPr>
              <w:t>203</w:t>
            </w:r>
          </w:p>
        </w:tc>
        <w:tc>
          <w:tcPr>
            <w:tcW w:w="625" w:type="pct"/>
          </w:tcPr>
          <w:p w14:paraId="591578B1" w14:textId="77777777" w:rsidR="00FB16CB" w:rsidRPr="00284A41" w:rsidRDefault="00FB16CB" w:rsidP="00720EBF">
            <w:pPr>
              <w:jc w:val="center"/>
              <w:rPr>
                <w:rFonts w:ascii="Arial" w:eastAsia="Arial" w:hAnsi="Arial" w:cs="Arial"/>
                <w:szCs w:val="18"/>
              </w:rPr>
            </w:pPr>
            <w:r w:rsidRPr="00284A41">
              <w:rPr>
                <w:szCs w:val="20"/>
              </w:rPr>
              <w:t>82.7%</w:t>
            </w:r>
          </w:p>
        </w:tc>
        <w:tc>
          <w:tcPr>
            <w:tcW w:w="625" w:type="pct"/>
          </w:tcPr>
          <w:p w14:paraId="27C3F140" w14:textId="77777777" w:rsidR="00FB16CB" w:rsidRPr="00284A41" w:rsidRDefault="00FB16CB" w:rsidP="00720EBF">
            <w:pPr>
              <w:jc w:val="center"/>
              <w:rPr>
                <w:rFonts w:ascii="Arial" w:eastAsia="Arial" w:hAnsi="Arial" w:cs="Arial"/>
                <w:szCs w:val="18"/>
              </w:rPr>
            </w:pPr>
            <w:r w:rsidRPr="00284A41">
              <w:rPr>
                <w:szCs w:val="20"/>
              </w:rPr>
              <w:t>84.0%</w:t>
            </w:r>
          </w:p>
        </w:tc>
        <w:tc>
          <w:tcPr>
            <w:tcW w:w="625" w:type="pct"/>
          </w:tcPr>
          <w:p w14:paraId="230ADAA6" w14:textId="77777777" w:rsidR="00FB16CB" w:rsidRPr="00284A41" w:rsidRDefault="00FB16CB" w:rsidP="00720EBF">
            <w:pPr>
              <w:jc w:val="center"/>
              <w:rPr>
                <w:rFonts w:ascii="Arial" w:eastAsia="Arial" w:hAnsi="Arial" w:cs="Arial"/>
                <w:szCs w:val="18"/>
              </w:rPr>
            </w:pPr>
            <w:r w:rsidRPr="00284A41">
              <w:rPr>
                <w:szCs w:val="20"/>
              </w:rPr>
              <w:t>75.0%</w:t>
            </w:r>
          </w:p>
        </w:tc>
        <w:tc>
          <w:tcPr>
            <w:tcW w:w="625" w:type="pct"/>
          </w:tcPr>
          <w:p w14:paraId="7272E732" w14:textId="77777777" w:rsidR="00FB16CB" w:rsidRPr="00284A41" w:rsidRDefault="00FB16CB" w:rsidP="00720EBF">
            <w:pPr>
              <w:jc w:val="center"/>
              <w:rPr>
                <w:rFonts w:ascii="Arial" w:eastAsia="Arial" w:hAnsi="Arial" w:cs="Arial"/>
                <w:szCs w:val="18"/>
              </w:rPr>
            </w:pPr>
            <w:r w:rsidRPr="00284A41">
              <w:rPr>
                <w:szCs w:val="20"/>
              </w:rPr>
              <w:t>91.0%</w:t>
            </w:r>
          </w:p>
        </w:tc>
      </w:tr>
      <w:tr w:rsidR="00FB16CB" w:rsidRPr="00284A41" w14:paraId="2B7D20E9" w14:textId="77777777" w:rsidTr="0042216D">
        <w:trPr>
          <w:trHeight w:val="281"/>
        </w:trPr>
        <w:tc>
          <w:tcPr>
            <w:tcW w:w="1875" w:type="pct"/>
          </w:tcPr>
          <w:p w14:paraId="04DAFA25"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0-25% SIL respondents</w:t>
            </w:r>
          </w:p>
        </w:tc>
        <w:tc>
          <w:tcPr>
            <w:tcW w:w="625" w:type="pct"/>
          </w:tcPr>
          <w:p w14:paraId="5FBB12F0" w14:textId="77777777" w:rsidR="00FB16CB" w:rsidRPr="00284A41" w:rsidRDefault="00FB16CB" w:rsidP="00720EBF">
            <w:pPr>
              <w:jc w:val="center"/>
              <w:rPr>
                <w:rFonts w:ascii="Arial" w:eastAsia="Arial" w:hAnsi="Arial" w:cs="Arial"/>
                <w:szCs w:val="18"/>
              </w:rPr>
            </w:pPr>
            <w:r w:rsidRPr="00284A41">
              <w:rPr>
                <w:szCs w:val="20"/>
              </w:rPr>
              <w:t>75</w:t>
            </w:r>
          </w:p>
        </w:tc>
        <w:tc>
          <w:tcPr>
            <w:tcW w:w="625" w:type="pct"/>
          </w:tcPr>
          <w:p w14:paraId="26D2758E" w14:textId="77777777" w:rsidR="00FB16CB" w:rsidRPr="00284A41" w:rsidRDefault="00FB16CB" w:rsidP="00720EBF">
            <w:pPr>
              <w:jc w:val="center"/>
              <w:rPr>
                <w:rFonts w:ascii="Arial" w:eastAsia="Arial" w:hAnsi="Arial" w:cs="Arial"/>
                <w:szCs w:val="18"/>
              </w:rPr>
            </w:pPr>
            <w:r w:rsidRPr="00284A41">
              <w:rPr>
                <w:szCs w:val="20"/>
              </w:rPr>
              <w:t>83.5%</w:t>
            </w:r>
          </w:p>
        </w:tc>
        <w:tc>
          <w:tcPr>
            <w:tcW w:w="625" w:type="pct"/>
          </w:tcPr>
          <w:p w14:paraId="72F47F6E" w14:textId="77777777" w:rsidR="00FB16CB" w:rsidRPr="00284A41" w:rsidRDefault="00FB16CB" w:rsidP="00720EBF">
            <w:pPr>
              <w:jc w:val="center"/>
              <w:rPr>
                <w:rFonts w:ascii="Arial" w:eastAsia="Arial" w:hAnsi="Arial" w:cs="Arial"/>
                <w:szCs w:val="18"/>
              </w:rPr>
            </w:pPr>
            <w:r w:rsidRPr="00284A41">
              <w:rPr>
                <w:szCs w:val="20"/>
              </w:rPr>
              <w:t>85.0%</w:t>
            </w:r>
          </w:p>
        </w:tc>
        <w:tc>
          <w:tcPr>
            <w:tcW w:w="625" w:type="pct"/>
          </w:tcPr>
          <w:p w14:paraId="28C99DAB" w14:textId="77777777" w:rsidR="00FB16CB" w:rsidRPr="00284A41" w:rsidRDefault="00FB16CB" w:rsidP="00720EBF">
            <w:pPr>
              <w:jc w:val="center"/>
              <w:rPr>
                <w:rFonts w:ascii="Arial" w:eastAsia="Arial" w:hAnsi="Arial" w:cs="Arial"/>
                <w:szCs w:val="18"/>
              </w:rPr>
            </w:pPr>
            <w:r w:rsidRPr="00284A41">
              <w:rPr>
                <w:szCs w:val="20"/>
              </w:rPr>
              <w:t>75.0%</w:t>
            </w:r>
          </w:p>
        </w:tc>
        <w:tc>
          <w:tcPr>
            <w:tcW w:w="625" w:type="pct"/>
          </w:tcPr>
          <w:p w14:paraId="59B26297" w14:textId="77777777" w:rsidR="00FB16CB" w:rsidRPr="00284A41" w:rsidRDefault="00FB16CB" w:rsidP="00720EBF">
            <w:pPr>
              <w:jc w:val="center"/>
              <w:rPr>
                <w:rFonts w:ascii="Arial" w:eastAsia="Arial" w:hAnsi="Arial" w:cs="Arial"/>
                <w:szCs w:val="18"/>
              </w:rPr>
            </w:pPr>
            <w:r w:rsidRPr="00284A41">
              <w:rPr>
                <w:szCs w:val="20"/>
              </w:rPr>
              <w:t>92.0%</w:t>
            </w:r>
          </w:p>
        </w:tc>
      </w:tr>
      <w:tr w:rsidR="00FB16CB" w:rsidRPr="00284A41" w14:paraId="2DDD38AD"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7A644D41"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26-50% SIL respondents</w:t>
            </w:r>
          </w:p>
        </w:tc>
        <w:tc>
          <w:tcPr>
            <w:tcW w:w="625" w:type="pct"/>
          </w:tcPr>
          <w:p w14:paraId="74F4A2CF" w14:textId="77777777" w:rsidR="00FB16CB" w:rsidRPr="00284A41" w:rsidRDefault="00FB16CB" w:rsidP="00720EBF">
            <w:pPr>
              <w:jc w:val="center"/>
              <w:rPr>
                <w:rFonts w:ascii="Arial" w:eastAsia="Arial" w:hAnsi="Arial" w:cs="Arial"/>
                <w:szCs w:val="18"/>
              </w:rPr>
            </w:pPr>
            <w:r w:rsidRPr="00284A41">
              <w:rPr>
                <w:szCs w:val="20"/>
              </w:rPr>
              <w:t>41</w:t>
            </w:r>
          </w:p>
        </w:tc>
        <w:tc>
          <w:tcPr>
            <w:tcW w:w="625" w:type="pct"/>
          </w:tcPr>
          <w:p w14:paraId="6816C420" w14:textId="77777777" w:rsidR="00FB16CB" w:rsidRPr="00284A41" w:rsidRDefault="00FB16CB" w:rsidP="00720EBF">
            <w:pPr>
              <w:jc w:val="center"/>
              <w:rPr>
                <w:rFonts w:ascii="Arial" w:eastAsia="Arial" w:hAnsi="Arial" w:cs="Arial"/>
                <w:szCs w:val="18"/>
              </w:rPr>
            </w:pPr>
            <w:r w:rsidRPr="00284A41">
              <w:rPr>
                <w:szCs w:val="20"/>
              </w:rPr>
              <w:t>82.1%</w:t>
            </w:r>
          </w:p>
        </w:tc>
        <w:tc>
          <w:tcPr>
            <w:tcW w:w="625" w:type="pct"/>
          </w:tcPr>
          <w:p w14:paraId="4C6EF33D" w14:textId="77777777" w:rsidR="00FB16CB" w:rsidRPr="00284A41" w:rsidRDefault="00FB16CB" w:rsidP="00720EBF">
            <w:pPr>
              <w:jc w:val="center"/>
              <w:rPr>
                <w:rFonts w:ascii="Arial" w:eastAsia="Arial" w:hAnsi="Arial" w:cs="Arial"/>
                <w:szCs w:val="18"/>
              </w:rPr>
            </w:pPr>
            <w:r w:rsidRPr="00284A41">
              <w:rPr>
                <w:szCs w:val="20"/>
              </w:rPr>
              <w:t>80.0%</w:t>
            </w:r>
          </w:p>
        </w:tc>
        <w:tc>
          <w:tcPr>
            <w:tcW w:w="625" w:type="pct"/>
          </w:tcPr>
          <w:p w14:paraId="57764F6A" w14:textId="77777777" w:rsidR="00FB16CB" w:rsidRPr="00284A41" w:rsidRDefault="00FB16CB" w:rsidP="00720EBF">
            <w:pPr>
              <w:jc w:val="center"/>
              <w:rPr>
                <w:rFonts w:ascii="Arial" w:eastAsia="Arial" w:hAnsi="Arial" w:cs="Arial"/>
                <w:szCs w:val="18"/>
              </w:rPr>
            </w:pPr>
            <w:r w:rsidRPr="00284A41">
              <w:rPr>
                <w:szCs w:val="20"/>
              </w:rPr>
              <w:t>76.0%</w:t>
            </w:r>
          </w:p>
        </w:tc>
        <w:tc>
          <w:tcPr>
            <w:tcW w:w="625" w:type="pct"/>
          </w:tcPr>
          <w:p w14:paraId="70D170B1" w14:textId="77777777" w:rsidR="00FB16CB" w:rsidRPr="00284A41" w:rsidRDefault="00FB16CB" w:rsidP="00720EBF">
            <w:pPr>
              <w:jc w:val="center"/>
              <w:rPr>
                <w:rFonts w:ascii="Arial" w:eastAsia="Arial" w:hAnsi="Arial" w:cs="Arial"/>
                <w:szCs w:val="18"/>
              </w:rPr>
            </w:pPr>
            <w:r w:rsidRPr="00284A41">
              <w:rPr>
                <w:szCs w:val="20"/>
              </w:rPr>
              <w:t>92.0%</w:t>
            </w:r>
          </w:p>
        </w:tc>
      </w:tr>
      <w:tr w:rsidR="00FB16CB" w:rsidRPr="00284A41" w14:paraId="4B30EBA1" w14:textId="77777777" w:rsidTr="0042216D">
        <w:trPr>
          <w:trHeight w:val="281"/>
        </w:trPr>
        <w:tc>
          <w:tcPr>
            <w:tcW w:w="1875" w:type="pct"/>
          </w:tcPr>
          <w:p w14:paraId="1AD420CA"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51-75% SIL respondents</w:t>
            </w:r>
          </w:p>
        </w:tc>
        <w:tc>
          <w:tcPr>
            <w:tcW w:w="625" w:type="pct"/>
          </w:tcPr>
          <w:p w14:paraId="56FA93FD" w14:textId="77777777" w:rsidR="00FB16CB" w:rsidRPr="00284A41" w:rsidRDefault="00FB16CB" w:rsidP="00720EBF">
            <w:pPr>
              <w:jc w:val="center"/>
              <w:rPr>
                <w:rFonts w:ascii="Arial" w:eastAsia="Arial" w:hAnsi="Arial" w:cs="Arial"/>
                <w:szCs w:val="18"/>
              </w:rPr>
            </w:pPr>
            <w:r w:rsidRPr="00284A41">
              <w:rPr>
                <w:szCs w:val="20"/>
              </w:rPr>
              <w:t>61</w:t>
            </w:r>
          </w:p>
        </w:tc>
        <w:tc>
          <w:tcPr>
            <w:tcW w:w="625" w:type="pct"/>
          </w:tcPr>
          <w:p w14:paraId="660C29FF" w14:textId="77777777" w:rsidR="00FB16CB" w:rsidRPr="00284A41" w:rsidRDefault="00FB16CB" w:rsidP="00720EBF">
            <w:pPr>
              <w:jc w:val="center"/>
              <w:rPr>
                <w:rFonts w:ascii="Arial" w:eastAsia="Arial" w:hAnsi="Arial" w:cs="Arial"/>
                <w:szCs w:val="18"/>
              </w:rPr>
            </w:pPr>
            <w:r w:rsidRPr="00284A41">
              <w:rPr>
                <w:szCs w:val="20"/>
              </w:rPr>
              <w:t>83.4%</w:t>
            </w:r>
          </w:p>
        </w:tc>
        <w:tc>
          <w:tcPr>
            <w:tcW w:w="625" w:type="pct"/>
          </w:tcPr>
          <w:p w14:paraId="7BB41AB6" w14:textId="77777777" w:rsidR="00FB16CB" w:rsidRPr="00284A41" w:rsidRDefault="00FB16CB" w:rsidP="00720EBF">
            <w:pPr>
              <w:jc w:val="center"/>
              <w:rPr>
                <w:rFonts w:ascii="Arial" w:eastAsia="Arial" w:hAnsi="Arial" w:cs="Arial"/>
                <w:szCs w:val="18"/>
              </w:rPr>
            </w:pPr>
            <w:r w:rsidRPr="00284A41">
              <w:rPr>
                <w:szCs w:val="20"/>
              </w:rPr>
              <w:t>85.0%</w:t>
            </w:r>
          </w:p>
        </w:tc>
        <w:tc>
          <w:tcPr>
            <w:tcW w:w="625" w:type="pct"/>
          </w:tcPr>
          <w:p w14:paraId="4771BAB8" w14:textId="77777777" w:rsidR="00FB16CB" w:rsidRPr="00284A41" w:rsidRDefault="00FB16CB" w:rsidP="00720EBF">
            <w:pPr>
              <w:jc w:val="center"/>
              <w:rPr>
                <w:rFonts w:ascii="Arial" w:eastAsia="Arial" w:hAnsi="Arial" w:cs="Arial"/>
                <w:szCs w:val="18"/>
              </w:rPr>
            </w:pPr>
            <w:r w:rsidRPr="00284A41">
              <w:rPr>
                <w:szCs w:val="20"/>
              </w:rPr>
              <w:t>75.3%</w:t>
            </w:r>
          </w:p>
        </w:tc>
        <w:tc>
          <w:tcPr>
            <w:tcW w:w="625" w:type="pct"/>
          </w:tcPr>
          <w:p w14:paraId="7114EF65" w14:textId="77777777" w:rsidR="00FB16CB" w:rsidRPr="00284A41" w:rsidRDefault="00FB16CB" w:rsidP="00720EBF">
            <w:pPr>
              <w:jc w:val="center"/>
              <w:rPr>
                <w:rFonts w:ascii="Arial" w:eastAsia="Arial" w:hAnsi="Arial" w:cs="Arial"/>
                <w:szCs w:val="18"/>
              </w:rPr>
            </w:pPr>
            <w:r w:rsidRPr="00284A41">
              <w:rPr>
                <w:szCs w:val="20"/>
              </w:rPr>
              <w:t>91.6%</w:t>
            </w:r>
          </w:p>
        </w:tc>
      </w:tr>
      <w:tr w:rsidR="00FB16CB" w:rsidRPr="00284A41" w14:paraId="0E684A3E"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ECC55BB"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75-100% SIL respondents</w:t>
            </w:r>
          </w:p>
        </w:tc>
        <w:tc>
          <w:tcPr>
            <w:tcW w:w="625" w:type="pct"/>
          </w:tcPr>
          <w:p w14:paraId="7001C364" w14:textId="77777777" w:rsidR="00FB16CB" w:rsidRPr="00284A41" w:rsidRDefault="00FB16CB" w:rsidP="00720EBF">
            <w:pPr>
              <w:jc w:val="center"/>
              <w:rPr>
                <w:rFonts w:ascii="Arial" w:eastAsia="Arial" w:hAnsi="Arial" w:cs="Arial"/>
                <w:szCs w:val="18"/>
              </w:rPr>
            </w:pPr>
            <w:r w:rsidRPr="00284A41">
              <w:rPr>
                <w:szCs w:val="20"/>
              </w:rPr>
              <w:t>26</w:t>
            </w:r>
          </w:p>
        </w:tc>
        <w:tc>
          <w:tcPr>
            <w:tcW w:w="625" w:type="pct"/>
          </w:tcPr>
          <w:p w14:paraId="0EB1D914" w14:textId="77777777" w:rsidR="00FB16CB" w:rsidRPr="00284A41" w:rsidRDefault="00FB16CB" w:rsidP="00720EBF">
            <w:pPr>
              <w:jc w:val="center"/>
              <w:rPr>
                <w:rFonts w:ascii="Arial" w:eastAsia="Arial" w:hAnsi="Arial" w:cs="Arial"/>
                <w:szCs w:val="18"/>
              </w:rPr>
            </w:pPr>
            <w:r w:rsidRPr="00284A41">
              <w:rPr>
                <w:szCs w:val="20"/>
              </w:rPr>
              <w:t>78.9%</w:t>
            </w:r>
          </w:p>
        </w:tc>
        <w:tc>
          <w:tcPr>
            <w:tcW w:w="625" w:type="pct"/>
          </w:tcPr>
          <w:p w14:paraId="57E19095" w14:textId="77777777" w:rsidR="00FB16CB" w:rsidRPr="00284A41" w:rsidRDefault="00FB16CB" w:rsidP="00720EBF">
            <w:pPr>
              <w:jc w:val="center"/>
              <w:rPr>
                <w:rFonts w:ascii="Arial" w:eastAsia="Arial" w:hAnsi="Arial" w:cs="Arial"/>
                <w:szCs w:val="18"/>
              </w:rPr>
            </w:pPr>
            <w:r w:rsidRPr="00284A41">
              <w:rPr>
                <w:szCs w:val="20"/>
              </w:rPr>
              <w:t>80.0%</w:t>
            </w:r>
          </w:p>
        </w:tc>
        <w:tc>
          <w:tcPr>
            <w:tcW w:w="625" w:type="pct"/>
          </w:tcPr>
          <w:p w14:paraId="03748670" w14:textId="77777777" w:rsidR="00FB16CB" w:rsidRPr="00284A41" w:rsidRDefault="00FB16CB" w:rsidP="00720EBF">
            <w:pPr>
              <w:jc w:val="center"/>
              <w:rPr>
                <w:rFonts w:ascii="Arial" w:eastAsia="Arial" w:hAnsi="Arial" w:cs="Arial"/>
                <w:szCs w:val="18"/>
              </w:rPr>
            </w:pPr>
            <w:r w:rsidRPr="00284A41">
              <w:rPr>
                <w:szCs w:val="20"/>
              </w:rPr>
              <w:t>70.0%</w:t>
            </w:r>
          </w:p>
        </w:tc>
        <w:tc>
          <w:tcPr>
            <w:tcW w:w="625" w:type="pct"/>
          </w:tcPr>
          <w:p w14:paraId="28563627" w14:textId="77777777" w:rsidR="00FB16CB" w:rsidRPr="00284A41" w:rsidRDefault="00FB16CB" w:rsidP="00720EBF">
            <w:pPr>
              <w:jc w:val="center"/>
              <w:rPr>
                <w:rFonts w:ascii="Arial" w:eastAsia="Arial" w:hAnsi="Arial" w:cs="Arial"/>
                <w:szCs w:val="18"/>
              </w:rPr>
            </w:pPr>
            <w:r w:rsidRPr="00284A41">
              <w:rPr>
                <w:szCs w:val="20"/>
              </w:rPr>
              <w:t>85.0%</w:t>
            </w:r>
          </w:p>
        </w:tc>
      </w:tr>
    </w:tbl>
    <w:p w14:paraId="66CBB6B9" w14:textId="16ED9B59" w:rsidR="00C730FC" w:rsidRDefault="00C730FC" w:rsidP="002516F0">
      <w:bookmarkStart w:id="84" w:name="_Ref68016071"/>
      <w:bookmarkStart w:id="85" w:name="_Ref66978357"/>
      <w:bookmarkStart w:id="86" w:name="_Toc64465244"/>
      <w:bookmarkStart w:id="87" w:name="_Toc68003295"/>
      <w:r w:rsidRPr="00284A41">
        <w:t>The median provider of SIL services achieved an utilisation rate of 84% compared to 80% for the median provider that provides no SIL services. For efficient providers (the 25</w:t>
      </w:r>
      <w:r w:rsidRPr="00284A41">
        <w:rPr>
          <w:vertAlign w:val="superscript"/>
        </w:rPr>
        <w:t>th</w:t>
      </w:r>
      <w:r w:rsidRPr="00284A41">
        <w:t xml:space="preserve"> percentile) SIL providers achieved utilisation rates of 91% compared to 88% for non-SIL providers.</w:t>
      </w:r>
      <w:r>
        <w:t xml:space="preserve"> </w:t>
      </w:r>
      <w:r w:rsidRPr="00284A41">
        <w:t xml:space="preserve">These findings align with survey results from the AbleInsight survey of 2017-18, which showed the average SIL provider had a </w:t>
      </w:r>
      <w:r>
        <w:t>slightly higher</w:t>
      </w:r>
      <w:r w:rsidRPr="00284A41">
        <w:t xml:space="preserve"> utilisation rate (95%) to the average non-SIL provider (93%).</w:t>
      </w:r>
    </w:p>
    <w:p w14:paraId="3965F2F9" w14:textId="458F7888" w:rsidR="002516F0" w:rsidRPr="00C730FC" w:rsidRDefault="00C730FC" w:rsidP="002516F0">
      <w:r>
        <w:t>R</w:t>
      </w:r>
      <w:r w:rsidR="002516F0" w:rsidRPr="00284A41">
        <w:t>egression a</w:t>
      </w:r>
      <w:r>
        <w:t xml:space="preserve">nalysis seems to show </w:t>
      </w:r>
      <w:r w:rsidR="002516F0" w:rsidRPr="00284A41">
        <w:t>that utilisation rates do not differ significantly between SIL and non-SIL p</w:t>
      </w:r>
      <w:r w:rsidR="00DB52AA">
        <w:t>roviders, for median providers (</w:t>
      </w:r>
      <w:r w:rsidR="00DB52AA">
        <w:fldChar w:fldCharType="begin"/>
      </w:r>
      <w:r w:rsidR="00DB52AA">
        <w:instrText xml:space="preserve"> REF _Ref68789117 \h </w:instrText>
      </w:r>
      <w:r w:rsidR="00DB52AA">
        <w:fldChar w:fldCharType="separate"/>
      </w:r>
      <w:r w:rsidR="00E0689D" w:rsidRPr="00284A41">
        <w:t xml:space="preserve">Exhibit </w:t>
      </w:r>
      <w:r w:rsidR="00E0689D">
        <w:rPr>
          <w:noProof/>
        </w:rPr>
        <w:t>17</w:t>
      </w:r>
      <w:r w:rsidR="00DB52AA">
        <w:fldChar w:fldCharType="end"/>
      </w:r>
      <w:r w:rsidR="00DB52AA">
        <w:t xml:space="preserve">) </w:t>
      </w:r>
      <w:r w:rsidR="002516F0" w:rsidRPr="00284A41">
        <w:t xml:space="preserve">as the regression coefficient for the relevant variables are not statistically significantly different from zero. </w:t>
      </w:r>
      <w:r>
        <w:t>However, i</w:t>
      </w:r>
      <w:r w:rsidRPr="00284A41">
        <w:t xml:space="preserve">n the regression analysis, the coefficient for the SIL provider indicator variable </w:t>
      </w:r>
      <w:r>
        <w:t>for efficient providers (7</w:t>
      </w:r>
      <w:r w:rsidRPr="00284A41">
        <w:t>5</w:t>
      </w:r>
      <w:r w:rsidRPr="00284A41">
        <w:rPr>
          <w:vertAlign w:val="superscript"/>
        </w:rPr>
        <w:t>th</w:t>
      </w:r>
      <w:r w:rsidRPr="00284A41">
        <w:t xml:space="preserve"> percentile) is statistically significant but the coefficient for the percentage of revenue sourced from SIL variable is not statistically significant. </w:t>
      </w:r>
      <w:r>
        <w:t>This</w:t>
      </w:r>
      <w:r w:rsidRPr="00284A41">
        <w:t xml:space="preserve"> implies there is structural difference in utilisation rates between SIL and non-SIL providers of about 5%. However, the regression analysis also indicates that the relationship between utilisation and the percentage of revenue sourced from SIL may be quadratic, which means relations are not completely well fitted by regression. On balance, the Review finds that utilisation is slightly higher (two perc</w:t>
      </w:r>
      <w:r>
        <w:t>entage points) in SIL settings.</w:t>
      </w:r>
      <w:r w:rsidRPr="00C730FC">
        <w:t xml:space="preserve"> </w:t>
      </w:r>
      <w:r>
        <w:t>The implications of thi</w:t>
      </w:r>
      <w:r w:rsidRPr="00284A41">
        <w:t>s finding will be considered in Chapter 3.</w:t>
      </w:r>
    </w:p>
    <w:p w14:paraId="51F4D85B" w14:textId="17DCE0F2" w:rsidR="008A0A72" w:rsidRPr="00284A41" w:rsidRDefault="00B12AE9" w:rsidP="00066859">
      <w:pPr>
        <w:pStyle w:val="Caption"/>
      </w:pPr>
      <w:bookmarkStart w:id="88" w:name="_Ref68789117"/>
      <w:bookmarkStart w:id="89" w:name="_Toc75881520"/>
      <w:r w:rsidRPr="00284A41">
        <w:t xml:space="preserve">Exhibit </w:t>
      </w:r>
      <w:r w:rsidR="00935584">
        <w:fldChar w:fldCharType="begin"/>
      </w:r>
      <w:r w:rsidR="00935584">
        <w:instrText xml:space="preserve"> SEQ Exhibit \* ARABIC </w:instrText>
      </w:r>
      <w:r w:rsidR="00935584">
        <w:fldChar w:fldCharType="separate"/>
      </w:r>
      <w:r w:rsidR="00E0689D">
        <w:rPr>
          <w:noProof/>
        </w:rPr>
        <w:t>17</w:t>
      </w:r>
      <w:r w:rsidR="00935584">
        <w:rPr>
          <w:noProof/>
        </w:rPr>
        <w:fldChar w:fldCharType="end"/>
      </w:r>
      <w:bookmarkEnd w:id="84"/>
      <w:bookmarkEnd w:id="88"/>
      <w:r w:rsidRPr="00284A41">
        <w:t xml:space="preserve">: </w:t>
      </w:r>
      <w:bookmarkEnd w:id="85"/>
      <w:r w:rsidR="00066859" w:rsidRPr="00284A41">
        <w:t>Regression A</w:t>
      </w:r>
      <w:r w:rsidR="00EB4878" w:rsidRPr="00284A41">
        <w:t xml:space="preserve">nalysis – </w:t>
      </w:r>
      <w:bookmarkEnd w:id="86"/>
      <w:bookmarkEnd w:id="87"/>
      <w:r w:rsidR="003503B6" w:rsidRPr="00284A41">
        <w:t>Staff Utilisation Rate</w:t>
      </w:r>
      <w:r w:rsidR="001E4D55" w:rsidRPr="00284A41">
        <w:rPr>
          <w:rStyle w:val="FootnoteReference"/>
        </w:rPr>
        <w:footnoteReference w:id="16"/>
      </w:r>
      <w:bookmarkEnd w:id="89"/>
    </w:p>
    <w:tbl>
      <w:tblPr>
        <w:tblStyle w:val="GridTable4-Accent4"/>
        <w:tblW w:w="5000" w:type="pct"/>
        <w:tblLook w:val="0460" w:firstRow="1" w:lastRow="1" w:firstColumn="0" w:lastColumn="0" w:noHBand="0" w:noVBand="1"/>
        <w:tblCaption w:val="Exhibit 17: Regression Analysis – Staff Utilisation Rate"/>
        <w:tblDescription w:val="A table displaying the regression variables and results received for the mean, median, 25th pecentile and 75th percentile values and at the relevant signficance level."/>
      </w:tblPr>
      <w:tblGrid>
        <w:gridCol w:w="4508"/>
        <w:gridCol w:w="1127"/>
        <w:gridCol w:w="1127"/>
        <w:gridCol w:w="1127"/>
        <w:gridCol w:w="1127"/>
      </w:tblGrid>
      <w:tr w:rsidR="008A0A72" w:rsidRPr="00284A41" w14:paraId="7878587D" w14:textId="77777777" w:rsidTr="001F10E4">
        <w:trPr>
          <w:cnfStyle w:val="100000000000" w:firstRow="1" w:lastRow="0" w:firstColumn="0" w:lastColumn="0" w:oddVBand="0" w:evenVBand="0" w:oddHBand="0" w:evenHBand="0" w:firstRowFirstColumn="0" w:firstRowLastColumn="0" w:lastRowFirstColumn="0" w:lastRowLastColumn="0"/>
          <w:trHeight w:val="253"/>
          <w:tblHeader/>
        </w:trPr>
        <w:tc>
          <w:tcPr>
            <w:tcW w:w="2500" w:type="pct"/>
          </w:tcPr>
          <w:p w14:paraId="391CFEDD" w14:textId="77777777" w:rsidR="008A0A72" w:rsidRPr="00284A41" w:rsidRDefault="006842C8" w:rsidP="00B12AE9">
            <w:pPr>
              <w:keepNext/>
              <w:keepLines/>
              <w:rPr>
                <w:rFonts w:eastAsia="Arial" w:cstheme="minorHAnsi"/>
                <w:szCs w:val="18"/>
              </w:rPr>
            </w:pPr>
            <w:r w:rsidRPr="00284A41">
              <w:rPr>
                <w:rFonts w:eastAsia="Arial" w:cstheme="minorHAnsi"/>
                <w:szCs w:val="18"/>
              </w:rPr>
              <w:t>Regression variables</w:t>
            </w:r>
          </w:p>
        </w:tc>
        <w:tc>
          <w:tcPr>
            <w:tcW w:w="625" w:type="pct"/>
          </w:tcPr>
          <w:p w14:paraId="286A3C07"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Mean</w:t>
            </w:r>
          </w:p>
        </w:tc>
        <w:tc>
          <w:tcPr>
            <w:tcW w:w="625" w:type="pct"/>
          </w:tcPr>
          <w:p w14:paraId="0E8DA6EC" w14:textId="77777777" w:rsidR="008A0A72" w:rsidRPr="00284A41" w:rsidRDefault="00FB16CB" w:rsidP="00B12AE9">
            <w:pPr>
              <w:keepNext/>
              <w:keepLines/>
              <w:jc w:val="center"/>
              <w:rPr>
                <w:rFonts w:eastAsia="Arial" w:cstheme="minorHAnsi"/>
                <w:szCs w:val="18"/>
              </w:rPr>
            </w:pPr>
            <w:r w:rsidRPr="00284A41">
              <w:rPr>
                <w:rFonts w:eastAsia="Arial" w:cstheme="minorHAnsi"/>
                <w:szCs w:val="18"/>
              </w:rPr>
              <w:t>Median</w:t>
            </w:r>
          </w:p>
        </w:tc>
        <w:tc>
          <w:tcPr>
            <w:tcW w:w="625" w:type="pct"/>
          </w:tcPr>
          <w:p w14:paraId="6B495F0F"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2</w:t>
            </w:r>
            <w:r w:rsidR="00FB16CB" w:rsidRPr="00284A41">
              <w:rPr>
                <w:rFonts w:eastAsia="Arial" w:cstheme="minorHAnsi"/>
                <w:szCs w:val="18"/>
              </w:rPr>
              <w:t>5th percentile</w:t>
            </w:r>
          </w:p>
        </w:tc>
        <w:tc>
          <w:tcPr>
            <w:tcW w:w="625" w:type="pct"/>
          </w:tcPr>
          <w:p w14:paraId="78D0AC8B" w14:textId="77777777" w:rsidR="008A0A72" w:rsidRPr="00284A41" w:rsidRDefault="00FB16CB" w:rsidP="00B12AE9">
            <w:pPr>
              <w:keepNext/>
              <w:keepLines/>
              <w:jc w:val="center"/>
              <w:rPr>
                <w:rFonts w:eastAsia="Arial" w:cstheme="minorHAnsi"/>
                <w:szCs w:val="18"/>
              </w:rPr>
            </w:pPr>
            <w:r w:rsidRPr="00284A41">
              <w:rPr>
                <w:rFonts w:eastAsia="Arial" w:cstheme="minorHAnsi"/>
                <w:szCs w:val="18"/>
              </w:rPr>
              <w:t>75h percentile</w:t>
            </w:r>
          </w:p>
        </w:tc>
      </w:tr>
      <w:tr w:rsidR="008A0A72" w:rsidRPr="00284A41" w14:paraId="11988411"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3BE7A753" w14:textId="77777777" w:rsidR="008A0A72" w:rsidRPr="00284A41" w:rsidRDefault="00FB16CB" w:rsidP="00B12AE9">
            <w:pPr>
              <w:keepNext/>
              <w:keepLines/>
              <w:rPr>
                <w:rFonts w:eastAsia="Arial" w:cstheme="minorHAnsi"/>
                <w:b/>
                <w:bCs/>
                <w:szCs w:val="18"/>
              </w:rPr>
            </w:pPr>
            <w:r w:rsidRPr="00284A41">
              <w:rPr>
                <w:rFonts w:eastAsia="Arial" w:cstheme="minorHAnsi"/>
                <w:szCs w:val="18"/>
              </w:rPr>
              <w:t>SIL provider indicator</w:t>
            </w:r>
          </w:p>
        </w:tc>
        <w:tc>
          <w:tcPr>
            <w:tcW w:w="625" w:type="pct"/>
          </w:tcPr>
          <w:p w14:paraId="410AF4F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0.03</w:t>
            </w:r>
          </w:p>
        </w:tc>
        <w:tc>
          <w:tcPr>
            <w:tcW w:w="625" w:type="pct"/>
          </w:tcPr>
          <w:p w14:paraId="5C6585F2"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0.03</w:t>
            </w:r>
          </w:p>
        </w:tc>
        <w:tc>
          <w:tcPr>
            <w:tcW w:w="625" w:type="pct"/>
          </w:tcPr>
          <w:p w14:paraId="3DD06E4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0.04</w:t>
            </w:r>
          </w:p>
        </w:tc>
        <w:tc>
          <w:tcPr>
            <w:tcW w:w="625" w:type="pct"/>
          </w:tcPr>
          <w:p w14:paraId="00247491"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r>
      <w:tr w:rsidR="008A0A72" w:rsidRPr="00284A41" w14:paraId="514B4612" w14:textId="77777777" w:rsidTr="0042216D">
        <w:trPr>
          <w:trHeight w:val="275"/>
        </w:trPr>
        <w:tc>
          <w:tcPr>
            <w:tcW w:w="2500" w:type="pct"/>
          </w:tcPr>
          <w:p w14:paraId="230F4C28" w14:textId="77777777" w:rsidR="008A0A72" w:rsidRPr="00284A41" w:rsidRDefault="008A0A72" w:rsidP="00B12AE9">
            <w:pPr>
              <w:keepNext/>
              <w:keepLines/>
              <w:rPr>
                <w:rFonts w:eastAsia="Arial" w:cstheme="minorHAnsi"/>
                <w:b/>
                <w:bCs/>
                <w:szCs w:val="18"/>
              </w:rPr>
            </w:pPr>
            <w:r w:rsidRPr="00284A41">
              <w:rPr>
                <w:rFonts w:eastAsia="Arial" w:cstheme="minorHAnsi"/>
                <w:szCs w:val="18"/>
              </w:rPr>
              <w:t xml:space="preserve">Percentage of revenue sourced from SIL </w:t>
            </w:r>
          </w:p>
        </w:tc>
        <w:tc>
          <w:tcPr>
            <w:tcW w:w="625" w:type="pct"/>
          </w:tcPr>
          <w:p w14:paraId="1CE9636C"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0.15</w:t>
            </w:r>
          </w:p>
        </w:tc>
        <w:tc>
          <w:tcPr>
            <w:tcW w:w="625" w:type="pct"/>
          </w:tcPr>
          <w:p w14:paraId="4097D776"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0.11</w:t>
            </w:r>
          </w:p>
        </w:tc>
        <w:tc>
          <w:tcPr>
            <w:tcW w:w="625" w:type="pct"/>
          </w:tcPr>
          <w:p w14:paraId="1C31B0AC"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0.23</w:t>
            </w:r>
          </w:p>
        </w:tc>
        <w:tc>
          <w:tcPr>
            <w:tcW w:w="625" w:type="pct"/>
          </w:tcPr>
          <w:p w14:paraId="3953720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r>
      <w:tr w:rsidR="008A0A72" w:rsidRPr="00284A41" w14:paraId="5717BC48"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4FCC0937" w14:textId="77777777" w:rsidR="008A0A72" w:rsidRPr="00284A41" w:rsidRDefault="008A0A72" w:rsidP="00B12AE9">
            <w:pPr>
              <w:keepNext/>
              <w:keepLines/>
              <w:rPr>
                <w:rFonts w:eastAsia="Arial" w:cstheme="minorHAnsi"/>
                <w:b/>
                <w:bCs/>
                <w:szCs w:val="18"/>
              </w:rPr>
            </w:pPr>
            <w:r w:rsidRPr="00284A41">
              <w:rPr>
                <w:rFonts w:eastAsia="Arial" w:cstheme="minorHAnsi"/>
                <w:szCs w:val="18"/>
              </w:rPr>
              <w:t>Percentage of revenue sourced from SIL (squared)</w:t>
            </w:r>
          </w:p>
        </w:tc>
        <w:tc>
          <w:tcPr>
            <w:tcW w:w="625" w:type="pct"/>
          </w:tcPr>
          <w:p w14:paraId="618A534D"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-0.24**</w:t>
            </w:r>
          </w:p>
        </w:tc>
        <w:tc>
          <w:tcPr>
            <w:tcW w:w="625" w:type="pct"/>
          </w:tcPr>
          <w:p w14:paraId="12AAA663"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-0.17</w:t>
            </w:r>
          </w:p>
        </w:tc>
        <w:tc>
          <w:tcPr>
            <w:tcW w:w="625" w:type="pct"/>
          </w:tcPr>
          <w:p w14:paraId="37BDEFA5"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-0.36**</w:t>
            </w:r>
          </w:p>
        </w:tc>
        <w:tc>
          <w:tcPr>
            <w:tcW w:w="625" w:type="pct"/>
          </w:tcPr>
          <w:p w14:paraId="0C9F51F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-0.15</w:t>
            </w:r>
          </w:p>
        </w:tc>
      </w:tr>
      <w:tr w:rsidR="008A0A72" w:rsidRPr="00284A41" w14:paraId="7CB58B30" w14:textId="77777777" w:rsidTr="0042216D">
        <w:trPr>
          <w:trHeight w:val="275"/>
        </w:trPr>
        <w:tc>
          <w:tcPr>
            <w:tcW w:w="2500" w:type="pct"/>
          </w:tcPr>
          <w:p w14:paraId="449EEA4D" w14:textId="77777777" w:rsidR="008A0A72" w:rsidRPr="00284A41" w:rsidRDefault="008A0A72" w:rsidP="00B12AE9">
            <w:pPr>
              <w:keepNext/>
              <w:keepLines/>
              <w:rPr>
                <w:rFonts w:eastAsia="Arial" w:cstheme="minorHAnsi"/>
                <w:b/>
                <w:bCs/>
                <w:szCs w:val="18"/>
              </w:rPr>
            </w:pPr>
            <w:r w:rsidRPr="00284A41">
              <w:rPr>
                <w:rFonts w:eastAsia="Arial" w:cstheme="minorHAnsi"/>
                <w:szCs w:val="18"/>
              </w:rPr>
              <w:t>Number of clients (log)</w:t>
            </w:r>
          </w:p>
        </w:tc>
        <w:tc>
          <w:tcPr>
            <w:tcW w:w="625" w:type="pct"/>
          </w:tcPr>
          <w:p w14:paraId="1F8F652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-0.01</w:t>
            </w:r>
          </w:p>
        </w:tc>
        <w:tc>
          <w:tcPr>
            <w:tcW w:w="625" w:type="pct"/>
          </w:tcPr>
          <w:p w14:paraId="5B27CF66"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214C542C"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-0.02</w:t>
            </w:r>
          </w:p>
        </w:tc>
        <w:tc>
          <w:tcPr>
            <w:tcW w:w="625" w:type="pct"/>
          </w:tcPr>
          <w:p w14:paraId="0845E6D7"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r>
      <w:tr w:rsidR="008A0A72" w:rsidRPr="00284A41" w14:paraId="356B339D"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5BA99C68" w14:textId="77777777" w:rsidR="008A0A72" w:rsidRPr="00284A41" w:rsidRDefault="008A0A72" w:rsidP="00B12AE9">
            <w:pPr>
              <w:keepNext/>
              <w:keepLines/>
              <w:rPr>
                <w:rFonts w:eastAsia="Arial" w:cstheme="minorHAnsi"/>
                <w:b/>
                <w:bCs/>
                <w:szCs w:val="18"/>
              </w:rPr>
            </w:pPr>
            <w:r w:rsidRPr="00284A41">
              <w:rPr>
                <w:rFonts w:eastAsia="Arial" w:cstheme="minorHAnsi"/>
                <w:szCs w:val="18"/>
              </w:rPr>
              <w:t>Number of supervisors (log)</w:t>
            </w:r>
          </w:p>
        </w:tc>
        <w:tc>
          <w:tcPr>
            <w:tcW w:w="625" w:type="pct"/>
          </w:tcPr>
          <w:p w14:paraId="14E2383F"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c>
          <w:tcPr>
            <w:tcW w:w="625" w:type="pct"/>
          </w:tcPr>
          <w:p w14:paraId="45948308"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-0.06**</w:t>
            </w:r>
          </w:p>
        </w:tc>
        <w:tc>
          <w:tcPr>
            <w:tcW w:w="625" w:type="pct"/>
          </w:tcPr>
          <w:p w14:paraId="6D73A1F2"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-0.04</w:t>
            </w:r>
          </w:p>
        </w:tc>
        <w:tc>
          <w:tcPr>
            <w:tcW w:w="625" w:type="pct"/>
          </w:tcPr>
          <w:p w14:paraId="0818AB2B"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r>
      <w:tr w:rsidR="008A0A72" w:rsidRPr="00284A41" w14:paraId="035B96CE" w14:textId="77777777" w:rsidTr="0042216D">
        <w:trPr>
          <w:trHeight w:val="275"/>
        </w:trPr>
        <w:tc>
          <w:tcPr>
            <w:tcW w:w="2500" w:type="pct"/>
          </w:tcPr>
          <w:p w14:paraId="6CA7E134" w14:textId="77777777" w:rsidR="008A0A72" w:rsidRPr="00284A41" w:rsidRDefault="008A0A72" w:rsidP="00B12AE9">
            <w:pPr>
              <w:keepNext/>
              <w:keepLines/>
              <w:rPr>
                <w:rFonts w:eastAsia="Arial" w:cstheme="minorHAnsi"/>
                <w:b/>
                <w:bCs/>
                <w:szCs w:val="18"/>
              </w:rPr>
            </w:pPr>
            <w:r w:rsidRPr="00284A41">
              <w:rPr>
                <w:rFonts w:eastAsia="Arial" w:cstheme="minorHAnsi"/>
                <w:szCs w:val="18"/>
              </w:rPr>
              <w:t>Number of direct staff (log)</w:t>
            </w:r>
          </w:p>
        </w:tc>
        <w:tc>
          <w:tcPr>
            <w:tcW w:w="625" w:type="pct"/>
          </w:tcPr>
          <w:p w14:paraId="7F77798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0.03**</w:t>
            </w:r>
          </w:p>
        </w:tc>
        <w:tc>
          <w:tcPr>
            <w:tcW w:w="625" w:type="pct"/>
          </w:tcPr>
          <w:p w14:paraId="257F2B8F"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0.08**</w:t>
            </w:r>
          </w:p>
        </w:tc>
        <w:tc>
          <w:tcPr>
            <w:tcW w:w="625" w:type="pct"/>
          </w:tcPr>
          <w:p w14:paraId="1AB6C0E1"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0.08**</w:t>
            </w:r>
          </w:p>
        </w:tc>
        <w:tc>
          <w:tcPr>
            <w:tcW w:w="625" w:type="pct"/>
          </w:tcPr>
          <w:p w14:paraId="7012267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0.09**</w:t>
            </w:r>
          </w:p>
        </w:tc>
      </w:tr>
      <w:tr w:rsidR="008A0A72" w:rsidRPr="00284A41" w14:paraId="67670726"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6BB50705" w14:textId="77777777" w:rsidR="008A0A72" w:rsidRPr="00284A41" w:rsidRDefault="008A0A72" w:rsidP="00B12AE9">
            <w:pPr>
              <w:keepNext/>
              <w:keepLines/>
              <w:rPr>
                <w:rFonts w:eastAsia="Arial" w:cstheme="minorHAnsi"/>
                <w:b/>
                <w:bCs/>
                <w:szCs w:val="18"/>
              </w:rPr>
            </w:pPr>
            <w:r w:rsidRPr="00284A41">
              <w:rPr>
                <w:rFonts w:eastAsia="Arial" w:cstheme="minorHAnsi"/>
                <w:szCs w:val="18"/>
              </w:rPr>
              <w:t xml:space="preserve">Average base wage (FLS) </w:t>
            </w:r>
          </w:p>
        </w:tc>
        <w:tc>
          <w:tcPr>
            <w:tcW w:w="625" w:type="pct"/>
          </w:tcPr>
          <w:p w14:paraId="1ADB2EC6"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659E216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7E73F3C2"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415B5209"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r>
      <w:tr w:rsidR="008A0A72" w:rsidRPr="00284A41" w14:paraId="3243249F" w14:textId="77777777" w:rsidTr="0042216D">
        <w:trPr>
          <w:trHeight w:val="275"/>
        </w:trPr>
        <w:tc>
          <w:tcPr>
            <w:tcW w:w="2500" w:type="pct"/>
          </w:tcPr>
          <w:p w14:paraId="768A1B83" w14:textId="77777777" w:rsidR="008A0A72" w:rsidRPr="00284A41" w:rsidRDefault="008A0A72" w:rsidP="00B12AE9">
            <w:pPr>
              <w:keepNext/>
              <w:keepLines/>
              <w:rPr>
                <w:rFonts w:eastAsia="Arial" w:cstheme="minorHAnsi"/>
                <w:b/>
                <w:bCs/>
                <w:szCs w:val="18"/>
              </w:rPr>
            </w:pPr>
            <w:r w:rsidRPr="00284A41">
              <w:rPr>
                <w:rFonts w:eastAsia="Arial" w:cstheme="minorHAnsi"/>
                <w:szCs w:val="18"/>
              </w:rPr>
              <w:t>Average base wage (DSW)</w:t>
            </w:r>
          </w:p>
        </w:tc>
        <w:tc>
          <w:tcPr>
            <w:tcW w:w="625" w:type="pct"/>
          </w:tcPr>
          <w:p w14:paraId="2B4E6135"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78F4086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-0.01**</w:t>
            </w:r>
          </w:p>
        </w:tc>
        <w:tc>
          <w:tcPr>
            <w:tcW w:w="625" w:type="pct"/>
          </w:tcPr>
          <w:p w14:paraId="44F2D1E0" w14:textId="6F89C5E9"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326A476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r>
      <w:tr w:rsidR="008A0A72" w:rsidRPr="0042216D" w14:paraId="0AAB1425" w14:textId="77777777" w:rsidTr="0042216D">
        <w:trPr>
          <w:cnfStyle w:val="010000000000" w:firstRow="0" w:lastRow="1" w:firstColumn="0" w:lastColumn="0" w:oddVBand="0" w:evenVBand="0" w:oddHBand="0" w:evenHBand="0" w:firstRowFirstColumn="0" w:firstRowLastColumn="0" w:lastRowFirstColumn="0" w:lastRowLastColumn="0"/>
          <w:trHeight w:val="275"/>
        </w:trPr>
        <w:tc>
          <w:tcPr>
            <w:tcW w:w="2500" w:type="pct"/>
          </w:tcPr>
          <w:p w14:paraId="54E0C38C" w14:textId="77777777" w:rsidR="008A0A72" w:rsidRPr="0042216D" w:rsidRDefault="008A0A72" w:rsidP="00B12AE9">
            <w:pPr>
              <w:keepNext/>
              <w:keepLines/>
              <w:rPr>
                <w:rFonts w:eastAsia="Arial" w:cstheme="minorHAnsi"/>
                <w:bCs w:val="0"/>
                <w:szCs w:val="18"/>
              </w:rPr>
            </w:pPr>
            <w:r w:rsidRPr="0042216D">
              <w:rPr>
                <w:rFonts w:eastAsia="Arial" w:cstheme="minorHAnsi"/>
                <w:szCs w:val="18"/>
              </w:rPr>
              <w:t>R</w:t>
            </w:r>
            <w:r w:rsidRPr="0042216D">
              <w:rPr>
                <w:rFonts w:eastAsia="Arial" w:cstheme="minorHAnsi"/>
                <w:szCs w:val="18"/>
                <w:vertAlign w:val="superscript"/>
              </w:rPr>
              <w:t>2</w:t>
            </w:r>
          </w:p>
        </w:tc>
        <w:tc>
          <w:tcPr>
            <w:tcW w:w="625" w:type="pct"/>
          </w:tcPr>
          <w:p w14:paraId="4DBABF41" w14:textId="77777777" w:rsidR="008A0A72" w:rsidRPr="0042216D" w:rsidRDefault="008A0A72" w:rsidP="00B12AE9">
            <w:pPr>
              <w:keepNext/>
              <w:keepLines/>
              <w:jc w:val="center"/>
              <w:rPr>
                <w:rFonts w:eastAsia="Arial" w:cstheme="minorHAnsi"/>
                <w:szCs w:val="18"/>
              </w:rPr>
            </w:pPr>
            <w:r w:rsidRPr="0042216D">
              <w:rPr>
                <w:rFonts w:eastAsia="Arial" w:cstheme="minorHAnsi"/>
                <w:szCs w:val="18"/>
              </w:rPr>
              <w:t>10.9%</w:t>
            </w:r>
          </w:p>
        </w:tc>
        <w:tc>
          <w:tcPr>
            <w:tcW w:w="625" w:type="pct"/>
          </w:tcPr>
          <w:p w14:paraId="104801F3" w14:textId="77777777" w:rsidR="008A0A72" w:rsidRPr="0042216D" w:rsidRDefault="00FB16CB" w:rsidP="00B12AE9">
            <w:pPr>
              <w:keepNext/>
              <w:keepLines/>
              <w:jc w:val="center"/>
              <w:rPr>
                <w:rFonts w:eastAsia="Arial" w:cstheme="minorHAnsi"/>
                <w:szCs w:val="18"/>
              </w:rPr>
            </w:pPr>
            <w:r w:rsidRPr="0042216D">
              <w:rPr>
                <w:rFonts w:eastAsia="Arial" w:cstheme="minorHAnsi"/>
                <w:szCs w:val="18"/>
              </w:rPr>
              <w:t>4.8%</w:t>
            </w:r>
          </w:p>
        </w:tc>
        <w:tc>
          <w:tcPr>
            <w:tcW w:w="625" w:type="pct"/>
          </w:tcPr>
          <w:p w14:paraId="357F78E1" w14:textId="77777777" w:rsidR="008A0A72" w:rsidRPr="0042216D" w:rsidRDefault="00FB16CB" w:rsidP="00B12AE9">
            <w:pPr>
              <w:keepNext/>
              <w:keepLines/>
              <w:jc w:val="center"/>
              <w:rPr>
                <w:rFonts w:eastAsia="Arial" w:cstheme="minorHAnsi"/>
                <w:szCs w:val="18"/>
              </w:rPr>
            </w:pPr>
            <w:r w:rsidRPr="0042216D">
              <w:rPr>
                <w:rFonts w:eastAsia="Arial" w:cstheme="minorHAnsi"/>
                <w:szCs w:val="18"/>
              </w:rPr>
              <w:t>6.9%</w:t>
            </w:r>
          </w:p>
        </w:tc>
        <w:tc>
          <w:tcPr>
            <w:tcW w:w="625" w:type="pct"/>
          </w:tcPr>
          <w:p w14:paraId="764D3304" w14:textId="77777777" w:rsidR="008A0A72" w:rsidRPr="0042216D" w:rsidRDefault="00FB16CB" w:rsidP="00B12AE9">
            <w:pPr>
              <w:keepNext/>
              <w:keepLines/>
              <w:jc w:val="center"/>
              <w:rPr>
                <w:rFonts w:eastAsia="Arial" w:cstheme="minorHAnsi"/>
                <w:szCs w:val="18"/>
              </w:rPr>
            </w:pPr>
            <w:r w:rsidRPr="0042216D">
              <w:rPr>
                <w:rFonts w:eastAsia="Arial" w:cstheme="minorHAnsi"/>
                <w:szCs w:val="18"/>
              </w:rPr>
              <w:t>5.9%</w:t>
            </w:r>
          </w:p>
        </w:tc>
      </w:tr>
    </w:tbl>
    <w:p w14:paraId="6E7E1AE4" w14:textId="6ED01307" w:rsidR="003A1D65" w:rsidRPr="00284A41" w:rsidRDefault="003A1D65" w:rsidP="0042216D">
      <w:pPr>
        <w:spacing w:before="0"/>
        <w:ind w:left="284"/>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(518 observations).</w:t>
      </w:r>
    </w:p>
    <w:p w14:paraId="550625D8" w14:textId="77777777" w:rsidR="00674A1F" w:rsidRPr="00284A41" w:rsidRDefault="00674A1F" w:rsidP="001E796D">
      <w:pPr>
        <w:pStyle w:val="Heading3"/>
      </w:pPr>
      <w:r w:rsidRPr="00284A41">
        <w:t>Training</w:t>
      </w:r>
    </w:p>
    <w:p w14:paraId="67E6A350" w14:textId="3E95E2F9" w:rsidR="00674A1F" w:rsidRPr="00284A41" w:rsidRDefault="00987841" w:rsidP="00C66598">
      <w:pPr>
        <w:rPr>
          <w:rFonts w:ascii="Arial" w:eastAsia="Arial" w:hAnsi="Arial" w:cs="Times New Roman"/>
        </w:rPr>
      </w:pPr>
      <w:r w:rsidRPr="00284A41">
        <w:rPr>
          <w:rFonts w:ascii="Arial" w:eastAsia="Arial" w:hAnsi="Arial" w:cs="Times New Roman"/>
        </w:rPr>
        <w:t>The Financial B</w:t>
      </w:r>
      <w:r w:rsidR="00A47A61" w:rsidRPr="00284A41">
        <w:rPr>
          <w:rFonts w:ascii="Arial" w:eastAsia="Arial" w:hAnsi="Arial" w:cs="Times New Roman"/>
        </w:rPr>
        <w:t xml:space="preserve">enchmarking </w:t>
      </w:r>
      <w:r w:rsidRPr="00284A41">
        <w:rPr>
          <w:rFonts w:ascii="Arial" w:eastAsia="Arial" w:hAnsi="Arial" w:cs="Times New Roman"/>
        </w:rPr>
        <w:t>Survey data indicates that</w:t>
      </w:r>
      <w:r w:rsidR="00674A1F" w:rsidRPr="00284A41">
        <w:rPr>
          <w:rFonts w:ascii="Arial" w:eastAsia="Arial" w:hAnsi="Arial" w:cs="Times New Roman"/>
        </w:rPr>
        <w:t xml:space="preserve"> time spent on training as a proportion of non-billable time </w:t>
      </w:r>
      <w:r w:rsidRPr="00284A41">
        <w:rPr>
          <w:rFonts w:ascii="Arial" w:eastAsia="Arial" w:hAnsi="Arial" w:cs="Times New Roman"/>
        </w:rPr>
        <w:t>is</w:t>
      </w:r>
      <w:r w:rsidR="00C66598" w:rsidRPr="00284A41">
        <w:rPr>
          <w:rFonts w:ascii="Arial" w:eastAsia="Arial" w:hAnsi="Arial" w:cs="Times New Roman"/>
        </w:rPr>
        <w:t xml:space="preserve"> slightly</w:t>
      </w:r>
      <w:r w:rsidR="00674A1F" w:rsidRPr="00284A41">
        <w:rPr>
          <w:rFonts w:ascii="Arial" w:eastAsia="Arial" w:hAnsi="Arial" w:cs="Times New Roman"/>
        </w:rPr>
        <w:t xml:space="preserve"> h</w:t>
      </w:r>
      <w:r w:rsidRPr="00284A41">
        <w:rPr>
          <w:rFonts w:ascii="Arial" w:eastAsia="Arial" w:hAnsi="Arial" w:cs="Times New Roman"/>
        </w:rPr>
        <w:t>igher</w:t>
      </w:r>
      <w:r w:rsidR="00C66598" w:rsidRPr="00284A41">
        <w:rPr>
          <w:rFonts w:ascii="Arial" w:eastAsia="Arial" w:hAnsi="Arial" w:cs="Times New Roman"/>
        </w:rPr>
        <w:t>, on average,</w:t>
      </w:r>
      <w:r w:rsidRPr="00284A41">
        <w:rPr>
          <w:rFonts w:ascii="Arial" w:eastAsia="Arial" w:hAnsi="Arial" w:cs="Times New Roman"/>
        </w:rPr>
        <w:t xml:space="preserve"> for providers that offer</w:t>
      </w:r>
      <w:r w:rsidR="00674A1F" w:rsidRPr="00284A41">
        <w:rPr>
          <w:rFonts w:ascii="Arial" w:eastAsia="Arial" w:hAnsi="Arial" w:cs="Times New Roman"/>
        </w:rPr>
        <w:t xml:space="preserve"> SIL services compared </w:t>
      </w:r>
      <w:r w:rsidRPr="00284A41">
        <w:rPr>
          <w:rFonts w:ascii="Arial" w:eastAsia="Arial" w:hAnsi="Arial" w:cs="Times New Roman"/>
        </w:rPr>
        <w:t>to those that did not (</w:t>
      </w:r>
      <w:r w:rsidRPr="00284A41">
        <w:rPr>
          <w:rFonts w:ascii="Arial" w:eastAsia="Arial" w:hAnsi="Arial" w:cs="Times New Roman"/>
        </w:rPr>
        <w:fldChar w:fldCharType="begin"/>
      </w:r>
      <w:r w:rsidRPr="00284A41">
        <w:rPr>
          <w:rFonts w:ascii="Arial" w:eastAsia="Arial" w:hAnsi="Arial" w:cs="Times New Roman"/>
        </w:rPr>
        <w:instrText xml:space="preserve"> REF _Ref68343999 \h </w:instrText>
      </w:r>
      <w:r w:rsidR="00C66598" w:rsidRPr="00284A41">
        <w:rPr>
          <w:rFonts w:ascii="Arial" w:eastAsia="Arial" w:hAnsi="Arial" w:cs="Times New Roman"/>
        </w:rPr>
        <w:instrText xml:space="preserve"> \* MERGEFORMAT </w:instrText>
      </w:r>
      <w:r w:rsidRPr="00284A41">
        <w:rPr>
          <w:rFonts w:ascii="Arial" w:eastAsia="Arial" w:hAnsi="Arial" w:cs="Times New Roman"/>
        </w:rPr>
      </w:r>
      <w:r w:rsidRPr="00284A41">
        <w:rPr>
          <w:rFonts w:ascii="Arial" w:eastAsia="Arial" w:hAnsi="Arial" w:cs="Times New Roman"/>
        </w:rPr>
        <w:fldChar w:fldCharType="separate"/>
      </w:r>
      <w:r w:rsidR="00E0689D" w:rsidRPr="00284A41">
        <w:t xml:space="preserve">Exhibit </w:t>
      </w:r>
      <w:r w:rsidR="00E0689D">
        <w:rPr>
          <w:noProof/>
        </w:rPr>
        <w:t>18</w:t>
      </w:r>
      <w:r w:rsidRPr="00284A41">
        <w:rPr>
          <w:rFonts w:ascii="Arial" w:eastAsia="Arial" w:hAnsi="Arial" w:cs="Times New Roman"/>
        </w:rPr>
        <w:fldChar w:fldCharType="end"/>
      </w:r>
      <w:r w:rsidRPr="00284A41">
        <w:rPr>
          <w:rFonts w:ascii="Arial" w:eastAsia="Arial" w:hAnsi="Arial" w:cs="Times New Roman"/>
        </w:rPr>
        <w:t xml:space="preserve"> and</w:t>
      </w:r>
      <w:r w:rsidR="00107E35" w:rsidRPr="00284A41">
        <w:rPr>
          <w:rFonts w:ascii="Arial" w:eastAsia="Arial" w:hAnsi="Arial" w:cs="Times New Roman"/>
        </w:rPr>
        <w:t xml:space="preserve"> Exhibit</w:t>
      </w:r>
      <w:r w:rsidRPr="00284A41">
        <w:rPr>
          <w:rFonts w:ascii="Arial" w:eastAsia="Arial" w:hAnsi="Arial" w:cs="Times New Roman"/>
        </w:rPr>
        <w:t xml:space="preserve"> </w:t>
      </w:r>
      <w:r w:rsidR="00107E35" w:rsidRPr="00284A41">
        <w:rPr>
          <w:rFonts w:ascii="Arial" w:eastAsia="Arial" w:hAnsi="Arial" w:cs="Times New Roman"/>
        </w:rPr>
        <w:fldChar w:fldCharType="begin"/>
      </w:r>
      <w:r w:rsidR="00107E35" w:rsidRPr="00284A41">
        <w:rPr>
          <w:rFonts w:ascii="Arial" w:eastAsia="Arial" w:hAnsi="Arial" w:cs="Times New Roman"/>
        </w:rPr>
        <w:instrText xml:space="preserve"> REF Exhibit19 </w:instrText>
      </w:r>
      <w:r w:rsidR="00284A41">
        <w:rPr>
          <w:rFonts w:ascii="Arial" w:eastAsia="Arial" w:hAnsi="Arial" w:cs="Times New Roman"/>
        </w:rPr>
        <w:instrText xml:space="preserve"> \* MERGEFORMAT </w:instrText>
      </w:r>
      <w:r w:rsidR="00107E35" w:rsidRPr="00284A41">
        <w:rPr>
          <w:rFonts w:ascii="Arial" w:eastAsia="Arial" w:hAnsi="Arial" w:cs="Times New Roman"/>
        </w:rPr>
        <w:fldChar w:fldCharType="separate"/>
      </w:r>
      <w:r w:rsidR="00E0689D">
        <w:rPr>
          <w:noProof/>
        </w:rPr>
        <w:t>19</w:t>
      </w:r>
      <w:r w:rsidR="00107E35" w:rsidRPr="00284A41">
        <w:rPr>
          <w:rFonts w:ascii="Arial" w:eastAsia="Arial" w:hAnsi="Arial" w:cs="Times New Roman"/>
        </w:rPr>
        <w:fldChar w:fldCharType="end"/>
      </w:r>
      <w:r w:rsidRPr="00284A41">
        <w:rPr>
          <w:rFonts w:ascii="Arial" w:eastAsia="Arial" w:hAnsi="Arial" w:cs="Times New Roman"/>
        </w:rPr>
        <w:fldChar w:fldCharType="begin"/>
      </w:r>
      <w:r w:rsidRPr="00284A41">
        <w:rPr>
          <w:rFonts w:ascii="Arial" w:eastAsia="Arial" w:hAnsi="Arial" w:cs="Times New Roman"/>
        </w:rPr>
        <w:instrText xml:space="preserve"> REF _Ref68344005 \h </w:instrText>
      </w:r>
      <w:r w:rsidR="00C66598" w:rsidRPr="00284A41">
        <w:rPr>
          <w:rFonts w:ascii="Arial" w:eastAsia="Arial" w:hAnsi="Arial" w:cs="Times New Roman"/>
        </w:rPr>
        <w:instrText xml:space="preserve"> \* MERGEFORMAT </w:instrText>
      </w:r>
      <w:r w:rsidRPr="00284A41">
        <w:rPr>
          <w:rFonts w:ascii="Arial" w:eastAsia="Arial" w:hAnsi="Arial" w:cs="Times New Roman"/>
        </w:rPr>
      </w:r>
      <w:r w:rsidRPr="00284A41">
        <w:rPr>
          <w:rFonts w:ascii="Arial" w:eastAsia="Arial" w:hAnsi="Arial" w:cs="Times New Roman"/>
        </w:rPr>
        <w:fldChar w:fldCharType="separate"/>
      </w:r>
      <w:r w:rsidR="00E0689D" w:rsidRPr="00284A41">
        <w:t xml:space="preserve">Exhibit </w:t>
      </w:r>
      <w:r w:rsidR="00E0689D">
        <w:rPr>
          <w:noProof/>
        </w:rPr>
        <w:t>20</w:t>
      </w:r>
      <w:r w:rsidRPr="00284A41">
        <w:rPr>
          <w:rFonts w:ascii="Arial" w:eastAsia="Arial" w:hAnsi="Arial" w:cs="Times New Roman"/>
        </w:rPr>
        <w:fldChar w:fldCharType="end"/>
      </w:r>
      <w:r w:rsidR="00C66598" w:rsidRPr="00284A41">
        <w:rPr>
          <w:rFonts w:ascii="Arial" w:eastAsia="Arial" w:hAnsi="Arial" w:cs="Times New Roman"/>
        </w:rPr>
        <w:t xml:space="preserve">). Employees of mixed </w:t>
      </w:r>
      <w:r w:rsidR="004332B9" w:rsidRPr="00284A41">
        <w:rPr>
          <w:rFonts w:ascii="Arial" w:eastAsia="Arial" w:hAnsi="Arial" w:cs="Times New Roman"/>
        </w:rPr>
        <w:t>SIL</w:t>
      </w:r>
      <w:r w:rsidR="00C66598" w:rsidRPr="00284A41">
        <w:rPr>
          <w:rFonts w:ascii="Arial" w:eastAsia="Arial" w:hAnsi="Arial" w:cs="Times New Roman"/>
        </w:rPr>
        <w:t>/non-SIL</w:t>
      </w:r>
      <w:r w:rsidR="004332B9" w:rsidRPr="00284A41">
        <w:rPr>
          <w:rFonts w:ascii="Arial" w:eastAsia="Arial" w:hAnsi="Arial" w:cs="Times New Roman"/>
        </w:rPr>
        <w:t xml:space="preserve"> </w:t>
      </w:r>
      <w:r w:rsidR="00674A1F" w:rsidRPr="00284A41">
        <w:rPr>
          <w:rFonts w:ascii="Arial" w:eastAsia="Arial" w:hAnsi="Arial" w:cs="Times New Roman"/>
        </w:rPr>
        <w:t>provider</w:t>
      </w:r>
      <w:r w:rsidR="00C66598" w:rsidRPr="00284A41">
        <w:rPr>
          <w:rFonts w:ascii="Arial" w:eastAsia="Arial" w:hAnsi="Arial" w:cs="Times New Roman"/>
        </w:rPr>
        <w:t>s</w:t>
      </w:r>
      <w:r w:rsidR="002506D2" w:rsidRPr="00284A41">
        <w:rPr>
          <w:rFonts w:ascii="Arial" w:eastAsia="Arial" w:hAnsi="Arial" w:cs="Times New Roman"/>
        </w:rPr>
        <w:t xml:space="preserve"> </w:t>
      </w:r>
      <w:r w:rsidR="00C66598" w:rsidRPr="00284A41">
        <w:rPr>
          <w:rFonts w:ascii="Arial" w:eastAsia="Arial" w:hAnsi="Arial" w:cs="Times New Roman"/>
        </w:rPr>
        <w:t>spend, on average, 20.5</w:t>
      </w:r>
      <w:r w:rsidR="00674A1F" w:rsidRPr="00284A41">
        <w:rPr>
          <w:rFonts w:ascii="Arial" w:eastAsia="Arial" w:hAnsi="Arial" w:cs="Times New Roman"/>
        </w:rPr>
        <w:t xml:space="preserve">% of non-billable time on training, compared to </w:t>
      </w:r>
      <w:r w:rsidR="00C66598" w:rsidRPr="00284A41">
        <w:rPr>
          <w:rFonts w:ascii="Arial" w:eastAsia="Arial" w:hAnsi="Arial" w:cs="Times New Roman"/>
        </w:rPr>
        <w:t>18.3</w:t>
      </w:r>
      <w:r w:rsidR="00674A1F" w:rsidRPr="00284A41">
        <w:rPr>
          <w:rFonts w:ascii="Arial" w:eastAsia="Arial" w:hAnsi="Arial" w:cs="Times New Roman"/>
        </w:rPr>
        <w:t xml:space="preserve">% </w:t>
      </w:r>
      <w:r w:rsidR="00C66598" w:rsidRPr="00284A41">
        <w:rPr>
          <w:rFonts w:ascii="Arial" w:eastAsia="Arial" w:hAnsi="Arial" w:cs="Times New Roman"/>
        </w:rPr>
        <w:t xml:space="preserve">for employees of </w:t>
      </w:r>
      <w:r w:rsidR="00674A1F" w:rsidRPr="00284A41">
        <w:rPr>
          <w:rFonts w:ascii="Arial" w:eastAsia="Arial" w:hAnsi="Arial" w:cs="Times New Roman"/>
        </w:rPr>
        <w:t>non-SIL provider</w:t>
      </w:r>
      <w:r w:rsidR="00C66598" w:rsidRPr="00284A41">
        <w:rPr>
          <w:rFonts w:ascii="Arial" w:eastAsia="Arial" w:hAnsi="Arial" w:cs="Times New Roman"/>
        </w:rPr>
        <w:t>s</w:t>
      </w:r>
      <w:r w:rsidR="00674A1F" w:rsidRPr="00284A41">
        <w:rPr>
          <w:rFonts w:ascii="Arial" w:eastAsia="Arial" w:hAnsi="Arial" w:cs="Times New Roman"/>
        </w:rPr>
        <w:t>.</w:t>
      </w:r>
    </w:p>
    <w:p w14:paraId="161417B8" w14:textId="245F1C05" w:rsidR="0088067C" w:rsidRPr="00284A41" w:rsidRDefault="00AF537D" w:rsidP="00066859">
      <w:pPr>
        <w:pStyle w:val="Caption"/>
      </w:pPr>
      <w:bookmarkStart w:id="90" w:name="_Ref68343999"/>
      <w:bookmarkStart w:id="91" w:name="_Toc75881521"/>
      <w:r w:rsidRPr="00284A41">
        <w:t xml:space="preserve">Exhibit </w:t>
      </w:r>
      <w:r w:rsidR="00935584">
        <w:fldChar w:fldCharType="begin"/>
      </w:r>
      <w:r w:rsidR="00935584">
        <w:instrText xml:space="preserve"> SEQ Exhibit \* ARABIC </w:instrText>
      </w:r>
      <w:r w:rsidR="00935584">
        <w:fldChar w:fldCharType="separate"/>
      </w:r>
      <w:r w:rsidR="00E0689D">
        <w:rPr>
          <w:noProof/>
        </w:rPr>
        <w:t>18</w:t>
      </w:r>
      <w:r w:rsidR="00935584">
        <w:rPr>
          <w:noProof/>
        </w:rPr>
        <w:fldChar w:fldCharType="end"/>
      </w:r>
      <w:bookmarkEnd w:id="90"/>
      <w:r w:rsidRPr="00284A41">
        <w:t xml:space="preserve">: </w:t>
      </w:r>
      <w:r w:rsidR="00264B60" w:rsidRPr="00284A41">
        <w:t>Box P</w:t>
      </w:r>
      <w:r w:rsidR="0088067C" w:rsidRPr="00284A41">
        <w:t xml:space="preserve">lot </w:t>
      </w:r>
      <w:r w:rsidR="003503B6" w:rsidRPr="00284A41">
        <w:softHyphen/>
        <w:t>– T</w:t>
      </w:r>
      <w:r w:rsidR="008A5FC2" w:rsidRPr="00284A41">
        <w:t>ime spent t</w:t>
      </w:r>
      <w:r w:rsidR="0088067C" w:rsidRPr="00284A41">
        <w:t xml:space="preserve">raining </w:t>
      </w:r>
      <w:r w:rsidR="008A5FC2" w:rsidRPr="00284A41">
        <w:t>as a share of non-billable hour</w:t>
      </w:r>
      <w:r w:rsidR="00B62894" w:rsidRPr="00284A41">
        <w:t>s</w:t>
      </w:r>
      <w:bookmarkEnd w:id="91"/>
    </w:p>
    <w:p w14:paraId="1BDEB7A7" w14:textId="77777777" w:rsidR="00674A1F" w:rsidRPr="00284A41" w:rsidRDefault="0088067C" w:rsidP="008A5FC2">
      <w:pPr>
        <w:spacing w:before="0" w:after="0"/>
        <w:ind w:left="431" w:hanging="431"/>
        <w:jc w:val="center"/>
        <w:rPr>
          <w:noProof/>
          <w:lang w:eastAsia="en-AU"/>
        </w:rPr>
      </w:pPr>
      <w:r w:rsidRPr="00284A41">
        <w:rPr>
          <w:noProof/>
          <w:lang w:eastAsia="en-AU"/>
        </w:rPr>
        <w:drawing>
          <wp:inline distT="0" distB="0" distL="0" distR="0" wp14:anchorId="2B41324B" wp14:editId="7F33335F">
            <wp:extent cx="5400000" cy="2851200"/>
            <wp:effectExtent l="0" t="0" r="0" b="6350"/>
            <wp:docPr id="5" name="Picture 5" descr="A box plot to show the training time across the levels of SIL provision (based on revenue) based on the 25th percentile (efficient providers).&#10;Non-SIL providers were 8.3%. &#10;SIL provision 0-25% were 12.0%.&#10;SIL provision 26-50% were 12.5%.&#10;SIL provision 51-75% were 12.5%.&#10;SIL provision 76-100% were 16.7%." title="Exhibit 18: Box Plot ¬– Time spent training as a share of non-billable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00" cy="2851200"/>
                    </a:xfrm>
                    <a:prstGeom prst="rect">
                      <a:avLst/>
                    </a:prstGeom>
                    <a:noFill/>
                    <a:ln>
                      <a:noFill/>
                    </a:ln>
                  </pic:spPr>
                </pic:pic>
              </a:graphicData>
            </a:graphic>
          </wp:inline>
        </w:drawing>
      </w:r>
    </w:p>
    <w:p w14:paraId="4A3831EC" w14:textId="77777777" w:rsidR="00B62894" w:rsidRPr="00284A41" w:rsidRDefault="00B62894" w:rsidP="0042216D">
      <w:pPr>
        <w:spacing w:before="0"/>
        <w:ind w:left="284"/>
        <w:jc w:val="center"/>
        <w:rPr>
          <w:sz w:val="18"/>
          <w:szCs w:val="18"/>
        </w:rPr>
      </w:pPr>
      <w:bookmarkStart w:id="92" w:name="_Ref66978300"/>
      <w:bookmarkStart w:id="93" w:name="_Toc64465245"/>
      <w:bookmarkStart w:id="94" w:name="_Toc68003296"/>
      <w:r w:rsidRPr="00284A41">
        <w:rPr>
          <w:sz w:val="18"/>
          <w:szCs w:val="18"/>
        </w:rPr>
        <w:t>Note: Data labels for the 25th percentile are shown to highlight the efficient frontier within each category</w:t>
      </w:r>
    </w:p>
    <w:p w14:paraId="68E003AC" w14:textId="56F0A000" w:rsidR="00674A1F" w:rsidRPr="00284A41" w:rsidRDefault="00AF537D" w:rsidP="00066859">
      <w:pPr>
        <w:pStyle w:val="Caption"/>
      </w:pPr>
      <w:bookmarkStart w:id="95" w:name="_Toc75881522"/>
      <w:r w:rsidRPr="00284A41">
        <w:t xml:space="preserve">Exhibit </w:t>
      </w:r>
      <w:bookmarkStart w:id="96" w:name="Exhibit19"/>
      <w:r w:rsidRPr="00284A41">
        <w:fldChar w:fldCharType="begin"/>
      </w:r>
      <w:r w:rsidRPr="00284A41">
        <w:instrText xml:space="preserve"> SEQ Exhibit \* ARABIC </w:instrText>
      </w:r>
      <w:r w:rsidRPr="00284A41">
        <w:fldChar w:fldCharType="separate"/>
      </w:r>
      <w:r w:rsidR="00E0689D">
        <w:rPr>
          <w:noProof/>
        </w:rPr>
        <w:t>19</w:t>
      </w:r>
      <w:r w:rsidRPr="00284A41">
        <w:fldChar w:fldCharType="end"/>
      </w:r>
      <w:bookmarkEnd w:id="96"/>
      <w:r w:rsidRPr="00284A41">
        <w:t xml:space="preserve">: </w:t>
      </w:r>
      <w:bookmarkEnd w:id="92"/>
      <w:r w:rsidR="00066859" w:rsidRPr="00284A41">
        <w:t>Summary S</w:t>
      </w:r>
      <w:r w:rsidR="000D4020" w:rsidRPr="00284A41">
        <w:t xml:space="preserve">tatistics </w:t>
      </w:r>
      <w:r w:rsidRPr="00284A41">
        <w:softHyphen/>
        <w:t xml:space="preserve">– </w:t>
      </w:r>
      <w:bookmarkEnd w:id="93"/>
      <w:bookmarkEnd w:id="94"/>
      <w:r w:rsidR="003503B6" w:rsidRPr="00284A41">
        <w:t>T</w:t>
      </w:r>
      <w:r w:rsidR="008A5FC2" w:rsidRPr="00284A41">
        <w:t>ime spent training as a share of non-billable hours</w:t>
      </w:r>
      <w:bookmarkEnd w:id="95"/>
    </w:p>
    <w:tbl>
      <w:tblPr>
        <w:tblStyle w:val="GridTable4-Accent4"/>
        <w:tblW w:w="9079" w:type="dxa"/>
        <w:tblLook w:val="0420" w:firstRow="1" w:lastRow="0" w:firstColumn="0" w:lastColumn="0" w:noHBand="0" w:noVBand="1"/>
        <w:tblCaption w:val="Exhibit 19: Summary Statistics ¬– Time spent training as a share of non-billable hour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AF537D" w:rsidRPr="00284A41" w14:paraId="6C1EA6E7"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5" w:type="pct"/>
          </w:tcPr>
          <w:p w14:paraId="74F9CEA0" w14:textId="77777777" w:rsidR="00AF537D" w:rsidRPr="00284A41" w:rsidRDefault="006842C8" w:rsidP="00A80757">
            <w:pPr>
              <w:rPr>
                <w:rFonts w:eastAsia="Arial" w:cstheme="minorHAnsi"/>
                <w:szCs w:val="18"/>
              </w:rPr>
            </w:pPr>
            <w:r w:rsidRPr="00284A41">
              <w:rPr>
                <w:rFonts w:eastAsia="Arial" w:cstheme="minorHAnsi"/>
                <w:szCs w:val="18"/>
              </w:rPr>
              <w:t>Respondent type</w:t>
            </w:r>
          </w:p>
        </w:tc>
        <w:tc>
          <w:tcPr>
            <w:tcW w:w="625" w:type="pct"/>
          </w:tcPr>
          <w:p w14:paraId="2E78B49B" w14:textId="77777777" w:rsidR="00AF537D" w:rsidRPr="00284A41" w:rsidRDefault="00AF537D" w:rsidP="00A80757">
            <w:pPr>
              <w:jc w:val="center"/>
              <w:rPr>
                <w:rFonts w:eastAsia="Arial" w:cstheme="minorHAnsi"/>
                <w:szCs w:val="18"/>
              </w:rPr>
            </w:pPr>
            <w:r w:rsidRPr="00284A41">
              <w:rPr>
                <w:rFonts w:eastAsia="Arial" w:cstheme="minorHAnsi"/>
                <w:szCs w:val="18"/>
              </w:rPr>
              <w:t>Sample size</w:t>
            </w:r>
          </w:p>
        </w:tc>
        <w:tc>
          <w:tcPr>
            <w:tcW w:w="625" w:type="pct"/>
          </w:tcPr>
          <w:p w14:paraId="67B5681C" w14:textId="77777777" w:rsidR="00AF537D" w:rsidRPr="00284A41" w:rsidRDefault="00AF537D" w:rsidP="00A80757">
            <w:pPr>
              <w:jc w:val="center"/>
              <w:rPr>
                <w:rFonts w:eastAsia="Arial" w:cstheme="minorHAnsi"/>
                <w:szCs w:val="18"/>
              </w:rPr>
            </w:pPr>
            <w:r w:rsidRPr="00284A41">
              <w:rPr>
                <w:rFonts w:eastAsia="Arial" w:cstheme="minorHAnsi"/>
                <w:szCs w:val="18"/>
              </w:rPr>
              <w:t>Mean</w:t>
            </w:r>
          </w:p>
        </w:tc>
        <w:tc>
          <w:tcPr>
            <w:tcW w:w="625" w:type="pct"/>
          </w:tcPr>
          <w:p w14:paraId="3567F727" w14:textId="77777777" w:rsidR="00AF537D" w:rsidRPr="00284A41" w:rsidRDefault="00AF537D" w:rsidP="00A80757">
            <w:pPr>
              <w:jc w:val="center"/>
              <w:rPr>
                <w:rFonts w:eastAsia="Arial" w:cstheme="minorHAnsi"/>
                <w:szCs w:val="18"/>
              </w:rPr>
            </w:pPr>
            <w:r w:rsidRPr="00284A41">
              <w:rPr>
                <w:rFonts w:eastAsia="Arial" w:cstheme="minorHAnsi"/>
                <w:szCs w:val="18"/>
              </w:rPr>
              <w:t>Median</w:t>
            </w:r>
          </w:p>
        </w:tc>
        <w:tc>
          <w:tcPr>
            <w:tcW w:w="625" w:type="pct"/>
          </w:tcPr>
          <w:p w14:paraId="70816C1B" w14:textId="77777777" w:rsidR="00AF537D" w:rsidRPr="00284A41" w:rsidRDefault="00AF537D" w:rsidP="00A80757">
            <w:pPr>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5" w:type="pct"/>
          </w:tcPr>
          <w:p w14:paraId="301D38F4" w14:textId="77777777" w:rsidR="00AF537D" w:rsidRPr="00284A41" w:rsidRDefault="00AF537D" w:rsidP="00A80757">
            <w:pPr>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5B2B302D"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6EF5E9F2" w14:textId="77777777" w:rsidR="001330ED" w:rsidRPr="00284A41" w:rsidRDefault="001330ED" w:rsidP="001330ED">
            <w:pPr>
              <w:rPr>
                <w:rFonts w:eastAsia="Arial" w:cstheme="minorHAnsi"/>
                <w:szCs w:val="18"/>
              </w:rPr>
            </w:pPr>
            <w:r w:rsidRPr="00284A41">
              <w:rPr>
                <w:rFonts w:eastAsia="Arial" w:cstheme="minorHAnsi"/>
                <w:szCs w:val="18"/>
              </w:rPr>
              <w:t>All respondents</w:t>
            </w:r>
          </w:p>
        </w:tc>
        <w:tc>
          <w:tcPr>
            <w:tcW w:w="625" w:type="pct"/>
          </w:tcPr>
          <w:p w14:paraId="6B1CD6D5" w14:textId="6E01EB8E" w:rsidR="001330ED" w:rsidRPr="00284A41" w:rsidRDefault="001330ED" w:rsidP="001330ED">
            <w:pPr>
              <w:jc w:val="center"/>
              <w:rPr>
                <w:rFonts w:eastAsia="Arial" w:cstheme="minorHAnsi"/>
                <w:szCs w:val="18"/>
              </w:rPr>
            </w:pPr>
            <w:r w:rsidRPr="00284A41">
              <w:t>680</w:t>
            </w:r>
          </w:p>
        </w:tc>
        <w:tc>
          <w:tcPr>
            <w:tcW w:w="625" w:type="pct"/>
          </w:tcPr>
          <w:p w14:paraId="4C6A9533" w14:textId="5AB69B19" w:rsidR="001330ED" w:rsidRPr="00284A41" w:rsidRDefault="001330ED" w:rsidP="001330ED">
            <w:pPr>
              <w:jc w:val="center"/>
              <w:rPr>
                <w:rFonts w:eastAsia="Arial" w:cstheme="minorHAnsi"/>
                <w:szCs w:val="18"/>
              </w:rPr>
            </w:pPr>
            <w:r w:rsidRPr="00284A41">
              <w:t>19.0%</w:t>
            </w:r>
          </w:p>
        </w:tc>
        <w:tc>
          <w:tcPr>
            <w:tcW w:w="625" w:type="pct"/>
          </w:tcPr>
          <w:p w14:paraId="2FEAAE0E" w14:textId="2A68F94E" w:rsidR="001330ED" w:rsidRPr="00284A41" w:rsidRDefault="001330ED" w:rsidP="001330ED">
            <w:pPr>
              <w:jc w:val="center"/>
              <w:rPr>
                <w:rFonts w:eastAsia="Arial" w:cstheme="minorHAnsi"/>
                <w:szCs w:val="18"/>
              </w:rPr>
            </w:pPr>
            <w:r w:rsidRPr="00284A41">
              <w:t>18.0%</w:t>
            </w:r>
          </w:p>
        </w:tc>
        <w:tc>
          <w:tcPr>
            <w:tcW w:w="625" w:type="pct"/>
          </w:tcPr>
          <w:p w14:paraId="59241179" w14:textId="1830FC68" w:rsidR="001330ED" w:rsidRPr="00284A41" w:rsidRDefault="001330ED" w:rsidP="001330ED">
            <w:pPr>
              <w:jc w:val="center"/>
              <w:rPr>
                <w:rFonts w:eastAsia="Arial" w:cstheme="minorHAnsi"/>
                <w:szCs w:val="18"/>
              </w:rPr>
            </w:pPr>
            <w:r w:rsidRPr="00284A41">
              <w:t>9.6%</w:t>
            </w:r>
          </w:p>
        </w:tc>
        <w:tc>
          <w:tcPr>
            <w:tcW w:w="625" w:type="pct"/>
          </w:tcPr>
          <w:p w14:paraId="57BF263F" w14:textId="2A4FD7CE" w:rsidR="001330ED" w:rsidRPr="00284A41" w:rsidRDefault="001330ED" w:rsidP="001330ED">
            <w:pPr>
              <w:jc w:val="center"/>
              <w:rPr>
                <w:rFonts w:eastAsia="Arial" w:cstheme="minorHAnsi"/>
                <w:szCs w:val="18"/>
              </w:rPr>
            </w:pPr>
            <w:r w:rsidRPr="00284A41">
              <w:t>26.9%</w:t>
            </w:r>
          </w:p>
        </w:tc>
      </w:tr>
      <w:tr w:rsidR="00AF537D" w:rsidRPr="00284A41" w14:paraId="0E4507C0" w14:textId="77777777" w:rsidTr="0042216D">
        <w:tc>
          <w:tcPr>
            <w:tcW w:w="1875" w:type="pct"/>
          </w:tcPr>
          <w:p w14:paraId="22E420C4" w14:textId="77777777" w:rsidR="00AF537D" w:rsidRPr="00284A41" w:rsidRDefault="00AF537D" w:rsidP="00AF537D">
            <w:pPr>
              <w:rPr>
                <w:rFonts w:eastAsia="Arial" w:cstheme="minorHAnsi"/>
                <w:szCs w:val="18"/>
              </w:rPr>
            </w:pPr>
            <w:r w:rsidRPr="00284A41">
              <w:rPr>
                <w:rFonts w:eastAsia="Arial" w:cstheme="minorHAnsi"/>
                <w:szCs w:val="18"/>
              </w:rPr>
              <w:t>Non-SIL respondents</w:t>
            </w:r>
          </w:p>
        </w:tc>
        <w:tc>
          <w:tcPr>
            <w:tcW w:w="625" w:type="pct"/>
          </w:tcPr>
          <w:p w14:paraId="24C9C0B1" w14:textId="77777777" w:rsidR="00AF537D" w:rsidRPr="00284A41" w:rsidRDefault="00AF537D" w:rsidP="00AF537D">
            <w:pPr>
              <w:jc w:val="center"/>
              <w:rPr>
                <w:rFonts w:eastAsia="Arial" w:cstheme="minorHAnsi"/>
                <w:szCs w:val="18"/>
              </w:rPr>
            </w:pPr>
            <w:r w:rsidRPr="00284A41">
              <w:rPr>
                <w:rFonts w:ascii="Arial" w:eastAsia="Arial" w:hAnsi="Arial" w:cs="Arial"/>
                <w:szCs w:val="20"/>
              </w:rPr>
              <w:t>480</w:t>
            </w:r>
          </w:p>
        </w:tc>
        <w:tc>
          <w:tcPr>
            <w:tcW w:w="625" w:type="pct"/>
          </w:tcPr>
          <w:p w14:paraId="6AF216B2"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18.3%</w:t>
            </w:r>
          </w:p>
        </w:tc>
        <w:tc>
          <w:tcPr>
            <w:tcW w:w="625" w:type="pct"/>
          </w:tcPr>
          <w:p w14:paraId="645DA70B"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16.7%</w:t>
            </w:r>
          </w:p>
        </w:tc>
        <w:tc>
          <w:tcPr>
            <w:tcW w:w="625" w:type="pct"/>
          </w:tcPr>
          <w:p w14:paraId="77DE3EEA" w14:textId="77777777" w:rsidR="00AF537D" w:rsidRPr="00284A41" w:rsidRDefault="00AF537D" w:rsidP="00AF537D">
            <w:pPr>
              <w:jc w:val="center"/>
              <w:rPr>
                <w:rFonts w:eastAsia="Arial" w:cstheme="minorHAnsi"/>
                <w:szCs w:val="18"/>
              </w:rPr>
            </w:pPr>
            <w:r w:rsidRPr="00284A41">
              <w:rPr>
                <w:rFonts w:ascii="Arial" w:eastAsia="Arial" w:hAnsi="Arial" w:cs="Arial"/>
                <w:szCs w:val="20"/>
              </w:rPr>
              <w:t>8.0%</w:t>
            </w:r>
          </w:p>
        </w:tc>
        <w:tc>
          <w:tcPr>
            <w:tcW w:w="625" w:type="pct"/>
          </w:tcPr>
          <w:p w14:paraId="242082C2"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25.0%</w:t>
            </w:r>
          </w:p>
        </w:tc>
      </w:tr>
      <w:tr w:rsidR="00AF537D" w:rsidRPr="00284A41" w14:paraId="1B64B4DC"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0946F7DE" w14:textId="77777777" w:rsidR="00AF537D" w:rsidRPr="00284A41" w:rsidRDefault="00AF537D" w:rsidP="00AF537D">
            <w:pPr>
              <w:rPr>
                <w:rFonts w:eastAsia="Arial" w:cstheme="minorHAnsi"/>
                <w:szCs w:val="18"/>
              </w:rPr>
            </w:pPr>
            <w:r w:rsidRPr="00284A41">
              <w:rPr>
                <w:rFonts w:eastAsia="Arial" w:cstheme="minorHAnsi"/>
                <w:szCs w:val="18"/>
              </w:rPr>
              <w:t>Mixed (SIL/ADL) respondents</w:t>
            </w:r>
          </w:p>
        </w:tc>
        <w:tc>
          <w:tcPr>
            <w:tcW w:w="625" w:type="pct"/>
          </w:tcPr>
          <w:p w14:paraId="029FAC16"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200</w:t>
            </w:r>
          </w:p>
        </w:tc>
        <w:tc>
          <w:tcPr>
            <w:tcW w:w="625" w:type="pct"/>
          </w:tcPr>
          <w:p w14:paraId="42997074"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20.5%</w:t>
            </w:r>
          </w:p>
        </w:tc>
        <w:tc>
          <w:tcPr>
            <w:tcW w:w="625" w:type="pct"/>
          </w:tcPr>
          <w:p w14:paraId="137BEF48"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20.0%</w:t>
            </w:r>
          </w:p>
        </w:tc>
        <w:tc>
          <w:tcPr>
            <w:tcW w:w="625" w:type="pct"/>
          </w:tcPr>
          <w:p w14:paraId="14975F2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11.1%</w:t>
            </w:r>
          </w:p>
        </w:tc>
        <w:tc>
          <w:tcPr>
            <w:tcW w:w="625" w:type="pct"/>
          </w:tcPr>
          <w:p w14:paraId="0E2ACF70"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27.8%</w:t>
            </w:r>
          </w:p>
        </w:tc>
      </w:tr>
      <w:tr w:rsidR="00AF537D" w:rsidRPr="00284A41" w14:paraId="3ED0173C" w14:textId="77777777" w:rsidTr="0042216D">
        <w:tc>
          <w:tcPr>
            <w:tcW w:w="1875" w:type="pct"/>
          </w:tcPr>
          <w:p w14:paraId="017B261B" w14:textId="77777777" w:rsidR="00AF537D" w:rsidRPr="00284A41" w:rsidRDefault="00AF537D" w:rsidP="00AF537D">
            <w:pPr>
              <w:ind w:left="335"/>
              <w:rPr>
                <w:rFonts w:eastAsia="Arial" w:cstheme="minorHAnsi"/>
                <w:szCs w:val="18"/>
              </w:rPr>
            </w:pPr>
            <w:r w:rsidRPr="00284A41">
              <w:rPr>
                <w:rFonts w:eastAsia="Arial" w:cstheme="minorHAnsi"/>
                <w:szCs w:val="18"/>
              </w:rPr>
              <w:t>0-25% SIL respondents</w:t>
            </w:r>
          </w:p>
        </w:tc>
        <w:tc>
          <w:tcPr>
            <w:tcW w:w="625" w:type="pct"/>
          </w:tcPr>
          <w:p w14:paraId="6C71868A" w14:textId="77777777" w:rsidR="00AF537D" w:rsidRPr="00284A41" w:rsidRDefault="00AF537D" w:rsidP="00AF537D">
            <w:pPr>
              <w:jc w:val="center"/>
              <w:rPr>
                <w:rFonts w:eastAsia="Arial" w:cstheme="minorHAnsi"/>
                <w:szCs w:val="18"/>
              </w:rPr>
            </w:pPr>
            <w:r w:rsidRPr="00284A41">
              <w:rPr>
                <w:rFonts w:ascii="Arial" w:eastAsia="Arial" w:hAnsi="Arial" w:cs="Arial"/>
                <w:szCs w:val="20"/>
              </w:rPr>
              <w:t>73</w:t>
            </w:r>
          </w:p>
        </w:tc>
        <w:tc>
          <w:tcPr>
            <w:tcW w:w="625" w:type="pct"/>
          </w:tcPr>
          <w:p w14:paraId="5A4346D5"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18.9%</w:t>
            </w:r>
          </w:p>
        </w:tc>
        <w:tc>
          <w:tcPr>
            <w:tcW w:w="625" w:type="pct"/>
          </w:tcPr>
          <w:p w14:paraId="62013191"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16.7%</w:t>
            </w:r>
          </w:p>
        </w:tc>
        <w:tc>
          <w:tcPr>
            <w:tcW w:w="625" w:type="pct"/>
          </w:tcPr>
          <w:p w14:paraId="62D77FD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10.0%</w:t>
            </w:r>
          </w:p>
        </w:tc>
        <w:tc>
          <w:tcPr>
            <w:tcW w:w="625" w:type="pct"/>
          </w:tcPr>
          <w:p w14:paraId="00510241"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25.0%</w:t>
            </w:r>
          </w:p>
        </w:tc>
      </w:tr>
      <w:tr w:rsidR="00AF537D" w:rsidRPr="00284A41" w14:paraId="1247FCB6"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5018254D" w14:textId="77777777" w:rsidR="00AF537D" w:rsidRPr="00284A41" w:rsidRDefault="00AF537D" w:rsidP="00AF537D">
            <w:pPr>
              <w:ind w:left="335"/>
              <w:rPr>
                <w:rFonts w:eastAsia="Arial" w:cstheme="minorHAnsi"/>
                <w:szCs w:val="18"/>
              </w:rPr>
            </w:pPr>
            <w:r w:rsidRPr="00284A41">
              <w:rPr>
                <w:rFonts w:eastAsia="Arial" w:cstheme="minorHAnsi"/>
                <w:szCs w:val="18"/>
              </w:rPr>
              <w:t>26-50% SIL respondents</w:t>
            </w:r>
          </w:p>
        </w:tc>
        <w:tc>
          <w:tcPr>
            <w:tcW w:w="625" w:type="pct"/>
          </w:tcPr>
          <w:p w14:paraId="495BCE4B" w14:textId="77777777" w:rsidR="00AF537D" w:rsidRPr="00284A41" w:rsidRDefault="00AF537D" w:rsidP="00AF537D">
            <w:pPr>
              <w:jc w:val="center"/>
              <w:rPr>
                <w:rFonts w:eastAsia="Arial" w:cstheme="minorHAnsi"/>
                <w:szCs w:val="18"/>
              </w:rPr>
            </w:pPr>
            <w:r w:rsidRPr="00284A41">
              <w:rPr>
                <w:rFonts w:ascii="Arial" w:eastAsia="Arial" w:hAnsi="Arial" w:cs="Arial"/>
                <w:szCs w:val="20"/>
              </w:rPr>
              <w:t>41</w:t>
            </w:r>
          </w:p>
        </w:tc>
        <w:tc>
          <w:tcPr>
            <w:tcW w:w="625" w:type="pct"/>
          </w:tcPr>
          <w:p w14:paraId="6205EC7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19.9%</w:t>
            </w:r>
          </w:p>
        </w:tc>
        <w:tc>
          <w:tcPr>
            <w:tcW w:w="625" w:type="pct"/>
          </w:tcPr>
          <w:p w14:paraId="184E37B4"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20.0%</w:t>
            </w:r>
          </w:p>
        </w:tc>
        <w:tc>
          <w:tcPr>
            <w:tcW w:w="625" w:type="pct"/>
          </w:tcPr>
          <w:p w14:paraId="0BBBA207"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10.0%</w:t>
            </w:r>
          </w:p>
        </w:tc>
        <w:tc>
          <w:tcPr>
            <w:tcW w:w="625" w:type="pct"/>
          </w:tcPr>
          <w:p w14:paraId="38438B69"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25.0%</w:t>
            </w:r>
          </w:p>
        </w:tc>
      </w:tr>
      <w:tr w:rsidR="00AF537D" w:rsidRPr="00284A41" w14:paraId="6AB06074" w14:textId="77777777" w:rsidTr="0042216D">
        <w:tc>
          <w:tcPr>
            <w:tcW w:w="1875" w:type="pct"/>
          </w:tcPr>
          <w:p w14:paraId="6EB6831E" w14:textId="77777777" w:rsidR="00AF537D" w:rsidRPr="00284A41" w:rsidRDefault="00AF537D" w:rsidP="00AF537D">
            <w:pPr>
              <w:ind w:left="335"/>
              <w:rPr>
                <w:rFonts w:eastAsia="Arial" w:cstheme="minorHAnsi"/>
                <w:szCs w:val="18"/>
              </w:rPr>
            </w:pPr>
            <w:r w:rsidRPr="00284A41">
              <w:rPr>
                <w:rFonts w:eastAsia="Arial" w:cstheme="minorHAnsi"/>
                <w:szCs w:val="18"/>
              </w:rPr>
              <w:t>51-75% SIL respondents</w:t>
            </w:r>
          </w:p>
        </w:tc>
        <w:tc>
          <w:tcPr>
            <w:tcW w:w="625" w:type="pct"/>
          </w:tcPr>
          <w:p w14:paraId="6AD10E28" w14:textId="77777777" w:rsidR="00AF537D" w:rsidRPr="00284A41" w:rsidRDefault="00AF537D" w:rsidP="00AF537D">
            <w:pPr>
              <w:jc w:val="center"/>
              <w:rPr>
                <w:rFonts w:eastAsia="Arial" w:cstheme="minorHAnsi"/>
                <w:szCs w:val="18"/>
              </w:rPr>
            </w:pPr>
            <w:r w:rsidRPr="00284A41">
              <w:rPr>
                <w:rFonts w:ascii="Arial" w:eastAsia="Arial" w:hAnsi="Arial" w:cs="Arial"/>
                <w:szCs w:val="20"/>
              </w:rPr>
              <w:t>61</w:t>
            </w:r>
          </w:p>
        </w:tc>
        <w:tc>
          <w:tcPr>
            <w:tcW w:w="625" w:type="pct"/>
          </w:tcPr>
          <w:p w14:paraId="711902E6"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21.1%</w:t>
            </w:r>
          </w:p>
        </w:tc>
        <w:tc>
          <w:tcPr>
            <w:tcW w:w="625" w:type="pct"/>
          </w:tcPr>
          <w:p w14:paraId="679120D2"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20.2%</w:t>
            </w:r>
          </w:p>
        </w:tc>
        <w:tc>
          <w:tcPr>
            <w:tcW w:w="625" w:type="pct"/>
          </w:tcPr>
          <w:p w14:paraId="45A50E73"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11.1%</w:t>
            </w:r>
          </w:p>
        </w:tc>
        <w:tc>
          <w:tcPr>
            <w:tcW w:w="625" w:type="pct"/>
          </w:tcPr>
          <w:p w14:paraId="68283CC6"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29.1%</w:t>
            </w:r>
          </w:p>
        </w:tc>
      </w:tr>
      <w:tr w:rsidR="00AF537D" w:rsidRPr="00284A41" w14:paraId="6B23127E"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0B712AE5" w14:textId="77777777" w:rsidR="00AF537D" w:rsidRPr="00284A41" w:rsidRDefault="00AF537D" w:rsidP="00AF537D">
            <w:pPr>
              <w:ind w:left="335"/>
              <w:rPr>
                <w:rFonts w:eastAsia="Arial" w:cstheme="minorHAnsi"/>
                <w:szCs w:val="18"/>
              </w:rPr>
            </w:pPr>
            <w:r w:rsidRPr="00284A41">
              <w:rPr>
                <w:rFonts w:eastAsia="Arial" w:cstheme="minorHAnsi"/>
                <w:szCs w:val="18"/>
              </w:rPr>
              <w:t>76-100% SIL respondents</w:t>
            </w:r>
          </w:p>
        </w:tc>
        <w:tc>
          <w:tcPr>
            <w:tcW w:w="625" w:type="pct"/>
          </w:tcPr>
          <w:p w14:paraId="0F87441F"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w:t>
            </w:r>
          </w:p>
        </w:tc>
        <w:tc>
          <w:tcPr>
            <w:tcW w:w="625" w:type="pct"/>
          </w:tcPr>
          <w:p w14:paraId="534D2430"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24.1%</w:t>
            </w:r>
          </w:p>
        </w:tc>
        <w:tc>
          <w:tcPr>
            <w:tcW w:w="625" w:type="pct"/>
          </w:tcPr>
          <w:p w14:paraId="517237DA"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21.7%</w:t>
            </w:r>
          </w:p>
        </w:tc>
        <w:tc>
          <w:tcPr>
            <w:tcW w:w="625" w:type="pct"/>
          </w:tcPr>
          <w:p w14:paraId="25D58E0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16.7%</w:t>
            </w:r>
          </w:p>
        </w:tc>
        <w:tc>
          <w:tcPr>
            <w:tcW w:w="625" w:type="pct"/>
          </w:tcPr>
          <w:p w14:paraId="0CB732C3" w14:textId="77777777" w:rsidR="00AF537D" w:rsidRPr="00284A41" w:rsidRDefault="00AF537D" w:rsidP="00AF537D">
            <w:pPr>
              <w:jc w:val="center"/>
              <w:rPr>
                <w:rFonts w:eastAsia="Arial" w:cstheme="minorHAnsi"/>
                <w:szCs w:val="18"/>
              </w:rPr>
            </w:pPr>
            <w:r w:rsidRPr="00284A41">
              <w:rPr>
                <w:rFonts w:ascii="Arial" w:eastAsia="Arial" w:hAnsi="Arial" w:cs="Arial"/>
                <w:szCs w:val="20"/>
              </w:rPr>
              <w:t>33.3%</w:t>
            </w:r>
          </w:p>
        </w:tc>
      </w:tr>
    </w:tbl>
    <w:p w14:paraId="3B8959B2" w14:textId="77777777" w:rsidR="00674A1F" w:rsidRPr="00284A41" w:rsidRDefault="00674A1F" w:rsidP="00C66598">
      <w:pPr>
        <w:rPr>
          <w:rFonts w:ascii="Arial" w:eastAsia="Arial" w:hAnsi="Arial" w:cs="Times New Roman"/>
        </w:rPr>
      </w:pPr>
      <w:r w:rsidRPr="00284A41">
        <w:rPr>
          <w:rFonts w:ascii="Arial" w:eastAsia="Arial" w:hAnsi="Arial" w:cs="Times New Roman"/>
        </w:rPr>
        <w:t>A simple T-test confirmed there is a statistical difference between the proportions of time spent on training as a percentage of non-billable hours for SIL providers when compared to non-SIL providers at the 1% significance level.</w:t>
      </w:r>
      <w:r w:rsidRPr="00284A41">
        <w:rPr>
          <w:rFonts w:ascii="Arial" w:eastAsia="Arial" w:hAnsi="Arial" w:cs="Times New Roman"/>
          <w:vertAlign w:val="superscript"/>
        </w:rPr>
        <w:footnoteReference w:id="17"/>
      </w:r>
      <w:r w:rsidR="00FB16CB" w:rsidRPr="00284A41">
        <w:rPr>
          <w:rFonts w:ascii="Arial" w:eastAsia="Arial" w:hAnsi="Arial" w:cs="Times New Roman"/>
          <w:vertAlign w:val="superscript"/>
        </w:rPr>
        <w:t xml:space="preserve"> </w:t>
      </w:r>
    </w:p>
    <w:p w14:paraId="1F42C720" w14:textId="5D610AFD" w:rsidR="00674A1F" w:rsidRPr="00284A41" w:rsidRDefault="00674A1F" w:rsidP="00C66598">
      <w:pPr>
        <w:rPr>
          <w:rFonts w:ascii="Arial" w:eastAsia="Arial" w:hAnsi="Arial" w:cs="Arial"/>
          <w:vertAlign w:val="superscript"/>
        </w:rPr>
      </w:pPr>
      <w:r w:rsidRPr="00284A41">
        <w:rPr>
          <w:rFonts w:ascii="Arial" w:eastAsia="Arial" w:hAnsi="Arial" w:cs="Times New Roman"/>
        </w:rPr>
        <w:t xml:space="preserve">However, regression analysis </w:t>
      </w:r>
      <w:r w:rsidR="00C66598" w:rsidRPr="00284A41">
        <w:rPr>
          <w:rFonts w:ascii="Arial" w:eastAsia="Arial" w:hAnsi="Arial" w:cs="Times New Roman"/>
        </w:rPr>
        <w:t>(</w:t>
      </w:r>
      <w:r w:rsidR="00C66598" w:rsidRPr="00284A41">
        <w:rPr>
          <w:rFonts w:ascii="Arial" w:eastAsia="Arial" w:hAnsi="Arial" w:cs="Times New Roman"/>
        </w:rPr>
        <w:fldChar w:fldCharType="begin"/>
      </w:r>
      <w:r w:rsidR="00C66598" w:rsidRPr="00284A41">
        <w:rPr>
          <w:rFonts w:ascii="Arial" w:eastAsia="Arial" w:hAnsi="Arial" w:cs="Times New Roman"/>
        </w:rPr>
        <w:instrText xml:space="preserve"> REF _Ref68344005 \h </w:instrText>
      </w:r>
      <w:r w:rsidR="00284A41">
        <w:rPr>
          <w:rFonts w:ascii="Arial" w:eastAsia="Arial" w:hAnsi="Arial" w:cs="Times New Roman"/>
        </w:rPr>
        <w:instrText xml:space="preserve"> \* MERGEFORMAT </w:instrText>
      </w:r>
      <w:r w:rsidR="00C66598" w:rsidRPr="00284A41">
        <w:rPr>
          <w:rFonts w:ascii="Arial" w:eastAsia="Arial" w:hAnsi="Arial" w:cs="Times New Roman"/>
        </w:rPr>
      </w:r>
      <w:r w:rsidR="00C66598" w:rsidRPr="00284A41">
        <w:rPr>
          <w:rFonts w:ascii="Arial" w:eastAsia="Arial" w:hAnsi="Arial" w:cs="Times New Roman"/>
        </w:rPr>
        <w:fldChar w:fldCharType="separate"/>
      </w:r>
      <w:r w:rsidR="00E0689D" w:rsidRPr="00284A41">
        <w:t xml:space="preserve">Exhibit </w:t>
      </w:r>
      <w:r w:rsidR="00E0689D">
        <w:rPr>
          <w:noProof/>
        </w:rPr>
        <w:t>20</w:t>
      </w:r>
      <w:r w:rsidR="00C66598" w:rsidRPr="00284A41">
        <w:rPr>
          <w:rFonts w:ascii="Arial" w:eastAsia="Arial" w:hAnsi="Arial" w:cs="Times New Roman"/>
        </w:rPr>
        <w:fldChar w:fldCharType="end"/>
      </w:r>
      <w:r w:rsidR="00C66598" w:rsidRPr="00284A41">
        <w:rPr>
          <w:rFonts w:ascii="Arial" w:eastAsia="Arial" w:hAnsi="Arial" w:cs="Times New Roman"/>
        </w:rPr>
        <w:t>) indicates that there is no statistically significant</w:t>
      </w:r>
      <w:r w:rsidRPr="00284A41">
        <w:rPr>
          <w:rFonts w:ascii="Arial" w:eastAsia="Arial" w:hAnsi="Arial" w:cs="Times New Roman"/>
        </w:rPr>
        <w:t xml:space="preserve"> relationship between the proportion of revenue from SIL services and time spent on training as a percentage of non-billable hours. </w:t>
      </w:r>
      <w:r w:rsidR="00452B36" w:rsidRPr="00284A41">
        <w:rPr>
          <w:rFonts w:ascii="Arial" w:eastAsia="Arial" w:hAnsi="Arial" w:cs="Times New Roman"/>
        </w:rPr>
        <w:t>It may be that the</w:t>
      </w:r>
      <w:r w:rsidRPr="00284A41">
        <w:rPr>
          <w:rFonts w:ascii="Arial" w:eastAsia="Arial" w:hAnsi="Arial" w:cs="Times New Roman"/>
        </w:rPr>
        <w:t xml:space="preserve"> drivers of time spent on training were not well captured by the regression specification. </w:t>
      </w:r>
      <w:r w:rsidR="00452B36" w:rsidRPr="00284A41">
        <w:rPr>
          <w:rFonts w:ascii="Arial" w:eastAsia="Arial" w:hAnsi="Arial" w:cs="Times New Roman"/>
        </w:rPr>
        <w:t>However, a</w:t>
      </w:r>
      <w:r w:rsidRPr="00284A41">
        <w:rPr>
          <w:rFonts w:ascii="Arial" w:eastAsia="Arial" w:hAnsi="Arial" w:cs="Times New Roman"/>
        </w:rPr>
        <w:t xml:space="preserve">dditional regression specifications failed to find a </w:t>
      </w:r>
      <w:r w:rsidR="008A5FC2" w:rsidRPr="00284A41">
        <w:rPr>
          <w:rFonts w:ascii="Arial" w:eastAsia="Arial" w:hAnsi="Arial" w:cs="Times New Roman"/>
        </w:rPr>
        <w:t>better suited regression model</w:t>
      </w:r>
      <w:r w:rsidRPr="00284A41">
        <w:rPr>
          <w:rFonts w:ascii="Arial" w:eastAsia="Arial" w:hAnsi="Arial" w:cs="Times New Roman"/>
        </w:rPr>
        <w:t>.</w:t>
      </w:r>
      <w:r w:rsidRPr="00284A41">
        <w:rPr>
          <w:rFonts w:ascii="Arial" w:eastAsia="Arial" w:hAnsi="Arial" w:cs="Arial"/>
          <w:vertAlign w:val="superscript"/>
        </w:rPr>
        <w:footnoteReference w:id="18"/>
      </w:r>
    </w:p>
    <w:p w14:paraId="5FDDD8B6" w14:textId="17ECDF66" w:rsidR="00674A1F" w:rsidRPr="00284A41" w:rsidRDefault="00AF537D" w:rsidP="00066859">
      <w:pPr>
        <w:pStyle w:val="Caption"/>
      </w:pPr>
      <w:bookmarkStart w:id="97" w:name="_Ref68344005"/>
      <w:bookmarkStart w:id="98" w:name="_Toc75881523"/>
      <w:r w:rsidRPr="00284A41">
        <w:t xml:space="preserve">Exhibit </w:t>
      </w:r>
      <w:r w:rsidR="00935584">
        <w:fldChar w:fldCharType="begin"/>
      </w:r>
      <w:r w:rsidR="00935584">
        <w:instrText xml:space="preserve"> SEQ Exhibit \* ARABIC </w:instrText>
      </w:r>
      <w:r w:rsidR="00935584">
        <w:fldChar w:fldCharType="separate"/>
      </w:r>
      <w:r w:rsidR="00E0689D">
        <w:rPr>
          <w:noProof/>
        </w:rPr>
        <w:t>20</w:t>
      </w:r>
      <w:r w:rsidR="00935584">
        <w:rPr>
          <w:noProof/>
        </w:rPr>
        <w:fldChar w:fldCharType="end"/>
      </w:r>
      <w:bookmarkEnd w:id="97"/>
      <w:r w:rsidRPr="00284A41">
        <w:t xml:space="preserve">: </w:t>
      </w:r>
      <w:bookmarkStart w:id="99" w:name="_Toc64465246"/>
      <w:bookmarkStart w:id="100" w:name="_Toc68003297"/>
      <w:r w:rsidR="00033914" w:rsidRPr="00284A41">
        <w:t>Regression</w:t>
      </w:r>
      <w:r w:rsidR="00066859" w:rsidRPr="00284A41">
        <w:t xml:space="preserve"> Analysis</w:t>
      </w:r>
      <w:r w:rsidR="003503B6" w:rsidRPr="00284A41">
        <w:t xml:space="preserve"> </w:t>
      </w:r>
      <w:r w:rsidR="00033914" w:rsidRPr="00284A41">
        <w:t xml:space="preserve">– </w:t>
      </w:r>
      <w:bookmarkEnd w:id="99"/>
      <w:bookmarkEnd w:id="100"/>
      <w:r w:rsidR="003503B6" w:rsidRPr="00284A41">
        <w:t>Time spent training as a share of non-billable hours</w:t>
      </w:r>
      <w:r w:rsidR="001E4D55" w:rsidRPr="00284A41">
        <w:rPr>
          <w:rStyle w:val="FootnoteReference"/>
        </w:rPr>
        <w:footnoteReference w:id="19"/>
      </w:r>
      <w:bookmarkEnd w:id="98"/>
    </w:p>
    <w:tbl>
      <w:tblPr>
        <w:tblStyle w:val="GridTable4-Accent4"/>
        <w:tblW w:w="5000" w:type="pct"/>
        <w:tblLook w:val="0460" w:firstRow="1" w:lastRow="1" w:firstColumn="0" w:lastColumn="0" w:noHBand="0" w:noVBand="1"/>
        <w:tblCaption w:val="Exhibit 20: Regression Analysis – Time spent training as a share of non-billable hours"/>
        <w:tblDescription w:val="A table displaying the regression variables and results received for the mean, median, 25th pecentile and 75th percentile values and at the relevant signficance level."/>
      </w:tblPr>
      <w:tblGrid>
        <w:gridCol w:w="4508"/>
        <w:gridCol w:w="1127"/>
        <w:gridCol w:w="1127"/>
        <w:gridCol w:w="1127"/>
        <w:gridCol w:w="1127"/>
      </w:tblGrid>
      <w:tr w:rsidR="00AF537D" w:rsidRPr="00284A41" w14:paraId="350142FB" w14:textId="77777777" w:rsidTr="001F10E4">
        <w:trPr>
          <w:cnfStyle w:val="100000000000" w:firstRow="1" w:lastRow="0" w:firstColumn="0" w:lastColumn="0" w:oddVBand="0" w:evenVBand="0" w:oddHBand="0" w:evenHBand="0" w:firstRowFirstColumn="0" w:firstRowLastColumn="0" w:lastRowFirstColumn="0" w:lastRowLastColumn="0"/>
          <w:trHeight w:val="253"/>
          <w:tblHeader/>
        </w:trPr>
        <w:tc>
          <w:tcPr>
            <w:tcW w:w="2500" w:type="pct"/>
          </w:tcPr>
          <w:p w14:paraId="5CCF9FE6" w14:textId="77777777" w:rsidR="00AF537D" w:rsidRPr="00284A41" w:rsidRDefault="006842C8" w:rsidP="00A80757">
            <w:pPr>
              <w:keepNext/>
              <w:keepLines/>
              <w:rPr>
                <w:rFonts w:eastAsia="Arial" w:cstheme="minorHAnsi"/>
                <w:szCs w:val="18"/>
              </w:rPr>
            </w:pPr>
            <w:r w:rsidRPr="00284A41">
              <w:rPr>
                <w:rFonts w:eastAsia="Arial" w:cstheme="minorHAnsi"/>
                <w:szCs w:val="18"/>
              </w:rPr>
              <w:t>Regression variables</w:t>
            </w:r>
          </w:p>
        </w:tc>
        <w:tc>
          <w:tcPr>
            <w:tcW w:w="625" w:type="pct"/>
          </w:tcPr>
          <w:p w14:paraId="243615F8"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Mean</w:t>
            </w:r>
          </w:p>
        </w:tc>
        <w:tc>
          <w:tcPr>
            <w:tcW w:w="625" w:type="pct"/>
          </w:tcPr>
          <w:p w14:paraId="49F595A6"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Median</w:t>
            </w:r>
          </w:p>
        </w:tc>
        <w:tc>
          <w:tcPr>
            <w:tcW w:w="625" w:type="pct"/>
          </w:tcPr>
          <w:p w14:paraId="6D7AD0E0"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25th percentile</w:t>
            </w:r>
          </w:p>
        </w:tc>
        <w:tc>
          <w:tcPr>
            <w:tcW w:w="625" w:type="pct"/>
          </w:tcPr>
          <w:p w14:paraId="1BAC1DD5"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75h percentile</w:t>
            </w:r>
          </w:p>
        </w:tc>
      </w:tr>
      <w:tr w:rsidR="00AF537D" w:rsidRPr="00284A41" w14:paraId="0D70948D"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0C735F6B"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SIL provider indicator</w:t>
            </w:r>
          </w:p>
        </w:tc>
        <w:tc>
          <w:tcPr>
            <w:tcW w:w="625" w:type="pct"/>
          </w:tcPr>
          <w:p w14:paraId="4120433E"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c>
          <w:tcPr>
            <w:tcW w:w="625" w:type="pct"/>
          </w:tcPr>
          <w:p w14:paraId="0DC08448"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2D9F811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0.04 </w:t>
            </w:r>
          </w:p>
        </w:tc>
        <w:tc>
          <w:tcPr>
            <w:tcW w:w="625" w:type="pct"/>
          </w:tcPr>
          <w:p w14:paraId="5B274AE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-0.00 </w:t>
            </w:r>
          </w:p>
        </w:tc>
      </w:tr>
      <w:tr w:rsidR="00AF537D" w:rsidRPr="00284A41" w14:paraId="6144D5A8" w14:textId="77777777" w:rsidTr="0042216D">
        <w:trPr>
          <w:trHeight w:val="275"/>
        </w:trPr>
        <w:tc>
          <w:tcPr>
            <w:tcW w:w="2500" w:type="pct"/>
          </w:tcPr>
          <w:p w14:paraId="32FF8D89"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 xml:space="preserve">Percentage of revenue sourced from SIL </w:t>
            </w:r>
          </w:p>
        </w:tc>
        <w:tc>
          <w:tcPr>
            <w:tcW w:w="625" w:type="pct"/>
          </w:tcPr>
          <w:p w14:paraId="10E58FF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0.05 </w:t>
            </w:r>
          </w:p>
        </w:tc>
        <w:tc>
          <w:tcPr>
            <w:tcW w:w="625" w:type="pct"/>
          </w:tcPr>
          <w:p w14:paraId="51D0F6B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0.06 </w:t>
            </w:r>
          </w:p>
        </w:tc>
        <w:tc>
          <w:tcPr>
            <w:tcW w:w="625" w:type="pct"/>
          </w:tcPr>
          <w:p w14:paraId="589560E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75B2A3DA"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0.08 </w:t>
            </w:r>
          </w:p>
        </w:tc>
      </w:tr>
      <w:tr w:rsidR="00AF537D" w:rsidRPr="00284A41" w14:paraId="171CACEF"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28C58ACA"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Number of clients (log)</w:t>
            </w:r>
          </w:p>
        </w:tc>
        <w:tc>
          <w:tcPr>
            <w:tcW w:w="625" w:type="pct"/>
          </w:tcPr>
          <w:p w14:paraId="3D6A2B6B"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c>
          <w:tcPr>
            <w:tcW w:w="625" w:type="pct"/>
          </w:tcPr>
          <w:p w14:paraId="2D107F0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-0.03 </w:t>
            </w:r>
          </w:p>
        </w:tc>
        <w:tc>
          <w:tcPr>
            <w:tcW w:w="625" w:type="pct"/>
          </w:tcPr>
          <w:p w14:paraId="6CE5797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-0.03 </w:t>
            </w:r>
          </w:p>
        </w:tc>
        <w:tc>
          <w:tcPr>
            <w:tcW w:w="625" w:type="pct"/>
          </w:tcPr>
          <w:p w14:paraId="3A70DEB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r>
      <w:tr w:rsidR="00AF537D" w:rsidRPr="00284A41" w14:paraId="4DAFB995" w14:textId="77777777" w:rsidTr="0042216D">
        <w:trPr>
          <w:trHeight w:val="275"/>
        </w:trPr>
        <w:tc>
          <w:tcPr>
            <w:tcW w:w="2500" w:type="pct"/>
          </w:tcPr>
          <w:p w14:paraId="422304DF"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Number of supervisors (log)</w:t>
            </w:r>
          </w:p>
        </w:tc>
        <w:tc>
          <w:tcPr>
            <w:tcW w:w="625" w:type="pct"/>
          </w:tcPr>
          <w:p w14:paraId="547EB3C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1BC2DDAA"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c>
          <w:tcPr>
            <w:tcW w:w="625" w:type="pct"/>
          </w:tcPr>
          <w:p w14:paraId="1DBE817A"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3079DA1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-0.04 </w:t>
            </w:r>
          </w:p>
        </w:tc>
      </w:tr>
      <w:tr w:rsidR="00AF537D" w:rsidRPr="00284A41" w14:paraId="7BE065D4"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696F692F"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Number of direct staff (log)</w:t>
            </w:r>
          </w:p>
        </w:tc>
        <w:tc>
          <w:tcPr>
            <w:tcW w:w="625" w:type="pct"/>
          </w:tcPr>
          <w:p w14:paraId="72232B07"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4A36AE8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0.00 </w:t>
            </w:r>
          </w:p>
        </w:tc>
        <w:tc>
          <w:tcPr>
            <w:tcW w:w="625" w:type="pct"/>
          </w:tcPr>
          <w:p w14:paraId="2ED1EB4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463BB6CB"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r>
      <w:tr w:rsidR="00AF537D" w:rsidRPr="00284A41" w14:paraId="47032687" w14:textId="77777777" w:rsidTr="0042216D">
        <w:trPr>
          <w:trHeight w:val="275"/>
        </w:trPr>
        <w:tc>
          <w:tcPr>
            <w:tcW w:w="2500" w:type="pct"/>
          </w:tcPr>
          <w:p w14:paraId="6AAF7F48"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Average base wage (FLS)</w:t>
            </w:r>
          </w:p>
        </w:tc>
        <w:tc>
          <w:tcPr>
            <w:tcW w:w="625" w:type="pct"/>
          </w:tcPr>
          <w:p w14:paraId="69B2E45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0EEFC39E"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0.00</w:t>
            </w:r>
          </w:p>
        </w:tc>
        <w:tc>
          <w:tcPr>
            <w:tcW w:w="625" w:type="pct"/>
          </w:tcPr>
          <w:p w14:paraId="1F30333B"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172A261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r>
      <w:tr w:rsidR="00AF537D" w:rsidRPr="00284A41" w14:paraId="60E620B4"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5EE9E667"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Average base wage (DSW)</w:t>
            </w:r>
          </w:p>
        </w:tc>
        <w:tc>
          <w:tcPr>
            <w:tcW w:w="625" w:type="pct"/>
          </w:tcPr>
          <w:p w14:paraId="4E38E3B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7783FB2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1D47F38C"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6C57019F"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r>
      <w:tr w:rsidR="00AF537D" w:rsidRPr="0042216D" w14:paraId="3137C512" w14:textId="77777777" w:rsidTr="0042216D">
        <w:trPr>
          <w:cnfStyle w:val="010000000000" w:firstRow="0" w:lastRow="1" w:firstColumn="0" w:lastColumn="0" w:oddVBand="0" w:evenVBand="0" w:oddHBand="0" w:evenHBand="0" w:firstRowFirstColumn="0" w:firstRowLastColumn="0" w:lastRowFirstColumn="0" w:lastRowLastColumn="0"/>
          <w:trHeight w:val="275"/>
        </w:trPr>
        <w:tc>
          <w:tcPr>
            <w:tcW w:w="2500" w:type="pct"/>
          </w:tcPr>
          <w:p w14:paraId="7781819D" w14:textId="77777777" w:rsidR="00AF537D" w:rsidRPr="0042216D" w:rsidRDefault="00AF537D" w:rsidP="00AF537D">
            <w:pPr>
              <w:keepNext/>
              <w:keepLines/>
              <w:rPr>
                <w:rFonts w:eastAsia="Arial" w:cstheme="minorHAnsi"/>
                <w:bCs w:val="0"/>
                <w:szCs w:val="18"/>
              </w:rPr>
            </w:pPr>
            <w:r w:rsidRPr="0042216D">
              <w:rPr>
                <w:rFonts w:ascii="Arial" w:eastAsia="Arial" w:hAnsi="Arial" w:cs="Arial"/>
                <w:szCs w:val="20"/>
              </w:rPr>
              <w:t>R</w:t>
            </w:r>
            <w:r w:rsidRPr="0042216D">
              <w:rPr>
                <w:rFonts w:ascii="Arial" w:eastAsia="Arial" w:hAnsi="Arial" w:cs="Arial"/>
                <w:szCs w:val="20"/>
                <w:vertAlign w:val="superscript"/>
              </w:rPr>
              <w:t>2</w:t>
            </w:r>
          </w:p>
        </w:tc>
        <w:tc>
          <w:tcPr>
            <w:tcW w:w="625" w:type="pct"/>
          </w:tcPr>
          <w:p w14:paraId="3E565746"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1.8%</w:t>
            </w:r>
          </w:p>
        </w:tc>
        <w:tc>
          <w:tcPr>
            <w:tcW w:w="625" w:type="pct"/>
          </w:tcPr>
          <w:p w14:paraId="115F005C"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2.2%</w:t>
            </w:r>
          </w:p>
        </w:tc>
        <w:tc>
          <w:tcPr>
            <w:tcW w:w="625" w:type="pct"/>
          </w:tcPr>
          <w:p w14:paraId="049D7A6E"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2.1%</w:t>
            </w:r>
          </w:p>
        </w:tc>
        <w:tc>
          <w:tcPr>
            <w:tcW w:w="625" w:type="pct"/>
          </w:tcPr>
          <w:p w14:paraId="286E797F"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1.3%</w:t>
            </w:r>
          </w:p>
        </w:tc>
      </w:tr>
    </w:tbl>
    <w:p w14:paraId="339D5B2A" w14:textId="1DCB5FA1" w:rsidR="003A1D65" w:rsidRPr="00284A41" w:rsidRDefault="003A1D65" w:rsidP="0042216D">
      <w:pPr>
        <w:spacing w:before="0"/>
        <w:ind w:left="284"/>
        <w:jc w:val="center"/>
        <w:rPr>
          <w:sz w:val="18"/>
          <w:szCs w:val="18"/>
        </w:rPr>
      </w:pPr>
      <w:bookmarkStart w:id="101" w:name="_Toc65682049"/>
      <w:bookmarkStart w:id="102" w:name="_Toc65682050"/>
      <w:bookmarkStart w:id="103" w:name="_Toc65682051"/>
      <w:bookmarkStart w:id="104" w:name="_Toc65682052"/>
      <w:bookmarkStart w:id="105" w:name="_Toc65682053"/>
      <w:bookmarkStart w:id="106" w:name="_Toc65682054"/>
      <w:bookmarkStart w:id="107" w:name="_Toc65682055"/>
      <w:bookmarkStart w:id="108" w:name="_Toc65682056"/>
      <w:bookmarkStart w:id="109" w:name="_Toc65682057"/>
      <w:bookmarkStart w:id="110" w:name="_Toc65682058"/>
      <w:bookmarkStart w:id="111" w:name="_Toc65682107"/>
      <w:bookmarkStart w:id="112" w:name="_Toc65682108"/>
      <w:bookmarkStart w:id="113" w:name="_Toc65682109"/>
      <w:bookmarkStart w:id="114" w:name="_Toc65682110"/>
      <w:bookmarkStart w:id="115" w:name="_Toc65682111"/>
      <w:bookmarkStart w:id="116" w:name="_Toc65682112"/>
      <w:bookmarkStart w:id="117" w:name="_Toc65682113"/>
      <w:bookmarkStart w:id="118" w:name="_Toc65682114"/>
      <w:bookmarkStart w:id="119" w:name="_Toc65682115"/>
      <w:bookmarkStart w:id="120" w:name="_Toc65682116"/>
      <w:bookmarkStart w:id="121" w:name="_Toc65682117"/>
      <w:bookmarkStart w:id="122" w:name="_Toc65682118"/>
      <w:bookmarkStart w:id="123" w:name="_Toc65682119"/>
      <w:bookmarkStart w:id="124" w:name="_Toc65682120"/>
      <w:bookmarkStart w:id="125" w:name="_Toc65682124"/>
      <w:bookmarkStart w:id="126" w:name="_Toc65682208"/>
      <w:bookmarkStart w:id="127" w:name="_Toc65682209"/>
      <w:bookmarkStart w:id="128" w:name="_Toc65682210"/>
      <w:bookmarkStart w:id="129" w:name="_Toc65682211"/>
      <w:bookmarkStart w:id="130" w:name="_Toc65682212"/>
      <w:bookmarkStart w:id="131" w:name="_Toc65682213"/>
      <w:bookmarkStart w:id="132" w:name="_Toc6568221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(478 observations).</w:t>
      </w:r>
    </w:p>
    <w:p w14:paraId="43C11DB6" w14:textId="77777777" w:rsidR="0090490A" w:rsidRPr="00284A41" w:rsidRDefault="001E796D" w:rsidP="00E4185C">
      <w:pPr>
        <w:pStyle w:val="Heading2"/>
      </w:pPr>
      <w:bookmarkStart w:id="133" w:name="_Toc75881970"/>
      <w:r w:rsidRPr="00284A41">
        <w:t>S</w:t>
      </w:r>
      <w:r w:rsidR="00A0008A" w:rsidRPr="00284A41">
        <w:t>upervision cost</w:t>
      </w:r>
      <w:r w:rsidRPr="00284A41">
        <w:t>s</w:t>
      </w:r>
      <w:bookmarkEnd w:id="133"/>
    </w:p>
    <w:p w14:paraId="629DAAE7" w14:textId="77777777" w:rsidR="00C66598" w:rsidRPr="00284A41" w:rsidRDefault="003871F3" w:rsidP="00C66598">
      <w:r w:rsidRPr="00284A41">
        <w:t xml:space="preserve">The </w:t>
      </w:r>
      <w:r w:rsidR="00C66598" w:rsidRPr="00284A41">
        <w:t>NDIS Disability Support Worker</w:t>
      </w:r>
      <w:r w:rsidRPr="00284A41">
        <w:t xml:space="preserve"> Cost Model recognises that staff require direct supervision of the care that </w:t>
      </w:r>
      <w:r w:rsidR="00927E69" w:rsidRPr="00284A41">
        <w:t xml:space="preserve">they </w:t>
      </w:r>
      <w:r w:rsidRPr="00284A41">
        <w:t>provide, as well as management support. They key parameters in the Cost Model associated with supervision are the wages and conditions of the supervisor, and the supervision ratio</w:t>
      </w:r>
      <w:r w:rsidR="00927E69" w:rsidRPr="00284A41">
        <w:t xml:space="preserve">. </w:t>
      </w:r>
      <w:r w:rsidR="00C66598" w:rsidRPr="00284A41">
        <w:t xml:space="preserve">This section considers whether there are material differences </w:t>
      </w:r>
      <w:r w:rsidR="00452B36" w:rsidRPr="00284A41">
        <w:t>in these parameters between</w:t>
      </w:r>
      <w:r w:rsidR="00C66598" w:rsidRPr="00284A41">
        <w:t xml:space="preserve"> SIL and non-SIL settings.</w:t>
      </w:r>
    </w:p>
    <w:p w14:paraId="55B24D50" w14:textId="77777777" w:rsidR="00C66598" w:rsidRPr="00284A41" w:rsidRDefault="00C66598" w:rsidP="00C66598">
      <w:r w:rsidRPr="00284A41">
        <w:t>The key questions for the Review, as outlined in the Issues Paper, are:</w:t>
      </w:r>
    </w:p>
    <w:p w14:paraId="344CD765" w14:textId="77777777" w:rsidR="00EE2D2C" w:rsidRPr="005E5772" w:rsidRDefault="003871F3" w:rsidP="0042216D">
      <w:pPr>
        <w:pStyle w:val="DotPoint"/>
      </w:pPr>
      <w:r w:rsidRPr="005E5772">
        <w:t>Is there a material difference in the wages and on-costs of supervisor</w:t>
      </w:r>
      <w:r w:rsidR="00C66598" w:rsidRPr="005E5772">
        <w:t>s</w:t>
      </w:r>
      <w:r w:rsidRPr="005E5772">
        <w:t xml:space="preserve"> </w:t>
      </w:r>
      <w:r w:rsidR="00452B36" w:rsidRPr="005E5772">
        <w:t>between</w:t>
      </w:r>
      <w:r w:rsidRPr="005E5772">
        <w:t xml:space="preserve"> SIL services </w:t>
      </w:r>
      <w:r w:rsidR="00452B36" w:rsidRPr="005E5772">
        <w:t>and</w:t>
      </w:r>
      <w:r w:rsidRPr="005E5772">
        <w:t xml:space="preserve"> non-SIL services?</w:t>
      </w:r>
      <w:r w:rsidR="00B821D8" w:rsidRPr="005E5772">
        <w:t xml:space="preserve"> </w:t>
      </w:r>
      <w:r w:rsidRPr="005E5772">
        <w:t xml:space="preserve">If there is a difference, </w:t>
      </w:r>
      <w:r w:rsidR="00742765" w:rsidRPr="005E5772">
        <w:t>what are the key drivers of these differences</w:t>
      </w:r>
      <w:r w:rsidRPr="005E5772">
        <w:t>?</w:t>
      </w:r>
      <w:r w:rsidR="00EE2D2C" w:rsidRPr="005E5772">
        <w:t xml:space="preserve"> </w:t>
      </w:r>
      <w:r w:rsidRPr="005E5772">
        <w:t>How large is the difference?</w:t>
      </w:r>
      <w:r w:rsidR="00EE2D2C" w:rsidRPr="005E5772">
        <w:t xml:space="preserve"> </w:t>
      </w:r>
    </w:p>
    <w:p w14:paraId="02F015A9" w14:textId="77777777" w:rsidR="003871F3" w:rsidRPr="005E5772" w:rsidRDefault="00A0008A" w:rsidP="0042216D">
      <w:pPr>
        <w:pStyle w:val="DotPoint"/>
      </w:pPr>
      <w:r w:rsidRPr="005E5772">
        <w:t xml:space="preserve">Is there a difference in the </w:t>
      </w:r>
      <w:r w:rsidR="00C66598" w:rsidRPr="005E5772">
        <w:t xml:space="preserve">supervision ratio (the </w:t>
      </w:r>
      <w:r w:rsidRPr="005E5772">
        <w:t>number of workers per supervisor</w:t>
      </w:r>
      <w:r w:rsidR="00C66598" w:rsidRPr="005E5772">
        <w:t>)</w:t>
      </w:r>
      <w:r w:rsidRPr="005E5772">
        <w:t xml:space="preserve"> </w:t>
      </w:r>
      <w:r w:rsidR="00452B36" w:rsidRPr="005E5772">
        <w:t>between</w:t>
      </w:r>
      <w:r w:rsidRPr="005E5772">
        <w:t xml:space="preserve"> SIL services </w:t>
      </w:r>
      <w:r w:rsidR="00452B36" w:rsidRPr="005E5772">
        <w:t>and</w:t>
      </w:r>
      <w:r w:rsidRPr="005E5772">
        <w:t xml:space="preserve"> </w:t>
      </w:r>
      <w:r w:rsidR="00DE5528" w:rsidRPr="005E5772">
        <w:t>non-SIL</w:t>
      </w:r>
      <w:r w:rsidRPr="005E5772">
        <w:t xml:space="preserve"> services?</w:t>
      </w:r>
      <w:r w:rsidR="00B821D8" w:rsidRPr="005E5772">
        <w:t xml:space="preserve"> </w:t>
      </w:r>
      <w:r w:rsidRPr="005E5772">
        <w:t xml:space="preserve">If there is a difference, </w:t>
      </w:r>
      <w:r w:rsidR="00452B36" w:rsidRPr="005E5772">
        <w:t>what are the key drivers of these differences</w:t>
      </w:r>
      <w:r w:rsidRPr="005E5772">
        <w:t>?</w:t>
      </w:r>
      <w:r w:rsidR="00EE2D2C" w:rsidRPr="005E5772">
        <w:t xml:space="preserve"> </w:t>
      </w:r>
      <w:r w:rsidR="003871F3" w:rsidRPr="005E5772">
        <w:t>How large is the difference?</w:t>
      </w:r>
    </w:p>
    <w:p w14:paraId="4F7BB150" w14:textId="77777777" w:rsidR="009745FC" w:rsidRPr="00284A41" w:rsidRDefault="009745FC" w:rsidP="00066859">
      <w:pPr>
        <w:pStyle w:val="Heading3"/>
        <w:spacing w:before="100"/>
      </w:pPr>
      <w:bookmarkStart w:id="134" w:name="_Toc64465164"/>
      <w:r w:rsidRPr="00284A41">
        <w:t>Base wages – Supervisors</w:t>
      </w:r>
      <w:bookmarkEnd w:id="134"/>
    </w:p>
    <w:p w14:paraId="574E1764" w14:textId="202F0BD6" w:rsidR="009745FC" w:rsidRPr="00284A41" w:rsidRDefault="009745FC" w:rsidP="00FB6354">
      <w:r w:rsidRPr="00284A41">
        <w:t xml:space="preserve">There is some evidence from the Financial Benchmarking Survey that SIL providers may pay higher base wages for </w:t>
      </w:r>
      <w:r w:rsidR="00452B36" w:rsidRPr="00284A41">
        <w:t>supervisors</w:t>
      </w:r>
      <w:r w:rsidRPr="00284A41">
        <w:t xml:space="preserve"> than non-SIL providers (</w:t>
      </w:r>
      <w:r w:rsidR="00452B36" w:rsidRPr="00284A41">
        <w:fldChar w:fldCharType="begin"/>
      </w:r>
      <w:r w:rsidR="00452B36" w:rsidRPr="00284A41">
        <w:instrText xml:space="preserve"> REF _Ref68345902 \h </w:instrText>
      </w:r>
      <w:r w:rsidR="00A1778D" w:rsidRPr="00284A41">
        <w:instrText xml:space="preserve"> \* MERGEFORMAT </w:instrText>
      </w:r>
      <w:r w:rsidR="00452B36" w:rsidRPr="00284A41">
        <w:fldChar w:fldCharType="separate"/>
      </w:r>
      <w:r w:rsidR="00E0689D" w:rsidRPr="00284A41">
        <w:t xml:space="preserve">Exhibit </w:t>
      </w:r>
      <w:r w:rsidR="00E0689D">
        <w:rPr>
          <w:noProof/>
        </w:rPr>
        <w:t>21</w:t>
      </w:r>
      <w:r w:rsidR="00452B36" w:rsidRPr="00284A41">
        <w:fldChar w:fldCharType="end"/>
      </w:r>
      <w:r w:rsidR="00452B36" w:rsidRPr="00284A41">
        <w:t xml:space="preserve"> and</w:t>
      </w:r>
      <w:r w:rsidR="00FB6354" w:rsidRPr="00284A41">
        <w:t xml:space="preserve"> </w:t>
      </w:r>
      <w:r w:rsidR="00FB6354" w:rsidRPr="00284A41">
        <w:fldChar w:fldCharType="begin"/>
      </w:r>
      <w:r w:rsidR="00FB6354" w:rsidRPr="00284A41">
        <w:instrText xml:space="preserve"> REF _Ref68358853 \h </w:instrText>
      </w:r>
      <w:r w:rsidR="00A1778D" w:rsidRPr="00284A41">
        <w:instrText xml:space="preserve"> \* MERGEFORMAT </w:instrText>
      </w:r>
      <w:r w:rsidR="00FB6354" w:rsidRPr="00284A41">
        <w:fldChar w:fldCharType="separate"/>
      </w:r>
      <w:r w:rsidR="00E0689D" w:rsidRPr="00284A41">
        <w:t xml:space="preserve">Exhibit </w:t>
      </w:r>
      <w:r w:rsidR="00E0689D">
        <w:rPr>
          <w:noProof/>
        </w:rPr>
        <w:t>22</w:t>
      </w:r>
      <w:r w:rsidR="00FB6354" w:rsidRPr="00284A41">
        <w:fldChar w:fldCharType="end"/>
      </w:r>
      <w:r w:rsidRPr="00284A41">
        <w:t xml:space="preserve">). </w:t>
      </w:r>
    </w:p>
    <w:p w14:paraId="69E43330" w14:textId="656CFFC3" w:rsidR="009745FC" w:rsidRPr="00284A41" w:rsidRDefault="00AF537D" w:rsidP="00066859">
      <w:pPr>
        <w:pStyle w:val="Caption"/>
      </w:pPr>
      <w:bookmarkStart w:id="135" w:name="_Ref68345902"/>
      <w:bookmarkStart w:id="136" w:name="_Toc75881524"/>
      <w:r w:rsidRPr="00284A41">
        <w:t xml:space="preserve">Exhibit </w:t>
      </w:r>
      <w:r w:rsidR="00935584">
        <w:fldChar w:fldCharType="begin"/>
      </w:r>
      <w:r w:rsidR="00935584">
        <w:instrText xml:space="preserve"> SEQ Exhibit \* ARABIC </w:instrText>
      </w:r>
      <w:r w:rsidR="00935584">
        <w:fldChar w:fldCharType="separate"/>
      </w:r>
      <w:r w:rsidR="00E0689D">
        <w:rPr>
          <w:noProof/>
        </w:rPr>
        <w:t>21</w:t>
      </w:r>
      <w:r w:rsidR="00935584">
        <w:rPr>
          <w:noProof/>
        </w:rPr>
        <w:fldChar w:fldCharType="end"/>
      </w:r>
      <w:bookmarkEnd w:id="135"/>
      <w:r w:rsidRPr="00284A41">
        <w:t xml:space="preserve">: </w:t>
      </w:r>
      <w:r w:rsidR="00264B60" w:rsidRPr="00284A41">
        <w:t>Box P</w:t>
      </w:r>
      <w:r w:rsidRPr="00284A41">
        <w:t xml:space="preserve">lot </w:t>
      </w:r>
      <w:r w:rsidRPr="00284A41">
        <w:softHyphen/>
        <w:t>–</w:t>
      </w:r>
      <w:bookmarkStart w:id="137" w:name="_Toc64465224"/>
      <w:bookmarkStart w:id="138" w:name="_Toc64465277"/>
      <w:r w:rsidRPr="00284A41">
        <w:t xml:space="preserve"> </w:t>
      </w:r>
      <w:bookmarkEnd w:id="137"/>
      <w:bookmarkEnd w:id="138"/>
      <w:r w:rsidR="00452B36" w:rsidRPr="00284A41">
        <w:t>Base Wages of Supervisor</w:t>
      </w:r>
      <w:r w:rsidR="00B62894" w:rsidRPr="00284A41">
        <w:t>s</w:t>
      </w:r>
      <w:bookmarkEnd w:id="136"/>
    </w:p>
    <w:p w14:paraId="25CE7A25" w14:textId="488CFC34" w:rsidR="00BE4049" w:rsidRPr="00284A41" w:rsidRDefault="00BE4049" w:rsidP="00767876">
      <w:pPr>
        <w:jc w:val="center"/>
      </w:pPr>
      <w:r w:rsidRPr="00284A41">
        <w:rPr>
          <w:noProof/>
          <w:lang w:eastAsia="en-AU"/>
        </w:rPr>
        <w:drawing>
          <wp:inline distT="0" distB="0" distL="0" distR="0" wp14:anchorId="63B44290" wp14:editId="192C52F2">
            <wp:extent cx="5165567" cy="2700670"/>
            <wp:effectExtent l="0" t="0" r="3175" b="3810"/>
            <wp:docPr id="16" name="Picture 16" descr="A box plot to show the base wages of Supervisors across the levels of SIL provision (based on revenue) based on the 25th percentile (efficient providers).&#10;Non-SIL providers were $33.75. &#10;SIL provision 0-25% were $34.00.&#10;SIL provision 26-50% were $34.76.&#10;SIL provision 51-75% were $35.39.&#10;SIL provision 76-100% were $38.58." title="Exhibit 21: Box Plot ¬ Base Wages of Super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65567" cy="2700670"/>
                    </a:xfrm>
                    <a:prstGeom prst="rect">
                      <a:avLst/>
                    </a:prstGeom>
                  </pic:spPr>
                </pic:pic>
              </a:graphicData>
            </a:graphic>
          </wp:inline>
        </w:drawing>
      </w:r>
    </w:p>
    <w:p w14:paraId="19CE11B0" w14:textId="77777777" w:rsidR="00B62894" w:rsidRPr="00284A41" w:rsidRDefault="00B62894" w:rsidP="0042216D">
      <w:pPr>
        <w:spacing w:before="0"/>
        <w:ind w:left="284"/>
        <w:jc w:val="center"/>
        <w:rPr>
          <w:sz w:val="18"/>
          <w:szCs w:val="18"/>
        </w:rPr>
      </w:pPr>
      <w:bookmarkStart w:id="139" w:name="_Ref68345923"/>
      <w:bookmarkStart w:id="140" w:name="_Ref66884684"/>
      <w:bookmarkStart w:id="141" w:name="_Toc64465249"/>
      <w:bookmarkStart w:id="142" w:name="_Toc68003298"/>
      <w:r w:rsidRPr="00284A41">
        <w:rPr>
          <w:sz w:val="18"/>
          <w:szCs w:val="18"/>
        </w:rPr>
        <w:t>Note: Data labels for the 25th percentile are shown to highlight the efficient frontier within each category</w:t>
      </w:r>
    </w:p>
    <w:p w14:paraId="11893EEB" w14:textId="5E0FC010" w:rsidR="009745FC" w:rsidRPr="00284A41" w:rsidRDefault="00AF537D" w:rsidP="00066859">
      <w:pPr>
        <w:pStyle w:val="Caption"/>
      </w:pPr>
      <w:bookmarkStart w:id="143" w:name="_Ref68358853"/>
      <w:bookmarkStart w:id="144" w:name="_Toc75881525"/>
      <w:r w:rsidRPr="00284A41">
        <w:t xml:space="preserve">Exhibit </w:t>
      </w:r>
      <w:r w:rsidR="00935584">
        <w:fldChar w:fldCharType="begin"/>
      </w:r>
      <w:r w:rsidR="00935584">
        <w:instrText xml:space="preserve"> SEQ Exhibit \* ARABIC </w:instrText>
      </w:r>
      <w:r w:rsidR="00935584">
        <w:fldChar w:fldCharType="separate"/>
      </w:r>
      <w:r w:rsidR="00E0689D">
        <w:rPr>
          <w:noProof/>
        </w:rPr>
        <w:t>22</w:t>
      </w:r>
      <w:r w:rsidR="00935584">
        <w:rPr>
          <w:noProof/>
        </w:rPr>
        <w:fldChar w:fldCharType="end"/>
      </w:r>
      <w:bookmarkEnd w:id="139"/>
      <w:bookmarkEnd w:id="143"/>
      <w:r w:rsidRPr="00284A41">
        <w:t xml:space="preserve">: </w:t>
      </w:r>
      <w:bookmarkEnd w:id="140"/>
      <w:r w:rsidR="00066859" w:rsidRPr="00284A41">
        <w:t>Summary S</w:t>
      </w:r>
      <w:r w:rsidR="000D4020" w:rsidRPr="00284A41">
        <w:t xml:space="preserve">tatistics </w:t>
      </w:r>
      <w:r w:rsidRPr="00284A41">
        <w:softHyphen/>
        <w:t xml:space="preserve">– </w:t>
      </w:r>
      <w:bookmarkEnd w:id="141"/>
      <w:bookmarkEnd w:id="142"/>
      <w:r w:rsidR="00452B36" w:rsidRPr="00284A41">
        <w:t>Base Wages of Supervisors</w:t>
      </w:r>
      <w:bookmarkEnd w:id="144"/>
    </w:p>
    <w:tbl>
      <w:tblPr>
        <w:tblStyle w:val="GridTable4-Accent4"/>
        <w:tblW w:w="9079" w:type="dxa"/>
        <w:tblLook w:val="0420" w:firstRow="1" w:lastRow="0" w:firstColumn="0" w:lastColumn="0" w:noHBand="0" w:noVBand="1"/>
        <w:tblCaption w:val="Exhibit 22: Summary Statistics ¬– Base Wages of Supervisor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AF537D" w:rsidRPr="00284A41" w14:paraId="76D9A9B6"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593F76C4" w14:textId="77777777" w:rsidR="009745FC" w:rsidRPr="00284A41" w:rsidRDefault="006842C8" w:rsidP="00AF537D">
            <w:pPr>
              <w:keepNext/>
              <w:rPr>
                <w:rFonts w:ascii="Arial" w:eastAsia="Arial" w:hAnsi="Arial" w:cs="Arial"/>
                <w:szCs w:val="20"/>
              </w:rPr>
            </w:pPr>
            <w:r w:rsidRPr="00284A41">
              <w:rPr>
                <w:rFonts w:ascii="Arial" w:eastAsia="Arial" w:hAnsi="Arial" w:cs="Arial"/>
                <w:szCs w:val="20"/>
              </w:rPr>
              <w:t>Respondent type</w:t>
            </w:r>
          </w:p>
        </w:tc>
        <w:tc>
          <w:tcPr>
            <w:tcW w:w="625" w:type="pct"/>
          </w:tcPr>
          <w:p w14:paraId="72BC1C49"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Sample size</w:t>
            </w:r>
          </w:p>
        </w:tc>
        <w:tc>
          <w:tcPr>
            <w:tcW w:w="625" w:type="pct"/>
          </w:tcPr>
          <w:p w14:paraId="3596099E"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Mean</w:t>
            </w:r>
          </w:p>
        </w:tc>
        <w:tc>
          <w:tcPr>
            <w:tcW w:w="625" w:type="pct"/>
          </w:tcPr>
          <w:p w14:paraId="57FBB7DB"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Median</w:t>
            </w:r>
          </w:p>
        </w:tc>
        <w:tc>
          <w:tcPr>
            <w:tcW w:w="625" w:type="pct"/>
          </w:tcPr>
          <w:p w14:paraId="6EC93502"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38036F82"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7981121B"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1750A301" w14:textId="77777777" w:rsidR="001330ED" w:rsidRPr="00284A41" w:rsidRDefault="001330ED" w:rsidP="001330ED">
            <w:pPr>
              <w:keepNext/>
              <w:rPr>
                <w:rFonts w:ascii="Arial" w:eastAsia="Arial" w:hAnsi="Arial" w:cs="Arial"/>
                <w:szCs w:val="20"/>
              </w:rPr>
            </w:pPr>
            <w:r w:rsidRPr="00284A41">
              <w:rPr>
                <w:rFonts w:ascii="Arial" w:eastAsia="Arial" w:hAnsi="Arial" w:cs="Arial"/>
                <w:szCs w:val="20"/>
              </w:rPr>
              <w:t>All respondents</w:t>
            </w:r>
          </w:p>
        </w:tc>
        <w:tc>
          <w:tcPr>
            <w:tcW w:w="625" w:type="pct"/>
          </w:tcPr>
          <w:p w14:paraId="0B8A28D2" w14:textId="214D4A99" w:rsidR="001330ED" w:rsidRPr="00284A41" w:rsidRDefault="001330ED" w:rsidP="001330ED">
            <w:pPr>
              <w:keepNext/>
              <w:jc w:val="center"/>
              <w:rPr>
                <w:rFonts w:ascii="Arial" w:eastAsia="Arial" w:hAnsi="Arial" w:cs="Arial"/>
                <w:szCs w:val="20"/>
              </w:rPr>
            </w:pPr>
            <w:r w:rsidRPr="00284A41">
              <w:t>846</w:t>
            </w:r>
          </w:p>
        </w:tc>
        <w:tc>
          <w:tcPr>
            <w:tcW w:w="625" w:type="pct"/>
          </w:tcPr>
          <w:p w14:paraId="4E4CB064" w14:textId="233BCB36" w:rsidR="001330ED" w:rsidRPr="00284A41" w:rsidRDefault="001330ED" w:rsidP="001330ED">
            <w:pPr>
              <w:keepNext/>
              <w:jc w:val="center"/>
              <w:rPr>
                <w:rFonts w:ascii="Arial" w:eastAsia="Arial" w:hAnsi="Arial" w:cs="Arial"/>
                <w:szCs w:val="20"/>
              </w:rPr>
            </w:pPr>
            <w:r w:rsidRPr="00284A41">
              <w:t>$38.4</w:t>
            </w:r>
            <w:r w:rsidR="00107E35" w:rsidRPr="00284A41">
              <w:t>0</w:t>
            </w:r>
          </w:p>
        </w:tc>
        <w:tc>
          <w:tcPr>
            <w:tcW w:w="625" w:type="pct"/>
          </w:tcPr>
          <w:p w14:paraId="6F17DDB1" w14:textId="41FADD61" w:rsidR="001330ED" w:rsidRPr="00284A41" w:rsidRDefault="001330ED" w:rsidP="001330ED">
            <w:pPr>
              <w:keepNext/>
              <w:jc w:val="center"/>
              <w:rPr>
                <w:rFonts w:ascii="Arial" w:eastAsia="Arial" w:hAnsi="Arial" w:cs="Arial"/>
                <w:szCs w:val="20"/>
              </w:rPr>
            </w:pPr>
            <w:r w:rsidRPr="00284A41">
              <w:t>$38.5</w:t>
            </w:r>
            <w:r w:rsidR="00107E35" w:rsidRPr="00284A41">
              <w:t>0</w:t>
            </w:r>
          </w:p>
        </w:tc>
        <w:tc>
          <w:tcPr>
            <w:tcW w:w="625" w:type="pct"/>
          </w:tcPr>
          <w:p w14:paraId="01A0C8B0" w14:textId="27ADA277" w:rsidR="001330ED" w:rsidRPr="00284A41" w:rsidRDefault="001330ED" w:rsidP="001330ED">
            <w:pPr>
              <w:keepNext/>
              <w:jc w:val="center"/>
              <w:rPr>
                <w:rFonts w:ascii="Arial" w:eastAsia="Arial" w:hAnsi="Arial" w:cs="Arial"/>
                <w:szCs w:val="20"/>
              </w:rPr>
            </w:pPr>
            <w:r w:rsidRPr="00284A41">
              <w:t>$33.8</w:t>
            </w:r>
            <w:r w:rsidR="00107E35" w:rsidRPr="00284A41">
              <w:t>0</w:t>
            </w:r>
          </w:p>
        </w:tc>
        <w:tc>
          <w:tcPr>
            <w:tcW w:w="625" w:type="pct"/>
          </w:tcPr>
          <w:p w14:paraId="103FC54F" w14:textId="23EEBC34" w:rsidR="001330ED" w:rsidRPr="00284A41" w:rsidRDefault="001330ED" w:rsidP="001330ED">
            <w:pPr>
              <w:keepNext/>
              <w:jc w:val="center"/>
              <w:rPr>
                <w:rFonts w:ascii="Arial" w:eastAsia="Arial" w:hAnsi="Arial" w:cs="Arial"/>
                <w:szCs w:val="20"/>
              </w:rPr>
            </w:pPr>
            <w:r w:rsidRPr="00284A41">
              <w:t>$42.5</w:t>
            </w:r>
            <w:r w:rsidR="00107E35" w:rsidRPr="00284A41">
              <w:t>0</w:t>
            </w:r>
          </w:p>
        </w:tc>
      </w:tr>
      <w:tr w:rsidR="00AF537D" w:rsidRPr="00284A41" w14:paraId="338C2B79" w14:textId="77777777" w:rsidTr="0042216D">
        <w:trPr>
          <w:trHeight w:val="276"/>
        </w:trPr>
        <w:tc>
          <w:tcPr>
            <w:tcW w:w="1875" w:type="pct"/>
          </w:tcPr>
          <w:p w14:paraId="67A09A2B" w14:textId="77777777" w:rsidR="009745FC" w:rsidRPr="00284A41" w:rsidRDefault="009745FC" w:rsidP="00AF537D">
            <w:pPr>
              <w:keepNext/>
              <w:rPr>
                <w:rFonts w:ascii="Arial" w:eastAsia="Arial" w:hAnsi="Arial" w:cs="Arial"/>
                <w:szCs w:val="20"/>
              </w:rPr>
            </w:pPr>
            <w:r w:rsidRPr="00284A41">
              <w:rPr>
                <w:rFonts w:ascii="Arial" w:eastAsia="Arial" w:hAnsi="Arial" w:cs="Arial"/>
                <w:szCs w:val="20"/>
              </w:rPr>
              <w:t>Non-SIL respondents</w:t>
            </w:r>
          </w:p>
        </w:tc>
        <w:tc>
          <w:tcPr>
            <w:tcW w:w="625" w:type="pct"/>
          </w:tcPr>
          <w:p w14:paraId="17474BB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625</w:t>
            </w:r>
          </w:p>
        </w:tc>
        <w:tc>
          <w:tcPr>
            <w:tcW w:w="625" w:type="pct"/>
          </w:tcPr>
          <w:p w14:paraId="252FD0F8"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$38.21</w:t>
            </w:r>
          </w:p>
        </w:tc>
        <w:tc>
          <w:tcPr>
            <w:tcW w:w="625" w:type="pct"/>
          </w:tcPr>
          <w:p w14:paraId="367083C0"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$37.74</w:t>
            </w:r>
          </w:p>
        </w:tc>
        <w:tc>
          <w:tcPr>
            <w:tcW w:w="625" w:type="pct"/>
          </w:tcPr>
          <w:p w14:paraId="157B256F"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$33.75</w:t>
            </w:r>
          </w:p>
        </w:tc>
        <w:tc>
          <w:tcPr>
            <w:tcW w:w="625" w:type="pct"/>
          </w:tcPr>
          <w:p w14:paraId="3057CE25"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28D39B7C"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36C861E" w14:textId="77777777" w:rsidR="009745FC" w:rsidRPr="00284A41" w:rsidRDefault="009745FC" w:rsidP="00AF537D">
            <w:pPr>
              <w:keepNext/>
              <w:rPr>
                <w:rFonts w:ascii="Arial" w:eastAsia="Arial" w:hAnsi="Arial" w:cs="Arial"/>
                <w:szCs w:val="20"/>
              </w:rPr>
            </w:pPr>
            <w:r w:rsidRPr="00284A41">
              <w:rPr>
                <w:rFonts w:ascii="Arial" w:eastAsia="Arial" w:hAnsi="Arial" w:cs="Arial"/>
                <w:szCs w:val="20"/>
              </w:rPr>
              <w:t>Mixed (SIL/ADL) respondents</w:t>
            </w:r>
          </w:p>
        </w:tc>
        <w:tc>
          <w:tcPr>
            <w:tcW w:w="625" w:type="pct"/>
          </w:tcPr>
          <w:p w14:paraId="1561F97A"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221</w:t>
            </w:r>
          </w:p>
        </w:tc>
        <w:tc>
          <w:tcPr>
            <w:tcW w:w="625" w:type="pct"/>
          </w:tcPr>
          <w:p w14:paraId="6AAC8938"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$38.89</w:t>
            </w:r>
          </w:p>
        </w:tc>
        <w:tc>
          <w:tcPr>
            <w:tcW w:w="625" w:type="pct"/>
          </w:tcPr>
          <w:p w14:paraId="7819299E"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$38.74</w:t>
            </w:r>
          </w:p>
        </w:tc>
        <w:tc>
          <w:tcPr>
            <w:tcW w:w="625" w:type="pct"/>
          </w:tcPr>
          <w:p w14:paraId="785E9166"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$34.99</w:t>
            </w:r>
          </w:p>
        </w:tc>
        <w:tc>
          <w:tcPr>
            <w:tcW w:w="625" w:type="pct"/>
          </w:tcPr>
          <w:p w14:paraId="5EFCF1C2"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4E979D48" w14:textId="77777777" w:rsidTr="0042216D">
        <w:trPr>
          <w:trHeight w:val="281"/>
        </w:trPr>
        <w:tc>
          <w:tcPr>
            <w:tcW w:w="1875" w:type="pct"/>
          </w:tcPr>
          <w:p w14:paraId="5900AF20"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0-25% SIL respondents</w:t>
            </w:r>
          </w:p>
        </w:tc>
        <w:tc>
          <w:tcPr>
            <w:tcW w:w="625" w:type="pct"/>
          </w:tcPr>
          <w:p w14:paraId="0A4B389E"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81</w:t>
            </w:r>
          </w:p>
        </w:tc>
        <w:tc>
          <w:tcPr>
            <w:tcW w:w="625" w:type="pct"/>
          </w:tcPr>
          <w:p w14:paraId="02C7BEA6"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$38.16</w:t>
            </w:r>
          </w:p>
        </w:tc>
        <w:tc>
          <w:tcPr>
            <w:tcW w:w="625" w:type="pct"/>
          </w:tcPr>
          <w:p w14:paraId="43E99117"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$37.24</w:t>
            </w:r>
          </w:p>
        </w:tc>
        <w:tc>
          <w:tcPr>
            <w:tcW w:w="625" w:type="pct"/>
          </w:tcPr>
          <w:p w14:paraId="726FEE54"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$34.00</w:t>
            </w:r>
          </w:p>
        </w:tc>
        <w:tc>
          <w:tcPr>
            <w:tcW w:w="625" w:type="pct"/>
          </w:tcPr>
          <w:p w14:paraId="4B170E97"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2F4F752A"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979B89C"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26-50% SIL respondents</w:t>
            </w:r>
          </w:p>
        </w:tc>
        <w:tc>
          <w:tcPr>
            <w:tcW w:w="625" w:type="pct"/>
          </w:tcPr>
          <w:p w14:paraId="3DAC104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47</w:t>
            </w:r>
          </w:p>
        </w:tc>
        <w:tc>
          <w:tcPr>
            <w:tcW w:w="625" w:type="pct"/>
          </w:tcPr>
          <w:p w14:paraId="0CF8C125"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$38.85</w:t>
            </w:r>
          </w:p>
        </w:tc>
        <w:tc>
          <w:tcPr>
            <w:tcW w:w="625" w:type="pct"/>
          </w:tcPr>
          <w:p w14:paraId="3E16640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$39.24</w:t>
            </w:r>
          </w:p>
        </w:tc>
        <w:tc>
          <w:tcPr>
            <w:tcW w:w="625" w:type="pct"/>
          </w:tcPr>
          <w:p w14:paraId="7C078A1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$34.76</w:t>
            </w:r>
          </w:p>
        </w:tc>
        <w:tc>
          <w:tcPr>
            <w:tcW w:w="625" w:type="pct"/>
          </w:tcPr>
          <w:p w14:paraId="4848E394"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725048CF" w14:textId="77777777" w:rsidTr="0042216D">
        <w:trPr>
          <w:trHeight w:val="281"/>
        </w:trPr>
        <w:tc>
          <w:tcPr>
            <w:tcW w:w="1875" w:type="pct"/>
          </w:tcPr>
          <w:p w14:paraId="164EA247"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51-75% SIL respondents</w:t>
            </w:r>
          </w:p>
        </w:tc>
        <w:tc>
          <w:tcPr>
            <w:tcW w:w="625" w:type="pct"/>
          </w:tcPr>
          <w:p w14:paraId="61B44559"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64</w:t>
            </w:r>
          </w:p>
        </w:tc>
        <w:tc>
          <w:tcPr>
            <w:tcW w:w="625" w:type="pct"/>
          </w:tcPr>
          <w:p w14:paraId="5BD55314"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$38.83</w:t>
            </w:r>
          </w:p>
        </w:tc>
        <w:tc>
          <w:tcPr>
            <w:tcW w:w="625" w:type="pct"/>
          </w:tcPr>
          <w:p w14:paraId="21E107C0"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$38.86</w:t>
            </w:r>
          </w:p>
        </w:tc>
        <w:tc>
          <w:tcPr>
            <w:tcW w:w="625" w:type="pct"/>
          </w:tcPr>
          <w:p w14:paraId="50F3104A"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$35.39</w:t>
            </w:r>
          </w:p>
        </w:tc>
        <w:tc>
          <w:tcPr>
            <w:tcW w:w="625" w:type="pct"/>
          </w:tcPr>
          <w:p w14:paraId="17C4C1EC"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$42.45</w:t>
            </w:r>
          </w:p>
        </w:tc>
      </w:tr>
      <w:tr w:rsidR="00AF537D" w:rsidRPr="00284A41" w14:paraId="18E9B072"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D061162"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75-100% SIL respondents</w:t>
            </w:r>
          </w:p>
        </w:tc>
        <w:tc>
          <w:tcPr>
            <w:tcW w:w="625" w:type="pct"/>
          </w:tcPr>
          <w:p w14:paraId="3CD58A88"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29</w:t>
            </w:r>
          </w:p>
        </w:tc>
        <w:tc>
          <w:tcPr>
            <w:tcW w:w="625" w:type="pct"/>
          </w:tcPr>
          <w:p w14:paraId="67306A81"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$41.14</w:t>
            </w:r>
          </w:p>
        </w:tc>
        <w:tc>
          <w:tcPr>
            <w:tcW w:w="625" w:type="pct"/>
          </w:tcPr>
          <w:p w14:paraId="4772D4AB"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$40.88</w:t>
            </w:r>
          </w:p>
        </w:tc>
        <w:tc>
          <w:tcPr>
            <w:tcW w:w="625" w:type="pct"/>
          </w:tcPr>
          <w:p w14:paraId="1B557CFD"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$38.58</w:t>
            </w:r>
          </w:p>
        </w:tc>
        <w:tc>
          <w:tcPr>
            <w:tcW w:w="625" w:type="pct"/>
          </w:tcPr>
          <w:p w14:paraId="39A8B9B9"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$43.09</w:t>
            </w:r>
          </w:p>
        </w:tc>
      </w:tr>
    </w:tbl>
    <w:p w14:paraId="7DDCF48B" w14:textId="5AC43CA8" w:rsidR="002E1329" w:rsidRDefault="00493A49" w:rsidP="00190386">
      <w:pPr>
        <w:spacing w:before="160" w:after="160" w:line="320" w:lineRule="atLeast"/>
      </w:pPr>
      <w:r w:rsidRPr="00284A41">
        <w:rPr>
          <w:rFonts w:ascii="Arial" w:eastAsia="Arial" w:hAnsi="Arial" w:cs="Times New Roman"/>
        </w:rPr>
        <w:t>R</w:t>
      </w:r>
      <w:r w:rsidR="00190386" w:rsidRPr="00284A41">
        <w:rPr>
          <w:rFonts w:ascii="Arial" w:eastAsia="Arial" w:hAnsi="Arial" w:cs="Times New Roman"/>
        </w:rPr>
        <w:t xml:space="preserve">egression analysis </w:t>
      </w:r>
      <w:r w:rsidRPr="00284A41">
        <w:rPr>
          <w:rFonts w:ascii="Arial" w:eastAsia="Arial" w:hAnsi="Arial" w:cs="Times New Roman"/>
        </w:rPr>
        <w:t>(</w:t>
      </w:r>
      <w:r w:rsidRPr="00284A41">
        <w:rPr>
          <w:rFonts w:ascii="Arial" w:eastAsia="Arial" w:hAnsi="Arial" w:cs="Times New Roman"/>
        </w:rPr>
        <w:fldChar w:fldCharType="begin"/>
      </w:r>
      <w:r w:rsidRPr="00284A41">
        <w:rPr>
          <w:rFonts w:ascii="Arial" w:eastAsia="Arial" w:hAnsi="Arial" w:cs="Times New Roman"/>
        </w:rPr>
        <w:instrText xml:space="preserve"> REF _Ref68346008 \h </w:instrText>
      </w:r>
      <w:r w:rsidR="00107E35" w:rsidRPr="00284A41">
        <w:rPr>
          <w:rFonts w:ascii="Arial" w:eastAsia="Arial" w:hAnsi="Arial" w:cs="Times New Roman"/>
        </w:rPr>
        <w:instrText xml:space="preserve"> \* MERGEFORMAT </w:instrText>
      </w:r>
      <w:r w:rsidRPr="00284A41">
        <w:rPr>
          <w:rFonts w:ascii="Arial" w:eastAsia="Arial" w:hAnsi="Arial" w:cs="Times New Roman"/>
        </w:rPr>
      </w:r>
      <w:r w:rsidRPr="00284A41">
        <w:rPr>
          <w:rFonts w:ascii="Arial" w:eastAsia="Arial" w:hAnsi="Arial" w:cs="Times New Roman"/>
        </w:rPr>
        <w:fldChar w:fldCharType="separate"/>
      </w:r>
      <w:r w:rsidR="00E0689D" w:rsidRPr="00284A41">
        <w:t xml:space="preserve">Exhibit </w:t>
      </w:r>
      <w:r w:rsidR="00E0689D">
        <w:rPr>
          <w:noProof/>
        </w:rPr>
        <w:t>23</w:t>
      </w:r>
      <w:r w:rsidRPr="00284A41">
        <w:rPr>
          <w:rFonts w:ascii="Arial" w:eastAsia="Arial" w:hAnsi="Arial" w:cs="Times New Roman"/>
        </w:rPr>
        <w:fldChar w:fldCharType="end"/>
      </w:r>
      <w:r w:rsidRPr="00284A41">
        <w:rPr>
          <w:rFonts w:ascii="Arial" w:eastAsia="Arial" w:hAnsi="Arial" w:cs="Times New Roman"/>
        </w:rPr>
        <w:t>) confirms</w:t>
      </w:r>
      <w:r w:rsidR="00190386" w:rsidRPr="00284A41">
        <w:rPr>
          <w:rFonts w:ascii="Arial" w:eastAsia="Arial" w:hAnsi="Arial" w:cs="Times New Roman"/>
        </w:rPr>
        <w:t xml:space="preserve"> that there is a positive relationship between the proportion of revenue from SIL services and the average base wage paid to supervisors. </w:t>
      </w:r>
      <w:r w:rsidR="003646DF" w:rsidRPr="00284A41">
        <w:rPr>
          <w:rFonts w:ascii="Arial" w:eastAsia="Arial" w:hAnsi="Arial" w:cs="Times New Roman"/>
        </w:rPr>
        <w:t xml:space="preserve">On average, the base wages of supervisors in </w:t>
      </w:r>
      <w:r w:rsidR="00BE4049" w:rsidRPr="00284A41">
        <w:rPr>
          <w:rFonts w:ascii="Arial" w:eastAsia="Arial" w:hAnsi="Arial" w:cs="Times New Roman"/>
        </w:rPr>
        <w:t>efficient (25</w:t>
      </w:r>
      <w:r w:rsidR="00BE4049" w:rsidRPr="00284A41">
        <w:rPr>
          <w:rFonts w:ascii="Arial" w:eastAsia="Arial" w:hAnsi="Arial" w:cs="Times New Roman"/>
          <w:vertAlign w:val="superscript"/>
        </w:rPr>
        <w:t>th</w:t>
      </w:r>
      <w:r w:rsidR="00BE4049" w:rsidRPr="00284A41">
        <w:rPr>
          <w:rFonts w:ascii="Arial" w:eastAsia="Arial" w:hAnsi="Arial" w:cs="Times New Roman"/>
        </w:rPr>
        <w:t xml:space="preserve"> percentile) </w:t>
      </w:r>
      <w:r w:rsidR="003646DF" w:rsidRPr="00284A41">
        <w:rPr>
          <w:rFonts w:ascii="Arial" w:eastAsia="Arial" w:hAnsi="Arial" w:cs="Times New Roman"/>
        </w:rPr>
        <w:t>SIL</w:t>
      </w:r>
      <w:r w:rsidRPr="00284A41">
        <w:rPr>
          <w:rFonts w:ascii="Arial" w:eastAsia="Arial" w:hAnsi="Arial" w:cs="Times New Roman"/>
        </w:rPr>
        <w:t xml:space="preserve"> settings are $</w:t>
      </w:r>
      <w:r w:rsidR="00BE4049" w:rsidRPr="00284A41">
        <w:rPr>
          <w:rFonts w:ascii="Arial" w:eastAsia="Arial" w:hAnsi="Arial" w:cs="Times New Roman"/>
        </w:rPr>
        <w:t>4</w:t>
      </w:r>
      <w:r w:rsidRPr="00284A41">
        <w:rPr>
          <w:rFonts w:ascii="Arial" w:eastAsia="Arial" w:hAnsi="Arial" w:cs="Times New Roman"/>
        </w:rPr>
        <w:t>.00 per hour –</w:t>
      </w:r>
      <w:r w:rsidR="003646DF" w:rsidRPr="00284A41">
        <w:rPr>
          <w:rFonts w:ascii="Arial" w:eastAsia="Arial" w:hAnsi="Arial" w:cs="Times New Roman"/>
        </w:rPr>
        <w:t xml:space="preserve"> </w:t>
      </w:r>
      <w:r w:rsidR="00BE4049" w:rsidRPr="00284A41">
        <w:rPr>
          <w:rFonts w:ascii="Arial" w:eastAsia="Arial" w:hAnsi="Arial" w:cs="Times New Roman"/>
        </w:rPr>
        <w:t>11.9</w:t>
      </w:r>
      <w:r w:rsidRPr="00284A41">
        <w:rPr>
          <w:rFonts w:ascii="Arial" w:eastAsia="Arial" w:hAnsi="Arial" w:cs="Times New Roman"/>
        </w:rPr>
        <w:t xml:space="preserve">% </w:t>
      </w:r>
      <w:r w:rsidR="003646DF" w:rsidRPr="00284A41">
        <w:rPr>
          <w:rFonts w:ascii="Arial" w:eastAsia="Arial" w:hAnsi="Arial" w:cs="Times New Roman"/>
        </w:rPr>
        <w:softHyphen/>
        <w:t xml:space="preserve">– </w:t>
      </w:r>
      <w:r w:rsidR="003646DF" w:rsidRPr="00284A41">
        <w:rPr>
          <w:rFonts w:ascii="Arial" w:eastAsia="Arial" w:hAnsi="Arial" w:cs="Times New Roman"/>
        </w:rPr>
        <w:softHyphen/>
        <w:t xml:space="preserve">higher than in </w:t>
      </w:r>
      <w:r w:rsidRPr="00284A41">
        <w:rPr>
          <w:rFonts w:ascii="Arial" w:eastAsia="Arial" w:hAnsi="Arial" w:cs="Times New Roman"/>
        </w:rPr>
        <w:t>non-SIL settings.</w:t>
      </w:r>
      <w:r w:rsidR="00E4185C" w:rsidRPr="00284A41">
        <w:rPr>
          <w:rFonts w:ascii="Arial" w:eastAsia="Arial" w:hAnsi="Arial" w:cs="Times New Roman"/>
        </w:rPr>
        <w:t xml:space="preserve"> </w:t>
      </w:r>
      <w:r w:rsidR="002E1329">
        <w:t>The implications of thi</w:t>
      </w:r>
      <w:r w:rsidR="002E1329" w:rsidRPr="00284A41">
        <w:t>s finding will be considered in Chapter 3.</w:t>
      </w:r>
    </w:p>
    <w:p w14:paraId="5822CEC5" w14:textId="5B053D85" w:rsidR="00493A49" w:rsidRPr="00284A41" w:rsidRDefault="00493A49" w:rsidP="00190386">
      <w:pPr>
        <w:spacing w:before="160" w:after="160" w:line="320" w:lineRule="atLeast"/>
        <w:rPr>
          <w:rFonts w:ascii="Arial" w:eastAsia="Arial" w:hAnsi="Arial" w:cs="Times New Roman"/>
        </w:rPr>
      </w:pPr>
      <w:r w:rsidRPr="00284A41">
        <w:rPr>
          <w:rFonts w:ascii="Arial" w:eastAsia="Arial" w:hAnsi="Arial" w:cs="Times New Roman"/>
        </w:rPr>
        <w:t xml:space="preserve">The regression analysis also indicates that supervisor wages increase with the </w:t>
      </w:r>
      <w:r w:rsidR="003646DF" w:rsidRPr="00284A41">
        <w:rPr>
          <w:rFonts w:ascii="Arial" w:eastAsia="Arial" w:hAnsi="Arial" w:cs="Times New Roman"/>
        </w:rPr>
        <w:t xml:space="preserve">log of the </w:t>
      </w:r>
      <w:r w:rsidR="002E1329">
        <w:rPr>
          <w:rFonts w:ascii="Arial" w:eastAsia="Arial" w:hAnsi="Arial" w:cs="Times New Roman"/>
        </w:rPr>
        <w:t xml:space="preserve">number of clients serviced, </w:t>
      </w:r>
      <w:r w:rsidRPr="00284A41">
        <w:rPr>
          <w:rFonts w:ascii="Arial" w:eastAsia="Arial" w:hAnsi="Arial" w:cs="Times New Roman"/>
        </w:rPr>
        <w:t xml:space="preserve">but decrease with the </w:t>
      </w:r>
      <w:r w:rsidR="003646DF" w:rsidRPr="00284A41">
        <w:rPr>
          <w:rFonts w:ascii="Arial" w:eastAsia="Arial" w:hAnsi="Arial" w:cs="Times New Roman"/>
        </w:rPr>
        <w:t xml:space="preserve">log of the </w:t>
      </w:r>
      <w:r w:rsidRPr="00284A41">
        <w:rPr>
          <w:rFonts w:ascii="Arial" w:eastAsia="Arial" w:hAnsi="Arial" w:cs="Times New Roman"/>
        </w:rPr>
        <w:t>number of staff employed by</w:t>
      </w:r>
      <w:r w:rsidR="002E1329">
        <w:rPr>
          <w:rFonts w:ascii="Arial" w:eastAsia="Arial" w:hAnsi="Arial" w:cs="Times New Roman"/>
        </w:rPr>
        <w:t>,</w:t>
      </w:r>
      <w:r w:rsidRPr="00284A41">
        <w:rPr>
          <w:rFonts w:ascii="Arial" w:eastAsia="Arial" w:hAnsi="Arial" w:cs="Times New Roman"/>
        </w:rPr>
        <w:t xml:space="preserve"> the organisation. The analysis also indicates that the average wage paid to supervisors increases with the </w:t>
      </w:r>
      <w:r w:rsidR="003646DF" w:rsidRPr="00284A41">
        <w:rPr>
          <w:rFonts w:ascii="Arial" w:eastAsia="Arial" w:hAnsi="Arial" w:cs="Times New Roman"/>
        </w:rPr>
        <w:t xml:space="preserve">log of </w:t>
      </w:r>
      <w:r w:rsidRPr="00284A41">
        <w:rPr>
          <w:rFonts w:ascii="Arial" w:eastAsia="Arial" w:hAnsi="Arial" w:cs="Times New Roman"/>
        </w:rPr>
        <w:t xml:space="preserve">the number of </w:t>
      </w:r>
      <w:r w:rsidR="002E1329">
        <w:rPr>
          <w:rFonts w:ascii="Arial" w:eastAsia="Arial" w:hAnsi="Arial" w:cs="Times New Roman"/>
        </w:rPr>
        <w:t xml:space="preserve">clients, </w:t>
      </w:r>
      <w:r w:rsidR="005149FE" w:rsidRPr="00284A41">
        <w:rPr>
          <w:rFonts w:ascii="Arial" w:eastAsia="Arial" w:hAnsi="Arial" w:cs="Times New Roman"/>
        </w:rPr>
        <w:t>and</w:t>
      </w:r>
      <w:r w:rsidR="002E1329">
        <w:rPr>
          <w:rFonts w:ascii="Arial" w:eastAsia="Arial" w:hAnsi="Arial" w:cs="Times New Roman"/>
        </w:rPr>
        <w:t xml:space="preserve"> decreases with the</w:t>
      </w:r>
      <w:r w:rsidR="005149FE" w:rsidRPr="00284A41">
        <w:rPr>
          <w:rFonts w:ascii="Arial" w:eastAsia="Arial" w:hAnsi="Arial" w:cs="Times New Roman"/>
        </w:rPr>
        <w:t xml:space="preserve"> log of the </w:t>
      </w:r>
      <w:r w:rsidR="002E1329">
        <w:rPr>
          <w:rFonts w:ascii="Arial" w:eastAsia="Arial" w:hAnsi="Arial" w:cs="Times New Roman"/>
        </w:rPr>
        <w:t xml:space="preserve">number of staff, of the provider. It also decreases as the log of the </w:t>
      </w:r>
      <w:r w:rsidR="005149FE" w:rsidRPr="00284A41">
        <w:rPr>
          <w:rFonts w:ascii="Arial" w:eastAsia="Arial" w:hAnsi="Arial" w:cs="Times New Roman"/>
        </w:rPr>
        <w:t xml:space="preserve">staff to supervisor </w:t>
      </w:r>
      <w:r w:rsidR="002E1329">
        <w:rPr>
          <w:rFonts w:ascii="Arial" w:eastAsia="Arial" w:hAnsi="Arial" w:cs="Times New Roman"/>
        </w:rPr>
        <w:t xml:space="preserve">ratio </w:t>
      </w:r>
      <w:r w:rsidR="005149FE" w:rsidRPr="00284A41">
        <w:rPr>
          <w:rFonts w:ascii="Arial" w:eastAsia="Arial" w:hAnsi="Arial" w:cs="Times New Roman"/>
        </w:rPr>
        <w:t xml:space="preserve">increases. </w:t>
      </w:r>
      <w:r w:rsidR="002E1329">
        <w:rPr>
          <w:rFonts w:ascii="Arial" w:eastAsia="Arial" w:hAnsi="Arial" w:cs="Times New Roman"/>
        </w:rPr>
        <w:t>These relationships may be worthy of further study by providers.</w:t>
      </w:r>
    </w:p>
    <w:p w14:paraId="4A632EBD" w14:textId="31493944" w:rsidR="009745FC" w:rsidRPr="00284A41" w:rsidRDefault="00AF537D" w:rsidP="00066859">
      <w:pPr>
        <w:pStyle w:val="Caption"/>
      </w:pPr>
      <w:bookmarkStart w:id="145" w:name="_Ref68346008"/>
      <w:bookmarkStart w:id="146" w:name="_Toc64465250"/>
      <w:bookmarkStart w:id="147" w:name="_Toc75881526"/>
      <w:r w:rsidRPr="00284A41">
        <w:t xml:space="preserve">Exhibit </w:t>
      </w:r>
      <w:r w:rsidR="00935584">
        <w:fldChar w:fldCharType="begin"/>
      </w:r>
      <w:r w:rsidR="00935584">
        <w:instrText xml:space="preserve"> SEQ Exhibit \* ARABIC </w:instrText>
      </w:r>
      <w:r w:rsidR="00935584">
        <w:fldChar w:fldCharType="separate"/>
      </w:r>
      <w:r w:rsidR="00E0689D">
        <w:rPr>
          <w:noProof/>
        </w:rPr>
        <w:t>23</w:t>
      </w:r>
      <w:r w:rsidR="00935584">
        <w:rPr>
          <w:noProof/>
        </w:rPr>
        <w:fldChar w:fldCharType="end"/>
      </w:r>
      <w:bookmarkEnd w:id="145"/>
      <w:r w:rsidRPr="00284A41">
        <w:t xml:space="preserve">: </w:t>
      </w:r>
      <w:bookmarkStart w:id="148" w:name="_Toc68003299"/>
      <w:r w:rsidR="00066859" w:rsidRPr="00284A41">
        <w:t>Regression A</w:t>
      </w:r>
      <w:r w:rsidR="00033914" w:rsidRPr="00284A41">
        <w:t xml:space="preserve">nalysis – </w:t>
      </w:r>
      <w:bookmarkEnd w:id="146"/>
      <w:bookmarkEnd w:id="148"/>
      <w:r w:rsidR="00452B36" w:rsidRPr="00284A41">
        <w:t>Base Wages of Supervisors</w:t>
      </w:r>
      <w:r w:rsidR="001E4D55" w:rsidRPr="00284A41">
        <w:rPr>
          <w:rStyle w:val="FootnoteReference"/>
        </w:rPr>
        <w:footnoteReference w:id="20"/>
      </w:r>
      <w:bookmarkEnd w:id="147"/>
    </w:p>
    <w:tbl>
      <w:tblPr>
        <w:tblStyle w:val="GridTable4-Accent4"/>
        <w:tblW w:w="5000" w:type="pct"/>
        <w:tblLook w:val="0460" w:firstRow="1" w:lastRow="1" w:firstColumn="0" w:lastColumn="0" w:noHBand="0" w:noVBand="1"/>
        <w:tblCaption w:val="Exhibit 23: Regression Analysis – Base Wages of Supervisors"/>
        <w:tblDescription w:val="A table displaying the regression variables and results received for the mean, median, 25th pecentile and 75th percentile values and at the relevant signficance level."/>
      </w:tblPr>
      <w:tblGrid>
        <w:gridCol w:w="4508"/>
        <w:gridCol w:w="1127"/>
        <w:gridCol w:w="1127"/>
        <w:gridCol w:w="1127"/>
        <w:gridCol w:w="1127"/>
      </w:tblGrid>
      <w:tr w:rsidR="00AF537D" w:rsidRPr="00284A41" w14:paraId="5FB8F1A7" w14:textId="77777777" w:rsidTr="001F10E4">
        <w:trPr>
          <w:cnfStyle w:val="100000000000" w:firstRow="1" w:lastRow="0" w:firstColumn="0" w:lastColumn="0" w:oddVBand="0" w:evenVBand="0" w:oddHBand="0" w:evenHBand="0" w:firstRowFirstColumn="0" w:firstRowLastColumn="0" w:lastRowFirstColumn="0" w:lastRowLastColumn="0"/>
          <w:trHeight w:val="253"/>
          <w:tblHeader/>
        </w:trPr>
        <w:tc>
          <w:tcPr>
            <w:tcW w:w="2500" w:type="pct"/>
          </w:tcPr>
          <w:p w14:paraId="5A04D3F6" w14:textId="77777777" w:rsidR="00AF537D" w:rsidRPr="00284A41" w:rsidRDefault="006842C8" w:rsidP="00A80757">
            <w:pPr>
              <w:keepNext/>
              <w:keepLines/>
              <w:rPr>
                <w:rFonts w:eastAsia="Arial" w:cstheme="minorHAnsi"/>
                <w:szCs w:val="18"/>
              </w:rPr>
            </w:pPr>
            <w:r w:rsidRPr="00284A41">
              <w:rPr>
                <w:rFonts w:eastAsia="Arial" w:cstheme="minorHAnsi"/>
                <w:szCs w:val="18"/>
              </w:rPr>
              <w:t>Regression variables</w:t>
            </w:r>
          </w:p>
        </w:tc>
        <w:tc>
          <w:tcPr>
            <w:tcW w:w="625" w:type="pct"/>
          </w:tcPr>
          <w:p w14:paraId="06447344"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Mean</w:t>
            </w:r>
          </w:p>
        </w:tc>
        <w:tc>
          <w:tcPr>
            <w:tcW w:w="625" w:type="pct"/>
          </w:tcPr>
          <w:p w14:paraId="0B06A497"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Median</w:t>
            </w:r>
          </w:p>
        </w:tc>
        <w:tc>
          <w:tcPr>
            <w:tcW w:w="625" w:type="pct"/>
          </w:tcPr>
          <w:p w14:paraId="18E4E0C4"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25th percentile</w:t>
            </w:r>
          </w:p>
        </w:tc>
        <w:tc>
          <w:tcPr>
            <w:tcW w:w="625" w:type="pct"/>
          </w:tcPr>
          <w:p w14:paraId="1F8F839D"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75h percentile</w:t>
            </w:r>
          </w:p>
        </w:tc>
      </w:tr>
      <w:tr w:rsidR="00AF537D" w:rsidRPr="00284A41" w14:paraId="2DEEF061" w14:textId="77777777" w:rsidTr="001F10E4">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551B88C8" w14:textId="77777777" w:rsidR="00AF537D" w:rsidRPr="00284A41" w:rsidRDefault="00AF537D" w:rsidP="00AF537D">
            <w:pPr>
              <w:keepNext/>
              <w:keepLines/>
              <w:rPr>
                <w:rFonts w:eastAsia="Arial" w:cstheme="minorHAnsi"/>
                <w:b/>
                <w:bCs/>
                <w:szCs w:val="18"/>
              </w:rPr>
            </w:pPr>
            <w:r w:rsidRPr="00284A41">
              <w:rPr>
                <w:rFonts w:eastAsia="Arial" w:cstheme="minorHAnsi"/>
                <w:szCs w:val="18"/>
              </w:rPr>
              <w:t>SIL provider indicator</w:t>
            </w:r>
          </w:p>
        </w:tc>
        <w:tc>
          <w:tcPr>
            <w:tcW w:w="625" w:type="pct"/>
          </w:tcPr>
          <w:p w14:paraId="1C5B36D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0.04</w:t>
            </w:r>
          </w:p>
        </w:tc>
        <w:tc>
          <w:tcPr>
            <w:tcW w:w="625" w:type="pct"/>
          </w:tcPr>
          <w:p w14:paraId="7253122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0.0</w:t>
            </w:r>
          </w:p>
        </w:tc>
        <w:tc>
          <w:tcPr>
            <w:tcW w:w="625" w:type="pct"/>
          </w:tcPr>
          <w:p w14:paraId="77EBF8F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-0.89</w:t>
            </w:r>
          </w:p>
        </w:tc>
        <w:tc>
          <w:tcPr>
            <w:tcW w:w="625" w:type="pct"/>
          </w:tcPr>
          <w:p w14:paraId="32BA3E2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-0.63</w:t>
            </w:r>
          </w:p>
        </w:tc>
      </w:tr>
      <w:tr w:rsidR="00AF537D" w:rsidRPr="00284A41" w14:paraId="153D8CC8" w14:textId="77777777" w:rsidTr="001F10E4">
        <w:trPr>
          <w:trHeight w:val="275"/>
        </w:trPr>
        <w:tc>
          <w:tcPr>
            <w:tcW w:w="2500" w:type="pct"/>
          </w:tcPr>
          <w:p w14:paraId="42887209" w14:textId="77777777" w:rsidR="00AF537D" w:rsidRPr="00284A41" w:rsidRDefault="00AF537D" w:rsidP="00AF537D">
            <w:pPr>
              <w:keepNext/>
              <w:keepLines/>
              <w:rPr>
                <w:rFonts w:eastAsia="Arial" w:cstheme="minorHAnsi"/>
                <w:b/>
                <w:bCs/>
                <w:szCs w:val="18"/>
              </w:rPr>
            </w:pPr>
            <w:r w:rsidRPr="00284A41">
              <w:rPr>
                <w:rFonts w:eastAsia="Arial" w:cstheme="minorHAnsi"/>
                <w:szCs w:val="18"/>
              </w:rPr>
              <w:t xml:space="preserve">Percentage of revenue sourced from SIL </w:t>
            </w:r>
          </w:p>
        </w:tc>
        <w:tc>
          <w:tcPr>
            <w:tcW w:w="625" w:type="pct"/>
          </w:tcPr>
          <w:p w14:paraId="078B90F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2.8**</w:t>
            </w:r>
          </w:p>
        </w:tc>
        <w:tc>
          <w:tcPr>
            <w:tcW w:w="625" w:type="pct"/>
          </w:tcPr>
          <w:p w14:paraId="104561CC"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3.2*</w:t>
            </w:r>
          </w:p>
        </w:tc>
        <w:tc>
          <w:tcPr>
            <w:tcW w:w="625" w:type="pct"/>
          </w:tcPr>
          <w:p w14:paraId="50C5919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4.89**</w:t>
            </w:r>
          </w:p>
        </w:tc>
        <w:tc>
          <w:tcPr>
            <w:tcW w:w="625" w:type="pct"/>
          </w:tcPr>
          <w:p w14:paraId="466E6C4C"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2.36</w:t>
            </w:r>
          </w:p>
        </w:tc>
      </w:tr>
      <w:tr w:rsidR="00AF537D" w:rsidRPr="00284A41" w14:paraId="7C764C86" w14:textId="77777777" w:rsidTr="001F10E4">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754EA115" w14:textId="77777777" w:rsidR="00AF537D" w:rsidRPr="00284A41" w:rsidRDefault="00AF537D" w:rsidP="00AF537D">
            <w:pPr>
              <w:keepNext/>
              <w:keepLines/>
              <w:rPr>
                <w:rFonts w:eastAsia="Arial" w:cstheme="minorHAnsi"/>
                <w:b/>
                <w:bCs/>
                <w:szCs w:val="18"/>
              </w:rPr>
            </w:pPr>
            <w:r w:rsidRPr="00284A41">
              <w:rPr>
                <w:rFonts w:eastAsia="Arial" w:cstheme="minorHAnsi"/>
                <w:szCs w:val="18"/>
              </w:rPr>
              <w:t>Number of clients (log)</w:t>
            </w:r>
          </w:p>
        </w:tc>
        <w:tc>
          <w:tcPr>
            <w:tcW w:w="625" w:type="pct"/>
          </w:tcPr>
          <w:p w14:paraId="648686F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1.05**</w:t>
            </w:r>
          </w:p>
        </w:tc>
        <w:tc>
          <w:tcPr>
            <w:tcW w:w="625" w:type="pct"/>
          </w:tcPr>
          <w:p w14:paraId="17F4473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0.73</w:t>
            </w:r>
          </w:p>
        </w:tc>
        <w:tc>
          <w:tcPr>
            <w:tcW w:w="625" w:type="pct"/>
          </w:tcPr>
          <w:p w14:paraId="115DA7A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1.90**</w:t>
            </w:r>
          </w:p>
        </w:tc>
        <w:tc>
          <w:tcPr>
            <w:tcW w:w="625" w:type="pct"/>
          </w:tcPr>
          <w:p w14:paraId="50F5B03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0.49</w:t>
            </w:r>
          </w:p>
        </w:tc>
      </w:tr>
      <w:tr w:rsidR="00AF537D" w:rsidRPr="00284A41" w14:paraId="09C390C3" w14:textId="77777777" w:rsidTr="001F10E4">
        <w:trPr>
          <w:trHeight w:val="275"/>
        </w:trPr>
        <w:tc>
          <w:tcPr>
            <w:tcW w:w="2500" w:type="pct"/>
          </w:tcPr>
          <w:p w14:paraId="6162BE5E" w14:textId="77777777" w:rsidR="00AF537D" w:rsidRPr="00284A41" w:rsidRDefault="00AF537D" w:rsidP="00AF537D">
            <w:pPr>
              <w:keepNext/>
              <w:keepLines/>
              <w:rPr>
                <w:rFonts w:eastAsia="Arial" w:cstheme="minorHAnsi"/>
                <w:b/>
                <w:bCs/>
                <w:szCs w:val="18"/>
              </w:rPr>
            </w:pPr>
            <w:r w:rsidRPr="00284A41">
              <w:rPr>
                <w:rFonts w:eastAsia="Arial" w:cstheme="minorHAnsi"/>
                <w:szCs w:val="18"/>
              </w:rPr>
              <w:t>Number of staff (log)</w:t>
            </w:r>
          </w:p>
        </w:tc>
        <w:tc>
          <w:tcPr>
            <w:tcW w:w="625" w:type="pct"/>
          </w:tcPr>
          <w:p w14:paraId="242E089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-2.72**</w:t>
            </w:r>
          </w:p>
        </w:tc>
        <w:tc>
          <w:tcPr>
            <w:tcW w:w="625" w:type="pct"/>
          </w:tcPr>
          <w:p w14:paraId="150B9C83"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-2.74**</w:t>
            </w:r>
          </w:p>
        </w:tc>
        <w:tc>
          <w:tcPr>
            <w:tcW w:w="625" w:type="pct"/>
          </w:tcPr>
          <w:p w14:paraId="79800E6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-2.25**</w:t>
            </w:r>
          </w:p>
        </w:tc>
        <w:tc>
          <w:tcPr>
            <w:tcW w:w="625" w:type="pct"/>
          </w:tcPr>
          <w:p w14:paraId="40B563D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-4.81**</w:t>
            </w:r>
          </w:p>
        </w:tc>
      </w:tr>
      <w:tr w:rsidR="00AF537D" w:rsidRPr="00284A41" w14:paraId="36F29021" w14:textId="77777777" w:rsidTr="001F10E4">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2E954D07" w14:textId="77777777" w:rsidR="00AF537D" w:rsidRPr="00284A41" w:rsidRDefault="00AF537D" w:rsidP="00AF537D">
            <w:pPr>
              <w:keepNext/>
              <w:keepLines/>
              <w:rPr>
                <w:rFonts w:eastAsia="Arial" w:cstheme="minorHAnsi"/>
                <w:b/>
                <w:bCs/>
                <w:szCs w:val="18"/>
              </w:rPr>
            </w:pPr>
            <w:r w:rsidRPr="00284A41">
              <w:rPr>
                <w:rFonts w:eastAsia="Arial" w:cstheme="minorHAnsi"/>
                <w:szCs w:val="18"/>
              </w:rPr>
              <w:t>Staff-supervisor ratio (log)</w:t>
            </w:r>
          </w:p>
        </w:tc>
        <w:tc>
          <w:tcPr>
            <w:tcW w:w="625" w:type="pct"/>
          </w:tcPr>
          <w:p w14:paraId="30B8C44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2.23**</w:t>
            </w:r>
          </w:p>
        </w:tc>
        <w:tc>
          <w:tcPr>
            <w:tcW w:w="625" w:type="pct"/>
          </w:tcPr>
          <w:p w14:paraId="3B4DF317"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2.97**</w:t>
            </w:r>
          </w:p>
        </w:tc>
        <w:tc>
          <w:tcPr>
            <w:tcW w:w="625" w:type="pct"/>
          </w:tcPr>
          <w:p w14:paraId="38738E6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1.93**</w:t>
            </w:r>
          </w:p>
        </w:tc>
        <w:tc>
          <w:tcPr>
            <w:tcW w:w="625" w:type="pct"/>
          </w:tcPr>
          <w:p w14:paraId="442ABF1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1.98**</w:t>
            </w:r>
          </w:p>
        </w:tc>
      </w:tr>
      <w:tr w:rsidR="00AF537D" w:rsidRPr="0042216D" w14:paraId="161513D0" w14:textId="77777777" w:rsidTr="001F10E4">
        <w:trPr>
          <w:cnfStyle w:val="010000000000" w:firstRow="0" w:lastRow="1" w:firstColumn="0" w:lastColumn="0" w:oddVBand="0" w:evenVBand="0" w:oddHBand="0" w:evenHBand="0" w:firstRowFirstColumn="0" w:firstRowLastColumn="0" w:lastRowFirstColumn="0" w:lastRowLastColumn="0"/>
          <w:trHeight w:val="275"/>
        </w:trPr>
        <w:tc>
          <w:tcPr>
            <w:tcW w:w="2500" w:type="pct"/>
          </w:tcPr>
          <w:p w14:paraId="12901E9A" w14:textId="77777777" w:rsidR="00AF537D" w:rsidRPr="0042216D" w:rsidRDefault="00AF537D" w:rsidP="00AF537D">
            <w:pPr>
              <w:keepNext/>
              <w:keepLines/>
              <w:rPr>
                <w:rFonts w:eastAsia="Arial" w:cstheme="minorHAnsi"/>
                <w:bCs w:val="0"/>
                <w:szCs w:val="18"/>
              </w:rPr>
            </w:pPr>
            <w:r w:rsidRPr="0042216D">
              <w:rPr>
                <w:rFonts w:eastAsia="Arial" w:cstheme="minorHAnsi"/>
                <w:szCs w:val="18"/>
              </w:rPr>
              <w:t>R</w:t>
            </w:r>
            <w:r w:rsidRPr="0042216D">
              <w:rPr>
                <w:rFonts w:eastAsia="Arial" w:cstheme="minorHAnsi"/>
                <w:szCs w:val="18"/>
                <w:vertAlign w:val="superscript"/>
              </w:rPr>
              <w:t>2</w:t>
            </w:r>
          </w:p>
        </w:tc>
        <w:tc>
          <w:tcPr>
            <w:tcW w:w="625" w:type="pct"/>
          </w:tcPr>
          <w:p w14:paraId="3DF2C0E7"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4.6%</w:t>
            </w:r>
          </w:p>
        </w:tc>
        <w:tc>
          <w:tcPr>
            <w:tcW w:w="625" w:type="pct"/>
          </w:tcPr>
          <w:p w14:paraId="24DF3849"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3.7%</w:t>
            </w:r>
          </w:p>
        </w:tc>
        <w:tc>
          <w:tcPr>
            <w:tcW w:w="625" w:type="pct"/>
          </w:tcPr>
          <w:p w14:paraId="227EFE3F"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2.9%</w:t>
            </w:r>
          </w:p>
        </w:tc>
        <w:tc>
          <w:tcPr>
            <w:tcW w:w="625" w:type="pct"/>
          </w:tcPr>
          <w:p w14:paraId="7CEC736D"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4.0%</w:t>
            </w:r>
          </w:p>
        </w:tc>
      </w:tr>
    </w:tbl>
    <w:p w14:paraId="68FEADF0" w14:textId="16E915AE"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(586 observations).</w:t>
      </w:r>
    </w:p>
    <w:p w14:paraId="5767CE88" w14:textId="77777777" w:rsidR="00B821D8" w:rsidRPr="00284A41" w:rsidRDefault="00B821D8" w:rsidP="001E796D">
      <w:pPr>
        <w:pStyle w:val="Heading3"/>
      </w:pPr>
      <w:r w:rsidRPr="00284A41">
        <w:t>Supervision ratio</w:t>
      </w:r>
      <w:r w:rsidR="00A60EEE" w:rsidRPr="00284A41">
        <w:t>s</w:t>
      </w:r>
    </w:p>
    <w:p w14:paraId="446B2986" w14:textId="0A961338" w:rsidR="00E4185C" w:rsidRPr="00284A41" w:rsidRDefault="00BF1062" w:rsidP="00FB6354">
      <w:pPr>
        <w:spacing w:before="160" w:after="160" w:line="320" w:lineRule="atLeast"/>
      </w:pPr>
      <w:r w:rsidRPr="00284A41">
        <w:t xml:space="preserve">There is some evidence from the Financial Benchmarking Survey that supervisors in SIL settings have </w:t>
      </w:r>
      <w:r w:rsidRPr="00284A41">
        <w:rPr>
          <w:rFonts w:ascii="Arial" w:eastAsia="Arial" w:hAnsi="Arial" w:cs="Times New Roman"/>
        </w:rPr>
        <w:t>higher</w:t>
      </w:r>
      <w:r w:rsidRPr="00284A41">
        <w:t xml:space="preserve"> spans of controls than in non-SIL settings (</w:t>
      </w:r>
      <w:r w:rsidRPr="00284A41">
        <w:fldChar w:fldCharType="begin"/>
      </w:r>
      <w:r w:rsidRPr="00284A41">
        <w:instrText xml:space="preserve"> REF _Ref68347770 \h </w:instrText>
      </w:r>
      <w:r w:rsidR="00A1778D" w:rsidRPr="00284A41">
        <w:instrText xml:space="preserve"> \* MERGEFORMAT </w:instrText>
      </w:r>
      <w:r w:rsidRPr="00284A41">
        <w:fldChar w:fldCharType="separate"/>
      </w:r>
      <w:r w:rsidR="00E0689D" w:rsidRPr="00284A41">
        <w:t xml:space="preserve">Exhibit </w:t>
      </w:r>
      <w:r w:rsidR="00E0689D">
        <w:rPr>
          <w:noProof/>
        </w:rPr>
        <w:t>24</w:t>
      </w:r>
      <w:r w:rsidRPr="00284A41">
        <w:fldChar w:fldCharType="end"/>
      </w:r>
      <w:r w:rsidRPr="00284A41">
        <w:t xml:space="preserve"> and</w:t>
      </w:r>
      <w:r w:rsidR="00FB6354" w:rsidRPr="00284A41">
        <w:t xml:space="preserve"> </w:t>
      </w:r>
      <w:r w:rsidR="00FB6354" w:rsidRPr="00284A41">
        <w:fldChar w:fldCharType="begin"/>
      </w:r>
      <w:r w:rsidR="00FB6354" w:rsidRPr="00284A41">
        <w:instrText xml:space="preserve"> REF _Ref68358912 \h </w:instrText>
      </w:r>
      <w:r w:rsidR="00A1778D" w:rsidRPr="00284A41">
        <w:instrText xml:space="preserve"> \* MERGEFORMAT </w:instrText>
      </w:r>
      <w:r w:rsidR="00FB6354" w:rsidRPr="00284A41">
        <w:fldChar w:fldCharType="separate"/>
      </w:r>
      <w:r w:rsidR="00E0689D" w:rsidRPr="00284A41">
        <w:t xml:space="preserve">Exhibit </w:t>
      </w:r>
      <w:r w:rsidR="00E0689D">
        <w:rPr>
          <w:noProof/>
        </w:rPr>
        <w:t>25</w:t>
      </w:r>
      <w:r w:rsidR="00FB6354" w:rsidRPr="00284A41">
        <w:fldChar w:fldCharType="end"/>
      </w:r>
      <w:r w:rsidRPr="00284A41">
        <w:t xml:space="preserve">). </w:t>
      </w:r>
    </w:p>
    <w:p w14:paraId="6928201D" w14:textId="6FACA619" w:rsidR="00107E35" w:rsidRDefault="00107E35" w:rsidP="00107E35">
      <w:r w:rsidRPr="00284A41">
        <w:t xml:space="preserve">Supervisors in non-SIL settings have an average span of control of 10.9 to 1 while supervisors in mixed </w:t>
      </w:r>
      <w:r w:rsidR="00B77DB9" w:rsidRPr="00284A41">
        <w:t>SIL/ADL</w:t>
      </w:r>
      <w:r w:rsidRPr="00284A41">
        <w:t xml:space="preserve"> settings have an average span of control of 13.0 to 1. A similar difference is apparent amongst efficient providers, where the spans of control in SIL and non-SIL settings are 16.7 to 1 and 14.5 to 1 respectively.</w:t>
      </w:r>
    </w:p>
    <w:p w14:paraId="5E24C5A8" w14:textId="006F2CC8" w:rsidR="00B403B3" w:rsidRPr="00284A41" w:rsidRDefault="009A5136" w:rsidP="00066859">
      <w:pPr>
        <w:pStyle w:val="Caption"/>
      </w:pPr>
      <w:bookmarkStart w:id="149" w:name="_Ref68347770"/>
      <w:bookmarkStart w:id="150" w:name="_Ref65244126"/>
      <w:bookmarkStart w:id="151" w:name="_Ref65244121"/>
      <w:bookmarkStart w:id="152" w:name="_Toc75881527"/>
      <w:r w:rsidRPr="00284A41">
        <w:t xml:space="preserve">Exhibit </w:t>
      </w:r>
      <w:r w:rsidR="00935584">
        <w:fldChar w:fldCharType="begin"/>
      </w:r>
      <w:r w:rsidR="00935584">
        <w:instrText xml:space="preserve"> SEQ Exhibit \* ARABIC </w:instrText>
      </w:r>
      <w:r w:rsidR="00935584">
        <w:fldChar w:fldCharType="separate"/>
      </w:r>
      <w:r w:rsidR="00E0689D">
        <w:rPr>
          <w:noProof/>
        </w:rPr>
        <w:t>24</w:t>
      </w:r>
      <w:r w:rsidR="00935584">
        <w:rPr>
          <w:noProof/>
        </w:rPr>
        <w:fldChar w:fldCharType="end"/>
      </w:r>
      <w:bookmarkEnd w:id="149"/>
      <w:r w:rsidRPr="00284A41">
        <w:t xml:space="preserve">: </w:t>
      </w:r>
      <w:bookmarkEnd w:id="150"/>
      <w:r w:rsidR="00264B60" w:rsidRPr="00284A41">
        <w:t>Box P</w:t>
      </w:r>
      <w:r w:rsidR="00B403B3" w:rsidRPr="00284A41">
        <w:t xml:space="preserve">lot </w:t>
      </w:r>
      <w:r w:rsidR="00264B60" w:rsidRPr="00284A41">
        <w:t>–</w:t>
      </w:r>
      <w:r w:rsidR="00B403B3" w:rsidRPr="00284A41">
        <w:t xml:space="preserve"> </w:t>
      </w:r>
      <w:bookmarkEnd w:id="151"/>
      <w:r w:rsidR="00452B36" w:rsidRPr="00284A41">
        <w:t>Supervision Rati</w:t>
      </w:r>
      <w:r w:rsidR="00B62894" w:rsidRPr="00284A41">
        <w:t>o</w:t>
      </w:r>
      <w:bookmarkEnd w:id="152"/>
    </w:p>
    <w:p w14:paraId="43BF9EEA" w14:textId="77777777" w:rsidR="0030773F" w:rsidRPr="00284A41" w:rsidRDefault="00254E1A" w:rsidP="008A5FC2">
      <w:pPr>
        <w:spacing w:before="0" w:after="0"/>
        <w:ind w:left="431" w:hanging="431"/>
        <w:jc w:val="center"/>
        <w:rPr>
          <w:noProof/>
          <w:lang w:eastAsia="en-AU"/>
        </w:rPr>
      </w:pPr>
      <w:r w:rsidRPr="00284A41">
        <w:rPr>
          <w:noProof/>
          <w:lang w:eastAsia="en-AU"/>
        </w:rPr>
        <w:drawing>
          <wp:inline distT="0" distB="0" distL="0" distR="0" wp14:anchorId="2E9E3BCC" wp14:editId="3866494D">
            <wp:extent cx="5400000" cy="2854800"/>
            <wp:effectExtent l="0" t="0" r="0" b="3175"/>
            <wp:docPr id="13" name="Picture 13" descr="A box plot to show the Supervision Ratios across the levels of SIL provision (based on revenue) based on the 25th percentile (efficient providers). Based on supervisor to staff ratios.&#10;Non-SIL providers were 14.50. &#10;SIL provision 0-25% were 16.72.&#10;SIL provision 26-50% were 13.90.&#10;SIL provision 51-75% were 17.27.&#10;SIL provision 76-100% were 19.71." title="Exhibit 24: Box Plot – Supervision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00" cy="2854800"/>
                    </a:xfrm>
                    <a:prstGeom prst="rect">
                      <a:avLst/>
                    </a:prstGeom>
                    <a:noFill/>
                    <a:ln>
                      <a:noFill/>
                    </a:ln>
                  </pic:spPr>
                </pic:pic>
              </a:graphicData>
            </a:graphic>
          </wp:inline>
        </w:drawing>
      </w:r>
    </w:p>
    <w:p w14:paraId="29404B87" w14:textId="77777777" w:rsidR="00B62894" w:rsidRPr="00284A41" w:rsidRDefault="00B62894" w:rsidP="0042216D">
      <w:pPr>
        <w:spacing w:before="0"/>
        <w:ind w:left="284"/>
        <w:jc w:val="center"/>
        <w:rPr>
          <w:sz w:val="18"/>
          <w:szCs w:val="18"/>
        </w:rPr>
      </w:pPr>
      <w:bookmarkStart w:id="153" w:name="_Ref68347760"/>
      <w:bookmarkStart w:id="154" w:name="_Ref66884764"/>
      <w:bookmarkStart w:id="155" w:name="_Toc68003300"/>
      <w:r w:rsidRPr="00284A41">
        <w:rPr>
          <w:sz w:val="18"/>
          <w:szCs w:val="18"/>
        </w:rPr>
        <w:t>Note: Data labels for the 25th percentile are shown to highlight the efficient frontier within each category</w:t>
      </w:r>
    </w:p>
    <w:p w14:paraId="48491971" w14:textId="4F3EB809" w:rsidR="006B6945" w:rsidRPr="00284A41" w:rsidRDefault="009A5136" w:rsidP="00E4185C">
      <w:pPr>
        <w:pStyle w:val="Caption"/>
        <w:keepNext w:val="0"/>
      </w:pPr>
      <w:bookmarkStart w:id="156" w:name="_Ref68358912"/>
      <w:bookmarkStart w:id="157" w:name="_Toc75881528"/>
      <w:r w:rsidRPr="00284A41">
        <w:t xml:space="preserve">Exhibit </w:t>
      </w:r>
      <w:r w:rsidR="00935584">
        <w:fldChar w:fldCharType="begin"/>
      </w:r>
      <w:r w:rsidR="00935584">
        <w:instrText xml:space="preserve"> SEQ Exhibit \* ARABIC </w:instrText>
      </w:r>
      <w:r w:rsidR="00935584">
        <w:fldChar w:fldCharType="separate"/>
      </w:r>
      <w:r w:rsidR="00E0689D">
        <w:rPr>
          <w:noProof/>
        </w:rPr>
        <w:t>25</w:t>
      </w:r>
      <w:r w:rsidR="00935584">
        <w:rPr>
          <w:noProof/>
        </w:rPr>
        <w:fldChar w:fldCharType="end"/>
      </w:r>
      <w:bookmarkEnd w:id="153"/>
      <w:bookmarkEnd w:id="156"/>
      <w:r w:rsidRPr="00284A41">
        <w:t xml:space="preserve">: </w:t>
      </w:r>
      <w:bookmarkEnd w:id="154"/>
      <w:r w:rsidR="00066859" w:rsidRPr="00284A41">
        <w:t>Summary S</w:t>
      </w:r>
      <w:r w:rsidR="006B6945" w:rsidRPr="00284A41">
        <w:t xml:space="preserve">tatistics </w:t>
      </w:r>
      <w:r w:rsidR="00452B36" w:rsidRPr="00284A41">
        <w:softHyphen/>
        <w:t xml:space="preserve">– Supervision </w:t>
      </w:r>
      <w:bookmarkEnd w:id="155"/>
      <w:r w:rsidR="00452B36" w:rsidRPr="00284A41">
        <w:t>Ratio</w:t>
      </w:r>
      <w:bookmarkEnd w:id="157"/>
    </w:p>
    <w:tbl>
      <w:tblPr>
        <w:tblStyle w:val="GridTable4-Accent4"/>
        <w:tblW w:w="9079" w:type="dxa"/>
        <w:tblLook w:val="0420" w:firstRow="1" w:lastRow="0" w:firstColumn="0" w:lastColumn="0" w:noHBand="0" w:noVBand="1"/>
        <w:tblCaption w:val="Exhibit 25: Summary Statistics ¬– Supervision Ratio"/>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9A5136" w:rsidRPr="00284A41" w14:paraId="155CBF68"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3761E3A9" w14:textId="77777777" w:rsidR="009A5136" w:rsidRPr="00284A41" w:rsidRDefault="006842C8" w:rsidP="00E4185C">
            <w:pPr>
              <w:rPr>
                <w:rFonts w:ascii="Arial" w:eastAsia="Arial" w:hAnsi="Arial" w:cs="Arial"/>
                <w:szCs w:val="20"/>
              </w:rPr>
            </w:pPr>
            <w:r w:rsidRPr="00284A41">
              <w:rPr>
                <w:rFonts w:ascii="Arial" w:eastAsia="Arial" w:hAnsi="Arial" w:cs="Arial"/>
                <w:szCs w:val="20"/>
              </w:rPr>
              <w:t>Respondent type</w:t>
            </w:r>
          </w:p>
        </w:tc>
        <w:tc>
          <w:tcPr>
            <w:tcW w:w="625" w:type="pct"/>
          </w:tcPr>
          <w:p w14:paraId="41679B8B"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Sample size</w:t>
            </w:r>
          </w:p>
        </w:tc>
        <w:tc>
          <w:tcPr>
            <w:tcW w:w="625" w:type="pct"/>
          </w:tcPr>
          <w:p w14:paraId="3EC6F279"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Mean</w:t>
            </w:r>
          </w:p>
        </w:tc>
        <w:tc>
          <w:tcPr>
            <w:tcW w:w="625" w:type="pct"/>
          </w:tcPr>
          <w:p w14:paraId="7150D0AA"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Median</w:t>
            </w:r>
          </w:p>
        </w:tc>
        <w:tc>
          <w:tcPr>
            <w:tcW w:w="625" w:type="pct"/>
          </w:tcPr>
          <w:p w14:paraId="4461F940"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7DA3F0E0"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2DABA41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227C057" w14:textId="77777777" w:rsidR="001330ED" w:rsidRPr="00284A41" w:rsidRDefault="001330ED" w:rsidP="001330ED">
            <w:pPr>
              <w:rPr>
                <w:rFonts w:ascii="Arial" w:eastAsia="Arial" w:hAnsi="Arial" w:cs="Arial"/>
                <w:szCs w:val="20"/>
              </w:rPr>
            </w:pPr>
            <w:r w:rsidRPr="00284A41">
              <w:rPr>
                <w:rFonts w:ascii="Arial" w:eastAsia="Arial" w:hAnsi="Arial" w:cs="Arial"/>
                <w:szCs w:val="20"/>
              </w:rPr>
              <w:t>All respondents</w:t>
            </w:r>
          </w:p>
        </w:tc>
        <w:tc>
          <w:tcPr>
            <w:tcW w:w="625" w:type="pct"/>
          </w:tcPr>
          <w:p w14:paraId="6A0A8EFD" w14:textId="2E7D4B12" w:rsidR="001330ED" w:rsidRPr="00284A41" w:rsidRDefault="001330ED" w:rsidP="001330ED">
            <w:pPr>
              <w:jc w:val="center"/>
              <w:rPr>
                <w:rFonts w:ascii="Arial" w:eastAsia="Arial" w:hAnsi="Arial" w:cs="Arial"/>
                <w:szCs w:val="20"/>
              </w:rPr>
            </w:pPr>
            <w:r w:rsidRPr="00284A41">
              <w:t>794</w:t>
            </w:r>
          </w:p>
        </w:tc>
        <w:tc>
          <w:tcPr>
            <w:tcW w:w="625" w:type="pct"/>
          </w:tcPr>
          <w:p w14:paraId="321C6165" w14:textId="17B5B4E7" w:rsidR="001330ED" w:rsidRPr="00284A41" w:rsidRDefault="001330ED" w:rsidP="001330ED">
            <w:pPr>
              <w:jc w:val="center"/>
              <w:rPr>
                <w:rFonts w:ascii="Arial" w:eastAsia="Arial" w:hAnsi="Arial" w:cs="Arial"/>
                <w:szCs w:val="20"/>
              </w:rPr>
            </w:pPr>
            <w:r w:rsidRPr="00284A41">
              <w:t>11.47</w:t>
            </w:r>
          </w:p>
        </w:tc>
        <w:tc>
          <w:tcPr>
            <w:tcW w:w="625" w:type="pct"/>
          </w:tcPr>
          <w:p w14:paraId="05D11F3C" w14:textId="30E9C0B6" w:rsidR="001330ED" w:rsidRPr="00284A41" w:rsidRDefault="001330ED" w:rsidP="001330ED">
            <w:pPr>
              <w:jc w:val="center"/>
              <w:rPr>
                <w:rFonts w:ascii="Arial" w:eastAsia="Arial" w:hAnsi="Arial" w:cs="Arial"/>
                <w:szCs w:val="20"/>
              </w:rPr>
            </w:pPr>
            <w:r w:rsidRPr="00284A41">
              <w:t>8.55</w:t>
            </w:r>
          </w:p>
        </w:tc>
        <w:tc>
          <w:tcPr>
            <w:tcW w:w="625" w:type="pct"/>
          </w:tcPr>
          <w:p w14:paraId="42A7F579" w14:textId="1292C1D7" w:rsidR="001330ED" w:rsidRPr="00284A41" w:rsidRDefault="001330ED" w:rsidP="001330ED">
            <w:pPr>
              <w:jc w:val="center"/>
              <w:rPr>
                <w:rFonts w:ascii="Arial" w:eastAsia="Arial" w:hAnsi="Arial" w:cs="Arial"/>
                <w:szCs w:val="20"/>
              </w:rPr>
            </w:pPr>
            <w:r w:rsidRPr="00284A41">
              <w:t>5.00</w:t>
            </w:r>
          </w:p>
        </w:tc>
        <w:tc>
          <w:tcPr>
            <w:tcW w:w="625" w:type="pct"/>
          </w:tcPr>
          <w:p w14:paraId="4080F108" w14:textId="2322FFAB" w:rsidR="001330ED" w:rsidRPr="00284A41" w:rsidRDefault="001330ED" w:rsidP="001330ED">
            <w:pPr>
              <w:jc w:val="center"/>
              <w:rPr>
                <w:rFonts w:ascii="Arial" w:eastAsia="Arial" w:hAnsi="Arial" w:cs="Arial"/>
                <w:szCs w:val="20"/>
              </w:rPr>
            </w:pPr>
            <w:r w:rsidRPr="00284A41">
              <w:t>15.00</w:t>
            </w:r>
          </w:p>
        </w:tc>
      </w:tr>
      <w:tr w:rsidR="009A5136" w:rsidRPr="00284A41" w14:paraId="7A68F275" w14:textId="77777777" w:rsidTr="0042216D">
        <w:trPr>
          <w:trHeight w:val="276"/>
        </w:trPr>
        <w:tc>
          <w:tcPr>
            <w:tcW w:w="1875" w:type="pct"/>
          </w:tcPr>
          <w:p w14:paraId="2CC2B437" w14:textId="77777777" w:rsidR="009A5136" w:rsidRPr="00284A41" w:rsidRDefault="009A5136" w:rsidP="00E4185C">
            <w:pPr>
              <w:rPr>
                <w:rFonts w:ascii="Arial" w:eastAsia="Arial" w:hAnsi="Arial" w:cs="Arial"/>
                <w:szCs w:val="20"/>
              </w:rPr>
            </w:pPr>
            <w:r w:rsidRPr="00284A41">
              <w:rPr>
                <w:rFonts w:ascii="Arial" w:eastAsia="Arial" w:hAnsi="Arial" w:cs="Arial"/>
                <w:szCs w:val="20"/>
              </w:rPr>
              <w:t>Non-SIL respondents</w:t>
            </w:r>
          </w:p>
        </w:tc>
        <w:tc>
          <w:tcPr>
            <w:tcW w:w="625" w:type="pct"/>
          </w:tcPr>
          <w:p w14:paraId="44885BC0" w14:textId="77777777" w:rsidR="009A5136" w:rsidRPr="00284A41" w:rsidRDefault="009A5136" w:rsidP="00E4185C">
            <w:pPr>
              <w:jc w:val="center"/>
              <w:rPr>
                <w:rFonts w:ascii="Arial" w:eastAsia="Arial" w:hAnsi="Arial" w:cs="Arial"/>
                <w:szCs w:val="20"/>
              </w:rPr>
            </w:pPr>
            <w:r w:rsidRPr="00284A41">
              <w:rPr>
                <w:szCs w:val="20"/>
              </w:rPr>
              <w:t>580</w:t>
            </w:r>
          </w:p>
        </w:tc>
        <w:tc>
          <w:tcPr>
            <w:tcW w:w="625" w:type="pct"/>
          </w:tcPr>
          <w:p w14:paraId="3E34B050" w14:textId="77777777" w:rsidR="009A5136" w:rsidRPr="00284A41" w:rsidRDefault="009A5136" w:rsidP="00E4185C">
            <w:pPr>
              <w:jc w:val="center"/>
              <w:rPr>
                <w:rFonts w:ascii="Arial" w:eastAsia="Arial" w:hAnsi="Arial" w:cs="Arial"/>
                <w:szCs w:val="20"/>
              </w:rPr>
            </w:pPr>
            <w:r w:rsidRPr="00284A41">
              <w:rPr>
                <w:szCs w:val="20"/>
              </w:rPr>
              <w:t>10.89</w:t>
            </w:r>
          </w:p>
        </w:tc>
        <w:tc>
          <w:tcPr>
            <w:tcW w:w="625" w:type="pct"/>
          </w:tcPr>
          <w:p w14:paraId="065CC58F" w14:textId="77777777" w:rsidR="009A5136" w:rsidRPr="00284A41" w:rsidRDefault="009A5136" w:rsidP="00E4185C">
            <w:pPr>
              <w:jc w:val="center"/>
              <w:rPr>
                <w:rFonts w:ascii="Arial" w:eastAsia="Arial" w:hAnsi="Arial" w:cs="Arial"/>
                <w:szCs w:val="20"/>
              </w:rPr>
            </w:pPr>
            <w:r w:rsidRPr="00284A41">
              <w:rPr>
                <w:szCs w:val="20"/>
              </w:rPr>
              <w:t>8.00</w:t>
            </w:r>
          </w:p>
        </w:tc>
        <w:tc>
          <w:tcPr>
            <w:tcW w:w="625" w:type="pct"/>
          </w:tcPr>
          <w:p w14:paraId="30139FEB" w14:textId="77777777" w:rsidR="009A5136" w:rsidRPr="00284A41" w:rsidRDefault="009A5136" w:rsidP="00E4185C">
            <w:pPr>
              <w:jc w:val="center"/>
              <w:rPr>
                <w:rFonts w:ascii="Arial" w:eastAsia="Arial" w:hAnsi="Arial" w:cs="Arial"/>
                <w:szCs w:val="20"/>
              </w:rPr>
            </w:pPr>
            <w:r w:rsidRPr="00284A41">
              <w:rPr>
                <w:szCs w:val="20"/>
              </w:rPr>
              <w:t>4.00</w:t>
            </w:r>
          </w:p>
        </w:tc>
        <w:tc>
          <w:tcPr>
            <w:tcW w:w="625" w:type="pct"/>
          </w:tcPr>
          <w:p w14:paraId="7BEAD136" w14:textId="77777777" w:rsidR="009A5136" w:rsidRPr="00284A41" w:rsidRDefault="009A5136" w:rsidP="00E4185C">
            <w:pPr>
              <w:jc w:val="center"/>
              <w:rPr>
                <w:rFonts w:ascii="Arial" w:eastAsia="Arial" w:hAnsi="Arial" w:cs="Arial"/>
                <w:szCs w:val="20"/>
              </w:rPr>
            </w:pPr>
            <w:r w:rsidRPr="00284A41">
              <w:rPr>
                <w:szCs w:val="20"/>
              </w:rPr>
              <w:t>14.50</w:t>
            </w:r>
          </w:p>
        </w:tc>
      </w:tr>
      <w:tr w:rsidR="009A5136" w:rsidRPr="00284A41" w14:paraId="4099A5B0"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72A7DCC" w14:textId="77777777" w:rsidR="009A5136" w:rsidRPr="00284A41" w:rsidRDefault="009A5136" w:rsidP="00E4185C">
            <w:pPr>
              <w:rPr>
                <w:rFonts w:ascii="Arial" w:eastAsia="Arial" w:hAnsi="Arial" w:cs="Arial"/>
                <w:szCs w:val="20"/>
              </w:rPr>
            </w:pPr>
            <w:r w:rsidRPr="00284A41">
              <w:rPr>
                <w:rFonts w:ascii="Arial" w:eastAsia="Arial" w:hAnsi="Arial" w:cs="Arial"/>
                <w:szCs w:val="20"/>
              </w:rPr>
              <w:t>Mixed (SIL/ADL) respondents</w:t>
            </w:r>
          </w:p>
        </w:tc>
        <w:tc>
          <w:tcPr>
            <w:tcW w:w="625" w:type="pct"/>
          </w:tcPr>
          <w:p w14:paraId="2428C85D" w14:textId="77777777" w:rsidR="009A5136" w:rsidRPr="00284A41" w:rsidRDefault="009A5136" w:rsidP="00E4185C">
            <w:pPr>
              <w:jc w:val="center"/>
              <w:rPr>
                <w:rFonts w:ascii="Arial" w:eastAsia="Arial" w:hAnsi="Arial" w:cs="Arial"/>
                <w:szCs w:val="20"/>
              </w:rPr>
            </w:pPr>
            <w:r w:rsidRPr="00284A41">
              <w:rPr>
                <w:szCs w:val="20"/>
              </w:rPr>
              <w:t>214</w:t>
            </w:r>
          </w:p>
        </w:tc>
        <w:tc>
          <w:tcPr>
            <w:tcW w:w="625" w:type="pct"/>
          </w:tcPr>
          <w:p w14:paraId="4B9B55AD" w14:textId="77777777" w:rsidR="009A5136" w:rsidRPr="00284A41" w:rsidRDefault="009A5136" w:rsidP="00E4185C">
            <w:pPr>
              <w:jc w:val="center"/>
              <w:rPr>
                <w:rFonts w:ascii="Arial" w:eastAsia="Arial" w:hAnsi="Arial" w:cs="Arial"/>
                <w:szCs w:val="20"/>
              </w:rPr>
            </w:pPr>
            <w:r w:rsidRPr="00284A41">
              <w:rPr>
                <w:szCs w:val="20"/>
              </w:rPr>
              <w:t>13.02</w:t>
            </w:r>
          </w:p>
        </w:tc>
        <w:tc>
          <w:tcPr>
            <w:tcW w:w="625" w:type="pct"/>
          </w:tcPr>
          <w:p w14:paraId="2132A90A" w14:textId="77777777" w:rsidR="009A5136" w:rsidRPr="00284A41" w:rsidRDefault="009A5136" w:rsidP="00E4185C">
            <w:pPr>
              <w:jc w:val="center"/>
              <w:rPr>
                <w:rFonts w:ascii="Arial" w:eastAsia="Arial" w:hAnsi="Arial" w:cs="Arial"/>
                <w:szCs w:val="20"/>
              </w:rPr>
            </w:pPr>
            <w:r w:rsidRPr="00284A41">
              <w:rPr>
                <w:szCs w:val="20"/>
              </w:rPr>
              <w:t>10.75</w:t>
            </w:r>
          </w:p>
        </w:tc>
        <w:tc>
          <w:tcPr>
            <w:tcW w:w="625" w:type="pct"/>
          </w:tcPr>
          <w:p w14:paraId="2F8B9A48" w14:textId="77777777" w:rsidR="009A5136" w:rsidRPr="00284A41" w:rsidRDefault="009A5136" w:rsidP="00E4185C">
            <w:pPr>
              <w:jc w:val="center"/>
              <w:rPr>
                <w:rFonts w:ascii="Arial" w:eastAsia="Arial" w:hAnsi="Arial" w:cs="Arial"/>
                <w:szCs w:val="20"/>
              </w:rPr>
            </w:pPr>
            <w:r w:rsidRPr="00284A41">
              <w:rPr>
                <w:szCs w:val="20"/>
              </w:rPr>
              <w:t>6.40</w:t>
            </w:r>
          </w:p>
        </w:tc>
        <w:tc>
          <w:tcPr>
            <w:tcW w:w="625" w:type="pct"/>
          </w:tcPr>
          <w:p w14:paraId="19AA9819" w14:textId="77777777" w:rsidR="009A5136" w:rsidRPr="00284A41" w:rsidRDefault="009A5136" w:rsidP="00E4185C">
            <w:pPr>
              <w:jc w:val="center"/>
              <w:rPr>
                <w:rFonts w:ascii="Arial" w:eastAsia="Arial" w:hAnsi="Arial" w:cs="Arial"/>
                <w:szCs w:val="20"/>
              </w:rPr>
            </w:pPr>
            <w:r w:rsidRPr="00284A41">
              <w:rPr>
                <w:szCs w:val="20"/>
              </w:rPr>
              <w:t>16.67</w:t>
            </w:r>
          </w:p>
        </w:tc>
      </w:tr>
      <w:tr w:rsidR="009A5136" w:rsidRPr="00284A41" w14:paraId="31B26423" w14:textId="77777777" w:rsidTr="0042216D">
        <w:trPr>
          <w:trHeight w:val="281"/>
        </w:trPr>
        <w:tc>
          <w:tcPr>
            <w:tcW w:w="1875" w:type="pct"/>
          </w:tcPr>
          <w:p w14:paraId="61762A07"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0-25% SIL respondents</w:t>
            </w:r>
          </w:p>
        </w:tc>
        <w:tc>
          <w:tcPr>
            <w:tcW w:w="625" w:type="pct"/>
          </w:tcPr>
          <w:p w14:paraId="0D372743" w14:textId="77777777" w:rsidR="009A5136" w:rsidRPr="00284A41" w:rsidRDefault="009A5136" w:rsidP="00E4185C">
            <w:pPr>
              <w:jc w:val="center"/>
              <w:rPr>
                <w:rFonts w:ascii="Arial" w:eastAsia="Arial" w:hAnsi="Arial" w:cs="Arial"/>
                <w:szCs w:val="20"/>
              </w:rPr>
            </w:pPr>
            <w:r w:rsidRPr="00284A41">
              <w:rPr>
                <w:szCs w:val="20"/>
              </w:rPr>
              <w:t>78</w:t>
            </w:r>
          </w:p>
        </w:tc>
        <w:tc>
          <w:tcPr>
            <w:tcW w:w="625" w:type="pct"/>
          </w:tcPr>
          <w:p w14:paraId="17E9EB37" w14:textId="77777777" w:rsidR="009A5136" w:rsidRPr="00284A41" w:rsidRDefault="009A5136" w:rsidP="00E4185C">
            <w:pPr>
              <w:jc w:val="center"/>
              <w:rPr>
                <w:rFonts w:ascii="Arial" w:eastAsia="Arial" w:hAnsi="Arial" w:cs="Arial"/>
                <w:szCs w:val="20"/>
              </w:rPr>
            </w:pPr>
            <w:r w:rsidRPr="00284A41">
              <w:rPr>
                <w:szCs w:val="20"/>
              </w:rPr>
              <w:t>13.59</w:t>
            </w:r>
          </w:p>
        </w:tc>
        <w:tc>
          <w:tcPr>
            <w:tcW w:w="625" w:type="pct"/>
          </w:tcPr>
          <w:p w14:paraId="03F16777" w14:textId="77777777" w:rsidR="009A5136" w:rsidRPr="00284A41" w:rsidRDefault="009A5136" w:rsidP="00E4185C">
            <w:pPr>
              <w:jc w:val="center"/>
              <w:rPr>
                <w:rFonts w:ascii="Arial" w:eastAsia="Arial" w:hAnsi="Arial" w:cs="Arial"/>
                <w:szCs w:val="20"/>
              </w:rPr>
            </w:pPr>
            <w:r w:rsidRPr="00284A41">
              <w:rPr>
                <w:szCs w:val="20"/>
              </w:rPr>
              <w:t>10.29</w:t>
            </w:r>
          </w:p>
        </w:tc>
        <w:tc>
          <w:tcPr>
            <w:tcW w:w="625" w:type="pct"/>
          </w:tcPr>
          <w:p w14:paraId="5F1AE279" w14:textId="77777777" w:rsidR="009A5136" w:rsidRPr="00284A41" w:rsidRDefault="009A5136" w:rsidP="00E4185C">
            <w:pPr>
              <w:jc w:val="center"/>
              <w:rPr>
                <w:rFonts w:ascii="Arial" w:eastAsia="Arial" w:hAnsi="Arial" w:cs="Arial"/>
                <w:szCs w:val="20"/>
              </w:rPr>
            </w:pPr>
            <w:r w:rsidRPr="00284A41">
              <w:rPr>
                <w:szCs w:val="20"/>
              </w:rPr>
              <w:t>6.17</w:t>
            </w:r>
          </w:p>
        </w:tc>
        <w:tc>
          <w:tcPr>
            <w:tcW w:w="625" w:type="pct"/>
          </w:tcPr>
          <w:p w14:paraId="256F162C" w14:textId="77777777" w:rsidR="009A5136" w:rsidRPr="00284A41" w:rsidRDefault="009A5136" w:rsidP="00E4185C">
            <w:pPr>
              <w:jc w:val="center"/>
              <w:rPr>
                <w:rFonts w:ascii="Arial" w:eastAsia="Arial" w:hAnsi="Arial" w:cs="Arial"/>
                <w:szCs w:val="20"/>
              </w:rPr>
            </w:pPr>
            <w:r w:rsidRPr="00284A41">
              <w:rPr>
                <w:szCs w:val="20"/>
              </w:rPr>
              <w:t>16.72</w:t>
            </w:r>
          </w:p>
        </w:tc>
      </w:tr>
      <w:tr w:rsidR="009A5136" w:rsidRPr="00284A41" w14:paraId="750816B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3B85780"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26-50% SIL respondents</w:t>
            </w:r>
          </w:p>
        </w:tc>
        <w:tc>
          <w:tcPr>
            <w:tcW w:w="625" w:type="pct"/>
          </w:tcPr>
          <w:p w14:paraId="72019998" w14:textId="77777777" w:rsidR="009A5136" w:rsidRPr="00284A41" w:rsidRDefault="009A5136" w:rsidP="00E4185C">
            <w:pPr>
              <w:jc w:val="center"/>
              <w:rPr>
                <w:rFonts w:ascii="Arial" w:eastAsia="Arial" w:hAnsi="Arial" w:cs="Arial"/>
                <w:szCs w:val="20"/>
              </w:rPr>
            </w:pPr>
            <w:r w:rsidRPr="00284A41">
              <w:rPr>
                <w:szCs w:val="20"/>
              </w:rPr>
              <w:t>46</w:t>
            </w:r>
          </w:p>
        </w:tc>
        <w:tc>
          <w:tcPr>
            <w:tcW w:w="625" w:type="pct"/>
          </w:tcPr>
          <w:p w14:paraId="426E6317" w14:textId="77777777" w:rsidR="009A5136" w:rsidRPr="00284A41" w:rsidRDefault="009A5136" w:rsidP="00E4185C">
            <w:pPr>
              <w:jc w:val="center"/>
              <w:rPr>
                <w:rFonts w:ascii="Arial" w:eastAsia="Arial" w:hAnsi="Arial" w:cs="Arial"/>
                <w:szCs w:val="20"/>
              </w:rPr>
            </w:pPr>
            <w:r w:rsidRPr="00284A41">
              <w:rPr>
                <w:szCs w:val="20"/>
              </w:rPr>
              <w:t>11.87</w:t>
            </w:r>
          </w:p>
        </w:tc>
        <w:tc>
          <w:tcPr>
            <w:tcW w:w="625" w:type="pct"/>
          </w:tcPr>
          <w:p w14:paraId="1FDC4166" w14:textId="77777777" w:rsidR="009A5136" w:rsidRPr="00284A41" w:rsidRDefault="009A5136" w:rsidP="00E4185C">
            <w:pPr>
              <w:jc w:val="center"/>
              <w:rPr>
                <w:rFonts w:ascii="Arial" w:eastAsia="Arial" w:hAnsi="Arial" w:cs="Arial"/>
                <w:szCs w:val="20"/>
              </w:rPr>
            </w:pPr>
            <w:r w:rsidRPr="00284A41">
              <w:rPr>
                <w:szCs w:val="20"/>
              </w:rPr>
              <w:t>10.96</w:t>
            </w:r>
          </w:p>
        </w:tc>
        <w:tc>
          <w:tcPr>
            <w:tcW w:w="625" w:type="pct"/>
          </w:tcPr>
          <w:p w14:paraId="5FC5A9F0" w14:textId="77777777" w:rsidR="009A5136" w:rsidRPr="00284A41" w:rsidRDefault="009A5136" w:rsidP="00E4185C">
            <w:pPr>
              <w:jc w:val="center"/>
              <w:rPr>
                <w:rFonts w:ascii="Arial" w:eastAsia="Arial" w:hAnsi="Arial" w:cs="Arial"/>
                <w:szCs w:val="20"/>
              </w:rPr>
            </w:pPr>
            <w:r w:rsidRPr="00284A41">
              <w:rPr>
                <w:szCs w:val="20"/>
              </w:rPr>
              <w:t>5.90</w:t>
            </w:r>
          </w:p>
        </w:tc>
        <w:tc>
          <w:tcPr>
            <w:tcW w:w="625" w:type="pct"/>
          </w:tcPr>
          <w:p w14:paraId="3D154BC2" w14:textId="77777777" w:rsidR="009A5136" w:rsidRPr="00284A41" w:rsidRDefault="009A5136" w:rsidP="00E4185C">
            <w:pPr>
              <w:jc w:val="center"/>
              <w:rPr>
                <w:rFonts w:ascii="Arial" w:eastAsia="Arial" w:hAnsi="Arial" w:cs="Arial"/>
                <w:szCs w:val="20"/>
              </w:rPr>
            </w:pPr>
            <w:r w:rsidRPr="00284A41">
              <w:rPr>
                <w:szCs w:val="20"/>
              </w:rPr>
              <w:t>13.90</w:t>
            </w:r>
          </w:p>
        </w:tc>
      </w:tr>
      <w:tr w:rsidR="009A5136" w:rsidRPr="00284A41" w14:paraId="2F5284F1" w14:textId="77777777" w:rsidTr="0042216D">
        <w:trPr>
          <w:trHeight w:val="281"/>
        </w:trPr>
        <w:tc>
          <w:tcPr>
            <w:tcW w:w="1875" w:type="pct"/>
          </w:tcPr>
          <w:p w14:paraId="525C17A9"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51-75% SIL respondents</w:t>
            </w:r>
          </w:p>
        </w:tc>
        <w:tc>
          <w:tcPr>
            <w:tcW w:w="625" w:type="pct"/>
          </w:tcPr>
          <w:p w14:paraId="32049C9D" w14:textId="77777777" w:rsidR="009A5136" w:rsidRPr="00284A41" w:rsidRDefault="009A5136" w:rsidP="00E4185C">
            <w:pPr>
              <w:jc w:val="center"/>
              <w:rPr>
                <w:rFonts w:ascii="Arial" w:eastAsia="Arial" w:hAnsi="Arial" w:cs="Arial"/>
                <w:szCs w:val="20"/>
              </w:rPr>
            </w:pPr>
            <w:r w:rsidRPr="00284A41">
              <w:rPr>
                <w:szCs w:val="20"/>
              </w:rPr>
              <w:t>63</w:t>
            </w:r>
          </w:p>
        </w:tc>
        <w:tc>
          <w:tcPr>
            <w:tcW w:w="625" w:type="pct"/>
          </w:tcPr>
          <w:p w14:paraId="75F9144A" w14:textId="77777777" w:rsidR="009A5136" w:rsidRPr="00284A41" w:rsidRDefault="009A5136" w:rsidP="00E4185C">
            <w:pPr>
              <w:jc w:val="center"/>
              <w:rPr>
                <w:rFonts w:ascii="Arial" w:eastAsia="Arial" w:hAnsi="Arial" w:cs="Arial"/>
                <w:szCs w:val="20"/>
              </w:rPr>
            </w:pPr>
            <w:r w:rsidRPr="00284A41">
              <w:rPr>
                <w:szCs w:val="20"/>
              </w:rPr>
              <w:t>12.84</w:t>
            </w:r>
          </w:p>
        </w:tc>
        <w:tc>
          <w:tcPr>
            <w:tcW w:w="625" w:type="pct"/>
          </w:tcPr>
          <w:p w14:paraId="6F8C523E" w14:textId="77777777" w:rsidR="009A5136" w:rsidRPr="00284A41" w:rsidRDefault="009A5136" w:rsidP="00E4185C">
            <w:pPr>
              <w:jc w:val="center"/>
              <w:rPr>
                <w:rFonts w:ascii="Arial" w:eastAsia="Arial" w:hAnsi="Arial" w:cs="Arial"/>
                <w:szCs w:val="20"/>
              </w:rPr>
            </w:pPr>
            <w:r w:rsidRPr="00284A41">
              <w:rPr>
                <w:szCs w:val="20"/>
              </w:rPr>
              <w:t>11.10</w:t>
            </w:r>
          </w:p>
        </w:tc>
        <w:tc>
          <w:tcPr>
            <w:tcW w:w="625" w:type="pct"/>
          </w:tcPr>
          <w:p w14:paraId="753BFBFF" w14:textId="77777777" w:rsidR="009A5136" w:rsidRPr="00284A41" w:rsidRDefault="009A5136" w:rsidP="00E4185C">
            <w:pPr>
              <w:jc w:val="center"/>
              <w:rPr>
                <w:rFonts w:ascii="Arial" w:eastAsia="Arial" w:hAnsi="Arial" w:cs="Arial"/>
                <w:szCs w:val="20"/>
              </w:rPr>
            </w:pPr>
            <w:r w:rsidRPr="00284A41">
              <w:rPr>
                <w:szCs w:val="20"/>
              </w:rPr>
              <w:t>7.00</w:t>
            </w:r>
          </w:p>
        </w:tc>
        <w:tc>
          <w:tcPr>
            <w:tcW w:w="625" w:type="pct"/>
          </w:tcPr>
          <w:p w14:paraId="193F5FFF" w14:textId="77777777" w:rsidR="009A5136" w:rsidRPr="00284A41" w:rsidRDefault="009A5136" w:rsidP="00E4185C">
            <w:pPr>
              <w:jc w:val="center"/>
              <w:rPr>
                <w:rFonts w:ascii="Arial" w:eastAsia="Arial" w:hAnsi="Arial" w:cs="Arial"/>
                <w:szCs w:val="20"/>
              </w:rPr>
            </w:pPr>
            <w:r w:rsidRPr="00284A41">
              <w:rPr>
                <w:szCs w:val="20"/>
              </w:rPr>
              <w:t>17.27</w:t>
            </w:r>
          </w:p>
        </w:tc>
      </w:tr>
      <w:tr w:rsidR="009A5136" w:rsidRPr="00284A41" w14:paraId="1C57E15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BC2DA16"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75-100% SIL respondents</w:t>
            </w:r>
          </w:p>
        </w:tc>
        <w:tc>
          <w:tcPr>
            <w:tcW w:w="625" w:type="pct"/>
          </w:tcPr>
          <w:p w14:paraId="4D352AE0" w14:textId="77777777" w:rsidR="009A5136" w:rsidRPr="00284A41" w:rsidRDefault="009A5136" w:rsidP="00E4185C">
            <w:pPr>
              <w:jc w:val="center"/>
              <w:rPr>
                <w:rFonts w:ascii="Arial" w:eastAsia="Arial" w:hAnsi="Arial" w:cs="Arial"/>
                <w:szCs w:val="20"/>
              </w:rPr>
            </w:pPr>
            <w:r w:rsidRPr="00284A41">
              <w:rPr>
                <w:szCs w:val="20"/>
              </w:rPr>
              <w:t>27</w:t>
            </w:r>
          </w:p>
        </w:tc>
        <w:tc>
          <w:tcPr>
            <w:tcW w:w="625" w:type="pct"/>
          </w:tcPr>
          <w:p w14:paraId="0BBAA5A6" w14:textId="77777777" w:rsidR="009A5136" w:rsidRPr="00284A41" w:rsidRDefault="009A5136" w:rsidP="00E4185C">
            <w:pPr>
              <w:jc w:val="center"/>
              <w:rPr>
                <w:rFonts w:ascii="Arial" w:eastAsia="Arial" w:hAnsi="Arial" w:cs="Arial"/>
                <w:szCs w:val="20"/>
              </w:rPr>
            </w:pPr>
            <w:r w:rsidRPr="00284A41">
              <w:rPr>
                <w:szCs w:val="20"/>
              </w:rPr>
              <w:t>13.76</w:t>
            </w:r>
          </w:p>
        </w:tc>
        <w:tc>
          <w:tcPr>
            <w:tcW w:w="625" w:type="pct"/>
          </w:tcPr>
          <w:p w14:paraId="127195B8" w14:textId="77777777" w:rsidR="009A5136" w:rsidRPr="00284A41" w:rsidRDefault="009A5136" w:rsidP="00E4185C">
            <w:pPr>
              <w:jc w:val="center"/>
              <w:rPr>
                <w:rFonts w:ascii="Arial" w:eastAsia="Arial" w:hAnsi="Arial" w:cs="Arial"/>
                <w:szCs w:val="20"/>
              </w:rPr>
            </w:pPr>
            <w:r w:rsidRPr="00284A41">
              <w:rPr>
                <w:szCs w:val="20"/>
              </w:rPr>
              <w:t>10.79</w:t>
            </w:r>
          </w:p>
        </w:tc>
        <w:tc>
          <w:tcPr>
            <w:tcW w:w="625" w:type="pct"/>
          </w:tcPr>
          <w:p w14:paraId="2A89611A" w14:textId="77777777" w:rsidR="009A5136" w:rsidRPr="00284A41" w:rsidRDefault="009A5136" w:rsidP="00E4185C">
            <w:pPr>
              <w:jc w:val="center"/>
              <w:rPr>
                <w:rFonts w:ascii="Arial" w:eastAsia="Arial" w:hAnsi="Arial" w:cs="Arial"/>
                <w:szCs w:val="20"/>
              </w:rPr>
            </w:pPr>
            <w:r w:rsidRPr="00284A41">
              <w:rPr>
                <w:szCs w:val="20"/>
              </w:rPr>
              <w:t>6.40</w:t>
            </w:r>
          </w:p>
        </w:tc>
        <w:tc>
          <w:tcPr>
            <w:tcW w:w="625" w:type="pct"/>
          </w:tcPr>
          <w:p w14:paraId="735EF131" w14:textId="77777777" w:rsidR="009A5136" w:rsidRPr="00284A41" w:rsidRDefault="009A5136" w:rsidP="00E4185C">
            <w:pPr>
              <w:jc w:val="center"/>
              <w:rPr>
                <w:rFonts w:ascii="Arial" w:eastAsia="Arial" w:hAnsi="Arial" w:cs="Arial"/>
                <w:szCs w:val="20"/>
              </w:rPr>
            </w:pPr>
            <w:r w:rsidRPr="00284A41">
              <w:rPr>
                <w:szCs w:val="20"/>
              </w:rPr>
              <w:t>19.71</w:t>
            </w:r>
          </w:p>
        </w:tc>
      </w:tr>
    </w:tbl>
    <w:p w14:paraId="0D477C9D" w14:textId="016C9C90" w:rsidR="00C730FC" w:rsidRPr="00284A41" w:rsidRDefault="00C730FC" w:rsidP="00C730FC">
      <w:bookmarkStart w:id="158" w:name="_Ref68348122"/>
      <w:r w:rsidRPr="00284A41">
        <w:t>However, regression analysis indicates that once differences in numbers of clients, numbers of staff per client, utilisation and skill level of supervisors are controlled for, there is no statistically significant difference in the levels of staff-supervisor ratios between SIL and non-SIL providers (</w:t>
      </w:r>
      <w:r w:rsidR="0087656C">
        <w:fldChar w:fldCharType="begin"/>
      </w:r>
      <w:r w:rsidR="0087656C">
        <w:instrText xml:space="preserve"> REF _Ref72241855 \h </w:instrText>
      </w:r>
      <w:r w:rsidR="0087656C">
        <w:fldChar w:fldCharType="separate"/>
      </w:r>
      <w:r w:rsidR="00E0689D" w:rsidRPr="00284A41">
        <w:t xml:space="preserve">Exhibit </w:t>
      </w:r>
      <w:r w:rsidR="00E0689D">
        <w:rPr>
          <w:noProof/>
        </w:rPr>
        <w:t>26</w:t>
      </w:r>
      <w:r w:rsidR="0087656C">
        <w:fldChar w:fldCharType="end"/>
      </w:r>
      <w:r w:rsidRPr="00284A41">
        <w:t xml:space="preserve">). This finding aligns with survey results from the AbleInsight survey 2017-18, which showed that there were not material differences in the average level of staff-supervisor ratios between SIL and non-SIL providers. </w:t>
      </w:r>
    </w:p>
    <w:p w14:paraId="726C4F85" w14:textId="62B3206E" w:rsidR="0030773F" w:rsidRPr="00284A41" w:rsidRDefault="009A5136" w:rsidP="00E4185C">
      <w:pPr>
        <w:pStyle w:val="Caption"/>
      </w:pPr>
      <w:bookmarkStart w:id="159" w:name="_Ref72241855"/>
      <w:bookmarkStart w:id="160" w:name="_Toc75881529"/>
      <w:r w:rsidRPr="00284A41">
        <w:t xml:space="preserve">Exhibit </w:t>
      </w:r>
      <w:r w:rsidR="00935584">
        <w:fldChar w:fldCharType="begin"/>
      </w:r>
      <w:r w:rsidR="00935584">
        <w:instrText xml:space="preserve"> SEQ Exhibit \*</w:instrText>
      </w:r>
      <w:r w:rsidR="00935584">
        <w:instrText xml:space="preserve"> ARABIC </w:instrText>
      </w:r>
      <w:r w:rsidR="00935584">
        <w:fldChar w:fldCharType="separate"/>
      </w:r>
      <w:r w:rsidR="00E0689D">
        <w:rPr>
          <w:noProof/>
        </w:rPr>
        <w:t>26</w:t>
      </w:r>
      <w:r w:rsidR="00935584">
        <w:rPr>
          <w:noProof/>
        </w:rPr>
        <w:fldChar w:fldCharType="end"/>
      </w:r>
      <w:bookmarkEnd w:id="158"/>
      <w:bookmarkEnd w:id="159"/>
      <w:r w:rsidRPr="00284A41">
        <w:t xml:space="preserve">: </w:t>
      </w:r>
      <w:bookmarkStart w:id="161" w:name="_Toc68003301"/>
      <w:r w:rsidR="00452B36" w:rsidRPr="00284A41">
        <w:t>Regression A</w:t>
      </w:r>
      <w:r w:rsidR="0007240E" w:rsidRPr="00284A41">
        <w:t>nalysi</w:t>
      </w:r>
      <w:bookmarkEnd w:id="161"/>
      <w:r w:rsidR="00452B36" w:rsidRPr="00284A41">
        <w:t>s – Supervision Ratio</w:t>
      </w:r>
      <w:r w:rsidR="00452B36" w:rsidRPr="00284A41">
        <w:rPr>
          <w:rStyle w:val="FootnoteReference"/>
        </w:rPr>
        <w:footnoteReference w:id="21"/>
      </w:r>
      <w:bookmarkEnd w:id="160"/>
    </w:p>
    <w:tbl>
      <w:tblPr>
        <w:tblStyle w:val="GridTable4-Accent4"/>
        <w:tblW w:w="9147" w:type="dxa"/>
        <w:tblLook w:val="0460" w:firstRow="1" w:lastRow="1" w:firstColumn="0" w:lastColumn="0" w:noHBand="0" w:noVBand="1"/>
        <w:tblCaption w:val="Exhibit 26: Regression Analysis – Supervision Ratio"/>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B62894" w:rsidRPr="00284A41" w14:paraId="1BBC5B4E" w14:textId="77777777" w:rsidTr="001F10E4">
        <w:trPr>
          <w:cnfStyle w:val="100000000000" w:firstRow="1" w:lastRow="0" w:firstColumn="0" w:lastColumn="0" w:oddVBand="0" w:evenVBand="0" w:oddHBand="0" w:evenHBand="0" w:firstRowFirstColumn="0" w:firstRowLastColumn="0" w:lastRowFirstColumn="0" w:lastRowLastColumn="0"/>
          <w:trHeight w:val="102"/>
          <w:tblHeader/>
        </w:trPr>
        <w:tc>
          <w:tcPr>
            <w:tcW w:w="2501" w:type="pct"/>
          </w:tcPr>
          <w:p w14:paraId="403392C2" w14:textId="77777777" w:rsidR="0030773F" w:rsidRPr="00284A41" w:rsidRDefault="0030773F" w:rsidP="00BF4F12">
            <w:pPr>
              <w:keepNext/>
              <w:keepLines/>
              <w:rPr>
                <w:rFonts w:eastAsia="Arial" w:cstheme="minorHAnsi"/>
                <w:szCs w:val="16"/>
              </w:rPr>
            </w:pPr>
            <w:r w:rsidRPr="00284A41">
              <w:rPr>
                <w:rFonts w:eastAsia="Arial" w:cstheme="minorHAnsi"/>
                <w:szCs w:val="16"/>
              </w:rPr>
              <w:t>Regression variables</w:t>
            </w:r>
          </w:p>
        </w:tc>
        <w:tc>
          <w:tcPr>
            <w:tcW w:w="625" w:type="pct"/>
          </w:tcPr>
          <w:p w14:paraId="1591F69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Mean</w:t>
            </w:r>
          </w:p>
        </w:tc>
        <w:tc>
          <w:tcPr>
            <w:tcW w:w="625" w:type="pct"/>
          </w:tcPr>
          <w:p w14:paraId="1BAED295"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Median</w:t>
            </w:r>
          </w:p>
        </w:tc>
        <w:tc>
          <w:tcPr>
            <w:tcW w:w="625" w:type="pct"/>
          </w:tcPr>
          <w:p w14:paraId="1CD1670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25</w:t>
            </w:r>
            <w:r w:rsidRPr="00284A41">
              <w:rPr>
                <w:rFonts w:eastAsia="Arial" w:cstheme="minorHAnsi"/>
                <w:szCs w:val="16"/>
                <w:vertAlign w:val="superscript"/>
              </w:rPr>
              <w:t>th</w:t>
            </w:r>
            <w:r w:rsidRPr="00284A41">
              <w:rPr>
                <w:rFonts w:eastAsia="Arial" w:cstheme="minorHAnsi"/>
                <w:szCs w:val="16"/>
              </w:rPr>
              <w:br/>
              <w:t>percentile</w:t>
            </w:r>
          </w:p>
        </w:tc>
        <w:tc>
          <w:tcPr>
            <w:tcW w:w="624" w:type="pct"/>
          </w:tcPr>
          <w:p w14:paraId="286A93FF"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75</w:t>
            </w:r>
            <w:r w:rsidRPr="00284A41">
              <w:rPr>
                <w:rFonts w:eastAsia="Arial" w:cstheme="minorHAnsi"/>
                <w:szCs w:val="16"/>
                <w:vertAlign w:val="superscript"/>
              </w:rPr>
              <w:t>th</w:t>
            </w:r>
            <w:r w:rsidRPr="00284A41">
              <w:rPr>
                <w:rFonts w:eastAsia="Arial" w:cstheme="minorHAnsi"/>
                <w:szCs w:val="16"/>
              </w:rPr>
              <w:br/>
              <w:t>percentile</w:t>
            </w:r>
          </w:p>
        </w:tc>
      </w:tr>
      <w:tr w:rsidR="00B62894" w:rsidRPr="00284A41" w14:paraId="06387909"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2407859F" w14:textId="77777777" w:rsidR="0030773F" w:rsidRPr="00284A41" w:rsidRDefault="0030773F" w:rsidP="00BF4F12">
            <w:pPr>
              <w:keepNext/>
              <w:keepLines/>
              <w:rPr>
                <w:rFonts w:eastAsia="Arial" w:cstheme="minorHAnsi"/>
                <w:szCs w:val="16"/>
              </w:rPr>
            </w:pPr>
            <w:r w:rsidRPr="00284A41">
              <w:rPr>
                <w:rFonts w:eastAsia="Arial" w:cstheme="minorHAnsi"/>
                <w:szCs w:val="16"/>
              </w:rPr>
              <w:t>SIL provider indicator</w:t>
            </w:r>
          </w:p>
        </w:tc>
        <w:tc>
          <w:tcPr>
            <w:tcW w:w="625" w:type="pct"/>
          </w:tcPr>
          <w:p w14:paraId="4F9DE6C6"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-0.10**</w:t>
            </w:r>
          </w:p>
        </w:tc>
        <w:tc>
          <w:tcPr>
            <w:tcW w:w="625" w:type="pct"/>
          </w:tcPr>
          <w:p w14:paraId="77AB14BD"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-0.13**</w:t>
            </w:r>
          </w:p>
        </w:tc>
        <w:tc>
          <w:tcPr>
            <w:tcW w:w="625" w:type="pct"/>
          </w:tcPr>
          <w:p w14:paraId="79479C8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-0.07</w:t>
            </w:r>
          </w:p>
        </w:tc>
        <w:tc>
          <w:tcPr>
            <w:tcW w:w="624" w:type="pct"/>
          </w:tcPr>
          <w:p w14:paraId="4B4DE434"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-0.10</w:t>
            </w:r>
          </w:p>
        </w:tc>
      </w:tr>
      <w:tr w:rsidR="00B62894" w:rsidRPr="00284A41" w14:paraId="52E8C320" w14:textId="77777777" w:rsidTr="0042216D">
        <w:trPr>
          <w:trHeight w:val="231"/>
        </w:trPr>
        <w:tc>
          <w:tcPr>
            <w:tcW w:w="2501" w:type="pct"/>
          </w:tcPr>
          <w:p w14:paraId="3F87EF17" w14:textId="77777777" w:rsidR="0030773F" w:rsidRPr="00284A41" w:rsidRDefault="0030773F" w:rsidP="00BF4F12">
            <w:pPr>
              <w:keepNext/>
              <w:keepLines/>
              <w:rPr>
                <w:rFonts w:eastAsia="Arial" w:cstheme="minorHAnsi"/>
                <w:szCs w:val="16"/>
              </w:rPr>
            </w:pPr>
            <w:r w:rsidRPr="00284A41">
              <w:rPr>
                <w:rFonts w:eastAsia="Arial" w:cstheme="minorHAnsi"/>
                <w:szCs w:val="16"/>
              </w:rPr>
              <w:t xml:space="preserve">Percentage of revenue sourced from SIL </w:t>
            </w:r>
          </w:p>
        </w:tc>
        <w:tc>
          <w:tcPr>
            <w:tcW w:w="625" w:type="pct"/>
          </w:tcPr>
          <w:p w14:paraId="5CEC0E42"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0.03</w:t>
            </w:r>
          </w:p>
        </w:tc>
        <w:tc>
          <w:tcPr>
            <w:tcW w:w="625" w:type="pct"/>
          </w:tcPr>
          <w:p w14:paraId="66EBF010"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5" w:type="pct"/>
          </w:tcPr>
          <w:p w14:paraId="046579D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0.03</w:t>
            </w:r>
          </w:p>
        </w:tc>
        <w:tc>
          <w:tcPr>
            <w:tcW w:w="624" w:type="pct"/>
          </w:tcPr>
          <w:p w14:paraId="440019C0"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-0.08</w:t>
            </w:r>
          </w:p>
        </w:tc>
      </w:tr>
      <w:tr w:rsidR="00B62894" w:rsidRPr="00284A41" w14:paraId="2000CCE4"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46927D70" w14:textId="77777777" w:rsidR="0030773F" w:rsidRPr="00284A41" w:rsidRDefault="0030773F" w:rsidP="00BF4F12">
            <w:pPr>
              <w:keepNext/>
              <w:keepLines/>
              <w:rPr>
                <w:rFonts w:eastAsia="Arial" w:cstheme="minorHAnsi"/>
                <w:szCs w:val="16"/>
              </w:rPr>
            </w:pPr>
            <w:r w:rsidRPr="00284A41">
              <w:rPr>
                <w:rFonts w:eastAsia="Arial" w:cstheme="minorHAnsi"/>
                <w:szCs w:val="16"/>
              </w:rPr>
              <w:t>Number of clients (log)</w:t>
            </w:r>
          </w:p>
        </w:tc>
        <w:tc>
          <w:tcPr>
            <w:tcW w:w="625" w:type="pct"/>
          </w:tcPr>
          <w:p w14:paraId="7CE31138"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0.34**</w:t>
            </w:r>
          </w:p>
        </w:tc>
        <w:tc>
          <w:tcPr>
            <w:tcW w:w="625" w:type="pct"/>
          </w:tcPr>
          <w:p w14:paraId="2E1881E3"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0.39**</w:t>
            </w:r>
          </w:p>
        </w:tc>
        <w:tc>
          <w:tcPr>
            <w:tcW w:w="625" w:type="pct"/>
          </w:tcPr>
          <w:p w14:paraId="7D3BB4B5"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0.34</w:t>
            </w:r>
          </w:p>
        </w:tc>
        <w:tc>
          <w:tcPr>
            <w:tcW w:w="624" w:type="pct"/>
          </w:tcPr>
          <w:p w14:paraId="76907C63"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0.34**</w:t>
            </w:r>
          </w:p>
        </w:tc>
      </w:tr>
      <w:tr w:rsidR="00B62894" w:rsidRPr="00284A41" w14:paraId="0564257D" w14:textId="77777777" w:rsidTr="0042216D">
        <w:trPr>
          <w:trHeight w:val="231"/>
        </w:trPr>
        <w:tc>
          <w:tcPr>
            <w:tcW w:w="2501" w:type="pct"/>
          </w:tcPr>
          <w:p w14:paraId="59C10218" w14:textId="77777777" w:rsidR="0030773F" w:rsidRPr="00284A41" w:rsidRDefault="0030773F" w:rsidP="00BF4F12">
            <w:pPr>
              <w:keepNext/>
              <w:keepLines/>
              <w:rPr>
                <w:rFonts w:eastAsia="Arial" w:cstheme="minorHAnsi"/>
                <w:szCs w:val="16"/>
              </w:rPr>
            </w:pPr>
            <w:r w:rsidRPr="00284A41">
              <w:rPr>
                <w:rFonts w:eastAsia="Arial" w:cstheme="minorHAnsi"/>
                <w:szCs w:val="16"/>
              </w:rPr>
              <w:t>Average base wage (FLS)</w:t>
            </w:r>
          </w:p>
        </w:tc>
        <w:tc>
          <w:tcPr>
            <w:tcW w:w="625" w:type="pct"/>
          </w:tcPr>
          <w:p w14:paraId="5C7A468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5" w:type="pct"/>
          </w:tcPr>
          <w:p w14:paraId="59F1AEB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5" w:type="pct"/>
          </w:tcPr>
          <w:p w14:paraId="27C9A437"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4" w:type="pct"/>
          </w:tcPr>
          <w:p w14:paraId="7DAD88C0"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r>
      <w:tr w:rsidR="00B62894" w:rsidRPr="00284A41" w14:paraId="2AF7D995"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DFEEA13" w14:textId="77777777" w:rsidR="0030773F" w:rsidRPr="00284A41" w:rsidRDefault="0030773F" w:rsidP="00BF4F12">
            <w:pPr>
              <w:keepNext/>
              <w:keepLines/>
              <w:rPr>
                <w:rFonts w:eastAsia="Arial" w:cstheme="minorHAnsi"/>
                <w:szCs w:val="16"/>
              </w:rPr>
            </w:pPr>
            <w:r w:rsidRPr="00284A41">
              <w:rPr>
                <w:rFonts w:eastAsia="Arial" w:cstheme="minorHAnsi"/>
                <w:szCs w:val="16"/>
              </w:rPr>
              <w:t>Number of staff-client (log)</w:t>
            </w:r>
          </w:p>
        </w:tc>
        <w:tc>
          <w:tcPr>
            <w:tcW w:w="625" w:type="pct"/>
          </w:tcPr>
          <w:p w14:paraId="6766C78C"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0.35**</w:t>
            </w:r>
          </w:p>
        </w:tc>
        <w:tc>
          <w:tcPr>
            <w:tcW w:w="625" w:type="pct"/>
          </w:tcPr>
          <w:p w14:paraId="6D022E62"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0.43**</w:t>
            </w:r>
          </w:p>
        </w:tc>
        <w:tc>
          <w:tcPr>
            <w:tcW w:w="625" w:type="pct"/>
          </w:tcPr>
          <w:p w14:paraId="07BA4E5B"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0.35**</w:t>
            </w:r>
          </w:p>
        </w:tc>
        <w:tc>
          <w:tcPr>
            <w:tcW w:w="624" w:type="pct"/>
          </w:tcPr>
          <w:p w14:paraId="115CAA24"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0.37**</w:t>
            </w:r>
          </w:p>
        </w:tc>
      </w:tr>
      <w:tr w:rsidR="00B62894" w:rsidRPr="00284A41" w14:paraId="1B6B2740" w14:textId="77777777" w:rsidTr="0042216D">
        <w:trPr>
          <w:trHeight w:val="231"/>
        </w:trPr>
        <w:tc>
          <w:tcPr>
            <w:tcW w:w="2501" w:type="pct"/>
          </w:tcPr>
          <w:p w14:paraId="0162ECF1" w14:textId="77777777" w:rsidR="0030773F" w:rsidRPr="00284A41" w:rsidRDefault="0030773F" w:rsidP="00BF4F12">
            <w:pPr>
              <w:keepNext/>
              <w:keepLines/>
              <w:rPr>
                <w:rFonts w:eastAsia="Arial" w:cstheme="minorHAnsi"/>
                <w:szCs w:val="16"/>
              </w:rPr>
            </w:pPr>
            <w:r w:rsidRPr="00284A41">
              <w:rPr>
                <w:rFonts w:eastAsia="Arial" w:cstheme="minorHAnsi"/>
                <w:szCs w:val="16"/>
              </w:rPr>
              <w:t>Labour time spent on billable work (% of all time)</w:t>
            </w:r>
          </w:p>
        </w:tc>
        <w:tc>
          <w:tcPr>
            <w:tcW w:w="625" w:type="pct"/>
          </w:tcPr>
          <w:p w14:paraId="4B289BC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0.38**</w:t>
            </w:r>
          </w:p>
        </w:tc>
        <w:tc>
          <w:tcPr>
            <w:tcW w:w="625" w:type="pct"/>
          </w:tcPr>
          <w:p w14:paraId="6FED5DBC"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0.29**</w:t>
            </w:r>
          </w:p>
        </w:tc>
        <w:tc>
          <w:tcPr>
            <w:tcW w:w="625" w:type="pct"/>
          </w:tcPr>
          <w:p w14:paraId="0031FA4C"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0.50**</w:t>
            </w:r>
          </w:p>
        </w:tc>
        <w:tc>
          <w:tcPr>
            <w:tcW w:w="624" w:type="pct"/>
          </w:tcPr>
          <w:p w14:paraId="185BF8F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0.22</w:t>
            </w:r>
          </w:p>
        </w:tc>
      </w:tr>
      <w:tr w:rsidR="00B62894" w:rsidRPr="0042216D" w14:paraId="31A8397A" w14:textId="77777777" w:rsidTr="0042216D">
        <w:trPr>
          <w:cnfStyle w:val="010000000000" w:firstRow="0" w:lastRow="1" w:firstColumn="0" w:lastColumn="0" w:oddVBand="0" w:evenVBand="0" w:oddHBand="0" w:evenHBand="0" w:firstRowFirstColumn="0" w:firstRowLastColumn="0" w:lastRowFirstColumn="0" w:lastRowLastColumn="0"/>
          <w:trHeight w:val="231"/>
        </w:trPr>
        <w:tc>
          <w:tcPr>
            <w:tcW w:w="2501" w:type="pct"/>
          </w:tcPr>
          <w:p w14:paraId="78CD8C55" w14:textId="77777777" w:rsidR="0030773F" w:rsidRPr="0042216D" w:rsidRDefault="0030773F" w:rsidP="00BF4F12">
            <w:pPr>
              <w:keepNext/>
              <w:keepLines/>
              <w:rPr>
                <w:rFonts w:eastAsia="Arial" w:cstheme="minorHAnsi"/>
                <w:szCs w:val="16"/>
              </w:rPr>
            </w:pPr>
            <w:r w:rsidRPr="0042216D">
              <w:rPr>
                <w:rFonts w:eastAsia="Arial" w:cstheme="minorHAnsi"/>
                <w:szCs w:val="16"/>
              </w:rPr>
              <w:t>R</w:t>
            </w:r>
            <w:r w:rsidR="009A5136" w:rsidRPr="0042216D">
              <w:rPr>
                <w:rFonts w:eastAsia="Arial" w:cstheme="minorHAnsi"/>
                <w:szCs w:val="16"/>
                <w:vertAlign w:val="superscript"/>
              </w:rPr>
              <w:t>2</w:t>
            </w:r>
          </w:p>
        </w:tc>
        <w:tc>
          <w:tcPr>
            <w:tcW w:w="625" w:type="pct"/>
          </w:tcPr>
          <w:p w14:paraId="008D933E"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33.1%</w:t>
            </w:r>
          </w:p>
        </w:tc>
        <w:tc>
          <w:tcPr>
            <w:tcW w:w="625" w:type="pct"/>
          </w:tcPr>
          <w:p w14:paraId="52565676"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19.0%</w:t>
            </w:r>
          </w:p>
        </w:tc>
        <w:tc>
          <w:tcPr>
            <w:tcW w:w="625" w:type="pct"/>
          </w:tcPr>
          <w:p w14:paraId="553FDBC3"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20.9%</w:t>
            </w:r>
          </w:p>
        </w:tc>
        <w:tc>
          <w:tcPr>
            <w:tcW w:w="624" w:type="pct"/>
          </w:tcPr>
          <w:p w14:paraId="0DDEA68D"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15.2%</w:t>
            </w:r>
          </w:p>
        </w:tc>
      </w:tr>
    </w:tbl>
    <w:p w14:paraId="40332E1B" w14:textId="77777777"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(477 observations).</w:t>
      </w:r>
    </w:p>
    <w:p w14:paraId="319B818A" w14:textId="77777777" w:rsidR="00B74F91" w:rsidRPr="00284A41" w:rsidRDefault="001E796D" w:rsidP="00E4185C">
      <w:pPr>
        <w:pStyle w:val="Heading2"/>
      </w:pPr>
      <w:bookmarkStart w:id="162" w:name="_Toc75881971"/>
      <w:r w:rsidRPr="00284A41">
        <w:t>O</w:t>
      </w:r>
      <w:r w:rsidR="00B74F91" w:rsidRPr="00284A41">
        <w:t>verheads</w:t>
      </w:r>
      <w:bookmarkEnd w:id="162"/>
    </w:p>
    <w:p w14:paraId="35C55EAE" w14:textId="77777777" w:rsidR="009440CF" w:rsidRPr="00284A41" w:rsidRDefault="00EE2D2C" w:rsidP="009440CF">
      <w:r w:rsidRPr="00284A41">
        <w:t xml:space="preserve">The NDIS Disability Support Worker Cost Model </w:t>
      </w:r>
      <w:r w:rsidR="009F620D" w:rsidRPr="00284A41">
        <w:t>recognises</w:t>
      </w:r>
      <w:r w:rsidR="00294E04" w:rsidRPr="00284A41">
        <w:t xml:space="preserve"> </w:t>
      </w:r>
      <w:r w:rsidRPr="00284A41">
        <w:t xml:space="preserve">that providers incur a number of costs (“overheads”) that not directly attributable to worker salaries and on-costs. </w:t>
      </w:r>
      <w:r w:rsidR="009440CF" w:rsidRPr="00284A41">
        <w:t>This section considers whether there are material differences in overhead costs between SIL and non</w:t>
      </w:r>
      <w:r w:rsidR="00FB6354" w:rsidRPr="00284A41">
        <w:t>-SIL settings. The key questions</w:t>
      </w:r>
      <w:r w:rsidR="009440CF" w:rsidRPr="00284A41">
        <w:t xml:space="preserve"> for the Review, as outlined in the Issues Paper, </w:t>
      </w:r>
      <w:r w:rsidR="00FB6354" w:rsidRPr="00284A41">
        <w:t>was</w:t>
      </w:r>
      <w:r w:rsidR="009440CF" w:rsidRPr="00284A41">
        <w:t>:</w:t>
      </w:r>
    </w:p>
    <w:p w14:paraId="6FCE00FD" w14:textId="77777777" w:rsidR="00573D54" w:rsidRPr="005E5772" w:rsidRDefault="00573D54" w:rsidP="0042216D">
      <w:pPr>
        <w:pStyle w:val="DotPoint"/>
      </w:pPr>
      <w:r w:rsidRPr="005E5772">
        <w:t xml:space="preserve">Is there a difference in the level of </w:t>
      </w:r>
      <w:r w:rsidR="00AD62FF" w:rsidRPr="005E5772">
        <w:t xml:space="preserve">corporate </w:t>
      </w:r>
      <w:r w:rsidRPr="005E5772">
        <w:t xml:space="preserve">overheads that are incurred in delivering SIL services compared to </w:t>
      </w:r>
      <w:r w:rsidR="00DE5528" w:rsidRPr="005E5772">
        <w:t>non-SIL</w:t>
      </w:r>
      <w:r w:rsidRPr="005E5772">
        <w:t xml:space="preserve"> services?</w:t>
      </w:r>
      <w:r w:rsidR="003C5F87" w:rsidRPr="005E5772">
        <w:t xml:space="preserve"> If so, what aspects of the SIL operating environment drive this difference?</w:t>
      </w:r>
      <w:r w:rsidR="00EE2D2C" w:rsidRPr="005E5772">
        <w:t xml:space="preserve"> How large is the difference?</w:t>
      </w:r>
    </w:p>
    <w:p w14:paraId="4D08EA90" w14:textId="77777777" w:rsidR="00301B42" w:rsidRPr="00284A41" w:rsidRDefault="00B821D8" w:rsidP="001E796D">
      <w:pPr>
        <w:pStyle w:val="Heading3"/>
      </w:pPr>
      <w:r w:rsidRPr="00284A41">
        <w:t>Corporate overheads</w:t>
      </w:r>
    </w:p>
    <w:p w14:paraId="6A1B6B81" w14:textId="4063CF17" w:rsidR="00FC141E" w:rsidRPr="00284A41" w:rsidRDefault="008B651A" w:rsidP="00FB6354">
      <w:bookmarkStart w:id="163" w:name="_Toc37096062"/>
      <w:r w:rsidRPr="00284A41">
        <w:t xml:space="preserve">Although </w:t>
      </w:r>
      <w:r w:rsidR="00FB6354" w:rsidRPr="00284A41">
        <w:t>some</w:t>
      </w:r>
      <w:r w:rsidRPr="00284A41">
        <w:t xml:space="preserve"> providers raised the issue of overheads in their submissions to the Review, they did not provide any significant evidence that different levels of corporate overheads are incurred in delivering SIL services</w:t>
      </w:r>
      <w:r w:rsidR="00FB6354" w:rsidRPr="00284A41">
        <w:t xml:space="preserve">. </w:t>
      </w:r>
      <w:bookmarkEnd w:id="163"/>
      <w:r w:rsidR="009440CF" w:rsidRPr="00284A41">
        <w:t>The Financial Benchmarking Survey</w:t>
      </w:r>
      <w:r w:rsidR="00FC141E" w:rsidRPr="00284A41">
        <w:t xml:space="preserve"> </w:t>
      </w:r>
      <w:r w:rsidR="00F67F3F" w:rsidRPr="00284A41">
        <w:t>(</w:t>
      </w:r>
      <w:r w:rsidR="009440CF" w:rsidRPr="00284A41">
        <w:fldChar w:fldCharType="begin"/>
      </w:r>
      <w:r w:rsidR="009440CF" w:rsidRPr="00284A41">
        <w:instrText xml:space="preserve"> REF _Ref68350474 \h </w:instrText>
      </w:r>
      <w:r w:rsidR="00284A41">
        <w:instrText xml:space="preserve"> \* MERGEFORMAT </w:instrText>
      </w:r>
      <w:r w:rsidR="009440CF" w:rsidRPr="00284A41">
        <w:fldChar w:fldCharType="separate"/>
      </w:r>
      <w:r w:rsidR="00E0689D" w:rsidRPr="00284A41">
        <w:t xml:space="preserve">Exhibit </w:t>
      </w:r>
      <w:r w:rsidR="00E0689D">
        <w:rPr>
          <w:noProof/>
        </w:rPr>
        <w:t>27</w:t>
      </w:r>
      <w:r w:rsidR="009440CF" w:rsidRPr="00284A41">
        <w:fldChar w:fldCharType="end"/>
      </w:r>
      <w:r w:rsidR="009440CF" w:rsidRPr="00284A41">
        <w:t xml:space="preserve"> and</w:t>
      </w:r>
      <w:r w:rsidR="00FB6354" w:rsidRPr="00284A41">
        <w:t xml:space="preserve"> </w:t>
      </w:r>
      <w:r w:rsidR="00FB6354" w:rsidRPr="00284A41">
        <w:fldChar w:fldCharType="begin"/>
      </w:r>
      <w:r w:rsidR="00FB6354" w:rsidRPr="00284A41">
        <w:instrText xml:space="preserve"> REF _Ref68358952 \h </w:instrText>
      </w:r>
      <w:r w:rsidR="00284A41">
        <w:instrText xml:space="preserve"> \* MERGEFORMAT </w:instrText>
      </w:r>
      <w:r w:rsidR="00FB6354" w:rsidRPr="00284A41">
        <w:fldChar w:fldCharType="separate"/>
      </w:r>
      <w:r w:rsidR="00E0689D" w:rsidRPr="00284A41">
        <w:t xml:space="preserve">Exhibit </w:t>
      </w:r>
      <w:r w:rsidR="00E0689D">
        <w:rPr>
          <w:noProof/>
        </w:rPr>
        <w:t>28</w:t>
      </w:r>
      <w:r w:rsidR="00FB6354" w:rsidRPr="00284A41">
        <w:fldChar w:fldCharType="end"/>
      </w:r>
      <w:r w:rsidR="000A69C7" w:rsidRPr="00284A41">
        <w:t xml:space="preserve">) suggests </w:t>
      </w:r>
      <w:r w:rsidR="009440CF" w:rsidRPr="00284A41">
        <w:t>that overheads (as a share of costs) are slightly lower, on average, for SIL providers compared to no</w:t>
      </w:r>
      <w:r w:rsidR="001B0BB0" w:rsidRPr="00284A41">
        <w:t>n</w:t>
      </w:r>
      <w:r w:rsidR="009440CF" w:rsidRPr="00284A41">
        <w:t xml:space="preserve">-SIL providers. </w:t>
      </w:r>
      <w:r w:rsidR="000A69C7" w:rsidRPr="00284A41">
        <w:t>It also suggests</w:t>
      </w:r>
      <w:r w:rsidR="001B0BB0" w:rsidRPr="00284A41">
        <w:t xml:space="preserve"> that for efficient providers</w:t>
      </w:r>
      <w:r w:rsidR="00B73518" w:rsidRPr="00284A41">
        <w:t>,</w:t>
      </w:r>
      <w:r w:rsidR="001B0BB0" w:rsidRPr="00284A41">
        <w:t xml:space="preserve"> overheads (as a share of costs) might be slightly higher for SIL </w:t>
      </w:r>
      <w:r w:rsidR="000A69C7" w:rsidRPr="00284A41">
        <w:t xml:space="preserve">v </w:t>
      </w:r>
      <w:r w:rsidR="001B0BB0" w:rsidRPr="00284A41">
        <w:t>non-SIL providers.</w:t>
      </w:r>
    </w:p>
    <w:p w14:paraId="38F821DC" w14:textId="32E433D9" w:rsidR="001F07D7" w:rsidRPr="00284A41" w:rsidRDefault="00A0241D" w:rsidP="00066859">
      <w:pPr>
        <w:pStyle w:val="Caption"/>
      </w:pPr>
      <w:bookmarkStart w:id="164" w:name="_Ref68350474"/>
      <w:bookmarkStart w:id="165" w:name="_Ref66884908"/>
      <w:bookmarkStart w:id="166" w:name="_Toc75881530"/>
      <w:r w:rsidRPr="00284A41">
        <w:t xml:space="preserve">Exhibit </w:t>
      </w:r>
      <w:r w:rsidR="00935584">
        <w:fldChar w:fldCharType="begin"/>
      </w:r>
      <w:r w:rsidR="00935584">
        <w:instrText xml:space="preserve"> SEQ Exhibit \* ARABIC </w:instrText>
      </w:r>
      <w:r w:rsidR="00935584">
        <w:fldChar w:fldCharType="separate"/>
      </w:r>
      <w:r w:rsidR="00E0689D">
        <w:rPr>
          <w:noProof/>
        </w:rPr>
        <w:t>27</w:t>
      </w:r>
      <w:r w:rsidR="00935584">
        <w:rPr>
          <w:noProof/>
        </w:rPr>
        <w:fldChar w:fldCharType="end"/>
      </w:r>
      <w:bookmarkEnd w:id="164"/>
      <w:r w:rsidRPr="00284A41">
        <w:t>:</w:t>
      </w:r>
      <w:bookmarkEnd w:id="165"/>
      <w:r w:rsidR="001F07D7" w:rsidRPr="00284A41">
        <w:t xml:space="preserve"> </w:t>
      </w:r>
      <w:r w:rsidR="00264B60" w:rsidRPr="00284A41">
        <w:t>Box P</w:t>
      </w:r>
      <w:r w:rsidR="001F07D7" w:rsidRPr="00284A41">
        <w:t xml:space="preserve">lot </w:t>
      </w:r>
      <w:r w:rsidRPr="00284A41">
        <w:softHyphen/>
        <w:t>– O</w:t>
      </w:r>
      <w:r w:rsidR="00D51C6F" w:rsidRPr="00284A41">
        <w:t>verhead C</w:t>
      </w:r>
      <w:r w:rsidR="001F07D7" w:rsidRPr="00284A41">
        <w:t>ost</w:t>
      </w:r>
      <w:r w:rsidR="00B62894" w:rsidRPr="00284A41">
        <w:t>s</w:t>
      </w:r>
      <w:bookmarkEnd w:id="166"/>
    </w:p>
    <w:p w14:paraId="2237C147" w14:textId="77777777" w:rsidR="00D17B25" w:rsidRPr="00284A41" w:rsidRDefault="00D17B25" w:rsidP="008A5FC2">
      <w:pPr>
        <w:spacing w:before="0" w:after="0"/>
        <w:ind w:left="431" w:hanging="431"/>
        <w:jc w:val="center"/>
        <w:rPr>
          <w:noProof/>
          <w:lang w:eastAsia="en-AU"/>
        </w:rPr>
      </w:pPr>
      <w:r w:rsidRPr="00284A41">
        <w:rPr>
          <w:noProof/>
          <w:lang w:eastAsia="en-AU"/>
        </w:rPr>
        <w:drawing>
          <wp:inline distT="0" distB="0" distL="0" distR="0" wp14:anchorId="58C1DAB2" wp14:editId="1FEFBE80">
            <wp:extent cx="5400000" cy="2840400"/>
            <wp:effectExtent l="0" t="0" r="0" b="0"/>
            <wp:docPr id="10" name="Picture 10" descr="A box plot to show the overhead costs across the levels of SIL provision (based on revenue) based on the 25th percentile (efficient providers).&#10;Non-SIL providers were 20.0%. &#10;SIL provision 0-25% were 21.9%.&#10;SIL provision 26-50% were 24.1%.&#10;SIL provision 51-75% were 22.2%.&#10;SIL provision 76-100% were 19.4%." title="Exhibit 27: Box Plot ¬ Overhead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0" cy="2840400"/>
                    </a:xfrm>
                    <a:prstGeom prst="rect">
                      <a:avLst/>
                    </a:prstGeom>
                    <a:noFill/>
                    <a:ln>
                      <a:noFill/>
                    </a:ln>
                  </pic:spPr>
                </pic:pic>
              </a:graphicData>
            </a:graphic>
          </wp:inline>
        </w:drawing>
      </w:r>
    </w:p>
    <w:p w14:paraId="4FFE77CA" w14:textId="77777777" w:rsidR="00B62894" w:rsidRPr="00284A41" w:rsidRDefault="00B62894" w:rsidP="0042216D">
      <w:pPr>
        <w:spacing w:before="0"/>
        <w:ind w:left="284"/>
        <w:jc w:val="center"/>
        <w:rPr>
          <w:sz w:val="18"/>
          <w:szCs w:val="18"/>
        </w:rPr>
      </w:pPr>
      <w:bookmarkStart w:id="167" w:name="_Ref68350480"/>
      <w:bookmarkStart w:id="168" w:name="_Ref66884834"/>
      <w:bookmarkStart w:id="169" w:name="_Toc68003302"/>
      <w:r w:rsidRPr="00284A41">
        <w:rPr>
          <w:sz w:val="18"/>
          <w:szCs w:val="18"/>
        </w:rPr>
        <w:t>Note: Data labels for the 25th percentile are shown to highlight the efficient frontier within each category</w:t>
      </w:r>
    </w:p>
    <w:p w14:paraId="704666A8" w14:textId="4B1D3AEA" w:rsidR="00FC141E" w:rsidRPr="00284A41" w:rsidRDefault="00A0241D" w:rsidP="00FB6354">
      <w:pPr>
        <w:pStyle w:val="Caption"/>
      </w:pPr>
      <w:bookmarkStart w:id="170" w:name="_Ref68358952"/>
      <w:bookmarkStart w:id="171" w:name="_Toc75881531"/>
      <w:r w:rsidRPr="00284A41">
        <w:t xml:space="preserve">Exhibit </w:t>
      </w:r>
      <w:r w:rsidR="00935584">
        <w:fldChar w:fldCharType="begin"/>
      </w:r>
      <w:r w:rsidR="00935584">
        <w:instrText xml:space="preserve"> SEQ Exhibit \* ARABIC </w:instrText>
      </w:r>
      <w:r w:rsidR="00935584">
        <w:fldChar w:fldCharType="separate"/>
      </w:r>
      <w:r w:rsidR="00E0689D">
        <w:rPr>
          <w:noProof/>
        </w:rPr>
        <w:t>28</w:t>
      </w:r>
      <w:r w:rsidR="00935584">
        <w:rPr>
          <w:noProof/>
        </w:rPr>
        <w:fldChar w:fldCharType="end"/>
      </w:r>
      <w:bookmarkEnd w:id="167"/>
      <w:bookmarkEnd w:id="170"/>
      <w:r w:rsidRPr="00284A41">
        <w:t xml:space="preserve">: </w:t>
      </w:r>
      <w:bookmarkEnd w:id="168"/>
      <w:r w:rsidR="000D4020" w:rsidRPr="00284A41">
        <w:t xml:space="preserve">Summary </w:t>
      </w:r>
      <w:r w:rsidR="00452B36" w:rsidRPr="00284A41">
        <w:t>S</w:t>
      </w:r>
      <w:r w:rsidR="000D4020" w:rsidRPr="00284A41">
        <w:t xml:space="preserve">tatistics </w:t>
      </w:r>
      <w:r w:rsidR="00FB16CB" w:rsidRPr="00284A41">
        <w:t>– O</w:t>
      </w:r>
      <w:r w:rsidR="00D51C6F" w:rsidRPr="00284A41">
        <w:t>verhead C</w:t>
      </w:r>
      <w:r w:rsidR="005F426B" w:rsidRPr="00284A41">
        <w:t>osts</w:t>
      </w:r>
      <w:bookmarkEnd w:id="169"/>
      <w:bookmarkEnd w:id="171"/>
    </w:p>
    <w:tbl>
      <w:tblPr>
        <w:tblStyle w:val="GridTable4-Accent4"/>
        <w:tblW w:w="9079" w:type="dxa"/>
        <w:tblLook w:val="0420" w:firstRow="1" w:lastRow="0" w:firstColumn="0" w:lastColumn="0" w:noHBand="0" w:noVBand="1"/>
        <w:tblCaption w:val="Exhibit 28: Summary Statistics – Overhead Cost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2506D2" w:rsidRPr="00284A41" w14:paraId="2F374C51"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5" w:type="pct"/>
          </w:tcPr>
          <w:p w14:paraId="57DD38E9" w14:textId="77777777" w:rsidR="00A0241D" w:rsidRPr="00284A41" w:rsidRDefault="006842C8" w:rsidP="00FB6354">
            <w:pPr>
              <w:keepNext/>
              <w:rPr>
                <w:rFonts w:eastAsia="Arial" w:cstheme="minorHAnsi"/>
                <w:szCs w:val="18"/>
              </w:rPr>
            </w:pPr>
            <w:r w:rsidRPr="00284A41">
              <w:rPr>
                <w:rFonts w:eastAsia="Arial" w:cstheme="minorHAnsi"/>
                <w:szCs w:val="18"/>
              </w:rPr>
              <w:t>Respondent type</w:t>
            </w:r>
          </w:p>
        </w:tc>
        <w:tc>
          <w:tcPr>
            <w:tcW w:w="625" w:type="pct"/>
          </w:tcPr>
          <w:p w14:paraId="5CDD227A" w14:textId="77777777" w:rsidR="00A0241D" w:rsidRPr="00284A41" w:rsidRDefault="00A0241D" w:rsidP="00FB6354">
            <w:pPr>
              <w:keepNext/>
              <w:jc w:val="center"/>
              <w:rPr>
                <w:rFonts w:eastAsia="Arial" w:cstheme="minorHAnsi"/>
                <w:szCs w:val="18"/>
              </w:rPr>
            </w:pPr>
            <w:r w:rsidRPr="00284A41">
              <w:rPr>
                <w:rFonts w:eastAsia="Arial" w:cstheme="minorHAnsi"/>
                <w:szCs w:val="18"/>
              </w:rPr>
              <w:t>Sample size</w:t>
            </w:r>
          </w:p>
        </w:tc>
        <w:tc>
          <w:tcPr>
            <w:tcW w:w="625" w:type="pct"/>
          </w:tcPr>
          <w:p w14:paraId="2A808860" w14:textId="77777777" w:rsidR="00A0241D" w:rsidRPr="00284A41" w:rsidRDefault="00A0241D" w:rsidP="00FB6354">
            <w:pPr>
              <w:keepNext/>
              <w:jc w:val="center"/>
              <w:rPr>
                <w:rFonts w:eastAsia="Arial" w:cstheme="minorHAnsi"/>
                <w:szCs w:val="18"/>
              </w:rPr>
            </w:pPr>
            <w:r w:rsidRPr="00284A41">
              <w:rPr>
                <w:rFonts w:eastAsia="Arial" w:cstheme="minorHAnsi"/>
                <w:szCs w:val="18"/>
              </w:rPr>
              <w:t>Mean</w:t>
            </w:r>
          </w:p>
        </w:tc>
        <w:tc>
          <w:tcPr>
            <w:tcW w:w="625" w:type="pct"/>
          </w:tcPr>
          <w:p w14:paraId="1FFC8D7D" w14:textId="77777777" w:rsidR="00A0241D" w:rsidRPr="00284A41" w:rsidRDefault="00A0241D" w:rsidP="00FB6354">
            <w:pPr>
              <w:keepNext/>
              <w:jc w:val="center"/>
              <w:rPr>
                <w:rFonts w:eastAsia="Arial" w:cstheme="minorHAnsi"/>
                <w:szCs w:val="18"/>
              </w:rPr>
            </w:pPr>
            <w:r w:rsidRPr="00284A41">
              <w:rPr>
                <w:rFonts w:eastAsia="Arial" w:cstheme="minorHAnsi"/>
                <w:szCs w:val="18"/>
              </w:rPr>
              <w:t>Median</w:t>
            </w:r>
          </w:p>
        </w:tc>
        <w:tc>
          <w:tcPr>
            <w:tcW w:w="625" w:type="pct"/>
          </w:tcPr>
          <w:p w14:paraId="36CCBA3F" w14:textId="77777777" w:rsidR="00A0241D" w:rsidRPr="00284A41" w:rsidRDefault="00A0241D" w:rsidP="00FB6354">
            <w:pPr>
              <w:keepNext/>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5" w:type="pct"/>
          </w:tcPr>
          <w:p w14:paraId="6711C173" w14:textId="77777777" w:rsidR="00A0241D" w:rsidRPr="00284A41" w:rsidRDefault="00A0241D" w:rsidP="00FB6354">
            <w:pPr>
              <w:keepNext/>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4DA39AC6"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77779CB5" w14:textId="77777777" w:rsidR="001330ED" w:rsidRPr="00284A41" w:rsidRDefault="001330ED" w:rsidP="001330ED">
            <w:pPr>
              <w:keepNext/>
              <w:rPr>
                <w:rFonts w:eastAsia="Arial" w:cstheme="minorHAnsi"/>
                <w:szCs w:val="18"/>
              </w:rPr>
            </w:pPr>
            <w:r w:rsidRPr="00284A41">
              <w:rPr>
                <w:rFonts w:eastAsia="Arial" w:cstheme="minorHAnsi"/>
                <w:szCs w:val="18"/>
              </w:rPr>
              <w:t>All respondents</w:t>
            </w:r>
          </w:p>
        </w:tc>
        <w:tc>
          <w:tcPr>
            <w:tcW w:w="625" w:type="pct"/>
          </w:tcPr>
          <w:p w14:paraId="42C3D16D" w14:textId="3FF80B61" w:rsidR="001330ED" w:rsidRPr="00284A41" w:rsidRDefault="001330ED" w:rsidP="001330ED">
            <w:pPr>
              <w:keepNext/>
              <w:keepLines/>
              <w:jc w:val="center"/>
              <w:rPr>
                <w:szCs w:val="20"/>
              </w:rPr>
            </w:pPr>
            <w:r w:rsidRPr="00284A41">
              <w:t>551</w:t>
            </w:r>
          </w:p>
        </w:tc>
        <w:tc>
          <w:tcPr>
            <w:tcW w:w="625" w:type="pct"/>
          </w:tcPr>
          <w:p w14:paraId="6D461E3C" w14:textId="29D95172" w:rsidR="001330ED" w:rsidRPr="00284A41" w:rsidRDefault="001330ED" w:rsidP="001330ED">
            <w:pPr>
              <w:keepNext/>
              <w:keepLines/>
              <w:jc w:val="center"/>
              <w:rPr>
                <w:szCs w:val="20"/>
              </w:rPr>
            </w:pPr>
            <w:r w:rsidRPr="00284A41">
              <w:t>35.1%</w:t>
            </w:r>
          </w:p>
        </w:tc>
        <w:tc>
          <w:tcPr>
            <w:tcW w:w="625" w:type="pct"/>
          </w:tcPr>
          <w:p w14:paraId="3602C342" w14:textId="111647A7" w:rsidR="001330ED" w:rsidRPr="00284A41" w:rsidRDefault="001330ED" w:rsidP="001330ED">
            <w:pPr>
              <w:keepNext/>
              <w:keepLines/>
              <w:jc w:val="center"/>
              <w:rPr>
                <w:szCs w:val="20"/>
              </w:rPr>
            </w:pPr>
            <w:r w:rsidRPr="00284A41">
              <w:t>32.1%</w:t>
            </w:r>
          </w:p>
        </w:tc>
        <w:tc>
          <w:tcPr>
            <w:tcW w:w="625" w:type="pct"/>
          </w:tcPr>
          <w:p w14:paraId="23097E57" w14:textId="1EC77EDA" w:rsidR="001330ED" w:rsidRPr="00284A41" w:rsidRDefault="001330ED" w:rsidP="001330ED">
            <w:pPr>
              <w:keepNext/>
              <w:keepLines/>
              <w:jc w:val="center"/>
              <w:rPr>
                <w:szCs w:val="20"/>
              </w:rPr>
            </w:pPr>
            <w:r w:rsidRPr="00284A41">
              <w:t>20.7%</w:t>
            </w:r>
          </w:p>
        </w:tc>
        <w:tc>
          <w:tcPr>
            <w:tcW w:w="625" w:type="pct"/>
          </w:tcPr>
          <w:p w14:paraId="3E408E65" w14:textId="665A38F9" w:rsidR="001330ED" w:rsidRPr="00284A41" w:rsidRDefault="001330ED" w:rsidP="001330ED">
            <w:pPr>
              <w:keepNext/>
              <w:keepLines/>
              <w:jc w:val="center"/>
              <w:rPr>
                <w:szCs w:val="20"/>
              </w:rPr>
            </w:pPr>
            <w:r w:rsidRPr="00284A41">
              <w:t>46.2%</w:t>
            </w:r>
          </w:p>
        </w:tc>
      </w:tr>
      <w:tr w:rsidR="002506D2" w:rsidRPr="00284A41" w14:paraId="05E82404" w14:textId="77777777" w:rsidTr="0042216D">
        <w:tc>
          <w:tcPr>
            <w:tcW w:w="1875" w:type="pct"/>
          </w:tcPr>
          <w:p w14:paraId="18756EDB" w14:textId="77777777" w:rsidR="00A0241D" w:rsidRPr="00284A41" w:rsidRDefault="00A0241D" w:rsidP="00FB6354">
            <w:pPr>
              <w:keepNext/>
              <w:rPr>
                <w:rFonts w:eastAsia="Arial" w:cstheme="minorHAnsi"/>
                <w:szCs w:val="18"/>
              </w:rPr>
            </w:pPr>
            <w:r w:rsidRPr="00284A41">
              <w:rPr>
                <w:rFonts w:eastAsia="Arial" w:cstheme="minorHAnsi"/>
                <w:szCs w:val="18"/>
              </w:rPr>
              <w:t>Non-SIL respondents</w:t>
            </w:r>
          </w:p>
        </w:tc>
        <w:tc>
          <w:tcPr>
            <w:tcW w:w="625" w:type="pct"/>
          </w:tcPr>
          <w:p w14:paraId="6C2A81A0" w14:textId="77777777" w:rsidR="00A0241D" w:rsidRPr="00284A41" w:rsidRDefault="00A0241D" w:rsidP="00FB6354">
            <w:pPr>
              <w:keepNext/>
              <w:keepLines/>
              <w:jc w:val="center"/>
              <w:rPr>
                <w:szCs w:val="20"/>
              </w:rPr>
            </w:pPr>
            <w:r w:rsidRPr="00284A41">
              <w:rPr>
                <w:szCs w:val="20"/>
              </w:rPr>
              <w:t>379</w:t>
            </w:r>
          </w:p>
        </w:tc>
        <w:tc>
          <w:tcPr>
            <w:tcW w:w="625" w:type="pct"/>
          </w:tcPr>
          <w:p w14:paraId="35BBCE90" w14:textId="77777777" w:rsidR="00A0241D" w:rsidRPr="00284A41" w:rsidRDefault="00A0241D" w:rsidP="00FB6354">
            <w:pPr>
              <w:keepNext/>
              <w:keepLines/>
              <w:jc w:val="center"/>
              <w:rPr>
                <w:szCs w:val="20"/>
              </w:rPr>
            </w:pPr>
            <w:r w:rsidRPr="00284A41">
              <w:rPr>
                <w:szCs w:val="20"/>
              </w:rPr>
              <w:t>35.5%</w:t>
            </w:r>
          </w:p>
        </w:tc>
        <w:tc>
          <w:tcPr>
            <w:tcW w:w="625" w:type="pct"/>
          </w:tcPr>
          <w:p w14:paraId="00F03279" w14:textId="77777777" w:rsidR="00A0241D" w:rsidRPr="00284A41" w:rsidRDefault="00A0241D" w:rsidP="00FB6354">
            <w:pPr>
              <w:keepNext/>
              <w:keepLines/>
              <w:jc w:val="center"/>
              <w:rPr>
                <w:szCs w:val="20"/>
              </w:rPr>
            </w:pPr>
            <w:r w:rsidRPr="00284A41">
              <w:rPr>
                <w:szCs w:val="20"/>
              </w:rPr>
              <w:t>31.2%</w:t>
            </w:r>
          </w:p>
        </w:tc>
        <w:tc>
          <w:tcPr>
            <w:tcW w:w="625" w:type="pct"/>
          </w:tcPr>
          <w:p w14:paraId="19CCFC5D" w14:textId="77777777" w:rsidR="00A0241D" w:rsidRPr="00284A41" w:rsidRDefault="00A0241D" w:rsidP="00FB6354">
            <w:pPr>
              <w:keepNext/>
              <w:keepLines/>
              <w:jc w:val="center"/>
              <w:rPr>
                <w:szCs w:val="20"/>
              </w:rPr>
            </w:pPr>
            <w:r w:rsidRPr="00284A41">
              <w:rPr>
                <w:szCs w:val="20"/>
              </w:rPr>
              <w:t>20.0%</w:t>
            </w:r>
          </w:p>
        </w:tc>
        <w:tc>
          <w:tcPr>
            <w:tcW w:w="625" w:type="pct"/>
          </w:tcPr>
          <w:p w14:paraId="67FA3C4C" w14:textId="77777777" w:rsidR="00A0241D" w:rsidRPr="00284A41" w:rsidRDefault="00A0241D" w:rsidP="00FB6354">
            <w:pPr>
              <w:keepNext/>
              <w:keepLines/>
              <w:jc w:val="center"/>
              <w:rPr>
                <w:szCs w:val="20"/>
              </w:rPr>
            </w:pPr>
            <w:r w:rsidRPr="00284A41">
              <w:rPr>
                <w:szCs w:val="20"/>
              </w:rPr>
              <w:t>46.8%</w:t>
            </w:r>
          </w:p>
        </w:tc>
      </w:tr>
      <w:tr w:rsidR="002506D2" w:rsidRPr="00284A41" w14:paraId="0C807E4E"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35BA5491" w14:textId="77777777" w:rsidR="00A0241D" w:rsidRPr="00284A41" w:rsidRDefault="00A0241D" w:rsidP="00A0241D">
            <w:pPr>
              <w:rPr>
                <w:rFonts w:eastAsia="Arial" w:cstheme="minorHAnsi"/>
                <w:szCs w:val="18"/>
              </w:rPr>
            </w:pPr>
            <w:r w:rsidRPr="00284A41">
              <w:rPr>
                <w:rFonts w:eastAsia="Arial" w:cstheme="minorHAnsi"/>
                <w:szCs w:val="18"/>
              </w:rPr>
              <w:t>Mixed (SIL/ADL) respondents</w:t>
            </w:r>
          </w:p>
        </w:tc>
        <w:tc>
          <w:tcPr>
            <w:tcW w:w="625" w:type="pct"/>
          </w:tcPr>
          <w:p w14:paraId="484B1179" w14:textId="77777777" w:rsidR="00A0241D" w:rsidRPr="00284A41" w:rsidRDefault="00A0241D" w:rsidP="00A0241D">
            <w:pPr>
              <w:keepNext/>
              <w:keepLines/>
              <w:jc w:val="center"/>
              <w:rPr>
                <w:szCs w:val="20"/>
              </w:rPr>
            </w:pPr>
            <w:r w:rsidRPr="00284A41">
              <w:rPr>
                <w:szCs w:val="20"/>
              </w:rPr>
              <w:t>172</w:t>
            </w:r>
          </w:p>
        </w:tc>
        <w:tc>
          <w:tcPr>
            <w:tcW w:w="625" w:type="pct"/>
          </w:tcPr>
          <w:p w14:paraId="02EA1DC9" w14:textId="77777777" w:rsidR="00A0241D" w:rsidRPr="00284A41" w:rsidRDefault="00A0241D" w:rsidP="00A0241D">
            <w:pPr>
              <w:keepNext/>
              <w:keepLines/>
              <w:jc w:val="center"/>
              <w:rPr>
                <w:szCs w:val="20"/>
              </w:rPr>
            </w:pPr>
            <w:r w:rsidRPr="00284A41">
              <w:rPr>
                <w:szCs w:val="20"/>
              </w:rPr>
              <w:t>34.3%</w:t>
            </w:r>
          </w:p>
        </w:tc>
        <w:tc>
          <w:tcPr>
            <w:tcW w:w="625" w:type="pct"/>
          </w:tcPr>
          <w:p w14:paraId="6A855ECA" w14:textId="77777777" w:rsidR="00A0241D" w:rsidRPr="00284A41" w:rsidRDefault="00A0241D" w:rsidP="00A0241D">
            <w:pPr>
              <w:keepNext/>
              <w:keepLines/>
              <w:jc w:val="center"/>
              <w:rPr>
                <w:szCs w:val="20"/>
              </w:rPr>
            </w:pPr>
            <w:r w:rsidRPr="00284A41">
              <w:rPr>
                <w:szCs w:val="20"/>
              </w:rPr>
              <w:t>33.1%</w:t>
            </w:r>
          </w:p>
        </w:tc>
        <w:tc>
          <w:tcPr>
            <w:tcW w:w="625" w:type="pct"/>
          </w:tcPr>
          <w:p w14:paraId="19926320" w14:textId="77777777" w:rsidR="00A0241D" w:rsidRPr="00284A41" w:rsidRDefault="00A0241D" w:rsidP="00A0241D">
            <w:pPr>
              <w:keepNext/>
              <w:keepLines/>
              <w:jc w:val="center"/>
              <w:rPr>
                <w:szCs w:val="20"/>
              </w:rPr>
            </w:pPr>
            <w:r w:rsidRPr="00284A41">
              <w:rPr>
                <w:szCs w:val="20"/>
              </w:rPr>
              <w:t>21.4%</w:t>
            </w:r>
          </w:p>
        </w:tc>
        <w:tc>
          <w:tcPr>
            <w:tcW w:w="625" w:type="pct"/>
          </w:tcPr>
          <w:p w14:paraId="1FF170C8" w14:textId="77777777" w:rsidR="00A0241D" w:rsidRPr="00284A41" w:rsidRDefault="00A0241D" w:rsidP="00A0241D">
            <w:pPr>
              <w:keepNext/>
              <w:keepLines/>
              <w:jc w:val="center"/>
              <w:rPr>
                <w:szCs w:val="20"/>
              </w:rPr>
            </w:pPr>
            <w:r w:rsidRPr="00284A41">
              <w:rPr>
                <w:szCs w:val="20"/>
              </w:rPr>
              <w:t>44.3%</w:t>
            </w:r>
          </w:p>
        </w:tc>
      </w:tr>
      <w:tr w:rsidR="002506D2" w:rsidRPr="00284A41" w14:paraId="33D23F35" w14:textId="77777777" w:rsidTr="0042216D">
        <w:tc>
          <w:tcPr>
            <w:tcW w:w="1875" w:type="pct"/>
          </w:tcPr>
          <w:p w14:paraId="387A1B0D" w14:textId="77777777" w:rsidR="00A0241D" w:rsidRPr="00284A41" w:rsidRDefault="00A0241D" w:rsidP="00A0241D">
            <w:pPr>
              <w:ind w:left="335"/>
              <w:rPr>
                <w:rFonts w:eastAsia="Arial" w:cstheme="minorHAnsi"/>
                <w:szCs w:val="18"/>
              </w:rPr>
            </w:pPr>
            <w:r w:rsidRPr="00284A41">
              <w:rPr>
                <w:rFonts w:eastAsia="Arial" w:cstheme="minorHAnsi"/>
                <w:szCs w:val="18"/>
              </w:rPr>
              <w:t>0-25% SIL respondents</w:t>
            </w:r>
          </w:p>
        </w:tc>
        <w:tc>
          <w:tcPr>
            <w:tcW w:w="625" w:type="pct"/>
          </w:tcPr>
          <w:p w14:paraId="3F6C9BB6" w14:textId="77777777" w:rsidR="00A0241D" w:rsidRPr="00284A41" w:rsidRDefault="00A0241D" w:rsidP="00A0241D">
            <w:pPr>
              <w:keepNext/>
              <w:keepLines/>
              <w:jc w:val="center"/>
              <w:rPr>
                <w:szCs w:val="20"/>
              </w:rPr>
            </w:pPr>
            <w:r w:rsidRPr="00284A41">
              <w:rPr>
                <w:szCs w:val="20"/>
              </w:rPr>
              <w:t>63</w:t>
            </w:r>
          </w:p>
        </w:tc>
        <w:tc>
          <w:tcPr>
            <w:tcW w:w="625" w:type="pct"/>
          </w:tcPr>
          <w:p w14:paraId="449E74BA" w14:textId="77777777" w:rsidR="00A0241D" w:rsidRPr="00284A41" w:rsidRDefault="00A0241D" w:rsidP="00A0241D">
            <w:pPr>
              <w:keepNext/>
              <w:keepLines/>
              <w:jc w:val="center"/>
              <w:rPr>
                <w:szCs w:val="20"/>
              </w:rPr>
            </w:pPr>
            <w:r w:rsidRPr="00284A41">
              <w:rPr>
                <w:szCs w:val="20"/>
              </w:rPr>
              <w:t>35.7%</w:t>
            </w:r>
          </w:p>
        </w:tc>
        <w:tc>
          <w:tcPr>
            <w:tcW w:w="625" w:type="pct"/>
          </w:tcPr>
          <w:p w14:paraId="0DF0D4B9" w14:textId="77777777" w:rsidR="00A0241D" w:rsidRPr="00284A41" w:rsidRDefault="00A0241D" w:rsidP="00A0241D">
            <w:pPr>
              <w:keepNext/>
              <w:keepLines/>
              <w:jc w:val="center"/>
              <w:rPr>
                <w:szCs w:val="20"/>
              </w:rPr>
            </w:pPr>
            <w:r w:rsidRPr="00284A41">
              <w:rPr>
                <w:szCs w:val="20"/>
              </w:rPr>
              <w:t>33.9%</w:t>
            </w:r>
          </w:p>
        </w:tc>
        <w:tc>
          <w:tcPr>
            <w:tcW w:w="625" w:type="pct"/>
          </w:tcPr>
          <w:p w14:paraId="6B1D65D1" w14:textId="77777777" w:rsidR="00A0241D" w:rsidRPr="00284A41" w:rsidRDefault="00A0241D" w:rsidP="00A0241D">
            <w:pPr>
              <w:keepNext/>
              <w:keepLines/>
              <w:jc w:val="center"/>
              <w:rPr>
                <w:szCs w:val="20"/>
              </w:rPr>
            </w:pPr>
            <w:r w:rsidRPr="00284A41">
              <w:rPr>
                <w:szCs w:val="20"/>
              </w:rPr>
              <w:t>21.8%</w:t>
            </w:r>
          </w:p>
        </w:tc>
        <w:tc>
          <w:tcPr>
            <w:tcW w:w="625" w:type="pct"/>
          </w:tcPr>
          <w:p w14:paraId="61D7EDFF" w14:textId="77777777" w:rsidR="00A0241D" w:rsidRPr="00284A41" w:rsidRDefault="00A0241D" w:rsidP="00A0241D">
            <w:pPr>
              <w:keepNext/>
              <w:keepLines/>
              <w:jc w:val="center"/>
              <w:rPr>
                <w:szCs w:val="20"/>
              </w:rPr>
            </w:pPr>
            <w:r w:rsidRPr="00284A41">
              <w:rPr>
                <w:szCs w:val="20"/>
              </w:rPr>
              <w:t>45.0%</w:t>
            </w:r>
          </w:p>
        </w:tc>
      </w:tr>
      <w:tr w:rsidR="002506D2" w:rsidRPr="00284A41" w14:paraId="4A54BE85"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23CF997D" w14:textId="77777777" w:rsidR="00A0241D" w:rsidRPr="00284A41" w:rsidRDefault="00A0241D" w:rsidP="00A0241D">
            <w:pPr>
              <w:ind w:left="335"/>
              <w:rPr>
                <w:rFonts w:eastAsia="Arial" w:cstheme="minorHAnsi"/>
                <w:szCs w:val="18"/>
              </w:rPr>
            </w:pPr>
            <w:r w:rsidRPr="00284A41">
              <w:rPr>
                <w:rFonts w:eastAsia="Arial" w:cstheme="minorHAnsi"/>
                <w:szCs w:val="18"/>
              </w:rPr>
              <w:t>26-50% SIL respondents</w:t>
            </w:r>
          </w:p>
        </w:tc>
        <w:tc>
          <w:tcPr>
            <w:tcW w:w="625" w:type="pct"/>
          </w:tcPr>
          <w:p w14:paraId="6E4023F4" w14:textId="77777777" w:rsidR="00A0241D" w:rsidRPr="00284A41" w:rsidRDefault="00A0241D" w:rsidP="00A0241D">
            <w:pPr>
              <w:keepNext/>
              <w:keepLines/>
              <w:jc w:val="center"/>
              <w:rPr>
                <w:szCs w:val="20"/>
              </w:rPr>
            </w:pPr>
            <w:r w:rsidRPr="00284A41">
              <w:rPr>
                <w:szCs w:val="20"/>
              </w:rPr>
              <w:t>39</w:t>
            </w:r>
          </w:p>
        </w:tc>
        <w:tc>
          <w:tcPr>
            <w:tcW w:w="625" w:type="pct"/>
          </w:tcPr>
          <w:p w14:paraId="2DB035C9" w14:textId="77777777" w:rsidR="00A0241D" w:rsidRPr="00284A41" w:rsidRDefault="00A0241D" w:rsidP="00A0241D">
            <w:pPr>
              <w:keepNext/>
              <w:keepLines/>
              <w:jc w:val="center"/>
              <w:rPr>
                <w:szCs w:val="20"/>
              </w:rPr>
            </w:pPr>
            <w:r w:rsidRPr="00284A41">
              <w:rPr>
                <w:szCs w:val="20"/>
              </w:rPr>
              <w:t>38.1%</w:t>
            </w:r>
          </w:p>
        </w:tc>
        <w:tc>
          <w:tcPr>
            <w:tcW w:w="625" w:type="pct"/>
          </w:tcPr>
          <w:p w14:paraId="5C0C3A75" w14:textId="77777777" w:rsidR="00A0241D" w:rsidRPr="00284A41" w:rsidRDefault="00A0241D" w:rsidP="00A0241D">
            <w:pPr>
              <w:keepNext/>
              <w:keepLines/>
              <w:jc w:val="center"/>
              <w:rPr>
                <w:szCs w:val="20"/>
              </w:rPr>
            </w:pPr>
            <w:r w:rsidRPr="00284A41">
              <w:rPr>
                <w:szCs w:val="20"/>
              </w:rPr>
              <w:t>34.9%</w:t>
            </w:r>
          </w:p>
        </w:tc>
        <w:tc>
          <w:tcPr>
            <w:tcW w:w="625" w:type="pct"/>
          </w:tcPr>
          <w:p w14:paraId="5C2B7D8F" w14:textId="77777777" w:rsidR="00A0241D" w:rsidRPr="00284A41" w:rsidRDefault="00A0241D" w:rsidP="00A0241D">
            <w:pPr>
              <w:keepNext/>
              <w:keepLines/>
              <w:jc w:val="center"/>
              <w:rPr>
                <w:szCs w:val="20"/>
              </w:rPr>
            </w:pPr>
            <w:r w:rsidRPr="00284A41">
              <w:rPr>
                <w:szCs w:val="20"/>
              </w:rPr>
              <w:t>24.1%</w:t>
            </w:r>
          </w:p>
        </w:tc>
        <w:tc>
          <w:tcPr>
            <w:tcW w:w="625" w:type="pct"/>
          </w:tcPr>
          <w:p w14:paraId="0B7CB5BD" w14:textId="77777777" w:rsidR="00A0241D" w:rsidRPr="00284A41" w:rsidRDefault="00A0241D" w:rsidP="00A0241D">
            <w:pPr>
              <w:keepNext/>
              <w:keepLines/>
              <w:jc w:val="center"/>
              <w:rPr>
                <w:szCs w:val="20"/>
              </w:rPr>
            </w:pPr>
            <w:r w:rsidRPr="00284A41">
              <w:rPr>
                <w:szCs w:val="20"/>
              </w:rPr>
              <w:t>52.3%</w:t>
            </w:r>
          </w:p>
        </w:tc>
      </w:tr>
      <w:tr w:rsidR="002506D2" w:rsidRPr="00284A41" w14:paraId="4F3E9E8E" w14:textId="77777777" w:rsidTr="0042216D">
        <w:tc>
          <w:tcPr>
            <w:tcW w:w="1875" w:type="pct"/>
          </w:tcPr>
          <w:p w14:paraId="301DCA43" w14:textId="77777777" w:rsidR="00A0241D" w:rsidRPr="00284A41" w:rsidRDefault="00A0241D" w:rsidP="00A0241D">
            <w:pPr>
              <w:ind w:left="335"/>
              <w:rPr>
                <w:rFonts w:eastAsia="Arial" w:cstheme="minorHAnsi"/>
                <w:szCs w:val="18"/>
              </w:rPr>
            </w:pPr>
            <w:r w:rsidRPr="00284A41">
              <w:rPr>
                <w:rFonts w:eastAsia="Arial" w:cstheme="minorHAnsi"/>
                <w:szCs w:val="18"/>
              </w:rPr>
              <w:t>51-75% SIL respondents</w:t>
            </w:r>
          </w:p>
        </w:tc>
        <w:tc>
          <w:tcPr>
            <w:tcW w:w="625" w:type="pct"/>
          </w:tcPr>
          <w:p w14:paraId="01E52CEF" w14:textId="77777777" w:rsidR="00A0241D" w:rsidRPr="00284A41" w:rsidRDefault="00A0241D" w:rsidP="00A0241D">
            <w:pPr>
              <w:keepNext/>
              <w:keepLines/>
              <w:jc w:val="center"/>
              <w:rPr>
                <w:szCs w:val="20"/>
              </w:rPr>
            </w:pPr>
            <w:r w:rsidRPr="00284A41">
              <w:rPr>
                <w:szCs w:val="20"/>
              </w:rPr>
              <w:t>48</w:t>
            </w:r>
          </w:p>
        </w:tc>
        <w:tc>
          <w:tcPr>
            <w:tcW w:w="625" w:type="pct"/>
          </w:tcPr>
          <w:p w14:paraId="4FF96FF7" w14:textId="77777777" w:rsidR="00A0241D" w:rsidRPr="00284A41" w:rsidRDefault="00A0241D" w:rsidP="00A0241D">
            <w:pPr>
              <w:keepNext/>
              <w:keepLines/>
              <w:jc w:val="center"/>
              <w:rPr>
                <w:szCs w:val="20"/>
              </w:rPr>
            </w:pPr>
            <w:r w:rsidRPr="00284A41">
              <w:rPr>
                <w:szCs w:val="20"/>
              </w:rPr>
              <w:t>33.7%</w:t>
            </w:r>
          </w:p>
        </w:tc>
        <w:tc>
          <w:tcPr>
            <w:tcW w:w="625" w:type="pct"/>
          </w:tcPr>
          <w:p w14:paraId="2F4937D7" w14:textId="77777777" w:rsidR="00A0241D" w:rsidRPr="00284A41" w:rsidRDefault="00A0241D" w:rsidP="00A0241D">
            <w:pPr>
              <w:keepNext/>
              <w:keepLines/>
              <w:jc w:val="center"/>
              <w:rPr>
                <w:szCs w:val="20"/>
              </w:rPr>
            </w:pPr>
            <w:r w:rsidRPr="00284A41">
              <w:rPr>
                <w:szCs w:val="20"/>
              </w:rPr>
              <w:t>31.6%</w:t>
            </w:r>
          </w:p>
        </w:tc>
        <w:tc>
          <w:tcPr>
            <w:tcW w:w="625" w:type="pct"/>
          </w:tcPr>
          <w:p w14:paraId="26F00D2C" w14:textId="77777777" w:rsidR="00A0241D" w:rsidRPr="00284A41" w:rsidRDefault="00A0241D" w:rsidP="00A0241D">
            <w:pPr>
              <w:keepNext/>
              <w:keepLines/>
              <w:jc w:val="center"/>
              <w:rPr>
                <w:szCs w:val="20"/>
              </w:rPr>
            </w:pPr>
            <w:r w:rsidRPr="00284A41">
              <w:rPr>
                <w:szCs w:val="20"/>
              </w:rPr>
              <w:t>22.1%</w:t>
            </w:r>
          </w:p>
        </w:tc>
        <w:tc>
          <w:tcPr>
            <w:tcW w:w="625" w:type="pct"/>
          </w:tcPr>
          <w:p w14:paraId="62361132" w14:textId="77777777" w:rsidR="00A0241D" w:rsidRPr="00284A41" w:rsidRDefault="00A0241D" w:rsidP="00A0241D">
            <w:pPr>
              <w:keepNext/>
              <w:keepLines/>
              <w:jc w:val="center"/>
              <w:rPr>
                <w:szCs w:val="20"/>
              </w:rPr>
            </w:pPr>
            <w:r w:rsidRPr="00284A41">
              <w:rPr>
                <w:szCs w:val="20"/>
              </w:rPr>
              <w:t>45.4%</w:t>
            </w:r>
          </w:p>
        </w:tc>
      </w:tr>
      <w:tr w:rsidR="002506D2" w:rsidRPr="00284A41" w14:paraId="4A7DBC44"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30557CF0" w14:textId="77777777" w:rsidR="00A0241D" w:rsidRPr="00284A41" w:rsidRDefault="00A0241D" w:rsidP="00A0241D">
            <w:pPr>
              <w:ind w:left="335"/>
              <w:rPr>
                <w:rFonts w:eastAsia="Arial" w:cstheme="minorHAnsi"/>
                <w:szCs w:val="18"/>
              </w:rPr>
            </w:pPr>
            <w:r w:rsidRPr="00284A41">
              <w:rPr>
                <w:rFonts w:eastAsia="Arial" w:cstheme="minorHAnsi"/>
                <w:szCs w:val="18"/>
              </w:rPr>
              <w:t>76-100% SIL respondents</w:t>
            </w:r>
          </w:p>
        </w:tc>
        <w:tc>
          <w:tcPr>
            <w:tcW w:w="625" w:type="pct"/>
          </w:tcPr>
          <w:p w14:paraId="5AA6C460" w14:textId="77777777" w:rsidR="00A0241D" w:rsidRPr="00284A41" w:rsidRDefault="00A0241D" w:rsidP="00A0241D">
            <w:pPr>
              <w:keepNext/>
              <w:keepLines/>
              <w:jc w:val="center"/>
              <w:rPr>
                <w:szCs w:val="20"/>
              </w:rPr>
            </w:pPr>
            <w:r w:rsidRPr="00284A41">
              <w:rPr>
                <w:szCs w:val="20"/>
              </w:rPr>
              <w:t>22</w:t>
            </w:r>
          </w:p>
        </w:tc>
        <w:tc>
          <w:tcPr>
            <w:tcW w:w="625" w:type="pct"/>
          </w:tcPr>
          <w:p w14:paraId="4AC871C3" w14:textId="77777777" w:rsidR="00A0241D" w:rsidRPr="00284A41" w:rsidRDefault="00A0241D" w:rsidP="00A0241D">
            <w:pPr>
              <w:keepNext/>
              <w:keepLines/>
              <w:jc w:val="center"/>
              <w:rPr>
                <w:szCs w:val="20"/>
              </w:rPr>
            </w:pPr>
            <w:r w:rsidRPr="00284A41">
              <w:rPr>
                <w:szCs w:val="20"/>
              </w:rPr>
              <w:t>24.7%</w:t>
            </w:r>
          </w:p>
        </w:tc>
        <w:tc>
          <w:tcPr>
            <w:tcW w:w="625" w:type="pct"/>
          </w:tcPr>
          <w:p w14:paraId="06C12C58" w14:textId="77777777" w:rsidR="00A0241D" w:rsidRPr="00284A41" w:rsidRDefault="00A0241D" w:rsidP="00A0241D">
            <w:pPr>
              <w:keepNext/>
              <w:keepLines/>
              <w:jc w:val="center"/>
              <w:rPr>
                <w:szCs w:val="20"/>
              </w:rPr>
            </w:pPr>
            <w:r w:rsidRPr="00284A41">
              <w:rPr>
                <w:szCs w:val="20"/>
              </w:rPr>
              <w:t>21.2%</w:t>
            </w:r>
          </w:p>
        </w:tc>
        <w:tc>
          <w:tcPr>
            <w:tcW w:w="625" w:type="pct"/>
          </w:tcPr>
          <w:p w14:paraId="3BCEF207" w14:textId="77777777" w:rsidR="00A0241D" w:rsidRPr="00284A41" w:rsidRDefault="00A0241D" w:rsidP="00A0241D">
            <w:pPr>
              <w:keepNext/>
              <w:keepLines/>
              <w:jc w:val="center"/>
              <w:rPr>
                <w:szCs w:val="20"/>
              </w:rPr>
            </w:pPr>
            <w:r w:rsidRPr="00284A41">
              <w:rPr>
                <w:szCs w:val="20"/>
              </w:rPr>
              <w:t>19.3%</w:t>
            </w:r>
          </w:p>
        </w:tc>
        <w:tc>
          <w:tcPr>
            <w:tcW w:w="625" w:type="pct"/>
          </w:tcPr>
          <w:p w14:paraId="0D27CA04" w14:textId="77777777" w:rsidR="00A0241D" w:rsidRPr="00284A41" w:rsidRDefault="00A0241D" w:rsidP="00A0241D">
            <w:pPr>
              <w:keepNext/>
              <w:keepLines/>
              <w:jc w:val="center"/>
              <w:rPr>
                <w:szCs w:val="20"/>
              </w:rPr>
            </w:pPr>
            <w:r w:rsidRPr="00284A41">
              <w:rPr>
                <w:szCs w:val="20"/>
              </w:rPr>
              <w:t>33.4%</w:t>
            </w:r>
          </w:p>
        </w:tc>
      </w:tr>
    </w:tbl>
    <w:p w14:paraId="54AC5B1D" w14:textId="582B4502" w:rsidR="00FC141E" w:rsidRPr="00284A41" w:rsidRDefault="00FC141E" w:rsidP="00A0241D">
      <w:r w:rsidRPr="00284A41">
        <w:t xml:space="preserve">Regression analysis </w:t>
      </w:r>
      <w:r w:rsidR="00A0241D" w:rsidRPr="00284A41">
        <w:t>(</w:t>
      </w:r>
      <w:r w:rsidR="00A0241D" w:rsidRPr="00284A41">
        <w:fldChar w:fldCharType="begin"/>
      </w:r>
      <w:r w:rsidR="00A0241D" w:rsidRPr="00284A41">
        <w:instrText xml:space="preserve"> REF _Ref68095557 \h </w:instrText>
      </w:r>
      <w:r w:rsidR="00284A41">
        <w:instrText xml:space="preserve"> \* MERGEFORMAT </w:instrText>
      </w:r>
      <w:r w:rsidR="00A0241D" w:rsidRPr="00284A41">
        <w:fldChar w:fldCharType="separate"/>
      </w:r>
      <w:r w:rsidR="00E0689D" w:rsidRPr="00284A41">
        <w:t xml:space="preserve">Exhibit </w:t>
      </w:r>
      <w:r w:rsidR="00E0689D">
        <w:rPr>
          <w:noProof/>
        </w:rPr>
        <w:t>29</w:t>
      </w:r>
      <w:r w:rsidR="00A0241D" w:rsidRPr="00284A41">
        <w:fldChar w:fldCharType="end"/>
      </w:r>
      <w:r w:rsidR="00A0241D" w:rsidRPr="00284A41">
        <w:t xml:space="preserve">) </w:t>
      </w:r>
      <w:r w:rsidR="00711045" w:rsidRPr="00284A41">
        <w:t>shows</w:t>
      </w:r>
      <w:r w:rsidR="00A0241D" w:rsidRPr="00284A41">
        <w:t xml:space="preserve"> that there is no systemic difference in overheads betw</w:t>
      </w:r>
      <w:r w:rsidR="00711045" w:rsidRPr="00284A41">
        <w:t>een SIL and non-SIL providers as t</w:t>
      </w:r>
      <w:r w:rsidR="00A0241D" w:rsidRPr="00284A41">
        <w:t xml:space="preserve">he coefficients of both the SIL provider indicator variable and the </w:t>
      </w:r>
      <w:r w:rsidR="00980E9F" w:rsidRPr="00284A41">
        <w:t>p</w:t>
      </w:r>
      <w:r w:rsidR="00A0241D" w:rsidRPr="00284A41">
        <w:t>ercentage of revenue sourced from SIL variable are not statistically significant different from zero.</w:t>
      </w:r>
      <w:r w:rsidR="00711045" w:rsidRPr="00284A41">
        <w:t xml:space="preserve"> This finding holds both on average and for efficient providers.</w:t>
      </w:r>
    </w:p>
    <w:p w14:paraId="73303C47" w14:textId="47A7716B" w:rsidR="000A69C7" w:rsidRPr="00284A41" w:rsidRDefault="000A69C7" w:rsidP="00A0241D">
      <w:r w:rsidRPr="00284A41">
        <w:t>The statistically significant relationship that can be observed i</w:t>
      </w:r>
      <w:r w:rsidR="00107E35" w:rsidRPr="00284A41">
        <w:t>n the data with respect to the d</w:t>
      </w:r>
      <w:r w:rsidRPr="00284A41">
        <w:t>irect cost per</w:t>
      </w:r>
      <w:r w:rsidR="00107E35" w:rsidRPr="00284A41">
        <w:t xml:space="preserve"> client (log) variable and the a</w:t>
      </w:r>
      <w:r w:rsidRPr="00284A41">
        <w:t>verage base wage (DSW) variable is not unexpected as overheads are, in general, driven more by the headcount of workers rather than the individual wage rates of those workers and so as wage expenditure increases, overhead expenditure as a percentage of direct costs can decrease.</w:t>
      </w:r>
    </w:p>
    <w:p w14:paraId="1C855A58" w14:textId="691E907F" w:rsidR="00FC141E" w:rsidRPr="00284A41" w:rsidRDefault="00A0241D" w:rsidP="00066859">
      <w:pPr>
        <w:pStyle w:val="Caption"/>
      </w:pPr>
      <w:bookmarkStart w:id="172" w:name="_Ref68095557"/>
      <w:bookmarkStart w:id="173" w:name="_Toc75881532"/>
      <w:r w:rsidRPr="00284A41">
        <w:t xml:space="preserve">Exhibit </w:t>
      </w:r>
      <w:r w:rsidR="00935584">
        <w:fldChar w:fldCharType="begin"/>
      </w:r>
      <w:r w:rsidR="00935584">
        <w:instrText xml:space="preserve"> SEQ Exhibit \* ARABIC </w:instrText>
      </w:r>
      <w:r w:rsidR="00935584">
        <w:fldChar w:fldCharType="separate"/>
      </w:r>
      <w:r w:rsidR="00E0689D">
        <w:rPr>
          <w:noProof/>
        </w:rPr>
        <w:t>29</w:t>
      </w:r>
      <w:r w:rsidR="00935584">
        <w:rPr>
          <w:noProof/>
        </w:rPr>
        <w:fldChar w:fldCharType="end"/>
      </w:r>
      <w:bookmarkEnd w:id="172"/>
      <w:r w:rsidRPr="00284A41">
        <w:t xml:space="preserve">: </w:t>
      </w:r>
      <w:bookmarkStart w:id="174" w:name="_Toc68003303"/>
      <w:r w:rsidR="00452B36" w:rsidRPr="00284A41">
        <w:t>Regression A</w:t>
      </w:r>
      <w:r w:rsidR="005F426B" w:rsidRPr="00284A41">
        <w:t xml:space="preserve">nalysis </w:t>
      </w:r>
      <w:r w:rsidR="00FB16CB" w:rsidRPr="00284A41">
        <w:t>–</w:t>
      </w:r>
      <w:r w:rsidR="005F426B" w:rsidRPr="00284A41">
        <w:t xml:space="preserve"> </w:t>
      </w:r>
      <w:bookmarkEnd w:id="174"/>
      <w:r w:rsidR="00452B36" w:rsidRPr="00284A41">
        <w:t>Overhead Costs</w:t>
      </w:r>
      <w:r w:rsidR="005F76D1" w:rsidRPr="00284A41">
        <w:rPr>
          <w:rStyle w:val="FootnoteReference"/>
        </w:rPr>
        <w:footnoteReference w:id="22"/>
      </w:r>
      <w:bookmarkEnd w:id="173"/>
    </w:p>
    <w:tbl>
      <w:tblPr>
        <w:tblStyle w:val="GridTable4-Accent4"/>
        <w:tblW w:w="9147" w:type="dxa"/>
        <w:tblLook w:val="0460" w:firstRow="1" w:lastRow="1" w:firstColumn="0" w:lastColumn="0" w:noHBand="0" w:noVBand="1"/>
        <w:tblCaption w:val="Exhibit 29: Regression Analysis – Overhead Costs"/>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2506D2" w:rsidRPr="00284A41" w14:paraId="61B4C152"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501" w:type="pct"/>
          </w:tcPr>
          <w:p w14:paraId="42E7A0D5" w14:textId="77777777" w:rsidR="00A0241D" w:rsidRPr="00284A41" w:rsidRDefault="006842C8" w:rsidP="002506D2">
            <w:pPr>
              <w:keepNext/>
              <w:keepLines/>
              <w:rPr>
                <w:rFonts w:eastAsia="Arial" w:cstheme="minorHAnsi"/>
                <w:szCs w:val="18"/>
              </w:rPr>
            </w:pPr>
            <w:r w:rsidRPr="00284A41">
              <w:rPr>
                <w:rFonts w:eastAsia="Arial" w:cstheme="minorHAnsi"/>
                <w:szCs w:val="18"/>
              </w:rPr>
              <w:t>Regression variables</w:t>
            </w:r>
          </w:p>
        </w:tc>
        <w:tc>
          <w:tcPr>
            <w:tcW w:w="625" w:type="pct"/>
          </w:tcPr>
          <w:p w14:paraId="4B11F46E"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Mean</w:t>
            </w:r>
          </w:p>
        </w:tc>
        <w:tc>
          <w:tcPr>
            <w:tcW w:w="625" w:type="pct"/>
          </w:tcPr>
          <w:p w14:paraId="0ADAECC4"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Median</w:t>
            </w:r>
          </w:p>
        </w:tc>
        <w:tc>
          <w:tcPr>
            <w:tcW w:w="625" w:type="pct"/>
          </w:tcPr>
          <w:p w14:paraId="0BB9D5A7"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4" w:type="pct"/>
          </w:tcPr>
          <w:p w14:paraId="73460EDA"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h</w:t>
            </w:r>
            <w:r w:rsidRPr="00284A41">
              <w:rPr>
                <w:rFonts w:eastAsia="Arial" w:cstheme="minorHAnsi"/>
                <w:szCs w:val="18"/>
              </w:rPr>
              <w:t xml:space="preserve"> percentile</w:t>
            </w:r>
          </w:p>
        </w:tc>
      </w:tr>
      <w:tr w:rsidR="002506D2" w:rsidRPr="00284A41" w14:paraId="71F0F102"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6E695801" w14:textId="77777777" w:rsidR="00A0241D" w:rsidRPr="00284A41" w:rsidRDefault="00A0241D" w:rsidP="00A0241D">
            <w:pPr>
              <w:keepNext/>
              <w:keepLines/>
              <w:rPr>
                <w:rFonts w:eastAsia="Arial" w:cstheme="minorHAnsi"/>
                <w:szCs w:val="18"/>
              </w:rPr>
            </w:pPr>
            <w:r w:rsidRPr="00284A41">
              <w:rPr>
                <w:rFonts w:cstheme="minorHAnsi"/>
                <w:szCs w:val="18"/>
              </w:rPr>
              <w:t xml:space="preserve">SIL provider </w:t>
            </w:r>
            <w:r w:rsidRPr="00284A41">
              <w:rPr>
                <w:rFonts w:cstheme="minorHAnsi"/>
                <w:bCs/>
                <w:szCs w:val="18"/>
              </w:rPr>
              <w:t>indicator</w:t>
            </w:r>
          </w:p>
        </w:tc>
        <w:tc>
          <w:tcPr>
            <w:tcW w:w="625" w:type="pct"/>
          </w:tcPr>
          <w:p w14:paraId="5A6209CF"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-0.01 </w:t>
            </w:r>
          </w:p>
        </w:tc>
        <w:tc>
          <w:tcPr>
            <w:tcW w:w="625" w:type="pct"/>
          </w:tcPr>
          <w:p w14:paraId="7E1F3651" w14:textId="77777777" w:rsidR="00A0241D" w:rsidRPr="00284A41" w:rsidRDefault="00A0241D" w:rsidP="00A0241D">
            <w:pPr>
              <w:keepNext/>
              <w:keepLines/>
              <w:jc w:val="center"/>
              <w:rPr>
                <w:rFonts w:eastAsia="Arial" w:cstheme="minorHAnsi"/>
                <w:szCs w:val="18"/>
              </w:rPr>
            </w:pPr>
            <w:r w:rsidRPr="00284A41">
              <w:rPr>
                <w:rFonts w:cstheme="minorHAnsi"/>
                <w:szCs w:val="18"/>
              </w:rPr>
              <w:t>-0.02</w:t>
            </w:r>
          </w:p>
        </w:tc>
        <w:tc>
          <w:tcPr>
            <w:tcW w:w="625" w:type="pct"/>
          </w:tcPr>
          <w:p w14:paraId="0E73C5C1"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-0.04 </w:t>
            </w:r>
          </w:p>
        </w:tc>
        <w:tc>
          <w:tcPr>
            <w:tcW w:w="624" w:type="pct"/>
          </w:tcPr>
          <w:p w14:paraId="0A762833"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-0.01 </w:t>
            </w:r>
          </w:p>
        </w:tc>
      </w:tr>
      <w:tr w:rsidR="002506D2" w:rsidRPr="00284A41" w14:paraId="58E5F2EC" w14:textId="77777777" w:rsidTr="0042216D">
        <w:tc>
          <w:tcPr>
            <w:tcW w:w="2501" w:type="pct"/>
          </w:tcPr>
          <w:p w14:paraId="435ADAAE" w14:textId="77777777" w:rsidR="00A0241D" w:rsidRPr="00284A41" w:rsidRDefault="00A0241D" w:rsidP="00A0241D">
            <w:pPr>
              <w:keepNext/>
              <w:keepLines/>
              <w:rPr>
                <w:rFonts w:eastAsia="Arial" w:cstheme="minorHAnsi"/>
                <w:szCs w:val="18"/>
              </w:rPr>
            </w:pPr>
            <w:r w:rsidRPr="00284A41">
              <w:rPr>
                <w:rFonts w:cstheme="minorHAnsi"/>
                <w:szCs w:val="18"/>
              </w:rPr>
              <w:t xml:space="preserve">Percentage of revenue sourced from SIL </w:t>
            </w:r>
          </w:p>
        </w:tc>
        <w:tc>
          <w:tcPr>
            <w:tcW w:w="625" w:type="pct"/>
          </w:tcPr>
          <w:p w14:paraId="0F840FEB"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0.10 </w:t>
            </w:r>
          </w:p>
        </w:tc>
        <w:tc>
          <w:tcPr>
            <w:tcW w:w="625" w:type="pct"/>
          </w:tcPr>
          <w:p w14:paraId="58636184"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0.16 </w:t>
            </w:r>
          </w:p>
        </w:tc>
        <w:tc>
          <w:tcPr>
            <w:tcW w:w="625" w:type="pct"/>
          </w:tcPr>
          <w:p w14:paraId="77A0F92A"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0.02 </w:t>
            </w:r>
          </w:p>
        </w:tc>
        <w:tc>
          <w:tcPr>
            <w:tcW w:w="624" w:type="pct"/>
          </w:tcPr>
          <w:p w14:paraId="7583B5E4"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0.39 </w:t>
            </w:r>
          </w:p>
        </w:tc>
      </w:tr>
      <w:tr w:rsidR="002506D2" w:rsidRPr="00284A41" w14:paraId="2E10E625"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08A534C2" w14:textId="77777777" w:rsidR="00A0241D" w:rsidRPr="00284A41" w:rsidRDefault="00A0241D" w:rsidP="00A0241D">
            <w:pPr>
              <w:keepNext/>
              <w:keepLines/>
              <w:rPr>
                <w:rFonts w:eastAsia="Arial" w:cstheme="minorHAnsi"/>
                <w:szCs w:val="18"/>
              </w:rPr>
            </w:pPr>
            <w:r w:rsidRPr="00284A41">
              <w:rPr>
                <w:rFonts w:cstheme="minorHAnsi"/>
                <w:szCs w:val="18"/>
              </w:rPr>
              <w:t xml:space="preserve">Percentage of revenue sourced from SIL (squared) </w:t>
            </w:r>
          </w:p>
        </w:tc>
        <w:tc>
          <w:tcPr>
            <w:tcW w:w="625" w:type="pct"/>
          </w:tcPr>
          <w:p w14:paraId="44E5B4F7"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-0.19 </w:t>
            </w:r>
          </w:p>
        </w:tc>
        <w:tc>
          <w:tcPr>
            <w:tcW w:w="625" w:type="pct"/>
          </w:tcPr>
          <w:p w14:paraId="3B5C544D" w14:textId="77777777" w:rsidR="00A0241D" w:rsidRPr="00284A41" w:rsidRDefault="00A0241D" w:rsidP="00A0241D">
            <w:pPr>
              <w:keepNext/>
              <w:keepLines/>
              <w:jc w:val="center"/>
              <w:rPr>
                <w:rFonts w:eastAsia="Arial" w:cstheme="minorHAnsi"/>
                <w:szCs w:val="18"/>
              </w:rPr>
            </w:pPr>
            <w:r w:rsidRPr="00284A41">
              <w:rPr>
                <w:rFonts w:cstheme="minorHAnsi"/>
                <w:szCs w:val="18"/>
              </w:rPr>
              <w:t>-0.27*</w:t>
            </w:r>
          </w:p>
        </w:tc>
        <w:tc>
          <w:tcPr>
            <w:tcW w:w="625" w:type="pct"/>
          </w:tcPr>
          <w:p w14:paraId="601AEF61"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-0.06 </w:t>
            </w:r>
          </w:p>
        </w:tc>
        <w:tc>
          <w:tcPr>
            <w:tcW w:w="624" w:type="pct"/>
          </w:tcPr>
          <w:p w14:paraId="045E3B2D" w14:textId="77777777" w:rsidR="00A0241D" w:rsidRPr="00284A41" w:rsidRDefault="00A0241D" w:rsidP="00A0241D">
            <w:pPr>
              <w:keepNext/>
              <w:keepLines/>
              <w:jc w:val="center"/>
              <w:rPr>
                <w:rFonts w:eastAsia="Arial" w:cstheme="minorHAnsi"/>
                <w:szCs w:val="18"/>
              </w:rPr>
            </w:pPr>
            <w:r w:rsidRPr="00284A41">
              <w:rPr>
                <w:rFonts w:cstheme="minorHAnsi"/>
                <w:szCs w:val="18"/>
              </w:rPr>
              <w:t>-0.51*</w:t>
            </w:r>
          </w:p>
        </w:tc>
      </w:tr>
      <w:tr w:rsidR="002506D2" w:rsidRPr="00284A41" w14:paraId="7684B7D1" w14:textId="77777777" w:rsidTr="0042216D">
        <w:tc>
          <w:tcPr>
            <w:tcW w:w="2501" w:type="pct"/>
          </w:tcPr>
          <w:p w14:paraId="5959E724" w14:textId="77777777" w:rsidR="00A0241D" w:rsidRPr="00284A41" w:rsidRDefault="00A0241D" w:rsidP="00A0241D">
            <w:pPr>
              <w:keepNext/>
              <w:keepLines/>
              <w:rPr>
                <w:rFonts w:eastAsia="Arial" w:cstheme="minorHAnsi"/>
                <w:szCs w:val="18"/>
              </w:rPr>
            </w:pPr>
            <w:r w:rsidRPr="00284A41">
              <w:rPr>
                <w:rFonts w:cstheme="minorHAnsi"/>
                <w:szCs w:val="18"/>
              </w:rPr>
              <w:t>Number of clients (log)</w:t>
            </w:r>
          </w:p>
        </w:tc>
        <w:tc>
          <w:tcPr>
            <w:tcW w:w="625" w:type="pct"/>
          </w:tcPr>
          <w:p w14:paraId="690537C7" w14:textId="77777777" w:rsidR="00A0241D" w:rsidRPr="00284A41" w:rsidRDefault="00A0241D" w:rsidP="00A0241D">
            <w:pPr>
              <w:keepNext/>
              <w:keepLines/>
              <w:jc w:val="center"/>
              <w:rPr>
                <w:rFonts w:eastAsia="Arial" w:cstheme="minorHAnsi"/>
                <w:szCs w:val="18"/>
              </w:rPr>
            </w:pPr>
            <w:r w:rsidRPr="00284A41">
              <w:rPr>
                <w:rFonts w:cstheme="minorHAnsi"/>
                <w:szCs w:val="18"/>
              </w:rPr>
              <w:t>0.06**</w:t>
            </w:r>
          </w:p>
        </w:tc>
        <w:tc>
          <w:tcPr>
            <w:tcW w:w="625" w:type="pct"/>
          </w:tcPr>
          <w:p w14:paraId="0839B61F"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0.01 </w:t>
            </w:r>
          </w:p>
        </w:tc>
        <w:tc>
          <w:tcPr>
            <w:tcW w:w="625" w:type="pct"/>
          </w:tcPr>
          <w:p w14:paraId="290C7B29" w14:textId="77777777" w:rsidR="00A0241D" w:rsidRPr="00284A41" w:rsidRDefault="00A0241D" w:rsidP="00A0241D">
            <w:pPr>
              <w:keepNext/>
              <w:keepLines/>
              <w:jc w:val="center"/>
              <w:rPr>
                <w:rFonts w:eastAsia="Arial" w:cstheme="minorHAnsi"/>
                <w:szCs w:val="18"/>
              </w:rPr>
            </w:pPr>
            <w:r w:rsidRPr="00284A41">
              <w:rPr>
                <w:rFonts w:cstheme="minorHAnsi"/>
                <w:szCs w:val="18"/>
              </w:rPr>
              <w:t>0.05**</w:t>
            </w:r>
          </w:p>
        </w:tc>
        <w:tc>
          <w:tcPr>
            <w:tcW w:w="624" w:type="pct"/>
          </w:tcPr>
          <w:p w14:paraId="5EDD9AB3" w14:textId="77777777" w:rsidR="00A0241D" w:rsidRPr="00284A41" w:rsidRDefault="00A0241D" w:rsidP="00A0241D">
            <w:pPr>
              <w:keepNext/>
              <w:keepLines/>
              <w:jc w:val="center"/>
              <w:rPr>
                <w:rFonts w:eastAsia="Arial" w:cstheme="minorHAnsi"/>
                <w:szCs w:val="18"/>
              </w:rPr>
            </w:pPr>
            <w:r w:rsidRPr="00284A41">
              <w:rPr>
                <w:rFonts w:cstheme="minorHAnsi"/>
                <w:szCs w:val="18"/>
              </w:rPr>
              <w:t>-0.01</w:t>
            </w:r>
          </w:p>
        </w:tc>
      </w:tr>
      <w:tr w:rsidR="002506D2" w:rsidRPr="00284A41" w14:paraId="11CFB6BB"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5C8CB141" w14:textId="77777777" w:rsidR="00A0241D" w:rsidRPr="00284A41" w:rsidRDefault="00A0241D" w:rsidP="00A0241D">
            <w:pPr>
              <w:keepNext/>
              <w:keepLines/>
              <w:rPr>
                <w:rFonts w:eastAsia="Arial" w:cstheme="minorHAnsi"/>
                <w:szCs w:val="18"/>
              </w:rPr>
            </w:pPr>
            <w:r w:rsidRPr="00284A41">
              <w:rPr>
                <w:rFonts w:cstheme="minorHAnsi"/>
                <w:szCs w:val="18"/>
              </w:rPr>
              <w:t>Direct cost per client (log)</w:t>
            </w:r>
          </w:p>
        </w:tc>
        <w:tc>
          <w:tcPr>
            <w:tcW w:w="625" w:type="pct"/>
          </w:tcPr>
          <w:p w14:paraId="1C78ECD9" w14:textId="77777777" w:rsidR="00A0241D" w:rsidRPr="00284A41" w:rsidRDefault="00A0241D" w:rsidP="00A0241D">
            <w:pPr>
              <w:keepNext/>
              <w:keepLines/>
              <w:jc w:val="center"/>
              <w:rPr>
                <w:rFonts w:eastAsia="Arial" w:cstheme="minorHAnsi"/>
                <w:szCs w:val="18"/>
              </w:rPr>
            </w:pPr>
            <w:r w:rsidRPr="00284A41">
              <w:rPr>
                <w:rFonts w:cstheme="minorHAnsi"/>
                <w:szCs w:val="18"/>
              </w:rPr>
              <w:t>-0.04**</w:t>
            </w:r>
          </w:p>
        </w:tc>
        <w:tc>
          <w:tcPr>
            <w:tcW w:w="625" w:type="pct"/>
          </w:tcPr>
          <w:p w14:paraId="6622F953" w14:textId="77777777" w:rsidR="00A0241D" w:rsidRPr="00284A41" w:rsidRDefault="00A0241D" w:rsidP="00A0241D">
            <w:pPr>
              <w:keepNext/>
              <w:keepLines/>
              <w:jc w:val="center"/>
              <w:rPr>
                <w:rFonts w:eastAsia="Arial" w:cstheme="minorHAnsi"/>
                <w:szCs w:val="18"/>
              </w:rPr>
            </w:pPr>
            <w:r w:rsidRPr="00284A41">
              <w:rPr>
                <w:rFonts w:cstheme="minorHAnsi"/>
                <w:szCs w:val="18"/>
              </w:rPr>
              <w:t>-0.05*</w:t>
            </w:r>
          </w:p>
        </w:tc>
        <w:tc>
          <w:tcPr>
            <w:tcW w:w="625" w:type="pct"/>
          </w:tcPr>
          <w:p w14:paraId="66C3E3B4"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-0.03 </w:t>
            </w:r>
          </w:p>
        </w:tc>
        <w:tc>
          <w:tcPr>
            <w:tcW w:w="624" w:type="pct"/>
          </w:tcPr>
          <w:p w14:paraId="04036894" w14:textId="77777777" w:rsidR="00A0241D" w:rsidRPr="00284A41" w:rsidRDefault="00A0241D" w:rsidP="00A0241D">
            <w:pPr>
              <w:keepNext/>
              <w:keepLines/>
              <w:jc w:val="center"/>
              <w:rPr>
                <w:rFonts w:eastAsia="Arial" w:cstheme="minorHAnsi"/>
                <w:szCs w:val="18"/>
              </w:rPr>
            </w:pPr>
            <w:r w:rsidRPr="00284A41">
              <w:rPr>
                <w:rFonts w:cstheme="minorHAnsi"/>
                <w:szCs w:val="18"/>
              </w:rPr>
              <w:t>-0.08**</w:t>
            </w:r>
          </w:p>
        </w:tc>
      </w:tr>
      <w:tr w:rsidR="002506D2" w:rsidRPr="00284A41" w14:paraId="026A0B42" w14:textId="77777777" w:rsidTr="0042216D">
        <w:tc>
          <w:tcPr>
            <w:tcW w:w="2501" w:type="pct"/>
          </w:tcPr>
          <w:p w14:paraId="68A1E9EA" w14:textId="77777777" w:rsidR="00A0241D" w:rsidRPr="00284A41" w:rsidRDefault="00A0241D" w:rsidP="00A0241D">
            <w:pPr>
              <w:keepNext/>
              <w:keepLines/>
              <w:rPr>
                <w:rFonts w:eastAsia="Arial" w:cstheme="minorHAnsi"/>
                <w:b/>
                <w:szCs w:val="18"/>
              </w:rPr>
            </w:pPr>
            <w:r w:rsidRPr="00284A41">
              <w:rPr>
                <w:rFonts w:cstheme="minorHAnsi"/>
                <w:szCs w:val="18"/>
              </w:rPr>
              <w:t>Labour time spent on billable work (% of all time)</w:t>
            </w:r>
          </w:p>
        </w:tc>
        <w:tc>
          <w:tcPr>
            <w:tcW w:w="625" w:type="pct"/>
          </w:tcPr>
          <w:p w14:paraId="2697A8E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-0.02 </w:t>
            </w:r>
          </w:p>
        </w:tc>
        <w:tc>
          <w:tcPr>
            <w:tcW w:w="625" w:type="pct"/>
          </w:tcPr>
          <w:p w14:paraId="23365E5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0.04 </w:t>
            </w:r>
          </w:p>
        </w:tc>
        <w:tc>
          <w:tcPr>
            <w:tcW w:w="625" w:type="pct"/>
          </w:tcPr>
          <w:p w14:paraId="77CCDABB"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0.06 </w:t>
            </w:r>
          </w:p>
        </w:tc>
        <w:tc>
          <w:tcPr>
            <w:tcW w:w="624" w:type="pct"/>
          </w:tcPr>
          <w:p w14:paraId="08F03691"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-0.2 </w:t>
            </w:r>
          </w:p>
        </w:tc>
      </w:tr>
      <w:tr w:rsidR="002506D2" w:rsidRPr="00284A41" w14:paraId="25E1D431"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393E8764" w14:textId="77777777" w:rsidR="00A0241D" w:rsidRPr="00284A41" w:rsidRDefault="00A0241D" w:rsidP="00A0241D">
            <w:pPr>
              <w:keepNext/>
              <w:keepLines/>
              <w:rPr>
                <w:rFonts w:eastAsia="Arial" w:cstheme="minorHAnsi"/>
                <w:b/>
                <w:szCs w:val="18"/>
              </w:rPr>
            </w:pPr>
            <w:r w:rsidRPr="00284A41">
              <w:rPr>
                <w:rFonts w:cstheme="minorHAnsi"/>
                <w:szCs w:val="18"/>
              </w:rPr>
              <w:t>Staff-supervisor ratio (log)</w:t>
            </w:r>
          </w:p>
        </w:tc>
        <w:tc>
          <w:tcPr>
            <w:tcW w:w="625" w:type="pct"/>
          </w:tcPr>
          <w:p w14:paraId="2EDCEBD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-0.02 </w:t>
            </w:r>
          </w:p>
        </w:tc>
        <w:tc>
          <w:tcPr>
            <w:tcW w:w="625" w:type="pct"/>
          </w:tcPr>
          <w:p w14:paraId="6C4F44EE"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-0.02 </w:t>
            </w:r>
          </w:p>
        </w:tc>
        <w:tc>
          <w:tcPr>
            <w:tcW w:w="625" w:type="pct"/>
          </w:tcPr>
          <w:p w14:paraId="38144B68"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-0.03 </w:t>
            </w:r>
          </w:p>
        </w:tc>
        <w:tc>
          <w:tcPr>
            <w:tcW w:w="624" w:type="pct"/>
          </w:tcPr>
          <w:p w14:paraId="7D9DB2D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-0.01 </w:t>
            </w:r>
          </w:p>
        </w:tc>
      </w:tr>
      <w:tr w:rsidR="002506D2" w:rsidRPr="00284A41" w14:paraId="137CEAF5" w14:textId="77777777" w:rsidTr="0042216D">
        <w:tc>
          <w:tcPr>
            <w:tcW w:w="2501" w:type="pct"/>
          </w:tcPr>
          <w:p w14:paraId="639634BD" w14:textId="77777777" w:rsidR="00A0241D" w:rsidRPr="00284A41" w:rsidRDefault="00A0241D" w:rsidP="00A0241D">
            <w:pPr>
              <w:keepNext/>
              <w:keepLines/>
              <w:rPr>
                <w:rFonts w:cstheme="minorHAnsi"/>
                <w:szCs w:val="18"/>
              </w:rPr>
            </w:pPr>
            <w:r w:rsidRPr="00284A41">
              <w:rPr>
                <w:rFonts w:cstheme="minorHAnsi"/>
                <w:szCs w:val="18"/>
              </w:rPr>
              <w:t>Average base wage (FLS)</w:t>
            </w:r>
          </w:p>
        </w:tc>
        <w:tc>
          <w:tcPr>
            <w:tcW w:w="625" w:type="pct"/>
          </w:tcPr>
          <w:p w14:paraId="147227CE"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c>
          <w:tcPr>
            <w:tcW w:w="625" w:type="pct"/>
          </w:tcPr>
          <w:p w14:paraId="7A6DC7F3"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c>
          <w:tcPr>
            <w:tcW w:w="625" w:type="pct"/>
          </w:tcPr>
          <w:p w14:paraId="609CA55E"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c>
          <w:tcPr>
            <w:tcW w:w="624" w:type="pct"/>
          </w:tcPr>
          <w:p w14:paraId="7480FD28"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r>
      <w:tr w:rsidR="002506D2" w:rsidRPr="00284A41" w14:paraId="6F899FF3"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3A4E838F" w14:textId="77777777" w:rsidR="00A0241D" w:rsidRPr="00284A41" w:rsidRDefault="00A0241D" w:rsidP="00A0241D">
            <w:pPr>
              <w:keepNext/>
              <w:keepLines/>
              <w:rPr>
                <w:rFonts w:cstheme="minorHAnsi"/>
                <w:szCs w:val="18"/>
              </w:rPr>
            </w:pPr>
            <w:r w:rsidRPr="00284A41">
              <w:rPr>
                <w:rFonts w:cstheme="minorHAnsi"/>
                <w:szCs w:val="18"/>
              </w:rPr>
              <w:t>Average base wage (DSW)</w:t>
            </w:r>
          </w:p>
        </w:tc>
        <w:tc>
          <w:tcPr>
            <w:tcW w:w="625" w:type="pct"/>
          </w:tcPr>
          <w:p w14:paraId="7119D485" w14:textId="77777777" w:rsidR="00A0241D" w:rsidRPr="00284A41" w:rsidRDefault="00A0241D" w:rsidP="00A0241D">
            <w:pPr>
              <w:keepNext/>
              <w:keepLines/>
              <w:jc w:val="center"/>
              <w:rPr>
                <w:rFonts w:cstheme="minorHAnsi"/>
                <w:szCs w:val="18"/>
              </w:rPr>
            </w:pPr>
            <w:r w:rsidRPr="00284A41">
              <w:rPr>
                <w:rFonts w:cstheme="minorHAnsi"/>
                <w:szCs w:val="18"/>
              </w:rPr>
              <w:t>-0.01**</w:t>
            </w:r>
          </w:p>
        </w:tc>
        <w:tc>
          <w:tcPr>
            <w:tcW w:w="625" w:type="pct"/>
          </w:tcPr>
          <w:p w14:paraId="06FAEEC7" w14:textId="77777777" w:rsidR="00A0241D" w:rsidRPr="00284A41" w:rsidRDefault="00A0241D" w:rsidP="00A0241D">
            <w:pPr>
              <w:keepNext/>
              <w:keepLines/>
              <w:jc w:val="center"/>
              <w:rPr>
                <w:rFonts w:cstheme="minorHAnsi"/>
                <w:szCs w:val="18"/>
              </w:rPr>
            </w:pPr>
            <w:r w:rsidRPr="00284A41">
              <w:rPr>
                <w:rFonts w:cstheme="minorHAnsi"/>
                <w:szCs w:val="18"/>
              </w:rPr>
              <w:t xml:space="preserve">-0.01 </w:t>
            </w:r>
          </w:p>
        </w:tc>
        <w:tc>
          <w:tcPr>
            <w:tcW w:w="625" w:type="pct"/>
          </w:tcPr>
          <w:p w14:paraId="63A6F087" w14:textId="77777777" w:rsidR="00A0241D" w:rsidRPr="00284A41" w:rsidRDefault="00A0241D" w:rsidP="00A0241D">
            <w:pPr>
              <w:keepNext/>
              <w:keepLines/>
              <w:jc w:val="center"/>
              <w:rPr>
                <w:rFonts w:cstheme="minorHAnsi"/>
                <w:szCs w:val="18"/>
              </w:rPr>
            </w:pPr>
            <w:r w:rsidRPr="00284A41">
              <w:rPr>
                <w:rFonts w:cstheme="minorHAnsi"/>
                <w:szCs w:val="18"/>
              </w:rPr>
              <w:t>-0.01**</w:t>
            </w:r>
          </w:p>
        </w:tc>
        <w:tc>
          <w:tcPr>
            <w:tcW w:w="624" w:type="pct"/>
          </w:tcPr>
          <w:p w14:paraId="166659A4"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r>
      <w:tr w:rsidR="002506D2" w:rsidRPr="0042216D" w14:paraId="27D03C41" w14:textId="77777777" w:rsidTr="0042216D">
        <w:trPr>
          <w:cnfStyle w:val="010000000000" w:firstRow="0" w:lastRow="1" w:firstColumn="0" w:lastColumn="0" w:oddVBand="0" w:evenVBand="0" w:oddHBand="0" w:evenHBand="0" w:firstRowFirstColumn="0" w:firstRowLastColumn="0" w:lastRowFirstColumn="0" w:lastRowLastColumn="0"/>
        </w:trPr>
        <w:tc>
          <w:tcPr>
            <w:tcW w:w="2501" w:type="pct"/>
          </w:tcPr>
          <w:p w14:paraId="0DCA1009" w14:textId="77777777" w:rsidR="00A0241D" w:rsidRPr="0042216D" w:rsidRDefault="00A0241D" w:rsidP="00711045">
            <w:pPr>
              <w:keepNext/>
              <w:keepLines/>
              <w:rPr>
                <w:rFonts w:cstheme="minorHAnsi"/>
                <w:szCs w:val="18"/>
              </w:rPr>
            </w:pPr>
            <w:r w:rsidRPr="0042216D">
              <w:rPr>
                <w:rFonts w:cstheme="minorHAnsi"/>
                <w:szCs w:val="18"/>
              </w:rPr>
              <w:t>R</w:t>
            </w:r>
            <w:r w:rsidRPr="0042216D">
              <w:rPr>
                <w:rFonts w:cstheme="minorHAnsi"/>
                <w:szCs w:val="18"/>
                <w:vertAlign w:val="superscript"/>
              </w:rPr>
              <w:t>2</w:t>
            </w:r>
          </w:p>
        </w:tc>
        <w:tc>
          <w:tcPr>
            <w:tcW w:w="625" w:type="pct"/>
          </w:tcPr>
          <w:p w14:paraId="1BD5EC55" w14:textId="77777777" w:rsidR="00A0241D" w:rsidRPr="0042216D" w:rsidRDefault="00A0241D" w:rsidP="00711045">
            <w:pPr>
              <w:keepNext/>
              <w:keepLines/>
              <w:jc w:val="center"/>
              <w:rPr>
                <w:rFonts w:cstheme="minorHAnsi"/>
                <w:szCs w:val="18"/>
              </w:rPr>
            </w:pPr>
            <w:r w:rsidRPr="0042216D">
              <w:rPr>
                <w:rFonts w:cstheme="minorHAnsi"/>
                <w:szCs w:val="18"/>
              </w:rPr>
              <w:t>5.5%</w:t>
            </w:r>
          </w:p>
        </w:tc>
        <w:tc>
          <w:tcPr>
            <w:tcW w:w="625" w:type="pct"/>
          </w:tcPr>
          <w:p w14:paraId="78D84228" w14:textId="77777777" w:rsidR="00A0241D" w:rsidRPr="0042216D" w:rsidRDefault="00A0241D" w:rsidP="00711045">
            <w:pPr>
              <w:keepNext/>
              <w:keepLines/>
              <w:jc w:val="center"/>
              <w:rPr>
                <w:rFonts w:cstheme="minorHAnsi"/>
                <w:szCs w:val="18"/>
              </w:rPr>
            </w:pPr>
            <w:r w:rsidRPr="0042216D">
              <w:rPr>
                <w:rFonts w:cstheme="minorHAnsi"/>
                <w:szCs w:val="18"/>
              </w:rPr>
              <w:t>4.3%</w:t>
            </w:r>
          </w:p>
        </w:tc>
        <w:tc>
          <w:tcPr>
            <w:tcW w:w="625" w:type="pct"/>
          </w:tcPr>
          <w:p w14:paraId="1B6EEB19" w14:textId="77777777" w:rsidR="00A0241D" w:rsidRPr="0042216D" w:rsidRDefault="00A0241D" w:rsidP="00711045">
            <w:pPr>
              <w:keepNext/>
              <w:keepLines/>
              <w:jc w:val="center"/>
              <w:rPr>
                <w:rFonts w:cstheme="minorHAnsi"/>
                <w:szCs w:val="18"/>
              </w:rPr>
            </w:pPr>
            <w:r w:rsidRPr="0042216D">
              <w:rPr>
                <w:rFonts w:cstheme="minorHAnsi"/>
                <w:szCs w:val="18"/>
              </w:rPr>
              <w:t>4.6%</w:t>
            </w:r>
          </w:p>
        </w:tc>
        <w:tc>
          <w:tcPr>
            <w:tcW w:w="624" w:type="pct"/>
          </w:tcPr>
          <w:p w14:paraId="093DED96" w14:textId="77777777" w:rsidR="00A0241D" w:rsidRPr="0042216D" w:rsidRDefault="00A0241D" w:rsidP="00711045">
            <w:pPr>
              <w:keepNext/>
              <w:keepLines/>
              <w:jc w:val="center"/>
              <w:rPr>
                <w:rFonts w:cstheme="minorHAnsi"/>
                <w:szCs w:val="18"/>
              </w:rPr>
            </w:pPr>
            <w:r w:rsidRPr="0042216D">
              <w:rPr>
                <w:rFonts w:cstheme="minorHAnsi"/>
                <w:szCs w:val="18"/>
              </w:rPr>
              <w:t>4.4%</w:t>
            </w:r>
          </w:p>
        </w:tc>
      </w:tr>
    </w:tbl>
    <w:p w14:paraId="7B416A8F" w14:textId="404A42AA" w:rsidR="003A1D65" w:rsidRPr="00284A41" w:rsidRDefault="003A1D65" w:rsidP="0042216D">
      <w:pPr>
        <w:spacing w:before="0"/>
        <w:jc w:val="center"/>
        <w:rPr>
          <w:sz w:val="18"/>
          <w:szCs w:val="18"/>
        </w:rPr>
      </w:pPr>
      <w:bookmarkStart w:id="175" w:name="_Ref66970913"/>
      <w:bookmarkStart w:id="176" w:name="_Ref67047317"/>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w:t>
      </w:r>
      <w:r w:rsidR="00BF4F12">
        <w:rPr>
          <w:sz w:val="18"/>
          <w:szCs w:val="18"/>
        </w:rPr>
        <w:t>374</w:t>
      </w:r>
      <w:r>
        <w:rPr>
          <w:sz w:val="18"/>
          <w:szCs w:val="18"/>
        </w:rPr>
        <w:t xml:space="preserve"> observations).</w:t>
      </w:r>
    </w:p>
    <w:p w14:paraId="5D08CF1D" w14:textId="77777777" w:rsidR="00042B53" w:rsidRPr="00284A41" w:rsidRDefault="00042B53" w:rsidP="00E4185C">
      <w:pPr>
        <w:pStyle w:val="Heading2"/>
      </w:pPr>
      <w:bookmarkStart w:id="177" w:name="_Toc75881972"/>
      <w:r w:rsidRPr="00284A41">
        <w:t>Supply costs specific to SIL services</w:t>
      </w:r>
      <w:bookmarkEnd w:id="175"/>
      <w:bookmarkEnd w:id="176"/>
      <w:bookmarkEnd w:id="177"/>
    </w:p>
    <w:p w14:paraId="35FE8419" w14:textId="77777777" w:rsidR="00042B53" w:rsidRPr="00284A41" w:rsidRDefault="00A6463F" w:rsidP="00042B53">
      <w:pPr>
        <w:rPr>
          <w:rFonts w:cstheme="minorHAnsi"/>
        </w:rPr>
      </w:pPr>
      <w:r w:rsidRPr="00284A41">
        <w:rPr>
          <w:rFonts w:cstheme="minorHAnsi"/>
        </w:rPr>
        <w:t>To test whether there were any</w:t>
      </w:r>
      <w:r w:rsidR="00042B53" w:rsidRPr="00284A41">
        <w:rPr>
          <w:rFonts w:cstheme="minorHAnsi"/>
        </w:rPr>
        <w:t xml:space="preserve"> supply cost considerations that are specific to delivering SIL services</w:t>
      </w:r>
      <w:r w:rsidRPr="00284A41">
        <w:rPr>
          <w:rFonts w:cstheme="minorHAnsi"/>
        </w:rPr>
        <w:t xml:space="preserve"> and that are not accounted for in the current NDIS Disability Support Worker Cost Model, the Review </w:t>
      </w:r>
      <w:r w:rsidR="00042B53" w:rsidRPr="00284A41">
        <w:rPr>
          <w:rFonts w:cstheme="minorHAnsi"/>
        </w:rPr>
        <w:t>sought evidence on these costs and their drivers. In particular, the Issues Paper sought responses to the following questions:</w:t>
      </w:r>
    </w:p>
    <w:p w14:paraId="001E7087" w14:textId="77777777" w:rsidR="00042B53" w:rsidRPr="005E5772" w:rsidRDefault="00042B53" w:rsidP="0042216D">
      <w:pPr>
        <w:pStyle w:val="DotPoint"/>
      </w:pPr>
      <w:r w:rsidRPr="00C730FC">
        <w:rPr>
          <w:b/>
        </w:rPr>
        <w:t>Vacanc</w:t>
      </w:r>
      <w:r w:rsidR="00A6463F" w:rsidRPr="00C730FC">
        <w:rPr>
          <w:b/>
        </w:rPr>
        <w:t xml:space="preserve">y </w:t>
      </w:r>
      <w:r w:rsidR="00187B93" w:rsidRPr="00C730FC">
        <w:rPr>
          <w:b/>
        </w:rPr>
        <w:t>rates</w:t>
      </w:r>
      <w:r w:rsidRPr="005E5772">
        <w:t xml:space="preserve"> – What is the average vacancy rate across your properties? Is the vacancy rate of a property influenced by factors such as the complexity of participants in each property, the rurality of the property, and the number of rooms in the property? What factors are considered in optimising the number of participants per SIL property? What impact does this have on costs? What approach is used to optimise vacancy levels across your properties? </w:t>
      </w:r>
    </w:p>
    <w:p w14:paraId="2ACF9C6C" w14:textId="77777777" w:rsidR="00042B53" w:rsidRPr="005E5772" w:rsidRDefault="00042B53" w:rsidP="0042216D">
      <w:pPr>
        <w:pStyle w:val="DotPoint"/>
      </w:pPr>
      <w:r w:rsidRPr="00C730FC">
        <w:rPr>
          <w:b/>
        </w:rPr>
        <w:t>Vacancy costs</w:t>
      </w:r>
      <w:r w:rsidRPr="005E5772">
        <w:t xml:space="preserve"> – How do vacancies impact the costs of delivering SIL services? Please quantify these costs for your organisation? Some costs associated with vacancies can be considered to be “fixed” – for example, an inactive sleepover for a three bedroom house has the same cost whether there are two or three participants in the house. Other costs can be considered to be more “variable” </w:t>
      </w:r>
      <w:r w:rsidRPr="005E5772">
        <w:softHyphen/>
        <w:t>– for example, the vacancy costs of a three bedroom house with three residents each receiving 1:1 supports can, in general, be managed through change in rostering. What proposition of vacancy costs are fixed or variable in your organisation?</w:t>
      </w:r>
    </w:p>
    <w:p w14:paraId="79B0A99C" w14:textId="77777777" w:rsidR="00042B53" w:rsidRPr="005E5772" w:rsidRDefault="00042B53" w:rsidP="0042216D">
      <w:pPr>
        <w:pStyle w:val="DotPoint"/>
      </w:pPr>
      <w:r w:rsidRPr="00C730FC">
        <w:rPr>
          <w:b/>
        </w:rPr>
        <w:t>Participant complexity</w:t>
      </w:r>
      <w:r w:rsidRPr="005E5772">
        <w:t xml:space="preserve"> – What impact does participant complexity have on the costs of delivering supports in the SIL environment? What approach is used to optimise the allocation of participants with different support needs across your properties?</w:t>
      </w:r>
    </w:p>
    <w:p w14:paraId="0967ADC0" w14:textId="77777777" w:rsidR="00042B53" w:rsidRPr="005E5772" w:rsidRDefault="00042B53" w:rsidP="0042216D">
      <w:pPr>
        <w:pStyle w:val="DotPoint"/>
      </w:pPr>
      <w:r w:rsidRPr="00C730FC">
        <w:rPr>
          <w:b/>
        </w:rPr>
        <w:t>Shift costs</w:t>
      </w:r>
      <w:r w:rsidRPr="005E5772">
        <w:t xml:space="preserve"> – How many shifts are provided in a 24-hour period? To what extent is the number of shifts driven by factors such as the number of participants in the property, the mix of support needs within the property, or other factors? How do sleepover and crossover shifts impact on supply costs?</w:t>
      </w:r>
    </w:p>
    <w:p w14:paraId="69815DC3" w14:textId="77777777" w:rsidR="00042B53" w:rsidRPr="005E5772" w:rsidRDefault="00042B53" w:rsidP="0042216D">
      <w:pPr>
        <w:pStyle w:val="DotPoint"/>
      </w:pPr>
      <w:r w:rsidRPr="00C730FC">
        <w:rPr>
          <w:b/>
        </w:rPr>
        <w:t>Establishment costs</w:t>
      </w:r>
      <w:r w:rsidRPr="005E5772">
        <w:t xml:space="preserve"> – On an annual basis, how often is a new participant established in a property? Is there a material difference in the costs of establishing a participant between SIL and non-SIL services? If so, what aspects of the SIL operating environment drive this difference? How large is the difference? How is this influenced by factors such as the complexity of the participant’s needs, the existing number of participants and/or rooms within a property, or other factors?</w:t>
      </w:r>
    </w:p>
    <w:p w14:paraId="22F6F8D4" w14:textId="77777777" w:rsidR="00042B53" w:rsidRPr="005E5772" w:rsidRDefault="00042B53" w:rsidP="0042216D">
      <w:pPr>
        <w:pStyle w:val="DotPoint"/>
      </w:pPr>
      <w:r w:rsidRPr="00C730FC">
        <w:rPr>
          <w:b/>
        </w:rPr>
        <w:t>Location differences</w:t>
      </w:r>
      <w:r w:rsidRPr="005E5772">
        <w:t xml:space="preserve"> – Do costs for delivering SIL services differ significantly between metropolitan centres versus regional, rural and remote areas? If so, what is the average cost differential, and what elements of the cost drive this difference?</w:t>
      </w:r>
    </w:p>
    <w:p w14:paraId="77B4A192" w14:textId="77777777" w:rsidR="00042B53" w:rsidRPr="005E5772" w:rsidRDefault="00042B53" w:rsidP="0042216D">
      <w:pPr>
        <w:pStyle w:val="DotPoint"/>
      </w:pPr>
      <w:r w:rsidRPr="00C730FC">
        <w:rPr>
          <w:b/>
        </w:rPr>
        <w:t>Other supply costs</w:t>
      </w:r>
      <w:r w:rsidRPr="005E5772">
        <w:t xml:space="preserve"> – In delivering SIL services, what proportion of Disability Support Worker time is spent on providing support to participants? Note that this includes time directly interacting with participants, as well as tasks which do not involve direct interaction with participants such as preparing meals or sleepover shifts.</w:t>
      </w:r>
    </w:p>
    <w:p w14:paraId="67A765F5" w14:textId="720A594D" w:rsidR="00042B53" w:rsidRDefault="00A6463F" w:rsidP="00042B53">
      <w:pPr>
        <w:pStyle w:val="Heading3"/>
      </w:pPr>
      <w:r w:rsidRPr="00284A41">
        <w:t xml:space="preserve">Vacancy </w:t>
      </w:r>
      <w:r w:rsidR="00187B93" w:rsidRPr="00284A41">
        <w:t xml:space="preserve">rates and </w:t>
      </w:r>
      <w:r w:rsidRPr="00284A41">
        <w:t>costs</w:t>
      </w:r>
    </w:p>
    <w:p w14:paraId="069DBC76" w14:textId="3E478711" w:rsidR="00105E8C" w:rsidRPr="00D0240D" w:rsidRDefault="00332774" w:rsidP="00D0240D">
      <w:r w:rsidRPr="00D0240D">
        <w:t xml:space="preserve">SIL providers </w:t>
      </w:r>
      <w:r w:rsidR="00E62A13" w:rsidRPr="00D0240D">
        <w:t xml:space="preserve">can </w:t>
      </w:r>
      <w:r w:rsidRPr="00D0240D">
        <w:t>incur v</w:t>
      </w:r>
      <w:r w:rsidR="00E62A13" w:rsidRPr="00D0240D">
        <w:t xml:space="preserve">acancy costs </w:t>
      </w:r>
      <w:r w:rsidRPr="00D0240D">
        <w:t>when a dwelling is not o</w:t>
      </w:r>
      <w:r w:rsidR="003F069B" w:rsidRPr="00D0240D">
        <w:t>perating at its full capacity</w:t>
      </w:r>
      <w:r w:rsidR="00E62A13" w:rsidRPr="00D0240D">
        <w:t xml:space="preserve">. This can occur because the costs of a support that were previously shared between several participants may not be able to be reduced even though there are fewer participants to contribute to the cost of the worker. </w:t>
      </w:r>
      <w:r w:rsidR="00105E8C" w:rsidRPr="00D0240D">
        <w:t>Consider, for example the case where three people live in a dwelling and share an inactive overnight support. Each of their plans will include funding for one third of the cost of the inactive overnight support and the provider recovers the cost of the inactive overnight by charging each of them for one third of the cost. If a vacancy occurs then the two remaining participants still require an inactive overnight and the total cost of the inactive overnight support does not change. However, each remaining participant in the dwelling only has sufficient funding to pay for one third of the cost.</w:t>
      </w:r>
    </w:p>
    <w:p w14:paraId="13E590C8" w14:textId="1FFBED95" w:rsidR="00105E8C" w:rsidRPr="00D0240D" w:rsidRDefault="00105E8C" w:rsidP="00D0240D">
      <w:r w:rsidRPr="00D0240D">
        <w:t>It i</w:t>
      </w:r>
      <w:r w:rsidR="003F069B" w:rsidRPr="00D0240D">
        <w:t>s important to note that this</w:t>
      </w:r>
      <w:r w:rsidRPr="00D0240D">
        <w:t xml:space="preserve"> issue is </w:t>
      </w:r>
      <w:r w:rsidR="003F069B" w:rsidRPr="00D0240D">
        <w:t>not entirely the same as t</w:t>
      </w:r>
      <w:r w:rsidRPr="00D0240D">
        <w:t xml:space="preserve">he one faced by providers of Specialist Disability Accommodation (SDA) and general </w:t>
      </w:r>
      <w:r w:rsidR="003F069B" w:rsidRPr="00D0240D">
        <w:t>owners of rental properties</w:t>
      </w:r>
      <w:r w:rsidRPr="00D0240D">
        <w:t xml:space="preserve">. </w:t>
      </w:r>
      <w:r w:rsidR="003F069B" w:rsidRPr="00D0240D">
        <w:t>In those cases, the provider has a capital servicing cost over which they have no control. In the case of SIL, however, not all costs have to continue to be incurred when a vacancy occurs. Some supports are no longer needed and re-rostering can reduce the costs of the provider. However, some costs, as noted above, necessarily continue and need to be spread over a smaller revenue base.</w:t>
      </w:r>
    </w:p>
    <w:p w14:paraId="6343DCF6" w14:textId="4ABB3368" w:rsidR="003F069B" w:rsidRPr="00D0240D" w:rsidRDefault="00332774" w:rsidP="00D0240D">
      <w:r w:rsidRPr="00D0240D">
        <w:t xml:space="preserve">In response to the Issues Paper, providers reported vacancy rates, at an organisational level, of between 5-10%. Some respondents suggested vacancies of zero or close to zero. </w:t>
      </w:r>
      <w:r w:rsidR="003F069B" w:rsidRPr="00D0240D">
        <w:t>The financial deep dives conducted by Deloitte for the Review supplied some data on vacancy rates. The data indicated a mean of occupancy rate of 94.4% (median of 94.5%), which equates to a vacancy rate of 5.6%. Alliance20 financial information from their sample of nine providers indicated the average proportion of vacancies was 9.2% for SIL. Ability First provided similar vacancy rate numbers to Alliance20, with their average vacancy rate for members being 9.3%.</w:t>
      </w:r>
    </w:p>
    <w:p w14:paraId="738825CE" w14:textId="50C34CC5" w:rsidR="003F069B" w:rsidRPr="00D0240D" w:rsidRDefault="00332774" w:rsidP="00D0240D">
      <w:r w:rsidRPr="00D0240D">
        <w:t xml:space="preserve">Providers also reported a significant variation in the length of time that vacancies tended to persist. From the Ability First data, the average vacancy length was around 100 days for participants with standard needs and 150 days for participants with high intensity needs. </w:t>
      </w:r>
      <w:r w:rsidR="003F069B" w:rsidRPr="00D0240D">
        <w:t>Rurality and number of rooms in the property were also cited as important but less significant factors.</w:t>
      </w:r>
    </w:p>
    <w:p w14:paraId="645195B8" w14:textId="77777777" w:rsidR="003F069B" w:rsidRPr="00D0240D" w:rsidRDefault="003F069B" w:rsidP="00D0240D">
      <w:r w:rsidRPr="00D0240D">
        <w:t>Respondents reported that at the individual property level between 75% and 90% of vacancy costs are fixed because they are related to the irremediable minimum staffing level of the house and so were not affected by the presence of vacancy. Ability First data also showed that vacancy management contributed 0.6% (Standard), and 0.9% (High Intensity) to the overhead, and further costs for the vacancy risk. If this was the case, it would appear in the overhead analysis in Section 2.5, however, the Financial Benchmarking Survey data does not show any statistically significant difference in overheads between SIL and non-SIL settings.</w:t>
      </w:r>
    </w:p>
    <w:p w14:paraId="1EBFB41D" w14:textId="77777777" w:rsidR="00D0240D" w:rsidRPr="00D0240D" w:rsidRDefault="00D0240D" w:rsidP="00D0240D">
      <w:r w:rsidRPr="00D0240D">
        <w:t xml:space="preserve">While SIL is different from SDA, participants who receive one of these types of support often receive both types of support: </w:t>
      </w:r>
    </w:p>
    <w:p w14:paraId="3B6D8FC8" w14:textId="77777777" w:rsidR="00D0240D" w:rsidRPr="00D0240D" w:rsidRDefault="00D0240D" w:rsidP="00D0240D">
      <w:pPr>
        <w:pStyle w:val="DotPoint"/>
      </w:pPr>
      <w:r w:rsidRPr="00D0240D">
        <w:t xml:space="preserve">58% of participants who receive SIL funding also receive SDA funding. </w:t>
      </w:r>
    </w:p>
    <w:p w14:paraId="7531BDED" w14:textId="77777777" w:rsidR="00D0240D" w:rsidRPr="00D0240D" w:rsidRDefault="00D0240D" w:rsidP="00D0240D">
      <w:pPr>
        <w:pStyle w:val="DotPoint"/>
      </w:pPr>
      <w:r w:rsidRPr="00D0240D">
        <w:t>93% of participants who receive SDA funding also receive SIL funding.</w:t>
      </w:r>
      <w:r w:rsidRPr="00D0240D">
        <w:rPr>
          <w:rStyle w:val="FootnoteReference"/>
          <w:rFonts w:cs="Arial"/>
        </w:rPr>
        <w:footnoteReference w:id="23"/>
      </w:r>
    </w:p>
    <w:p w14:paraId="0F3359F5" w14:textId="36573D9E" w:rsidR="00D0240D" w:rsidRPr="00D0240D" w:rsidRDefault="00332774" w:rsidP="00332774">
      <w:pPr>
        <w:rPr>
          <w:rFonts w:cstheme="minorHAnsi"/>
        </w:rPr>
      </w:pPr>
      <w:r w:rsidRPr="00D0240D">
        <w:rPr>
          <w:rFonts w:cstheme="minorHAnsi"/>
        </w:rPr>
        <w:t xml:space="preserve">Some providers </w:t>
      </w:r>
      <w:r w:rsidR="00D0240D" w:rsidRPr="00D0240D">
        <w:rPr>
          <w:rFonts w:cstheme="minorHAnsi"/>
        </w:rPr>
        <w:t>suggested</w:t>
      </w:r>
      <w:r w:rsidRPr="00D0240D">
        <w:rPr>
          <w:rFonts w:cstheme="minorHAnsi"/>
        </w:rPr>
        <w:t xml:space="preserve"> a vacancy arrangement </w:t>
      </w:r>
      <w:r w:rsidR="00D0240D" w:rsidRPr="00D0240D">
        <w:rPr>
          <w:rFonts w:cstheme="minorHAnsi"/>
        </w:rPr>
        <w:t xml:space="preserve">for SIL </w:t>
      </w:r>
      <w:r w:rsidRPr="00D0240D">
        <w:rPr>
          <w:rFonts w:cstheme="minorHAnsi"/>
        </w:rPr>
        <w:t xml:space="preserve">similar to </w:t>
      </w:r>
      <w:r w:rsidR="00D0240D" w:rsidRPr="00D0240D">
        <w:rPr>
          <w:rFonts w:cstheme="minorHAnsi"/>
        </w:rPr>
        <w:t>SDA,</w:t>
      </w:r>
      <w:r w:rsidRPr="00D0240D">
        <w:rPr>
          <w:rFonts w:cstheme="minorHAnsi"/>
        </w:rPr>
        <w:t xml:space="preserve"> which allows payment for SDA to be made from a participant’s plan, in very limited circumstances, when the participant no longer physically resides at an enrolled SDA dwelling. This is set out in Section 32 of the NDIS (Specialist Disability Accommodation) Rules 2020.</w:t>
      </w:r>
      <w:r w:rsidR="00D0240D" w:rsidRPr="00D0240D">
        <w:rPr>
          <w:rFonts w:cstheme="minorHAnsi"/>
        </w:rPr>
        <w:t xml:space="preserve"> In essence, an SDA provider can continue to claim SDA payments from a participant’s plan after the participant has ceased to reside in the dwelling for up </w:t>
      </w:r>
    </w:p>
    <w:p w14:paraId="121A94C0" w14:textId="5BADFEEF" w:rsidR="00D0240D" w:rsidRPr="00D0240D" w:rsidRDefault="00D0240D" w:rsidP="00D0240D">
      <w:pPr>
        <w:pStyle w:val="DotPoint"/>
      </w:pPr>
      <w:r w:rsidRPr="00D0240D">
        <w:t>60 days if the dwelling is enrolled to house 2 or 3 residents; and</w:t>
      </w:r>
    </w:p>
    <w:p w14:paraId="20C945FF" w14:textId="76D70AEE" w:rsidR="00D0240D" w:rsidRDefault="00D0240D" w:rsidP="00D0240D">
      <w:pPr>
        <w:pStyle w:val="DotPoint"/>
      </w:pPr>
      <w:r w:rsidRPr="00D0240D">
        <w:t>90 days if the dwelling is enrolled to house 4 or 5 residents.</w:t>
      </w:r>
    </w:p>
    <w:p w14:paraId="32CB3A02" w14:textId="52470A7A" w:rsidR="00D0240D" w:rsidRDefault="00D0240D" w:rsidP="00D0240D">
      <w:r>
        <w:t xml:space="preserve">Other responses to the Issues Paper raised concerns with this approach, as it </w:t>
      </w:r>
      <w:r w:rsidR="000F38C7">
        <w:t xml:space="preserve">could reduce incentives on providers to fill vacancies. </w:t>
      </w:r>
    </w:p>
    <w:p w14:paraId="3B7B1885" w14:textId="77777777" w:rsidR="0087656C" w:rsidRPr="00B4163B" w:rsidRDefault="0087656C" w:rsidP="0087656C">
      <w:r w:rsidRPr="00B4163B">
        <w:t>The Review acknowledges that vacancies can present issues for providers as expenditure is not always able to be adjusted in line with changes in revenue, and certainly not immediately. The Review also notes, however, that providers need to be incentivised to achieve efficiencies in support delivery and to fill vacancies.</w:t>
      </w:r>
    </w:p>
    <w:p w14:paraId="7C687A9B" w14:textId="77777777" w:rsidR="0087656C" w:rsidRPr="00B4163B" w:rsidRDefault="0087656C" w:rsidP="0087656C">
      <w:r w:rsidRPr="00B4163B">
        <w:t>The Review has considered a number of options to address the irremediable costs associated with vacancies.</w:t>
      </w:r>
    </w:p>
    <w:p w14:paraId="4F3499C6" w14:textId="77777777" w:rsidR="0087656C" w:rsidRPr="00B4163B" w:rsidRDefault="0087656C" w:rsidP="0087656C">
      <w:pPr>
        <w:pStyle w:val="DotPoint"/>
      </w:pPr>
      <w:r w:rsidRPr="00B4163B">
        <w:t>The average irremediable cost of vacancies could be factored into the cost model that determines the price limit. The Review does not support this option because vacancies are not</w:t>
      </w:r>
      <w:r>
        <w:t xml:space="preserve"> evenly distributed across the sector and because there are a large number of small providers of SIL. For these small providers, an average vacancy payment would almost always result in either super-profits or insufficient compensation. The option is likely to work better for larger providers but would still be difficult to implement given </w:t>
      </w:r>
      <w:r w:rsidRPr="00B4163B">
        <w:t>vacancy management costs vary considerably by type of participant and other factors.</w:t>
      </w:r>
    </w:p>
    <w:p w14:paraId="2FFC185F" w14:textId="77777777" w:rsidR="0087656C" w:rsidRPr="00B4163B" w:rsidRDefault="0087656C" w:rsidP="0087656C">
      <w:pPr>
        <w:pStyle w:val="DotPoint"/>
      </w:pPr>
      <w:r w:rsidRPr="00B4163B">
        <w:t>Providers could be permitted to claim for the irremediable cost of vacancies from the plans of the remaining participants, on top of their usual SIL costs. This approach is theoretically attractive as it recognises the true cost of delivering the support (the inactive overnight) that has been determined to be reasonable and necessary for the remaining participants and attributes it to those receiving the benefit of the support. However, it would be difficult to implement. The irremediable cost of the vacancy would need to be determined in each case (as some costs are within the control of the provider). Remaining participants would also have to be involved in the decision making, and may not fully understand why their costs should increase when their supports remain the same. Finally, the plans of the remaining participants would be exhausted earlier, accelerating the need for a plan review.</w:t>
      </w:r>
    </w:p>
    <w:p w14:paraId="753FCD60" w14:textId="77777777" w:rsidR="0087656C" w:rsidRPr="00B4163B" w:rsidRDefault="0087656C" w:rsidP="0087656C">
      <w:pPr>
        <w:pStyle w:val="DotPoint"/>
      </w:pPr>
      <w:r w:rsidRPr="00B4163B">
        <w:t xml:space="preserve">Providers could be permitted to claim from the NDIS for the irremediable cost of a vacancy for a period of time, similarly to the approach in Specialised Disability Accommodation. These claims could be made against the plan of the participant who has caused the vacancy, or more generally from Scheme funds. </w:t>
      </w:r>
      <w:r w:rsidRPr="00B4163B">
        <w:rPr>
          <w:rFonts w:cstheme="minorHAnsi"/>
        </w:rPr>
        <w:t>Any such arrangement would need to be managed carefully to reduce incentives for providers to not fill vacancies. This could best be done by restricting the period of time for which providers could bill for vacancies. It may also be sensible to step down the amount of the payment over time to increase the incentive to fill the vacancy and to recognise that more costs can be controlled over longer time periods.</w:t>
      </w:r>
      <w:r>
        <w:rPr>
          <w:rFonts w:cstheme="minorHAnsi"/>
        </w:rPr>
        <w:t xml:space="preserve"> The Review notes that the participant who is leaving the SIL dwelling will be need a change of circumstances review in any case and that this review could take into account any vacancy break costs.</w:t>
      </w:r>
    </w:p>
    <w:p w14:paraId="2BB6C60D" w14:textId="77777777" w:rsidR="0087656C" w:rsidRPr="00B4163B" w:rsidRDefault="0087656C" w:rsidP="0087656C">
      <w:pPr>
        <w:pStyle w:val="DotPoint"/>
        <w:numPr>
          <w:ilvl w:val="0"/>
          <w:numId w:val="0"/>
        </w:numPr>
      </w:pPr>
      <w:r>
        <w:t xml:space="preserve">On balance, the Review considers that there is merit in further investigating these options. </w:t>
      </w:r>
    </w:p>
    <w:p w14:paraId="373AFDC0" w14:textId="77777777" w:rsidR="00042B53" w:rsidRPr="00284A41" w:rsidRDefault="00042B53" w:rsidP="00042B53">
      <w:pPr>
        <w:pStyle w:val="Heading3"/>
      </w:pPr>
      <w:r w:rsidRPr="00284A41">
        <w:t>Participant complexity</w:t>
      </w:r>
    </w:p>
    <w:p w14:paraId="6D259254" w14:textId="77777777" w:rsidR="00FB6CF9" w:rsidRPr="00284A41" w:rsidRDefault="00042B53" w:rsidP="00042B53">
      <w:pPr>
        <w:rPr>
          <w:rFonts w:cstheme="minorHAnsi"/>
        </w:rPr>
      </w:pPr>
      <w:r w:rsidRPr="00284A41">
        <w:rPr>
          <w:rFonts w:cstheme="minorHAnsi"/>
        </w:rPr>
        <w:t xml:space="preserve">The consensus from consultations and submissions was that participant complexity increases the cost of delivering supports in the SIL environment. The most commonly raised impacts were more training required for staff supporting participants with higher needs, and the need for more qualified or experienced staff. Further, owing to the intensity and impact of the work carried out, staff turnover, non-billable time and supervision were all said to be greater with complex participants. </w:t>
      </w:r>
    </w:p>
    <w:p w14:paraId="556B89B7" w14:textId="2B3100FD" w:rsidR="009D4809" w:rsidRPr="00284A41" w:rsidRDefault="00FB6CF9" w:rsidP="00042B53">
      <w:pPr>
        <w:rPr>
          <w:rFonts w:cstheme="minorHAnsi"/>
        </w:rPr>
      </w:pPr>
      <w:r w:rsidRPr="00284A41">
        <w:rPr>
          <w:rFonts w:cstheme="minorHAnsi"/>
        </w:rPr>
        <w:t xml:space="preserve">These factors are already recognised in the NDIS Disability Support Worker Cost Model, which varies these parameters according to </w:t>
      </w:r>
      <w:r w:rsidR="009D4809" w:rsidRPr="00284A41">
        <w:rPr>
          <w:rFonts w:cstheme="minorHAnsi"/>
        </w:rPr>
        <w:t>whether or not a participant has high intensity support needs. The hourly price limit for average high intensity support (level 2) is 8.2% higher than the price limit for standard support.</w:t>
      </w:r>
    </w:p>
    <w:p w14:paraId="11FFB5AA" w14:textId="1DA92B6E" w:rsidR="00980E9F" w:rsidRPr="00284A41" w:rsidRDefault="00980E9F" w:rsidP="00042B53">
      <w:pPr>
        <w:rPr>
          <w:rFonts w:cstheme="minorHAnsi"/>
        </w:rPr>
      </w:pPr>
      <w:r w:rsidRPr="00284A41">
        <w:rPr>
          <w:rFonts w:cstheme="minorHAnsi"/>
        </w:rPr>
        <w:t>The Review acknowledges that providers and planners do not always agree on whether the cost of a SIL roster of care should be calculated using the standard or high intensity price limits. While this affects the value of the SIL plan it is not a pricing issue, and the Review considers that this is a matter best addressed through the Operational Guideline for SIL.</w:t>
      </w:r>
    </w:p>
    <w:p w14:paraId="198F0C39" w14:textId="77777777" w:rsidR="00042B53" w:rsidRPr="00284A41" w:rsidRDefault="00042B53" w:rsidP="00042B53">
      <w:pPr>
        <w:pStyle w:val="Heading3"/>
      </w:pPr>
      <w:r w:rsidRPr="00284A41">
        <w:t>Shift costs</w:t>
      </w:r>
    </w:p>
    <w:p w14:paraId="1FD498E9" w14:textId="77777777" w:rsidR="00042B53" w:rsidRPr="00284A41" w:rsidRDefault="009D4809" w:rsidP="009D4809">
      <w:pPr>
        <w:rPr>
          <w:rFonts w:ascii="Arial" w:hAnsi="Arial" w:cs="Arial"/>
        </w:rPr>
      </w:pPr>
      <w:r w:rsidRPr="00284A41">
        <w:t>The</w:t>
      </w:r>
      <w:r w:rsidR="00042B53" w:rsidRPr="00284A41">
        <w:t xml:space="preserve"> NDIS Price Guide</w:t>
      </w:r>
      <w:r w:rsidRPr="00284A41">
        <w:t xml:space="preserve"> provides that a</w:t>
      </w:r>
      <w:r w:rsidR="00042B53" w:rsidRPr="00284A41">
        <w:rPr>
          <w:rFonts w:ascii="Arial" w:hAnsi="Arial" w:cs="Arial"/>
        </w:rPr>
        <w:t xml:space="preserve"> </w:t>
      </w:r>
      <w:r w:rsidR="00042B53" w:rsidRPr="00284A41">
        <w:rPr>
          <w:rFonts w:ascii="Arial" w:hAnsi="Arial" w:cs="Arial"/>
          <w:b/>
        </w:rPr>
        <w:t>Weekday Support</w:t>
      </w:r>
      <w:r w:rsidR="00042B53" w:rsidRPr="00284A41">
        <w:rPr>
          <w:rFonts w:ascii="Arial" w:hAnsi="Arial" w:cs="Arial"/>
        </w:rPr>
        <w:t xml:space="preserve"> </w:t>
      </w:r>
      <w:r w:rsidRPr="00284A41">
        <w:rPr>
          <w:rFonts w:ascii="Arial" w:hAnsi="Arial" w:cs="Arial"/>
        </w:rPr>
        <w:t>can be</w:t>
      </w:r>
      <w:r w:rsidR="00042B53" w:rsidRPr="00284A41">
        <w:rPr>
          <w:rFonts w:ascii="Arial" w:hAnsi="Arial" w:cs="Arial"/>
        </w:rPr>
        <w:t xml:space="preserve"> either:</w:t>
      </w:r>
    </w:p>
    <w:p w14:paraId="39FAF0F2" w14:textId="77777777" w:rsidR="00042B53" w:rsidRPr="005E5772" w:rsidRDefault="00042B53" w:rsidP="0042216D">
      <w:pPr>
        <w:pStyle w:val="DotPoint"/>
        <w:rPr>
          <w:b/>
        </w:rPr>
      </w:pPr>
      <w:r w:rsidRPr="005E5772">
        <w:rPr>
          <w:b/>
        </w:rPr>
        <w:t>A Weekday Daytime Support</w:t>
      </w:r>
      <w:r w:rsidR="009D4809" w:rsidRPr="005E5772">
        <w:rPr>
          <w:b/>
        </w:rPr>
        <w:t xml:space="preserve">, </w:t>
      </w:r>
      <w:r w:rsidR="009D4809" w:rsidRPr="0042216D">
        <w:t xml:space="preserve">which </w:t>
      </w:r>
      <w:r w:rsidRPr="0042216D">
        <w:t xml:space="preserve">is any support to an individual participant that starts at or after 6:00 am and ends before or at 8:00 pm on a single weekday (unless that support is a Public Holiday Support or </w:t>
      </w:r>
      <w:r w:rsidR="009D4809" w:rsidRPr="0042216D">
        <w:t>a Night-time Sleepover Support); or</w:t>
      </w:r>
    </w:p>
    <w:p w14:paraId="6AFA46A2" w14:textId="77777777" w:rsidR="00042B53" w:rsidRPr="00284A41" w:rsidRDefault="00042B53" w:rsidP="0042216D">
      <w:pPr>
        <w:pStyle w:val="DotPoint"/>
      </w:pPr>
      <w:r w:rsidRPr="00284A41">
        <w:t xml:space="preserve">A </w:t>
      </w:r>
      <w:r w:rsidRPr="00284A41">
        <w:rPr>
          <w:b/>
        </w:rPr>
        <w:t>Weekday</w:t>
      </w:r>
      <w:r w:rsidRPr="00284A41">
        <w:t xml:space="preserve"> </w:t>
      </w:r>
      <w:r w:rsidRPr="00284A41">
        <w:rPr>
          <w:b/>
        </w:rPr>
        <w:t>Evening Support</w:t>
      </w:r>
      <w:r w:rsidR="009D4809" w:rsidRPr="00284A41">
        <w:rPr>
          <w:b/>
        </w:rPr>
        <w:t xml:space="preserve">, </w:t>
      </w:r>
      <w:r w:rsidR="009D4809" w:rsidRPr="00284A41">
        <w:t>which</w:t>
      </w:r>
      <w:r w:rsidRPr="00284A41">
        <w:t xml:space="preserve"> is any support to an individual participant that starts after 8:00 pm and finishes at or before midnight on a single weekday (unless that support is a Public Holiday Support or </w:t>
      </w:r>
      <w:r w:rsidR="009D4809" w:rsidRPr="00284A41">
        <w:t>a Night-time Sleepover Support); or</w:t>
      </w:r>
    </w:p>
    <w:p w14:paraId="1E74A313" w14:textId="77777777" w:rsidR="00042B53" w:rsidRPr="00284A41" w:rsidRDefault="00042B53" w:rsidP="0042216D">
      <w:pPr>
        <w:pStyle w:val="DotPoint"/>
      </w:pPr>
      <w:r w:rsidRPr="00284A41">
        <w:t xml:space="preserve">A </w:t>
      </w:r>
      <w:r w:rsidRPr="00284A41">
        <w:rPr>
          <w:b/>
        </w:rPr>
        <w:t>Weekday</w:t>
      </w:r>
      <w:r w:rsidRPr="00284A41">
        <w:t xml:space="preserve"> </w:t>
      </w:r>
      <w:r w:rsidRPr="00284A41">
        <w:rPr>
          <w:b/>
        </w:rPr>
        <w:t>Night Support</w:t>
      </w:r>
      <w:r w:rsidR="009D4809" w:rsidRPr="00284A41">
        <w:rPr>
          <w:b/>
        </w:rPr>
        <w:t>,</w:t>
      </w:r>
      <w:r w:rsidR="009D4809" w:rsidRPr="00284A41">
        <w:t xml:space="preserve"> which </w:t>
      </w:r>
      <w:r w:rsidRPr="00284A41">
        <w:t>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7BA0CADE" w14:textId="77777777" w:rsidR="00042B53" w:rsidRPr="00284A41" w:rsidRDefault="00042B53" w:rsidP="009D4809">
      <w:pPr>
        <w:rPr>
          <w:rFonts w:ascii="Arial" w:hAnsi="Arial" w:cs="Arial"/>
        </w:rPr>
      </w:pPr>
      <w:r w:rsidRPr="00284A41">
        <w:t xml:space="preserve">Additionally, supports in SIL may also relate to the </w:t>
      </w:r>
      <w:r w:rsidR="009D4809" w:rsidRPr="00284A41">
        <w:t xml:space="preserve">Night-time Sleepover support </w:t>
      </w:r>
      <w:r w:rsidRPr="00284A41">
        <w:t>when a worker is allowed to sle</w:t>
      </w:r>
      <w:r w:rsidR="009D4809" w:rsidRPr="00284A41">
        <w:t xml:space="preserve">ep while not delivering support. </w:t>
      </w:r>
      <w:r w:rsidRPr="00284A41">
        <w:rPr>
          <w:rFonts w:ascii="Arial" w:hAnsi="Arial" w:cs="Arial"/>
        </w:rPr>
        <w:t xml:space="preserve">A </w:t>
      </w:r>
      <w:r w:rsidRPr="00284A41">
        <w:rPr>
          <w:rFonts w:ascii="Arial" w:hAnsi="Arial" w:cs="Arial"/>
          <w:b/>
        </w:rPr>
        <w:t>Night-time Sleepover Support</w:t>
      </w:r>
      <w:r w:rsidRPr="00284A41">
        <w:rPr>
          <w:rFonts w:ascii="Arial" w:hAnsi="Arial" w:cs="Arial"/>
        </w:rPr>
        <w:t xml:space="preserve"> is any support to an individual participant delivered on a weekday, a Saturday, a Sunday or a Public Holiday that:</w:t>
      </w:r>
    </w:p>
    <w:p w14:paraId="6293A4FA" w14:textId="77777777" w:rsidR="00042B53" w:rsidRPr="00284A41" w:rsidRDefault="00042B53" w:rsidP="0042216D">
      <w:pPr>
        <w:pStyle w:val="DotPoint"/>
      </w:pPr>
      <w:r w:rsidRPr="00284A41">
        <w:t>commences before midnight on a given day and finishes after midnight on that day; and</w:t>
      </w:r>
    </w:p>
    <w:p w14:paraId="552CEE40" w14:textId="77777777" w:rsidR="00042B53" w:rsidRPr="00284A41" w:rsidRDefault="00042B53" w:rsidP="0042216D">
      <w:pPr>
        <w:pStyle w:val="DotPoint"/>
      </w:pPr>
      <w:r w:rsidRPr="00284A41">
        <w:t>is for a continuous period of eight (8) hours or more; and</w:t>
      </w:r>
    </w:p>
    <w:p w14:paraId="37BCE883" w14:textId="77777777" w:rsidR="00042B53" w:rsidRPr="00284A41" w:rsidRDefault="00042B53" w:rsidP="0042216D">
      <w:pPr>
        <w:pStyle w:val="DotPoint"/>
      </w:pPr>
      <w:r w:rsidRPr="00284A41">
        <w:t>the worker is allowed to sleep when they are not providing support.</w:t>
      </w:r>
    </w:p>
    <w:p w14:paraId="6530CC91" w14:textId="77777777" w:rsidR="00042B53" w:rsidRPr="00284A41" w:rsidRDefault="00042B53" w:rsidP="00042B53">
      <w:pPr>
        <w:rPr>
          <w:rFonts w:cstheme="minorHAnsi"/>
        </w:rPr>
      </w:pPr>
      <w:r w:rsidRPr="00284A41">
        <w:rPr>
          <w:rFonts w:cstheme="minorHAnsi"/>
        </w:rPr>
        <w:t>For pricing purposes, supports provided on a Public Holiday, Saturday or Sunday are claimed at the relevant rate as the costs do not change based on the time during that day it is delivered.</w:t>
      </w:r>
    </w:p>
    <w:p w14:paraId="1C24D4DC" w14:textId="77777777" w:rsidR="00042B53" w:rsidRPr="00284A41" w:rsidRDefault="00042B53" w:rsidP="00042B53">
      <w:pPr>
        <w:rPr>
          <w:rFonts w:cstheme="minorHAnsi"/>
        </w:rPr>
      </w:pPr>
      <w:r w:rsidRPr="00284A41">
        <w:rPr>
          <w:rFonts w:cstheme="minorHAnsi"/>
        </w:rPr>
        <w:t xml:space="preserve">Submissions indicated that most providers did in fact use 3 shifts per 24 hour period. Generally the split was a morning-afternoon shift, afternoon-evening and overnight/sleepover shift. However, a substantial minority reported 4-6 shifts and a few had 7-8 shifts. Several providers mentioned that this is highly dependent on participant support needs. The financial deep dives submitted to Deloitte Access Economics, had a mean of 3.4 shifts and a median of 3 shifts per 24 hour period (7 respondents). </w:t>
      </w:r>
    </w:p>
    <w:p w14:paraId="4C06AAE7" w14:textId="77777777" w:rsidR="00042B53" w:rsidRPr="00284A41" w:rsidRDefault="00042B53" w:rsidP="00042B53">
      <w:r w:rsidRPr="00284A41">
        <w:rPr>
          <w:rFonts w:cstheme="minorHAnsi"/>
        </w:rPr>
        <w:t>Sleepovers were raised as an issue whenever the participant is active overnight, as then the provider has to pay the worker for an active overnight shift, not just the sleepover allowance as per the Award. The unpredictability of participants, particularly participants with higher needs, can cause high supply costs for sleepovers and crossover shifts, given the higher overtime rates needing to be paid to the worker (as per the Award). However, providers argued these impacts are not necessarily funded in the Roster of Care. This suggests such concerns are better addressed through planning, as pricing mechanisms do not hinder recovering costs when such support is delivered.</w:t>
      </w:r>
    </w:p>
    <w:p w14:paraId="36D7357D" w14:textId="2221682D" w:rsidR="00042B53" w:rsidRPr="00284A41" w:rsidRDefault="00042B53" w:rsidP="00042B53">
      <w:pPr>
        <w:rPr>
          <w:rFonts w:cstheme="minorHAnsi"/>
        </w:rPr>
      </w:pPr>
      <w:r w:rsidRPr="00284A41">
        <w:rPr>
          <w:rFonts w:cstheme="minorHAnsi"/>
        </w:rPr>
        <w:t xml:space="preserve">The </w:t>
      </w:r>
      <w:r w:rsidR="009D4809" w:rsidRPr="00284A41">
        <w:rPr>
          <w:rFonts w:cstheme="minorHAnsi"/>
        </w:rPr>
        <w:t>Review</w:t>
      </w:r>
      <w:r w:rsidRPr="00284A41">
        <w:rPr>
          <w:rFonts w:cstheme="minorHAnsi"/>
        </w:rPr>
        <w:t xml:space="preserve"> notes that the NDIS Price Limit for Night-Time Sleepover supports includes two hours of overtime support provided during this time, with third and additional hours to be claimed as rates stipulated in the NDIS Price Guide. Potentially, this could lead to higher payments than if the shift had been active overnight. So while SIL workers may have more interrupted sleeps than their community activities of daily living counterparts, providers should still be effectively reimbursed if claiming correctly. </w:t>
      </w:r>
    </w:p>
    <w:p w14:paraId="76A63C5E" w14:textId="09EBA5D7" w:rsidR="003B37EE" w:rsidRPr="00284A41" w:rsidRDefault="003B37EE" w:rsidP="00042B53">
      <w:pPr>
        <w:rPr>
          <w:rFonts w:cstheme="minorHAnsi"/>
        </w:rPr>
      </w:pPr>
      <w:r w:rsidRPr="00284A41">
        <w:rPr>
          <w:rFonts w:cstheme="minorHAnsi"/>
        </w:rPr>
        <w:t xml:space="preserve">The Review acknowledges that providers and planners do not always agree on whether the cost of a SIL roster of care should include an active overnight or sleepover </w:t>
      </w:r>
      <w:r w:rsidR="00CF0E7C" w:rsidRPr="00284A41">
        <w:rPr>
          <w:rFonts w:cstheme="minorHAnsi"/>
        </w:rPr>
        <w:t>supports</w:t>
      </w:r>
      <w:r w:rsidRPr="00284A41">
        <w:rPr>
          <w:rFonts w:cstheme="minorHAnsi"/>
        </w:rPr>
        <w:t>. While this affects the value of the SIL plan it is not a pricing issue and the Review considers that this is a matter best addressed through the Operational Guideline for SIL.</w:t>
      </w:r>
    </w:p>
    <w:p w14:paraId="792BC084" w14:textId="77777777" w:rsidR="00042B53" w:rsidRPr="00284A41" w:rsidRDefault="00042B53" w:rsidP="00042B53">
      <w:pPr>
        <w:pStyle w:val="Heading3"/>
      </w:pPr>
      <w:r w:rsidRPr="00284A41">
        <w:t>Establishment costs</w:t>
      </w:r>
    </w:p>
    <w:p w14:paraId="1E858C6E" w14:textId="77777777" w:rsidR="00042B53" w:rsidRPr="00284A41" w:rsidRDefault="00042B53" w:rsidP="00042B53">
      <w:pPr>
        <w:rPr>
          <w:rFonts w:cstheme="minorHAnsi"/>
        </w:rPr>
      </w:pPr>
      <w:r w:rsidRPr="00284A41">
        <w:rPr>
          <w:rFonts w:cstheme="minorHAnsi"/>
        </w:rPr>
        <w:t xml:space="preserve">Providers noted that the frequency of establishing new participants is correlated with the size of the residence. Most respondents did not record high turnover, and it was common to see respondents say they would only establish a new resident every three to six months although it is not clear if this is partly owing to the size of their organisation. One large provider said they establish a new participant every three to four weeks. </w:t>
      </w:r>
    </w:p>
    <w:p w14:paraId="046910D6" w14:textId="77777777" w:rsidR="00042B53" w:rsidRPr="00284A41" w:rsidRDefault="00042B53" w:rsidP="00042B53">
      <w:pPr>
        <w:rPr>
          <w:rFonts w:cstheme="minorHAnsi"/>
        </w:rPr>
      </w:pPr>
      <w:r w:rsidRPr="00284A41">
        <w:rPr>
          <w:rFonts w:cstheme="minorHAnsi"/>
        </w:rPr>
        <w:t xml:space="preserve">Examples of the establishment costs involved included orientation, induction and intake which require a level of nuance regarding individual participant needs. For particular participant needs, there could also be different types of training required related to medication management and other specialised training to support participants. Ability First members reporting the time taken to establish a new participant in a SIL home is approximately three to six months. </w:t>
      </w:r>
    </w:p>
    <w:p w14:paraId="4DB7900C" w14:textId="77777777" w:rsidR="00187B93" w:rsidRPr="00284A41" w:rsidRDefault="00187B93" w:rsidP="00042B53">
      <w:pPr>
        <w:rPr>
          <w:rFonts w:cstheme="minorHAnsi"/>
        </w:rPr>
      </w:pPr>
      <w:r w:rsidRPr="00284A41">
        <w:rPr>
          <w:rFonts w:cstheme="minorHAnsi"/>
        </w:rPr>
        <w:t>The Review, notes, however that, as discussed above, the Financial Benchmarking Data does not show any statistically significant difference in overheads or utilisation (where these additional costs would become apparent) between SIL and non-SIL settings.</w:t>
      </w:r>
    </w:p>
    <w:p w14:paraId="161DFFF1" w14:textId="77777777" w:rsidR="00042B53" w:rsidRPr="00284A41" w:rsidRDefault="00042B53" w:rsidP="00042B53">
      <w:pPr>
        <w:pStyle w:val="Heading3"/>
      </w:pPr>
      <w:r w:rsidRPr="00284A41">
        <w:t>Location differences</w:t>
      </w:r>
    </w:p>
    <w:p w14:paraId="17F08364" w14:textId="77777777" w:rsidR="00042B53" w:rsidRPr="00284A41" w:rsidRDefault="00042B53" w:rsidP="00042B53">
      <w:pPr>
        <w:rPr>
          <w:rFonts w:cstheme="minorHAnsi"/>
        </w:rPr>
      </w:pPr>
      <w:r w:rsidRPr="00284A41">
        <w:rPr>
          <w:rFonts w:cstheme="minorHAnsi"/>
        </w:rPr>
        <w:t>The majority of respondents to the Issues Paper suggested there was a greater cost to providing SIL supports in rural and remote areas than in metropolitan areas. This was mainly driven by difficulties attracting and retaining staff and the potential length of vacan</w:t>
      </w:r>
      <w:r w:rsidR="00187B93" w:rsidRPr="00284A41">
        <w:rPr>
          <w:rFonts w:cstheme="minorHAnsi"/>
        </w:rPr>
        <w:t>cies in rural SIL arrangements.</w:t>
      </w:r>
    </w:p>
    <w:p w14:paraId="00ED47B5" w14:textId="77777777" w:rsidR="005B3F40" w:rsidRPr="00284A41" w:rsidRDefault="00187B93" w:rsidP="00187B93">
      <w:pPr>
        <w:rPr>
          <w:rFonts w:cstheme="minorHAnsi"/>
        </w:rPr>
      </w:pPr>
      <w:r w:rsidRPr="00284A41">
        <w:rPr>
          <w:rFonts w:cstheme="minorHAnsi"/>
        </w:rPr>
        <w:t xml:space="preserve">The Review notes, however, that both the NDIS Western Australian Market Review 2019 and the NDIS Annual Pricing Review 2020-21 </w:t>
      </w:r>
      <w:r w:rsidR="005B3F40" w:rsidRPr="00284A41">
        <w:rPr>
          <w:rFonts w:cstheme="minorHAnsi"/>
        </w:rPr>
        <w:t>concluded that there was no compelling evidence to support increasing</w:t>
      </w:r>
      <w:r w:rsidRPr="00284A41">
        <w:rPr>
          <w:rFonts w:cstheme="minorHAnsi"/>
        </w:rPr>
        <w:t xml:space="preserve"> region</w:t>
      </w:r>
      <w:r w:rsidR="005B3F40" w:rsidRPr="00284A41">
        <w:rPr>
          <w:rFonts w:cstheme="minorHAnsi"/>
        </w:rPr>
        <w:t>al price limits versus metropolitan price limits</w:t>
      </w:r>
      <w:r w:rsidRPr="00284A41">
        <w:rPr>
          <w:rFonts w:cstheme="minorHAnsi"/>
        </w:rPr>
        <w:t xml:space="preserve">. </w:t>
      </w:r>
      <w:r w:rsidR="005B3F40" w:rsidRPr="00284A41">
        <w:rPr>
          <w:rFonts w:cstheme="minorHAnsi"/>
        </w:rPr>
        <w:t>The Review also notes that remote and very remote price limits are already 40% and 50% higher than metropolitan price limits.</w:t>
      </w:r>
    </w:p>
    <w:p w14:paraId="29E49CF5" w14:textId="77777777" w:rsidR="00042B53" w:rsidRPr="00284A41" w:rsidRDefault="00042B53" w:rsidP="00042B53">
      <w:pPr>
        <w:rPr>
          <w:rFonts w:cstheme="minorHAnsi"/>
        </w:rPr>
      </w:pPr>
      <w:r w:rsidRPr="00284A41">
        <w:rPr>
          <w:rFonts w:cstheme="minorHAnsi"/>
        </w:rPr>
        <w:t xml:space="preserve">This Review </w:t>
      </w:r>
      <w:r w:rsidR="005B3F40" w:rsidRPr="00284A41">
        <w:rPr>
          <w:rFonts w:cstheme="minorHAnsi"/>
        </w:rPr>
        <w:t>also considers that</w:t>
      </w:r>
      <w:r w:rsidRPr="00284A41">
        <w:t xml:space="preserve"> workforce concerns may be better addressed through non-pricing mechanisms.</w:t>
      </w:r>
      <w:r w:rsidRPr="00284A41">
        <w:rPr>
          <w:rFonts w:cstheme="minorHAnsi"/>
        </w:rPr>
        <w:t xml:space="preserve"> In particular, issues arising from general rural and regional workforce shortages is better dealt with by larger workforce initiatives, such as </w:t>
      </w:r>
      <w:r w:rsidRPr="00284A41">
        <w:rPr>
          <w:rFonts w:cstheme="minorHAnsi"/>
          <w:bCs/>
          <w:i/>
        </w:rPr>
        <w:t>Boosting the Local Care Workforce Program</w:t>
      </w:r>
      <w:r w:rsidRPr="00284A41">
        <w:rPr>
          <w:rStyle w:val="FootnoteReference"/>
          <w:rFonts w:cstheme="minorHAnsi"/>
          <w:bCs/>
        </w:rPr>
        <w:footnoteReference w:id="24"/>
      </w:r>
      <w:r w:rsidRPr="00284A41">
        <w:rPr>
          <w:rFonts w:cstheme="minorHAnsi"/>
        </w:rPr>
        <w:t xml:space="preserve"> that encourages greater workforce supply, rather than using NDIS pricing mechanisms to compete for the existing supply. </w:t>
      </w:r>
    </w:p>
    <w:p w14:paraId="4266314E" w14:textId="77777777" w:rsidR="00187B93" w:rsidRPr="00284A41" w:rsidRDefault="00187B93" w:rsidP="00187B93">
      <w:pPr>
        <w:pStyle w:val="Heading3"/>
      </w:pPr>
      <w:r w:rsidRPr="00284A41">
        <w:t>Other costs</w:t>
      </w:r>
    </w:p>
    <w:p w14:paraId="657E5B8E" w14:textId="77777777" w:rsidR="00042B53" w:rsidRPr="00284A41" w:rsidRDefault="00042B53" w:rsidP="00042B53">
      <w:pPr>
        <w:rPr>
          <w:rFonts w:cstheme="minorHAnsi"/>
        </w:rPr>
      </w:pPr>
      <w:r w:rsidRPr="00284A41">
        <w:rPr>
          <w:rFonts w:cstheme="minorHAnsi"/>
        </w:rPr>
        <w:t xml:space="preserve">Respondents to the Issues Paper noted the cost of maintaining registration </w:t>
      </w:r>
      <w:r w:rsidR="005B3F40" w:rsidRPr="00284A41">
        <w:rPr>
          <w:rFonts w:cstheme="minorHAnsi"/>
        </w:rPr>
        <w:t xml:space="preserve">with the NDIS Quality and Safeguard Commission </w:t>
      </w:r>
      <w:r w:rsidRPr="00284A41">
        <w:rPr>
          <w:rFonts w:cstheme="minorHAnsi"/>
        </w:rPr>
        <w:t>can be a costly exercise and required considerable amounts of time to complete required audits. Some respondents stated that at least half of their supervisors’ time is spent dealing with issues flowing from the Commission. Other organisations stated they have engaged staff to handle the quality and safeguarding requirements specifically for their NDIS participants. Providers considered that Quality and Safeguards compliance require a range of administrative tasks that are significantly time consuming.</w:t>
      </w:r>
    </w:p>
    <w:p w14:paraId="3B8B536B" w14:textId="77777777" w:rsidR="00042B53" w:rsidRPr="00284A41" w:rsidRDefault="00042B53" w:rsidP="00042B53">
      <w:pPr>
        <w:rPr>
          <w:rFonts w:cstheme="minorHAnsi"/>
        </w:rPr>
      </w:pPr>
      <w:r w:rsidRPr="00284A41">
        <w:rPr>
          <w:rFonts w:cstheme="minorHAnsi"/>
        </w:rPr>
        <w:t xml:space="preserve">Respondents noted that SIL organisations often had to resolve safety incidents not directly associated with a SIL’s own services. They stated they were often key in managing incidents and complaints relating to a participant’s external interactions with employment, day programs, community access etc. This is an important safeguard for many participants who may not have strong informal supports, but it is not without cost. </w:t>
      </w:r>
    </w:p>
    <w:p w14:paraId="6B0BFADF" w14:textId="54478955" w:rsidR="00042B53" w:rsidRDefault="00042B53" w:rsidP="00042B53">
      <w:pPr>
        <w:rPr>
          <w:rFonts w:cstheme="minorHAnsi"/>
        </w:rPr>
      </w:pPr>
      <w:r w:rsidRPr="00284A41">
        <w:rPr>
          <w:rFonts w:cstheme="minorHAnsi"/>
        </w:rPr>
        <w:t xml:space="preserve">In relation to costs associated with the NDIS Quality and Safeguards, the majority consensus in submissions was that SIL providers are impacted more so than activities of daily living and Community Support providers. Ability First’s submission estimated that these quality and safeguard costs added 1.3% to 1.8% in additional costs (for Standard and High Intensity SIL supports, respectively) over Activities of daily living. </w:t>
      </w:r>
    </w:p>
    <w:p w14:paraId="0F40487D" w14:textId="30299B02" w:rsidR="0087656C" w:rsidRPr="00284A41" w:rsidRDefault="0087656C" w:rsidP="0087656C">
      <w:pPr>
        <w:rPr>
          <w:rFonts w:cstheme="minorHAnsi"/>
        </w:rPr>
      </w:pPr>
      <w:r>
        <w:t>The Review notes the concerns raised by providers about whether or not the costs of registering with the NDIS Quality and Safeguards Commission and of complying with the Commission’s reporting and other requirements are appropriately accounted for in the NDIS Disability Support Worker Cost Model. It agrees that these issues require further analysis.</w:t>
      </w:r>
      <w:r w:rsidRPr="0087656C">
        <w:rPr>
          <w:rFonts w:cstheme="minorHAnsi"/>
        </w:rPr>
        <w:t xml:space="preserve"> </w:t>
      </w:r>
      <w:r>
        <w:rPr>
          <w:rFonts w:cstheme="minorHAnsi"/>
        </w:rPr>
        <w:t xml:space="preserve">The Review notes however that, </w:t>
      </w:r>
      <w:r w:rsidRPr="00284A41">
        <w:rPr>
          <w:rFonts w:cstheme="minorHAnsi"/>
        </w:rPr>
        <w:t>in so far as these costs are encountered by providers</w:t>
      </w:r>
      <w:r>
        <w:rPr>
          <w:rFonts w:cstheme="minorHAnsi"/>
        </w:rPr>
        <w:t>,</w:t>
      </w:r>
      <w:r w:rsidRPr="00284A41">
        <w:rPr>
          <w:rFonts w:cstheme="minorHAnsi"/>
        </w:rPr>
        <w:t xml:space="preserve"> then they have already been addressed in the analysis above of overheads and utilisation rates for staff.</w:t>
      </w:r>
    </w:p>
    <w:p w14:paraId="7E49D32B" w14:textId="77777777" w:rsidR="0087656C" w:rsidRPr="00C42756" w:rsidRDefault="0087656C" w:rsidP="0087656C">
      <w:r>
        <w:t xml:space="preserve">The Review also notes the concerns that providers continue to raise about the difficulties they can face in interacting with the Agency about planning and claiming issues. The Review recognises that the Agency is continually improving its administrative processes and that some of the issues raised by providers cannot be addressed by the Agency without </w:t>
      </w:r>
      <w:r w:rsidRPr="00C42756">
        <w:t xml:space="preserve">diminishing the choice and control of participants. The </w:t>
      </w:r>
      <w:r>
        <w:t xml:space="preserve">Review </w:t>
      </w:r>
      <w:r w:rsidRPr="00C42756">
        <w:t>urges the Agency to continue to improve its administrative processes and to give further consideration to:</w:t>
      </w:r>
    </w:p>
    <w:p w14:paraId="713708DC" w14:textId="77777777" w:rsidR="0087656C" w:rsidRPr="00C42756" w:rsidRDefault="0087656C" w:rsidP="0087656C">
      <w:pPr>
        <w:pStyle w:val="DotPoint"/>
      </w:pPr>
      <w:r w:rsidRPr="00C42756">
        <w:t>publishing clearer advice on the circumstances in which high intensity supports and sleepover/active overnight supports will be included in SIL plans; and</w:t>
      </w:r>
    </w:p>
    <w:p w14:paraId="675BE405" w14:textId="77777777" w:rsidR="0087656C" w:rsidRDefault="0087656C" w:rsidP="0087656C">
      <w:pPr>
        <w:pStyle w:val="DotPoint"/>
      </w:pPr>
      <w:r w:rsidRPr="00C42756">
        <w:t>publishing agreed timeframes for plan reviews in SIL, including providing greater certainty for providers about revenue when plan reviews are not completed or billing issues are not addressed in an appropriate timeframe.</w:t>
      </w:r>
    </w:p>
    <w:p w14:paraId="0F9F8830" w14:textId="7539D35E" w:rsidR="0087656C" w:rsidRDefault="0087656C" w:rsidP="0087656C">
      <w:r>
        <w:t>The Review also notes the concerns that providers continue to raise about the complexity of the current claiming rules. The Review encourages providers to implement program of support arrangements that would allow providers to average the costs of service delivery to a participant across the period of participant’s tenure and provide greater choice and control to participants within the program of support as to the exact timing and type of the supports that they receive. Under this approach, the Roster of Care would still be used by the delegates of the Agency to make a decision about what level of support is reasonable and necessary but providers would be held accountable by participants and providers for the outcomes achieved by the supports rather than for adherence to the Roster of Care.</w:t>
      </w:r>
    </w:p>
    <w:p w14:paraId="47C7A46C" w14:textId="77777777" w:rsidR="00187B93" w:rsidRPr="00284A41" w:rsidRDefault="00187B93" w:rsidP="00187B93">
      <w:pPr>
        <w:rPr>
          <w:rFonts w:cstheme="minorHAnsi"/>
        </w:rPr>
      </w:pPr>
      <w:r w:rsidRPr="00284A41">
        <w:rPr>
          <w:rFonts w:cstheme="minorHAnsi"/>
        </w:rPr>
        <w:t>Providers identified a number of other costs they considered were not directly captured in the Cost Model, and which they considered the overhead component should be increased to cover. Examples were:</w:t>
      </w:r>
    </w:p>
    <w:p w14:paraId="50FB9402" w14:textId="77777777" w:rsidR="00187B93" w:rsidRPr="005E5772" w:rsidRDefault="00187B93" w:rsidP="0042216D">
      <w:pPr>
        <w:pStyle w:val="DotPoint"/>
      </w:pPr>
      <w:r w:rsidRPr="005E5772">
        <w:t>Restrictive interventions</w:t>
      </w:r>
    </w:p>
    <w:p w14:paraId="5E69E339" w14:textId="77777777" w:rsidR="00187B93" w:rsidRPr="005E5772" w:rsidRDefault="00187B93" w:rsidP="0042216D">
      <w:pPr>
        <w:pStyle w:val="DotPoint"/>
      </w:pPr>
      <w:r w:rsidRPr="005E5772">
        <w:t xml:space="preserve">Property maintenance </w:t>
      </w:r>
      <w:r w:rsidR="003F6DCE" w:rsidRPr="005E5772">
        <w:t>and c</w:t>
      </w:r>
      <w:r w:rsidRPr="005E5772">
        <w:t xml:space="preserve">osts incurred due to property damage </w:t>
      </w:r>
    </w:p>
    <w:p w14:paraId="1F3EDB06" w14:textId="77777777" w:rsidR="00187B93" w:rsidRPr="005E5772" w:rsidRDefault="00187B93" w:rsidP="0042216D">
      <w:pPr>
        <w:pStyle w:val="DotPoint"/>
      </w:pPr>
      <w:r w:rsidRPr="005E5772">
        <w:t>Costs involved with stakeholder managemen</w:t>
      </w:r>
      <w:r w:rsidR="003F6DCE" w:rsidRPr="005E5772">
        <w:t>t and coordinating or discussing</w:t>
      </w:r>
      <w:r w:rsidRPr="005E5772">
        <w:t xml:space="preserve"> plans with family and/or carers</w:t>
      </w:r>
    </w:p>
    <w:p w14:paraId="49653C70" w14:textId="77777777" w:rsidR="00187B93" w:rsidRPr="005E5772" w:rsidRDefault="00187B93" w:rsidP="0042216D">
      <w:pPr>
        <w:pStyle w:val="DotPoint"/>
      </w:pPr>
      <w:r w:rsidRPr="005E5772">
        <w:t>Buddy shifts</w:t>
      </w:r>
    </w:p>
    <w:p w14:paraId="4BCC6490" w14:textId="77777777" w:rsidR="00042B53" w:rsidRPr="00284A41" w:rsidRDefault="00187B93" w:rsidP="00042B53">
      <w:pPr>
        <w:rPr>
          <w:rFonts w:cstheme="minorHAnsi"/>
          <w:color w:val="FF0000"/>
        </w:rPr>
      </w:pPr>
      <w:r w:rsidRPr="00284A41">
        <w:rPr>
          <w:rFonts w:cstheme="minorHAnsi"/>
        </w:rPr>
        <w:t>In so far as these costs exist, the Review considers that any differences in these costs between SIL and nom-SIL settings will already have been captured in the analysis above or utilisation rates and overheads.</w:t>
      </w:r>
    </w:p>
    <w:p w14:paraId="7B3AB3E9" w14:textId="77777777" w:rsidR="00670B8B" w:rsidRPr="00284A41" w:rsidRDefault="00670B8B" w:rsidP="00E4185C">
      <w:pPr>
        <w:pStyle w:val="Heading1"/>
        <w:sectPr w:rsidR="00670B8B" w:rsidRPr="00284A41" w:rsidSect="0064288A">
          <w:headerReference w:type="default" r:id="rId29"/>
          <w:type w:val="nextColumn"/>
          <w:pgSz w:w="11906" w:h="16838" w:code="9"/>
          <w:pgMar w:top="1440" w:right="1440" w:bottom="1440" w:left="1440" w:header="709" w:footer="709" w:gutter="0"/>
          <w:cols w:space="708"/>
          <w:titlePg/>
          <w:docGrid w:linePitch="360"/>
        </w:sectPr>
      </w:pPr>
    </w:p>
    <w:p w14:paraId="1614FC6A" w14:textId="0E9439E8" w:rsidR="00342437" w:rsidRPr="00284A41" w:rsidRDefault="001E796D" w:rsidP="00E4185C">
      <w:pPr>
        <w:pStyle w:val="Heading1"/>
      </w:pPr>
      <w:bookmarkStart w:id="178" w:name="_Toc75881973"/>
      <w:r w:rsidRPr="00284A41">
        <w:t>Conclusion</w:t>
      </w:r>
      <w:r w:rsidR="0087656C">
        <w:t xml:space="preserve"> and Recommendation</w:t>
      </w:r>
      <w:bookmarkEnd w:id="178"/>
    </w:p>
    <w:p w14:paraId="3E243145" w14:textId="1579E9DA" w:rsidR="00670B8B" w:rsidRPr="00284A41" w:rsidRDefault="00670B8B" w:rsidP="00670B8B">
      <w:pPr>
        <w:spacing w:before="160" w:after="160" w:line="320" w:lineRule="atLeast"/>
        <w:rPr>
          <w:rFonts w:eastAsia="Arial" w:cstheme="minorHAnsi"/>
        </w:rPr>
      </w:pPr>
      <w:r w:rsidRPr="00284A41">
        <w:rPr>
          <w:rFonts w:eastAsia="Arial" w:cstheme="minorHAnsi"/>
        </w:rPr>
        <w:t>The Review has found that there is evidence to suggest that, compared</w:t>
      </w:r>
      <w:r w:rsidR="00665B06" w:rsidRPr="00284A41">
        <w:rPr>
          <w:rFonts w:eastAsia="Arial" w:cstheme="minorHAnsi"/>
        </w:rPr>
        <w:t xml:space="preserve"> to activities of daily living </w:t>
      </w:r>
      <w:r w:rsidRPr="00284A41">
        <w:rPr>
          <w:rFonts w:eastAsia="Arial" w:cstheme="minorHAnsi"/>
        </w:rPr>
        <w:t>delivered in a non-SIL setting by an efficient provider, an efficient SIL provider faces:</w:t>
      </w:r>
    </w:p>
    <w:p w14:paraId="0D82F7D7" w14:textId="4D7B9444" w:rsidR="00670B8B" w:rsidRPr="005E5772" w:rsidRDefault="00670B8B" w:rsidP="0042216D">
      <w:pPr>
        <w:pStyle w:val="DotPoint"/>
      </w:pPr>
      <w:r w:rsidRPr="005E5772">
        <w:t>higher rates of permanent employment (</w:t>
      </w:r>
      <w:r w:rsidR="00475B22" w:rsidRPr="005E5772">
        <w:t>85.1</w:t>
      </w:r>
      <w:r w:rsidRPr="005E5772">
        <w:t>% compared to 70.0%);</w:t>
      </w:r>
    </w:p>
    <w:p w14:paraId="746AA96D" w14:textId="18F3C27B" w:rsidR="00670B8B" w:rsidRPr="005E5772" w:rsidRDefault="00670B8B" w:rsidP="0042216D">
      <w:pPr>
        <w:pStyle w:val="DotPoint"/>
      </w:pPr>
      <w:r w:rsidRPr="005E5772">
        <w:t>higher workers compensation premiums (2.</w:t>
      </w:r>
      <w:r w:rsidR="00475B22" w:rsidRPr="005E5772">
        <w:t>4</w:t>
      </w:r>
      <w:r w:rsidRPr="005E5772">
        <w:t>% compared to</w:t>
      </w:r>
      <w:r w:rsidR="00276264" w:rsidRPr="005E5772">
        <w:t xml:space="preserve"> </w:t>
      </w:r>
      <w:r w:rsidRPr="005E5772">
        <w:t>1.7%);</w:t>
      </w:r>
    </w:p>
    <w:p w14:paraId="3AF2AEE3" w14:textId="77777777" w:rsidR="00670B8B" w:rsidRPr="005E5772" w:rsidRDefault="00670B8B" w:rsidP="0042216D">
      <w:pPr>
        <w:pStyle w:val="DotPoint"/>
      </w:pPr>
      <w:r w:rsidRPr="005E5772">
        <w:t>higher average utilisation rates (94% compared to 92%);</w:t>
      </w:r>
    </w:p>
    <w:p w14:paraId="0B2C10B6" w14:textId="5A78B0FD" w:rsidR="00670B8B" w:rsidRPr="005E5772" w:rsidRDefault="00670B8B" w:rsidP="0042216D">
      <w:pPr>
        <w:pStyle w:val="DotPoint"/>
      </w:pPr>
      <w:r w:rsidRPr="005E5772">
        <w:t>higher base wages for supervisors (</w:t>
      </w:r>
      <w:r w:rsidR="00475B22" w:rsidRPr="005E5772">
        <w:t>11.9</w:t>
      </w:r>
      <w:r w:rsidRPr="005E5772">
        <w:t>% higher on average);</w:t>
      </w:r>
      <w:r w:rsidR="00475B22" w:rsidRPr="005E5772">
        <w:t xml:space="preserve"> and</w:t>
      </w:r>
    </w:p>
    <w:p w14:paraId="43E18764" w14:textId="77777777" w:rsidR="00670B8B" w:rsidRPr="005E5772" w:rsidRDefault="00670B8B" w:rsidP="0042216D">
      <w:pPr>
        <w:pStyle w:val="DotPoint"/>
      </w:pPr>
      <w:r w:rsidRPr="005E5772">
        <w:t>higher annual leave costs associated with great leave entitlement (5 weeks per year compared to 4 weeks per year).</w:t>
      </w:r>
    </w:p>
    <w:p w14:paraId="5B1EC0D8" w14:textId="414F9480" w:rsidR="00475B22" w:rsidRPr="00284A41" w:rsidRDefault="00D8000B" w:rsidP="00670B8B">
      <w:r w:rsidRPr="00284A41">
        <w:t>Some of these effects add to the cost of service provision whereas other</w:t>
      </w:r>
      <w:r w:rsidR="00CF0E7C" w:rsidRPr="00284A41">
        <w:t>s reduce</w:t>
      </w:r>
      <w:r w:rsidRPr="00284A41">
        <w:t xml:space="preserve"> that cost. The net effect, as </w:t>
      </w:r>
      <w:r w:rsidRPr="00284A41">
        <w:fldChar w:fldCharType="begin"/>
      </w:r>
      <w:r w:rsidRPr="00284A41">
        <w:instrText xml:space="preserve"> REF _Ref68363949 \h </w:instrText>
      </w:r>
      <w:r w:rsidR="00284A41">
        <w:instrText xml:space="preserve"> \* MERGEFORMAT </w:instrText>
      </w:r>
      <w:r w:rsidRPr="00284A41">
        <w:fldChar w:fldCharType="separate"/>
      </w:r>
      <w:r w:rsidR="00E0689D" w:rsidRPr="00284A41">
        <w:t xml:space="preserve">Exhibit </w:t>
      </w:r>
      <w:r w:rsidR="00E0689D">
        <w:rPr>
          <w:noProof/>
        </w:rPr>
        <w:t>30</w:t>
      </w:r>
      <w:r w:rsidRPr="00284A41">
        <w:fldChar w:fldCharType="end"/>
      </w:r>
      <w:r w:rsidRPr="00284A41">
        <w:t xml:space="preserve"> shows is that the fully loaded costs of service provision in SIL and non-SIL settings are essentially identical. </w:t>
      </w:r>
    </w:p>
    <w:p w14:paraId="1BEB7DB5" w14:textId="6B55FC45" w:rsidR="00670B8B" w:rsidRPr="00284A41" w:rsidRDefault="00670B8B" w:rsidP="00670B8B">
      <w:pPr>
        <w:pStyle w:val="Caption"/>
      </w:pPr>
      <w:bookmarkStart w:id="179" w:name="_Ref68363949"/>
      <w:bookmarkStart w:id="180" w:name="_Toc75881533"/>
      <w:r w:rsidRPr="00284A41">
        <w:t xml:space="preserve">Exhibit </w:t>
      </w:r>
      <w:r w:rsidR="00935584">
        <w:fldChar w:fldCharType="begin"/>
      </w:r>
      <w:r w:rsidR="00935584">
        <w:instrText xml:space="preserve"> SEQ Exhibit \* ARABIC </w:instrText>
      </w:r>
      <w:r w:rsidR="00935584">
        <w:fldChar w:fldCharType="separate"/>
      </w:r>
      <w:r w:rsidR="00E0689D">
        <w:rPr>
          <w:noProof/>
        </w:rPr>
        <w:t>30</w:t>
      </w:r>
      <w:r w:rsidR="00935584">
        <w:rPr>
          <w:noProof/>
        </w:rPr>
        <w:fldChar w:fldCharType="end"/>
      </w:r>
      <w:bookmarkEnd w:id="179"/>
      <w:r w:rsidRPr="00284A41">
        <w:t>: Efficient Costs in SIL and Non-SIL Settings</w:t>
      </w:r>
      <w:bookmarkEnd w:id="180"/>
    </w:p>
    <w:p w14:paraId="34425C73" w14:textId="045F60E3" w:rsidR="00670B8B" w:rsidRPr="00284A41" w:rsidRDefault="00475B22" w:rsidP="002516F0">
      <w:r w:rsidRPr="00284A41">
        <w:rPr>
          <w:noProof/>
          <w:lang w:eastAsia="en-AU"/>
        </w:rPr>
        <w:drawing>
          <wp:inline distT="0" distB="0" distL="0" distR="0" wp14:anchorId="3A5187DF" wp14:editId="12E74877">
            <wp:extent cx="5716507" cy="3734790"/>
            <wp:effectExtent l="0" t="0" r="0" b="0"/>
            <wp:docPr id="8" name="Picture 8" descr="A bar chart showing the assistance with daily life and SIL hourly price limit for efficient parameters. It shows the cost of an hour of ADL support for an efficient provider is $55.47 and the cost of an hour of SIL support for an efficient provider is $55.76." title="Exhibit 30: Efficient Costs in SIL and Non-SIL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4030" cy="3752772"/>
                    </a:xfrm>
                    <a:prstGeom prst="rect">
                      <a:avLst/>
                    </a:prstGeom>
                    <a:noFill/>
                  </pic:spPr>
                </pic:pic>
              </a:graphicData>
            </a:graphic>
          </wp:inline>
        </w:drawing>
      </w:r>
    </w:p>
    <w:p w14:paraId="2608ECA1" w14:textId="529FE2D5" w:rsidR="005527B3" w:rsidRDefault="00D8000B" w:rsidP="00670B8B">
      <w:pPr>
        <w:rPr>
          <w:b/>
        </w:rPr>
      </w:pPr>
      <w:r w:rsidRPr="00866BA1">
        <w:rPr>
          <w:b/>
        </w:rPr>
        <w:t>The Review therefore does not recommend any changes in the current SIL pricing arrangements.</w:t>
      </w:r>
    </w:p>
    <w:p w14:paraId="524904C1" w14:textId="77777777" w:rsidR="00E0689D" w:rsidRDefault="00E0689D" w:rsidP="00670B8B">
      <w:pPr>
        <w:rPr>
          <w:b/>
        </w:rPr>
        <w:sectPr w:rsidR="00E0689D" w:rsidSect="00670B8B">
          <w:pgSz w:w="11906" w:h="16838" w:code="9"/>
          <w:pgMar w:top="1440" w:right="1440" w:bottom="1440" w:left="1440" w:header="709" w:footer="709" w:gutter="0"/>
          <w:cols w:space="708"/>
          <w:titlePg/>
          <w:docGrid w:linePitch="360"/>
        </w:sectPr>
      </w:pPr>
    </w:p>
    <w:p w14:paraId="5ACDF5FF" w14:textId="2BDE9781" w:rsidR="00E0689D" w:rsidRDefault="00E0689D" w:rsidP="00E0689D">
      <w:pPr>
        <w:pStyle w:val="Heading1"/>
        <w:numPr>
          <w:ilvl w:val="0"/>
          <w:numId w:val="0"/>
        </w:numPr>
        <w:ind w:left="432" w:hanging="432"/>
      </w:pPr>
      <w:bookmarkStart w:id="181" w:name="_Toc75881974"/>
      <w:r>
        <w:t>Footnotes</w:t>
      </w:r>
      <w:bookmarkEnd w:id="181"/>
    </w:p>
    <w:p w14:paraId="625049F8" w14:textId="4307A0D0" w:rsidR="00E0689D" w:rsidRPr="00E0689D" w:rsidRDefault="00E0689D" w:rsidP="00E0689D">
      <w:pPr>
        <w:ind w:left="567" w:hanging="567"/>
      </w:pPr>
      <w:r w:rsidRPr="00E0689D">
        <w:rPr>
          <w:rStyle w:val="FootnoteReference"/>
          <w:vertAlign w:val="baseline"/>
        </w:rPr>
        <w:t>1</w:t>
      </w:r>
      <w:r w:rsidRPr="00E0689D">
        <w:t xml:space="preserve"> </w:t>
      </w:r>
      <w:r w:rsidRPr="00E0689D">
        <w:tab/>
        <w:t xml:space="preserve">Further details can be found in the Operational Guideline at </w:t>
      </w:r>
      <w:hyperlink r:id="rId31" w:history="1">
        <w:r w:rsidRPr="00E0689D">
          <w:rPr>
            <w:rStyle w:val="Hyperlink"/>
          </w:rPr>
          <w:t>https://ourguidelines.ndis.gov.au/supports-you-can-access-menu/home-and-living-supports/supported-independent-living</w:t>
        </w:r>
      </w:hyperlink>
      <w:r w:rsidRPr="00E0689D">
        <w:t xml:space="preserve"> </w:t>
      </w:r>
    </w:p>
    <w:p w14:paraId="3D32A362" w14:textId="14B8620D" w:rsidR="00E0689D" w:rsidRPr="00E0689D" w:rsidRDefault="00E0689D" w:rsidP="00E0689D">
      <w:pPr>
        <w:ind w:left="567" w:hanging="567"/>
      </w:pPr>
      <w:r w:rsidRPr="00E0689D">
        <w:rPr>
          <w:rStyle w:val="FootnoteReference"/>
          <w:vertAlign w:val="baseline"/>
        </w:rPr>
        <w:t>2</w:t>
      </w:r>
      <w:r w:rsidRPr="00E0689D">
        <w:rPr>
          <w:rStyle w:val="FootnoteReference"/>
          <w:vertAlign w:val="baseline"/>
        </w:rPr>
        <w:tab/>
      </w:r>
      <w:r w:rsidRPr="00E0689D">
        <w:t>NDIA. (2020). NDIS Quarterly Report to Disability Ministers 30 September 2020, p.539-541.</w:t>
      </w:r>
      <w:r w:rsidRPr="00E0689D" w:rsidDel="0026389A">
        <w:rPr>
          <w:highlight w:val="yellow"/>
        </w:rPr>
        <w:t xml:space="preserve"> </w:t>
      </w:r>
    </w:p>
    <w:p w14:paraId="5AB2BCD8" w14:textId="58666680" w:rsidR="00E0689D" w:rsidRPr="00E0689D" w:rsidRDefault="00E0689D" w:rsidP="00E0689D">
      <w:pPr>
        <w:ind w:left="567" w:hanging="567"/>
      </w:pPr>
      <w:r w:rsidRPr="00E0689D">
        <w:rPr>
          <w:rStyle w:val="FootnoteReference"/>
          <w:vertAlign w:val="baseline"/>
        </w:rPr>
        <w:t>3</w:t>
      </w:r>
      <w:r w:rsidRPr="00E0689D">
        <w:t xml:space="preserve"> </w:t>
      </w:r>
      <w:r w:rsidRPr="00E0689D">
        <w:tab/>
        <w:t>Ibid, p.61.</w:t>
      </w:r>
    </w:p>
    <w:p w14:paraId="160386EF" w14:textId="50829BA3" w:rsidR="00E0689D" w:rsidRPr="00E0689D" w:rsidRDefault="00E0689D" w:rsidP="00E0689D">
      <w:pPr>
        <w:ind w:left="567" w:hanging="567"/>
      </w:pPr>
      <w:r w:rsidRPr="00E0689D">
        <w:rPr>
          <w:rStyle w:val="FootnoteReference"/>
          <w:vertAlign w:val="baseline"/>
        </w:rPr>
        <w:t>4</w:t>
      </w:r>
      <w:r w:rsidRPr="00E0689D">
        <w:tab/>
        <w:t>Ibid, p.61.</w:t>
      </w:r>
    </w:p>
    <w:p w14:paraId="205C37D9" w14:textId="17FE65E4" w:rsidR="00E0689D" w:rsidRPr="00E0689D" w:rsidRDefault="00E0689D" w:rsidP="00E0689D">
      <w:pPr>
        <w:ind w:left="567" w:hanging="567"/>
      </w:pPr>
      <w:r w:rsidRPr="00E0689D">
        <w:rPr>
          <w:rStyle w:val="FootnoteReference"/>
          <w:vertAlign w:val="baseline"/>
        </w:rPr>
        <w:t>5</w:t>
      </w:r>
      <w:r w:rsidRPr="00E0689D">
        <w:t xml:space="preserve"> </w:t>
      </w:r>
      <w:r w:rsidRPr="00E0689D">
        <w:tab/>
      </w:r>
      <w:hyperlink r:id="rId32" w:history="1">
        <w:r w:rsidRPr="00E0689D">
          <w:rPr>
            <w:rStyle w:val="Hyperlink"/>
          </w:rPr>
          <w:t>https://www.ndis.gov.au/media/1820/download</w:t>
        </w:r>
      </w:hyperlink>
      <w:r w:rsidRPr="00E0689D">
        <w:t xml:space="preserve"> </w:t>
      </w:r>
    </w:p>
    <w:p w14:paraId="0CD73C14" w14:textId="014A5654" w:rsidR="00E0689D" w:rsidRPr="00E0689D" w:rsidRDefault="00E0689D" w:rsidP="00E0689D">
      <w:pPr>
        <w:ind w:left="567" w:hanging="567"/>
      </w:pPr>
      <w:r w:rsidRPr="00E0689D">
        <w:rPr>
          <w:rStyle w:val="FootnoteReference"/>
          <w:vertAlign w:val="baseline"/>
        </w:rPr>
        <w:t>6</w:t>
      </w:r>
      <w:r w:rsidRPr="00E0689D">
        <w:tab/>
      </w:r>
      <w:hyperlink r:id="rId33" w:history="1">
        <w:r w:rsidRPr="00E0689D">
          <w:rPr>
            <w:rStyle w:val="Hyperlink"/>
          </w:rPr>
          <w:t>https://www.ndis.gov.au/media/2413/download</w:t>
        </w:r>
      </w:hyperlink>
      <w:r w:rsidRPr="00E0689D">
        <w:t xml:space="preserve"> </w:t>
      </w:r>
    </w:p>
    <w:p w14:paraId="3828803E" w14:textId="79B4E858" w:rsidR="00E0689D" w:rsidRDefault="00E0689D" w:rsidP="00E0689D">
      <w:pPr>
        <w:ind w:left="567" w:hanging="567"/>
      </w:pPr>
      <w:r w:rsidRPr="00E0689D">
        <w:rPr>
          <w:rStyle w:val="FootnoteReference"/>
          <w:vertAlign w:val="baseline"/>
        </w:rPr>
        <w:t>7</w:t>
      </w:r>
      <w:r>
        <w:t xml:space="preserve"> </w:t>
      </w:r>
      <w:r>
        <w:tab/>
      </w:r>
      <w:hyperlink r:id="rId34" w:history="1">
        <w:r w:rsidRPr="0066201A">
          <w:rPr>
            <w:rStyle w:val="Hyperlink"/>
          </w:rPr>
          <w:t>https://www.ndis.gov.au/providers/price-guides-and-pricing</w:t>
        </w:r>
      </w:hyperlink>
      <w:r>
        <w:t xml:space="preserve"> </w:t>
      </w:r>
    </w:p>
    <w:p w14:paraId="04CC8E1D" w14:textId="08771D52" w:rsidR="00E0689D" w:rsidRDefault="00E0689D" w:rsidP="00E0689D">
      <w:pPr>
        <w:ind w:left="567" w:hanging="567"/>
      </w:pPr>
      <w:r w:rsidRPr="00E0689D">
        <w:rPr>
          <w:rStyle w:val="FootnoteReference"/>
          <w:vertAlign w:val="baseline"/>
        </w:rPr>
        <w:t>8</w:t>
      </w:r>
      <w:r w:rsidRPr="00E0689D">
        <w:t xml:space="preserve"> </w:t>
      </w:r>
      <w:r>
        <w:tab/>
      </w:r>
      <w:r w:rsidRPr="00A7375A">
        <w:t xml:space="preserve">Where appropriate, the findings from the analysis have been triangulated with findings from the </w:t>
      </w:r>
      <w:r>
        <w:t xml:space="preserve">far smaller </w:t>
      </w:r>
      <w:r w:rsidRPr="00A7375A">
        <w:t>20</w:t>
      </w:r>
      <w:r>
        <w:t>17-18</w:t>
      </w:r>
      <w:r w:rsidRPr="00A7375A">
        <w:t xml:space="preserve"> AbleInsight survey, which </w:t>
      </w:r>
      <w:r>
        <w:t xml:space="preserve">aims to identify cost benchmarks for service providers across the NDIS sector. The AbleInsight survey is available at </w:t>
      </w:r>
      <w:hyperlink r:id="rId35" w:history="1">
        <w:r w:rsidRPr="00D77468">
          <w:rPr>
            <w:rStyle w:val="Hyperlink"/>
          </w:rPr>
          <w:t>https://www.ndis.gov.au/providers/price-guides-and-pricing/benchmarking-surveys-and-reports</w:t>
        </w:r>
      </w:hyperlink>
      <w:r>
        <w:t xml:space="preserve"> </w:t>
      </w:r>
    </w:p>
    <w:p w14:paraId="36749BDE" w14:textId="4E88BD5C" w:rsidR="00E0689D" w:rsidRDefault="00E0689D" w:rsidP="00E0689D">
      <w:pPr>
        <w:ind w:left="567" w:hanging="567"/>
      </w:pPr>
      <w:r w:rsidRPr="00E0689D">
        <w:rPr>
          <w:rStyle w:val="FootnoteReference"/>
          <w:vertAlign w:val="baseline"/>
        </w:rPr>
        <w:t>9</w:t>
      </w:r>
      <w:r>
        <w:t xml:space="preserve"> </w:t>
      </w:r>
      <w:r>
        <w:tab/>
      </w:r>
      <w:r w:rsidRPr="003B6B59">
        <w:t>Linear regression is a technique that allows for an assessment of whether a particular explanatory variable has a statistically significant linear relationship with the conditional mean of a cost parameter; meaning that a change in an explanatory variable is associated with a change in the cost parameter, holding other variables constant.</w:t>
      </w:r>
    </w:p>
    <w:p w14:paraId="328C695E" w14:textId="4B62760B" w:rsidR="00E0689D" w:rsidRDefault="00E0689D" w:rsidP="00E0689D">
      <w:pPr>
        <w:ind w:left="567" w:hanging="567"/>
      </w:pPr>
      <w:r w:rsidRPr="00E0689D">
        <w:rPr>
          <w:rStyle w:val="FootnoteReference"/>
          <w:vertAlign w:val="baseline"/>
        </w:rPr>
        <w:t>10</w:t>
      </w:r>
      <w:r>
        <w:tab/>
        <w:t xml:space="preserve">Quantile regression is a technique that allows for an assessment of whether an explanatory variable has a statistically significant relationship with a cost parameter throughout different points (or quantiles) of the conditional distribution of the cost parameter. In general, quantile regression analysis attempts to isolate statistically significant linear relationships between a change in an explanatory variable and the conditional quantile of a cost parameter (25th, 50th and 75th percentile). </w:t>
      </w:r>
    </w:p>
    <w:p w14:paraId="4FB30D32" w14:textId="77777777" w:rsidR="00E0689D" w:rsidRDefault="00E0689D" w:rsidP="00E0689D">
      <w:pPr>
        <w:ind w:left="567"/>
      </w:pPr>
      <w:r>
        <w:t>Note, Quantile regression uses bootstrap standard errors and Pseudo R</w:t>
      </w:r>
      <w:r w:rsidRPr="003B6B59">
        <w:rPr>
          <w:vertAlign w:val="superscript"/>
        </w:rPr>
        <w:t>2</w:t>
      </w:r>
      <w:r>
        <w:t xml:space="preserve"> is reported for the quantile regression analysis.</w:t>
      </w:r>
    </w:p>
    <w:p w14:paraId="230E0D09" w14:textId="5F4D7486" w:rsidR="00E0689D" w:rsidRDefault="00E0689D" w:rsidP="00E0689D">
      <w:pPr>
        <w:ind w:left="567" w:hanging="567"/>
      </w:pPr>
      <w:r>
        <w:t xml:space="preserve">11 </w:t>
      </w:r>
      <w:r>
        <w:tab/>
        <w:t xml:space="preserve">Base hourly wage refers to the minimum hourly rate of pay received by a worker, not including any shift or leave loading, overtime, superannuation or allowances. </w:t>
      </w:r>
    </w:p>
    <w:p w14:paraId="6D16CBE3" w14:textId="77777777" w:rsidR="00E0689D" w:rsidRDefault="00E0689D" w:rsidP="00E0689D">
      <w:pPr>
        <w:ind w:left="567"/>
      </w:pPr>
      <w:r>
        <w:t>On-costs include costs such as superannuation, workers compensation premiums, payroll tax, and employee allowances.</w:t>
      </w:r>
    </w:p>
    <w:p w14:paraId="1E98B775" w14:textId="5E2AC35A" w:rsidR="00E0689D" w:rsidRDefault="00E0689D" w:rsidP="00E0689D">
      <w:pPr>
        <w:ind w:left="567" w:hanging="567"/>
      </w:pPr>
      <w:r>
        <w:t xml:space="preserve">12 </w:t>
      </w:r>
      <w:r>
        <w:tab/>
        <w:t>The equation regresses the average base wage for the disability support workers of a provider against:</w:t>
      </w:r>
    </w:p>
    <w:p w14:paraId="63C2BDDF"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40FB00F5"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786094E3" w14:textId="77777777" w:rsidR="00E0689D" w:rsidRDefault="00E0689D" w:rsidP="00E0689D">
      <w:pPr>
        <w:pStyle w:val="DotPoint"/>
        <w:ind w:left="1134" w:hanging="567"/>
      </w:pPr>
      <w:r>
        <w:t>Log of the n</w:t>
      </w:r>
      <w:r w:rsidRPr="003D7CC8">
        <w:t xml:space="preserve">umber of </w:t>
      </w:r>
      <w:r>
        <w:t>participants supported by the provider;</w:t>
      </w:r>
    </w:p>
    <w:p w14:paraId="2C3CB929" w14:textId="77777777" w:rsidR="00E0689D" w:rsidRDefault="00E0689D" w:rsidP="00E0689D">
      <w:pPr>
        <w:pStyle w:val="DotPoint"/>
        <w:ind w:left="1134" w:hanging="567"/>
      </w:pPr>
      <w:r>
        <w:t>Log of the n</w:t>
      </w:r>
      <w:r w:rsidRPr="003D7CC8">
        <w:t xml:space="preserve">umber of direct </w:t>
      </w:r>
      <w:r>
        <w:t xml:space="preserve">support </w:t>
      </w:r>
      <w:r w:rsidRPr="003D7CC8">
        <w:t>staff</w:t>
      </w:r>
      <w:r>
        <w:t xml:space="preserve"> (DSWs and FLSs) employed by the provider; and</w:t>
      </w:r>
    </w:p>
    <w:p w14:paraId="30981491" w14:textId="77777777" w:rsidR="00E0689D" w:rsidRDefault="00E0689D" w:rsidP="00E0689D">
      <w:pPr>
        <w:pStyle w:val="DotPoint"/>
        <w:ind w:left="1134" w:hanging="567"/>
      </w:pPr>
      <w:r>
        <w:t xml:space="preserve">Log of the supervision ratio of the provider – Log of the ratio of the number of DSWs (headcount)) and the number of FLSs </w:t>
      </w:r>
      <w:r w:rsidRPr="003D7CC8">
        <w:t xml:space="preserve">(head </w:t>
      </w:r>
      <w:r>
        <w:t>count).</w:t>
      </w:r>
    </w:p>
    <w:p w14:paraId="5559BAC4" w14:textId="04F4837D" w:rsidR="00E0689D" w:rsidRDefault="00E0689D" w:rsidP="00E0689D">
      <w:pPr>
        <w:ind w:left="567" w:hanging="567"/>
      </w:pPr>
      <w:r>
        <w:t xml:space="preserve">13 </w:t>
      </w:r>
      <w:r>
        <w:tab/>
        <w:t>The equation regresses the workers compensation premium (as a percentage of labour costs) paid by a provider against:</w:t>
      </w:r>
    </w:p>
    <w:p w14:paraId="6E5EE4F7"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4982C9EC"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398935AE" w14:textId="77777777" w:rsidR="00E0689D" w:rsidRDefault="00E0689D" w:rsidP="00E0689D">
      <w:pPr>
        <w:pStyle w:val="DotPoint"/>
        <w:ind w:left="1134" w:hanging="567"/>
      </w:pPr>
      <w:r>
        <w:t>Log of the n</w:t>
      </w:r>
      <w:r w:rsidRPr="003D7CC8">
        <w:t xml:space="preserve">umber of </w:t>
      </w:r>
      <w:r>
        <w:t>participants supported by the provider;</w:t>
      </w:r>
    </w:p>
    <w:p w14:paraId="5FDD30F8" w14:textId="77777777" w:rsidR="00E0689D" w:rsidRDefault="00E0689D" w:rsidP="00E0689D">
      <w:pPr>
        <w:pStyle w:val="DotPoint"/>
        <w:ind w:left="1134" w:hanging="567"/>
      </w:pPr>
      <w:r>
        <w:t xml:space="preserve">Average base wage paid to DSWs employed by the provider; </w:t>
      </w:r>
    </w:p>
    <w:p w14:paraId="43AC955A" w14:textId="77777777" w:rsidR="00E0689D" w:rsidRDefault="00E0689D" w:rsidP="00E0689D">
      <w:pPr>
        <w:pStyle w:val="DotPoint"/>
        <w:ind w:left="1134" w:hanging="567"/>
      </w:pPr>
      <w:r>
        <w:t>Average base wage paid to FLSs employed by the provider; and</w:t>
      </w:r>
    </w:p>
    <w:p w14:paraId="4EEA6FD1" w14:textId="77777777" w:rsidR="00E0689D" w:rsidRDefault="00E0689D" w:rsidP="00E0689D">
      <w:pPr>
        <w:pStyle w:val="DotPoint"/>
        <w:ind w:left="1134" w:hanging="567"/>
      </w:pPr>
      <w:r>
        <w:t>State Dummy Variables (1 if the state is where the largest share of the provider’s revenue is derived, 0 otherwise).</w:t>
      </w:r>
    </w:p>
    <w:p w14:paraId="12D081C4" w14:textId="6744BAF7" w:rsidR="00E0689D" w:rsidRDefault="00E0689D" w:rsidP="00E0689D">
      <w:pPr>
        <w:ind w:left="567" w:hanging="567"/>
      </w:pPr>
      <w:r>
        <w:t xml:space="preserve">14 </w:t>
      </w:r>
      <w:r>
        <w:tab/>
        <w:t>The equation regresses the log of the ratio of the number of permanent workers (headcount) and casual workers (headcount) employed by a provider against:</w:t>
      </w:r>
    </w:p>
    <w:p w14:paraId="640EF1B3"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2C5B5464"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46C15D8A" w14:textId="77777777" w:rsidR="00E0689D" w:rsidRDefault="00E0689D" w:rsidP="00E0689D">
      <w:pPr>
        <w:pStyle w:val="DotPoint"/>
        <w:ind w:left="1134" w:hanging="567"/>
      </w:pPr>
      <w:r>
        <w:t>Log of the n</w:t>
      </w:r>
      <w:r w:rsidRPr="003D7CC8">
        <w:t xml:space="preserve">umber of </w:t>
      </w:r>
      <w:r>
        <w:t>participants supported by the provider;</w:t>
      </w:r>
    </w:p>
    <w:p w14:paraId="032E4F7A" w14:textId="77777777" w:rsidR="00E0689D" w:rsidRDefault="00E0689D" w:rsidP="00E0689D">
      <w:pPr>
        <w:pStyle w:val="DotPoint"/>
        <w:ind w:left="1134" w:hanging="567"/>
      </w:pPr>
      <w:r>
        <w:t xml:space="preserve">Log of the Average base wage paid to DSWs employed by the provider; </w:t>
      </w:r>
    </w:p>
    <w:p w14:paraId="22ABB4B8" w14:textId="77777777" w:rsidR="00E0689D" w:rsidRDefault="00E0689D" w:rsidP="00E0689D">
      <w:pPr>
        <w:pStyle w:val="DotPoint"/>
        <w:ind w:left="1134" w:hanging="567"/>
      </w:pPr>
      <w:r>
        <w:t xml:space="preserve">Average base wage paid to FLSs employed by the provider; </w:t>
      </w:r>
    </w:p>
    <w:p w14:paraId="3040AF91" w14:textId="77777777" w:rsidR="00E0689D" w:rsidRDefault="00E0689D" w:rsidP="00E0689D">
      <w:pPr>
        <w:pStyle w:val="DotPoint"/>
        <w:ind w:left="1134" w:hanging="567"/>
      </w:pPr>
      <w:r>
        <w:t>Log of the ratio of the number of DSWs (headcount) and FLSs (headcount) employed by the provider;</w:t>
      </w:r>
    </w:p>
    <w:p w14:paraId="3C9C2B69" w14:textId="77777777" w:rsidR="00E0689D" w:rsidRDefault="00E0689D" w:rsidP="00E0689D">
      <w:pPr>
        <w:pStyle w:val="DotPoint"/>
        <w:ind w:left="1134" w:hanging="567"/>
      </w:pPr>
      <w:r>
        <w:t>Percentage of l</w:t>
      </w:r>
      <w:r w:rsidRPr="001E4D55">
        <w:t>abour time spent on billable work</w:t>
      </w:r>
      <w:r>
        <w:t xml:space="preserve"> by DSWs employed by the provider;</w:t>
      </w:r>
    </w:p>
    <w:p w14:paraId="4E3A3DE6" w14:textId="77777777" w:rsidR="00E0689D" w:rsidRDefault="00E0689D" w:rsidP="00E0689D">
      <w:pPr>
        <w:pStyle w:val="DotPoint"/>
        <w:ind w:left="1134" w:hanging="567"/>
      </w:pPr>
      <w:r>
        <w:t>Percentage of l</w:t>
      </w:r>
      <w:r w:rsidRPr="001E4D55">
        <w:t xml:space="preserve">abour time spent on </w:t>
      </w:r>
      <w:r>
        <w:t>training by DSWs employed by the provider;</w:t>
      </w:r>
    </w:p>
    <w:p w14:paraId="2B6589D5" w14:textId="77777777" w:rsidR="00E0689D" w:rsidRDefault="00E0689D" w:rsidP="00E0689D">
      <w:pPr>
        <w:pStyle w:val="DotPoint"/>
        <w:ind w:left="1134" w:hanging="567"/>
      </w:pPr>
      <w:r>
        <w:t>Percentage of l</w:t>
      </w:r>
      <w:r w:rsidRPr="001E4D55">
        <w:t xml:space="preserve">abour time spent on client </w:t>
      </w:r>
      <w:r>
        <w:t xml:space="preserve">administration by DSWs employed by the provider; and </w:t>
      </w:r>
    </w:p>
    <w:p w14:paraId="71656BB8" w14:textId="77777777" w:rsidR="00E0689D" w:rsidRDefault="00E0689D" w:rsidP="00E0689D">
      <w:pPr>
        <w:pStyle w:val="DotPoint"/>
        <w:ind w:left="1134" w:hanging="567"/>
      </w:pPr>
      <w:r>
        <w:t>Percentage of l</w:t>
      </w:r>
      <w:r w:rsidRPr="001E4D55">
        <w:t xml:space="preserve">abour time spent on </w:t>
      </w:r>
      <w:r>
        <w:t>general</w:t>
      </w:r>
      <w:r w:rsidRPr="001E4D55">
        <w:t xml:space="preserve"> </w:t>
      </w:r>
      <w:r>
        <w:t>administration by DSWs employed by the provider.</w:t>
      </w:r>
    </w:p>
    <w:p w14:paraId="5AE26CA6" w14:textId="715E8EF3" w:rsidR="00E0689D" w:rsidRDefault="00E0689D" w:rsidP="00E0689D">
      <w:pPr>
        <w:ind w:left="567" w:hanging="567"/>
      </w:pPr>
      <w:r>
        <w:t xml:space="preserve">15 </w:t>
      </w:r>
      <w:r>
        <w:tab/>
        <w:t xml:space="preserve">The equation regresses the </w:t>
      </w:r>
      <w:r w:rsidRPr="001E4D55">
        <w:t xml:space="preserve">percentage of labour time that is spent </w:t>
      </w:r>
      <w:r>
        <w:t>by DSWs employed by the provider on billable work against:</w:t>
      </w:r>
    </w:p>
    <w:p w14:paraId="3B6F116B"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2EFC0C0A"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1666B121" w14:textId="77777777" w:rsidR="00E0689D" w:rsidRDefault="00E0689D" w:rsidP="00E0689D">
      <w:pPr>
        <w:pStyle w:val="DotPoint"/>
        <w:ind w:left="1134" w:hanging="567"/>
      </w:pPr>
      <w:r>
        <w:t>the square of the p</w:t>
      </w:r>
      <w:r w:rsidRPr="003D7CC8">
        <w:t xml:space="preserve">ercentage of </w:t>
      </w:r>
      <w:r>
        <w:t xml:space="preserve">the provider’s </w:t>
      </w:r>
      <w:r w:rsidRPr="003D7CC8">
        <w:t>revenue sourced from SIL</w:t>
      </w:r>
      <w:r>
        <w:t>;</w:t>
      </w:r>
    </w:p>
    <w:p w14:paraId="7CA5FC20" w14:textId="77777777" w:rsidR="00E0689D" w:rsidRDefault="00E0689D" w:rsidP="00E0689D">
      <w:pPr>
        <w:pStyle w:val="DotPoint"/>
        <w:ind w:left="1134" w:hanging="567"/>
      </w:pPr>
      <w:r>
        <w:t>Log of the n</w:t>
      </w:r>
      <w:r w:rsidRPr="003D7CC8">
        <w:t xml:space="preserve">umber of </w:t>
      </w:r>
      <w:r>
        <w:t>participants supported by the provider;</w:t>
      </w:r>
    </w:p>
    <w:p w14:paraId="06C66039" w14:textId="77777777" w:rsidR="00E0689D" w:rsidRDefault="00E0689D" w:rsidP="00E0689D">
      <w:pPr>
        <w:pStyle w:val="DotPoint"/>
        <w:ind w:left="1134" w:hanging="567"/>
      </w:pPr>
      <w:r>
        <w:t>Log of the number of FLSs employed by the provider;</w:t>
      </w:r>
    </w:p>
    <w:p w14:paraId="03662348" w14:textId="77777777" w:rsidR="00E0689D" w:rsidRDefault="00E0689D" w:rsidP="00E0689D">
      <w:pPr>
        <w:pStyle w:val="DotPoint"/>
        <w:ind w:left="1134" w:hanging="567"/>
      </w:pPr>
      <w:r>
        <w:t>Log of the number of DSWs employed by the provider;</w:t>
      </w:r>
    </w:p>
    <w:p w14:paraId="006439F5" w14:textId="77777777" w:rsidR="00E0689D" w:rsidRDefault="00E0689D" w:rsidP="00E0689D">
      <w:pPr>
        <w:pStyle w:val="DotPoint"/>
        <w:ind w:left="1134" w:hanging="567"/>
      </w:pPr>
      <w:r>
        <w:t>Average base wage paid to FLSs employed by the provider; and</w:t>
      </w:r>
    </w:p>
    <w:p w14:paraId="20101358" w14:textId="77777777" w:rsidR="00E0689D" w:rsidRDefault="00E0689D" w:rsidP="00E0689D">
      <w:pPr>
        <w:pStyle w:val="DotPoint"/>
        <w:ind w:left="1134" w:hanging="567"/>
      </w:pPr>
      <w:r>
        <w:t>Average base wage paid to DSWs employed by the provider.</w:t>
      </w:r>
    </w:p>
    <w:p w14:paraId="23C2D84F" w14:textId="49220985" w:rsidR="00E0689D" w:rsidRDefault="00E0689D" w:rsidP="00E0689D">
      <w:pPr>
        <w:ind w:left="567" w:hanging="567"/>
      </w:pPr>
      <w:r>
        <w:t xml:space="preserve">16 </w:t>
      </w:r>
      <w:r>
        <w:tab/>
        <w:t xml:space="preserve">The T-test compared the mean time spent on training as a percentage of non-billable hours between providers that did offer SIL services (n=200) and providers that did not offer SIL services (n=480). P-value of right tail T-test was 0.00, indicating that SIL providers had a greater mean value than non-SIL providers at 1% significance level. </w:t>
      </w:r>
    </w:p>
    <w:p w14:paraId="04F11F8D" w14:textId="053E0E69" w:rsidR="00E0689D" w:rsidRDefault="00E0689D" w:rsidP="00E0689D">
      <w:pPr>
        <w:ind w:left="567" w:hanging="567"/>
      </w:pPr>
      <w:r>
        <w:t xml:space="preserve">17 </w:t>
      </w:r>
      <w:r>
        <w:tab/>
        <w:t>Additional model specifications included; overhead costs as a percentage of total direct costs; direct costs; and permanent employment rates.</w:t>
      </w:r>
    </w:p>
    <w:p w14:paraId="31541753" w14:textId="57EACAC0" w:rsidR="00E0689D" w:rsidRDefault="00E0689D" w:rsidP="00E0689D">
      <w:pPr>
        <w:ind w:left="567" w:hanging="567"/>
      </w:pPr>
      <w:r>
        <w:t xml:space="preserve">18 </w:t>
      </w:r>
      <w:r>
        <w:tab/>
        <w:t xml:space="preserve">The equation regresses the </w:t>
      </w:r>
      <w:r w:rsidRPr="001E4D55">
        <w:t xml:space="preserve">percentage of labour time that is spent </w:t>
      </w:r>
      <w:r>
        <w:t>by DSWs employed by the provider on training against:</w:t>
      </w:r>
    </w:p>
    <w:p w14:paraId="020FA05A"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2C873DF7"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5B60F915" w14:textId="77777777" w:rsidR="00E0689D" w:rsidRDefault="00E0689D" w:rsidP="00E0689D">
      <w:pPr>
        <w:pStyle w:val="DotPoint"/>
        <w:ind w:left="1134" w:hanging="567"/>
      </w:pPr>
      <w:r>
        <w:t>Log of the n</w:t>
      </w:r>
      <w:r w:rsidRPr="003D7CC8">
        <w:t xml:space="preserve">umber of </w:t>
      </w:r>
      <w:r>
        <w:t>participants supported by the provider;</w:t>
      </w:r>
    </w:p>
    <w:p w14:paraId="32408EFE" w14:textId="77777777" w:rsidR="00E0689D" w:rsidRDefault="00E0689D" w:rsidP="00E0689D">
      <w:pPr>
        <w:pStyle w:val="DotPoint"/>
        <w:ind w:left="1134" w:hanging="567"/>
      </w:pPr>
      <w:r>
        <w:t>Log of the number of FLSs employed by the provider;</w:t>
      </w:r>
    </w:p>
    <w:p w14:paraId="71BA837B" w14:textId="77777777" w:rsidR="00E0689D" w:rsidRDefault="00E0689D" w:rsidP="00E0689D">
      <w:pPr>
        <w:pStyle w:val="DotPoint"/>
        <w:ind w:left="1134" w:hanging="567"/>
      </w:pPr>
      <w:r>
        <w:t>Log of the number of DSWs employed by the provider;</w:t>
      </w:r>
    </w:p>
    <w:p w14:paraId="1B530464" w14:textId="77777777" w:rsidR="00E0689D" w:rsidRDefault="00E0689D" w:rsidP="00E0689D">
      <w:pPr>
        <w:pStyle w:val="DotPoint"/>
        <w:ind w:left="1134" w:hanging="567"/>
      </w:pPr>
      <w:r>
        <w:t>Average base wage paid to FLSs employed by the provider; and</w:t>
      </w:r>
    </w:p>
    <w:p w14:paraId="5ADC29CC" w14:textId="77777777" w:rsidR="00E0689D" w:rsidRDefault="00E0689D" w:rsidP="00E0689D">
      <w:pPr>
        <w:pStyle w:val="DotPoint"/>
        <w:ind w:left="1134" w:hanging="567"/>
      </w:pPr>
      <w:r>
        <w:t>Average base wage paid to DSWs employed by the provider.</w:t>
      </w:r>
    </w:p>
    <w:p w14:paraId="4B3C5D29" w14:textId="2D430CF2" w:rsidR="00E0689D" w:rsidRDefault="00E0689D" w:rsidP="00E0689D">
      <w:pPr>
        <w:ind w:left="567" w:hanging="567"/>
      </w:pPr>
      <w:r>
        <w:t xml:space="preserve">19 </w:t>
      </w:r>
      <w:r>
        <w:tab/>
        <w:t>The equation regresses the average base wages of supervisors employed by the provider against:</w:t>
      </w:r>
    </w:p>
    <w:p w14:paraId="65CED6DE"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4B15EED8"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2378B966" w14:textId="77777777" w:rsidR="00E0689D" w:rsidRDefault="00E0689D" w:rsidP="00E0689D">
      <w:pPr>
        <w:pStyle w:val="DotPoint"/>
        <w:ind w:left="1134" w:hanging="567"/>
      </w:pPr>
      <w:r>
        <w:t>Log of the n</w:t>
      </w:r>
      <w:r w:rsidRPr="003D7CC8">
        <w:t xml:space="preserve">umber of </w:t>
      </w:r>
      <w:r>
        <w:t>participants supported by the provider;</w:t>
      </w:r>
    </w:p>
    <w:p w14:paraId="696D4B3B" w14:textId="77777777" w:rsidR="00E0689D" w:rsidRDefault="00E0689D" w:rsidP="00E0689D">
      <w:pPr>
        <w:pStyle w:val="DotPoint"/>
        <w:ind w:left="1134" w:hanging="567"/>
      </w:pPr>
      <w:r>
        <w:t>Log of the number of DSWs employed by the provider; and</w:t>
      </w:r>
    </w:p>
    <w:p w14:paraId="20EBF3B9" w14:textId="77777777" w:rsidR="00E0689D" w:rsidRDefault="00E0689D" w:rsidP="00E0689D">
      <w:pPr>
        <w:pStyle w:val="DotPoint"/>
        <w:ind w:left="1134" w:hanging="567"/>
      </w:pPr>
      <w:r>
        <w:t>Log of the ratio of the number of FLSs (headcount) and DSWs (headcount) employed by the provider.</w:t>
      </w:r>
    </w:p>
    <w:p w14:paraId="16F1B928" w14:textId="131500DF" w:rsidR="00E0689D" w:rsidRDefault="00E0689D" w:rsidP="00E0689D">
      <w:pPr>
        <w:ind w:left="567" w:hanging="567"/>
      </w:pPr>
      <w:r>
        <w:t xml:space="preserve">20 </w:t>
      </w:r>
      <w:r>
        <w:tab/>
      </w:r>
      <w:r w:rsidRPr="00BF1062">
        <w:t>The equation regresses the log of the ratio of the number of FLSs (headcount) and DSWs (headcount) employed by the provider against:</w:t>
      </w:r>
    </w:p>
    <w:p w14:paraId="5258E8CE"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37E8064C"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5B4654D2" w14:textId="77777777" w:rsidR="00E0689D" w:rsidRDefault="00E0689D" w:rsidP="00E0689D">
      <w:pPr>
        <w:pStyle w:val="DotPoint"/>
        <w:ind w:left="1134" w:hanging="567"/>
      </w:pPr>
      <w:r>
        <w:t>Log of the n</w:t>
      </w:r>
      <w:r w:rsidRPr="003D7CC8">
        <w:t xml:space="preserve">umber of </w:t>
      </w:r>
      <w:r>
        <w:t>participants supported by the provider;</w:t>
      </w:r>
    </w:p>
    <w:p w14:paraId="3430D382" w14:textId="77777777" w:rsidR="00E0689D" w:rsidRDefault="00E0689D" w:rsidP="00E0689D">
      <w:pPr>
        <w:pStyle w:val="DotPoint"/>
        <w:ind w:left="1134" w:hanging="567"/>
      </w:pPr>
      <w:r>
        <w:t>Average base wage paid to FLSs employed by the provider</w:t>
      </w:r>
    </w:p>
    <w:p w14:paraId="502EE630" w14:textId="77777777" w:rsidR="00E0689D" w:rsidRDefault="00E0689D" w:rsidP="00E0689D">
      <w:pPr>
        <w:pStyle w:val="DotPoint"/>
        <w:ind w:left="1134" w:hanging="567"/>
      </w:pPr>
      <w:r>
        <w:t>Log of the ratio of the</w:t>
      </w:r>
      <w:r w:rsidRPr="00BF1062">
        <w:t xml:space="preserve"> </w:t>
      </w:r>
      <w:r>
        <w:t>number of DSWs employed by the provider and the n</w:t>
      </w:r>
      <w:r w:rsidRPr="003D7CC8">
        <w:t xml:space="preserve">umber of </w:t>
      </w:r>
      <w:r>
        <w:t>participants supported by the provider; and</w:t>
      </w:r>
    </w:p>
    <w:p w14:paraId="32418F9D" w14:textId="77777777" w:rsidR="00E0689D" w:rsidRDefault="00E0689D" w:rsidP="00E0689D">
      <w:pPr>
        <w:pStyle w:val="DotPoint"/>
        <w:ind w:left="1134" w:hanging="567"/>
      </w:pPr>
      <w:r>
        <w:t>Percentage of l</w:t>
      </w:r>
      <w:r w:rsidRPr="001E4D55">
        <w:t>abour time spent on billable work</w:t>
      </w:r>
      <w:r>
        <w:t xml:space="preserve"> by DSWs employed by the provider.</w:t>
      </w:r>
    </w:p>
    <w:p w14:paraId="182F3B27" w14:textId="1C80C3C8" w:rsidR="00E0689D" w:rsidRDefault="00E0689D" w:rsidP="00E0689D">
      <w:pPr>
        <w:ind w:left="567" w:hanging="567"/>
      </w:pPr>
      <w:r>
        <w:t xml:space="preserve">21 </w:t>
      </w:r>
      <w:r>
        <w:tab/>
        <w:t>The equation regresses the log of the ratio of the o</w:t>
      </w:r>
      <w:r w:rsidRPr="005F76D1">
        <w:t xml:space="preserve">verhead costs </w:t>
      </w:r>
      <w:r>
        <w:t>of the provider to</w:t>
      </w:r>
      <w:r w:rsidRPr="005F76D1">
        <w:t xml:space="preserve"> </w:t>
      </w:r>
      <w:r>
        <w:t xml:space="preserve">the </w:t>
      </w:r>
      <w:r w:rsidRPr="005F76D1">
        <w:t xml:space="preserve">direct costs of </w:t>
      </w:r>
      <w:r>
        <w:t>the provider against:</w:t>
      </w:r>
    </w:p>
    <w:p w14:paraId="66FCF4B9"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114547D5"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29E17C10" w14:textId="77777777" w:rsidR="00E0689D" w:rsidRDefault="00E0689D" w:rsidP="00E0689D">
      <w:pPr>
        <w:pStyle w:val="DotPoint"/>
        <w:ind w:left="1134" w:hanging="567"/>
      </w:pPr>
      <w:r>
        <w:t>the square of the p</w:t>
      </w:r>
      <w:r w:rsidRPr="003D7CC8">
        <w:t xml:space="preserve">ercentage of </w:t>
      </w:r>
      <w:r>
        <w:t xml:space="preserve">the provider’s </w:t>
      </w:r>
      <w:r w:rsidRPr="003D7CC8">
        <w:t>revenue sourced from SIL</w:t>
      </w:r>
      <w:r>
        <w:t>;</w:t>
      </w:r>
    </w:p>
    <w:p w14:paraId="4A6148CE" w14:textId="77777777" w:rsidR="00E0689D" w:rsidRDefault="00E0689D" w:rsidP="00E0689D">
      <w:pPr>
        <w:pStyle w:val="DotPoint"/>
        <w:ind w:left="1134" w:hanging="567"/>
      </w:pPr>
      <w:r>
        <w:t>Log of the n</w:t>
      </w:r>
      <w:r w:rsidRPr="003D7CC8">
        <w:t xml:space="preserve">umber of </w:t>
      </w:r>
      <w:r>
        <w:t>participants supported by the provider;</w:t>
      </w:r>
    </w:p>
    <w:p w14:paraId="1132DC42" w14:textId="77777777" w:rsidR="00E0689D" w:rsidRDefault="00E0689D" w:rsidP="00E0689D">
      <w:pPr>
        <w:pStyle w:val="DotPoint"/>
        <w:ind w:left="1134" w:hanging="567"/>
      </w:pPr>
      <w:r>
        <w:t>Log of the direct costs per participant for the provider;</w:t>
      </w:r>
    </w:p>
    <w:p w14:paraId="67388626" w14:textId="77777777" w:rsidR="00E0689D" w:rsidRDefault="00E0689D" w:rsidP="00E0689D">
      <w:pPr>
        <w:pStyle w:val="DotPoint"/>
        <w:ind w:left="1134" w:hanging="567"/>
      </w:pPr>
      <w:r>
        <w:t>Percentage of l</w:t>
      </w:r>
      <w:r w:rsidRPr="001E4D55">
        <w:t>abour time spent on billable work</w:t>
      </w:r>
      <w:r>
        <w:t xml:space="preserve"> by DSWs employed by the provider;</w:t>
      </w:r>
    </w:p>
    <w:p w14:paraId="7E7F4627" w14:textId="77777777" w:rsidR="00E0689D" w:rsidRDefault="00E0689D" w:rsidP="00E0689D">
      <w:pPr>
        <w:pStyle w:val="DotPoint"/>
        <w:ind w:left="1134" w:hanging="567"/>
      </w:pPr>
      <w:r>
        <w:t>Log of the ratio of the number of FLSs (headcount) and DSWs (headcount) employed by the provider;</w:t>
      </w:r>
    </w:p>
    <w:p w14:paraId="73B34B03" w14:textId="77777777" w:rsidR="00E0689D" w:rsidRDefault="00E0689D" w:rsidP="00E0689D">
      <w:pPr>
        <w:pStyle w:val="DotPoint"/>
        <w:ind w:left="1134" w:hanging="567"/>
      </w:pPr>
      <w:r>
        <w:t>Average base wage paid to FLSs employed by the provider; and</w:t>
      </w:r>
    </w:p>
    <w:p w14:paraId="4051B43E" w14:textId="77777777" w:rsidR="00E0689D" w:rsidRDefault="00E0689D" w:rsidP="00E0689D">
      <w:pPr>
        <w:pStyle w:val="DotPoint"/>
        <w:ind w:left="1134" w:hanging="567"/>
      </w:pPr>
      <w:r>
        <w:t>Average base wage paid to DSWs employed by the provider.</w:t>
      </w:r>
    </w:p>
    <w:p w14:paraId="197C75A2" w14:textId="6D6324F1" w:rsidR="00E0689D" w:rsidRDefault="00E0689D" w:rsidP="00E0689D">
      <w:pPr>
        <w:ind w:left="567" w:hanging="567"/>
      </w:pPr>
      <w:r>
        <w:t xml:space="preserve">22 </w:t>
      </w:r>
      <w:r>
        <w:tab/>
        <w:t>NDIA, Office of the Scheme Actuary, data current as at 30 June 2020</w:t>
      </w:r>
    </w:p>
    <w:p w14:paraId="56B989CA" w14:textId="11050CFC" w:rsidR="00E0689D" w:rsidRDefault="00E0689D" w:rsidP="00E0689D">
      <w:pPr>
        <w:ind w:left="567" w:hanging="567"/>
        <w:rPr>
          <w:rFonts w:cstheme="minorHAnsi"/>
          <w:szCs w:val="18"/>
        </w:rPr>
      </w:pPr>
      <w:r>
        <w:rPr>
          <w:rFonts w:cstheme="minorHAnsi"/>
          <w:szCs w:val="18"/>
        </w:rPr>
        <w:t>23</w:t>
      </w:r>
      <w:r w:rsidRPr="0081472E">
        <w:rPr>
          <w:rFonts w:cstheme="minorHAnsi"/>
          <w:szCs w:val="18"/>
        </w:rPr>
        <w:t xml:space="preserve"> </w:t>
      </w:r>
      <w:r>
        <w:rPr>
          <w:rFonts w:cstheme="minorHAnsi"/>
          <w:szCs w:val="18"/>
        </w:rPr>
        <w:tab/>
      </w:r>
      <w:hyperlink r:id="rId36" w:history="1">
        <w:r w:rsidRPr="0081472E">
          <w:rPr>
            <w:rStyle w:val="Hyperlink"/>
            <w:rFonts w:cstheme="minorHAnsi"/>
            <w:szCs w:val="18"/>
          </w:rPr>
          <w:t>https://blcw.dss.gov.au/</w:t>
        </w:r>
      </w:hyperlink>
      <w:r w:rsidRPr="0081472E">
        <w:rPr>
          <w:rFonts w:cstheme="minorHAnsi"/>
          <w:szCs w:val="18"/>
        </w:rPr>
        <w:t xml:space="preserve">. </w:t>
      </w:r>
    </w:p>
    <w:p w14:paraId="26E7DE3B" w14:textId="77777777" w:rsidR="00E0689D" w:rsidRPr="0081472E" w:rsidRDefault="00E0689D" w:rsidP="00E0689D">
      <w:pPr>
        <w:ind w:left="567"/>
        <w:rPr>
          <w:lang w:eastAsia="en-AU"/>
        </w:rPr>
      </w:pPr>
      <w:r w:rsidRPr="0081472E">
        <w:rPr>
          <w:lang w:eastAsia="en-AU"/>
        </w:rPr>
        <w:t xml:space="preserve">The Boosting the Local Care Workforce Program (BLCW Program) is funded by the Department of Social Services </w:t>
      </w:r>
      <w:r>
        <w:rPr>
          <w:lang w:eastAsia="en-AU"/>
        </w:rPr>
        <w:t>and</w:t>
      </w:r>
      <w:r w:rsidRPr="0081472E">
        <w:rPr>
          <w:lang w:eastAsia="en-AU"/>
        </w:rPr>
        <w:t xml:space="preserve"> delivered by Ernst &amp; Young, with the First Peoples Disability Network (Australia), and the Community S</w:t>
      </w:r>
      <w:r>
        <w:rPr>
          <w:lang w:eastAsia="en-AU"/>
        </w:rPr>
        <w:t xml:space="preserve">ervices Industry Alliance. </w:t>
      </w:r>
      <w:r w:rsidRPr="0081472E">
        <w:rPr>
          <w:lang w:eastAsia="en-AU"/>
        </w:rPr>
        <w:t>The BLCW Program aims to develop the capacity of disability and aged care service providers to operate effectively and expand their workforce.</w:t>
      </w:r>
    </w:p>
    <w:p w14:paraId="28453ABA" w14:textId="77777777" w:rsidR="00E0689D" w:rsidRPr="0081472E" w:rsidRDefault="00E0689D" w:rsidP="00E0689D">
      <w:pPr>
        <w:ind w:left="567"/>
        <w:rPr>
          <w:rFonts w:cstheme="minorHAnsi"/>
          <w:color w:val="44464E"/>
          <w:szCs w:val="18"/>
          <w:lang w:eastAsia="en-AU"/>
        </w:rPr>
      </w:pPr>
      <w:r w:rsidRPr="0081472E">
        <w:rPr>
          <w:rFonts w:cstheme="minorHAnsi"/>
          <w:color w:val="44464E"/>
          <w:szCs w:val="18"/>
          <w:lang w:eastAsia="en-AU"/>
        </w:rPr>
        <w:t xml:space="preserve">The </w:t>
      </w:r>
      <w:r w:rsidRPr="00767876">
        <w:rPr>
          <w:rFonts w:cstheme="minorHAnsi"/>
          <w:szCs w:val="18"/>
        </w:rPr>
        <w:t>BLCW</w:t>
      </w:r>
      <w:r w:rsidRPr="00767876">
        <w:rPr>
          <w:rFonts w:cstheme="minorHAnsi"/>
          <w:szCs w:val="18"/>
          <w:lang w:eastAsia="en-AU"/>
        </w:rPr>
        <w:t xml:space="preserve"> Program has three main objectives:</w:t>
      </w:r>
    </w:p>
    <w:p w14:paraId="02EABB61" w14:textId="77777777" w:rsidR="00E0689D" w:rsidRPr="00E0689D" w:rsidRDefault="00E0689D" w:rsidP="00E0689D">
      <w:pPr>
        <w:pStyle w:val="DotPoint"/>
        <w:ind w:left="1134" w:hanging="567"/>
      </w:pPr>
      <w:r w:rsidRPr="005B3F40">
        <w:rPr>
          <w:rFonts w:cstheme="minorHAnsi"/>
          <w:szCs w:val="18"/>
        </w:rPr>
        <w:t xml:space="preserve">Reduce barriers that impact providers’ ability and willingness to start, continue or grow their </w:t>
      </w:r>
      <w:r w:rsidRPr="00E0689D">
        <w:t>service offer.</w:t>
      </w:r>
    </w:p>
    <w:p w14:paraId="0223287F" w14:textId="77777777" w:rsidR="00E0689D" w:rsidRPr="00E0689D" w:rsidRDefault="00E0689D" w:rsidP="00E0689D">
      <w:pPr>
        <w:pStyle w:val="DotPoint"/>
        <w:ind w:left="1134" w:hanging="567"/>
      </w:pPr>
      <w:r w:rsidRPr="00E0689D">
        <w:t>Improve the operation and efficiency of labour markets by better matching supply and demand through measures such as providing information, resources and links to relevant government programs.</w:t>
      </w:r>
    </w:p>
    <w:p w14:paraId="19D542B8" w14:textId="77777777" w:rsidR="00E0689D" w:rsidRPr="0081472E" w:rsidRDefault="00E0689D" w:rsidP="00E0689D">
      <w:pPr>
        <w:pStyle w:val="DotPoint"/>
        <w:ind w:left="1134" w:hanging="567"/>
        <w:rPr>
          <w:rFonts w:ascii="Georgia" w:hAnsi="Georgia"/>
          <w:color w:val="44464E"/>
          <w:sz w:val="24"/>
          <w:szCs w:val="24"/>
          <w:lang w:eastAsia="en-AU"/>
        </w:rPr>
      </w:pPr>
      <w:r w:rsidRPr="00E0689D">
        <w:t>Provide local</w:t>
      </w:r>
      <w:r w:rsidRPr="0081472E">
        <w:rPr>
          <w:rFonts w:cstheme="minorHAnsi"/>
          <w:color w:val="44464E"/>
          <w:szCs w:val="18"/>
          <w:lang w:eastAsia="en-AU"/>
        </w:rPr>
        <w:t>-level knowledge on the disability and aged care service provider and workforce markets.</w:t>
      </w:r>
    </w:p>
    <w:p w14:paraId="1566FB52" w14:textId="77777777" w:rsidR="00E0689D" w:rsidRPr="00E0689D" w:rsidRDefault="00E0689D" w:rsidP="00E0689D"/>
    <w:sectPr w:rsidR="00E0689D" w:rsidRPr="00E0689D" w:rsidSect="00670B8B">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963F" w14:textId="77777777" w:rsidR="00100E37" w:rsidRDefault="00100E37" w:rsidP="001A3E36">
      <w:r>
        <w:separator/>
      </w:r>
    </w:p>
    <w:p w14:paraId="74E8F232" w14:textId="77777777" w:rsidR="00100E37" w:rsidRDefault="00100E37" w:rsidP="001A3E36"/>
  </w:endnote>
  <w:endnote w:type="continuationSeparator" w:id="0">
    <w:p w14:paraId="4ED3BB46" w14:textId="77777777" w:rsidR="00100E37" w:rsidRDefault="00100E37" w:rsidP="001A3E36">
      <w:r>
        <w:continuationSeparator/>
      </w:r>
    </w:p>
    <w:p w14:paraId="2BC45E2C" w14:textId="77777777" w:rsidR="00100E37" w:rsidRDefault="00100E37" w:rsidP="001A3E36"/>
  </w:endnote>
  <w:endnote w:type="continuationNotice" w:id="1">
    <w:p w14:paraId="4B099D2C" w14:textId="77777777" w:rsidR="00100E37" w:rsidRDefault="00100E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20100"/>
      <w:docPartObj>
        <w:docPartGallery w:val="Page Numbers (Bottom of Page)"/>
        <w:docPartUnique/>
      </w:docPartObj>
    </w:sdtPr>
    <w:sdtEndPr>
      <w:rPr>
        <w:noProof/>
      </w:rPr>
    </w:sdtEndPr>
    <w:sdtContent>
      <w:p w14:paraId="5772A63E" w14:textId="6C5AFB89" w:rsidR="00EC5814" w:rsidRDefault="00EC5814" w:rsidP="00B658AF">
        <w:pPr>
          <w:pStyle w:val="Footer"/>
          <w:jc w:val="center"/>
        </w:pPr>
        <w:r>
          <w:fldChar w:fldCharType="begin"/>
        </w:r>
        <w:r>
          <w:instrText xml:space="preserve"> PAGE   \* MERGEFORMAT </w:instrText>
        </w:r>
        <w:r>
          <w:fldChar w:fldCharType="separate"/>
        </w:r>
        <w:r w:rsidR="00847266">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F069" w14:textId="77777777" w:rsidR="00EC5814" w:rsidRDefault="00EC5814" w:rsidP="00EC73BF">
    <w:r w:rsidRPr="00321F81">
      <w:rPr>
        <w:noProof/>
        <w:lang w:eastAsia="en-AU"/>
      </w:rPr>
      <w:drawing>
        <wp:inline distT="0" distB="0" distL="0" distR="0" wp14:anchorId="32BDFB4F" wp14:editId="3D5EC696">
          <wp:extent cx="2275200" cy="540000"/>
          <wp:effectExtent l="0" t="0" r="0" b="0"/>
          <wp:docPr id="19" name="Picture 19"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CA08" w14:textId="66D3B37E" w:rsidR="00EC5814" w:rsidRPr="00D6031F" w:rsidRDefault="00EC5814"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935584">
      <w:rPr>
        <w:caps/>
        <w:noProof/>
      </w:rPr>
      <w:t>2</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5968" w14:textId="77777777" w:rsidR="00100E37" w:rsidRDefault="00100E37" w:rsidP="001A3E36">
      <w:r>
        <w:separator/>
      </w:r>
    </w:p>
  </w:footnote>
  <w:footnote w:type="continuationSeparator" w:id="0">
    <w:p w14:paraId="4C3DBA9A" w14:textId="77777777" w:rsidR="00100E37" w:rsidRDefault="00100E37" w:rsidP="001A3E36">
      <w:r>
        <w:continuationSeparator/>
      </w:r>
    </w:p>
  </w:footnote>
  <w:footnote w:type="continuationNotice" w:id="1">
    <w:p w14:paraId="0165B13D" w14:textId="77777777" w:rsidR="00100E37" w:rsidRDefault="00100E37">
      <w:pPr>
        <w:spacing w:before="0" w:after="0" w:line="240" w:lineRule="auto"/>
      </w:pPr>
    </w:p>
  </w:footnote>
  <w:footnote w:id="2">
    <w:p w14:paraId="142515C7" w14:textId="092C1FC6" w:rsidR="00EC5814" w:rsidRDefault="00EC5814" w:rsidP="003B6B59">
      <w:pPr>
        <w:pStyle w:val="FootnoteText"/>
      </w:pPr>
      <w:r>
        <w:rPr>
          <w:rStyle w:val="FootnoteReference"/>
        </w:rPr>
        <w:footnoteRef/>
      </w:r>
      <w:r>
        <w:t xml:space="preserve"> </w:t>
      </w:r>
      <w:r>
        <w:tab/>
        <w:t xml:space="preserve">Further details can be found in the Operational Guideline at </w:t>
      </w:r>
      <w:hyperlink r:id="rId1" w:history="1">
        <w:r w:rsidRPr="009E563C">
          <w:rPr>
            <w:rStyle w:val="Hyperlink"/>
          </w:rPr>
          <w:t>https://ourguidelines.ndis.gov.au/supports-you-can-access-menu/home-and-living-supports/supported-independent-living</w:t>
        </w:r>
      </w:hyperlink>
      <w:r>
        <w:t xml:space="preserve"> </w:t>
      </w:r>
    </w:p>
  </w:footnote>
  <w:footnote w:id="3">
    <w:p w14:paraId="6DC12E7C" w14:textId="7F7EA250" w:rsidR="00EC5814" w:rsidRDefault="00EC5814" w:rsidP="002572E0">
      <w:pPr>
        <w:pStyle w:val="FootnoteText"/>
      </w:pPr>
      <w:r>
        <w:rPr>
          <w:rStyle w:val="FootnoteReference"/>
        </w:rPr>
        <w:footnoteRef/>
      </w:r>
      <w:r>
        <w:t xml:space="preserve"> </w:t>
      </w:r>
      <w:r>
        <w:tab/>
        <w:t xml:space="preserve">NDIA. (2020). </w:t>
      </w:r>
      <w:r w:rsidRPr="00810319">
        <w:t>NDIS Quar</w:t>
      </w:r>
      <w:r>
        <w:t>terly Report to Disability M</w:t>
      </w:r>
      <w:r w:rsidRPr="00810319">
        <w:t xml:space="preserve">inisters 30 September 2020, </w:t>
      </w:r>
      <w:r>
        <w:t>p.539-541.</w:t>
      </w:r>
      <w:r w:rsidRPr="008055A9" w:rsidDel="0026389A">
        <w:rPr>
          <w:highlight w:val="yellow"/>
        </w:rPr>
        <w:t xml:space="preserve"> </w:t>
      </w:r>
    </w:p>
  </w:footnote>
  <w:footnote w:id="4">
    <w:p w14:paraId="272137EB" w14:textId="13909E2C" w:rsidR="00EC5814" w:rsidRDefault="00EC5814" w:rsidP="00596186">
      <w:pPr>
        <w:pStyle w:val="FootnoteText"/>
      </w:pPr>
      <w:r>
        <w:rPr>
          <w:rStyle w:val="FootnoteReference"/>
        </w:rPr>
        <w:footnoteRef/>
      </w:r>
      <w:r>
        <w:t xml:space="preserve"> </w:t>
      </w:r>
      <w:r>
        <w:tab/>
        <w:t>Ibid, p.61.</w:t>
      </w:r>
    </w:p>
  </w:footnote>
  <w:footnote w:id="5">
    <w:p w14:paraId="406B095D" w14:textId="229F408E" w:rsidR="00EC5814" w:rsidRDefault="00EC5814" w:rsidP="00066859">
      <w:pPr>
        <w:pStyle w:val="FootnoteText"/>
      </w:pPr>
      <w:r>
        <w:rPr>
          <w:rStyle w:val="FootnoteReference"/>
        </w:rPr>
        <w:footnoteRef/>
      </w:r>
      <w:r>
        <w:t xml:space="preserve"> </w:t>
      </w:r>
      <w:r>
        <w:tab/>
        <w:t>Ibid, p.61.</w:t>
      </w:r>
    </w:p>
  </w:footnote>
  <w:footnote w:id="6">
    <w:p w14:paraId="65530A34" w14:textId="77777777" w:rsidR="00EC5814" w:rsidRDefault="00EC5814" w:rsidP="00712B50">
      <w:pPr>
        <w:pStyle w:val="FootnoteText"/>
      </w:pPr>
      <w:r>
        <w:rPr>
          <w:rStyle w:val="FootnoteReference"/>
        </w:rPr>
        <w:footnoteRef/>
      </w:r>
      <w:r>
        <w:t xml:space="preserve"> </w:t>
      </w:r>
      <w:r>
        <w:tab/>
      </w:r>
      <w:hyperlink r:id="rId2" w:history="1">
        <w:r>
          <w:rPr>
            <w:rStyle w:val="Hyperlink"/>
          </w:rPr>
          <w:t>https://www.ndis.gov.au/media/1820/download</w:t>
        </w:r>
      </w:hyperlink>
      <w:r>
        <w:t xml:space="preserve"> </w:t>
      </w:r>
    </w:p>
  </w:footnote>
  <w:footnote w:id="7">
    <w:p w14:paraId="3DBB496D" w14:textId="77777777" w:rsidR="00EC5814" w:rsidRDefault="00EC5814" w:rsidP="00712B50">
      <w:pPr>
        <w:pStyle w:val="FootnoteText"/>
      </w:pPr>
      <w:r>
        <w:rPr>
          <w:rStyle w:val="FootnoteReference"/>
        </w:rPr>
        <w:footnoteRef/>
      </w:r>
      <w:r>
        <w:t xml:space="preserve"> </w:t>
      </w:r>
      <w:r>
        <w:tab/>
      </w:r>
      <w:hyperlink r:id="rId3" w:history="1">
        <w:r>
          <w:rPr>
            <w:rStyle w:val="Hyperlink"/>
          </w:rPr>
          <w:t>https://www.ndis.gov.au/media/2413/download</w:t>
        </w:r>
      </w:hyperlink>
      <w:r>
        <w:t xml:space="preserve"> </w:t>
      </w:r>
    </w:p>
  </w:footnote>
  <w:footnote w:id="8">
    <w:p w14:paraId="54FCC0F3" w14:textId="77777777" w:rsidR="00EC5814" w:rsidRDefault="00EC5814" w:rsidP="00712B50">
      <w:pPr>
        <w:pStyle w:val="FootnoteText"/>
      </w:pPr>
      <w:r>
        <w:rPr>
          <w:rStyle w:val="FootnoteReference"/>
        </w:rPr>
        <w:footnoteRef/>
      </w:r>
      <w:r>
        <w:t xml:space="preserve"> </w:t>
      </w:r>
      <w:r>
        <w:tab/>
      </w:r>
      <w:hyperlink r:id="rId4" w:history="1">
        <w:r w:rsidRPr="0066201A">
          <w:rPr>
            <w:rStyle w:val="Hyperlink"/>
          </w:rPr>
          <w:t>https://www.ndis.gov.au/providers/price-guides-and-pricing</w:t>
        </w:r>
      </w:hyperlink>
      <w:r>
        <w:t xml:space="preserve"> </w:t>
      </w:r>
    </w:p>
  </w:footnote>
  <w:footnote w:id="9">
    <w:p w14:paraId="7F8308C2" w14:textId="77777777" w:rsidR="00EC5814" w:rsidRDefault="00EC5814" w:rsidP="0003160A">
      <w:pPr>
        <w:pStyle w:val="FootnoteText"/>
      </w:pPr>
      <w:r>
        <w:rPr>
          <w:rStyle w:val="FootnoteReference"/>
        </w:rPr>
        <w:footnoteRef/>
      </w:r>
      <w:r>
        <w:t xml:space="preserve"> </w:t>
      </w:r>
      <w:r>
        <w:tab/>
      </w:r>
      <w:r w:rsidRPr="00A7375A">
        <w:t xml:space="preserve">Where appropriate, the findings from the analysis have been triangulated with findings from the </w:t>
      </w:r>
      <w:r>
        <w:t xml:space="preserve">far smaller </w:t>
      </w:r>
      <w:r w:rsidRPr="00A7375A">
        <w:t>20</w:t>
      </w:r>
      <w:r>
        <w:t>17-18</w:t>
      </w:r>
      <w:r w:rsidRPr="00A7375A">
        <w:t xml:space="preserve"> AbleInsight survey, which </w:t>
      </w:r>
      <w:r>
        <w:t xml:space="preserve">aims to identify cost benchmarks for service providers across the NDIS sector. The AbleInsight survey is available at </w:t>
      </w:r>
      <w:hyperlink r:id="rId5" w:history="1">
        <w:r w:rsidRPr="00D77468">
          <w:rPr>
            <w:rStyle w:val="Hyperlink"/>
          </w:rPr>
          <w:t>https://www.ndis.gov.au/providers/price-guides-and-pricing/benchmarking-surveys-and-reports</w:t>
        </w:r>
      </w:hyperlink>
      <w:r>
        <w:t xml:space="preserve"> </w:t>
      </w:r>
    </w:p>
  </w:footnote>
  <w:footnote w:id="10">
    <w:p w14:paraId="48EBD229" w14:textId="77A00E7A" w:rsidR="00EC5814" w:rsidRDefault="00EC5814">
      <w:pPr>
        <w:pStyle w:val="FootnoteText"/>
      </w:pPr>
      <w:r>
        <w:rPr>
          <w:rStyle w:val="FootnoteReference"/>
        </w:rPr>
        <w:footnoteRef/>
      </w:r>
      <w:r>
        <w:t xml:space="preserve"> </w:t>
      </w:r>
      <w:r>
        <w:tab/>
      </w:r>
      <w:r w:rsidRPr="003B6B59">
        <w:t>Linear regression is a technique that allows for an assessment of whether a particular explanatory variable has a statistically significant linear relationship with the conditional mean of a cost parameter; meaning that a change in an explanatory variable is associated with a change in the cost parameter, holding other variables constant.</w:t>
      </w:r>
    </w:p>
  </w:footnote>
  <w:footnote w:id="11">
    <w:p w14:paraId="410FE0A7" w14:textId="26BBA1BD" w:rsidR="00EC5814" w:rsidRDefault="00EC5814" w:rsidP="003B6B59">
      <w:pPr>
        <w:pStyle w:val="FootnoteText"/>
      </w:pPr>
      <w:r>
        <w:rPr>
          <w:rStyle w:val="FootnoteReference"/>
        </w:rPr>
        <w:footnoteRef/>
      </w:r>
      <w:r>
        <w:t xml:space="preserve"> </w:t>
      </w:r>
      <w:r>
        <w:tab/>
        <w:t xml:space="preserve">Quantile regression is a technique that allows for an assessment of whether an explanatory variable has a statistically significant relationship with a cost parameter throughout different points (or quantiles) of the conditional distribution of the cost parameter. In general, quantile regression analysis attempts to isolate statistically significant linear relationships between a change in an explanatory variable and the conditional quantile of a cost parameter (25th, 50th and 75th percentile). </w:t>
      </w:r>
    </w:p>
    <w:p w14:paraId="666AA602" w14:textId="55F53AD0" w:rsidR="00EC5814" w:rsidRDefault="00EC5814" w:rsidP="003B6B59">
      <w:pPr>
        <w:pStyle w:val="FootnoteText"/>
        <w:ind w:firstLine="0"/>
      </w:pPr>
      <w:r>
        <w:t>Note, Quantile regression uses bootstrap standard errors and Pseudo R</w:t>
      </w:r>
      <w:r w:rsidRPr="003B6B59">
        <w:rPr>
          <w:vertAlign w:val="superscript"/>
        </w:rPr>
        <w:t>2</w:t>
      </w:r>
      <w:r>
        <w:t xml:space="preserve"> is reported for the quantile regression analysis.</w:t>
      </w:r>
    </w:p>
  </w:footnote>
  <w:footnote w:id="12">
    <w:p w14:paraId="648D49DD" w14:textId="77777777" w:rsidR="00EC5814" w:rsidRDefault="00EC5814" w:rsidP="00BD6C39">
      <w:pPr>
        <w:pStyle w:val="FootnoteText"/>
      </w:pPr>
      <w:r>
        <w:rPr>
          <w:rStyle w:val="FootnoteReference"/>
        </w:rPr>
        <w:footnoteRef/>
      </w:r>
      <w:r>
        <w:t xml:space="preserve"> </w:t>
      </w:r>
      <w:r>
        <w:tab/>
        <w:t xml:space="preserve">Base hourly wage refers to the minimum hourly rate of pay received by a worker, not including any shift or leave loading, overtime, superannuation or allowances. </w:t>
      </w:r>
    </w:p>
    <w:p w14:paraId="0B2C93A7" w14:textId="61E335A1" w:rsidR="00EC5814" w:rsidRDefault="00EC5814" w:rsidP="00BD6C39">
      <w:pPr>
        <w:pStyle w:val="FootnoteText"/>
        <w:ind w:firstLine="0"/>
      </w:pPr>
      <w:r>
        <w:t>On-costs include costs such as superannuation, workers compensation premiums, payroll tax, and employee allowances.</w:t>
      </w:r>
    </w:p>
  </w:footnote>
  <w:footnote w:id="13">
    <w:p w14:paraId="257C3B46" w14:textId="77777777" w:rsidR="00EC5814" w:rsidRDefault="00EC5814" w:rsidP="0042216D">
      <w:pPr>
        <w:pStyle w:val="FootnoteText"/>
      </w:pPr>
      <w:r>
        <w:rPr>
          <w:rStyle w:val="FootnoteReference"/>
        </w:rPr>
        <w:footnoteRef/>
      </w:r>
      <w:r>
        <w:t xml:space="preserve"> </w:t>
      </w:r>
      <w:r>
        <w:tab/>
        <w:t>The equation regresses the average base wage for the disability support workers of a provider against:</w:t>
      </w:r>
    </w:p>
    <w:p w14:paraId="29FAB5DC" w14:textId="77777777" w:rsidR="00EC5814" w:rsidRDefault="00EC5814" w:rsidP="0042216D">
      <w:pPr>
        <w:pStyle w:val="FootnoteText"/>
        <w:numPr>
          <w:ilvl w:val="0"/>
          <w:numId w:val="24"/>
        </w:numPr>
        <w:ind w:left="567" w:hanging="141"/>
      </w:pPr>
      <w:r>
        <w:t xml:space="preserve">the </w:t>
      </w:r>
      <w:r w:rsidRPr="003D7CC8">
        <w:t>SIL provider indicator</w:t>
      </w:r>
      <w:r>
        <w:t xml:space="preserve"> variable (1 if the provider delivers SIL, 0 otherwise);</w:t>
      </w:r>
    </w:p>
    <w:p w14:paraId="121F9310" w14:textId="77777777" w:rsidR="00EC5814" w:rsidRDefault="00EC5814" w:rsidP="0042216D">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605993FE" w14:textId="77777777" w:rsidR="00EC5814" w:rsidRDefault="00EC5814" w:rsidP="0042216D">
      <w:pPr>
        <w:pStyle w:val="FootnoteText"/>
        <w:numPr>
          <w:ilvl w:val="0"/>
          <w:numId w:val="24"/>
        </w:numPr>
        <w:ind w:left="567" w:hanging="141"/>
      </w:pPr>
      <w:r>
        <w:t>Log of the n</w:t>
      </w:r>
      <w:r w:rsidRPr="003D7CC8">
        <w:t xml:space="preserve">umber of </w:t>
      </w:r>
      <w:r>
        <w:t>participants supported by the provider;</w:t>
      </w:r>
    </w:p>
    <w:p w14:paraId="678F668A" w14:textId="77777777" w:rsidR="00EC5814" w:rsidRDefault="00EC5814" w:rsidP="0042216D">
      <w:pPr>
        <w:pStyle w:val="FootnoteText"/>
        <w:numPr>
          <w:ilvl w:val="0"/>
          <w:numId w:val="24"/>
        </w:numPr>
        <w:ind w:left="567" w:hanging="141"/>
      </w:pPr>
      <w:r>
        <w:t>Log of the n</w:t>
      </w:r>
      <w:r w:rsidRPr="003D7CC8">
        <w:t xml:space="preserve">umber of direct </w:t>
      </w:r>
      <w:r>
        <w:t xml:space="preserve">support </w:t>
      </w:r>
      <w:r w:rsidRPr="003D7CC8">
        <w:t>staff</w:t>
      </w:r>
      <w:r>
        <w:t xml:space="preserve"> (DSWs and FLSs) employed by the provider; and</w:t>
      </w:r>
    </w:p>
    <w:p w14:paraId="035DB239" w14:textId="77777777" w:rsidR="00EC5814" w:rsidRDefault="00EC5814" w:rsidP="0042216D">
      <w:pPr>
        <w:pStyle w:val="FootnoteText"/>
        <w:numPr>
          <w:ilvl w:val="0"/>
          <w:numId w:val="24"/>
        </w:numPr>
        <w:ind w:left="567" w:hanging="141"/>
      </w:pPr>
      <w:r>
        <w:t xml:space="preserve">Log of the supervision ratio of the provider – Log of the ratio of the number of DSWs (headcount)) and the number of FLSs </w:t>
      </w:r>
      <w:r w:rsidRPr="003D7CC8">
        <w:t xml:space="preserve">(head </w:t>
      </w:r>
      <w:r>
        <w:t>count).</w:t>
      </w:r>
    </w:p>
  </w:footnote>
  <w:footnote w:id="14">
    <w:p w14:paraId="5C946C8A" w14:textId="77777777" w:rsidR="00EC5814" w:rsidRDefault="00EC5814" w:rsidP="00264B60">
      <w:pPr>
        <w:pStyle w:val="FootnoteText"/>
      </w:pPr>
      <w:r>
        <w:rPr>
          <w:rStyle w:val="FootnoteReference"/>
        </w:rPr>
        <w:footnoteRef/>
      </w:r>
      <w:r>
        <w:t xml:space="preserve"> </w:t>
      </w:r>
      <w:r>
        <w:tab/>
        <w:t>The equation regresses the workers compensation premium (as a percentage of labour costs) paid by a provider against:</w:t>
      </w:r>
    </w:p>
    <w:p w14:paraId="4514D74E" w14:textId="77777777" w:rsidR="00EC5814" w:rsidRDefault="00EC5814" w:rsidP="00987841">
      <w:pPr>
        <w:pStyle w:val="FootnoteText"/>
        <w:numPr>
          <w:ilvl w:val="0"/>
          <w:numId w:val="24"/>
        </w:numPr>
        <w:ind w:left="567" w:hanging="141"/>
      </w:pPr>
      <w:r>
        <w:t xml:space="preserve">the </w:t>
      </w:r>
      <w:r w:rsidRPr="003D7CC8">
        <w:t>SIL provider indicator</w:t>
      </w:r>
      <w:r>
        <w:t xml:space="preserve"> variable (1 if the provider delivers SIL, 0 otherwise);</w:t>
      </w:r>
    </w:p>
    <w:p w14:paraId="4B9497C3" w14:textId="77777777" w:rsidR="00EC5814" w:rsidRDefault="00EC5814" w:rsidP="00987841">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1E8EF82C" w14:textId="77777777" w:rsidR="00EC5814" w:rsidRDefault="00EC5814" w:rsidP="00987841">
      <w:pPr>
        <w:pStyle w:val="FootnoteText"/>
        <w:numPr>
          <w:ilvl w:val="0"/>
          <w:numId w:val="24"/>
        </w:numPr>
        <w:ind w:left="567" w:hanging="141"/>
      </w:pPr>
      <w:r>
        <w:t>Log of the n</w:t>
      </w:r>
      <w:r w:rsidRPr="003D7CC8">
        <w:t xml:space="preserve">umber of </w:t>
      </w:r>
      <w:r>
        <w:t>participants supported by the provider;</w:t>
      </w:r>
    </w:p>
    <w:p w14:paraId="6DD36BC6" w14:textId="77777777" w:rsidR="00EC5814" w:rsidRDefault="00EC5814" w:rsidP="00987841">
      <w:pPr>
        <w:pStyle w:val="FootnoteText"/>
        <w:numPr>
          <w:ilvl w:val="0"/>
          <w:numId w:val="24"/>
        </w:numPr>
        <w:ind w:left="567" w:hanging="141"/>
      </w:pPr>
      <w:r>
        <w:t xml:space="preserve">Average base wage paid to DSWs employed by the provider; </w:t>
      </w:r>
    </w:p>
    <w:p w14:paraId="62DA892F" w14:textId="77777777" w:rsidR="00EC5814" w:rsidRDefault="00EC5814" w:rsidP="00987841">
      <w:pPr>
        <w:pStyle w:val="FootnoteText"/>
        <w:numPr>
          <w:ilvl w:val="0"/>
          <w:numId w:val="24"/>
        </w:numPr>
        <w:ind w:left="567" w:hanging="141"/>
      </w:pPr>
      <w:r>
        <w:t>Average base wage paid to FLSs employed by the provider; and</w:t>
      </w:r>
    </w:p>
    <w:p w14:paraId="74CDAC75" w14:textId="77777777" w:rsidR="00EC5814" w:rsidRDefault="00EC5814" w:rsidP="00B62894">
      <w:pPr>
        <w:pStyle w:val="FootnoteText"/>
        <w:numPr>
          <w:ilvl w:val="0"/>
          <w:numId w:val="24"/>
        </w:numPr>
        <w:ind w:left="567" w:hanging="141"/>
      </w:pPr>
      <w:r>
        <w:t>State Dummy Variables (1 if the state is where the largest share of the provider’s revenue is derived, 0 otherwise).</w:t>
      </w:r>
    </w:p>
  </w:footnote>
  <w:footnote w:id="15">
    <w:p w14:paraId="115E0349" w14:textId="77777777" w:rsidR="00EC5814" w:rsidRDefault="00EC5814" w:rsidP="00264B60">
      <w:pPr>
        <w:pStyle w:val="FootnoteText"/>
      </w:pPr>
      <w:r>
        <w:rPr>
          <w:rStyle w:val="FootnoteReference"/>
        </w:rPr>
        <w:footnoteRef/>
      </w:r>
      <w:r>
        <w:t xml:space="preserve"> </w:t>
      </w:r>
      <w:r>
        <w:tab/>
        <w:t>The equation regresses the log of the ratio of the number of permanent workers (headcount) and casual workers (headcount) employed by a provider against:</w:t>
      </w:r>
    </w:p>
    <w:p w14:paraId="5EB0C7E2" w14:textId="77777777" w:rsidR="00EC5814" w:rsidRDefault="00EC5814" w:rsidP="00987841">
      <w:pPr>
        <w:pStyle w:val="FootnoteText"/>
        <w:numPr>
          <w:ilvl w:val="0"/>
          <w:numId w:val="24"/>
        </w:numPr>
        <w:ind w:left="567" w:hanging="141"/>
      </w:pPr>
      <w:r>
        <w:t xml:space="preserve">the </w:t>
      </w:r>
      <w:r w:rsidRPr="003D7CC8">
        <w:t>SIL provider indicator</w:t>
      </w:r>
      <w:r>
        <w:t xml:space="preserve"> variable (1 if the provider delivers SIL, 0 otherwise);</w:t>
      </w:r>
    </w:p>
    <w:p w14:paraId="3EF10411" w14:textId="77777777" w:rsidR="00EC5814" w:rsidRDefault="00EC5814" w:rsidP="00987841">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3F35C748" w14:textId="77777777" w:rsidR="00EC5814" w:rsidRDefault="00EC5814" w:rsidP="00987841">
      <w:pPr>
        <w:pStyle w:val="FootnoteText"/>
        <w:numPr>
          <w:ilvl w:val="0"/>
          <w:numId w:val="24"/>
        </w:numPr>
        <w:ind w:left="567" w:hanging="141"/>
      </w:pPr>
      <w:r>
        <w:t>Log of the n</w:t>
      </w:r>
      <w:r w:rsidRPr="003D7CC8">
        <w:t xml:space="preserve">umber of </w:t>
      </w:r>
      <w:r>
        <w:t>participants supported by the provider;</w:t>
      </w:r>
    </w:p>
    <w:p w14:paraId="0D2AFD76" w14:textId="77777777" w:rsidR="00EC5814" w:rsidRDefault="00EC5814" w:rsidP="00987841">
      <w:pPr>
        <w:pStyle w:val="FootnoteText"/>
        <w:numPr>
          <w:ilvl w:val="0"/>
          <w:numId w:val="24"/>
        </w:numPr>
        <w:ind w:left="567" w:hanging="141"/>
      </w:pPr>
      <w:r>
        <w:t xml:space="preserve">Log of the Average base wage paid to DSWs employed by the provider; </w:t>
      </w:r>
    </w:p>
    <w:p w14:paraId="454A4559" w14:textId="77777777" w:rsidR="00EC5814" w:rsidRDefault="00EC5814" w:rsidP="00987841">
      <w:pPr>
        <w:pStyle w:val="FootnoteText"/>
        <w:numPr>
          <w:ilvl w:val="0"/>
          <w:numId w:val="24"/>
        </w:numPr>
        <w:ind w:left="567" w:hanging="141"/>
      </w:pPr>
      <w:r>
        <w:t xml:space="preserve">Average base wage paid to FLSs employed by the provider; </w:t>
      </w:r>
    </w:p>
    <w:p w14:paraId="4D534AFC" w14:textId="77777777" w:rsidR="00EC5814" w:rsidRDefault="00EC5814" w:rsidP="00987841">
      <w:pPr>
        <w:pStyle w:val="FootnoteText"/>
        <w:numPr>
          <w:ilvl w:val="0"/>
          <w:numId w:val="24"/>
        </w:numPr>
        <w:ind w:left="567" w:hanging="141"/>
      </w:pPr>
      <w:r>
        <w:t>Log of the ratio of the number of DSWs (headcount) and FLSs (headcount) employed by the provider;</w:t>
      </w:r>
    </w:p>
    <w:p w14:paraId="0F7095B8" w14:textId="77777777" w:rsidR="00EC5814" w:rsidRDefault="00EC5814" w:rsidP="00987841">
      <w:pPr>
        <w:pStyle w:val="FootnoteText"/>
        <w:numPr>
          <w:ilvl w:val="0"/>
          <w:numId w:val="24"/>
        </w:numPr>
        <w:ind w:left="567" w:hanging="141"/>
      </w:pPr>
      <w:r>
        <w:t>Percentage of l</w:t>
      </w:r>
      <w:r w:rsidRPr="001E4D55">
        <w:t>abour time spent on billable work</w:t>
      </w:r>
      <w:r>
        <w:t xml:space="preserve"> by DSWs employed by the provider;</w:t>
      </w:r>
    </w:p>
    <w:p w14:paraId="6D2C6418" w14:textId="77777777" w:rsidR="00EC5814" w:rsidRDefault="00EC5814" w:rsidP="00987841">
      <w:pPr>
        <w:pStyle w:val="FootnoteText"/>
        <w:numPr>
          <w:ilvl w:val="0"/>
          <w:numId w:val="24"/>
        </w:numPr>
        <w:ind w:left="567" w:hanging="141"/>
      </w:pPr>
      <w:r>
        <w:t>Percentage of l</w:t>
      </w:r>
      <w:r w:rsidRPr="001E4D55">
        <w:t xml:space="preserve">abour time spent on </w:t>
      </w:r>
      <w:r>
        <w:t>training by DSWs employed by the provider;</w:t>
      </w:r>
    </w:p>
    <w:p w14:paraId="5B08EC05" w14:textId="77777777" w:rsidR="00EC5814" w:rsidRDefault="00EC5814" w:rsidP="00987841">
      <w:pPr>
        <w:pStyle w:val="FootnoteText"/>
        <w:numPr>
          <w:ilvl w:val="0"/>
          <w:numId w:val="24"/>
        </w:numPr>
        <w:ind w:left="567" w:hanging="141"/>
      </w:pPr>
      <w:r>
        <w:t>Percentage of l</w:t>
      </w:r>
      <w:r w:rsidRPr="001E4D55">
        <w:t xml:space="preserve">abour time spent on client </w:t>
      </w:r>
      <w:r>
        <w:t xml:space="preserve">administration by DSWs employed by the provider; and </w:t>
      </w:r>
    </w:p>
    <w:p w14:paraId="00536D0A" w14:textId="77777777" w:rsidR="00EC5814" w:rsidRDefault="00EC5814" w:rsidP="00B62894">
      <w:pPr>
        <w:pStyle w:val="FootnoteText"/>
        <w:numPr>
          <w:ilvl w:val="0"/>
          <w:numId w:val="24"/>
        </w:numPr>
        <w:ind w:left="567" w:hanging="141"/>
      </w:pPr>
      <w:r>
        <w:t>Percentage of l</w:t>
      </w:r>
      <w:r w:rsidRPr="001E4D55">
        <w:t xml:space="preserve">abour time spent on </w:t>
      </w:r>
      <w:r>
        <w:t>general</w:t>
      </w:r>
      <w:r w:rsidRPr="001E4D55">
        <w:t xml:space="preserve"> </w:t>
      </w:r>
      <w:r>
        <w:t>administration by DSWs employed by the provider.</w:t>
      </w:r>
    </w:p>
  </w:footnote>
  <w:footnote w:id="16">
    <w:p w14:paraId="1B8AB75B" w14:textId="77777777" w:rsidR="00EC5814" w:rsidRDefault="00EC5814" w:rsidP="001E4D55">
      <w:pPr>
        <w:pStyle w:val="FootnoteText"/>
      </w:pPr>
      <w:r>
        <w:rPr>
          <w:rStyle w:val="FootnoteReference"/>
        </w:rPr>
        <w:footnoteRef/>
      </w:r>
      <w:r>
        <w:t xml:space="preserve"> </w:t>
      </w:r>
      <w:r>
        <w:tab/>
        <w:t xml:space="preserve">The equation regresses the </w:t>
      </w:r>
      <w:r w:rsidRPr="001E4D55">
        <w:t xml:space="preserve">percentage of labour time that is spent </w:t>
      </w:r>
      <w:r>
        <w:t>by DSWs employed by the provider on billable work against:</w:t>
      </w:r>
    </w:p>
    <w:p w14:paraId="33A8E3AB" w14:textId="77777777" w:rsidR="00EC5814" w:rsidRDefault="00EC5814" w:rsidP="00987841">
      <w:pPr>
        <w:pStyle w:val="FootnoteText"/>
        <w:numPr>
          <w:ilvl w:val="0"/>
          <w:numId w:val="24"/>
        </w:numPr>
        <w:ind w:left="567" w:hanging="141"/>
      </w:pPr>
      <w:r>
        <w:t xml:space="preserve">the </w:t>
      </w:r>
      <w:r w:rsidRPr="003D7CC8">
        <w:t>SIL provider indicator</w:t>
      </w:r>
      <w:r>
        <w:t xml:space="preserve"> variable (1 if the provider delivers SIL, 0 otherwise);</w:t>
      </w:r>
    </w:p>
    <w:p w14:paraId="7132F587" w14:textId="77777777" w:rsidR="00EC5814" w:rsidRDefault="00EC5814" w:rsidP="00987841">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4B023726" w14:textId="77777777" w:rsidR="00EC5814" w:rsidRDefault="00EC5814" w:rsidP="00987841">
      <w:pPr>
        <w:pStyle w:val="FootnoteText"/>
        <w:numPr>
          <w:ilvl w:val="0"/>
          <w:numId w:val="24"/>
        </w:numPr>
        <w:ind w:left="567" w:hanging="141"/>
      </w:pPr>
      <w:r>
        <w:t>the square of the p</w:t>
      </w:r>
      <w:r w:rsidRPr="003D7CC8">
        <w:t xml:space="preserve">ercentage of </w:t>
      </w:r>
      <w:r>
        <w:t xml:space="preserve">the provider’s </w:t>
      </w:r>
      <w:r w:rsidRPr="003D7CC8">
        <w:t>revenue sourced from SIL</w:t>
      </w:r>
      <w:r>
        <w:t>;</w:t>
      </w:r>
    </w:p>
    <w:p w14:paraId="2F0A976E" w14:textId="77777777" w:rsidR="00EC5814" w:rsidRDefault="00EC5814" w:rsidP="00987841">
      <w:pPr>
        <w:pStyle w:val="FootnoteText"/>
        <w:numPr>
          <w:ilvl w:val="0"/>
          <w:numId w:val="24"/>
        </w:numPr>
        <w:ind w:left="567" w:hanging="141"/>
      </w:pPr>
      <w:r>
        <w:t>Log of the n</w:t>
      </w:r>
      <w:r w:rsidRPr="003D7CC8">
        <w:t xml:space="preserve">umber of </w:t>
      </w:r>
      <w:r>
        <w:t>participants supported by the provider;</w:t>
      </w:r>
    </w:p>
    <w:p w14:paraId="44601CA5" w14:textId="77777777" w:rsidR="00EC5814" w:rsidRDefault="00EC5814" w:rsidP="00987841">
      <w:pPr>
        <w:pStyle w:val="FootnoteText"/>
        <w:numPr>
          <w:ilvl w:val="0"/>
          <w:numId w:val="24"/>
        </w:numPr>
        <w:ind w:left="567" w:hanging="141"/>
      </w:pPr>
      <w:r>
        <w:t>Log of the number of FLSs employed by the provider;</w:t>
      </w:r>
    </w:p>
    <w:p w14:paraId="3637BCEF" w14:textId="77777777" w:rsidR="00EC5814" w:rsidRDefault="00EC5814" w:rsidP="00987841">
      <w:pPr>
        <w:pStyle w:val="FootnoteText"/>
        <w:numPr>
          <w:ilvl w:val="0"/>
          <w:numId w:val="24"/>
        </w:numPr>
        <w:ind w:left="567" w:hanging="141"/>
      </w:pPr>
      <w:r>
        <w:t>Log of the number of DSWs employed by the provider;</w:t>
      </w:r>
    </w:p>
    <w:p w14:paraId="1357F23F" w14:textId="77777777" w:rsidR="00EC5814" w:rsidRDefault="00EC5814" w:rsidP="00987841">
      <w:pPr>
        <w:pStyle w:val="FootnoteText"/>
        <w:numPr>
          <w:ilvl w:val="0"/>
          <w:numId w:val="24"/>
        </w:numPr>
        <w:ind w:left="567" w:hanging="141"/>
      </w:pPr>
      <w:r>
        <w:t>Average base wage paid to FLSs employed by the provider; and</w:t>
      </w:r>
    </w:p>
    <w:p w14:paraId="2FF51110" w14:textId="77777777" w:rsidR="00EC5814" w:rsidRDefault="00EC5814" w:rsidP="00B62894">
      <w:pPr>
        <w:pStyle w:val="FootnoteText"/>
        <w:numPr>
          <w:ilvl w:val="0"/>
          <w:numId w:val="24"/>
        </w:numPr>
        <w:ind w:left="567" w:hanging="141"/>
      </w:pPr>
      <w:r>
        <w:t>Average base wage paid to DSWs employed by the provider.</w:t>
      </w:r>
    </w:p>
  </w:footnote>
  <w:footnote w:id="17">
    <w:p w14:paraId="679C52CD" w14:textId="77777777" w:rsidR="00EC5814" w:rsidRDefault="00EC5814" w:rsidP="00674A1F">
      <w:pPr>
        <w:pStyle w:val="FootnoteText"/>
        <w:spacing w:line="240" w:lineRule="auto"/>
      </w:pPr>
      <w:r>
        <w:rPr>
          <w:rStyle w:val="FootnoteReference"/>
        </w:rPr>
        <w:footnoteRef/>
      </w:r>
      <w:r>
        <w:t xml:space="preserve"> </w:t>
      </w:r>
      <w:r>
        <w:tab/>
        <w:t xml:space="preserve">The T-test compared the mean time spent on training as a percentage of non-billable hours between providers that did offer SIL services (n=200) and providers that did not offer SIL services (n=480). P-value of right tail T-test was 0.00, indicating that SIL providers had a greater mean value than non-SIL providers at 1% significance level. </w:t>
      </w:r>
    </w:p>
  </w:footnote>
  <w:footnote w:id="18">
    <w:p w14:paraId="732160F4" w14:textId="77777777" w:rsidR="00EC5814" w:rsidRDefault="00EC5814" w:rsidP="00674A1F">
      <w:pPr>
        <w:pStyle w:val="FootnoteText"/>
      </w:pPr>
      <w:r>
        <w:rPr>
          <w:rStyle w:val="FootnoteReference"/>
        </w:rPr>
        <w:footnoteRef/>
      </w:r>
      <w:r>
        <w:t xml:space="preserve"> </w:t>
      </w:r>
      <w:r>
        <w:tab/>
        <w:t>Additional model specifications included; overhead costs as a percentage of total direct costs; direct costs; and permanent employment rates.</w:t>
      </w:r>
    </w:p>
  </w:footnote>
  <w:footnote w:id="19">
    <w:p w14:paraId="629172B7" w14:textId="77777777" w:rsidR="00EC5814" w:rsidRDefault="00EC5814" w:rsidP="001E4D55">
      <w:pPr>
        <w:pStyle w:val="FootnoteText"/>
      </w:pPr>
      <w:r>
        <w:rPr>
          <w:rStyle w:val="FootnoteReference"/>
        </w:rPr>
        <w:footnoteRef/>
      </w:r>
      <w:r>
        <w:t xml:space="preserve"> </w:t>
      </w:r>
      <w:r>
        <w:tab/>
        <w:t xml:space="preserve">The equation regresses the </w:t>
      </w:r>
      <w:r w:rsidRPr="001E4D55">
        <w:t xml:space="preserve">percentage of labour time that is spent </w:t>
      </w:r>
      <w:r>
        <w:t>by DSWs employed by the provider on training against:</w:t>
      </w:r>
    </w:p>
    <w:p w14:paraId="00EABCE9" w14:textId="77777777" w:rsidR="00EC5814" w:rsidRDefault="00EC5814" w:rsidP="00C66598">
      <w:pPr>
        <w:pStyle w:val="FootnoteText"/>
        <w:numPr>
          <w:ilvl w:val="0"/>
          <w:numId w:val="24"/>
        </w:numPr>
        <w:ind w:left="567" w:hanging="141"/>
      </w:pPr>
      <w:r>
        <w:t xml:space="preserve">the </w:t>
      </w:r>
      <w:r w:rsidRPr="003D7CC8">
        <w:t>SIL provider indicator</w:t>
      </w:r>
      <w:r>
        <w:t xml:space="preserve"> variable (1 if the provider delivers SIL, 0 otherwise);</w:t>
      </w:r>
    </w:p>
    <w:p w14:paraId="485DF5BC" w14:textId="77777777" w:rsidR="00EC5814" w:rsidRDefault="00EC5814" w:rsidP="00C66598">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57A904E3" w14:textId="77777777" w:rsidR="00EC5814" w:rsidRDefault="00EC5814" w:rsidP="00C66598">
      <w:pPr>
        <w:pStyle w:val="FootnoteText"/>
        <w:numPr>
          <w:ilvl w:val="0"/>
          <w:numId w:val="24"/>
        </w:numPr>
        <w:ind w:left="567" w:hanging="141"/>
      </w:pPr>
      <w:r>
        <w:t>Log of the n</w:t>
      </w:r>
      <w:r w:rsidRPr="003D7CC8">
        <w:t xml:space="preserve">umber of </w:t>
      </w:r>
      <w:r>
        <w:t>participants supported by the provider;</w:t>
      </w:r>
    </w:p>
    <w:p w14:paraId="0A2D6ABC" w14:textId="77777777" w:rsidR="00EC5814" w:rsidRDefault="00EC5814" w:rsidP="00C66598">
      <w:pPr>
        <w:pStyle w:val="FootnoteText"/>
        <w:numPr>
          <w:ilvl w:val="0"/>
          <w:numId w:val="24"/>
        </w:numPr>
        <w:ind w:left="567" w:hanging="141"/>
      </w:pPr>
      <w:r>
        <w:t>Log of the number of FLSs employed by the provider;</w:t>
      </w:r>
    </w:p>
    <w:p w14:paraId="0B6461DA" w14:textId="77777777" w:rsidR="00EC5814" w:rsidRDefault="00EC5814" w:rsidP="00C66598">
      <w:pPr>
        <w:pStyle w:val="FootnoteText"/>
        <w:numPr>
          <w:ilvl w:val="0"/>
          <w:numId w:val="24"/>
        </w:numPr>
        <w:ind w:left="567" w:hanging="141"/>
      </w:pPr>
      <w:r>
        <w:t>Log of the number of DSWs employed by the provider;</w:t>
      </w:r>
    </w:p>
    <w:p w14:paraId="250A9A79" w14:textId="77777777" w:rsidR="00EC5814" w:rsidRDefault="00EC5814" w:rsidP="00C66598">
      <w:pPr>
        <w:pStyle w:val="FootnoteText"/>
        <w:numPr>
          <w:ilvl w:val="0"/>
          <w:numId w:val="24"/>
        </w:numPr>
        <w:ind w:left="567" w:hanging="141"/>
      </w:pPr>
      <w:r>
        <w:t>Average base wage paid to FLSs employed by the provider; and</w:t>
      </w:r>
    </w:p>
    <w:p w14:paraId="22D4E93A" w14:textId="77777777" w:rsidR="00EC5814" w:rsidRDefault="00EC5814" w:rsidP="00B62894">
      <w:pPr>
        <w:pStyle w:val="FootnoteText"/>
        <w:numPr>
          <w:ilvl w:val="0"/>
          <w:numId w:val="24"/>
        </w:numPr>
        <w:ind w:left="567" w:hanging="141"/>
      </w:pPr>
      <w:r>
        <w:t>Average base wage paid to DSWs employed by the provider.</w:t>
      </w:r>
    </w:p>
  </w:footnote>
  <w:footnote w:id="20">
    <w:p w14:paraId="5D0424AB" w14:textId="77777777" w:rsidR="00EC5814" w:rsidRDefault="00EC5814" w:rsidP="001E4D55">
      <w:pPr>
        <w:pStyle w:val="FootnoteText"/>
      </w:pPr>
      <w:r>
        <w:rPr>
          <w:rStyle w:val="FootnoteReference"/>
        </w:rPr>
        <w:footnoteRef/>
      </w:r>
      <w:r>
        <w:t xml:space="preserve"> </w:t>
      </w:r>
      <w:r>
        <w:tab/>
        <w:t>The equation regresses the average base wages of supervisors employed by the provider against:</w:t>
      </w:r>
    </w:p>
    <w:p w14:paraId="02FFA2B8" w14:textId="77777777" w:rsidR="00EC5814" w:rsidRDefault="00EC5814" w:rsidP="00066859">
      <w:pPr>
        <w:pStyle w:val="FootnoteText"/>
        <w:numPr>
          <w:ilvl w:val="0"/>
          <w:numId w:val="24"/>
        </w:numPr>
        <w:ind w:left="567" w:hanging="141"/>
      </w:pPr>
      <w:r>
        <w:t xml:space="preserve">the </w:t>
      </w:r>
      <w:r w:rsidRPr="003D7CC8">
        <w:t>SIL provider indicator</w:t>
      </w:r>
      <w:r>
        <w:t xml:space="preserve"> variable (1 if the provider delivers SIL, 0 otherwise);</w:t>
      </w:r>
    </w:p>
    <w:p w14:paraId="24122438" w14:textId="77777777" w:rsidR="00EC5814" w:rsidRDefault="00EC5814" w:rsidP="00066859">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670434BC" w14:textId="77777777" w:rsidR="00EC5814" w:rsidRDefault="00EC5814" w:rsidP="00066859">
      <w:pPr>
        <w:pStyle w:val="FootnoteText"/>
        <w:numPr>
          <w:ilvl w:val="0"/>
          <w:numId w:val="24"/>
        </w:numPr>
        <w:ind w:left="567" w:hanging="141"/>
      </w:pPr>
      <w:r>
        <w:t>Log of the n</w:t>
      </w:r>
      <w:r w:rsidRPr="003D7CC8">
        <w:t xml:space="preserve">umber of </w:t>
      </w:r>
      <w:r>
        <w:t>participants supported by the provider;</w:t>
      </w:r>
    </w:p>
    <w:p w14:paraId="27681093" w14:textId="77777777" w:rsidR="00EC5814" w:rsidRDefault="00EC5814" w:rsidP="00066859">
      <w:pPr>
        <w:pStyle w:val="FootnoteText"/>
        <w:numPr>
          <w:ilvl w:val="0"/>
          <w:numId w:val="24"/>
        </w:numPr>
        <w:ind w:left="567" w:hanging="141"/>
      </w:pPr>
      <w:r>
        <w:t>Log of the number of DSWs employed by the provider; and</w:t>
      </w:r>
    </w:p>
    <w:p w14:paraId="5E50B00A" w14:textId="77777777" w:rsidR="00EC5814" w:rsidRDefault="00EC5814" w:rsidP="00B62894">
      <w:pPr>
        <w:pStyle w:val="FootnoteText"/>
        <w:numPr>
          <w:ilvl w:val="0"/>
          <w:numId w:val="24"/>
        </w:numPr>
        <w:ind w:left="567" w:hanging="141"/>
      </w:pPr>
      <w:r>
        <w:t>Log of the ratio of the number of FLSs (headcount) and DSWs (headcount) employed by the provider.</w:t>
      </w:r>
    </w:p>
  </w:footnote>
  <w:footnote w:id="21">
    <w:p w14:paraId="587E6B43" w14:textId="77777777" w:rsidR="00EC5814" w:rsidRDefault="00EC5814" w:rsidP="00452B36">
      <w:pPr>
        <w:pStyle w:val="FootnoteText"/>
      </w:pPr>
      <w:r>
        <w:rPr>
          <w:rStyle w:val="FootnoteReference"/>
        </w:rPr>
        <w:footnoteRef/>
      </w:r>
      <w:r>
        <w:t xml:space="preserve"> </w:t>
      </w:r>
      <w:r>
        <w:tab/>
      </w:r>
      <w:r w:rsidRPr="00BF1062">
        <w:t>The equation regresses the log of the ratio of the number of FLSs (headcount) and DSWs (headcount) employed by the provider against:</w:t>
      </w:r>
    </w:p>
    <w:p w14:paraId="04E5DE4F" w14:textId="77777777" w:rsidR="00EC5814" w:rsidRDefault="00EC5814" w:rsidP="00BF1062">
      <w:pPr>
        <w:pStyle w:val="FootnoteText"/>
        <w:numPr>
          <w:ilvl w:val="0"/>
          <w:numId w:val="24"/>
        </w:numPr>
        <w:ind w:left="567" w:hanging="141"/>
      </w:pPr>
      <w:r>
        <w:t xml:space="preserve">the </w:t>
      </w:r>
      <w:r w:rsidRPr="003D7CC8">
        <w:t>SIL provider indicator</w:t>
      </w:r>
      <w:r>
        <w:t xml:space="preserve"> variable (1 if the provider delivers SIL, 0 otherwise);</w:t>
      </w:r>
    </w:p>
    <w:p w14:paraId="018E1E92" w14:textId="77777777" w:rsidR="00EC5814" w:rsidRDefault="00EC5814" w:rsidP="00BF1062">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44377E69" w14:textId="77777777" w:rsidR="00EC5814" w:rsidRDefault="00EC5814" w:rsidP="00BF1062">
      <w:pPr>
        <w:pStyle w:val="FootnoteText"/>
        <w:numPr>
          <w:ilvl w:val="0"/>
          <w:numId w:val="24"/>
        </w:numPr>
        <w:ind w:left="567" w:hanging="141"/>
      </w:pPr>
      <w:r>
        <w:t>Log of the n</w:t>
      </w:r>
      <w:r w:rsidRPr="003D7CC8">
        <w:t xml:space="preserve">umber of </w:t>
      </w:r>
      <w:r>
        <w:t>participants supported by the provider;</w:t>
      </w:r>
    </w:p>
    <w:p w14:paraId="1FF964E7" w14:textId="77777777" w:rsidR="00EC5814" w:rsidRDefault="00EC5814" w:rsidP="00BF1062">
      <w:pPr>
        <w:pStyle w:val="FootnoteText"/>
        <w:numPr>
          <w:ilvl w:val="0"/>
          <w:numId w:val="24"/>
        </w:numPr>
        <w:ind w:left="567" w:hanging="141"/>
      </w:pPr>
      <w:r>
        <w:t>Average base wage paid to FLSs employed by the provider</w:t>
      </w:r>
    </w:p>
    <w:p w14:paraId="3DA0C04B" w14:textId="77777777" w:rsidR="00EC5814" w:rsidRDefault="00EC5814" w:rsidP="00BF1062">
      <w:pPr>
        <w:pStyle w:val="FootnoteText"/>
        <w:numPr>
          <w:ilvl w:val="0"/>
          <w:numId w:val="24"/>
        </w:numPr>
        <w:ind w:left="567" w:hanging="141"/>
      </w:pPr>
      <w:r>
        <w:t>Log of the ratio of the</w:t>
      </w:r>
      <w:r w:rsidRPr="00BF1062">
        <w:t xml:space="preserve"> </w:t>
      </w:r>
      <w:r>
        <w:t>number of DSWs employed by the provider and the n</w:t>
      </w:r>
      <w:r w:rsidRPr="003D7CC8">
        <w:t xml:space="preserve">umber of </w:t>
      </w:r>
      <w:r>
        <w:t>participants supported by the provider; and</w:t>
      </w:r>
    </w:p>
    <w:p w14:paraId="5AFDD6EF" w14:textId="77777777" w:rsidR="00EC5814" w:rsidRDefault="00EC5814" w:rsidP="00B62894">
      <w:pPr>
        <w:pStyle w:val="FootnoteText"/>
        <w:numPr>
          <w:ilvl w:val="0"/>
          <w:numId w:val="24"/>
        </w:numPr>
        <w:ind w:left="567" w:hanging="141"/>
      </w:pPr>
      <w:r>
        <w:t>Percentage of l</w:t>
      </w:r>
      <w:r w:rsidRPr="001E4D55">
        <w:t>abour time spent on billable work</w:t>
      </w:r>
      <w:r>
        <w:t xml:space="preserve"> by DSWs employed by the provider.</w:t>
      </w:r>
    </w:p>
  </w:footnote>
  <w:footnote w:id="22">
    <w:p w14:paraId="572B78EC" w14:textId="77777777" w:rsidR="00EC5814" w:rsidRDefault="00EC5814" w:rsidP="005F76D1">
      <w:pPr>
        <w:pStyle w:val="FootnoteText"/>
      </w:pPr>
      <w:r>
        <w:rPr>
          <w:rStyle w:val="FootnoteReference"/>
        </w:rPr>
        <w:footnoteRef/>
      </w:r>
      <w:r>
        <w:t xml:space="preserve"> </w:t>
      </w:r>
      <w:r>
        <w:tab/>
        <w:t>The equation regresses the log of the ratio of the o</w:t>
      </w:r>
      <w:r w:rsidRPr="005F76D1">
        <w:t xml:space="preserve">verhead costs </w:t>
      </w:r>
      <w:r>
        <w:t>of the provider to</w:t>
      </w:r>
      <w:r w:rsidRPr="005F76D1">
        <w:t xml:space="preserve"> </w:t>
      </w:r>
      <w:r>
        <w:t xml:space="preserve">the </w:t>
      </w:r>
      <w:r w:rsidRPr="005F76D1">
        <w:t xml:space="preserve">direct costs of </w:t>
      </w:r>
      <w:r>
        <w:t>the provider against:</w:t>
      </w:r>
    </w:p>
    <w:p w14:paraId="39CAD75E" w14:textId="77777777" w:rsidR="00EC5814" w:rsidRDefault="00EC5814" w:rsidP="00BF1062">
      <w:pPr>
        <w:pStyle w:val="FootnoteText"/>
        <w:numPr>
          <w:ilvl w:val="0"/>
          <w:numId w:val="24"/>
        </w:numPr>
        <w:ind w:left="567" w:hanging="141"/>
      </w:pPr>
      <w:r>
        <w:t xml:space="preserve">the </w:t>
      </w:r>
      <w:r w:rsidRPr="003D7CC8">
        <w:t>SIL provider indicator</w:t>
      </w:r>
      <w:r>
        <w:t xml:space="preserve"> variable (1 if the provider delivers SIL, 0 otherwise);</w:t>
      </w:r>
    </w:p>
    <w:p w14:paraId="35B4FEA0" w14:textId="77777777" w:rsidR="00EC5814" w:rsidRDefault="00EC5814" w:rsidP="00BF1062">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7B9912EB" w14:textId="77777777" w:rsidR="00EC5814" w:rsidRDefault="00EC5814" w:rsidP="00BF1062">
      <w:pPr>
        <w:pStyle w:val="FootnoteText"/>
        <w:numPr>
          <w:ilvl w:val="0"/>
          <w:numId w:val="24"/>
        </w:numPr>
        <w:ind w:left="567" w:hanging="141"/>
      </w:pPr>
      <w:r>
        <w:t>the square of the p</w:t>
      </w:r>
      <w:r w:rsidRPr="003D7CC8">
        <w:t xml:space="preserve">ercentage of </w:t>
      </w:r>
      <w:r>
        <w:t xml:space="preserve">the provider’s </w:t>
      </w:r>
      <w:r w:rsidRPr="003D7CC8">
        <w:t>revenue sourced from SIL</w:t>
      </w:r>
      <w:r>
        <w:t>;</w:t>
      </w:r>
    </w:p>
    <w:p w14:paraId="3A77B68F" w14:textId="77777777" w:rsidR="00EC5814" w:rsidRDefault="00EC5814" w:rsidP="00BF1062">
      <w:pPr>
        <w:pStyle w:val="FootnoteText"/>
        <w:numPr>
          <w:ilvl w:val="0"/>
          <w:numId w:val="24"/>
        </w:numPr>
        <w:ind w:left="567" w:hanging="141"/>
      </w:pPr>
      <w:r>
        <w:t>Log of the n</w:t>
      </w:r>
      <w:r w:rsidRPr="003D7CC8">
        <w:t xml:space="preserve">umber of </w:t>
      </w:r>
      <w:r>
        <w:t>participants supported by the provider;</w:t>
      </w:r>
    </w:p>
    <w:p w14:paraId="1DA36916" w14:textId="77777777" w:rsidR="00EC5814" w:rsidRDefault="00EC5814" w:rsidP="00BF1062">
      <w:pPr>
        <w:pStyle w:val="FootnoteText"/>
        <w:numPr>
          <w:ilvl w:val="0"/>
          <w:numId w:val="24"/>
        </w:numPr>
        <w:ind w:left="567" w:hanging="141"/>
      </w:pPr>
      <w:r>
        <w:t>Log of the direct costs per participant for the provider;</w:t>
      </w:r>
    </w:p>
    <w:p w14:paraId="2103425E" w14:textId="77777777" w:rsidR="00EC5814" w:rsidRDefault="00EC5814" w:rsidP="00BF1062">
      <w:pPr>
        <w:pStyle w:val="FootnoteText"/>
        <w:numPr>
          <w:ilvl w:val="0"/>
          <w:numId w:val="24"/>
        </w:numPr>
        <w:ind w:left="567" w:hanging="141"/>
      </w:pPr>
      <w:r>
        <w:t>Percentage of l</w:t>
      </w:r>
      <w:r w:rsidRPr="001E4D55">
        <w:t>abour time spent on billable work</w:t>
      </w:r>
      <w:r>
        <w:t xml:space="preserve"> by DSWs employed by the provider;</w:t>
      </w:r>
    </w:p>
    <w:p w14:paraId="1515CDAB" w14:textId="77777777" w:rsidR="00EC5814" w:rsidRDefault="00EC5814" w:rsidP="00BF1062">
      <w:pPr>
        <w:pStyle w:val="FootnoteText"/>
        <w:numPr>
          <w:ilvl w:val="0"/>
          <w:numId w:val="24"/>
        </w:numPr>
        <w:ind w:left="567" w:hanging="141"/>
      </w:pPr>
      <w:r>
        <w:t>Log of the ratio of the number of FLSs (headcount) and DSWs (headcount) employed by the provider;</w:t>
      </w:r>
    </w:p>
    <w:p w14:paraId="007FD179" w14:textId="77777777" w:rsidR="00EC5814" w:rsidRDefault="00EC5814" w:rsidP="00BF1062">
      <w:pPr>
        <w:pStyle w:val="FootnoteText"/>
        <w:numPr>
          <w:ilvl w:val="0"/>
          <w:numId w:val="24"/>
        </w:numPr>
        <w:ind w:left="567" w:hanging="141"/>
      </w:pPr>
      <w:r>
        <w:t>Average base wage paid to FLSs employed by the provider; and</w:t>
      </w:r>
    </w:p>
    <w:p w14:paraId="4293B2D9" w14:textId="77777777" w:rsidR="00EC5814" w:rsidRDefault="00EC5814" w:rsidP="00B62894">
      <w:pPr>
        <w:pStyle w:val="FootnoteText"/>
        <w:numPr>
          <w:ilvl w:val="0"/>
          <w:numId w:val="24"/>
        </w:numPr>
        <w:ind w:left="567" w:hanging="141"/>
      </w:pPr>
      <w:r>
        <w:t>Average base wage paid to DSWs employed by the provider.</w:t>
      </w:r>
    </w:p>
  </w:footnote>
  <w:footnote w:id="23">
    <w:p w14:paraId="6BB099B4" w14:textId="77777777" w:rsidR="00EC5814" w:rsidRDefault="00EC5814" w:rsidP="00D0240D">
      <w:pPr>
        <w:pStyle w:val="FootnoteText"/>
      </w:pPr>
      <w:r>
        <w:rPr>
          <w:rStyle w:val="FootnoteReference"/>
        </w:rPr>
        <w:footnoteRef/>
      </w:r>
      <w:r>
        <w:t xml:space="preserve"> </w:t>
      </w:r>
      <w:r>
        <w:tab/>
        <w:t>NDIA, Office of the Scheme Actuary, data current as at 30 June 2020</w:t>
      </w:r>
    </w:p>
  </w:footnote>
  <w:footnote w:id="24">
    <w:p w14:paraId="374108E6" w14:textId="77777777" w:rsidR="00EC5814" w:rsidRDefault="00EC5814" w:rsidP="005B3F40">
      <w:pPr>
        <w:pStyle w:val="FootnoteText"/>
        <w:rPr>
          <w:rFonts w:cstheme="minorHAnsi"/>
          <w:szCs w:val="18"/>
        </w:rPr>
      </w:pPr>
      <w:r w:rsidRPr="0081472E">
        <w:rPr>
          <w:rStyle w:val="FootnoteReference"/>
          <w:rFonts w:cstheme="minorHAnsi"/>
          <w:szCs w:val="18"/>
        </w:rPr>
        <w:footnoteRef/>
      </w:r>
      <w:r w:rsidRPr="0081472E">
        <w:rPr>
          <w:rFonts w:cstheme="minorHAnsi"/>
          <w:szCs w:val="18"/>
        </w:rPr>
        <w:t xml:space="preserve"> </w:t>
      </w:r>
      <w:r>
        <w:rPr>
          <w:rFonts w:cstheme="minorHAnsi"/>
          <w:szCs w:val="18"/>
        </w:rPr>
        <w:tab/>
      </w:r>
      <w:hyperlink r:id="rId6" w:history="1">
        <w:r w:rsidRPr="0081472E">
          <w:rPr>
            <w:rStyle w:val="Hyperlink"/>
            <w:rFonts w:cstheme="minorHAnsi"/>
            <w:szCs w:val="18"/>
          </w:rPr>
          <w:t>https://blcw.dss.gov.au/</w:t>
        </w:r>
      </w:hyperlink>
      <w:r w:rsidRPr="0081472E">
        <w:rPr>
          <w:rFonts w:cstheme="minorHAnsi"/>
          <w:szCs w:val="18"/>
        </w:rPr>
        <w:t xml:space="preserve">. </w:t>
      </w:r>
    </w:p>
    <w:p w14:paraId="54FF2B3B" w14:textId="77777777" w:rsidR="00EC5814" w:rsidRPr="0081472E" w:rsidRDefault="00EC5814" w:rsidP="005B3F40">
      <w:pPr>
        <w:pStyle w:val="FootnoteText"/>
        <w:ind w:firstLine="0"/>
        <w:rPr>
          <w:lang w:eastAsia="en-AU"/>
        </w:rPr>
      </w:pPr>
      <w:r w:rsidRPr="0081472E">
        <w:rPr>
          <w:lang w:eastAsia="en-AU"/>
        </w:rPr>
        <w:t xml:space="preserve">The Boosting the Local Care Workforce Program (BLCW Program) is funded by the Department of Social Services </w:t>
      </w:r>
      <w:r>
        <w:rPr>
          <w:lang w:eastAsia="en-AU"/>
        </w:rPr>
        <w:t>and</w:t>
      </w:r>
      <w:r w:rsidRPr="0081472E">
        <w:rPr>
          <w:lang w:eastAsia="en-AU"/>
        </w:rPr>
        <w:t xml:space="preserve"> delivered by Ernst &amp; Young, with the First Peoples Disability Network (Australia), and the Community S</w:t>
      </w:r>
      <w:r>
        <w:rPr>
          <w:lang w:eastAsia="en-AU"/>
        </w:rPr>
        <w:t xml:space="preserve">ervices Industry Alliance. </w:t>
      </w:r>
      <w:r w:rsidRPr="0081472E">
        <w:rPr>
          <w:lang w:eastAsia="en-AU"/>
        </w:rPr>
        <w:t>The BLCW Program aims to develop the capacity of disability and aged care service providers to operate effectively and expand their workforce.</w:t>
      </w:r>
    </w:p>
    <w:p w14:paraId="5C2A61CE" w14:textId="77777777" w:rsidR="00EC5814" w:rsidRPr="0081472E" w:rsidRDefault="00EC5814" w:rsidP="005B3F40">
      <w:pPr>
        <w:pStyle w:val="FootnoteText"/>
        <w:ind w:firstLine="0"/>
        <w:rPr>
          <w:rFonts w:cstheme="minorHAnsi"/>
          <w:color w:val="44464E"/>
          <w:szCs w:val="18"/>
          <w:lang w:eastAsia="en-AU"/>
        </w:rPr>
      </w:pPr>
      <w:r w:rsidRPr="0081472E">
        <w:rPr>
          <w:rFonts w:cstheme="minorHAnsi"/>
          <w:color w:val="44464E"/>
          <w:szCs w:val="18"/>
          <w:lang w:eastAsia="en-AU"/>
        </w:rPr>
        <w:t xml:space="preserve">The </w:t>
      </w:r>
      <w:r w:rsidRPr="00767876">
        <w:rPr>
          <w:rFonts w:cstheme="minorHAnsi"/>
          <w:szCs w:val="18"/>
        </w:rPr>
        <w:t>BLCW</w:t>
      </w:r>
      <w:r w:rsidRPr="00767876">
        <w:rPr>
          <w:rFonts w:cstheme="minorHAnsi"/>
          <w:szCs w:val="18"/>
          <w:lang w:eastAsia="en-AU"/>
        </w:rPr>
        <w:t xml:space="preserve"> Program has three main objectives:</w:t>
      </w:r>
    </w:p>
    <w:p w14:paraId="60F700D6" w14:textId="77777777" w:rsidR="00EC5814" w:rsidRPr="005B3F40" w:rsidRDefault="00EC5814" w:rsidP="005B3F40">
      <w:pPr>
        <w:pStyle w:val="FootnoteText"/>
        <w:numPr>
          <w:ilvl w:val="0"/>
          <w:numId w:val="29"/>
        </w:numPr>
        <w:rPr>
          <w:rFonts w:cstheme="minorHAnsi"/>
          <w:szCs w:val="18"/>
        </w:rPr>
      </w:pPr>
      <w:r w:rsidRPr="005B3F40">
        <w:rPr>
          <w:rFonts w:cstheme="minorHAnsi"/>
          <w:szCs w:val="18"/>
        </w:rPr>
        <w:t>Reduce barriers that impact providers’ ability and willingness to start, continue or grow their service offer.</w:t>
      </w:r>
    </w:p>
    <w:p w14:paraId="7EE80C3F" w14:textId="77777777" w:rsidR="00EC5814" w:rsidRPr="005B3F40" w:rsidRDefault="00EC5814" w:rsidP="005B3F40">
      <w:pPr>
        <w:pStyle w:val="FootnoteText"/>
        <w:numPr>
          <w:ilvl w:val="0"/>
          <w:numId w:val="29"/>
        </w:numPr>
        <w:rPr>
          <w:rFonts w:cstheme="minorHAnsi"/>
          <w:szCs w:val="18"/>
        </w:rPr>
      </w:pPr>
      <w:r w:rsidRPr="005B3F40">
        <w:rPr>
          <w:rFonts w:cstheme="minorHAnsi"/>
          <w:szCs w:val="18"/>
        </w:rPr>
        <w:t>Improve the operation and efficiency of labour markets by better matching supply and demand through measures such as providing information, resources and links to relevant government programs.</w:t>
      </w:r>
    </w:p>
    <w:p w14:paraId="272ACC6B" w14:textId="77777777" w:rsidR="00EC5814" w:rsidRPr="0081472E" w:rsidRDefault="00EC5814" w:rsidP="005B3F40">
      <w:pPr>
        <w:pStyle w:val="FootnoteText"/>
        <w:numPr>
          <w:ilvl w:val="0"/>
          <w:numId w:val="29"/>
        </w:numPr>
        <w:rPr>
          <w:rFonts w:ascii="Georgia" w:hAnsi="Georgia"/>
          <w:color w:val="44464E"/>
          <w:sz w:val="24"/>
          <w:szCs w:val="24"/>
          <w:lang w:eastAsia="en-AU"/>
        </w:rPr>
      </w:pPr>
      <w:r w:rsidRPr="005B3F40">
        <w:rPr>
          <w:rFonts w:cstheme="minorHAnsi"/>
          <w:szCs w:val="18"/>
        </w:rPr>
        <w:t>Provide local</w:t>
      </w:r>
      <w:r w:rsidRPr="0081472E">
        <w:rPr>
          <w:rFonts w:cstheme="minorHAnsi"/>
          <w:color w:val="44464E"/>
          <w:szCs w:val="18"/>
          <w:lang w:eastAsia="en-AU"/>
        </w:rPr>
        <w:t>-level knowledge on the disability and aged care service provider and workforce markets.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67D7"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17990"/>
      <w:docPartObj>
        <w:docPartGallery w:val="Watermarks"/>
        <w:docPartUnique/>
      </w:docPartObj>
    </w:sdtPr>
    <w:sdtEndPr/>
    <w:sdtContent>
      <w:p w14:paraId="623B7506" w14:textId="77777777" w:rsidR="00EC5814" w:rsidRDefault="00935584">
        <w:pPr>
          <w:pStyle w:val="Header"/>
        </w:pPr>
        <w:r>
          <w:rPr>
            <w:noProof/>
            <w:lang w:val="en-US"/>
          </w:rPr>
          <w:pict w14:anchorId="242EC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45BA"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48E7"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7063"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C7474"/>
    <w:multiLevelType w:val="multilevel"/>
    <w:tmpl w:val="8A7E8CD4"/>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1" w15:restartNumberingAfterBreak="0">
    <w:nsid w:val="1BC64362"/>
    <w:multiLevelType w:val="hybridMultilevel"/>
    <w:tmpl w:val="AE6A94A0"/>
    <w:lvl w:ilvl="0" w:tplc="371C758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117725"/>
    <w:multiLevelType w:val="hybridMultilevel"/>
    <w:tmpl w:val="318C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5B5BCF"/>
    <w:multiLevelType w:val="hybridMultilevel"/>
    <w:tmpl w:val="B4385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473B2"/>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5" w15:restartNumberingAfterBreak="0">
    <w:nsid w:val="1F5F3502"/>
    <w:multiLevelType w:val="hybridMultilevel"/>
    <w:tmpl w:val="8E9A4DB4"/>
    <w:lvl w:ilvl="0" w:tplc="73CA7A0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0D37EC"/>
    <w:multiLevelType w:val="hybridMultilevel"/>
    <w:tmpl w:val="23FE1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6A6"/>
    <w:multiLevelType w:val="hybridMultilevel"/>
    <w:tmpl w:val="31CCAB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9" w15:restartNumberingAfterBreak="0">
    <w:nsid w:val="2E291239"/>
    <w:multiLevelType w:val="hybridMultilevel"/>
    <w:tmpl w:val="C62AC0AE"/>
    <w:lvl w:ilvl="0" w:tplc="A776DF44">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FEB049E"/>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11" w15:restartNumberingAfterBreak="0">
    <w:nsid w:val="306263E0"/>
    <w:multiLevelType w:val="hybridMultilevel"/>
    <w:tmpl w:val="A228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C31473"/>
    <w:multiLevelType w:val="hybridMultilevel"/>
    <w:tmpl w:val="EA66E5E6"/>
    <w:lvl w:ilvl="0" w:tplc="9482DF60">
      <w:start w:val="1"/>
      <w:numFmt w:val="decimal"/>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suff w:val="nothing"/>
      <w:lvlText w:val="Table %1.%7"/>
      <w:lvlJc w:val="left"/>
      <w:pPr>
        <w:ind w:left="0" w:firstLine="0"/>
      </w:pPr>
      <w:rPr>
        <w:rFonts w:hint="default"/>
      </w:rPr>
    </w:lvl>
    <w:lvl w:ilvl="7">
      <w:start w:val="1"/>
      <w:numFmt w:val="decimal"/>
      <w:lvlRestart w:val="1"/>
      <w:suff w:val="nothing"/>
      <w:lvlText w:val="Chart %1.%8"/>
      <w:lvlJc w:val="left"/>
      <w:pPr>
        <w:ind w:left="0" w:firstLine="0"/>
      </w:pPr>
      <w:rPr>
        <w:rFonts w:hint="default"/>
      </w:rPr>
    </w:lvl>
    <w:lvl w:ilvl="8">
      <w:start w:val="1"/>
      <w:numFmt w:val="decimal"/>
      <w:lvlRestart w:val="1"/>
      <w:suff w:val="nothing"/>
      <w:lvlText w:val="Figure %1.%9"/>
      <w:lvlJc w:val="left"/>
      <w:pPr>
        <w:ind w:left="0" w:firstLine="0"/>
      </w:pPr>
      <w:rPr>
        <w:rFonts w:hint="default"/>
      </w:rPr>
    </w:lvl>
  </w:abstractNum>
  <w:abstractNum w:abstractNumId="14" w15:restartNumberingAfterBreak="0">
    <w:nsid w:val="49F44DE7"/>
    <w:multiLevelType w:val="hybridMultilevel"/>
    <w:tmpl w:val="A6D0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FE2189"/>
    <w:multiLevelType w:val="multilevel"/>
    <w:tmpl w:val="577802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lvlText w:val=""/>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E1548DB"/>
    <w:multiLevelType w:val="multilevel"/>
    <w:tmpl w:val="9B545BC0"/>
    <w:lvl w:ilvl="0">
      <w:start w:val="1"/>
      <w:numFmt w:val="bullet"/>
      <w:lvlText w:val=""/>
      <w:lvlJc w:val="left"/>
      <w:pPr>
        <w:ind w:left="425" w:hanging="141"/>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17" w15:restartNumberingAfterBreak="0">
    <w:nsid w:val="50F16C01"/>
    <w:multiLevelType w:val="multilevel"/>
    <w:tmpl w:val="96F495BE"/>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3BC1006"/>
    <w:multiLevelType w:val="multilevel"/>
    <w:tmpl w:val="A646625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4D6811"/>
    <w:multiLevelType w:val="hybridMultilevel"/>
    <w:tmpl w:val="2956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1F71EA"/>
    <w:multiLevelType w:val="hybridMultilevel"/>
    <w:tmpl w:val="31CCAB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1D3EAC"/>
    <w:multiLevelType w:val="hybridMultilevel"/>
    <w:tmpl w:val="01906A24"/>
    <w:lvl w:ilvl="0" w:tplc="0C09001B">
      <w:start w:val="1"/>
      <w:numFmt w:val="lowerRoman"/>
      <w:lvlText w:val="%1."/>
      <w:lvlJc w:val="right"/>
      <w:pPr>
        <w:ind w:left="1352" w:hanging="360"/>
      </w:p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2" w15:restartNumberingAfterBreak="0">
    <w:nsid w:val="65220785"/>
    <w:multiLevelType w:val="hybridMultilevel"/>
    <w:tmpl w:val="66E61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1E0DC5"/>
    <w:multiLevelType w:val="hybridMultilevel"/>
    <w:tmpl w:val="CA8E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5255A4"/>
    <w:multiLevelType w:val="hybridMultilevel"/>
    <w:tmpl w:val="C6008EA6"/>
    <w:lvl w:ilvl="0" w:tplc="02C6CF7E">
      <w:start w:val="1"/>
      <w:numFmt w:val="bulle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B40E95"/>
    <w:multiLevelType w:val="hybridMultilevel"/>
    <w:tmpl w:val="44C21D0C"/>
    <w:lvl w:ilvl="0" w:tplc="7A569CDC">
      <w:start w:val="1"/>
      <w:numFmt w:val="bullet"/>
      <w:lvlText w:val=""/>
      <w:lvlJc w:val="left"/>
      <w:pPr>
        <w:ind w:left="851" w:hanging="283"/>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9757431"/>
    <w:multiLevelType w:val="hybridMultilevel"/>
    <w:tmpl w:val="23967914"/>
    <w:lvl w:ilvl="0" w:tplc="C170673C">
      <w:start w:val="1"/>
      <w:numFmt w:val="bullet"/>
      <w:pStyle w:val="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94E95"/>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28" w15:restartNumberingAfterBreak="0">
    <w:nsid w:val="6E5C15FF"/>
    <w:multiLevelType w:val="hybridMultilevel"/>
    <w:tmpl w:val="0E5C4790"/>
    <w:lvl w:ilvl="0" w:tplc="E0BE6766">
      <w:start w:val="2"/>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9" w15:restartNumberingAfterBreak="0">
    <w:nsid w:val="717A2BD7"/>
    <w:multiLevelType w:val="hybridMultilevel"/>
    <w:tmpl w:val="001A3E96"/>
    <w:lvl w:ilvl="0" w:tplc="7A569CDC">
      <w:start w:val="1"/>
      <w:numFmt w:val="bullet"/>
      <w:lvlText w:val=""/>
      <w:lvlJc w:val="left"/>
      <w:pPr>
        <w:ind w:left="567" w:hanging="283"/>
      </w:pPr>
      <w:rPr>
        <w:rFonts w:ascii="Symbol" w:hAnsi="Symbol" w:hint="default"/>
      </w:rPr>
    </w:lvl>
    <w:lvl w:ilvl="1" w:tplc="6E02AA12">
      <w:numFmt w:val="bullet"/>
      <w:lvlText w:val="•"/>
      <w:lvlJc w:val="left"/>
      <w:pPr>
        <w:ind w:left="851" w:hanging="284"/>
      </w:pPr>
      <w:rPr>
        <w:rFonts w:ascii="Arial" w:eastAsiaTheme="minorHAnsi"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B7339F"/>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31" w15:restartNumberingAfterBreak="0">
    <w:nsid w:val="72BA151C"/>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32" w15:restartNumberingAfterBreak="0">
    <w:nsid w:val="78216567"/>
    <w:multiLevelType w:val="hybridMultilevel"/>
    <w:tmpl w:val="EE3C1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3"/>
  </w:num>
  <w:num w:numId="5">
    <w:abstractNumId w:val="0"/>
  </w:num>
  <w:num w:numId="6">
    <w:abstractNumId w:val="24"/>
  </w:num>
  <w:num w:numId="7">
    <w:abstractNumId w:val="4"/>
  </w:num>
  <w:num w:numId="8">
    <w:abstractNumId w:val="5"/>
  </w:num>
  <w:num w:numId="9">
    <w:abstractNumId w:val="29"/>
  </w:num>
  <w:num w:numId="10">
    <w:abstractNumId w:val="14"/>
  </w:num>
  <w:num w:numId="11">
    <w:abstractNumId w:val="19"/>
  </w:num>
  <w:num w:numId="12">
    <w:abstractNumId w:val="12"/>
  </w:num>
  <w:num w:numId="13">
    <w:abstractNumId w:val="23"/>
  </w:num>
  <w:num w:numId="14">
    <w:abstractNumId w:val="2"/>
  </w:num>
  <w:num w:numId="15">
    <w:abstractNumId w:val="3"/>
  </w:num>
  <w:num w:numId="16">
    <w:abstractNumId w:val="22"/>
  </w:num>
  <w:num w:numId="17">
    <w:abstractNumId w:val="17"/>
  </w:num>
  <w:num w:numId="18">
    <w:abstractNumId w:val="11"/>
  </w:num>
  <w:num w:numId="19">
    <w:abstractNumId w:val="15"/>
  </w:num>
  <w:num w:numId="20">
    <w:abstractNumId w:val="30"/>
  </w:num>
  <w:num w:numId="21">
    <w:abstractNumId w:val="27"/>
  </w:num>
  <w:num w:numId="22">
    <w:abstractNumId w:val="9"/>
  </w:num>
  <w:num w:numId="23">
    <w:abstractNumId w:val="10"/>
  </w:num>
  <w:num w:numId="24">
    <w:abstractNumId w:val="31"/>
  </w:num>
  <w:num w:numId="25">
    <w:abstractNumId w:val="24"/>
  </w:num>
  <w:num w:numId="26">
    <w:abstractNumId w:val="24"/>
  </w:num>
  <w:num w:numId="27">
    <w:abstractNumId w:val="24"/>
  </w:num>
  <w:num w:numId="28">
    <w:abstractNumId w:val="24"/>
  </w:num>
  <w:num w:numId="29">
    <w:abstractNumId w:val="25"/>
  </w:num>
  <w:num w:numId="30">
    <w:abstractNumId w:val="16"/>
  </w:num>
  <w:num w:numId="31">
    <w:abstractNumId w:val="32"/>
  </w:num>
  <w:num w:numId="32">
    <w:abstractNumId w:val="26"/>
  </w:num>
  <w:num w:numId="33">
    <w:abstractNumId w:val="7"/>
  </w:num>
  <w:num w:numId="34">
    <w:abstractNumId w:val="21"/>
  </w:num>
  <w:num w:numId="35">
    <w:abstractNumId w:val="20"/>
  </w:num>
  <w:num w:numId="36">
    <w:abstractNumId w:val="28"/>
  </w:num>
  <w:num w:numId="37">
    <w:abstractNumId w:val="6"/>
  </w:num>
  <w:num w:numId="38">
    <w:abstractNumId w:val="15"/>
  </w:num>
  <w:num w:numId="39">
    <w:abstractNumId w:val="15"/>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890"/>
    <w:rsid w:val="00000F31"/>
    <w:rsid w:val="000010BA"/>
    <w:rsid w:val="00001ECC"/>
    <w:rsid w:val="00005261"/>
    <w:rsid w:val="000053F1"/>
    <w:rsid w:val="00005BD6"/>
    <w:rsid w:val="00007893"/>
    <w:rsid w:val="000111F9"/>
    <w:rsid w:val="000115F5"/>
    <w:rsid w:val="00012F44"/>
    <w:rsid w:val="0001457D"/>
    <w:rsid w:val="00016B3F"/>
    <w:rsid w:val="00016CBE"/>
    <w:rsid w:val="00016DF7"/>
    <w:rsid w:val="00016E09"/>
    <w:rsid w:val="0001758C"/>
    <w:rsid w:val="00017D16"/>
    <w:rsid w:val="00017EEA"/>
    <w:rsid w:val="0002143F"/>
    <w:rsid w:val="00024574"/>
    <w:rsid w:val="00024FCC"/>
    <w:rsid w:val="00025C84"/>
    <w:rsid w:val="00026305"/>
    <w:rsid w:val="00030A07"/>
    <w:rsid w:val="0003160A"/>
    <w:rsid w:val="00033914"/>
    <w:rsid w:val="0003428F"/>
    <w:rsid w:val="000346D0"/>
    <w:rsid w:val="000359B3"/>
    <w:rsid w:val="00035F62"/>
    <w:rsid w:val="00037BA3"/>
    <w:rsid w:val="00042B53"/>
    <w:rsid w:val="00042DC8"/>
    <w:rsid w:val="0004301D"/>
    <w:rsid w:val="000433B9"/>
    <w:rsid w:val="00043493"/>
    <w:rsid w:val="000457AF"/>
    <w:rsid w:val="00045E36"/>
    <w:rsid w:val="00050895"/>
    <w:rsid w:val="00052911"/>
    <w:rsid w:val="00053180"/>
    <w:rsid w:val="00053A0A"/>
    <w:rsid w:val="00053CEC"/>
    <w:rsid w:val="0005426C"/>
    <w:rsid w:val="00055159"/>
    <w:rsid w:val="00056468"/>
    <w:rsid w:val="00057FD1"/>
    <w:rsid w:val="00060A12"/>
    <w:rsid w:val="00060CE3"/>
    <w:rsid w:val="000631A6"/>
    <w:rsid w:val="0006327C"/>
    <w:rsid w:val="00063B8E"/>
    <w:rsid w:val="0006413C"/>
    <w:rsid w:val="000655F1"/>
    <w:rsid w:val="000656A0"/>
    <w:rsid w:val="00066859"/>
    <w:rsid w:val="00070702"/>
    <w:rsid w:val="000715A4"/>
    <w:rsid w:val="00072358"/>
    <w:rsid w:val="0007240E"/>
    <w:rsid w:val="00073570"/>
    <w:rsid w:val="000755C7"/>
    <w:rsid w:val="000761A9"/>
    <w:rsid w:val="00076D19"/>
    <w:rsid w:val="00077E4C"/>
    <w:rsid w:val="00083178"/>
    <w:rsid w:val="00084290"/>
    <w:rsid w:val="00086EC6"/>
    <w:rsid w:val="00087527"/>
    <w:rsid w:val="00087713"/>
    <w:rsid w:val="00087A9D"/>
    <w:rsid w:val="000902E3"/>
    <w:rsid w:val="00092D2C"/>
    <w:rsid w:val="00093FC9"/>
    <w:rsid w:val="000A2366"/>
    <w:rsid w:val="000A2638"/>
    <w:rsid w:val="000A3997"/>
    <w:rsid w:val="000A69C7"/>
    <w:rsid w:val="000A6CAE"/>
    <w:rsid w:val="000A7322"/>
    <w:rsid w:val="000A7431"/>
    <w:rsid w:val="000B1785"/>
    <w:rsid w:val="000B46A4"/>
    <w:rsid w:val="000C0801"/>
    <w:rsid w:val="000C087B"/>
    <w:rsid w:val="000C0D49"/>
    <w:rsid w:val="000C3D04"/>
    <w:rsid w:val="000C698E"/>
    <w:rsid w:val="000C7183"/>
    <w:rsid w:val="000D17E9"/>
    <w:rsid w:val="000D2455"/>
    <w:rsid w:val="000D2745"/>
    <w:rsid w:val="000D3BCB"/>
    <w:rsid w:val="000D4020"/>
    <w:rsid w:val="000D4540"/>
    <w:rsid w:val="000D50DB"/>
    <w:rsid w:val="000D52AB"/>
    <w:rsid w:val="000D57C3"/>
    <w:rsid w:val="000D59A6"/>
    <w:rsid w:val="000D5A86"/>
    <w:rsid w:val="000D6539"/>
    <w:rsid w:val="000D73EF"/>
    <w:rsid w:val="000E0772"/>
    <w:rsid w:val="000E0896"/>
    <w:rsid w:val="000E200F"/>
    <w:rsid w:val="000E2409"/>
    <w:rsid w:val="000E457D"/>
    <w:rsid w:val="000E51F4"/>
    <w:rsid w:val="000E757A"/>
    <w:rsid w:val="000F162E"/>
    <w:rsid w:val="000F2471"/>
    <w:rsid w:val="000F35A3"/>
    <w:rsid w:val="000F38C7"/>
    <w:rsid w:val="000F6E00"/>
    <w:rsid w:val="000F7D9D"/>
    <w:rsid w:val="000F7FD6"/>
    <w:rsid w:val="00100E37"/>
    <w:rsid w:val="0010142B"/>
    <w:rsid w:val="001018EF"/>
    <w:rsid w:val="00101B5E"/>
    <w:rsid w:val="00101C68"/>
    <w:rsid w:val="00102C6D"/>
    <w:rsid w:val="00103848"/>
    <w:rsid w:val="001043F0"/>
    <w:rsid w:val="00105AD9"/>
    <w:rsid w:val="00105E8C"/>
    <w:rsid w:val="00107E35"/>
    <w:rsid w:val="001100FB"/>
    <w:rsid w:val="00110AAF"/>
    <w:rsid w:val="00111D09"/>
    <w:rsid w:val="00113587"/>
    <w:rsid w:val="00117066"/>
    <w:rsid w:val="0012098A"/>
    <w:rsid w:val="00120AC1"/>
    <w:rsid w:val="0012324E"/>
    <w:rsid w:val="001249E0"/>
    <w:rsid w:val="00126873"/>
    <w:rsid w:val="001275EE"/>
    <w:rsid w:val="00130DED"/>
    <w:rsid w:val="00131407"/>
    <w:rsid w:val="0013189D"/>
    <w:rsid w:val="00132831"/>
    <w:rsid w:val="00132ED6"/>
    <w:rsid w:val="001330ED"/>
    <w:rsid w:val="00134D8A"/>
    <w:rsid w:val="00134E17"/>
    <w:rsid w:val="00134FE3"/>
    <w:rsid w:val="0013698E"/>
    <w:rsid w:val="0013780B"/>
    <w:rsid w:val="0014154B"/>
    <w:rsid w:val="0014173A"/>
    <w:rsid w:val="0014525C"/>
    <w:rsid w:val="00151262"/>
    <w:rsid w:val="00153A0B"/>
    <w:rsid w:val="0015408E"/>
    <w:rsid w:val="00154907"/>
    <w:rsid w:val="001566A0"/>
    <w:rsid w:val="0016033A"/>
    <w:rsid w:val="00167E22"/>
    <w:rsid w:val="001705AF"/>
    <w:rsid w:val="001714E3"/>
    <w:rsid w:val="00173163"/>
    <w:rsid w:val="001758FE"/>
    <w:rsid w:val="0017700A"/>
    <w:rsid w:val="00180ECC"/>
    <w:rsid w:val="001811C7"/>
    <w:rsid w:val="0018225A"/>
    <w:rsid w:val="00182AC5"/>
    <w:rsid w:val="001839BE"/>
    <w:rsid w:val="00183DC7"/>
    <w:rsid w:val="00185DD0"/>
    <w:rsid w:val="00186448"/>
    <w:rsid w:val="001868F2"/>
    <w:rsid w:val="00187422"/>
    <w:rsid w:val="00187B93"/>
    <w:rsid w:val="00190386"/>
    <w:rsid w:val="00191641"/>
    <w:rsid w:val="00191C75"/>
    <w:rsid w:val="00191F6D"/>
    <w:rsid w:val="00193C3F"/>
    <w:rsid w:val="00194075"/>
    <w:rsid w:val="001940E8"/>
    <w:rsid w:val="00194796"/>
    <w:rsid w:val="00196AD1"/>
    <w:rsid w:val="001A0ACB"/>
    <w:rsid w:val="001A1BE7"/>
    <w:rsid w:val="001A1E01"/>
    <w:rsid w:val="001A252A"/>
    <w:rsid w:val="001A2B22"/>
    <w:rsid w:val="001A3E36"/>
    <w:rsid w:val="001A740E"/>
    <w:rsid w:val="001B0BB0"/>
    <w:rsid w:val="001B469E"/>
    <w:rsid w:val="001B5199"/>
    <w:rsid w:val="001B5415"/>
    <w:rsid w:val="001B58E8"/>
    <w:rsid w:val="001B65A2"/>
    <w:rsid w:val="001B7491"/>
    <w:rsid w:val="001C00DA"/>
    <w:rsid w:val="001C0A85"/>
    <w:rsid w:val="001C0D91"/>
    <w:rsid w:val="001C15BF"/>
    <w:rsid w:val="001C17C6"/>
    <w:rsid w:val="001C3502"/>
    <w:rsid w:val="001C3DFD"/>
    <w:rsid w:val="001C5DA5"/>
    <w:rsid w:val="001C69AA"/>
    <w:rsid w:val="001D1F32"/>
    <w:rsid w:val="001D2733"/>
    <w:rsid w:val="001D5529"/>
    <w:rsid w:val="001D5AE6"/>
    <w:rsid w:val="001D5FCA"/>
    <w:rsid w:val="001D74BD"/>
    <w:rsid w:val="001E0CFC"/>
    <w:rsid w:val="001E10A8"/>
    <w:rsid w:val="001E16EB"/>
    <w:rsid w:val="001E2488"/>
    <w:rsid w:val="001E38BD"/>
    <w:rsid w:val="001E3C31"/>
    <w:rsid w:val="001E4042"/>
    <w:rsid w:val="001E46B3"/>
    <w:rsid w:val="001E4D55"/>
    <w:rsid w:val="001E5445"/>
    <w:rsid w:val="001E5559"/>
    <w:rsid w:val="001E61B8"/>
    <w:rsid w:val="001E630D"/>
    <w:rsid w:val="001E6770"/>
    <w:rsid w:val="001E796D"/>
    <w:rsid w:val="001E79CB"/>
    <w:rsid w:val="001F050B"/>
    <w:rsid w:val="001F07D7"/>
    <w:rsid w:val="001F0BEB"/>
    <w:rsid w:val="001F10E4"/>
    <w:rsid w:val="001F1C0B"/>
    <w:rsid w:val="001F344D"/>
    <w:rsid w:val="001F3C79"/>
    <w:rsid w:val="001F4FEC"/>
    <w:rsid w:val="00201F1B"/>
    <w:rsid w:val="00204410"/>
    <w:rsid w:val="00205600"/>
    <w:rsid w:val="0020583E"/>
    <w:rsid w:val="0021039B"/>
    <w:rsid w:val="002105BC"/>
    <w:rsid w:val="00211A14"/>
    <w:rsid w:val="002123D5"/>
    <w:rsid w:val="002125A4"/>
    <w:rsid w:val="00212681"/>
    <w:rsid w:val="00213FA8"/>
    <w:rsid w:val="0021541D"/>
    <w:rsid w:val="00216517"/>
    <w:rsid w:val="00222C61"/>
    <w:rsid w:val="002249AA"/>
    <w:rsid w:val="0022690C"/>
    <w:rsid w:val="0022690E"/>
    <w:rsid w:val="00226D46"/>
    <w:rsid w:val="00227122"/>
    <w:rsid w:val="00227974"/>
    <w:rsid w:val="00231185"/>
    <w:rsid w:val="0023209F"/>
    <w:rsid w:val="002320DC"/>
    <w:rsid w:val="0023255C"/>
    <w:rsid w:val="002325B2"/>
    <w:rsid w:val="002339DB"/>
    <w:rsid w:val="00235C06"/>
    <w:rsid w:val="00237867"/>
    <w:rsid w:val="00242061"/>
    <w:rsid w:val="00242EFF"/>
    <w:rsid w:val="00247C20"/>
    <w:rsid w:val="002506D2"/>
    <w:rsid w:val="002516F0"/>
    <w:rsid w:val="002528F4"/>
    <w:rsid w:val="00252C50"/>
    <w:rsid w:val="002538B3"/>
    <w:rsid w:val="00254674"/>
    <w:rsid w:val="00254E1A"/>
    <w:rsid w:val="002557EA"/>
    <w:rsid w:val="00256D49"/>
    <w:rsid w:val="002572E0"/>
    <w:rsid w:val="0025777D"/>
    <w:rsid w:val="0026100C"/>
    <w:rsid w:val="00262408"/>
    <w:rsid w:val="00262B65"/>
    <w:rsid w:val="00262BEA"/>
    <w:rsid w:val="0026389A"/>
    <w:rsid w:val="00264B60"/>
    <w:rsid w:val="002671B4"/>
    <w:rsid w:val="0027071B"/>
    <w:rsid w:val="0027277B"/>
    <w:rsid w:val="0027353D"/>
    <w:rsid w:val="00273D81"/>
    <w:rsid w:val="00274732"/>
    <w:rsid w:val="00276264"/>
    <w:rsid w:val="00281341"/>
    <w:rsid w:val="00281379"/>
    <w:rsid w:val="00281798"/>
    <w:rsid w:val="00281D98"/>
    <w:rsid w:val="00282305"/>
    <w:rsid w:val="002840F5"/>
    <w:rsid w:val="00284467"/>
    <w:rsid w:val="00284A41"/>
    <w:rsid w:val="0028610B"/>
    <w:rsid w:val="00286F6C"/>
    <w:rsid w:val="002907F3"/>
    <w:rsid w:val="00290CB0"/>
    <w:rsid w:val="00292775"/>
    <w:rsid w:val="0029456A"/>
    <w:rsid w:val="00294E04"/>
    <w:rsid w:val="00294FA5"/>
    <w:rsid w:val="00295C73"/>
    <w:rsid w:val="00295F84"/>
    <w:rsid w:val="002964D1"/>
    <w:rsid w:val="0029714F"/>
    <w:rsid w:val="002975F5"/>
    <w:rsid w:val="002A2A7C"/>
    <w:rsid w:val="002A43D6"/>
    <w:rsid w:val="002A697B"/>
    <w:rsid w:val="002B0716"/>
    <w:rsid w:val="002B23AE"/>
    <w:rsid w:val="002B2BFA"/>
    <w:rsid w:val="002B3572"/>
    <w:rsid w:val="002B5E86"/>
    <w:rsid w:val="002B65D7"/>
    <w:rsid w:val="002B66C3"/>
    <w:rsid w:val="002B7DEB"/>
    <w:rsid w:val="002C0178"/>
    <w:rsid w:val="002C16A4"/>
    <w:rsid w:val="002C2513"/>
    <w:rsid w:val="002C4FBF"/>
    <w:rsid w:val="002C53F5"/>
    <w:rsid w:val="002C5894"/>
    <w:rsid w:val="002D1662"/>
    <w:rsid w:val="002D27CA"/>
    <w:rsid w:val="002D3431"/>
    <w:rsid w:val="002D7A96"/>
    <w:rsid w:val="002E0C15"/>
    <w:rsid w:val="002E1329"/>
    <w:rsid w:val="002E780E"/>
    <w:rsid w:val="002F0B06"/>
    <w:rsid w:val="002F5A56"/>
    <w:rsid w:val="002F5E6F"/>
    <w:rsid w:val="003016CC"/>
    <w:rsid w:val="00301B42"/>
    <w:rsid w:val="0030773F"/>
    <w:rsid w:val="00307936"/>
    <w:rsid w:val="00307B48"/>
    <w:rsid w:val="00311E0C"/>
    <w:rsid w:val="00311F1C"/>
    <w:rsid w:val="00312F4D"/>
    <w:rsid w:val="0031313F"/>
    <w:rsid w:val="003133FF"/>
    <w:rsid w:val="003144D1"/>
    <w:rsid w:val="00315545"/>
    <w:rsid w:val="00316044"/>
    <w:rsid w:val="003160E1"/>
    <w:rsid w:val="003165B5"/>
    <w:rsid w:val="00317C63"/>
    <w:rsid w:val="00321CE3"/>
    <w:rsid w:val="00321FEE"/>
    <w:rsid w:val="00322D4E"/>
    <w:rsid w:val="00323266"/>
    <w:rsid w:val="003235EF"/>
    <w:rsid w:val="00323BB7"/>
    <w:rsid w:val="00325407"/>
    <w:rsid w:val="00326F82"/>
    <w:rsid w:val="00330F3A"/>
    <w:rsid w:val="00331660"/>
    <w:rsid w:val="0033174E"/>
    <w:rsid w:val="00332372"/>
    <w:rsid w:val="00332774"/>
    <w:rsid w:val="00333DB2"/>
    <w:rsid w:val="00334E56"/>
    <w:rsid w:val="00334EDE"/>
    <w:rsid w:val="00335336"/>
    <w:rsid w:val="00335D44"/>
    <w:rsid w:val="00340226"/>
    <w:rsid w:val="00341C67"/>
    <w:rsid w:val="00341D24"/>
    <w:rsid w:val="00342106"/>
    <w:rsid w:val="00342437"/>
    <w:rsid w:val="0034347A"/>
    <w:rsid w:val="00343C2F"/>
    <w:rsid w:val="003462C3"/>
    <w:rsid w:val="00346819"/>
    <w:rsid w:val="00350310"/>
    <w:rsid w:val="003503B6"/>
    <w:rsid w:val="00350A8A"/>
    <w:rsid w:val="00350B2B"/>
    <w:rsid w:val="00350C08"/>
    <w:rsid w:val="00350C2F"/>
    <w:rsid w:val="003515E4"/>
    <w:rsid w:val="0035218F"/>
    <w:rsid w:val="003526B1"/>
    <w:rsid w:val="00353848"/>
    <w:rsid w:val="00353FE2"/>
    <w:rsid w:val="003558C7"/>
    <w:rsid w:val="00355C65"/>
    <w:rsid w:val="00356107"/>
    <w:rsid w:val="0035629B"/>
    <w:rsid w:val="0035693D"/>
    <w:rsid w:val="00360725"/>
    <w:rsid w:val="00360AC0"/>
    <w:rsid w:val="00361869"/>
    <w:rsid w:val="003624AC"/>
    <w:rsid w:val="003634E2"/>
    <w:rsid w:val="0036394E"/>
    <w:rsid w:val="003646DF"/>
    <w:rsid w:val="003659CD"/>
    <w:rsid w:val="00366261"/>
    <w:rsid w:val="0036674A"/>
    <w:rsid w:val="00366B51"/>
    <w:rsid w:val="00373B4A"/>
    <w:rsid w:val="00373C5D"/>
    <w:rsid w:val="00373C96"/>
    <w:rsid w:val="0037668A"/>
    <w:rsid w:val="0037690D"/>
    <w:rsid w:val="003803FB"/>
    <w:rsid w:val="00381002"/>
    <w:rsid w:val="00384F8D"/>
    <w:rsid w:val="003871F3"/>
    <w:rsid w:val="0038782D"/>
    <w:rsid w:val="0038790B"/>
    <w:rsid w:val="00392D78"/>
    <w:rsid w:val="003930E4"/>
    <w:rsid w:val="003934FA"/>
    <w:rsid w:val="003948A4"/>
    <w:rsid w:val="00395A93"/>
    <w:rsid w:val="00395B16"/>
    <w:rsid w:val="00396197"/>
    <w:rsid w:val="00396BC7"/>
    <w:rsid w:val="003A034C"/>
    <w:rsid w:val="003A0465"/>
    <w:rsid w:val="003A07DB"/>
    <w:rsid w:val="003A0D95"/>
    <w:rsid w:val="003A1D59"/>
    <w:rsid w:val="003A1D65"/>
    <w:rsid w:val="003A1F60"/>
    <w:rsid w:val="003A1FE8"/>
    <w:rsid w:val="003A2214"/>
    <w:rsid w:val="003A3ADD"/>
    <w:rsid w:val="003A3C03"/>
    <w:rsid w:val="003A4350"/>
    <w:rsid w:val="003A6AB7"/>
    <w:rsid w:val="003A6E75"/>
    <w:rsid w:val="003A7AEE"/>
    <w:rsid w:val="003B0D64"/>
    <w:rsid w:val="003B1D58"/>
    <w:rsid w:val="003B28DB"/>
    <w:rsid w:val="003B2BB8"/>
    <w:rsid w:val="003B37EE"/>
    <w:rsid w:val="003B47B6"/>
    <w:rsid w:val="003B4DED"/>
    <w:rsid w:val="003B4E9A"/>
    <w:rsid w:val="003B5AEE"/>
    <w:rsid w:val="003B6B59"/>
    <w:rsid w:val="003B7F9D"/>
    <w:rsid w:val="003C0345"/>
    <w:rsid w:val="003C074F"/>
    <w:rsid w:val="003C1155"/>
    <w:rsid w:val="003C1502"/>
    <w:rsid w:val="003C1B62"/>
    <w:rsid w:val="003C2907"/>
    <w:rsid w:val="003C3A52"/>
    <w:rsid w:val="003C5F87"/>
    <w:rsid w:val="003C6FA3"/>
    <w:rsid w:val="003C7AD9"/>
    <w:rsid w:val="003D05DD"/>
    <w:rsid w:val="003D1FD7"/>
    <w:rsid w:val="003D34FF"/>
    <w:rsid w:val="003D50AF"/>
    <w:rsid w:val="003D652D"/>
    <w:rsid w:val="003D65FB"/>
    <w:rsid w:val="003D6FAD"/>
    <w:rsid w:val="003D74E8"/>
    <w:rsid w:val="003D7B77"/>
    <w:rsid w:val="003D7CC8"/>
    <w:rsid w:val="003E1D68"/>
    <w:rsid w:val="003E3200"/>
    <w:rsid w:val="003E391A"/>
    <w:rsid w:val="003E5633"/>
    <w:rsid w:val="003F0674"/>
    <w:rsid w:val="003F069B"/>
    <w:rsid w:val="003F06CD"/>
    <w:rsid w:val="003F093B"/>
    <w:rsid w:val="003F2238"/>
    <w:rsid w:val="003F4435"/>
    <w:rsid w:val="003F5987"/>
    <w:rsid w:val="003F6DCE"/>
    <w:rsid w:val="0040062A"/>
    <w:rsid w:val="00402219"/>
    <w:rsid w:val="00404D70"/>
    <w:rsid w:val="00405A0D"/>
    <w:rsid w:val="00405F8D"/>
    <w:rsid w:val="0040640D"/>
    <w:rsid w:val="0040683F"/>
    <w:rsid w:val="00410BA6"/>
    <w:rsid w:val="00412295"/>
    <w:rsid w:val="00412F59"/>
    <w:rsid w:val="0041381E"/>
    <w:rsid w:val="00414348"/>
    <w:rsid w:val="004148B0"/>
    <w:rsid w:val="00414AA0"/>
    <w:rsid w:val="0041520E"/>
    <w:rsid w:val="0041594E"/>
    <w:rsid w:val="00415CA1"/>
    <w:rsid w:val="00416335"/>
    <w:rsid w:val="004207CF"/>
    <w:rsid w:val="004211F3"/>
    <w:rsid w:val="0042216D"/>
    <w:rsid w:val="00422413"/>
    <w:rsid w:val="00422B5A"/>
    <w:rsid w:val="00426877"/>
    <w:rsid w:val="00430082"/>
    <w:rsid w:val="00430786"/>
    <w:rsid w:val="00431FB9"/>
    <w:rsid w:val="00432D6D"/>
    <w:rsid w:val="004331F4"/>
    <w:rsid w:val="004332B9"/>
    <w:rsid w:val="00436C40"/>
    <w:rsid w:val="00436E11"/>
    <w:rsid w:val="00436FD2"/>
    <w:rsid w:val="0043700C"/>
    <w:rsid w:val="00440FC6"/>
    <w:rsid w:val="0044141A"/>
    <w:rsid w:val="004436FA"/>
    <w:rsid w:val="00444AB2"/>
    <w:rsid w:val="00447E04"/>
    <w:rsid w:val="00450235"/>
    <w:rsid w:val="00452B36"/>
    <w:rsid w:val="00453CCC"/>
    <w:rsid w:val="0045433B"/>
    <w:rsid w:val="00454D52"/>
    <w:rsid w:val="00455363"/>
    <w:rsid w:val="004562FC"/>
    <w:rsid w:val="00457C4B"/>
    <w:rsid w:val="00457CF2"/>
    <w:rsid w:val="00457D12"/>
    <w:rsid w:val="0046025D"/>
    <w:rsid w:val="00460905"/>
    <w:rsid w:val="00460D68"/>
    <w:rsid w:val="0046196B"/>
    <w:rsid w:val="00461B64"/>
    <w:rsid w:val="004652EF"/>
    <w:rsid w:val="00465DA5"/>
    <w:rsid w:val="0046780A"/>
    <w:rsid w:val="00467E1D"/>
    <w:rsid w:val="00471326"/>
    <w:rsid w:val="00472452"/>
    <w:rsid w:val="00472D76"/>
    <w:rsid w:val="00473792"/>
    <w:rsid w:val="00475B22"/>
    <w:rsid w:val="00476DC4"/>
    <w:rsid w:val="00480499"/>
    <w:rsid w:val="00481620"/>
    <w:rsid w:val="00481653"/>
    <w:rsid w:val="00481A9A"/>
    <w:rsid w:val="00481EA8"/>
    <w:rsid w:val="004820D1"/>
    <w:rsid w:val="00483963"/>
    <w:rsid w:val="004839BB"/>
    <w:rsid w:val="00484E13"/>
    <w:rsid w:val="00487391"/>
    <w:rsid w:val="004910AA"/>
    <w:rsid w:val="00492831"/>
    <w:rsid w:val="00493A49"/>
    <w:rsid w:val="00495A13"/>
    <w:rsid w:val="00496B75"/>
    <w:rsid w:val="00496D32"/>
    <w:rsid w:val="004A1390"/>
    <w:rsid w:val="004A2BAA"/>
    <w:rsid w:val="004A3801"/>
    <w:rsid w:val="004A3CCE"/>
    <w:rsid w:val="004A6DDD"/>
    <w:rsid w:val="004B1849"/>
    <w:rsid w:val="004B1917"/>
    <w:rsid w:val="004B4376"/>
    <w:rsid w:val="004B52A3"/>
    <w:rsid w:val="004B54CA"/>
    <w:rsid w:val="004B650B"/>
    <w:rsid w:val="004B68D5"/>
    <w:rsid w:val="004B713D"/>
    <w:rsid w:val="004B7E6B"/>
    <w:rsid w:val="004B7FB6"/>
    <w:rsid w:val="004C00AA"/>
    <w:rsid w:val="004C07B8"/>
    <w:rsid w:val="004C3FE8"/>
    <w:rsid w:val="004C44E7"/>
    <w:rsid w:val="004C6B51"/>
    <w:rsid w:val="004D014C"/>
    <w:rsid w:val="004D1ED4"/>
    <w:rsid w:val="004D2115"/>
    <w:rsid w:val="004D32B5"/>
    <w:rsid w:val="004D476B"/>
    <w:rsid w:val="004D4B16"/>
    <w:rsid w:val="004D54A0"/>
    <w:rsid w:val="004E034F"/>
    <w:rsid w:val="004E07B3"/>
    <w:rsid w:val="004E2F61"/>
    <w:rsid w:val="004E38F6"/>
    <w:rsid w:val="004E5923"/>
    <w:rsid w:val="004E5CBF"/>
    <w:rsid w:val="004E6680"/>
    <w:rsid w:val="004F0154"/>
    <w:rsid w:val="004F2056"/>
    <w:rsid w:val="004F3D0D"/>
    <w:rsid w:val="004F4B63"/>
    <w:rsid w:val="004F558D"/>
    <w:rsid w:val="004F583F"/>
    <w:rsid w:val="004F5CE1"/>
    <w:rsid w:val="004F5FA7"/>
    <w:rsid w:val="005005C0"/>
    <w:rsid w:val="005029C6"/>
    <w:rsid w:val="00503277"/>
    <w:rsid w:val="00503938"/>
    <w:rsid w:val="00504475"/>
    <w:rsid w:val="00504F1B"/>
    <w:rsid w:val="00506437"/>
    <w:rsid w:val="005075AD"/>
    <w:rsid w:val="0051301A"/>
    <w:rsid w:val="005147FD"/>
    <w:rsid w:val="005149FE"/>
    <w:rsid w:val="00514F68"/>
    <w:rsid w:val="005155E4"/>
    <w:rsid w:val="0051601C"/>
    <w:rsid w:val="00517471"/>
    <w:rsid w:val="00521BF9"/>
    <w:rsid w:val="00522F35"/>
    <w:rsid w:val="00523D6C"/>
    <w:rsid w:val="00526E03"/>
    <w:rsid w:val="005304DC"/>
    <w:rsid w:val="00530827"/>
    <w:rsid w:val="005314EB"/>
    <w:rsid w:val="00532D4F"/>
    <w:rsid w:val="00535191"/>
    <w:rsid w:val="005353A6"/>
    <w:rsid w:val="005359C6"/>
    <w:rsid w:val="00536B85"/>
    <w:rsid w:val="00543491"/>
    <w:rsid w:val="0054371F"/>
    <w:rsid w:val="00546F29"/>
    <w:rsid w:val="00547923"/>
    <w:rsid w:val="0055100F"/>
    <w:rsid w:val="00552476"/>
    <w:rsid w:val="005527B3"/>
    <w:rsid w:val="005532CA"/>
    <w:rsid w:val="00554D49"/>
    <w:rsid w:val="00554FA1"/>
    <w:rsid w:val="005568D6"/>
    <w:rsid w:val="0055720A"/>
    <w:rsid w:val="00557308"/>
    <w:rsid w:val="0056204F"/>
    <w:rsid w:val="00562E1D"/>
    <w:rsid w:val="0056347E"/>
    <w:rsid w:val="00570D94"/>
    <w:rsid w:val="005711FA"/>
    <w:rsid w:val="0057211E"/>
    <w:rsid w:val="00573D54"/>
    <w:rsid w:val="00574035"/>
    <w:rsid w:val="005759A6"/>
    <w:rsid w:val="00577DD6"/>
    <w:rsid w:val="00580439"/>
    <w:rsid w:val="0058161D"/>
    <w:rsid w:val="005824D1"/>
    <w:rsid w:val="00583ABF"/>
    <w:rsid w:val="00586A54"/>
    <w:rsid w:val="00586E25"/>
    <w:rsid w:val="00592CD1"/>
    <w:rsid w:val="00596186"/>
    <w:rsid w:val="005961A7"/>
    <w:rsid w:val="005A045B"/>
    <w:rsid w:val="005A09DF"/>
    <w:rsid w:val="005A0CF6"/>
    <w:rsid w:val="005A130F"/>
    <w:rsid w:val="005A2CB6"/>
    <w:rsid w:val="005A30E9"/>
    <w:rsid w:val="005A373A"/>
    <w:rsid w:val="005A4882"/>
    <w:rsid w:val="005A5ABC"/>
    <w:rsid w:val="005A5AF2"/>
    <w:rsid w:val="005A6E9A"/>
    <w:rsid w:val="005B1583"/>
    <w:rsid w:val="005B15E3"/>
    <w:rsid w:val="005B2AF1"/>
    <w:rsid w:val="005B3F40"/>
    <w:rsid w:val="005B59BE"/>
    <w:rsid w:val="005B737A"/>
    <w:rsid w:val="005C08A0"/>
    <w:rsid w:val="005C0F99"/>
    <w:rsid w:val="005C3AA9"/>
    <w:rsid w:val="005C425F"/>
    <w:rsid w:val="005C6DDE"/>
    <w:rsid w:val="005C7997"/>
    <w:rsid w:val="005D264C"/>
    <w:rsid w:val="005D3639"/>
    <w:rsid w:val="005D4B6A"/>
    <w:rsid w:val="005D5148"/>
    <w:rsid w:val="005D71F8"/>
    <w:rsid w:val="005D7B54"/>
    <w:rsid w:val="005E02DF"/>
    <w:rsid w:val="005E1511"/>
    <w:rsid w:val="005E1614"/>
    <w:rsid w:val="005E3643"/>
    <w:rsid w:val="005E535E"/>
    <w:rsid w:val="005E5772"/>
    <w:rsid w:val="005F02F1"/>
    <w:rsid w:val="005F03F4"/>
    <w:rsid w:val="005F0E44"/>
    <w:rsid w:val="005F1C33"/>
    <w:rsid w:val="005F1D45"/>
    <w:rsid w:val="005F3019"/>
    <w:rsid w:val="005F34B2"/>
    <w:rsid w:val="005F426B"/>
    <w:rsid w:val="005F4332"/>
    <w:rsid w:val="005F512C"/>
    <w:rsid w:val="005F76D1"/>
    <w:rsid w:val="006005A2"/>
    <w:rsid w:val="0060269A"/>
    <w:rsid w:val="006064CE"/>
    <w:rsid w:val="0060676C"/>
    <w:rsid w:val="00607588"/>
    <w:rsid w:val="00610A3E"/>
    <w:rsid w:val="0061193B"/>
    <w:rsid w:val="006140AB"/>
    <w:rsid w:val="0061460F"/>
    <w:rsid w:val="00616A10"/>
    <w:rsid w:val="0061762C"/>
    <w:rsid w:val="006177B2"/>
    <w:rsid w:val="00620A9A"/>
    <w:rsid w:val="006237D7"/>
    <w:rsid w:val="006245C5"/>
    <w:rsid w:val="00625779"/>
    <w:rsid w:val="006258AE"/>
    <w:rsid w:val="00625D08"/>
    <w:rsid w:val="00625FD5"/>
    <w:rsid w:val="006369F5"/>
    <w:rsid w:val="00637EC9"/>
    <w:rsid w:val="006424C9"/>
    <w:rsid w:val="00642854"/>
    <w:rsid w:val="0064288A"/>
    <w:rsid w:val="00642DBC"/>
    <w:rsid w:val="00643B2E"/>
    <w:rsid w:val="00645286"/>
    <w:rsid w:val="0064561E"/>
    <w:rsid w:val="00647B4E"/>
    <w:rsid w:val="00652020"/>
    <w:rsid w:val="0065258B"/>
    <w:rsid w:val="00652A8A"/>
    <w:rsid w:val="00653D21"/>
    <w:rsid w:val="0065550E"/>
    <w:rsid w:val="006560D4"/>
    <w:rsid w:val="00660709"/>
    <w:rsid w:val="00660880"/>
    <w:rsid w:val="00663892"/>
    <w:rsid w:val="00664AB5"/>
    <w:rsid w:val="00665B06"/>
    <w:rsid w:val="00667AF2"/>
    <w:rsid w:val="00670B8B"/>
    <w:rsid w:val="00671C19"/>
    <w:rsid w:val="006727E9"/>
    <w:rsid w:val="006738C5"/>
    <w:rsid w:val="006749EA"/>
    <w:rsid w:val="00674A1F"/>
    <w:rsid w:val="00674CF4"/>
    <w:rsid w:val="006763C1"/>
    <w:rsid w:val="00676BB7"/>
    <w:rsid w:val="006815DB"/>
    <w:rsid w:val="00682083"/>
    <w:rsid w:val="00683E69"/>
    <w:rsid w:val="006842C8"/>
    <w:rsid w:val="00685EB5"/>
    <w:rsid w:val="006860DA"/>
    <w:rsid w:val="00687AF2"/>
    <w:rsid w:val="006922DA"/>
    <w:rsid w:val="00692985"/>
    <w:rsid w:val="00692F45"/>
    <w:rsid w:val="006946B1"/>
    <w:rsid w:val="006960EB"/>
    <w:rsid w:val="00696BEE"/>
    <w:rsid w:val="00697BB6"/>
    <w:rsid w:val="006A1CBF"/>
    <w:rsid w:val="006A299A"/>
    <w:rsid w:val="006A4CE7"/>
    <w:rsid w:val="006A4EAB"/>
    <w:rsid w:val="006A4FBA"/>
    <w:rsid w:val="006A50F1"/>
    <w:rsid w:val="006A6033"/>
    <w:rsid w:val="006A795D"/>
    <w:rsid w:val="006B009C"/>
    <w:rsid w:val="006B0D9B"/>
    <w:rsid w:val="006B0DEE"/>
    <w:rsid w:val="006B10E9"/>
    <w:rsid w:val="006B2C5D"/>
    <w:rsid w:val="006B3E3A"/>
    <w:rsid w:val="006B45E8"/>
    <w:rsid w:val="006B49D8"/>
    <w:rsid w:val="006B6945"/>
    <w:rsid w:val="006B7C7A"/>
    <w:rsid w:val="006C0F1A"/>
    <w:rsid w:val="006C17D9"/>
    <w:rsid w:val="006C2233"/>
    <w:rsid w:val="006C5E10"/>
    <w:rsid w:val="006D0769"/>
    <w:rsid w:val="006D08AA"/>
    <w:rsid w:val="006D2056"/>
    <w:rsid w:val="006D3910"/>
    <w:rsid w:val="006D494E"/>
    <w:rsid w:val="006D644B"/>
    <w:rsid w:val="006D69A2"/>
    <w:rsid w:val="006D6D76"/>
    <w:rsid w:val="006D79F2"/>
    <w:rsid w:val="006E3C05"/>
    <w:rsid w:val="006E3F6E"/>
    <w:rsid w:val="006E5B49"/>
    <w:rsid w:val="006F0D9E"/>
    <w:rsid w:val="006F41D5"/>
    <w:rsid w:val="006F5D46"/>
    <w:rsid w:val="006F71C4"/>
    <w:rsid w:val="006F7BEB"/>
    <w:rsid w:val="00700E59"/>
    <w:rsid w:val="007030B4"/>
    <w:rsid w:val="0070344C"/>
    <w:rsid w:val="007064F0"/>
    <w:rsid w:val="00706A34"/>
    <w:rsid w:val="00707064"/>
    <w:rsid w:val="007075DE"/>
    <w:rsid w:val="00707AE4"/>
    <w:rsid w:val="00707E61"/>
    <w:rsid w:val="00710C25"/>
    <w:rsid w:val="00711045"/>
    <w:rsid w:val="00711713"/>
    <w:rsid w:val="00712B50"/>
    <w:rsid w:val="00712BEE"/>
    <w:rsid w:val="00713C8A"/>
    <w:rsid w:val="00716124"/>
    <w:rsid w:val="00716222"/>
    <w:rsid w:val="007177A6"/>
    <w:rsid w:val="00720EBF"/>
    <w:rsid w:val="00720F8C"/>
    <w:rsid w:val="007215E8"/>
    <w:rsid w:val="007219F1"/>
    <w:rsid w:val="00721D2F"/>
    <w:rsid w:val="007230A7"/>
    <w:rsid w:val="0072468E"/>
    <w:rsid w:val="00726785"/>
    <w:rsid w:val="007271E0"/>
    <w:rsid w:val="007326B5"/>
    <w:rsid w:val="00733882"/>
    <w:rsid w:val="00733AB1"/>
    <w:rsid w:val="00735F60"/>
    <w:rsid w:val="00736E3A"/>
    <w:rsid w:val="00742765"/>
    <w:rsid w:val="00751853"/>
    <w:rsid w:val="007518F3"/>
    <w:rsid w:val="007519CD"/>
    <w:rsid w:val="00752925"/>
    <w:rsid w:val="0075493A"/>
    <w:rsid w:val="00760104"/>
    <w:rsid w:val="0076217E"/>
    <w:rsid w:val="00762248"/>
    <w:rsid w:val="00764DF5"/>
    <w:rsid w:val="00766130"/>
    <w:rsid w:val="007664EC"/>
    <w:rsid w:val="00767876"/>
    <w:rsid w:val="00767A69"/>
    <w:rsid w:val="00772088"/>
    <w:rsid w:val="0077226D"/>
    <w:rsid w:val="007722C2"/>
    <w:rsid w:val="00773F6C"/>
    <w:rsid w:val="00774134"/>
    <w:rsid w:val="007751F4"/>
    <w:rsid w:val="00775931"/>
    <w:rsid w:val="00775FAB"/>
    <w:rsid w:val="00776BC7"/>
    <w:rsid w:val="00777F1F"/>
    <w:rsid w:val="0078198F"/>
    <w:rsid w:val="007836CD"/>
    <w:rsid w:val="007837FB"/>
    <w:rsid w:val="007848ED"/>
    <w:rsid w:val="00784C2F"/>
    <w:rsid w:val="00785261"/>
    <w:rsid w:val="00785EE3"/>
    <w:rsid w:val="00787593"/>
    <w:rsid w:val="00790CD1"/>
    <w:rsid w:val="0079313F"/>
    <w:rsid w:val="00795B27"/>
    <w:rsid w:val="00796139"/>
    <w:rsid w:val="00796EE2"/>
    <w:rsid w:val="00797DB3"/>
    <w:rsid w:val="007A10B5"/>
    <w:rsid w:val="007A2B17"/>
    <w:rsid w:val="007A2CDB"/>
    <w:rsid w:val="007B0256"/>
    <w:rsid w:val="007B1436"/>
    <w:rsid w:val="007B1928"/>
    <w:rsid w:val="007B4374"/>
    <w:rsid w:val="007B6388"/>
    <w:rsid w:val="007B6FB3"/>
    <w:rsid w:val="007C1E38"/>
    <w:rsid w:val="007C3C7E"/>
    <w:rsid w:val="007C4B60"/>
    <w:rsid w:val="007C5802"/>
    <w:rsid w:val="007C7407"/>
    <w:rsid w:val="007D0E86"/>
    <w:rsid w:val="007D1518"/>
    <w:rsid w:val="007D256C"/>
    <w:rsid w:val="007D2AC0"/>
    <w:rsid w:val="007D3434"/>
    <w:rsid w:val="007D5116"/>
    <w:rsid w:val="007D5A9C"/>
    <w:rsid w:val="007D5E61"/>
    <w:rsid w:val="007E0179"/>
    <w:rsid w:val="007E04D7"/>
    <w:rsid w:val="007E0EA7"/>
    <w:rsid w:val="007E1346"/>
    <w:rsid w:val="007E1618"/>
    <w:rsid w:val="007E16E6"/>
    <w:rsid w:val="007E427C"/>
    <w:rsid w:val="007E4C4A"/>
    <w:rsid w:val="007E575A"/>
    <w:rsid w:val="007E66CD"/>
    <w:rsid w:val="007E69AD"/>
    <w:rsid w:val="007E7F0F"/>
    <w:rsid w:val="007F13EC"/>
    <w:rsid w:val="007F1A90"/>
    <w:rsid w:val="007F2313"/>
    <w:rsid w:val="007F416F"/>
    <w:rsid w:val="007F6999"/>
    <w:rsid w:val="0080084A"/>
    <w:rsid w:val="00800C6E"/>
    <w:rsid w:val="008035D9"/>
    <w:rsid w:val="00803848"/>
    <w:rsid w:val="00804A49"/>
    <w:rsid w:val="008055A9"/>
    <w:rsid w:val="00805B9B"/>
    <w:rsid w:val="0080661E"/>
    <w:rsid w:val="0080684F"/>
    <w:rsid w:val="00806FC6"/>
    <w:rsid w:val="00807C34"/>
    <w:rsid w:val="00810319"/>
    <w:rsid w:val="008116B5"/>
    <w:rsid w:val="00812195"/>
    <w:rsid w:val="008152D8"/>
    <w:rsid w:val="0081558B"/>
    <w:rsid w:val="008207E4"/>
    <w:rsid w:val="008210B6"/>
    <w:rsid w:val="00822529"/>
    <w:rsid w:val="008228DA"/>
    <w:rsid w:val="008233B6"/>
    <w:rsid w:val="00823428"/>
    <w:rsid w:val="008238F3"/>
    <w:rsid w:val="00823BF5"/>
    <w:rsid w:val="00824943"/>
    <w:rsid w:val="00824D3E"/>
    <w:rsid w:val="008264AF"/>
    <w:rsid w:val="00827028"/>
    <w:rsid w:val="00827566"/>
    <w:rsid w:val="00827A91"/>
    <w:rsid w:val="0083033D"/>
    <w:rsid w:val="00830824"/>
    <w:rsid w:val="0083089B"/>
    <w:rsid w:val="00832294"/>
    <w:rsid w:val="00832454"/>
    <w:rsid w:val="0083555A"/>
    <w:rsid w:val="00835CF1"/>
    <w:rsid w:val="00836FE6"/>
    <w:rsid w:val="0083786F"/>
    <w:rsid w:val="00840413"/>
    <w:rsid w:val="0084262A"/>
    <w:rsid w:val="00843039"/>
    <w:rsid w:val="00845B8D"/>
    <w:rsid w:val="008469BC"/>
    <w:rsid w:val="00847266"/>
    <w:rsid w:val="00850025"/>
    <w:rsid w:val="0085147C"/>
    <w:rsid w:val="008515A3"/>
    <w:rsid w:val="008521EA"/>
    <w:rsid w:val="00852C9E"/>
    <w:rsid w:val="0085302F"/>
    <w:rsid w:val="00854115"/>
    <w:rsid w:val="00856B92"/>
    <w:rsid w:val="008571CE"/>
    <w:rsid w:val="00857733"/>
    <w:rsid w:val="008600AD"/>
    <w:rsid w:val="00860685"/>
    <w:rsid w:val="008619DF"/>
    <w:rsid w:val="008629FD"/>
    <w:rsid w:val="00862C84"/>
    <w:rsid w:val="00865696"/>
    <w:rsid w:val="00866164"/>
    <w:rsid w:val="008667A8"/>
    <w:rsid w:val="00866BA1"/>
    <w:rsid w:val="0086773C"/>
    <w:rsid w:val="008677FC"/>
    <w:rsid w:val="00867DD1"/>
    <w:rsid w:val="0087015F"/>
    <w:rsid w:val="008708E7"/>
    <w:rsid w:val="008712D0"/>
    <w:rsid w:val="00872AB6"/>
    <w:rsid w:val="00874DF0"/>
    <w:rsid w:val="0087573A"/>
    <w:rsid w:val="0087656C"/>
    <w:rsid w:val="00876619"/>
    <w:rsid w:val="00876E32"/>
    <w:rsid w:val="00877985"/>
    <w:rsid w:val="00877ABC"/>
    <w:rsid w:val="008802C0"/>
    <w:rsid w:val="0088067C"/>
    <w:rsid w:val="00880BC1"/>
    <w:rsid w:val="00880FC2"/>
    <w:rsid w:val="00881230"/>
    <w:rsid w:val="0088132C"/>
    <w:rsid w:val="00883BA0"/>
    <w:rsid w:val="00883BFC"/>
    <w:rsid w:val="008845D7"/>
    <w:rsid w:val="008858FD"/>
    <w:rsid w:val="00885DEA"/>
    <w:rsid w:val="00886EBF"/>
    <w:rsid w:val="0088728D"/>
    <w:rsid w:val="0089095C"/>
    <w:rsid w:val="00890E49"/>
    <w:rsid w:val="0089125F"/>
    <w:rsid w:val="00891311"/>
    <w:rsid w:val="0089169C"/>
    <w:rsid w:val="00892F10"/>
    <w:rsid w:val="00893484"/>
    <w:rsid w:val="00893BBD"/>
    <w:rsid w:val="00895A37"/>
    <w:rsid w:val="008973B5"/>
    <w:rsid w:val="008A0A72"/>
    <w:rsid w:val="008A1107"/>
    <w:rsid w:val="008A1D71"/>
    <w:rsid w:val="008A2409"/>
    <w:rsid w:val="008A24A3"/>
    <w:rsid w:val="008A27A8"/>
    <w:rsid w:val="008A2E9A"/>
    <w:rsid w:val="008A4BDC"/>
    <w:rsid w:val="008A5AA1"/>
    <w:rsid w:val="008A5D91"/>
    <w:rsid w:val="008A5FC2"/>
    <w:rsid w:val="008A6868"/>
    <w:rsid w:val="008A7999"/>
    <w:rsid w:val="008B01D3"/>
    <w:rsid w:val="008B0630"/>
    <w:rsid w:val="008B1B73"/>
    <w:rsid w:val="008B4CA6"/>
    <w:rsid w:val="008B4DE2"/>
    <w:rsid w:val="008B55CD"/>
    <w:rsid w:val="008B63A2"/>
    <w:rsid w:val="008B651A"/>
    <w:rsid w:val="008B748E"/>
    <w:rsid w:val="008B7F34"/>
    <w:rsid w:val="008C0564"/>
    <w:rsid w:val="008C4AAC"/>
    <w:rsid w:val="008C517C"/>
    <w:rsid w:val="008C5581"/>
    <w:rsid w:val="008C59FE"/>
    <w:rsid w:val="008C5D15"/>
    <w:rsid w:val="008C6143"/>
    <w:rsid w:val="008C7CCB"/>
    <w:rsid w:val="008D097D"/>
    <w:rsid w:val="008D1F5D"/>
    <w:rsid w:val="008D2217"/>
    <w:rsid w:val="008D296D"/>
    <w:rsid w:val="008E3AF9"/>
    <w:rsid w:val="008E49DA"/>
    <w:rsid w:val="008E4ADB"/>
    <w:rsid w:val="008E57D4"/>
    <w:rsid w:val="008E6EF9"/>
    <w:rsid w:val="008F04F3"/>
    <w:rsid w:val="008F505D"/>
    <w:rsid w:val="008F60E8"/>
    <w:rsid w:val="008F6341"/>
    <w:rsid w:val="008F7E21"/>
    <w:rsid w:val="00901EAF"/>
    <w:rsid w:val="00902A70"/>
    <w:rsid w:val="0090490A"/>
    <w:rsid w:val="0090630F"/>
    <w:rsid w:val="009078C9"/>
    <w:rsid w:val="0091040E"/>
    <w:rsid w:val="0091127C"/>
    <w:rsid w:val="00911BC7"/>
    <w:rsid w:val="00913052"/>
    <w:rsid w:val="009138DE"/>
    <w:rsid w:val="00916198"/>
    <w:rsid w:val="0091676E"/>
    <w:rsid w:val="009168ED"/>
    <w:rsid w:val="009172F1"/>
    <w:rsid w:val="00920E96"/>
    <w:rsid w:val="009213F2"/>
    <w:rsid w:val="009215CF"/>
    <w:rsid w:val="009225F0"/>
    <w:rsid w:val="009234E3"/>
    <w:rsid w:val="00923CA4"/>
    <w:rsid w:val="00923ED2"/>
    <w:rsid w:val="00924E96"/>
    <w:rsid w:val="00926131"/>
    <w:rsid w:val="009267B1"/>
    <w:rsid w:val="00927E69"/>
    <w:rsid w:val="009302BC"/>
    <w:rsid w:val="00930FE5"/>
    <w:rsid w:val="00931A61"/>
    <w:rsid w:val="00931B6E"/>
    <w:rsid w:val="00932124"/>
    <w:rsid w:val="009347F7"/>
    <w:rsid w:val="00935584"/>
    <w:rsid w:val="009373F4"/>
    <w:rsid w:val="009418DE"/>
    <w:rsid w:val="00942A23"/>
    <w:rsid w:val="009432CF"/>
    <w:rsid w:val="00943693"/>
    <w:rsid w:val="009440CF"/>
    <w:rsid w:val="009454BA"/>
    <w:rsid w:val="0094725D"/>
    <w:rsid w:val="00950BE4"/>
    <w:rsid w:val="009510CB"/>
    <w:rsid w:val="0095124F"/>
    <w:rsid w:val="00951432"/>
    <w:rsid w:val="009517B5"/>
    <w:rsid w:val="009549EA"/>
    <w:rsid w:val="00954A6C"/>
    <w:rsid w:val="009611E3"/>
    <w:rsid w:val="009628CA"/>
    <w:rsid w:val="009653A4"/>
    <w:rsid w:val="0096619B"/>
    <w:rsid w:val="00967482"/>
    <w:rsid w:val="009677FC"/>
    <w:rsid w:val="0097189F"/>
    <w:rsid w:val="00972037"/>
    <w:rsid w:val="0097268F"/>
    <w:rsid w:val="00972B4C"/>
    <w:rsid w:val="009735C1"/>
    <w:rsid w:val="00973F93"/>
    <w:rsid w:val="009745FC"/>
    <w:rsid w:val="00975BC5"/>
    <w:rsid w:val="009768B0"/>
    <w:rsid w:val="00977591"/>
    <w:rsid w:val="00980E9F"/>
    <w:rsid w:val="00981285"/>
    <w:rsid w:val="00982450"/>
    <w:rsid w:val="00985170"/>
    <w:rsid w:val="00987111"/>
    <w:rsid w:val="009875F6"/>
    <w:rsid w:val="00987621"/>
    <w:rsid w:val="00987841"/>
    <w:rsid w:val="00991574"/>
    <w:rsid w:val="0099317C"/>
    <w:rsid w:val="00995132"/>
    <w:rsid w:val="00995909"/>
    <w:rsid w:val="00995C3A"/>
    <w:rsid w:val="009960A3"/>
    <w:rsid w:val="00996565"/>
    <w:rsid w:val="00996686"/>
    <w:rsid w:val="00996887"/>
    <w:rsid w:val="00996CB3"/>
    <w:rsid w:val="00996EF8"/>
    <w:rsid w:val="00996FB9"/>
    <w:rsid w:val="009A0382"/>
    <w:rsid w:val="009A213F"/>
    <w:rsid w:val="009A2540"/>
    <w:rsid w:val="009A33B6"/>
    <w:rsid w:val="009A3466"/>
    <w:rsid w:val="009A3891"/>
    <w:rsid w:val="009A44C8"/>
    <w:rsid w:val="009A5136"/>
    <w:rsid w:val="009A51A5"/>
    <w:rsid w:val="009A65FC"/>
    <w:rsid w:val="009A66DF"/>
    <w:rsid w:val="009A7C26"/>
    <w:rsid w:val="009B1FCB"/>
    <w:rsid w:val="009B2452"/>
    <w:rsid w:val="009B2A25"/>
    <w:rsid w:val="009B2FAC"/>
    <w:rsid w:val="009B3198"/>
    <w:rsid w:val="009B36E4"/>
    <w:rsid w:val="009B51E7"/>
    <w:rsid w:val="009B6CC8"/>
    <w:rsid w:val="009C2D82"/>
    <w:rsid w:val="009C5501"/>
    <w:rsid w:val="009C5C03"/>
    <w:rsid w:val="009C6E47"/>
    <w:rsid w:val="009C765E"/>
    <w:rsid w:val="009C7856"/>
    <w:rsid w:val="009D1AAC"/>
    <w:rsid w:val="009D449E"/>
    <w:rsid w:val="009D4809"/>
    <w:rsid w:val="009D71B2"/>
    <w:rsid w:val="009E0E63"/>
    <w:rsid w:val="009E11F7"/>
    <w:rsid w:val="009E12C1"/>
    <w:rsid w:val="009E1BAE"/>
    <w:rsid w:val="009E3A97"/>
    <w:rsid w:val="009E56E5"/>
    <w:rsid w:val="009E6165"/>
    <w:rsid w:val="009E6A06"/>
    <w:rsid w:val="009E72FA"/>
    <w:rsid w:val="009E7F07"/>
    <w:rsid w:val="009F3127"/>
    <w:rsid w:val="009F620D"/>
    <w:rsid w:val="009F6F9F"/>
    <w:rsid w:val="00A0008A"/>
    <w:rsid w:val="00A019C3"/>
    <w:rsid w:val="00A0241D"/>
    <w:rsid w:val="00A03027"/>
    <w:rsid w:val="00A04046"/>
    <w:rsid w:val="00A04B50"/>
    <w:rsid w:val="00A07E15"/>
    <w:rsid w:val="00A1065E"/>
    <w:rsid w:val="00A106B1"/>
    <w:rsid w:val="00A15295"/>
    <w:rsid w:val="00A15606"/>
    <w:rsid w:val="00A15DA9"/>
    <w:rsid w:val="00A1778D"/>
    <w:rsid w:val="00A20F65"/>
    <w:rsid w:val="00A22306"/>
    <w:rsid w:val="00A22DA1"/>
    <w:rsid w:val="00A23D6B"/>
    <w:rsid w:val="00A24B69"/>
    <w:rsid w:val="00A2635B"/>
    <w:rsid w:val="00A27C41"/>
    <w:rsid w:val="00A30EF8"/>
    <w:rsid w:val="00A33386"/>
    <w:rsid w:val="00A33E2E"/>
    <w:rsid w:val="00A354E3"/>
    <w:rsid w:val="00A360B0"/>
    <w:rsid w:val="00A37557"/>
    <w:rsid w:val="00A4091E"/>
    <w:rsid w:val="00A40B96"/>
    <w:rsid w:val="00A41562"/>
    <w:rsid w:val="00A4286D"/>
    <w:rsid w:val="00A4471E"/>
    <w:rsid w:val="00A4644E"/>
    <w:rsid w:val="00A464E1"/>
    <w:rsid w:val="00A465D3"/>
    <w:rsid w:val="00A47103"/>
    <w:rsid w:val="00A47A61"/>
    <w:rsid w:val="00A47AEA"/>
    <w:rsid w:val="00A47F1F"/>
    <w:rsid w:val="00A51E15"/>
    <w:rsid w:val="00A52707"/>
    <w:rsid w:val="00A536D8"/>
    <w:rsid w:val="00A53ED2"/>
    <w:rsid w:val="00A545B2"/>
    <w:rsid w:val="00A5499C"/>
    <w:rsid w:val="00A54E47"/>
    <w:rsid w:val="00A55EF7"/>
    <w:rsid w:val="00A57254"/>
    <w:rsid w:val="00A576C0"/>
    <w:rsid w:val="00A605CA"/>
    <w:rsid w:val="00A60EEE"/>
    <w:rsid w:val="00A6229E"/>
    <w:rsid w:val="00A6463F"/>
    <w:rsid w:val="00A64A3A"/>
    <w:rsid w:val="00A651EF"/>
    <w:rsid w:val="00A65F00"/>
    <w:rsid w:val="00A674E6"/>
    <w:rsid w:val="00A71CEA"/>
    <w:rsid w:val="00A71D91"/>
    <w:rsid w:val="00A731BE"/>
    <w:rsid w:val="00A73534"/>
    <w:rsid w:val="00A73FA9"/>
    <w:rsid w:val="00A7423A"/>
    <w:rsid w:val="00A743E0"/>
    <w:rsid w:val="00A74A35"/>
    <w:rsid w:val="00A756A3"/>
    <w:rsid w:val="00A75923"/>
    <w:rsid w:val="00A75A64"/>
    <w:rsid w:val="00A80757"/>
    <w:rsid w:val="00A8142D"/>
    <w:rsid w:val="00A81BE4"/>
    <w:rsid w:val="00A83409"/>
    <w:rsid w:val="00A8436C"/>
    <w:rsid w:val="00A84993"/>
    <w:rsid w:val="00A86F2D"/>
    <w:rsid w:val="00A900E6"/>
    <w:rsid w:val="00A913B0"/>
    <w:rsid w:val="00A9266C"/>
    <w:rsid w:val="00A92DF7"/>
    <w:rsid w:val="00A92E9E"/>
    <w:rsid w:val="00A938C9"/>
    <w:rsid w:val="00A9435F"/>
    <w:rsid w:val="00A96C2F"/>
    <w:rsid w:val="00A96E4E"/>
    <w:rsid w:val="00A97CE3"/>
    <w:rsid w:val="00AA032F"/>
    <w:rsid w:val="00AA03E8"/>
    <w:rsid w:val="00AA09D9"/>
    <w:rsid w:val="00AA0DA9"/>
    <w:rsid w:val="00AA1E3A"/>
    <w:rsid w:val="00AA32FB"/>
    <w:rsid w:val="00AA41E2"/>
    <w:rsid w:val="00AA4528"/>
    <w:rsid w:val="00AA47C1"/>
    <w:rsid w:val="00AA4FCA"/>
    <w:rsid w:val="00AA7D19"/>
    <w:rsid w:val="00AB02D8"/>
    <w:rsid w:val="00AB33BB"/>
    <w:rsid w:val="00AB459F"/>
    <w:rsid w:val="00AB603D"/>
    <w:rsid w:val="00AB6B14"/>
    <w:rsid w:val="00AB6B58"/>
    <w:rsid w:val="00AB6B62"/>
    <w:rsid w:val="00AB6C8A"/>
    <w:rsid w:val="00AC1039"/>
    <w:rsid w:val="00AC5E2D"/>
    <w:rsid w:val="00AC78C7"/>
    <w:rsid w:val="00AD0B03"/>
    <w:rsid w:val="00AD1B31"/>
    <w:rsid w:val="00AD2F78"/>
    <w:rsid w:val="00AD46FE"/>
    <w:rsid w:val="00AD4EBC"/>
    <w:rsid w:val="00AD62FF"/>
    <w:rsid w:val="00AD7D68"/>
    <w:rsid w:val="00AE0D61"/>
    <w:rsid w:val="00AE2F54"/>
    <w:rsid w:val="00AE31C5"/>
    <w:rsid w:val="00AE32E8"/>
    <w:rsid w:val="00AE3BF1"/>
    <w:rsid w:val="00AF150D"/>
    <w:rsid w:val="00AF166B"/>
    <w:rsid w:val="00AF4F1F"/>
    <w:rsid w:val="00AF537D"/>
    <w:rsid w:val="00AF55F4"/>
    <w:rsid w:val="00AF6A46"/>
    <w:rsid w:val="00B00557"/>
    <w:rsid w:val="00B00EAA"/>
    <w:rsid w:val="00B02EC7"/>
    <w:rsid w:val="00B04949"/>
    <w:rsid w:val="00B04C25"/>
    <w:rsid w:val="00B04EF2"/>
    <w:rsid w:val="00B05805"/>
    <w:rsid w:val="00B06227"/>
    <w:rsid w:val="00B117EC"/>
    <w:rsid w:val="00B1295A"/>
    <w:rsid w:val="00B12AE9"/>
    <w:rsid w:val="00B15256"/>
    <w:rsid w:val="00B15690"/>
    <w:rsid w:val="00B15D71"/>
    <w:rsid w:val="00B15DD3"/>
    <w:rsid w:val="00B207E8"/>
    <w:rsid w:val="00B227D9"/>
    <w:rsid w:val="00B23E7F"/>
    <w:rsid w:val="00B3051D"/>
    <w:rsid w:val="00B32089"/>
    <w:rsid w:val="00B33110"/>
    <w:rsid w:val="00B34BE7"/>
    <w:rsid w:val="00B34EF6"/>
    <w:rsid w:val="00B359EF"/>
    <w:rsid w:val="00B37370"/>
    <w:rsid w:val="00B37449"/>
    <w:rsid w:val="00B3744F"/>
    <w:rsid w:val="00B400AA"/>
    <w:rsid w:val="00B40259"/>
    <w:rsid w:val="00B403B3"/>
    <w:rsid w:val="00B4053F"/>
    <w:rsid w:val="00B409D1"/>
    <w:rsid w:val="00B4163B"/>
    <w:rsid w:val="00B45937"/>
    <w:rsid w:val="00B46AE1"/>
    <w:rsid w:val="00B46D6F"/>
    <w:rsid w:val="00B517B6"/>
    <w:rsid w:val="00B52362"/>
    <w:rsid w:val="00B52834"/>
    <w:rsid w:val="00B52B19"/>
    <w:rsid w:val="00B52B6A"/>
    <w:rsid w:val="00B531FF"/>
    <w:rsid w:val="00B53AD2"/>
    <w:rsid w:val="00B545C5"/>
    <w:rsid w:val="00B56A4A"/>
    <w:rsid w:val="00B56F0D"/>
    <w:rsid w:val="00B57899"/>
    <w:rsid w:val="00B60821"/>
    <w:rsid w:val="00B60D62"/>
    <w:rsid w:val="00B61463"/>
    <w:rsid w:val="00B62894"/>
    <w:rsid w:val="00B62B34"/>
    <w:rsid w:val="00B640DA"/>
    <w:rsid w:val="00B64EAD"/>
    <w:rsid w:val="00B658AF"/>
    <w:rsid w:val="00B73518"/>
    <w:rsid w:val="00B738F2"/>
    <w:rsid w:val="00B74C6A"/>
    <w:rsid w:val="00B74F91"/>
    <w:rsid w:val="00B76B55"/>
    <w:rsid w:val="00B76D59"/>
    <w:rsid w:val="00B77024"/>
    <w:rsid w:val="00B773D4"/>
    <w:rsid w:val="00B77DB9"/>
    <w:rsid w:val="00B802DF"/>
    <w:rsid w:val="00B81390"/>
    <w:rsid w:val="00B8187D"/>
    <w:rsid w:val="00B81D49"/>
    <w:rsid w:val="00B821D8"/>
    <w:rsid w:val="00B837CB"/>
    <w:rsid w:val="00B83A55"/>
    <w:rsid w:val="00B854D9"/>
    <w:rsid w:val="00B86D70"/>
    <w:rsid w:val="00B909BB"/>
    <w:rsid w:val="00B9274C"/>
    <w:rsid w:val="00B9293A"/>
    <w:rsid w:val="00B9773D"/>
    <w:rsid w:val="00B97BD2"/>
    <w:rsid w:val="00BA05E4"/>
    <w:rsid w:val="00BA0D85"/>
    <w:rsid w:val="00BA2DB9"/>
    <w:rsid w:val="00BA3CDC"/>
    <w:rsid w:val="00BA3F2E"/>
    <w:rsid w:val="00BA4AFC"/>
    <w:rsid w:val="00BA539B"/>
    <w:rsid w:val="00BA5975"/>
    <w:rsid w:val="00BB06ED"/>
    <w:rsid w:val="00BB34FF"/>
    <w:rsid w:val="00BB383A"/>
    <w:rsid w:val="00BB61F5"/>
    <w:rsid w:val="00BC06F1"/>
    <w:rsid w:val="00BC0759"/>
    <w:rsid w:val="00BC245E"/>
    <w:rsid w:val="00BC24CF"/>
    <w:rsid w:val="00BC31F4"/>
    <w:rsid w:val="00BC32AB"/>
    <w:rsid w:val="00BC416C"/>
    <w:rsid w:val="00BC4DC4"/>
    <w:rsid w:val="00BC4EA5"/>
    <w:rsid w:val="00BC569E"/>
    <w:rsid w:val="00BC5A1B"/>
    <w:rsid w:val="00BC5B1B"/>
    <w:rsid w:val="00BC5E88"/>
    <w:rsid w:val="00BC66C0"/>
    <w:rsid w:val="00BC76F4"/>
    <w:rsid w:val="00BC7785"/>
    <w:rsid w:val="00BD165D"/>
    <w:rsid w:val="00BD1AE3"/>
    <w:rsid w:val="00BD2A96"/>
    <w:rsid w:val="00BD4024"/>
    <w:rsid w:val="00BD4CDE"/>
    <w:rsid w:val="00BD4D23"/>
    <w:rsid w:val="00BD50C8"/>
    <w:rsid w:val="00BD604F"/>
    <w:rsid w:val="00BD65F4"/>
    <w:rsid w:val="00BD6C39"/>
    <w:rsid w:val="00BE27DA"/>
    <w:rsid w:val="00BE4049"/>
    <w:rsid w:val="00BE4C7C"/>
    <w:rsid w:val="00BE5888"/>
    <w:rsid w:val="00BE632A"/>
    <w:rsid w:val="00BE6DCD"/>
    <w:rsid w:val="00BE70D4"/>
    <w:rsid w:val="00BE7148"/>
    <w:rsid w:val="00BF1062"/>
    <w:rsid w:val="00BF19CA"/>
    <w:rsid w:val="00BF276E"/>
    <w:rsid w:val="00BF3224"/>
    <w:rsid w:val="00BF4F12"/>
    <w:rsid w:val="00BF6867"/>
    <w:rsid w:val="00BF7767"/>
    <w:rsid w:val="00BF7BC9"/>
    <w:rsid w:val="00C03B60"/>
    <w:rsid w:val="00C03F10"/>
    <w:rsid w:val="00C03FBA"/>
    <w:rsid w:val="00C0423D"/>
    <w:rsid w:val="00C055D9"/>
    <w:rsid w:val="00C05A27"/>
    <w:rsid w:val="00C05C96"/>
    <w:rsid w:val="00C06AAE"/>
    <w:rsid w:val="00C07173"/>
    <w:rsid w:val="00C104C2"/>
    <w:rsid w:val="00C109D6"/>
    <w:rsid w:val="00C119B0"/>
    <w:rsid w:val="00C14F7E"/>
    <w:rsid w:val="00C163B9"/>
    <w:rsid w:val="00C1690B"/>
    <w:rsid w:val="00C17E6B"/>
    <w:rsid w:val="00C20B55"/>
    <w:rsid w:val="00C20C98"/>
    <w:rsid w:val="00C211C2"/>
    <w:rsid w:val="00C22FA7"/>
    <w:rsid w:val="00C233D3"/>
    <w:rsid w:val="00C234BD"/>
    <w:rsid w:val="00C23A82"/>
    <w:rsid w:val="00C24F50"/>
    <w:rsid w:val="00C25EB7"/>
    <w:rsid w:val="00C268D3"/>
    <w:rsid w:val="00C26B74"/>
    <w:rsid w:val="00C316FE"/>
    <w:rsid w:val="00C3215B"/>
    <w:rsid w:val="00C32D98"/>
    <w:rsid w:val="00C33CD3"/>
    <w:rsid w:val="00C342A3"/>
    <w:rsid w:val="00C3454D"/>
    <w:rsid w:val="00C359BC"/>
    <w:rsid w:val="00C3617B"/>
    <w:rsid w:val="00C400AE"/>
    <w:rsid w:val="00C4039F"/>
    <w:rsid w:val="00C41EB6"/>
    <w:rsid w:val="00C4201E"/>
    <w:rsid w:val="00C42756"/>
    <w:rsid w:val="00C44433"/>
    <w:rsid w:val="00C4610E"/>
    <w:rsid w:val="00C46E22"/>
    <w:rsid w:val="00C46EEB"/>
    <w:rsid w:val="00C47ECD"/>
    <w:rsid w:val="00C50071"/>
    <w:rsid w:val="00C500AD"/>
    <w:rsid w:val="00C50656"/>
    <w:rsid w:val="00C508D7"/>
    <w:rsid w:val="00C51026"/>
    <w:rsid w:val="00C51050"/>
    <w:rsid w:val="00C513C5"/>
    <w:rsid w:val="00C531AF"/>
    <w:rsid w:val="00C537BB"/>
    <w:rsid w:val="00C545CA"/>
    <w:rsid w:val="00C5577E"/>
    <w:rsid w:val="00C562E5"/>
    <w:rsid w:val="00C5695C"/>
    <w:rsid w:val="00C62F3C"/>
    <w:rsid w:val="00C6355F"/>
    <w:rsid w:val="00C637C6"/>
    <w:rsid w:val="00C66598"/>
    <w:rsid w:val="00C66860"/>
    <w:rsid w:val="00C66E70"/>
    <w:rsid w:val="00C67062"/>
    <w:rsid w:val="00C70E87"/>
    <w:rsid w:val="00C7158C"/>
    <w:rsid w:val="00C72B8E"/>
    <w:rsid w:val="00C730FC"/>
    <w:rsid w:val="00C7343E"/>
    <w:rsid w:val="00C73823"/>
    <w:rsid w:val="00C74B7E"/>
    <w:rsid w:val="00C74DA8"/>
    <w:rsid w:val="00C763E0"/>
    <w:rsid w:val="00C80744"/>
    <w:rsid w:val="00C8154F"/>
    <w:rsid w:val="00C819A0"/>
    <w:rsid w:val="00C8311A"/>
    <w:rsid w:val="00C834CE"/>
    <w:rsid w:val="00C83CE7"/>
    <w:rsid w:val="00C842CD"/>
    <w:rsid w:val="00C85193"/>
    <w:rsid w:val="00C85C60"/>
    <w:rsid w:val="00C85F61"/>
    <w:rsid w:val="00C90CD3"/>
    <w:rsid w:val="00C93428"/>
    <w:rsid w:val="00C9399E"/>
    <w:rsid w:val="00C94869"/>
    <w:rsid w:val="00C968E0"/>
    <w:rsid w:val="00C97ED6"/>
    <w:rsid w:val="00CA080E"/>
    <w:rsid w:val="00CA0B66"/>
    <w:rsid w:val="00CA5762"/>
    <w:rsid w:val="00CA6061"/>
    <w:rsid w:val="00CA6304"/>
    <w:rsid w:val="00CA6E39"/>
    <w:rsid w:val="00CB0340"/>
    <w:rsid w:val="00CB0568"/>
    <w:rsid w:val="00CB108F"/>
    <w:rsid w:val="00CB2AB6"/>
    <w:rsid w:val="00CB735C"/>
    <w:rsid w:val="00CB7F9D"/>
    <w:rsid w:val="00CC22AB"/>
    <w:rsid w:val="00CC2DD6"/>
    <w:rsid w:val="00CC32F5"/>
    <w:rsid w:val="00CC4175"/>
    <w:rsid w:val="00CC5D96"/>
    <w:rsid w:val="00CD0CCE"/>
    <w:rsid w:val="00CD1CEB"/>
    <w:rsid w:val="00CD3579"/>
    <w:rsid w:val="00CD53B0"/>
    <w:rsid w:val="00CD54AF"/>
    <w:rsid w:val="00CD599B"/>
    <w:rsid w:val="00CD68BE"/>
    <w:rsid w:val="00CD7CF3"/>
    <w:rsid w:val="00CE1DE3"/>
    <w:rsid w:val="00CE3186"/>
    <w:rsid w:val="00CE408D"/>
    <w:rsid w:val="00CE6267"/>
    <w:rsid w:val="00CE64D6"/>
    <w:rsid w:val="00CE678A"/>
    <w:rsid w:val="00CF0222"/>
    <w:rsid w:val="00CF0E7C"/>
    <w:rsid w:val="00CF0F74"/>
    <w:rsid w:val="00CF2B90"/>
    <w:rsid w:val="00CF4279"/>
    <w:rsid w:val="00CF49A8"/>
    <w:rsid w:val="00CF6E13"/>
    <w:rsid w:val="00D011D4"/>
    <w:rsid w:val="00D0240D"/>
    <w:rsid w:val="00D04519"/>
    <w:rsid w:val="00D05293"/>
    <w:rsid w:val="00D054AA"/>
    <w:rsid w:val="00D06196"/>
    <w:rsid w:val="00D076D8"/>
    <w:rsid w:val="00D07ABF"/>
    <w:rsid w:val="00D12ED1"/>
    <w:rsid w:val="00D139B0"/>
    <w:rsid w:val="00D14D90"/>
    <w:rsid w:val="00D15556"/>
    <w:rsid w:val="00D15CA9"/>
    <w:rsid w:val="00D15F2B"/>
    <w:rsid w:val="00D17B25"/>
    <w:rsid w:val="00D20898"/>
    <w:rsid w:val="00D3056F"/>
    <w:rsid w:val="00D31206"/>
    <w:rsid w:val="00D31648"/>
    <w:rsid w:val="00D31BC6"/>
    <w:rsid w:val="00D33A88"/>
    <w:rsid w:val="00D41432"/>
    <w:rsid w:val="00D41D4B"/>
    <w:rsid w:val="00D41FC8"/>
    <w:rsid w:val="00D42E36"/>
    <w:rsid w:val="00D43363"/>
    <w:rsid w:val="00D450D5"/>
    <w:rsid w:val="00D45420"/>
    <w:rsid w:val="00D45BD3"/>
    <w:rsid w:val="00D4629F"/>
    <w:rsid w:val="00D46D62"/>
    <w:rsid w:val="00D51C6F"/>
    <w:rsid w:val="00D52B3E"/>
    <w:rsid w:val="00D52D8F"/>
    <w:rsid w:val="00D54BD6"/>
    <w:rsid w:val="00D54F8E"/>
    <w:rsid w:val="00D57227"/>
    <w:rsid w:val="00D57524"/>
    <w:rsid w:val="00D57A71"/>
    <w:rsid w:val="00D6031F"/>
    <w:rsid w:val="00D65E52"/>
    <w:rsid w:val="00D706A3"/>
    <w:rsid w:val="00D70AFD"/>
    <w:rsid w:val="00D70C69"/>
    <w:rsid w:val="00D70E6F"/>
    <w:rsid w:val="00D72609"/>
    <w:rsid w:val="00D72757"/>
    <w:rsid w:val="00D7343A"/>
    <w:rsid w:val="00D7499B"/>
    <w:rsid w:val="00D76395"/>
    <w:rsid w:val="00D77D3A"/>
    <w:rsid w:val="00D8000B"/>
    <w:rsid w:val="00D81998"/>
    <w:rsid w:val="00D82084"/>
    <w:rsid w:val="00D82214"/>
    <w:rsid w:val="00D83C9E"/>
    <w:rsid w:val="00D83CA7"/>
    <w:rsid w:val="00D85B9F"/>
    <w:rsid w:val="00D86795"/>
    <w:rsid w:val="00D86CAC"/>
    <w:rsid w:val="00D8730A"/>
    <w:rsid w:val="00D87CFB"/>
    <w:rsid w:val="00D90EB5"/>
    <w:rsid w:val="00D91083"/>
    <w:rsid w:val="00D9120E"/>
    <w:rsid w:val="00D93866"/>
    <w:rsid w:val="00D93EF5"/>
    <w:rsid w:val="00D94018"/>
    <w:rsid w:val="00D94CCF"/>
    <w:rsid w:val="00D94E8A"/>
    <w:rsid w:val="00D963F1"/>
    <w:rsid w:val="00D97ECD"/>
    <w:rsid w:val="00DA0288"/>
    <w:rsid w:val="00DA0870"/>
    <w:rsid w:val="00DA0DB6"/>
    <w:rsid w:val="00DA162A"/>
    <w:rsid w:val="00DA236F"/>
    <w:rsid w:val="00DA2A81"/>
    <w:rsid w:val="00DA3F4F"/>
    <w:rsid w:val="00DA5893"/>
    <w:rsid w:val="00DA6432"/>
    <w:rsid w:val="00DB00AC"/>
    <w:rsid w:val="00DB00D5"/>
    <w:rsid w:val="00DB0E14"/>
    <w:rsid w:val="00DB12D1"/>
    <w:rsid w:val="00DB19E9"/>
    <w:rsid w:val="00DB24AF"/>
    <w:rsid w:val="00DB42DF"/>
    <w:rsid w:val="00DB4B44"/>
    <w:rsid w:val="00DB52AA"/>
    <w:rsid w:val="00DB66A3"/>
    <w:rsid w:val="00DB7443"/>
    <w:rsid w:val="00DB7B58"/>
    <w:rsid w:val="00DB7FC7"/>
    <w:rsid w:val="00DC0777"/>
    <w:rsid w:val="00DC0A5C"/>
    <w:rsid w:val="00DC24DC"/>
    <w:rsid w:val="00DC3ED7"/>
    <w:rsid w:val="00DC5FF9"/>
    <w:rsid w:val="00DD088E"/>
    <w:rsid w:val="00DD1AF7"/>
    <w:rsid w:val="00DD2EBF"/>
    <w:rsid w:val="00DD344D"/>
    <w:rsid w:val="00DD38DC"/>
    <w:rsid w:val="00DD3E29"/>
    <w:rsid w:val="00DD716D"/>
    <w:rsid w:val="00DD7E17"/>
    <w:rsid w:val="00DE0B9A"/>
    <w:rsid w:val="00DE1732"/>
    <w:rsid w:val="00DE1845"/>
    <w:rsid w:val="00DE2742"/>
    <w:rsid w:val="00DE508E"/>
    <w:rsid w:val="00DE5213"/>
    <w:rsid w:val="00DE5528"/>
    <w:rsid w:val="00DE621B"/>
    <w:rsid w:val="00DE658A"/>
    <w:rsid w:val="00DE71F1"/>
    <w:rsid w:val="00DF1524"/>
    <w:rsid w:val="00DF26B5"/>
    <w:rsid w:val="00DF5CCB"/>
    <w:rsid w:val="00DF5E3B"/>
    <w:rsid w:val="00DF61AB"/>
    <w:rsid w:val="00DF71B3"/>
    <w:rsid w:val="00E005E0"/>
    <w:rsid w:val="00E04F5F"/>
    <w:rsid w:val="00E0533A"/>
    <w:rsid w:val="00E06723"/>
    <w:rsid w:val="00E0689D"/>
    <w:rsid w:val="00E10E99"/>
    <w:rsid w:val="00E12577"/>
    <w:rsid w:val="00E12870"/>
    <w:rsid w:val="00E16309"/>
    <w:rsid w:val="00E202A2"/>
    <w:rsid w:val="00E205E9"/>
    <w:rsid w:val="00E20BEC"/>
    <w:rsid w:val="00E24894"/>
    <w:rsid w:val="00E27A53"/>
    <w:rsid w:val="00E3014F"/>
    <w:rsid w:val="00E302D9"/>
    <w:rsid w:val="00E30E98"/>
    <w:rsid w:val="00E315E8"/>
    <w:rsid w:val="00E31682"/>
    <w:rsid w:val="00E323D2"/>
    <w:rsid w:val="00E32470"/>
    <w:rsid w:val="00E32F55"/>
    <w:rsid w:val="00E33DFB"/>
    <w:rsid w:val="00E37CD4"/>
    <w:rsid w:val="00E37D68"/>
    <w:rsid w:val="00E4185C"/>
    <w:rsid w:val="00E41E33"/>
    <w:rsid w:val="00E42952"/>
    <w:rsid w:val="00E43048"/>
    <w:rsid w:val="00E43C71"/>
    <w:rsid w:val="00E45038"/>
    <w:rsid w:val="00E45554"/>
    <w:rsid w:val="00E459B7"/>
    <w:rsid w:val="00E4734B"/>
    <w:rsid w:val="00E534E3"/>
    <w:rsid w:val="00E54396"/>
    <w:rsid w:val="00E56861"/>
    <w:rsid w:val="00E5739A"/>
    <w:rsid w:val="00E57965"/>
    <w:rsid w:val="00E617B6"/>
    <w:rsid w:val="00E62A13"/>
    <w:rsid w:val="00E630BF"/>
    <w:rsid w:val="00E6459D"/>
    <w:rsid w:val="00E66A06"/>
    <w:rsid w:val="00E66C31"/>
    <w:rsid w:val="00E67FA0"/>
    <w:rsid w:val="00E700B8"/>
    <w:rsid w:val="00E72E0F"/>
    <w:rsid w:val="00E74A10"/>
    <w:rsid w:val="00E75BD9"/>
    <w:rsid w:val="00E7634E"/>
    <w:rsid w:val="00E76393"/>
    <w:rsid w:val="00E765CA"/>
    <w:rsid w:val="00E76A69"/>
    <w:rsid w:val="00E81C89"/>
    <w:rsid w:val="00E82F46"/>
    <w:rsid w:val="00E83777"/>
    <w:rsid w:val="00E868A3"/>
    <w:rsid w:val="00E873B9"/>
    <w:rsid w:val="00E875B0"/>
    <w:rsid w:val="00E93F35"/>
    <w:rsid w:val="00E96477"/>
    <w:rsid w:val="00E96534"/>
    <w:rsid w:val="00E970CA"/>
    <w:rsid w:val="00EA1761"/>
    <w:rsid w:val="00EA1F93"/>
    <w:rsid w:val="00EA3527"/>
    <w:rsid w:val="00EA5A63"/>
    <w:rsid w:val="00EA5B42"/>
    <w:rsid w:val="00EA621C"/>
    <w:rsid w:val="00EB28F6"/>
    <w:rsid w:val="00EB2E64"/>
    <w:rsid w:val="00EB3AF2"/>
    <w:rsid w:val="00EB47F3"/>
    <w:rsid w:val="00EB4878"/>
    <w:rsid w:val="00EB4E23"/>
    <w:rsid w:val="00EB4E85"/>
    <w:rsid w:val="00EB5E89"/>
    <w:rsid w:val="00EB62DC"/>
    <w:rsid w:val="00EB65A9"/>
    <w:rsid w:val="00EC0AA2"/>
    <w:rsid w:val="00EC23C8"/>
    <w:rsid w:val="00EC37B2"/>
    <w:rsid w:val="00EC4299"/>
    <w:rsid w:val="00EC46C5"/>
    <w:rsid w:val="00EC4B4F"/>
    <w:rsid w:val="00EC4C95"/>
    <w:rsid w:val="00EC5814"/>
    <w:rsid w:val="00EC5DCB"/>
    <w:rsid w:val="00EC66D4"/>
    <w:rsid w:val="00EC73BF"/>
    <w:rsid w:val="00EC7477"/>
    <w:rsid w:val="00ED088B"/>
    <w:rsid w:val="00ED1E5F"/>
    <w:rsid w:val="00ED2558"/>
    <w:rsid w:val="00ED3665"/>
    <w:rsid w:val="00ED46E2"/>
    <w:rsid w:val="00ED4CD0"/>
    <w:rsid w:val="00ED4E08"/>
    <w:rsid w:val="00ED5403"/>
    <w:rsid w:val="00ED5E28"/>
    <w:rsid w:val="00ED6634"/>
    <w:rsid w:val="00ED6E30"/>
    <w:rsid w:val="00EE0251"/>
    <w:rsid w:val="00EE2D2C"/>
    <w:rsid w:val="00EE3D25"/>
    <w:rsid w:val="00EE429E"/>
    <w:rsid w:val="00EE5246"/>
    <w:rsid w:val="00EE54E1"/>
    <w:rsid w:val="00EE6B80"/>
    <w:rsid w:val="00EF0449"/>
    <w:rsid w:val="00EF0F36"/>
    <w:rsid w:val="00EF1183"/>
    <w:rsid w:val="00EF1898"/>
    <w:rsid w:val="00EF1D9B"/>
    <w:rsid w:val="00EF2350"/>
    <w:rsid w:val="00EF2F81"/>
    <w:rsid w:val="00EF613F"/>
    <w:rsid w:val="00F016CD"/>
    <w:rsid w:val="00F04074"/>
    <w:rsid w:val="00F063DF"/>
    <w:rsid w:val="00F11E45"/>
    <w:rsid w:val="00F12763"/>
    <w:rsid w:val="00F12862"/>
    <w:rsid w:val="00F13F38"/>
    <w:rsid w:val="00F14297"/>
    <w:rsid w:val="00F1564A"/>
    <w:rsid w:val="00F16609"/>
    <w:rsid w:val="00F20B5B"/>
    <w:rsid w:val="00F20BB2"/>
    <w:rsid w:val="00F22231"/>
    <w:rsid w:val="00F22C58"/>
    <w:rsid w:val="00F23353"/>
    <w:rsid w:val="00F24910"/>
    <w:rsid w:val="00F24A28"/>
    <w:rsid w:val="00F25169"/>
    <w:rsid w:val="00F26241"/>
    <w:rsid w:val="00F27D64"/>
    <w:rsid w:val="00F312BC"/>
    <w:rsid w:val="00F31C9E"/>
    <w:rsid w:val="00F31CD4"/>
    <w:rsid w:val="00F3275E"/>
    <w:rsid w:val="00F34299"/>
    <w:rsid w:val="00F35356"/>
    <w:rsid w:val="00F37A02"/>
    <w:rsid w:val="00F424E1"/>
    <w:rsid w:val="00F43C41"/>
    <w:rsid w:val="00F44F4D"/>
    <w:rsid w:val="00F46840"/>
    <w:rsid w:val="00F509EA"/>
    <w:rsid w:val="00F52078"/>
    <w:rsid w:val="00F55A39"/>
    <w:rsid w:val="00F55C6C"/>
    <w:rsid w:val="00F56E97"/>
    <w:rsid w:val="00F57B6D"/>
    <w:rsid w:val="00F609CD"/>
    <w:rsid w:val="00F61396"/>
    <w:rsid w:val="00F6179F"/>
    <w:rsid w:val="00F61CF7"/>
    <w:rsid w:val="00F6413C"/>
    <w:rsid w:val="00F658E4"/>
    <w:rsid w:val="00F6659A"/>
    <w:rsid w:val="00F67F3F"/>
    <w:rsid w:val="00F7086A"/>
    <w:rsid w:val="00F7256A"/>
    <w:rsid w:val="00F74ED5"/>
    <w:rsid w:val="00F770C9"/>
    <w:rsid w:val="00F7766D"/>
    <w:rsid w:val="00F805F6"/>
    <w:rsid w:val="00F8449D"/>
    <w:rsid w:val="00F850E4"/>
    <w:rsid w:val="00F910F6"/>
    <w:rsid w:val="00F91AE0"/>
    <w:rsid w:val="00F91E23"/>
    <w:rsid w:val="00F927E7"/>
    <w:rsid w:val="00F92EB6"/>
    <w:rsid w:val="00F978AB"/>
    <w:rsid w:val="00FA08F4"/>
    <w:rsid w:val="00FA5BDC"/>
    <w:rsid w:val="00FA5D2A"/>
    <w:rsid w:val="00FA6146"/>
    <w:rsid w:val="00FA6A23"/>
    <w:rsid w:val="00FA7850"/>
    <w:rsid w:val="00FA7FBC"/>
    <w:rsid w:val="00FB0CD9"/>
    <w:rsid w:val="00FB0CE5"/>
    <w:rsid w:val="00FB1060"/>
    <w:rsid w:val="00FB16CB"/>
    <w:rsid w:val="00FB2BB6"/>
    <w:rsid w:val="00FB34FD"/>
    <w:rsid w:val="00FB4859"/>
    <w:rsid w:val="00FB5514"/>
    <w:rsid w:val="00FB6354"/>
    <w:rsid w:val="00FB6CF9"/>
    <w:rsid w:val="00FB7CE5"/>
    <w:rsid w:val="00FC141E"/>
    <w:rsid w:val="00FC5D06"/>
    <w:rsid w:val="00FC5EA1"/>
    <w:rsid w:val="00FC6116"/>
    <w:rsid w:val="00FC6936"/>
    <w:rsid w:val="00FD1A69"/>
    <w:rsid w:val="00FD22DF"/>
    <w:rsid w:val="00FD230A"/>
    <w:rsid w:val="00FD55CF"/>
    <w:rsid w:val="00FD6887"/>
    <w:rsid w:val="00FD739C"/>
    <w:rsid w:val="00FD7CA1"/>
    <w:rsid w:val="00FE0051"/>
    <w:rsid w:val="00FE05AA"/>
    <w:rsid w:val="00FE166E"/>
    <w:rsid w:val="00FE24CF"/>
    <w:rsid w:val="00FE2FF7"/>
    <w:rsid w:val="00FE36E9"/>
    <w:rsid w:val="00FE4605"/>
    <w:rsid w:val="00FE67D3"/>
    <w:rsid w:val="00FE78C4"/>
    <w:rsid w:val="00FE7F34"/>
    <w:rsid w:val="00FF0979"/>
    <w:rsid w:val="00FF164F"/>
    <w:rsid w:val="00FF253B"/>
    <w:rsid w:val="00FF366E"/>
    <w:rsid w:val="00FF492E"/>
    <w:rsid w:val="00FF4A23"/>
    <w:rsid w:val="00FF4D1F"/>
    <w:rsid w:val="00FF5031"/>
    <w:rsid w:val="00FF51FC"/>
    <w:rsid w:val="00FF54D1"/>
    <w:rsid w:val="00FF5A37"/>
    <w:rsid w:val="00FF6030"/>
    <w:rsid w:val="00FF6DD1"/>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C8F8CC"/>
  <w15:docId w15:val="{4883C7AB-487A-4B7D-9A8E-13EF2ACE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6"/>
  </w:style>
  <w:style w:type="paragraph" w:styleId="Heading1">
    <w:name w:val="heading 1"/>
    <w:basedOn w:val="Heading2"/>
    <w:next w:val="Normal"/>
    <w:link w:val="Heading1Char"/>
    <w:autoRedefine/>
    <w:uiPriority w:val="9"/>
    <w:qFormat/>
    <w:rsid w:val="003B6B59"/>
    <w:pPr>
      <w:numPr>
        <w:ilvl w:val="0"/>
      </w:numPr>
      <w:spacing w:before="480" w:after="240"/>
      <w:outlineLvl w:val="0"/>
    </w:pPr>
    <w:rPr>
      <w:color w:val="6B2976" w:themeColor="accent4"/>
      <w:sz w:val="32"/>
      <w:szCs w:val="32"/>
    </w:rPr>
  </w:style>
  <w:style w:type="paragraph" w:styleId="Heading2">
    <w:name w:val="heading 2"/>
    <w:basedOn w:val="Heading3"/>
    <w:next w:val="Normal"/>
    <w:link w:val="Heading2Char"/>
    <w:autoRedefine/>
    <w:uiPriority w:val="9"/>
    <w:unhideWhenUsed/>
    <w:qFormat/>
    <w:rsid w:val="003B6B59"/>
    <w:pPr>
      <w:numPr>
        <w:ilvl w:val="1"/>
        <w:numId w:val="19"/>
      </w:numPr>
      <w:spacing w:before="400"/>
      <w:outlineLvl w:val="1"/>
    </w:pPr>
    <w:rPr>
      <w:color w:val="000000" w:themeColor="text1"/>
      <w:sz w:val="26"/>
      <w:szCs w:val="26"/>
    </w:rPr>
  </w:style>
  <w:style w:type="paragraph" w:styleId="Heading3">
    <w:name w:val="heading 3"/>
    <w:basedOn w:val="Normal"/>
    <w:next w:val="Normal"/>
    <w:link w:val="Heading3Char"/>
    <w:uiPriority w:val="9"/>
    <w:unhideWhenUsed/>
    <w:qFormat/>
    <w:rsid w:val="003B6B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rsid w:val="00890E49"/>
    <w:pPr>
      <w:keepNext/>
      <w:numPr>
        <w:ilvl w:val="3"/>
        <w:numId w:val="19"/>
      </w:numPr>
      <w:spacing w:before="200"/>
      <w:outlineLvl w:val="3"/>
    </w:pPr>
    <w:rPr>
      <w:u w:val="single"/>
    </w:rPr>
  </w:style>
  <w:style w:type="paragraph" w:styleId="Heading5">
    <w:name w:val="heading 5"/>
    <w:basedOn w:val="Normal"/>
    <w:next w:val="Normal"/>
    <w:link w:val="Heading5Char"/>
    <w:uiPriority w:val="9"/>
    <w:unhideWhenUsed/>
    <w:rsid w:val="003526B1"/>
    <w:pPr>
      <w:numPr>
        <w:ilvl w:val="4"/>
        <w:numId w:val="19"/>
      </w:numPr>
      <w:spacing w:before="200" w:line="240" w:lineRule="auto"/>
      <w:outlineLvl w:val="4"/>
    </w:pPr>
    <w:rPr>
      <w:b/>
    </w:rPr>
  </w:style>
  <w:style w:type="paragraph" w:styleId="Heading6">
    <w:name w:val="heading 6"/>
    <w:basedOn w:val="Normal"/>
    <w:next w:val="Normal"/>
    <w:link w:val="Heading6Char"/>
    <w:uiPriority w:val="9"/>
    <w:unhideWhenUsed/>
    <w:rsid w:val="004B54CA"/>
    <w:pPr>
      <w:numPr>
        <w:ilvl w:val="5"/>
        <w:numId w:val="19"/>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19"/>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19"/>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19"/>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6B59"/>
    <w:rPr>
      <w:b/>
      <w:color w:val="6B2976" w:themeColor="accent4"/>
    </w:rPr>
  </w:style>
  <w:style w:type="character" w:customStyle="1" w:styleId="Heading2Char">
    <w:name w:val="Heading 2 Char"/>
    <w:basedOn w:val="DefaultParagraphFont"/>
    <w:link w:val="Heading2"/>
    <w:uiPriority w:val="9"/>
    <w:rsid w:val="003B6B59"/>
    <w:rPr>
      <w:b/>
      <w:color w:val="000000" w:themeColor="text1"/>
      <w:sz w:val="26"/>
      <w:szCs w:val="26"/>
    </w:rPr>
  </w:style>
  <w:style w:type="character" w:customStyle="1" w:styleId="Heading1Char">
    <w:name w:val="Heading 1 Char"/>
    <w:basedOn w:val="DefaultParagraphFont"/>
    <w:link w:val="Heading1"/>
    <w:uiPriority w:val="9"/>
    <w:rsid w:val="003B6B59"/>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Caption">
    <w:name w:val="caption"/>
    <w:basedOn w:val="Normal"/>
    <w:next w:val="Normal"/>
    <w:link w:val="CaptionChar"/>
    <w:uiPriority w:val="3"/>
    <w:unhideWhenUsed/>
    <w:qFormat/>
    <w:rsid w:val="00066859"/>
    <w:pPr>
      <w:keepNext/>
      <w:spacing w:before="200"/>
      <w:jc w:val="center"/>
    </w:pPr>
    <w:rPr>
      <w:b/>
      <w:bCs/>
      <w:i/>
      <w:sz w:val="20"/>
      <w:szCs w:val="20"/>
    </w:rPr>
  </w:style>
  <w:style w:type="character" w:customStyle="1" w:styleId="CaptionChar">
    <w:name w:val="Caption Char"/>
    <w:basedOn w:val="DefaultParagraphFont"/>
    <w:link w:val="Caption"/>
    <w:uiPriority w:val="3"/>
    <w:rsid w:val="00066859"/>
    <w:rPr>
      <w:b/>
      <w:bCs/>
      <w:i/>
      <w:sz w:val="20"/>
      <w:szCs w:val="20"/>
    </w:rPr>
  </w:style>
  <w:style w:type="paragraph" w:styleId="TOCHeading">
    <w:name w:val="TOC Heading"/>
    <w:basedOn w:val="Heading1"/>
    <w:next w:val="Normal"/>
    <w:uiPriority w:val="39"/>
    <w:unhideWhenUsed/>
    <w:qFormat/>
    <w:rsid w:val="001F10E4"/>
    <w:pPr>
      <w:numPr>
        <w:numId w:val="0"/>
      </w:numPr>
      <w:outlineLvl w:val="9"/>
    </w:pPr>
  </w:style>
  <w:style w:type="paragraph" w:styleId="Header">
    <w:name w:val="header"/>
    <w:basedOn w:val="Normal"/>
    <w:link w:val="HeaderChar"/>
    <w:uiPriority w:val="99"/>
    <w:unhideWhenUsed/>
    <w:qFormat/>
    <w:rsid w:val="00504475"/>
    <w:pPr>
      <w:pBdr>
        <w:bottom w:val="single" w:sz="18" w:space="1" w:color="6B2976" w:themeColor="accent4"/>
      </w:pBdr>
      <w:tabs>
        <w:tab w:val="center" w:pos="4513"/>
        <w:tab w:val="right" w:pos="9026"/>
      </w:tabs>
      <w:spacing w:after="0" w:line="240" w:lineRule="auto"/>
      <w:jc w:val="center"/>
    </w:pPr>
    <w:rPr>
      <w:b/>
      <w:i/>
      <w:color w:val="6B2976" w:themeColor="accent4"/>
      <w:sz w:val="18"/>
      <w:szCs w:val="18"/>
    </w:rPr>
  </w:style>
  <w:style w:type="character" w:customStyle="1" w:styleId="HeaderChar">
    <w:name w:val="Header Char"/>
    <w:basedOn w:val="DefaultParagraphFont"/>
    <w:link w:val="Header"/>
    <w:uiPriority w:val="99"/>
    <w:rsid w:val="00504475"/>
    <w:rPr>
      <w:b/>
      <w:i/>
      <w:color w:val="6B2976" w:themeColor="accent4"/>
      <w:sz w:val="18"/>
      <w:szCs w:val="18"/>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A0008A"/>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BF19CA"/>
    <w:pPr>
      <w:spacing w:before="60" w:after="60" w:line="240" w:lineRule="atLeast"/>
      <w:ind w:left="284" w:hanging="284"/>
    </w:pPr>
    <w:rPr>
      <w:sz w:val="18"/>
      <w:szCs w:val="20"/>
    </w:rPr>
  </w:style>
  <w:style w:type="character" w:customStyle="1" w:styleId="FootnoteTextChar">
    <w:name w:val="Footnote Text Char"/>
    <w:basedOn w:val="DefaultParagraphFont"/>
    <w:link w:val="FootnoteText"/>
    <w:uiPriority w:val="99"/>
    <w:rsid w:val="00BF19CA"/>
    <w:rPr>
      <w:sz w:val="18"/>
      <w:szCs w:val="20"/>
    </w:r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paragraph" w:styleId="TableofFigures">
    <w:name w:val="table of figures"/>
    <w:basedOn w:val="Normal"/>
    <w:next w:val="Normal"/>
    <w:uiPriority w:val="99"/>
    <w:unhideWhenUsed/>
    <w:rsid w:val="00712B50"/>
    <w:pPr>
      <w:spacing w:after="0"/>
      <w:ind w:left="1134" w:right="567" w:hanging="1134"/>
    </w:pPr>
  </w:style>
  <w:style w:type="paragraph" w:customStyle="1" w:styleId="ParagraphStyle">
    <w:name w:val="Paragraph Style"/>
    <w:basedOn w:val="Normal"/>
    <w:link w:val="ParagraphStyleChar"/>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table" w:styleId="GridTable4-Accent4">
    <w:name w:val="Grid Table 4 Accent 4"/>
    <w:basedOn w:val="TableNormal"/>
    <w:uiPriority w:val="49"/>
    <w:rsid w:val="0042216D"/>
    <w:pPr>
      <w:spacing w:before="40" w:after="40" w:line="240" w:lineRule="auto"/>
    </w:pPr>
    <w:rPr>
      <w:sz w:val="18"/>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
    <w:name w:val="Table Grid"/>
    <w:basedOn w:val="TableNormal"/>
    <w:rsid w:val="004221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2216D"/>
    <w:pPr>
      <w:ind w:left="720"/>
      <w:contextualSpacing/>
    </w:pPr>
  </w:style>
  <w:style w:type="paragraph" w:customStyle="1" w:styleId="DotPoint">
    <w:name w:val="Dot Point"/>
    <w:basedOn w:val="ListParagraph"/>
    <w:link w:val="DotPointChar"/>
    <w:qFormat/>
    <w:rsid w:val="00BD6C39"/>
    <w:pPr>
      <w:numPr>
        <w:numId w:val="32"/>
      </w:numPr>
      <w:contextualSpacing w:val="0"/>
    </w:pPr>
  </w:style>
  <w:style w:type="character" w:styleId="CommentReference">
    <w:name w:val="annotation reference"/>
    <w:basedOn w:val="DefaultParagraphFont"/>
    <w:uiPriority w:val="99"/>
    <w:unhideWhenUsed/>
    <w:rsid w:val="00332774"/>
    <w:rPr>
      <w:sz w:val="16"/>
      <w:szCs w:val="16"/>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2216D"/>
  </w:style>
  <w:style w:type="character" w:customStyle="1" w:styleId="DotPointChar">
    <w:name w:val="Dot Point Char"/>
    <w:basedOn w:val="ListParagraphChar"/>
    <w:link w:val="DotPoint"/>
    <w:rsid w:val="00BD6C39"/>
  </w:style>
  <w:style w:type="paragraph" w:styleId="CommentText">
    <w:name w:val="annotation text"/>
    <w:basedOn w:val="Normal"/>
    <w:link w:val="CommentTextChar"/>
    <w:uiPriority w:val="99"/>
    <w:unhideWhenUsed/>
    <w:rsid w:val="00332774"/>
    <w:pPr>
      <w:spacing w:line="240" w:lineRule="auto"/>
    </w:pPr>
    <w:rPr>
      <w:sz w:val="20"/>
      <w:szCs w:val="20"/>
    </w:rPr>
  </w:style>
  <w:style w:type="character" w:customStyle="1" w:styleId="CommentTextChar">
    <w:name w:val="Comment Text Char"/>
    <w:basedOn w:val="DefaultParagraphFont"/>
    <w:link w:val="CommentText"/>
    <w:uiPriority w:val="99"/>
    <w:rsid w:val="00332774"/>
    <w:rPr>
      <w:sz w:val="20"/>
      <w:szCs w:val="20"/>
    </w:rPr>
  </w:style>
  <w:style w:type="paragraph" w:styleId="BalloonText">
    <w:name w:val="Balloon Text"/>
    <w:basedOn w:val="Normal"/>
    <w:link w:val="BalloonTextChar"/>
    <w:uiPriority w:val="99"/>
    <w:semiHidden/>
    <w:unhideWhenUsed/>
    <w:rsid w:val="0033277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9519859">
      <w:bodyDiv w:val="1"/>
      <w:marLeft w:val="0"/>
      <w:marRight w:val="0"/>
      <w:marTop w:val="0"/>
      <w:marBottom w:val="0"/>
      <w:divBdr>
        <w:top w:val="none" w:sz="0" w:space="0" w:color="auto"/>
        <w:left w:val="none" w:sz="0" w:space="0" w:color="auto"/>
        <w:bottom w:val="none" w:sz="0" w:space="0" w:color="auto"/>
        <w:right w:val="none" w:sz="0" w:space="0" w:color="auto"/>
      </w:divBdr>
    </w:div>
    <w:div w:id="508645945">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703482161">
      <w:bodyDiv w:val="1"/>
      <w:marLeft w:val="0"/>
      <w:marRight w:val="0"/>
      <w:marTop w:val="0"/>
      <w:marBottom w:val="0"/>
      <w:divBdr>
        <w:top w:val="none" w:sz="0" w:space="0" w:color="auto"/>
        <w:left w:val="none" w:sz="0" w:space="0" w:color="auto"/>
        <w:bottom w:val="none" w:sz="0" w:space="0" w:color="auto"/>
        <w:right w:val="none" w:sz="0" w:space="0" w:color="auto"/>
      </w:divBdr>
    </w:div>
    <w:div w:id="731662850">
      <w:bodyDiv w:val="1"/>
      <w:marLeft w:val="0"/>
      <w:marRight w:val="0"/>
      <w:marTop w:val="0"/>
      <w:marBottom w:val="0"/>
      <w:divBdr>
        <w:top w:val="none" w:sz="0" w:space="0" w:color="auto"/>
        <w:left w:val="none" w:sz="0" w:space="0" w:color="auto"/>
        <w:bottom w:val="none" w:sz="0" w:space="0" w:color="auto"/>
        <w:right w:val="none" w:sz="0" w:space="0" w:color="auto"/>
      </w:divBdr>
    </w:div>
    <w:div w:id="772557482">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908885134">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635141400">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00626449">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ndis.gov.au/providers/price-guides-and-pric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9.emf"/><Relationship Id="rId33" Type="http://schemas.openxmlformats.org/officeDocument/2006/relationships/hyperlink" Target="https://www.ndis.gov.au/media/2413/downlo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hyperlink" Target="https://www.ndis.gov.au/media/1820/downloa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hyperlink" Target="https://blcw.dss.gov.au/" TargetMode="Externa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ourguidelines.ndis.gov.au/supports-you-can-access-menu/home-and-living-supports/supported-independent-liv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emf"/><Relationship Id="rId30" Type="http://schemas.openxmlformats.org/officeDocument/2006/relationships/image" Target="media/image13.png"/><Relationship Id="rId35" Type="http://schemas.openxmlformats.org/officeDocument/2006/relationships/hyperlink" Target="https://www.ndis.gov.au/providers/price-guides-and-pricing/benchmarking-surveys-and-repor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media/2413/download" TargetMode="External"/><Relationship Id="rId2" Type="http://schemas.openxmlformats.org/officeDocument/2006/relationships/hyperlink" Target="https://www.ndis.gov.au/media/1820/download" TargetMode="External"/><Relationship Id="rId1" Type="http://schemas.openxmlformats.org/officeDocument/2006/relationships/hyperlink" Target="https://ourguidelines.ndis.gov.au/supports-you-can-access-menu/home-and-living-supports/supported-independent-living" TargetMode="External"/><Relationship Id="rId6" Type="http://schemas.openxmlformats.org/officeDocument/2006/relationships/hyperlink" Target="https://blcw.dss.gov.au/" TargetMode="External"/><Relationship Id="rId5" Type="http://schemas.openxmlformats.org/officeDocument/2006/relationships/hyperlink" Target="https://www.ndis.gov.au/providers/price-guides-and-pricing/benchmarking-surveys-and-reports" TargetMode="External"/><Relationship Id="rId4" Type="http://schemas.openxmlformats.org/officeDocument/2006/relationships/hyperlink" Target="https://www.ndis.gov.au/providers/price-guides-and-pricing"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5895D25-CC88-47F4-A57F-B8C85ACDD372}"/>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9b9117da-5c94-4194-a5dc-a98522b649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23bed50-e9eb-4705-bab5-8ac15c2bff2a"/>
    <ds:schemaRef ds:uri="http://www.w3.org/XML/1998/namespace"/>
    <ds:schemaRef ds:uri="http://purl.org/dc/dcmitype/"/>
  </ds:schemaRefs>
</ds:datastoreItem>
</file>

<file path=customXml/itemProps4.xml><?xml version="1.0" encoding="utf-8"?>
<ds:datastoreItem xmlns:ds="http://schemas.openxmlformats.org/officeDocument/2006/customXml" ds:itemID="{51BFFBFD-5A18-4DD9-AED9-74B3F19A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14593</Words>
  <Characters>83183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97581</CharactersWithSpaces>
  <SharedDoc>false</SharedDoc>
  <HLinks>
    <vt:vector size="66" baseType="variant">
      <vt:variant>
        <vt:i4>5701685</vt:i4>
      </vt:variant>
      <vt:variant>
        <vt:i4>45</vt:i4>
      </vt:variant>
      <vt:variant>
        <vt:i4>0</vt:i4>
      </vt:variant>
      <vt:variant>
        <vt:i4>5</vt:i4>
      </vt:variant>
      <vt:variant>
        <vt:lpwstr>mailto:SILpricingreview@deloitte.com.au</vt:lpwstr>
      </vt:variant>
      <vt:variant>
        <vt:lpwstr/>
      </vt:variant>
      <vt:variant>
        <vt:i4>1245234</vt:i4>
      </vt:variant>
      <vt:variant>
        <vt:i4>38</vt:i4>
      </vt:variant>
      <vt:variant>
        <vt:i4>0</vt:i4>
      </vt:variant>
      <vt:variant>
        <vt:i4>5</vt:i4>
      </vt:variant>
      <vt:variant>
        <vt:lpwstr/>
      </vt:variant>
      <vt:variant>
        <vt:lpwstr>_Toc48034827</vt:lpwstr>
      </vt:variant>
      <vt:variant>
        <vt:i4>1179698</vt:i4>
      </vt:variant>
      <vt:variant>
        <vt:i4>32</vt:i4>
      </vt:variant>
      <vt:variant>
        <vt:i4>0</vt:i4>
      </vt:variant>
      <vt:variant>
        <vt:i4>5</vt:i4>
      </vt:variant>
      <vt:variant>
        <vt:lpwstr/>
      </vt:variant>
      <vt:variant>
        <vt:lpwstr>_Toc48034826</vt:lpwstr>
      </vt:variant>
      <vt:variant>
        <vt:i4>1114162</vt:i4>
      </vt:variant>
      <vt:variant>
        <vt:i4>26</vt:i4>
      </vt:variant>
      <vt:variant>
        <vt:i4>0</vt:i4>
      </vt:variant>
      <vt:variant>
        <vt:i4>5</vt:i4>
      </vt:variant>
      <vt:variant>
        <vt:lpwstr/>
      </vt:variant>
      <vt:variant>
        <vt:lpwstr>_Toc48034825</vt:lpwstr>
      </vt:variant>
      <vt:variant>
        <vt:i4>1048626</vt:i4>
      </vt:variant>
      <vt:variant>
        <vt:i4>20</vt:i4>
      </vt:variant>
      <vt:variant>
        <vt:i4>0</vt:i4>
      </vt:variant>
      <vt:variant>
        <vt:i4>5</vt:i4>
      </vt:variant>
      <vt:variant>
        <vt:lpwstr/>
      </vt:variant>
      <vt:variant>
        <vt:lpwstr>_Toc48034824</vt:lpwstr>
      </vt:variant>
      <vt:variant>
        <vt:i4>1507378</vt:i4>
      </vt:variant>
      <vt:variant>
        <vt:i4>14</vt:i4>
      </vt:variant>
      <vt:variant>
        <vt:i4>0</vt:i4>
      </vt:variant>
      <vt:variant>
        <vt:i4>5</vt:i4>
      </vt:variant>
      <vt:variant>
        <vt:lpwstr/>
      </vt:variant>
      <vt:variant>
        <vt:lpwstr>_Toc48034823</vt:lpwstr>
      </vt:variant>
      <vt:variant>
        <vt:i4>1441842</vt:i4>
      </vt:variant>
      <vt:variant>
        <vt:i4>8</vt:i4>
      </vt:variant>
      <vt:variant>
        <vt:i4>0</vt:i4>
      </vt:variant>
      <vt:variant>
        <vt:i4>5</vt:i4>
      </vt:variant>
      <vt:variant>
        <vt:lpwstr/>
      </vt:variant>
      <vt:variant>
        <vt:lpwstr>_Toc48034822</vt:lpwstr>
      </vt:variant>
      <vt:variant>
        <vt:i4>7405627</vt:i4>
      </vt:variant>
      <vt:variant>
        <vt:i4>3</vt:i4>
      </vt:variant>
      <vt:variant>
        <vt:i4>0</vt:i4>
      </vt:variant>
      <vt:variant>
        <vt:i4>5</vt:i4>
      </vt:variant>
      <vt:variant>
        <vt:lpwstr>https://www.ndis.gov.au/providers/price-guides-and-pricing</vt:lpwstr>
      </vt:variant>
      <vt:variant>
        <vt:lpwstr/>
      </vt:variant>
      <vt:variant>
        <vt:i4>1572961</vt:i4>
      </vt:variant>
      <vt:variant>
        <vt:i4>0</vt:i4>
      </vt:variant>
      <vt:variant>
        <vt:i4>0</vt:i4>
      </vt:variant>
      <vt:variant>
        <vt:i4>5</vt:i4>
      </vt:variant>
      <vt:variant>
        <vt:lpwstr>mailto:enquiries@ndis.gov.au</vt:lpwstr>
      </vt:variant>
      <vt:variant>
        <vt:lpwstr/>
      </vt:variant>
      <vt:variant>
        <vt:i4>3407991</vt:i4>
      </vt:variant>
      <vt:variant>
        <vt:i4>3</vt:i4>
      </vt:variant>
      <vt:variant>
        <vt:i4>0</vt:i4>
      </vt:variant>
      <vt:variant>
        <vt:i4>5</vt:i4>
      </vt:variant>
      <vt:variant>
        <vt:lpwstr>https://www.ndis.gov.au/media/1821/download</vt:lpwstr>
      </vt:variant>
      <vt:variant>
        <vt:lpwstr/>
      </vt:variant>
      <vt:variant>
        <vt:i4>3473527</vt:i4>
      </vt:variant>
      <vt:variant>
        <vt:i4>0</vt:i4>
      </vt:variant>
      <vt:variant>
        <vt:i4>0</vt:i4>
      </vt:variant>
      <vt:variant>
        <vt:i4>5</vt:i4>
      </vt:variant>
      <vt:variant>
        <vt:lpwstr>https://www.ndis.gov.au/media/1820/download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Mitchell, Scott</cp:lastModifiedBy>
  <cp:revision>2</cp:revision>
  <cp:lastPrinted>2021-03-31T05:30:00Z</cp:lastPrinted>
  <dcterms:created xsi:type="dcterms:W3CDTF">2021-07-12T01:49:00Z</dcterms:created>
  <dcterms:modified xsi:type="dcterms:W3CDTF">2021-07-12T01:49:00Z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504200</vt:r8>
  </property>
  <property fmtid="{D5CDD505-2E9C-101B-9397-08002B2CF9AE}" pid="11" name="MediaServiceImageTags">
    <vt:lpwstr/>
  </property>
</Properties>
</file>