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9.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9.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4.xml" ContentType="application/vnd.openxmlformats-officedocument.wordprocessingml.footer+xml"/>
  <Override PartName="/word/footer1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0.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E86" w:rsidRPr="00DA1F62" w:rsidRDefault="004D32B5" w:rsidP="003610C1">
      <w:pPr>
        <w:pStyle w:val="Heading1"/>
        <w:rPr>
          <w:lang w:val="en-AU"/>
        </w:rPr>
      </w:pPr>
      <w:bookmarkStart w:id="0" w:name="_GoBack"/>
      <w:r w:rsidRPr="00DA1F62">
        <w:rPr>
          <w:noProof/>
          <w:lang w:val="en-AU" w:eastAsia="en-AU"/>
        </w:rPr>
        <w:drawing>
          <wp:anchor distT="0" distB="0" distL="114300" distR="114300" simplePos="0" relativeHeight="251659264" behindDoc="1" locked="0" layoutInCell="1" allowOverlap="1" wp14:anchorId="41A43D40" wp14:editId="54CEA015">
            <wp:simplePos x="0" y="0"/>
            <wp:positionH relativeFrom="page">
              <wp:posOffset>316840</wp:posOffset>
            </wp:positionH>
            <wp:positionV relativeFrom="page">
              <wp:posOffset>330784</wp:posOffset>
            </wp:positionV>
            <wp:extent cx="6839585" cy="8999855"/>
            <wp:effectExtent l="0" t="0" r="0" b="0"/>
            <wp:wrapNone/>
            <wp:docPr id="15" name="Picture 15" descr="Specialist disability accommodation final decsion paper on pricing and payments 23 may 2016" title="Title pag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8">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r w:rsidR="00083E86" w:rsidRPr="00DA1F62">
        <w:rPr>
          <w:lang w:val="en-AU"/>
        </w:rPr>
        <w:t>SPECIALIST DISABILITY ACCOMMODATION</w:t>
      </w:r>
    </w:p>
    <w:p w:rsidR="00211715" w:rsidRDefault="00D7558A" w:rsidP="00083E86">
      <w:pPr>
        <w:pStyle w:val="Heading1"/>
        <w:spacing w:before="360"/>
        <w:rPr>
          <w:sz w:val="44"/>
          <w:lang w:val="en-AU"/>
        </w:rPr>
      </w:pPr>
      <w:r w:rsidRPr="00DA1F62">
        <w:rPr>
          <w:sz w:val="72"/>
          <w:lang w:val="en-AU"/>
        </w:rPr>
        <w:t xml:space="preserve">Decision Paper </w:t>
      </w:r>
      <w:r w:rsidR="00083E86" w:rsidRPr="00DA1F62">
        <w:rPr>
          <w:sz w:val="72"/>
          <w:lang w:val="en-AU"/>
        </w:rPr>
        <w:t>on Pricing and Payments</w:t>
      </w:r>
      <w:bookmarkEnd w:id="0"/>
      <w:r w:rsidR="007219F1" w:rsidRPr="00DA1F62">
        <w:rPr>
          <w:lang w:val="en-AU"/>
        </w:rPr>
        <w:br/>
      </w:r>
    </w:p>
    <w:p w:rsidR="002214CD" w:rsidRPr="009655D6" w:rsidRDefault="002214CD" w:rsidP="009655D6"/>
    <w:p w:rsidR="007219F1" w:rsidRPr="00DA1F62" w:rsidRDefault="001D1744" w:rsidP="00910C1B">
      <w:pPr>
        <w:pStyle w:val="Heading1"/>
        <w:spacing w:before="360"/>
        <w:rPr>
          <w:lang w:val="en-AU"/>
        </w:rPr>
      </w:pPr>
      <w:r>
        <w:rPr>
          <w:sz w:val="44"/>
          <w:lang w:val="en-AU"/>
        </w:rPr>
        <w:t xml:space="preserve">1 </w:t>
      </w:r>
      <w:r w:rsidR="002D6726" w:rsidRPr="00DA1F62">
        <w:rPr>
          <w:sz w:val="44"/>
          <w:lang w:val="en-AU"/>
        </w:rPr>
        <w:t>June</w:t>
      </w:r>
      <w:r w:rsidR="00972CB6" w:rsidRPr="00DA1F62">
        <w:rPr>
          <w:sz w:val="44"/>
          <w:lang w:val="en-AU"/>
        </w:rPr>
        <w:t xml:space="preserve"> 2016</w:t>
      </w:r>
      <w:r w:rsidR="007219F1" w:rsidRPr="00DA1F62">
        <w:rPr>
          <w:lang w:val="en-AU"/>
        </w:rPr>
        <w:br w:type="page"/>
      </w:r>
    </w:p>
    <w:p w:rsidR="00784FC9" w:rsidRPr="00DA1F62" w:rsidRDefault="00784FC9" w:rsidP="00784FC9">
      <w:pPr>
        <w:pStyle w:val="Heading2"/>
        <w:numPr>
          <w:ilvl w:val="0"/>
          <w:numId w:val="0"/>
        </w:numPr>
        <w:rPr>
          <w:lang w:val="en-AU"/>
        </w:rPr>
      </w:pPr>
      <w:bookmarkStart w:id="1" w:name="_Toc452550396"/>
      <w:bookmarkStart w:id="2" w:name="_Toc451972981"/>
      <w:r w:rsidRPr="00DA1F62">
        <w:rPr>
          <w:lang w:val="en-AU"/>
        </w:rPr>
        <w:lastRenderedPageBreak/>
        <w:t>Contents</w:t>
      </w:r>
      <w:bookmarkEnd w:id="1"/>
    </w:p>
    <w:p w:rsidR="00211715" w:rsidRDefault="00784FC9">
      <w:pPr>
        <w:pStyle w:val="TOC2"/>
        <w:tabs>
          <w:tab w:val="right" w:leader="dot" w:pos="9016"/>
        </w:tabs>
        <w:rPr>
          <w:rFonts w:asciiTheme="minorHAnsi" w:hAnsiTheme="minorHAnsi"/>
          <w:noProof/>
          <w:szCs w:val="22"/>
          <w:lang w:val="en-AU" w:eastAsia="en-AU"/>
        </w:rPr>
      </w:pPr>
      <w:r w:rsidRPr="00DA1F62">
        <w:rPr>
          <w:lang w:val="en-AU"/>
        </w:rPr>
        <w:fldChar w:fldCharType="begin"/>
      </w:r>
      <w:r w:rsidRPr="00DA1F62">
        <w:rPr>
          <w:lang w:val="en-AU"/>
        </w:rPr>
        <w:instrText xml:space="preserve"> TOC \o "2-3" \h \z \u </w:instrText>
      </w:r>
      <w:r w:rsidRPr="00DA1F62">
        <w:rPr>
          <w:lang w:val="en-AU"/>
        </w:rPr>
        <w:fldChar w:fldCharType="separate"/>
      </w:r>
      <w:hyperlink w:anchor="_Toc452550396" w:history="1">
        <w:r w:rsidR="00211715" w:rsidRPr="00C969F1">
          <w:rPr>
            <w:rStyle w:val="Hyperlink"/>
            <w:noProof/>
            <w:lang w:val="en-AU"/>
          </w:rPr>
          <w:t>Contents</w:t>
        </w:r>
        <w:r w:rsidR="00211715">
          <w:rPr>
            <w:noProof/>
            <w:webHidden/>
          </w:rPr>
          <w:tab/>
        </w:r>
        <w:r w:rsidR="00211715">
          <w:rPr>
            <w:noProof/>
            <w:webHidden/>
          </w:rPr>
          <w:fldChar w:fldCharType="begin"/>
        </w:r>
        <w:r w:rsidR="00211715">
          <w:rPr>
            <w:noProof/>
            <w:webHidden/>
          </w:rPr>
          <w:instrText xml:space="preserve"> PAGEREF _Toc452550396 \h </w:instrText>
        </w:r>
        <w:r w:rsidR="00211715">
          <w:rPr>
            <w:noProof/>
            <w:webHidden/>
          </w:rPr>
        </w:r>
        <w:r w:rsidR="00211715">
          <w:rPr>
            <w:noProof/>
            <w:webHidden/>
          </w:rPr>
          <w:fldChar w:fldCharType="separate"/>
        </w:r>
        <w:r w:rsidR="00211715">
          <w:rPr>
            <w:noProof/>
            <w:webHidden/>
          </w:rPr>
          <w:t>1</w:t>
        </w:r>
        <w:r w:rsidR="00211715">
          <w:rPr>
            <w:noProof/>
            <w:webHidden/>
          </w:rPr>
          <w:fldChar w:fldCharType="end"/>
        </w:r>
      </w:hyperlink>
    </w:p>
    <w:p w:rsidR="00211715" w:rsidRDefault="000B672F">
      <w:pPr>
        <w:pStyle w:val="TOC2"/>
        <w:tabs>
          <w:tab w:val="right" w:leader="dot" w:pos="9016"/>
        </w:tabs>
        <w:rPr>
          <w:rFonts w:asciiTheme="minorHAnsi" w:hAnsiTheme="minorHAnsi"/>
          <w:noProof/>
          <w:szCs w:val="22"/>
          <w:lang w:val="en-AU" w:eastAsia="en-AU"/>
        </w:rPr>
      </w:pPr>
      <w:hyperlink w:anchor="_Toc452550397" w:history="1">
        <w:r w:rsidR="00211715" w:rsidRPr="00C969F1">
          <w:rPr>
            <w:rStyle w:val="Hyperlink"/>
            <w:noProof/>
            <w:lang w:val="en-AU"/>
          </w:rPr>
          <w:t>Disclaimer</w:t>
        </w:r>
        <w:r w:rsidR="00211715">
          <w:rPr>
            <w:noProof/>
            <w:webHidden/>
          </w:rPr>
          <w:tab/>
        </w:r>
        <w:r w:rsidR="00211715">
          <w:rPr>
            <w:noProof/>
            <w:webHidden/>
          </w:rPr>
          <w:fldChar w:fldCharType="begin"/>
        </w:r>
        <w:r w:rsidR="00211715">
          <w:rPr>
            <w:noProof/>
            <w:webHidden/>
          </w:rPr>
          <w:instrText xml:space="preserve"> PAGEREF _Toc452550397 \h </w:instrText>
        </w:r>
        <w:r w:rsidR="00211715">
          <w:rPr>
            <w:noProof/>
            <w:webHidden/>
          </w:rPr>
        </w:r>
        <w:r w:rsidR="00211715">
          <w:rPr>
            <w:noProof/>
            <w:webHidden/>
          </w:rPr>
          <w:fldChar w:fldCharType="separate"/>
        </w:r>
        <w:r w:rsidR="00211715">
          <w:rPr>
            <w:noProof/>
            <w:webHidden/>
          </w:rPr>
          <w:t>2</w:t>
        </w:r>
        <w:r w:rsidR="00211715">
          <w:rPr>
            <w:noProof/>
            <w:webHidden/>
          </w:rPr>
          <w:fldChar w:fldCharType="end"/>
        </w:r>
      </w:hyperlink>
    </w:p>
    <w:p w:rsidR="00211715" w:rsidRDefault="000B672F">
      <w:pPr>
        <w:pStyle w:val="TOC2"/>
        <w:tabs>
          <w:tab w:val="right" w:leader="dot" w:pos="9016"/>
        </w:tabs>
        <w:rPr>
          <w:rFonts w:asciiTheme="minorHAnsi" w:hAnsiTheme="minorHAnsi"/>
          <w:noProof/>
          <w:szCs w:val="22"/>
          <w:lang w:val="en-AU" w:eastAsia="en-AU"/>
        </w:rPr>
      </w:pPr>
      <w:hyperlink w:anchor="_Toc452550398" w:history="1">
        <w:r w:rsidR="00211715" w:rsidRPr="00C969F1">
          <w:rPr>
            <w:rStyle w:val="Hyperlink"/>
            <w:noProof/>
            <w:lang w:val="en-AU"/>
          </w:rPr>
          <w:t>Executive summary</w:t>
        </w:r>
        <w:r w:rsidR="00211715">
          <w:rPr>
            <w:noProof/>
            <w:webHidden/>
          </w:rPr>
          <w:tab/>
        </w:r>
        <w:r w:rsidR="00211715">
          <w:rPr>
            <w:noProof/>
            <w:webHidden/>
          </w:rPr>
          <w:fldChar w:fldCharType="begin"/>
        </w:r>
        <w:r w:rsidR="00211715">
          <w:rPr>
            <w:noProof/>
            <w:webHidden/>
          </w:rPr>
          <w:instrText xml:space="preserve"> PAGEREF _Toc452550398 \h </w:instrText>
        </w:r>
        <w:r w:rsidR="00211715">
          <w:rPr>
            <w:noProof/>
            <w:webHidden/>
          </w:rPr>
        </w:r>
        <w:r w:rsidR="00211715">
          <w:rPr>
            <w:noProof/>
            <w:webHidden/>
          </w:rPr>
          <w:fldChar w:fldCharType="separate"/>
        </w:r>
        <w:r w:rsidR="00211715">
          <w:rPr>
            <w:noProof/>
            <w:webHidden/>
          </w:rPr>
          <w:t>3</w:t>
        </w:r>
        <w:r w:rsidR="00211715">
          <w:rPr>
            <w:noProof/>
            <w:webHidden/>
          </w:rPr>
          <w:fldChar w:fldCharType="end"/>
        </w:r>
      </w:hyperlink>
    </w:p>
    <w:p w:rsidR="00211715" w:rsidRDefault="000B672F">
      <w:pPr>
        <w:pStyle w:val="TOC2"/>
        <w:tabs>
          <w:tab w:val="left" w:pos="660"/>
          <w:tab w:val="right" w:leader="dot" w:pos="9016"/>
        </w:tabs>
        <w:rPr>
          <w:rFonts w:asciiTheme="minorHAnsi" w:hAnsiTheme="minorHAnsi"/>
          <w:noProof/>
          <w:szCs w:val="22"/>
          <w:lang w:val="en-AU" w:eastAsia="en-AU"/>
        </w:rPr>
      </w:pPr>
      <w:hyperlink w:anchor="_Toc452550399" w:history="1">
        <w:r w:rsidR="00211715" w:rsidRPr="00C969F1">
          <w:rPr>
            <w:rStyle w:val="Hyperlink"/>
            <w:noProof/>
            <w:lang w:val="en-AU"/>
          </w:rPr>
          <w:t>1.</w:t>
        </w:r>
        <w:r w:rsidR="00211715">
          <w:rPr>
            <w:rFonts w:asciiTheme="minorHAnsi" w:hAnsiTheme="minorHAnsi"/>
            <w:noProof/>
            <w:szCs w:val="22"/>
            <w:lang w:val="en-AU" w:eastAsia="en-AU"/>
          </w:rPr>
          <w:tab/>
        </w:r>
        <w:r w:rsidR="00211715" w:rsidRPr="00C969F1">
          <w:rPr>
            <w:rStyle w:val="Hyperlink"/>
            <w:noProof/>
            <w:lang w:val="en-AU"/>
          </w:rPr>
          <w:t>Introduction</w:t>
        </w:r>
        <w:r w:rsidR="00211715">
          <w:rPr>
            <w:noProof/>
            <w:webHidden/>
          </w:rPr>
          <w:tab/>
        </w:r>
        <w:r w:rsidR="00211715">
          <w:rPr>
            <w:noProof/>
            <w:webHidden/>
          </w:rPr>
          <w:fldChar w:fldCharType="begin"/>
        </w:r>
        <w:r w:rsidR="00211715">
          <w:rPr>
            <w:noProof/>
            <w:webHidden/>
          </w:rPr>
          <w:instrText xml:space="preserve"> PAGEREF _Toc452550399 \h </w:instrText>
        </w:r>
        <w:r w:rsidR="00211715">
          <w:rPr>
            <w:noProof/>
            <w:webHidden/>
          </w:rPr>
        </w:r>
        <w:r w:rsidR="00211715">
          <w:rPr>
            <w:noProof/>
            <w:webHidden/>
          </w:rPr>
          <w:fldChar w:fldCharType="separate"/>
        </w:r>
        <w:r w:rsidR="00211715">
          <w:rPr>
            <w:noProof/>
            <w:webHidden/>
          </w:rPr>
          <w:t>5</w:t>
        </w:r>
        <w:r w:rsidR="00211715">
          <w:rPr>
            <w:noProof/>
            <w:webHidden/>
          </w:rPr>
          <w:fldChar w:fldCharType="end"/>
        </w:r>
      </w:hyperlink>
    </w:p>
    <w:p w:rsidR="00211715" w:rsidRDefault="000B672F">
      <w:pPr>
        <w:pStyle w:val="TOC3"/>
        <w:tabs>
          <w:tab w:val="left" w:pos="1100"/>
          <w:tab w:val="right" w:leader="dot" w:pos="9016"/>
        </w:tabs>
        <w:rPr>
          <w:rFonts w:asciiTheme="minorHAnsi" w:hAnsiTheme="minorHAnsi"/>
          <w:noProof/>
          <w:szCs w:val="22"/>
          <w:lang w:val="en-AU" w:eastAsia="en-AU"/>
        </w:rPr>
      </w:pPr>
      <w:hyperlink w:anchor="_Toc452550400" w:history="1">
        <w:r w:rsidR="00211715" w:rsidRPr="00C969F1">
          <w:rPr>
            <w:rStyle w:val="Hyperlink"/>
            <w:noProof/>
          </w:rPr>
          <w:t>1.1</w:t>
        </w:r>
        <w:r w:rsidR="00211715">
          <w:rPr>
            <w:rFonts w:asciiTheme="minorHAnsi" w:hAnsiTheme="minorHAnsi"/>
            <w:noProof/>
            <w:szCs w:val="22"/>
            <w:lang w:val="en-AU" w:eastAsia="en-AU"/>
          </w:rPr>
          <w:tab/>
        </w:r>
        <w:r w:rsidR="00211715" w:rsidRPr="00C969F1">
          <w:rPr>
            <w:rStyle w:val="Hyperlink"/>
            <w:noProof/>
          </w:rPr>
          <w:t>What is Specialist Disability Accommodation?</w:t>
        </w:r>
        <w:r w:rsidR="00211715">
          <w:rPr>
            <w:noProof/>
            <w:webHidden/>
          </w:rPr>
          <w:tab/>
        </w:r>
        <w:r w:rsidR="00211715">
          <w:rPr>
            <w:noProof/>
            <w:webHidden/>
          </w:rPr>
          <w:fldChar w:fldCharType="begin"/>
        </w:r>
        <w:r w:rsidR="00211715">
          <w:rPr>
            <w:noProof/>
            <w:webHidden/>
          </w:rPr>
          <w:instrText xml:space="preserve"> PAGEREF _Toc452550400 \h </w:instrText>
        </w:r>
        <w:r w:rsidR="00211715">
          <w:rPr>
            <w:noProof/>
            <w:webHidden/>
          </w:rPr>
        </w:r>
        <w:r w:rsidR="00211715">
          <w:rPr>
            <w:noProof/>
            <w:webHidden/>
          </w:rPr>
          <w:fldChar w:fldCharType="separate"/>
        </w:r>
        <w:r w:rsidR="00211715">
          <w:rPr>
            <w:noProof/>
            <w:webHidden/>
          </w:rPr>
          <w:t>5</w:t>
        </w:r>
        <w:r w:rsidR="00211715">
          <w:rPr>
            <w:noProof/>
            <w:webHidden/>
          </w:rPr>
          <w:fldChar w:fldCharType="end"/>
        </w:r>
      </w:hyperlink>
    </w:p>
    <w:p w:rsidR="00211715" w:rsidRDefault="000B672F">
      <w:pPr>
        <w:pStyle w:val="TOC3"/>
        <w:tabs>
          <w:tab w:val="left" w:pos="1100"/>
          <w:tab w:val="right" w:leader="dot" w:pos="9016"/>
        </w:tabs>
        <w:rPr>
          <w:rFonts w:asciiTheme="minorHAnsi" w:hAnsiTheme="minorHAnsi"/>
          <w:noProof/>
          <w:szCs w:val="22"/>
          <w:lang w:val="en-AU" w:eastAsia="en-AU"/>
        </w:rPr>
      </w:pPr>
      <w:hyperlink w:anchor="_Toc452550401" w:history="1">
        <w:r w:rsidR="00211715" w:rsidRPr="00C969F1">
          <w:rPr>
            <w:rStyle w:val="Hyperlink"/>
            <w:noProof/>
          </w:rPr>
          <w:t>1.2</w:t>
        </w:r>
        <w:r w:rsidR="00211715">
          <w:rPr>
            <w:rFonts w:asciiTheme="minorHAnsi" w:hAnsiTheme="minorHAnsi"/>
            <w:noProof/>
            <w:szCs w:val="22"/>
            <w:lang w:val="en-AU" w:eastAsia="en-AU"/>
          </w:rPr>
          <w:tab/>
        </w:r>
        <w:r w:rsidR="00211715" w:rsidRPr="00C969F1">
          <w:rPr>
            <w:rStyle w:val="Hyperlink"/>
            <w:noProof/>
          </w:rPr>
          <w:t>How SDA supports the NDIS principles and objectives</w:t>
        </w:r>
        <w:r w:rsidR="00211715">
          <w:rPr>
            <w:noProof/>
            <w:webHidden/>
          </w:rPr>
          <w:tab/>
        </w:r>
        <w:r w:rsidR="00211715">
          <w:rPr>
            <w:noProof/>
            <w:webHidden/>
          </w:rPr>
          <w:fldChar w:fldCharType="begin"/>
        </w:r>
        <w:r w:rsidR="00211715">
          <w:rPr>
            <w:noProof/>
            <w:webHidden/>
          </w:rPr>
          <w:instrText xml:space="preserve"> PAGEREF _Toc452550401 \h </w:instrText>
        </w:r>
        <w:r w:rsidR="00211715">
          <w:rPr>
            <w:noProof/>
            <w:webHidden/>
          </w:rPr>
        </w:r>
        <w:r w:rsidR="00211715">
          <w:rPr>
            <w:noProof/>
            <w:webHidden/>
          </w:rPr>
          <w:fldChar w:fldCharType="separate"/>
        </w:r>
        <w:r w:rsidR="00211715">
          <w:rPr>
            <w:noProof/>
            <w:webHidden/>
          </w:rPr>
          <w:t>5</w:t>
        </w:r>
        <w:r w:rsidR="00211715">
          <w:rPr>
            <w:noProof/>
            <w:webHidden/>
          </w:rPr>
          <w:fldChar w:fldCharType="end"/>
        </w:r>
      </w:hyperlink>
    </w:p>
    <w:p w:rsidR="00211715" w:rsidRDefault="000B672F">
      <w:pPr>
        <w:pStyle w:val="TOC3"/>
        <w:tabs>
          <w:tab w:val="left" w:pos="1100"/>
          <w:tab w:val="right" w:leader="dot" w:pos="9016"/>
        </w:tabs>
        <w:rPr>
          <w:rFonts w:asciiTheme="minorHAnsi" w:hAnsiTheme="minorHAnsi"/>
          <w:noProof/>
          <w:szCs w:val="22"/>
          <w:lang w:val="en-AU" w:eastAsia="en-AU"/>
        </w:rPr>
      </w:pPr>
      <w:hyperlink w:anchor="_Toc452550402" w:history="1">
        <w:r w:rsidR="00211715" w:rsidRPr="00C969F1">
          <w:rPr>
            <w:rStyle w:val="Hyperlink"/>
            <w:noProof/>
          </w:rPr>
          <w:t>1.3</w:t>
        </w:r>
        <w:r w:rsidR="00211715">
          <w:rPr>
            <w:rFonts w:asciiTheme="minorHAnsi" w:hAnsiTheme="minorHAnsi"/>
            <w:noProof/>
            <w:szCs w:val="22"/>
            <w:lang w:val="en-AU" w:eastAsia="en-AU"/>
          </w:rPr>
          <w:tab/>
        </w:r>
        <w:r w:rsidR="00211715" w:rsidRPr="00C969F1">
          <w:rPr>
            <w:rStyle w:val="Hyperlink"/>
            <w:noProof/>
          </w:rPr>
          <w:t>SDA legislative environment</w:t>
        </w:r>
        <w:r w:rsidR="00211715">
          <w:rPr>
            <w:noProof/>
            <w:webHidden/>
          </w:rPr>
          <w:tab/>
        </w:r>
        <w:r w:rsidR="00211715">
          <w:rPr>
            <w:noProof/>
            <w:webHidden/>
          </w:rPr>
          <w:fldChar w:fldCharType="begin"/>
        </w:r>
        <w:r w:rsidR="00211715">
          <w:rPr>
            <w:noProof/>
            <w:webHidden/>
          </w:rPr>
          <w:instrText xml:space="preserve"> PAGEREF _Toc452550402 \h </w:instrText>
        </w:r>
        <w:r w:rsidR="00211715">
          <w:rPr>
            <w:noProof/>
            <w:webHidden/>
          </w:rPr>
        </w:r>
        <w:r w:rsidR="00211715">
          <w:rPr>
            <w:noProof/>
            <w:webHidden/>
          </w:rPr>
          <w:fldChar w:fldCharType="separate"/>
        </w:r>
        <w:r w:rsidR="00211715">
          <w:rPr>
            <w:noProof/>
            <w:webHidden/>
          </w:rPr>
          <w:t>6</w:t>
        </w:r>
        <w:r w:rsidR="00211715">
          <w:rPr>
            <w:noProof/>
            <w:webHidden/>
          </w:rPr>
          <w:fldChar w:fldCharType="end"/>
        </w:r>
      </w:hyperlink>
    </w:p>
    <w:p w:rsidR="00211715" w:rsidRDefault="000B672F">
      <w:pPr>
        <w:pStyle w:val="TOC3"/>
        <w:tabs>
          <w:tab w:val="left" w:pos="1100"/>
          <w:tab w:val="right" w:leader="dot" w:pos="9016"/>
        </w:tabs>
        <w:rPr>
          <w:rFonts w:asciiTheme="minorHAnsi" w:hAnsiTheme="minorHAnsi"/>
          <w:noProof/>
          <w:szCs w:val="22"/>
          <w:lang w:val="en-AU" w:eastAsia="en-AU"/>
        </w:rPr>
      </w:pPr>
      <w:hyperlink w:anchor="_Toc452550403" w:history="1">
        <w:r w:rsidR="00211715" w:rsidRPr="00C969F1">
          <w:rPr>
            <w:rStyle w:val="Hyperlink"/>
            <w:noProof/>
          </w:rPr>
          <w:t>1.4</w:t>
        </w:r>
        <w:r w:rsidR="00211715">
          <w:rPr>
            <w:rFonts w:asciiTheme="minorHAnsi" w:hAnsiTheme="minorHAnsi"/>
            <w:noProof/>
            <w:szCs w:val="22"/>
            <w:lang w:val="en-AU" w:eastAsia="en-AU"/>
          </w:rPr>
          <w:tab/>
        </w:r>
        <w:r w:rsidR="00211715" w:rsidRPr="00C969F1">
          <w:rPr>
            <w:rStyle w:val="Hyperlink"/>
            <w:noProof/>
          </w:rPr>
          <w:t>Process to date</w:t>
        </w:r>
        <w:r w:rsidR="00211715">
          <w:rPr>
            <w:noProof/>
            <w:webHidden/>
          </w:rPr>
          <w:tab/>
        </w:r>
        <w:r w:rsidR="00211715">
          <w:rPr>
            <w:noProof/>
            <w:webHidden/>
          </w:rPr>
          <w:fldChar w:fldCharType="begin"/>
        </w:r>
        <w:r w:rsidR="00211715">
          <w:rPr>
            <w:noProof/>
            <w:webHidden/>
          </w:rPr>
          <w:instrText xml:space="preserve"> PAGEREF _Toc452550403 \h </w:instrText>
        </w:r>
        <w:r w:rsidR="00211715">
          <w:rPr>
            <w:noProof/>
            <w:webHidden/>
          </w:rPr>
        </w:r>
        <w:r w:rsidR="00211715">
          <w:rPr>
            <w:noProof/>
            <w:webHidden/>
          </w:rPr>
          <w:fldChar w:fldCharType="separate"/>
        </w:r>
        <w:r w:rsidR="00211715">
          <w:rPr>
            <w:noProof/>
            <w:webHidden/>
          </w:rPr>
          <w:t>6</w:t>
        </w:r>
        <w:r w:rsidR="00211715">
          <w:rPr>
            <w:noProof/>
            <w:webHidden/>
          </w:rPr>
          <w:fldChar w:fldCharType="end"/>
        </w:r>
      </w:hyperlink>
    </w:p>
    <w:p w:rsidR="00211715" w:rsidRDefault="000B672F">
      <w:pPr>
        <w:pStyle w:val="TOC3"/>
        <w:tabs>
          <w:tab w:val="left" w:pos="1100"/>
          <w:tab w:val="right" w:leader="dot" w:pos="9016"/>
        </w:tabs>
        <w:rPr>
          <w:rFonts w:asciiTheme="minorHAnsi" w:hAnsiTheme="minorHAnsi"/>
          <w:noProof/>
          <w:szCs w:val="22"/>
          <w:lang w:val="en-AU" w:eastAsia="en-AU"/>
        </w:rPr>
      </w:pPr>
      <w:hyperlink w:anchor="_Toc452550404" w:history="1">
        <w:r w:rsidR="00211715" w:rsidRPr="00C969F1">
          <w:rPr>
            <w:rStyle w:val="Hyperlink"/>
            <w:noProof/>
          </w:rPr>
          <w:t>1.5</w:t>
        </w:r>
        <w:r w:rsidR="00211715">
          <w:rPr>
            <w:rFonts w:asciiTheme="minorHAnsi" w:hAnsiTheme="minorHAnsi"/>
            <w:noProof/>
            <w:szCs w:val="22"/>
            <w:lang w:val="en-AU" w:eastAsia="en-AU"/>
          </w:rPr>
          <w:tab/>
        </w:r>
        <w:r w:rsidR="00211715" w:rsidRPr="00C969F1">
          <w:rPr>
            <w:rStyle w:val="Hyperlink"/>
            <w:noProof/>
          </w:rPr>
          <w:t>How does this paper differ from the SDA Position Paper?</w:t>
        </w:r>
        <w:r w:rsidR="00211715">
          <w:rPr>
            <w:noProof/>
            <w:webHidden/>
          </w:rPr>
          <w:tab/>
        </w:r>
        <w:r w:rsidR="00211715">
          <w:rPr>
            <w:noProof/>
            <w:webHidden/>
          </w:rPr>
          <w:fldChar w:fldCharType="begin"/>
        </w:r>
        <w:r w:rsidR="00211715">
          <w:rPr>
            <w:noProof/>
            <w:webHidden/>
          </w:rPr>
          <w:instrText xml:space="preserve"> PAGEREF _Toc452550404 \h </w:instrText>
        </w:r>
        <w:r w:rsidR="00211715">
          <w:rPr>
            <w:noProof/>
            <w:webHidden/>
          </w:rPr>
        </w:r>
        <w:r w:rsidR="00211715">
          <w:rPr>
            <w:noProof/>
            <w:webHidden/>
          </w:rPr>
          <w:fldChar w:fldCharType="separate"/>
        </w:r>
        <w:r w:rsidR="00211715">
          <w:rPr>
            <w:noProof/>
            <w:webHidden/>
          </w:rPr>
          <w:t>7</w:t>
        </w:r>
        <w:r w:rsidR="00211715">
          <w:rPr>
            <w:noProof/>
            <w:webHidden/>
          </w:rPr>
          <w:fldChar w:fldCharType="end"/>
        </w:r>
      </w:hyperlink>
    </w:p>
    <w:p w:rsidR="00211715" w:rsidRDefault="000B672F">
      <w:pPr>
        <w:pStyle w:val="TOC2"/>
        <w:tabs>
          <w:tab w:val="left" w:pos="660"/>
          <w:tab w:val="right" w:leader="dot" w:pos="9016"/>
        </w:tabs>
        <w:rPr>
          <w:rFonts w:asciiTheme="minorHAnsi" w:hAnsiTheme="minorHAnsi"/>
          <w:noProof/>
          <w:szCs w:val="22"/>
          <w:lang w:val="en-AU" w:eastAsia="en-AU"/>
        </w:rPr>
      </w:pPr>
      <w:hyperlink w:anchor="_Toc452550405" w:history="1">
        <w:r w:rsidR="00211715" w:rsidRPr="00C969F1">
          <w:rPr>
            <w:rStyle w:val="Hyperlink"/>
            <w:noProof/>
            <w:lang w:val="en-AU"/>
          </w:rPr>
          <w:t>2.</w:t>
        </w:r>
        <w:r w:rsidR="00211715">
          <w:rPr>
            <w:rFonts w:asciiTheme="minorHAnsi" w:hAnsiTheme="minorHAnsi"/>
            <w:noProof/>
            <w:szCs w:val="22"/>
            <w:lang w:val="en-AU" w:eastAsia="en-AU"/>
          </w:rPr>
          <w:tab/>
        </w:r>
        <w:r w:rsidR="00211715" w:rsidRPr="00C969F1">
          <w:rPr>
            <w:rStyle w:val="Hyperlink"/>
            <w:noProof/>
            <w:lang w:val="en-AU"/>
          </w:rPr>
          <w:t>Pricing and Payments for SDA</w:t>
        </w:r>
        <w:r w:rsidR="00211715">
          <w:rPr>
            <w:noProof/>
            <w:webHidden/>
          </w:rPr>
          <w:tab/>
        </w:r>
        <w:r w:rsidR="00211715">
          <w:rPr>
            <w:noProof/>
            <w:webHidden/>
          </w:rPr>
          <w:fldChar w:fldCharType="begin"/>
        </w:r>
        <w:r w:rsidR="00211715">
          <w:rPr>
            <w:noProof/>
            <w:webHidden/>
          </w:rPr>
          <w:instrText xml:space="preserve"> PAGEREF _Toc452550405 \h </w:instrText>
        </w:r>
        <w:r w:rsidR="00211715">
          <w:rPr>
            <w:noProof/>
            <w:webHidden/>
          </w:rPr>
        </w:r>
        <w:r w:rsidR="00211715">
          <w:rPr>
            <w:noProof/>
            <w:webHidden/>
          </w:rPr>
          <w:fldChar w:fldCharType="separate"/>
        </w:r>
        <w:r w:rsidR="00211715">
          <w:rPr>
            <w:noProof/>
            <w:webHidden/>
          </w:rPr>
          <w:t>9</w:t>
        </w:r>
        <w:r w:rsidR="00211715">
          <w:rPr>
            <w:noProof/>
            <w:webHidden/>
          </w:rPr>
          <w:fldChar w:fldCharType="end"/>
        </w:r>
      </w:hyperlink>
    </w:p>
    <w:p w:rsidR="00211715" w:rsidRDefault="000B672F">
      <w:pPr>
        <w:pStyle w:val="TOC3"/>
        <w:tabs>
          <w:tab w:val="left" w:pos="1100"/>
          <w:tab w:val="right" w:leader="dot" w:pos="9016"/>
        </w:tabs>
        <w:rPr>
          <w:rFonts w:asciiTheme="minorHAnsi" w:hAnsiTheme="minorHAnsi"/>
          <w:noProof/>
          <w:szCs w:val="22"/>
          <w:lang w:val="en-AU" w:eastAsia="en-AU"/>
        </w:rPr>
      </w:pPr>
      <w:hyperlink w:anchor="_Toc452550406" w:history="1">
        <w:r w:rsidR="00211715" w:rsidRPr="00C969F1">
          <w:rPr>
            <w:rStyle w:val="Hyperlink"/>
            <w:noProof/>
          </w:rPr>
          <w:t>2.1</w:t>
        </w:r>
        <w:r w:rsidR="00211715">
          <w:rPr>
            <w:rFonts w:asciiTheme="minorHAnsi" w:hAnsiTheme="minorHAnsi"/>
            <w:noProof/>
            <w:szCs w:val="22"/>
            <w:lang w:val="en-AU" w:eastAsia="en-AU"/>
          </w:rPr>
          <w:tab/>
        </w:r>
        <w:r w:rsidR="00211715" w:rsidRPr="00C969F1">
          <w:rPr>
            <w:rStyle w:val="Hyperlink"/>
            <w:noProof/>
          </w:rPr>
          <w:t>SDA Benchmark Prices</w:t>
        </w:r>
        <w:r w:rsidR="00211715">
          <w:rPr>
            <w:noProof/>
            <w:webHidden/>
          </w:rPr>
          <w:tab/>
        </w:r>
        <w:r w:rsidR="00211715">
          <w:rPr>
            <w:noProof/>
            <w:webHidden/>
          </w:rPr>
          <w:fldChar w:fldCharType="begin"/>
        </w:r>
        <w:r w:rsidR="00211715">
          <w:rPr>
            <w:noProof/>
            <w:webHidden/>
          </w:rPr>
          <w:instrText xml:space="preserve"> PAGEREF _Toc452550406 \h </w:instrText>
        </w:r>
        <w:r w:rsidR="00211715">
          <w:rPr>
            <w:noProof/>
            <w:webHidden/>
          </w:rPr>
        </w:r>
        <w:r w:rsidR="00211715">
          <w:rPr>
            <w:noProof/>
            <w:webHidden/>
          </w:rPr>
          <w:fldChar w:fldCharType="separate"/>
        </w:r>
        <w:r w:rsidR="00211715">
          <w:rPr>
            <w:noProof/>
            <w:webHidden/>
          </w:rPr>
          <w:t>9</w:t>
        </w:r>
        <w:r w:rsidR="00211715">
          <w:rPr>
            <w:noProof/>
            <w:webHidden/>
          </w:rPr>
          <w:fldChar w:fldCharType="end"/>
        </w:r>
      </w:hyperlink>
    </w:p>
    <w:p w:rsidR="00211715" w:rsidRDefault="000B672F">
      <w:pPr>
        <w:pStyle w:val="TOC3"/>
        <w:tabs>
          <w:tab w:val="left" w:pos="1100"/>
          <w:tab w:val="right" w:leader="dot" w:pos="9016"/>
        </w:tabs>
        <w:rPr>
          <w:rFonts w:asciiTheme="minorHAnsi" w:hAnsiTheme="minorHAnsi"/>
          <w:noProof/>
          <w:szCs w:val="22"/>
          <w:lang w:val="en-AU" w:eastAsia="en-AU"/>
        </w:rPr>
      </w:pPr>
      <w:hyperlink w:anchor="_Toc452550407" w:history="1">
        <w:r w:rsidR="00211715" w:rsidRPr="00C969F1">
          <w:rPr>
            <w:rStyle w:val="Hyperlink"/>
            <w:noProof/>
          </w:rPr>
          <w:t>2.2</w:t>
        </w:r>
        <w:r w:rsidR="00211715">
          <w:rPr>
            <w:rFonts w:asciiTheme="minorHAnsi" w:hAnsiTheme="minorHAnsi"/>
            <w:noProof/>
            <w:szCs w:val="22"/>
            <w:lang w:val="en-AU" w:eastAsia="en-AU"/>
          </w:rPr>
          <w:tab/>
        </w:r>
        <w:r w:rsidR="00211715" w:rsidRPr="00C969F1">
          <w:rPr>
            <w:rStyle w:val="Hyperlink"/>
            <w:noProof/>
          </w:rPr>
          <w:t>Residents’ rights and obligations</w:t>
        </w:r>
        <w:r w:rsidR="00211715">
          <w:rPr>
            <w:noProof/>
            <w:webHidden/>
          </w:rPr>
          <w:tab/>
        </w:r>
        <w:r w:rsidR="00211715">
          <w:rPr>
            <w:noProof/>
            <w:webHidden/>
          </w:rPr>
          <w:fldChar w:fldCharType="begin"/>
        </w:r>
        <w:r w:rsidR="00211715">
          <w:rPr>
            <w:noProof/>
            <w:webHidden/>
          </w:rPr>
          <w:instrText xml:space="preserve"> PAGEREF _Toc452550407 \h </w:instrText>
        </w:r>
        <w:r w:rsidR="00211715">
          <w:rPr>
            <w:noProof/>
            <w:webHidden/>
          </w:rPr>
        </w:r>
        <w:r w:rsidR="00211715">
          <w:rPr>
            <w:noProof/>
            <w:webHidden/>
          </w:rPr>
          <w:fldChar w:fldCharType="separate"/>
        </w:r>
        <w:r w:rsidR="00211715">
          <w:rPr>
            <w:noProof/>
            <w:webHidden/>
          </w:rPr>
          <w:t>17</w:t>
        </w:r>
        <w:r w:rsidR="00211715">
          <w:rPr>
            <w:noProof/>
            <w:webHidden/>
          </w:rPr>
          <w:fldChar w:fldCharType="end"/>
        </w:r>
      </w:hyperlink>
    </w:p>
    <w:p w:rsidR="00211715" w:rsidRDefault="000B672F">
      <w:pPr>
        <w:pStyle w:val="TOC3"/>
        <w:tabs>
          <w:tab w:val="left" w:pos="1100"/>
          <w:tab w:val="right" w:leader="dot" w:pos="9016"/>
        </w:tabs>
        <w:rPr>
          <w:rFonts w:asciiTheme="minorHAnsi" w:hAnsiTheme="minorHAnsi"/>
          <w:noProof/>
          <w:szCs w:val="22"/>
          <w:lang w:val="en-AU" w:eastAsia="en-AU"/>
        </w:rPr>
      </w:pPr>
      <w:hyperlink w:anchor="_Toc452550408" w:history="1">
        <w:r w:rsidR="00211715" w:rsidRPr="00C969F1">
          <w:rPr>
            <w:rStyle w:val="Hyperlink"/>
            <w:noProof/>
          </w:rPr>
          <w:t>2.3</w:t>
        </w:r>
        <w:r w:rsidR="00211715">
          <w:rPr>
            <w:rFonts w:asciiTheme="minorHAnsi" w:hAnsiTheme="minorHAnsi"/>
            <w:noProof/>
            <w:szCs w:val="22"/>
            <w:lang w:val="en-AU" w:eastAsia="en-AU"/>
          </w:rPr>
          <w:tab/>
        </w:r>
        <w:r w:rsidR="00211715" w:rsidRPr="00C969F1">
          <w:rPr>
            <w:rStyle w:val="Hyperlink"/>
            <w:noProof/>
          </w:rPr>
          <w:t>SDA requirements</w:t>
        </w:r>
        <w:r w:rsidR="00211715">
          <w:rPr>
            <w:noProof/>
            <w:webHidden/>
          </w:rPr>
          <w:tab/>
        </w:r>
        <w:r w:rsidR="00211715">
          <w:rPr>
            <w:noProof/>
            <w:webHidden/>
          </w:rPr>
          <w:fldChar w:fldCharType="begin"/>
        </w:r>
        <w:r w:rsidR="00211715">
          <w:rPr>
            <w:noProof/>
            <w:webHidden/>
          </w:rPr>
          <w:instrText xml:space="preserve"> PAGEREF _Toc452550408 \h </w:instrText>
        </w:r>
        <w:r w:rsidR="00211715">
          <w:rPr>
            <w:noProof/>
            <w:webHidden/>
          </w:rPr>
        </w:r>
        <w:r w:rsidR="00211715">
          <w:rPr>
            <w:noProof/>
            <w:webHidden/>
          </w:rPr>
          <w:fldChar w:fldCharType="separate"/>
        </w:r>
        <w:r w:rsidR="00211715">
          <w:rPr>
            <w:noProof/>
            <w:webHidden/>
          </w:rPr>
          <w:t>20</w:t>
        </w:r>
        <w:r w:rsidR="00211715">
          <w:rPr>
            <w:noProof/>
            <w:webHidden/>
          </w:rPr>
          <w:fldChar w:fldCharType="end"/>
        </w:r>
      </w:hyperlink>
    </w:p>
    <w:p w:rsidR="00211715" w:rsidRDefault="000B672F">
      <w:pPr>
        <w:pStyle w:val="TOC3"/>
        <w:tabs>
          <w:tab w:val="left" w:pos="1100"/>
          <w:tab w:val="right" w:leader="dot" w:pos="9016"/>
        </w:tabs>
        <w:rPr>
          <w:rFonts w:asciiTheme="minorHAnsi" w:hAnsiTheme="minorHAnsi"/>
          <w:noProof/>
          <w:szCs w:val="22"/>
          <w:lang w:val="en-AU" w:eastAsia="en-AU"/>
        </w:rPr>
      </w:pPr>
      <w:hyperlink w:anchor="_Toc452550409" w:history="1">
        <w:r w:rsidR="00211715" w:rsidRPr="00C969F1">
          <w:rPr>
            <w:rStyle w:val="Hyperlink"/>
            <w:noProof/>
          </w:rPr>
          <w:t>2.4</w:t>
        </w:r>
        <w:r w:rsidR="00211715">
          <w:rPr>
            <w:rFonts w:asciiTheme="minorHAnsi" w:hAnsiTheme="minorHAnsi"/>
            <w:noProof/>
            <w:szCs w:val="22"/>
            <w:lang w:val="en-AU" w:eastAsia="en-AU"/>
          </w:rPr>
          <w:tab/>
        </w:r>
        <w:r w:rsidR="00211715" w:rsidRPr="00C969F1">
          <w:rPr>
            <w:rStyle w:val="Hyperlink"/>
            <w:noProof/>
          </w:rPr>
          <w:t>SDA providers</w:t>
        </w:r>
        <w:r w:rsidR="00211715">
          <w:rPr>
            <w:noProof/>
            <w:webHidden/>
          </w:rPr>
          <w:tab/>
        </w:r>
        <w:r w:rsidR="00211715">
          <w:rPr>
            <w:noProof/>
            <w:webHidden/>
          </w:rPr>
          <w:fldChar w:fldCharType="begin"/>
        </w:r>
        <w:r w:rsidR="00211715">
          <w:rPr>
            <w:noProof/>
            <w:webHidden/>
          </w:rPr>
          <w:instrText xml:space="preserve"> PAGEREF _Toc452550409 \h </w:instrText>
        </w:r>
        <w:r w:rsidR="00211715">
          <w:rPr>
            <w:noProof/>
            <w:webHidden/>
          </w:rPr>
        </w:r>
        <w:r w:rsidR="00211715">
          <w:rPr>
            <w:noProof/>
            <w:webHidden/>
          </w:rPr>
          <w:fldChar w:fldCharType="separate"/>
        </w:r>
        <w:r w:rsidR="00211715">
          <w:rPr>
            <w:noProof/>
            <w:webHidden/>
          </w:rPr>
          <w:t>29</w:t>
        </w:r>
        <w:r w:rsidR="00211715">
          <w:rPr>
            <w:noProof/>
            <w:webHidden/>
          </w:rPr>
          <w:fldChar w:fldCharType="end"/>
        </w:r>
      </w:hyperlink>
    </w:p>
    <w:p w:rsidR="00211715" w:rsidRDefault="000B672F">
      <w:pPr>
        <w:pStyle w:val="TOC3"/>
        <w:tabs>
          <w:tab w:val="left" w:pos="1100"/>
          <w:tab w:val="right" w:leader="dot" w:pos="9016"/>
        </w:tabs>
        <w:rPr>
          <w:rFonts w:asciiTheme="minorHAnsi" w:hAnsiTheme="minorHAnsi"/>
          <w:noProof/>
          <w:szCs w:val="22"/>
          <w:lang w:val="en-AU" w:eastAsia="en-AU"/>
        </w:rPr>
      </w:pPr>
      <w:hyperlink w:anchor="_Toc452550410" w:history="1">
        <w:r w:rsidR="00211715" w:rsidRPr="00C969F1">
          <w:rPr>
            <w:rStyle w:val="Hyperlink"/>
            <w:noProof/>
          </w:rPr>
          <w:t>2.5</w:t>
        </w:r>
        <w:r w:rsidR="00211715">
          <w:rPr>
            <w:rFonts w:asciiTheme="minorHAnsi" w:hAnsiTheme="minorHAnsi"/>
            <w:noProof/>
            <w:szCs w:val="22"/>
            <w:lang w:val="en-AU" w:eastAsia="en-AU"/>
          </w:rPr>
          <w:tab/>
        </w:r>
        <w:r w:rsidR="00211715" w:rsidRPr="00C969F1">
          <w:rPr>
            <w:rStyle w:val="Hyperlink"/>
            <w:noProof/>
          </w:rPr>
          <w:t>Managing occupancy</w:t>
        </w:r>
        <w:r w:rsidR="00211715">
          <w:rPr>
            <w:noProof/>
            <w:webHidden/>
          </w:rPr>
          <w:tab/>
        </w:r>
        <w:r w:rsidR="00211715">
          <w:rPr>
            <w:noProof/>
            <w:webHidden/>
          </w:rPr>
          <w:fldChar w:fldCharType="begin"/>
        </w:r>
        <w:r w:rsidR="00211715">
          <w:rPr>
            <w:noProof/>
            <w:webHidden/>
          </w:rPr>
          <w:instrText xml:space="preserve"> PAGEREF _Toc452550410 \h </w:instrText>
        </w:r>
        <w:r w:rsidR="00211715">
          <w:rPr>
            <w:noProof/>
            <w:webHidden/>
          </w:rPr>
        </w:r>
        <w:r w:rsidR="00211715">
          <w:rPr>
            <w:noProof/>
            <w:webHidden/>
          </w:rPr>
          <w:fldChar w:fldCharType="separate"/>
        </w:r>
        <w:r w:rsidR="00211715">
          <w:rPr>
            <w:noProof/>
            <w:webHidden/>
          </w:rPr>
          <w:t>35</w:t>
        </w:r>
        <w:r w:rsidR="00211715">
          <w:rPr>
            <w:noProof/>
            <w:webHidden/>
          </w:rPr>
          <w:fldChar w:fldCharType="end"/>
        </w:r>
      </w:hyperlink>
    </w:p>
    <w:p w:rsidR="00211715" w:rsidRDefault="000B672F">
      <w:pPr>
        <w:pStyle w:val="TOC3"/>
        <w:tabs>
          <w:tab w:val="left" w:pos="1100"/>
          <w:tab w:val="right" w:leader="dot" w:pos="9016"/>
        </w:tabs>
        <w:rPr>
          <w:rFonts w:asciiTheme="minorHAnsi" w:hAnsiTheme="minorHAnsi"/>
          <w:noProof/>
          <w:szCs w:val="22"/>
          <w:lang w:val="en-AU" w:eastAsia="en-AU"/>
        </w:rPr>
      </w:pPr>
      <w:hyperlink w:anchor="_Toc452550411" w:history="1">
        <w:r w:rsidR="00211715" w:rsidRPr="00C969F1">
          <w:rPr>
            <w:rStyle w:val="Hyperlink"/>
            <w:noProof/>
          </w:rPr>
          <w:t>2.6</w:t>
        </w:r>
        <w:r w:rsidR="00211715">
          <w:rPr>
            <w:rFonts w:asciiTheme="minorHAnsi" w:hAnsiTheme="minorHAnsi"/>
            <w:noProof/>
            <w:szCs w:val="22"/>
            <w:lang w:val="en-AU" w:eastAsia="en-AU"/>
          </w:rPr>
          <w:tab/>
        </w:r>
        <w:r w:rsidR="00211715" w:rsidRPr="00C969F1">
          <w:rPr>
            <w:rStyle w:val="Hyperlink"/>
            <w:noProof/>
          </w:rPr>
          <w:t>SDA supply and demand</w:t>
        </w:r>
        <w:r w:rsidR="00211715">
          <w:rPr>
            <w:noProof/>
            <w:webHidden/>
          </w:rPr>
          <w:tab/>
        </w:r>
        <w:r w:rsidR="00211715">
          <w:rPr>
            <w:noProof/>
            <w:webHidden/>
          </w:rPr>
          <w:fldChar w:fldCharType="begin"/>
        </w:r>
        <w:r w:rsidR="00211715">
          <w:rPr>
            <w:noProof/>
            <w:webHidden/>
          </w:rPr>
          <w:instrText xml:space="preserve"> PAGEREF _Toc452550411 \h </w:instrText>
        </w:r>
        <w:r w:rsidR="00211715">
          <w:rPr>
            <w:noProof/>
            <w:webHidden/>
          </w:rPr>
        </w:r>
        <w:r w:rsidR="00211715">
          <w:rPr>
            <w:noProof/>
            <w:webHidden/>
          </w:rPr>
          <w:fldChar w:fldCharType="separate"/>
        </w:r>
        <w:r w:rsidR="00211715">
          <w:rPr>
            <w:noProof/>
            <w:webHidden/>
          </w:rPr>
          <w:t>36</w:t>
        </w:r>
        <w:r w:rsidR="00211715">
          <w:rPr>
            <w:noProof/>
            <w:webHidden/>
          </w:rPr>
          <w:fldChar w:fldCharType="end"/>
        </w:r>
      </w:hyperlink>
    </w:p>
    <w:p w:rsidR="00211715" w:rsidRDefault="000B672F">
      <w:pPr>
        <w:pStyle w:val="TOC2"/>
        <w:tabs>
          <w:tab w:val="right" w:leader="dot" w:pos="9016"/>
        </w:tabs>
        <w:rPr>
          <w:rFonts w:asciiTheme="minorHAnsi" w:hAnsiTheme="minorHAnsi"/>
          <w:noProof/>
          <w:szCs w:val="22"/>
          <w:lang w:val="en-AU" w:eastAsia="en-AU"/>
        </w:rPr>
      </w:pPr>
      <w:hyperlink w:anchor="_Toc452550412" w:history="1">
        <w:r w:rsidR="00211715" w:rsidRPr="00C969F1">
          <w:rPr>
            <w:rStyle w:val="Hyperlink"/>
            <w:noProof/>
            <w:lang w:val="en-AU"/>
          </w:rPr>
          <w:t>List of Abbreviations</w:t>
        </w:r>
        <w:r w:rsidR="00211715">
          <w:rPr>
            <w:noProof/>
            <w:webHidden/>
          </w:rPr>
          <w:tab/>
        </w:r>
        <w:r w:rsidR="00211715">
          <w:rPr>
            <w:noProof/>
            <w:webHidden/>
          </w:rPr>
          <w:fldChar w:fldCharType="begin"/>
        </w:r>
        <w:r w:rsidR="00211715">
          <w:rPr>
            <w:noProof/>
            <w:webHidden/>
          </w:rPr>
          <w:instrText xml:space="preserve"> PAGEREF _Toc452550412 \h </w:instrText>
        </w:r>
        <w:r w:rsidR="00211715">
          <w:rPr>
            <w:noProof/>
            <w:webHidden/>
          </w:rPr>
        </w:r>
        <w:r w:rsidR="00211715">
          <w:rPr>
            <w:noProof/>
            <w:webHidden/>
          </w:rPr>
          <w:fldChar w:fldCharType="separate"/>
        </w:r>
        <w:r w:rsidR="00211715">
          <w:rPr>
            <w:noProof/>
            <w:webHidden/>
          </w:rPr>
          <w:t>38</w:t>
        </w:r>
        <w:r w:rsidR="00211715">
          <w:rPr>
            <w:noProof/>
            <w:webHidden/>
          </w:rPr>
          <w:fldChar w:fldCharType="end"/>
        </w:r>
      </w:hyperlink>
    </w:p>
    <w:p w:rsidR="00211715" w:rsidRDefault="000B672F">
      <w:pPr>
        <w:pStyle w:val="TOC2"/>
        <w:tabs>
          <w:tab w:val="right" w:leader="dot" w:pos="9016"/>
        </w:tabs>
        <w:rPr>
          <w:rFonts w:asciiTheme="minorHAnsi" w:hAnsiTheme="minorHAnsi"/>
          <w:noProof/>
          <w:szCs w:val="22"/>
          <w:lang w:val="en-AU" w:eastAsia="en-AU"/>
        </w:rPr>
      </w:pPr>
      <w:hyperlink w:anchor="_Toc452550413" w:history="1">
        <w:r w:rsidR="00211715" w:rsidRPr="00C969F1">
          <w:rPr>
            <w:rStyle w:val="Hyperlink"/>
            <w:noProof/>
            <w:lang w:val="en-AU"/>
          </w:rPr>
          <w:t>Appendix 1: SDA Benchmark Pricing</w:t>
        </w:r>
        <w:r w:rsidR="00211715">
          <w:rPr>
            <w:noProof/>
            <w:webHidden/>
          </w:rPr>
          <w:tab/>
        </w:r>
        <w:r w:rsidR="00211715">
          <w:rPr>
            <w:noProof/>
            <w:webHidden/>
          </w:rPr>
          <w:fldChar w:fldCharType="begin"/>
        </w:r>
        <w:r w:rsidR="00211715">
          <w:rPr>
            <w:noProof/>
            <w:webHidden/>
          </w:rPr>
          <w:instrText xml:space="preserve"> PAGEREF _Toc452550413 \h </w:instrText>
        </w:r>
        <w:r w:rsidR="00211715">
          <w:rPr>
            <w:noProof/>
            <w:webHidden/>
          </w:rPr>
        </w:r>
        <w:r w:rsidR="00211715">
          <w:rPr>
            <w:noProof/>
            <w:webHidden/>
          </w:rPr>
          <w:fldChar w:fldCharType="separate"/>
        </w:r>
        <w:r w:rsidR="00211715">
          <w:rPr>
            <w:noProof/>
            <w:webHidden/>
          </w:rPr>
          <w:t>39</w:t>
        </w:r>
        <w:r w:rsidR="00211715">
          <w:rPr>
            <w:noProof/>
            <w:webHidden/>
          </w:rPr>
          <w:fldChar w:fldCharType="end"/>
        </w:r>
      </w:hyperlink>
    </w:p>
    <w:p w:rsidR="00211715" w:rsidRDefault="000B672F">
      <w:pPr>
        <w:pStyle w:val="TOC2"/>
        <w:tabs>
          <w:tab w:val="right" w:leader="dot" w:pos="9016"/>
        </w:tabs>
        <w:rPr>
          <w:rFonts w:asciiTheme="minorHAnsi" w:hAnsiTheme="minorHAnsi"/>
          <w:noProof/>
          <w:szCs w:val="22"/>
          <w:lang w:val="en-AU" w:eastAsia="en-AU"/>
        </w:rPr>
      </w:pPr>
      <w:hyperlink w:anchor="_Toc452550414" w:history="1">
        <w:r w:rsidR="00211715" w:rsidRPr="00C969F1">
          <w:rPr>
            <w:rStyle w:val="Hyperlink"/>
            <w:noProof/>
            <w:lang w:val="en-AU"/>
          </w:rPr>
          <w:t>Appendix 2: Location factors</w:t>
        </w:r>
        <w:r w:rsidR="00211715">
          <w:rPr>
            <w:noProof/>
            <w:webHidden/>
          </w:rPr>
          <w:tab/>
        </w:r>
        <w:r w:rsidR="00211715">
          <w:rPr>
            <w:noProof/>
            <w:webHidden/>
          </w:rPr>
          <w:fldChar w:fldCharType="begin"/>
        </w:r>
        <w:r w:rsidR="00211715">
          <w:rPr>
            <w:noProof/>
            <w:webHidden/>
          </w:rPr>
          <w:instrText xml:space="preserve"> PAGEREF _Toc452550414 \h </w:instrText>
        </w:r>
        <w:r w:rsidR="00211715">
          <w:rPr>
            <w:noProof/>
            <w:webHidden/>
          </w:rPr>
        </w:r>
        <w:r w:rsidR="00211715">
          <w:rPr>
            <w:noProof/>
            <w:webHidden/>
          </w:rPr>
          <w:fldChar w:fldCharType="separate"/>
        </w:r>
        <w:r w:rsidR="00211715">
          <w:rPr>
            <w:noProof/>
            <w:webHidden/>
          </w:rPr>
          <w:t>43</w:t>
        </w:r>
        <w:r w:rsidR="00211715">
          <w:rPr>
            <w:noProof/>
            <w:webHidden/>
          </w:rPr>
          <w:fldChar w:fldCharType="end"/>
        </w:r>
      </w:hyperlink>
    </w:p>
    <w:p w:rsidR="00784FC9" w:rsidRPr="00DA1F62" w:rsidRDefault="00784FC9" w:rsidP="00784FC9">
      <w:pPr>
        <w:rPr>
          <w:lang w:val="en-AU"/>
        </w:rPr>
      </w:pPr>
      <w:r w:rsidRPr="00DA1F62">
        <w:rPr>
          <w:lang w:val="en-AU"/>
        </w:rPr>
        <w:fldChar w:fldCharType="end"/>
      </w:r>
      <w:r w:rsidRPr="00DA1F62">
        <w:rPr>
          <w:lang w:val="en-AU"/>
        </w:rPr>
        <w:br w:type="page"/>
      </w:r>
    </w:p>
    <w:p w:rsidR="002D6726" w:rsidRPr="00DA1F62" w:rsidRDefault="002D6726" w:rsidP="002D6726">
      <w:pPr>
        <w:pStyle w:val="Heading2"/>
        <w:numPr>
          <w:ilvl w:val="0"/>
          <w:numId w:val="0"/>
        </w:numPr>
        <w:rPr>
          <w:lang w:val="en-AU"/>
        </w:rPr>
      </w:pPr>
      <w:bookmarkStart w:id="3" w:name="_Toc452550397"/>
      <w:r w:rsidRPr="00DA1F62">
        <w:rPr>
          <w:lang w:val="en-AU"/>
        </w:rPr>
        <w:lastRenderedPageBreak/>
        <w:t>Disclaimer</w:t>
      </w:r>
      <w:bookmarkEnd w:id="3"/>
      <w:r w:rsidRPr="00DA1F62">
        <w:rPr>
          <w:lang w:val="en-AU"/>
        </w:rPr>
        <w:t xml:space="preserve"> </w:t>
      </w:r>
    </w:p>
    <w:p w:rsidR="005C4E27" w:rsidRPr="005C4E27" w:rsidRDefault="00FA5CA9" w:rsidP="002D27B7">
      <w:pPr>
        <w:spacing w:after="7560"/>
        <w:rPr>
          <w:rFonts w:ascii="Calibri" w:eastAsiaTheme="minorHAnsi" w:hAnsi="Calibri"/>
          <w:szCs w:val="22"/>
          <w:lang w:val="en-AU" w:eastAsia="en-US"/>
        </w:rPr>
      </w:pPr>
      <w:r w:rsidRPr="00784FC9">
        <w:rPr>
          <w:lang w:val="en-AU"/>
        </w:rPr>
        <w:t xml:space="preserve">Implementation and </w:t>
      </w:r>
      <w:r w:rsidR="00090F9E" w:rsidRPr="00E22DE1">
        <w:rPr>
          <w:lang w:val="en-AU"/>
        </w:rPr>
        <w:t>decision</w:t>
      </w:r>
      <w:r w:rsidR="008F5EA9">
        <w:rPr>
          <w:lang w:val="en-AU"/>
        </w:rPr>
        <w:t xml:space="preserve"> </w:t>
      </w:r>
      <w:r w:rsidR="005C4E27" w:rsidRPr="00E22DE1">
        <w:rPr>
          <w:lang w:val="en-AU"/>
        </w:rPr>
        <w:t xml:space="preserve">making by </w:t>
      </w:r>
      <w:r w:rsidR="007B7D09" w:rsidRPr="00E22DE1">
        <w:rPr>
          <w:lang w:val="en-AU"/>
        </w:rPr>
        <w:t xml:space="preserve">the </w:t>
      </w:r>
      <w:r w:rsidRPr="00E22DE1">
        <w:rPr>
          <w:lang w:val="en-AU"/>
        </w:rPr>
        <w:t xml:space="preserve">National Disability Insurance </w:t>
      </w:r>
      <w:r w:rsidR="007B7D09" w:rsidRPr="00E22DE1">
        <w:rPr>
          <w:lang w:val="en-AU"/>
        </w:rPr>
        <w:t xml:space="preserve">Agency or its </w:t>
      </w:r>
      <w:r w:rsidR="005C4E27" w:rsidRPr="00E22DE1">
        <w:rPr>
          <w:lang w:val="en-AU"/>
        </w:rPr>
        <w:t xml:space="preserve">delegates described by </w:t>
      </w:r>
      <w:r w:rsidRPr="00E22DE1">
        <w:rPr>
          <w:lang w:val="en-AU"/>
        </w:rPr>
        <w:t xml:space="preserve">this SDA Decision Paper on Pricing and Payments (SDA Decision Paper) </w:t>
      </w:r>
      <w:r w:rsidR="005C4E27" w:rsidRPr="00E22DE1">
        <w:rPr>
          <w:lang w:val="en-AU"/>
        </w:rPr>
        <w:t>requires authorisation under new Rules made by the Commonwealth Minister for Social Services</w:t>
      </w:r>
      <w:r w:rsidR="00431B4F" w:rsidRPr="00E22DE1">
        <w:rPr>
          <w:lang w:val="en-AU"/>
        </w:rPr>
        <w:t xml:space="preserve"> under the </w:t>
      </w:r>
      <w:r w:rsidR="00431B4F" w:rsidRPr="00E22DE1">
        <w:rPr>
          <w:i/>
          <w:lang w:val="en-AU"/>
        </w:rPr>
        <w:t>National Disability Insurance Scheme Act 2013</w:t>
      </w:r>
      <w:r w:rsidR="005C4E27" w:rsidRPr="00E22DE1">
        <w:rPr>
          <w:lang w:val="en-AU"/>
        </w:rPr>
        <w:t xml:space="preserve">. In the absence of these Rules the application of the SDA approach by </w:t>
      </w:r>
      <w:r w:rsidR="007B7D09" w:rsidRPr="00E22DE1">
        <w:rPr>
          <w:lang w:val="en-AU"/>
        </w:rPr>
        <w:t>the Agency may be limited. The Agency</w:t>
      </w:r>
      <w:r w:rsidR="005C4E27" w:rsidRPr="00E22DE1">
        <w:rPr>
          <w:lang w:val="en-AU"/>
        </w:rPr>
        <w:t xml:space="preserve"> will be seeking written confirmation from States</w:t>
      </w:r>
      <w:r w:rsidR="00841513" w:rsidRPr="00E22DE1">
        <w:rPr>
          <w:lang w:val="en-AU"/>
        </w:rPr>
        <w:t xml:space="preserve"> and Territories</w:t>
      </w:r>
      <w:r w:rsidR="005C4E27" w:rsidRPr="00E22DE1">
        <w:rPr>
          <w:lang w:val="en-AU"/>
        </w:rPr>
        <w:t xml:space="preserve"> on the substance of new Rules before operationalising.</w:t>
      </w:r>
      <w:r w:rsidR="005C4E27" w:rsidRPr="009655D6">
        <w:rPr>
          <w:lang w:val="en-AU"/>
        </w:rPr>
        <w:t xml:space="preserve"> </w:t>
      </w:r>
    </w:p>
    <w:p w:rsidR="002D6726" w:rsidRPr="00294EE7" w:rsidRDefault="00FA5CA9" w:rsidP="002D6726">
      <w:pPr>
        <w:rPr>
          <w:lang w:val="en-AU"/>
        </w:rPr>
      </w:pPr>
      <w:r w:rsidRPr="00E22DE1">
        <w:rPr>
          <w:sz w:val="20"/>
          <w:lang w:val="en-AU"/>
        </w:rPr>
        <w:t xml:space="preserve">This document is provided for information.  The Commonwealth and the National Disability Insurance Agency accept no liability to any person for any loss, damage, cost or expense suffered as a result of any use of or reliance on any of the information.  The information in this document may change, is not advice, and should not be relied upon for any action or failure to act. The Commonwealth and the Agency accept no responsibility for the accuracy or completeness of the material contained in this document. </w:t>
      </w:r>
    </w:p>
    <w:p w:rsidR="002D6726" w:rsidRPr="00294EE7" w:rsidRDefault="002D6726" w:rsidP="002D6726">
      <w:pPr>
        <w:spacing w:line="276" w:lineRule="auto"/>
        <w:rPr>
          <w:lang w:val="en-AU"/>
        </w:rPr>
      </w:pPr>
      <w:r w:rsidRPr="00294EE7">
        <w:rPr>
          <w:lang w:val="en-AU"/>
        </w:rPr>
        <w:br w:type="page"/>
      </w:r>
    </w:p>
    <w:p w:rsidR="002D6726" w:rsidRPr="00FC5E27" w:rsidRDefault="002D6726" w:rsidP="002D6726">
      <w:pPr>
        <w:pStyle w:val="Heading2"/>
        <w:numPr>
          <w:ilvl w:val="0"/>
          <w:numId w:val="0"/>
        </w:numPr>
        <w:rPr>
          <w:lang w:val="en-AU"/>
        </w:rPr>
      </w:pPr>
      <w:bookmarkStart w:id="4" w:name="_Toc452550398"/>
      <w:r w:rsidRPr="00FC5E27">
        <w:rPr>
          <w:lang w:val="en-AU"/>
        </w:rPr>
        <w:lastRenderedPageBreak/>
        <w:t>Executive summary</w:t>
      </w:r>
      <w:bookmarkEnd w:id="4"/>
    </w:p>
    <w:p w:rsidR="002D6726" w:rsidRPr="00AA44FB" w:rsidRDefault="002D6726" w:rsidP="002D6726">
      <w:pPr>
        <w:rPr>
          <w:rFonts w:ascii="Calibri" w:eastAsiaTheme="minorHAnsi" w:hAnsi="Calibri"/>
          <w:szCs w:val="22"/>
          <w:lang w:val="en-AU" w:eastAsia="en-US"/>
        </w:rPr>
      </w:pPr>
      <w:r w:rsidRPr="00FC5E27">
        <w:rPr>
          <w:lang w:val="en-AU"/>
        </w:rPr>
        <w:t>Specialist Disability Accommodation (SDA) refers to accommodation for participants who require specialist housing solutions to assist with the delivery of s</w:t>
      </w:r>
      <w:r w:rsidRPr="0069103E">
        <w:rPr>
          <w:lang w:val="en-AU"/>
        </w:rPr>
        <w:t xml:space="preserve">upports that cater for their significant functional impairment and/or very high support needs. SDA does not refer to the support services, but the homes in which these are delivered. SDA may include special designs for people with very high needs or may have a location or features that make it feasible to provide complex or costly supports for independent living. </w:t>
      </w:r>
    </w:p>
    <w:p w:rsidR="002D6726" w:rsidRPr="005C4E27" w:rsidRDefault="002D6726" w:rsidP="002D6726">
      <w:pPr>
        <w:rPr>
          <w:lang w:val="en-AU"/>
        </w:rPr>
      </w:pPr>
      <w:r w:rsidRPr="005C4E27">
        <w:rPr>
          <w:lang w:val="en-AU"/>
        </w:rPr>
        <w:t>SDA refers only to specialist solutions and is not intended to encompass the housing needs of all people with disability. The National Disability Insurance Agency (NDIA; Agency) will continue to work with other agencies and departments with housing responsibilities to stimulate accessible and affordable housing options for people with disability, including the promotion of universal housing designs and shared-living models.</w:t>
      </w:r>
    </w:p>
    <w:p w:rsidR="002D6726" w:rsidRPr="005C4E27" w:rsidRDefault="002D6726" w:rsidP="002D6726">
      <w:pPr>
        <w:rPr>
          <w:lang w:val="en-AU"/>
        </w:rPr>
      </w:pPr>
      <w:r w:rsidRPr="005C4E27">
        <w:rPr>
          <w:lang w:val="en-AU"/>
        </w:rPr>
        <w:t xml:space="preserve">Historically, SDA has been delivered or sponsored primarily by State and Territory governments (hereafter ‘States’). From </w:t>
      </w:r>
      <w:r w:rsidR="004A7295">
        <w:rPr>
          <w:lang w:val="en-AU"/>
        </w:rPr>
        <w:t xml:space="preserve">1 </w:t>
      </w:r>
      <w:r w:rsidRPr="00AA44FB">
        <w:rPr>
          <w:lang w:val="en-AU"/>
        </w:rPr>
        <w:t>July</w:t>
      </w:r>
      <w:r w:rsidR="004A7295">
        <w:rPr>
          <w:lang w:val="en-AU"/>
        </w:rPr>
        <w:t xml:space="preserve"> </w:t>
      </w:r>
      <w:r w:rsidRPr="00AA44FB">
        <w:rPr>
          <w:lang w:val="en-AU"/>
        </w:rPr>
        <w:t>2016 the responsibility for funding SDA is planned to transition to the National Disability</w:t>
      </w:r>
      <w:r w:rsidRPr="005C4E27">
        <w:rPr>
          <w:lang w:val="en-AU"/>
        </w:rPr>
        <w:t xml:space="preserve"> Insurance Scheme (NDIS; Scheme). </w:t>
      </w:r>
    </w:p>
    <w:p w:rsidR="002D6726" w:rsidRPr="00812272" w:rsidRDefault="00090F9E" w:rsidP="002D6726">
      <w:pPr>
        <w:rPr>
          <w:lang w:val="en-AU"/>
        </w:rPr>
      </w:pPr>
      <w:r>
        <w:rPr>
          <w:lang w:val="en-AU"/>
        </w:rPr>
        <w:t xml:space="preserve">Consistent with policy direction </w:t>
      </w:r>
      <w:r w:rsidRPr="005C4E27">
        <w:rPr>
          <w:lang w:val="en-AU"/>
        </w:rPr>
        <w:t>provided in the Specialist Disability Accommodation Pricing and Payments Framework (the Framework) endorsed by the Disability Reform Council</w:t>
      </w:r>
      <w:r>
        <w:rPr>
          <w:lang w:val="en-AU"/>
        </w:rPr>
        <w:t xml:space="preserve"> (DRC) </w:t>
      </w:r>
      <w:r w:rsidRPr="00812272">
        <w:rPr>
          <w:lang w:val="en-AU"/>
        </w:rPr>
        <w:t>in November 2015</w:t>
      </w:r>
      <w:r>
        <w:rPr>
          <w:lang w:val="en-AU"/>
        </w:rPr>
        <w:t>, t</w:t>
      </w:r>
      <w:r w:rsidR="002D6726" w:rsidRPr="005C4E27">
        <w:rPr>
          <w:lang w:val="en-AU"/>
        </w:rPr>
        <w:t xml:space="preserve">his paper sets out the benchmark pricing and payments approach and administrative arrangements for funding of the land and built elements of SDA under the Scheme. </w:t>
      </w:r>
    </w:p>
    <w:p w:rsidR="002D6726" w:rsidRPr="005C4E27" w:rsidRDefault="002D6726" w:rsidP="002D6726">
      <w:pPr>
        <w:rPr>
          <w:lang w:val="en-AU"/>
        </w:rPr>
      </w:pPr>
      <w:r w:rsidRPr="00AA44FB">
        <w:rPr>
          <w:lang w:val="en-AU"/>
        </w:rPr>
        <w:t xml:space="preserve">Like all parts of the Scheme, the Agency’s approach to SDA seeks to bring greater choice and control for people with disabilities in relation to their need for reasonable and necessary housing supports. SDA funding in </w:t>
      </w:r>
      <w:r w:rsidR="00083862">
        <w:rPr>
          <w:lang w:val="en-AU"/>
        </w:rPr>
        <w:t xml:space="preserve">a participant’s </w:t>
      </w:r>
      <w:r w:rsidRPr="00AA44FB">
        <w:rPr>
          <w:lang w:val="en-AU"/>
        </w:rPr>
        <w:t>plan</w:t>
      </w:r>
      <w:r w:rsidR="00083862">
        <w:rPr>
          <w:lang w:val="en-AU"/>
        </w:rPr>
        <w:t xml:space="preserve"> will reflect</w:t>
      </w:r>
      <w:r w:rsidRPr="00AA44FB">
        <w:rPr>
          <w:lang w:val="en-AU"/>
        </w:rPr>
        <w:t xml:space="preserve"> a range </w:t>
      </w:r>
      <w:r w:rsidRPr="005C4E27">
        <w:rPr>
          <w:lang w:val="en-AU"/>
        </w:rPr>
        <w:t>of different SDA solutions.</w:t>
      </w:r>
    </w:p>
    <w:p w:rsidR="002D6726" w:rsidRPr="0069103E" w:rsidRDefault="002D6726" w:rsidP="002D6726">
      <w:pPr>
        <w:rPr>
          <w:lang w:val="en-AU"/>
        </w:rPr>
      </w:pPr>
      <w:r w:rsidRPr="005C4E27">
        <w:rPr>
          <w:lang w:val="en-AU"/>
        </w:rPr>
        <w:t xml:space="preserve">The Agency’s approach to SDA is designed to enable a smooth transition of existing SDA stock into the </w:t>
      </w:r>
      <w:r w:rsidR="004C01F6">
        <w:rPr>
          <w:lang w:val="en-AU"/>
        </w:rPr>
        <w:t>Scheme</w:t>
      </w:r>
      <w:r w:rsidRPr="004C01F6">
        <w:rPr>
          <w:lang w:val="en-AU"/>
        </w:rPr>
        <w:t xml:space="preserve">, while also encouraging new builds from a broad range of investors to improve the long term supply of SDA and to stimulate innovation </w:t>
      </w:r>
      <w:r w:rsidRPr="00294EE7">
        <w:rPr>
          <w:lang w:val="en-AU"/>
        </w:rPr>
        <w:t>in SDA housing solutions. By providing prices that cover the full cost of owning and operating a range of building types (rather than a single averaged a</w:t>
      </w:r>
      <w:r w:rsidRPr="00FC5E27">
        <w:rPr>
          <w:lang w:val="en-AU"/>
        </w:rPr>
        <w:t>mount)</w:t>
      </w:r>
      <w:r w:rsidR="009B4DFF" w:rsidRPr="00FC5E27">
        <w:rPr>
          <w:lang w:val="en-AU"/>
        </w:rPr>
        <w:t xml:space="preserve"> </w:t>
      </w:r>
      <w:r w:rsidRPr="0069103E">
        <w:rPr>
          <w:lang w:val="en-AU"/>
        </w:rPr>
        <w:t>the Agency will be providing new incentives for</w:t>
      </w:r>
      <w:r w:rsidR="005C4E27" w:rsidRPr="0069103E">
        <w:rPr>
          <w:lang w:val="en-AU"/>
        </w:rPr>
        <w:t xml:space="preserve"> SDA</w:t>
      </w:r>
      <w:r w:rsidRPr="0069103E">
        <w:rPr>
          <w:lang w:val="en-AU"/>
        </w:rPr>
        <w:t xml:space="preserve"> providers to develop smaller </w:t>
      </w:r>
      <w:r w:rsidR="000F451B">
        <w:rPr>
          <w:lang w:val="en-AU"/>
        </w:rPr>
        <w:t xml:space="preserve">and innovative </w:t>
      </w:r>
      <w:r w:rsidRPr="0069103E">
        <w:rPr>
          <w:lang w:val="en-AU"/>
        </w:rPr>
        <w:t>forms of accommodation, including one, two and three bedroom dwellings.</w:t>
      </w:r>
    </w:p>
    <w:p w:rsidR="00090F9E" w:rsidRPr="00E22DE1" w:rsidRDefault="00CE68B0" w:rsidP="00E22DE1">
      <w:pPr>
        <w:rPr>
          <w:lang w:val="en-AU"/>
        </w:rPr>
      </w:pPr>
      <w:r>
        <w:rPr>
          <w:lang w:val="en-AU"/>
        </w:rPr>
        <w:t>This</w:t>
      </w:r>
      <w:r w:rsidR="002D6726" w:rsidRPr="00AA44FB">
        <w:rPr>
          <w:lang w:val="en-AU"/>
        </w:rPr>
        <w:t xml:space="preserve"> </w:t>
      </w:r>
      <w:r w:rsidR="00090F9E">
        <w:rPr>
          <w:lang w:val="en-AU"/>
        </w:rPr>
        <w:t xml:space="preserve">SDA approach seeks to enable </w:t>
      </w:r>
      <w:r w:rsidR="002D6726" w:rsidRPr="00E93D6A">
        <w:rPr>
          <w:lang w:val="en-AU"/>
        </w:rPr>
        <w:t>the development of a vibrant SDA supply market which meets the needs of individual participants with severe functional impairment and/or very high support needs. The Agency’s approach to SDA will bring increased choice and control for participants</w:t>
      </w:r>
      <w:r w:rsidR="002D6726" w:rsidRPr="005C4E27">
        <w:rPr>
          <w:lang w:val="en-AU"/>
        </w:rPr>
        <w:t xml:space="preserve"> and will encourage models of SDA that enable opportunities for participants to develop greater levels of independence, and social and economic participation. </w:t>
      </w:r>
      <w:r w:rsidR="00090F9E" w:rsidRPr="00E22DE1">
        <w:rPr>
          <w:lang w:val="en-AU"/>
        </w:rPr>
        <w:t xml:space="preserve">In addition to pricing </w:t>
      </w:r>
      <w:r w:rsidR="004A0905">
        <w:rPr>
          <w:lang w:val="en-AU"/>
        </w:rPr>
        <w:t xml:space="preserve">traditional </w:t>
      </w:r>
      <w:r w:rsidR="00090F9E" w:rsidRPr="00E22DE1">
        <w:rPr>
          <w:lang w:val="en-AU"/>
        </w:rPr>
        <w:t xml:space="preserve">SDA configurations, the Agency is seeking to enable and incentivise innovation in SDA design and consideration of overall support combinations and choices. </w:t>
      </w:r>
    </w:p>
    <w:p w:rsidR="002D6726" w:rsidRPr="005C4E27" w:rsidRDefault="002D6726" w:rsidP="002D6726">
      <w:pPr>
        <w:rPr>
          <w:lang w:val="en-AU"/>
        </w:rPr>
      </w:pPr>
    </w:p>
    <w:p w:rsidR="002D6726" w:rsidRPr="005C4E27" w:rsidRDefault="002D6726" w:rsidP="002D6726">
      <w:pPr>
        <w:rPr>
          <w:lang w:val="en-AU"/>
        </w:rPr>
      </w:pPr>
      <w:r w:rsidRPr="005C4E27">
        <w:rPr>
          <w:lang w:val="en-AU"/>
        </w:rPr>
        <w:t>As part of developing th</w:t>
      </w:r>
      <w:r w:rsidR="00CE68B0">
        <w:rPr>
          <w:lang w:val="en-AU"/>
        </w:rPr>
        <w:t xml:space="preserve">e pricing and payments </w:t>
      </w:r>
      <w:r w:rsidRPr="00AA44FB">
        <w:rPr>
          <w:lang w:val="en-AU"/>
        </w:rPr>
        <w:t>approach</w:t>
      </w:r>
      <w:r w:rsidR="00CE68B0">
        <w:rPr>
          <w:lang w:val="en-AU"/>
        </w:rPr>
        <w:t xml:space="preserve"> for SDA</w:t>
      </w:r>
      <w:r w:rsidRPr="00AA44FB">
        <w:rPr>
          <w:lang w:val="en-AU"/>
        </w:rPr>
        <w:t>, the Agency has held public consultations in all States and Territories, and with all governments. These consult</w:t>
      </w:r>
      <w:r w:rsidRPr="005C4E27">
        <w:rPr>
          <w:lang w:val="en-AU"/>
        </w:rPr>
        <w:t xml:space="preserve">ations have provided valuable input which has been incorporated into the design. </w:t>
      </w:r>
    </w:p>
    <w:p w:rsidR="002D6726" w:rsidRPr="005C4E27" w:rsidRDefault="002D6726" w:rsidP="002D6726">
      <w:pPr>
        <w:rPr>
          <w:lang w:val="en-AU"/>
        </w:rPr>
      </w:pPr>
      <w:r w:rsidRPr="005C4E27">
        <w:rPr>
          <w:lang w:val="en-AU"/>
        </w:rPr>
        <w:t>On 1 April 2016, the Agency also released a SDA Position Paper on Draft Pricing and Payments</w:t>
      </w:r>
      <w:r w:rsidR="00171215">
        <w:rPr>
          <w:lang w:val="en-AU"/>
        </w:rPr>
        <w:t xml:space="preserve"> (SDA Position Paper)</w:t>
      </w:r>
      <w:r w:rsidRPr="005C4E27">
        <w:rPr>
          <w:lang w:val="en-AU"/>
        </w:rPr>
        <w:t xml:space="preserve">, with a short period for further feedback from anyone who wished to provide it. The responses to the paper have assisted the Agency to further refine the approach and details about its administration. </w:t>
      </w:r>
      <w:r w:rsidR="000F451B">
        <w:rPr>
          <w:lang w:val="en-AU"/>
        </w:rPr>
        <w:t xml:space="preserve">We thank those who took the time to respond with their comments and suggestions. </w:t>
      </w:r>
    </w:p>
    <w:p w:rsidR="002D6726" w:rsidRPr="005C4E27" w:rsidRDefault="002D6726" w:rsidP="002D6726">
      <w:pPr>
        <w:rPr>
          <w:lang w:val="en-AU"/>
        </w:rPr>
      </w:pPr>
      <w:r w:rsidRPr="005C4E27">
        <w:rPr>
          <w:lang w:val="en-AU"/>
        </w:rPr>
        <w:t xml:space="preserve">The initial pricing and payment arrangements </w:t>
      </w:r>
      <w:r w:rsidR="000F451B">
        <w:rPr>
          <w:lang w:val="en-AU"/>
        </w:rPr>
        <w:t xml:space="preserve">in this paper aim </w:t>
      </w:r>
      <w:r w:rsidRPr="005C4E27">
        <w:rPr>
          <w:lang w:val="en-AU"/>
        </w:rPr>
        <w:t>to provide the base pricing that is required to ensure SDA can be established in the Scheme in 2016</w:t>
      </w:r>
      <w:r w:rsidR="00B63E04">
        <w:rPr>
          <w:lang w:val="en-AU"/>
        </w:rPr>
        <w:t>-</w:t>
      </w:r>
      <w:r w:rsidRPr="00AA44FB">
        <w:rPr>
          <w:lang w:val="en-AU"/>
        </w:rPr>
        <w:t>17, and to ensure t</w:t>
      </w:r>
      <w:r w:rsidRPr="00E93D6A">
        <w:rPr>
          <w:lang w:val="en-AU"/>
        </w:rPr>
        <w:t>hat this covers the SDA that will transition in over the next few years</w:t>
      </w:r>
      <w:r w:rsidR="000F451B">
        <w:rPr>
          <w:lang w:val="en-AU"/>
        </w:rPr>
        <w:t>, as the Scheme rolls out across Australia</w:t>
      </w:r>
      <w:r w:rsidRPr="00E93D6A">
        <w:rPr>
          <w:lang w:val="en-AU"/>
        </w:rPr>
        <w:t>. The Agency will continue to encourage and foster a range of innovative solutions that result in better outcomes for participants and will develop new pricing categories and factors as</w:t>
      </w:r>
      <w:r w:rsidRPr="005C4E27">
        <w:rPr>
          <w:lang w:val="en-AU"/>
        </w:rPr>
        <w:t xml:space="preserve"> the evidence base is established. The Agency recognises that innovation will be not only through design or technological improvements, but may also reflect better amenity or operating models that foster inclusion and independence. </w:t>
      </w:r>
    </w:p>
    <w:p w:rsidR="002D6726" w:rsidRPr="005C4E27" w:rsidRDefault="002D6726" w:rsidP="002D6726">
      <w:pPr>
        <w:rPr>
          <w:lang w:val="en-AU"/>
        </w:rPr>
      </w:pPr>
      <w:r w:rsidRPr="005C4E27">
        <w:rPr>
          <w:lang w:val="en-AU"/>
        </w:rPr>
        <w:t>Consistent with the Agency’s role as market steward, housing will be developed and provided by the market in response to demand from participants. The Agency will not be a property developer or project sponsor, but will provide payments for the SDA that participants choose to live in, allowing the market to directly respond to their needs and preferences. As the market matures and supply grows, the Agency expects greater choice for participants and diversity in the options that are available to them. As more people enter the Scheme and a better understanding of demand is established, the Agency will monitor the supply of SDA to ensure the market is providing suitable housing and consider whether other forms of intervention are required.</w:t>
      </w:r>
    </w:p>
    <w:p w:rsidR="002D6726" w:rsidRDefault="002D6726" w:rsidP="002D6726">
      <w:pPr>
        <w:rPr>
          <w:lang w:val="en-AU"/>
        </w:rPr>
      </w:pPr>
      <w:r w:rsidRPr="005C4E27">
        <w:rPr>
          <w:lang w:val="en-AU"/>
        </w:rPr>
        <w:t xml:space="preserve">The </w:t>
      </w:r>
      <w:r w:rsidR="00812272">
        <w:rPr>
          <w:lang w:val="en-AU"/>
        </w:rPr>
        <w:t>DRC</w:t>
      </w:r>
      <w:r w:rsidRPr="00812272">
        <w:rPr>
          <w:lang w:val="en-AU"/>
        </w:rPr>
        <w:t xml:space="preserve"> will review the Framework in the Framework’s third year of operation, or earlier if necessary, to assess whether it has been successful at stimulating housing supply that delivers on outcomes for participants. After this review, periodic pricing reviews are to be conducted every five years with a focus on continuing to drive market solutions that me</w:t>
      </w:r>
      <w:r w:rsidRPr="00AA44FB">
        <w:rPr>
          <w:lang w:val="en-AU"/>
        </w:rPr>
        <w:t xml:space="preserve">et the needs and preferences of participants. </w:t>
      </w:r>
      <w:r w:rsidR="00A933C9">
        <w:rPr>
          <w:lang w:val="en-AU"/>
        </w:rPr>
        <w:t>The Agency will closely monitor the SDA pricing and payments approach</w:t>
      </w:r>
      <w:r w:rsidR="000F451B">
        <w:rPr>
          <w:lang w:val="en-AU"/>
        </w:rPr>
        <w:t xml:space="preserve"> and make adjustments as needed.</w:t>
      </w:r>
    </w:p>
    <w:p w:rsidR="00D951E6" w:rsidRDefault="00D951E6" w:rsidP="002D6726">
      <w:pPr>
        <w:rPr>
          <w:lang w:val="en-AU"/>
        </w:rPr>
      </w:pPr>
    </w:p>
    <w:p w:rsidR="00D951E6" w:rsidRPr="00AA44FB" w:rsidRDefault="00D951E6" w:rsidP="00E00CCA">
      <w:pPr>
        <w:pBdr>
          <w:top w:val="single" w:sz="4" w:space="1" w:color="auto"/>
          <w:left w:val="single" w:sz="4" w:space="4" w:color="auto"/>
          <w:bottom w:val="single" w:sz="4" w:space="1" w:color="auto"/>
          <w:right w:val="single" w:sz="4" w:space="4" w:color="auto"/>
        </w:pBdr>
        <w:spacing w:before="240"/>
        <w:rPr>
          <w:lang w:val="en-AU"/>
        </w:rPr>
      </w:pPr>
      <w:r>
        <w:rPr>
          <w:lang w:val="en-AU"/>
        </w:rPr>
        <w:t xml:space="preserve">Note: This Decision Paper is focused on pricing and payments. </w:t>
      </w:r>
    </w:p>
    <w:p w:rsidR="00D951E6" w:rsidRDefault="00D951E6" w:rsidP="00E00CCA">
      <w:pPr>
        <w:pBdr>
          <w:top w:val="single" w:sz="4" w:space="1" w:color="auto"/>
          <w:left w:val="single" w:sz="4" w:space="4" w:color="auto"/>
          <w:bottom w:val="single" w:sz="4" w:space="1" w:color="auto"/>
          <w:right w:val="single" w:sz="4" w:space="4" w:color="auto"/>
        </w:pBdr>
        <w:spacing w:before="240"/>
        <w:rPr>
          <w:lang w:val="en-AU"/>
        </w:rPr>
      </w:pPr>
      <w:r>
        <w:rPr>
          <w:lang w:val="en-AU"/>
        </w:rPr>
        <w:t xml:space="preserve">Decision making and operational </w:t>
      </w:r>
      <w:r w:rsidR="00A933C9">
        <w:rPr>
          <w:lang w:val="en-AU"/>
        </w:rPr>
        <w:t>processes</w:t>
      </w:r>
      <w:r>
        <w:rPr>
          <w:lang w:val="en-AU"/>
        </w:rPr>
        <w:t xml:space="preserve"> for participants are subject to Rules being developed. The Agency proposes to publish supporting guidance material on this pr</w:t>
      </w:r>
      <w:r w:rsidR="004A0905">
        <w:rPr>
          <w:lang w:val="en-AU"/>
        </w:rPr>
        <w:t xml:space="preserve">ocess in the coming weeks, once the Rules are agreed. </w:t>
      </w:r>
    </w:p>
    <w:p w:rsidR="002D6726" w:rsidRPr="005C4E27" w:rsidRDefault="002D6726" w:rsidP="002D6726">
      <w:pPr>
        <w:rPr>
          <w:lang w:val="en-AU"/>
        </w:rPr>
      </w:pPr>
    </w:p>
    <w:p w:rsidR="002D6726" w:rsidRPr="005C4E27" w:rsidRDefault="002D6726" w:rsidP="002D6726">
      <w:pPr>
        <w:pStyle w:val="Heading2"/>
        <w:rPr>
          <w:lang w:val="en-AU"/>
        </w:rPr>
      </w:pPr>
      <w:r w:rsidRPr="005C4E27">
        <w:rPr>
          <w:lang w:val="en-AU"/>
        </w:rPr>
        <w:br w:type="page"/>
      </w:r>
      <w:bookmarkStart w:id="5" w:name="_Toc452550399"/>
      <w:r w:rsidRPr="005C4E27">
        <w:rPr>
          <w:lang w:val="en-AU"/>
        </w:rPr>
        <w:lastRenderedPageBreak/>
        <w:t>Introduction</w:t>
      </w:r>
      <w:bookmarkEnd w:id="5"/>
    </w:p>
    <w:p w:rsidR="002D6726" w:rsidRPr="005C4E27" w:rsidRDefault="002D6726" w:rsidP="00717425">
      <w:pPr>
        <w:pStyle w:val="Heading3"/>
        <w:ind w:left="0" w:firstLine="0"/>
      </w:pPr>
      <w:bookmarkStart w:id="6" w:name="_Toc452550400"/>
      <w:r w:rsidRPr="005C4E27">
        <w:t>What is Specialist Disability Accommodation?</w:t>
      </w:r>
      <w:bookmarkEnd w:id="6"/>
    </w:p>
    <w:p w:rsidR="002D6726" w:rsidRPr="005C4E27" w:rsidRDefault="0026729D" w:rsidP="002D6726">
      <w:pPr>
        <w:rPr>
          <w:rFonts w:ascii="Calibri" w:eastAsiaTheme="minorHAnsi" w:hAnsi="Calibri"/>
          <w:szCs w:val="22"/>
          <w:lang w:val="en-AU" w:eastAsia="en-US"/>
        </w:rPr>
      </w:pPr>
      <w:r>
        <w:rPr>
          <w:lang w:val="en-AU"/>
        </w:rPr>
        <w:t>Specialist Disability Accommodation (</w:t>
      </w:r>
      <w:r w:rsidR="002D6726" w:rsidRPr="005C4E27">
        <w:rPr>
          <w:lang w:val="en-AU"/>
        </w:rPr>
        <w:t>SDA</w:t>
      </w:r>
      <w:r>
        <w:rPr>
          <w:lang w:val="en-AU"/>
        </w:rPr>
        <w:t>)</w:t>
      </w:r>
      <w:r w:rsidR="002D6726" w:rsidRPr="005C4E27">
        <w:rPr>
          <w:lang w:val="en-AU"/>
        </w:rPr>
        <w:t xml:space="preserve"> refers to accommodation for participants who require specialist housing solutions to assist with the delivery of supports that cater for their significant functional impairment and/or very high support needs. SDA does not refer to the support services, but the homes in which these are delivered. SDA may include special designs for people with very high needs or may have a location or features that make it feasible to provide complex or costly supports. </w:t>
      </w:r>
    </w:p>
    <w:p w:rsidR="002D6726" w:rsidRPr="005C4E27" w:rsidRDefault="002D6726" w:rsidP="002D6726">
      <w:pPr>
        <w:rPr>
          <w:lang w:val="en-AU"/>
        </w:rPr>
      </w:pPr>
      <w:r w:rsidRPr="005C4E27">
        <w:rPr>
          <w:lang w:val="en-AU"/>
        </w:rPr>
        <w:t xml:space="preserve">The Scheme will support the development of new SDA for participants, but also recognises the need </w:t>
      </w:r>
      <w:r w:rsidR="00792135">
        <w:rPr>
          <w:lang w:val="en-AU"/>
        </w:rPr>
        <w:t xml:space="preserve">for </w:t>
      </w:r>
      <w:r w:rsidRPr="005C4E27">
        <w:rPr>
          <w:lang w:val="en-AU"/>
        </w:rPr>
        <w:t xml:space="preserve">existing supported accommodation until and unless participants choose other forms of housing. Participants will transition in from existing accommodation including group homes, large residential centres, cluster or village based accommodation, and other smaller forms of SDA, in addition to participants who currently reside in a residential aged care facility. </w:t>
      </w:r>
    </w:p>
    <w:p w:rsidR="002D6726" w:rsidRPr="005C4E27" w:rsidRDefault="002D6726" w:rsidP="002D6726">
      <w:pPr>
        <w:rPr>
          <w:lang w:val="en-AU"/>
        </w:rPr>
      </w:pPr>
      <w:r w:rsidRPr="005C4E27">
        <w:rPr>
          <w:lang w:val="en-AU"/>
        </w:rPr>
        <w:t xml:space="preserve">In designing this pricing and payments approach the Agency is cognisant that the definition of SDA includes both the existing specialist accommodation where people are currently living, as well as new and innovative models that are not yet widely available. The Agency’s approach is designed to ensure stability for those currently in SDA, while at the same time providing incentives to stimulate new supply, reflecting the choices and preferences of people with disability. </w:t>
      </w:r>
    </w:p>
    <w:p w:rsidR="002D6726" w:rsidRPr="005C4E27" w:rsidRDefault="002D6726" w:rsidP="00717425">
      <w:pPr>
        <w:pStyle w:val="Heading3"/>
        <w:ind w:left="0" w:firstLine="0"/>
      </w:pPr>
      <w:bookmarkStart w:id="7" w:name="_Toc452550401"/>
      <w:r w:rsidRPr="005C4E27">
        <w:t>How SDA supports the NDIS principles and objectives</w:t>
      </w:r>
      <w:bookmarkEnd w:id="7"/>
    </w:p>
    <w:p w:rsidR="002D6726" w:rsidRPr="005C4E27" w:rsidRDefault="002D6726" w:rsidP="002D6726">
      <w:pPr>
        <w:rPr>
          <w:lang w:val="en-AU"/>
        </w:rPr>
      </w:pPr>
      <w:r w:rsidRPr="005C4E27">
        <w:rPr>
          <w:lang w:val="en-AU"/>
        </w:rPr>
        <w:t>The provision of SDA as part of the NDIS reflects the following objectives that are a central part of the NDIS:</w:t>
      </w:r>
    </w:p>
    <w:p w:rsidR="002D6726" w:rsidRPr="005C4E27" w:rsidRDefault="002D6726" w:rsidP="002D6726">
      <w:pPr>
        <w:ind w:left="426" w:hanging="426"/>
        <w:rPr>
          <w:lang w:val="en-AU"/>
        </w:rPr>
      </w:pPr>
      <w:r w:rsidRPr="005C4E27">
        <w:rPr>
          <w:lang w:val="en-AU"/>
        </w:rPr>
        <w:t>(a)</w:t>
      </w:r>
      <w:r w:rsidRPr="005C4E27">
        <w:rPr>
          <w:lang w:val="en-AU"/>
        </w:rPr>
        <w:tab/>
      </w:r>
      <w:r w:rsidR="00E15AE7" w:rsidRPr="005C4E27">
        <w:rPr>
          <w:lang w:val="en-AU"/>
        </w:rPr>
        <w:t>Supporting</w:t>
      </w:r>
      <w:r w:rsidRPr="005C4E27">
        <w:rPr>
          <w:lang w:val="en-AU"/>
        </w:rPr>
        <w:t xml:space="preserve"> the independence and social and economic participation of people with disability;</w:t>
      </w:r>
    </w:p>
    <w:p w:rsidR="002D6726" w:rsidRPr="005C4E27" w:rsidRDefault="002D6726" w:rsidP="002D6726">
      <w:pPr>
        <w:ind w:left="426" w:hanging="426"/>
        <w:rPr>
          <w:lang w:val="en-AU"/>
        </w:rPr>
      </w:pPr>
      <w:r w:rsidRPr="005C4E27">
        <w:rPr>
          <w:lang w:val="en-AU"/>
        </w:rPr>
        <w:t>(b)</w:t>
      </w:r>
      <w:r w:rsidRPr="005C4E27">
        <w:rPr>
          <w:lang w:val="en-AU"/>
        </w:rPr>
        <w:tab/>
      </w:r>
      <w:r w:rsidR="00E15AE7" w:rsidRPr="005C4E27">
        <w:rPr>
          <w:lang w:val="en-AU"/>
        </w:rPr>
        <w:t>Providing</w:t>
      </w:r>
      <w:r w:rsidRPr="005C4E27">
        <w:rPr>
          <w:lang w:val="en-AU"/>
        </w:rPr>
        <w:t xml:space="preserve"> reasonable and necessary supports, including early intervention supports, for participants in the National Disability Insurance Scheme launch;</w:t>
      </w:r>
    </w:p>
    <w:p w:rsidR="002D6726" w:rsidRPr="005C4E27" w:rsidRDefault="002D6726" w:rsidP="002D6726">
      <w:pPr>
        <w:ind w:left="426" w:hanging="426"/>
        <w:rPr>
          <w:lang w:val="en-AU"/>
        </w:rPr>
      </w:pPr>
      <w:r w:rsidRPr="005C4E27">
        <w:rPr>
          <w:lang w:val="en-AU"/>
        </w:rPr>
        <w:t>(c)</w:t>
      </w:r>
      <w:r w:rsidRPr="005C4E27">
        <w:rPr>
          <w:lang w:val="en-AU"/>
        </w:rPr>
        <w:tab/>
      </w:r>
      <w:r w:rsidR="00E15AE7" w:rsidRPr="005C4E27">
        <w:rPr>
          <w:lang w:val="en-AU"/>
        </w:rPr>
        <w:t>Enabling</w:t>
      </w:r>
      <w:r w:rsidRPr="005C4E27">
        <w:rPr>
          <w:lang w:val="en-AU"/>
        </w:rPr>
        <w:t xml:space="preserve"> people with disability to exercise choice and control in the pursuit of their goals and the planning and delivery of their supports;</w:t>
      </w:r>
    </w:p>
    <w:p w:rsidR="002D6726" w:rsidRPr="005C4E27" w:rsidRDefault="002D6726" w:rsidP="002D6726">
      <w:pPr>
        <w:ind w:left="426" w:hanging="426"/>
        <w:rPr>
          <w:lang w:val="en-AU"/>
        </w:rPr>
      </w:pPr>
      <w:r w:rsidRPr="005C4E27">
        <w:rPr>
          <w:lang w:val="en-AU"/>
        </w:rPr>
        <w:t>(d)</w:t>
      </w:r>
      <w:r w:rsidRPr="005C4E27">
        <w:rPr>
          <w:lang w:val="en-AU"/>
        </w:rPr>
        <w:tab/>
      </w:r>
      <w:r w:rsidR="00E15AE7" w:rsidRPr="005C4E27">
        <w:rPr>
          <w:lang w:val="en-AU"/>
        </w:rPr>
        <w:t>Promoting</w:t>
      </w:r>
      <w:r w:rsidRPr="005C4E27">
        <w:rPr>
          <w:lang w:val="en-AU"/>
        </w:rPr>
        <w:t xml:space="preserve"> the provision of high quality and innovative supports that enable people with disability to maximise independent lifestyles and full inclusion in the community.  </w:t>
      </w:r>
    </w:p>
    <w:p w:rsidR="002D6726" w:rsidRPr="005C4E27" w:rsidRDefault="002D6726" w:rsidP="002D6726">
      <w:pPr>
        <w:rPr>
          <w:lang w:val="en-AU"/>
        </w:rPr>
      </w:pPr>
      <w:r w:rsidRPr="005C4E27">
        <w:rPr>
          <w:lang w:val="en-AU"/>
        </w:rPr>
        <w:t xml:space="preserve">The provision of SDA for those people who need it is also consistent with the following principles set out in the </w:t>
      </w:r>
      <w:r w:rsidRPr="005C4E27">
        <w:rPr>
          <w:i/>
          <w:lang w:val="en-AU"/>
        </w:rPr>
        <w:t>National Disability Insurance Scheme Act 2013 (NDIS Act)</w:t>
      </w:r>
      <w:r w:rsidRPr="005C4E27">
        <w:rPr>
          <w:lang w:val="en-AU"/>
        </w:rPr>
        <w:t xml:space="preserve">: </w:t>
      </w:r>
    </w:p>
    <w:p w:rsidR="002D6726" w:rsidRPr="005C4E27" w:rsidRDefault="00E15AE7" w:rsidP="008045C8">
      <w:pPr>
        <w:numPr>
          <w:ilvl w:val="0"/>
          <w:numId w:val="19"/>
        </w:numPr>
        <w:rPr>
          <w:lang w:val="en-AU"/>
        </w:rPr>
      </w:pPr>
      <w:r w:rsidRPr="005C4E27">
        <w:rPr>
          <w:lang w:val="en-AU"/>
        </w:rPr>
        <w:t>People</w:t>
      </w:r>
      <w:r w:rsidR="002D6726" w:rsidRPr="005C4E27">
        <w:rPr>
          <w:lang w:val="en-AU"/>
        </w:rPr>
        <w:t xml:space="preserve"> with disability have the same right as other members of Australian society to realise their potential for physical, social, emotion</w:t>
      </w:r>
      <w:r>
        <w:rPr>
          <w:lang w:val="en-AU"/>
        </w:rPr>
        <w:t>al and intellectual development.</w:t>
      </w:r>
    </w:p>
    <w:p w:rsidR="002D6726" w:rsidRPr="005C4E27" w:rsidRDefault="00E15AE7" w:rsidP="008045C8">
      <w:pPr>
        <w:numPr>
          <w:ilvl w:val="0"/>
          <w:numId w:val="19"/>
        </w:numPr>
        <w:rPr>
          <w:lang w:val="en-AU"/>
        </w:rPr>
      </w:pPr>
      <w:r w:rsidRPr="005C4E27">
        <w:rPr>
          <w:lang w:val="en-AU"/>
        </w:rPr>
        <w:lastRenderedPageBreak/>
        <w:t>People</w:t>
      </w:r>
      <w:r w:rsidR="002D6726" w:rsidRPr="005C4E27">
        <w:rPr>
          <w:lang w:val="en-AU"/>
        </w:rPr>
        <w:t xml:space="preserve"> with disability should be supported to participate in and contribute to social and economic life</w:t>
      </w:r>
      <w:r>
        <w:rPr>
          <w:lang w:val="en-AU"/>
        </w:rPr>
        <w:t xml:space="preserve"> to the extent of their ability.</w:t>
      </w:r>
    </w:p>
    <w:p w:rsidR="002D6726" w:rsidRPr="005C4E27" w:rsidRDefault="00E15AE7" w:rsidP="008045C8">
      <w:pPr>
        <w:numPr>
          <w:ilvl w:val="0"/>
          <w:numId w:val="19"/>
        </w:numPr>
        <w:rPr>
          <w:lang w:val="en-AU"/>
        </w:rPr>
      </w:pPr>
      <w:r w:rsidRPr="005C4E27">
        <w:rPr>
          <w:lang w:val="en-AU"/>
        </w:rPr>
        <w:t>People</w:t>
      </w:r>
      <w:r w:rsidR="002D6726" w:rsidRPr="005C4E27">
        <w:rPr>
          <w:lang w:val="en-AU"/>
        </w:rPr>
        <w:t xml:space="preserve"> with disability and their families and carers should have certainty that people with disability will receive the care and suppor</w:t>
      </w:r>
      <w:r>
        <w:rPr>
          <w:lang w:val="en-AU"/>
        </w:rPr>
        <w:t>t they need over their lifetime.</w:t>
      </w:r>
    </w:p>
    <w:p w:rsidR="002D6726" w:rsidRPr="005C4E27" w:rsidRDefault="00E15AE7" w:rsidP="008045C8">
      <w:pPr>
        <w:numPr>
          <w:ilvl w:val="0"/>
          <w:numId w:val="19"/>
        </w:numPr>
        <w:rPr>
          <w:lang w:val="en-AU"/>
        </w:rPr>
      </w:pPr>
      <w:r w:rsidRPr="005C4E27">
        <w:rPr>
          <w:lang w:val="en-AU"/>
        </w:rPr>
        <w:t>People</w:t>
      </w:r>
      <w:r w:rsidR="002D6726" w:rsidRPr="005C4E27">
        <w:rPr>
          <w:lang w:val="en-AU"/>
        </w:rPr>
        <w:t xml:space="preserve"> with disability should be supported to receive reasonable and necessary supports, including early intervention supports.</w:t>
      </w:r>
    </w:p>
    <w:p w:rsidR="002D6726" w:rsidRPr="005C4E27" w:rsidRDefault="002D6726" w:rsidP="00717425">
      <w:pPr>
        <w:pStyle w:val="Heading3"/>
        <w:ind w:left="0" w:firstLine="0"/>
      </w:pPr>
      <w:bookmarkStart w:id="8" w:name="_Toc452550402"/>
      <w:r w:rsidRPr="005C4E27">
        <w:t>SDA legislative environment</w:t>
      </w:r>
      <w:bookmarkEnd w:id="8"/>
    </w:p>
    <w:p w:rsidR="002D6726" w:rsidRPr="00294EE7" w:rsidRDefault="002D6726" w:rsidP="002D6726">
      <w:pPr>
        <w:rPr>
          <w:lang w:val="en-AU"/>
        </w:rPr>
      </w:pPr>
      <w:r w:rsidRPr="005C4E27">
        <w:rPr>
          <w:lang w:val="en-AU"/>
        </w:rPr>
        <w:t xml:space="preserve">In addition to setting out the objectives and principles of the Scheme, the NDIS Act also provides for participants of the </w:t>
      </w:r>
      <w:r w:rsidR="004C01F6">
        <w:rPr>
          <w:lang w:val="en-AU"/>
        </w:rPr>
        <w:t>S</w:t>
      </w:r>
      <w:r w:rsidRPr="004C01F6">
        <w:rPr>
          <w:lang w:val="en-AU"/>
        </w:rPr>
        <w:t xml:space="preserve">cheme to have individual plans under which reasonable and </w:t>
      </w:r>
      <w:r w:rsidRPr="00294EE7">
        <w:rPr>
          <w:lang w:val="en-AU"/>
        </w:rPr>
        <w:t>necessary supports are funded.</w:t>
      </w:r>
    </w:p>
    <w:p w:rsidR="002D6726" w:rsidRPr="00FC5E27" w:rsidRDefault="002D6726" w:rsidP="002D6726">
      <w:pPr>
        <w:rPr>
          <w:lang w:val="en-AU"/>
        </w:rPr>
      </w:pPr>
      <w:r w:rsidRPr="00FC5E27">
        <w:rPr>
          <w:lang w:val="en-AU"/>
        </w:rPr>
        <w:t>Support for SDA will be one of the supports provided under the Scheme.  Each participant in the Scheme will have a plan that is prepared in conjunction with the participant and approved by the CEO. For some participants that plan will include funding for SDA.</w:t>
      </w:r>
    </w:p>
    <w:p w:rsidR="002D6726" w:rsidRPr="007B7D09" w:rsidRDefault="002D6726" w:rsidP="002D6726">
      <w:pPr>
        <w:rPr>
          <w:lang w:val="en-AU"/>
        </w:rPr>
      </w:pPr>
      <w:r w:rsidRPr="0069103E">
        <w:rPr>
          <w:lang w:val="en-AU"/>
        </w:rPr>
        <w:t xml:space="preserve">The Commonwealth Minister for Social Services has power under the NDIS Act to make NDIS Rules for SDA. Before the Minister can make NDIS Rules for SDA the Minister must obtain the agreement of each State and Territory that is part of the Scheme to the making of the Rules. </w:t>
      </w:r>
    </w:p>
    <w:p w:rsidR="002D6726" w:rsidRPr="007B7D09" w:rsidRDefault="002D6726" w:rsidP="002D6726">
      <w:pPr>
        <w:rPr>
          <w:lang w:val="en-AU"/>
        </w:rPr>
      </w:pPr>
      <w:r w:rsidRPr="009655D6">
        <w:rPr>
          <w:lang w:val="en-AU"/>
        </w:rPr>
        <w:t>Rules are proposed to be made to provide the clear legal authority for the Agency to implement the policy as outlined in this paper. The Rules will deal with</w:t>
      </w:r>
      <w:r w:rsidRPr="007B7D09">
        <w:rPr>
          <w:lang w:val="en-AU"/>
        </w:rPr>
        <w:t xml:space="preserve"> the assessment of participants who need SDA, the types of dwellings to be used to provide SDA, the funding of SDA and the registration of </w:t>
      </w:r>
      <w:r w:rsidR="00AA69F9">
        <w:rPr>
          <w:lang w:val="en-AU"/>
        </w:rPr>
        <w:t xml:space="preserve">SDA </w:t>
      </w:r>
      <w:r w:rsidRPr="007B7D09">
        <w:rPr>
          <w:lang w:val="en-AU"/>
        </w:rPr>
        <w:t>providers.</w:t>
      </w:r>
    </w:p>
    <w:p w:rsidR="002D6726" w:rsidRPr="004C01F6" w:rsidRDefault="002D6726" w:rsidP="00717425">
      <w:pPr>
        <w:pStyle w:val="Heading3"/>
        <w:ind w:left="0" w:firstLine="0"/>
      </w:pPr>
      <w:bookmarkStart w:id="9" w:name="_Toc452550403"/>
      <w:r w:rsidRPr="004C01F6">
        <w:t>Process to date</w:t>
      </w:r>
      <w:bookmarkEnd w:id="9"/>
    </w:p>
    <w:p w:rsidR="002D6726" w:rsidRPr="00FC5E27" w:rsidRDefault="002D6726" w:rsidP="002D6726">
      <w:pPr>
        <w:rPr>
          <w:lang w:val="en-AU"/>
        </w:rPr>
      </w:pPr>
      <w:r w:rsidRPr="00294EE7">
        <w:rPr>
          <w:lang w:val="en-AU"/>
        </w:rPr>
        <w:t>In November 2015, the Disability Reform Council</w:t>
      </w:r>
      <w:r w:rsidR="00F12308">
        <w:rPr>
          <w:lang w:val="en-AU"/>
        </w:rPr>
        <w:t xml:space="preserve"> (DRC)</w:t>
      </w:r>
      <w:r w:rsidRPr="00294EE7">
        <w:rPr>
          <w:lang w:val="en-AU"/>
        </w:rPr>
        <w:t xml:space="preserve"> endorsed the </w:t>
      </w:r>
      <w:r w:rsidR="00F12308" w:rsidRPr="00A01C89">
        <w:rPr>
          <w:lang w:val="en-AU"/>
        </w:rPr>
        <w:t>Specialist Disability Accommodation Pricing and Payments Framework (the Framework)</w:t>
      </w:r>
      <w:r w:rsidRPr="00294EE7">
        <w:rPr>
          <w:lang w:val="en-AU"/>
        </w:rPr>
        <w:t>. The Framework outlined how benchmark prices for SDA would be developed by the Agency and provided guidance on for whom, and under what circumstances, S</w:t>
      </w:r>
      <w:r w:rsidRPr="00FC5E27">
        <w:rPr>
          <w:lang w:val="en-AU"/>
        </w:rPr>
        <w:t>DA would be provided.</w:t>
      </w:r>
    </w:p>
    <w:p w:rsidR="002D6726" w:rsidRPr="00FC5E27" w:rsidRDefault="002D6726" w:rsidP="002D6726">
      <w:pPr>
        <w:rPr>
          <w:lang w:val="en-AU"/>
        </w:rPr>
      </w:pPr>
      <w:r w:rsidRPr="00FC5E27">
        <w:rPr>
          <w:lang w:val="en-AU"/>
        </w:rPr>
        <w:t>In the development of the SDA Benchmark Pricing and Payments</w:t>
      </w:r>
      <w:r w:rsidR="00F12308">
        <w:rPr>
          <w:lang w:val="en-AU"/>
        </w:rPr>
        <w:t xml:space="preserve"> policy</w:t>
      </w:r>
      <w:r w:rsidRPr="00FC5E27">
        <w:rPr>
          <w:lang w:val="en-AU"/>
        </w:rPr>
        <w:t xml:space="preserve">, the Framework required the Agency to follow a process where it: </w:t>
      </w:r>
    </w:p>
    <w:p w:rsidR="002D6726" w:rsidRPr="0069103E" w:rsidRDefault="002D6726" w:rsidP="00E22DE1">
      <w:pPr>
        <w:pStyle w:val="ListParagraph"/>
        <w:numPr>
          <w:ilvl w:val="0"/>
          <w:numId w:val="64"/>
        </w:numPr>
        <w:spacing w:after="120"/>
        <w:contextualSpacing w:val="0"/>
        <w:rPr>
          <w:lang w:val="en-AU"/>
        </w:rPr>
      </w:pPr>
      <w:r w:rsidRPr="0069103E">
        <w:rPr>
          <w:lang w:val="en-AU"/>
        </w:rPr>
        <w:t xml:space="preserve">Sought the views of the Commonwealth and State governments on the pricing and payments arrangements for SDA; </w:t>
      </w:r>
    </w:p>
    <w:p w:rsidR="002D6726" w:rsidRPr="00AA69F9" w:rsidRDefault="002D6726" w:rsidP="00E22DE1">
      <w:pPr>
        <w:pStyle w:val="ListParagraph"/>
        <w:numPr>
          <w:ilvl w:val="0"/>
          <w:numId w:val="64"/>
        </w:numPr>
        <w:spacing w:after="120"/>
        <w:contextualSpacing w:val="0"/>
        <w:rPr>
          <w:lang w:val="en-AU"/>
        </w:rPr>
      </w:pPr>
      <w:r w:rsidRPr="00AA44FB">
        <w:rPr>
          <w:lang w:val="en-AU"/>
        </w:rPr>
        <w:t xml:space="preserve">Issued discussion papers on the arrangements it might adopt and consulted with current and future residents of SDA and government and non-government </w:t>
      </w:r>
      <w:r w:rsidR="00AA69F9">
        <w:rPr>
          <w:lang w:val="en-AU"/>
        </w:rPr>
        <w:t xml:space="preserve">SDA </w:t>
      </w:r>
      <w:r w:rsidRPr="00AA69F9">
        <w:rPr>
          <w:lang w:val="en-AU"/>
        </w:rPr>
        <w:t xml:space="preserve">providers; </w:t>
      </w:r>
    </w:p>
    <w:p w:rsidR="002D6726" w:rsidRPr="00AA69F9" w:rsidRDefault="002D6726" w:rsidP="00E22DE1">
      <w:pPr>
        <w:pStyle w:val="ListParagraph"/>
        <w:numPr>
          <w:ilvl w:val="0"/>
          <w:numId w:val="64"/>
        </w:numPr>
        <w:spacing w:after="120"/>
        <w:contextualSpacing w:val="0"/>
        <w:rPr>
          <w:lang w:val="en-AU"/>
        </w:rPr>
      </w:pPr>
      <w:r w:rsidRPr="00AA69F9">
        <w:rPr>
          <w:lang w:val="en-AU"/>
        </w:rPr>
        <w:t>Sought feedback from other stakeholders including: families, carers, disability interest groups, provider peak bodies and financiers;</w:t>
      </w:r>
    </w:p>
    <w:p w:rsidR="002D6726" w:rsidRPr="00294EE7" w:rsidRDefault="002D6726" w:rsidP="00E22DE1">
      <w:pPr>
        <w:pStyle w:val="ListParagraph"/>
        <w:numPr>
          <w:ilvl w:val="0"/>
          <w:numId w:val="64"/>
        </w:numPr>
        <w:spacing w:after="120"/>
        <w:contextualSpacing w:val="0"/>
        <w:rPr>
          <w:lang w:val="en-AU"/>
        </w:rPr>
      </w:pPr>
      <w:r w:rsidRPr="00294EE7">
        <w:rPr>
          <w:lang w:val="en-AU"/>
        </w:rPr>
        <w:lastRenderedPageBreak/>
        <w:t>Developed draft SDA Benchmark Prices on which it sought views of residents, providers and other stakeholders as necessary; and</w:t>
      </w:r>
    </w:p>
    <w:p w:rsidR="002D6726" w:rsidRPr="00FC5E27" w:rsidRDefault="002D6726" w:rsidP="00E22DE1">
      <w:pPr>
        <w:pStyle w:val="ListParagraph"/>
        <w:numPr>
          <w:ilvl w:val="0"/>
          <w:numId w:val="64"/>
        </w:numPr>
        <w:spacing w:after="120"/>
        <w:contextualSpacing w:val="0"/>
        <w:rPr>
          <w:lang w:val="en-AU"/>
        </w:rPr>
      </w:pPr>
      <w:r w:rsidRPr="00FC5E27">
        <w:rPr>
          <w:lang w:val="en-AU"/>
        </w:rPr>
        <w:t xml:space="preserve">Made any adjustments it deemed necessary before publishing its final SDA Benchmark Prices (and any associated weights and factors) and administrative arrangements. </w:t>
      </w:r>
    </w:p>
    <w:p w:rsidR="002D6726" w:rsidRPr="005C4E27" w:rsidRDefault="002D6726" w:rsidP="002D6726">
      <w:pPr>
        <w:rPr>
          <w:lang w:val="en-AU"/>
        </w:rPr>
      </w:pPr>
      <w:r w:rsidRPr="0069103E">
        <w:rPr>
          <w:lang w:val="en-AU"/>
        </w:rPr>
        <w:t>Over the period January 2016 through to March 2016, in accordance with items one through to three above, the Agency sought the views of each State and Territory government on the SDA pricing and payment arrangements, issued discussion papers, and consulted widely with stakeholders through open consultations scheduled in every State and Territory. Public forums held as part of the open consultation process attracted more</w:t>
      </w:r>
      <w:r w:rsidRPr="00AA44FB">
        <w:rPr>
          <w:lang w:val="en-AU"/>
        </w:rPr>
        <w:t xml:space="preserve"> than 500 individuals representing a broad range of stakeholders including: f</w:t>
      </w:r>
      <w:r w:rsidRPr="005C4E27">
        <w:rPr>
          <w:lang w:val="en-AU"/>
        </w:rPr>
        <w:t>amilies, carers, disability interest groups, disability service providers, provider peak bodies and financiers.</w:t>
      </w:r>
    </w:p>
    <w:p w:rsidR="002D6726" w:rsidRPr="005C4E27" w:rsidRDefault="002D6726" w:rsidP="002D6726">
      <w:pPr>
        <w:rPr>
          <w:lang w:val="en-AU"/>
        </w:rPr>
      </w:pPr>
      <w:r w:rsidRPr="005C4E27">
        <w:rPr>
          <w:lang w:val="en-AU"/>
        </w:rPr>
        <w:t xml:space="preserve">On 1 April 2016, the Agency published a SDA Position Paper on Draft Pricing and Payments and sought the view of all stakeholders through an open call for feedback. Feedback closed on 15 April 2016 and the Agency has subsequently considered all of the feedback provided through that process, made any necessary adjustments to the proposed approach and further clarified issues to arrive at this SDA Decision Paper. </w:t>
      </w:r>
    </w:p>
    <w:p w:rsidR="002D6726" w:rsidRDefault="002D6726" w:rsidP="002D6726">
      <w:pPr>
        <w:rPr>
          <w:lang w:val="en-AU"/>
        </w:rPr>
      </w:pPr>
      <w:r w:rsidRPr="005C4E27">
        <w:rPr>
          <w:lang w:val="en-AU"/>
        </w:rPr>
        <w:t xml:space="preserve">This paper sets out the Agency’s final decisions in relation to initial SDA Benchmark Pricing and Payments to apply from July 2016.  </w:t>
      </w:r>
    </w:p>
    <w:p w:rsidR="00784FC9" w:rsidRPr="00784FC9" w:rsidRDefault="00784FC9" w:rsidP="00E22DE1">
      <w:pPr>
        <w:pStyle w:val="Heading3"/>
        <w:ind w:left="0" w:firstLine="0"/>
      </w:pPr>
      <w:bookmarkStart w:id="10" w:name="_Toc452550404"/>
      <w:r w:rsidRPr="00784FC9">
        <w:t>How does this paper differ from the SDA Position Paper?</w:t>
      </w:r>
      <w:bookmarkEnd w:id="10"/>
    </w:p>
    <w:p w:rsidR="00582B36" w:rsidRDefault="00784FC9" w:rsidP="00784FC9">
      <w:pPr>
        <w:rPr>
          <w:lang w:val="en-AU"/>
        </w:rPr>
      </w:pPr>
      <w:r w:rsidRPr="00784FC9">
        <w:rPr>
          <w:lang w:val="en-AU"/>
        </w:rPr>
        <w:t xml:space="preserve">This SDA Decision Paper amends and updates pricing and payments described in the SDA Position Paper. </w:t>
      </w:r>
    </w:p>
    <w:p w:rsidR="00784FC9" w:rsidRPr="00784FC9" w:rsidRDefault="00784FC9" w:rsidP="00784FC9">
      <w:pPr>
        <w:rPr>
          <w:lang w:val="en-AU"/>
        </w:rPr>
      </w:pPr>
      <w:r w:rsidRPr="00784FC9">
        <w:rPr>
          <w:lang w:val="en-AU"/>
        </w:rPr>
        <w:t xml:space="preserve">Several key changes from the SDA Position Paper have been incorporated, including: </w:t>
      </w:r>
    </w:p>
    <w:p w:rsidR="00582B36" w:rsidRPr="00EE085F" w:rsidRDefault="00582B36" w:rsidP="00E22DE1">
      <w:pPr>
        <w:pStyle w:val="ListParagraph"/>
        <w:numPr>
          <w:ilvl w:val="0"/>
          <w:numId w:val="71"/>
        </w:numPr>
        <w:spacing w:after="120"/>
        <w:contextualSpacing w:val="0"/>
        <w:rPr>
          <w:lang w:val="en-AU"/>
        </w:rPr>
      </w:pPr>
      <w:r w:rsidRPr="00EE085F">
        <w:rPr>
          <w:lang w:val="en-AU"/>
        </w:rPr>
        <w:t>SDA Benchmark Prices have been updated based on feedback on the SDA Position Paper and an independent review of the input design specifications;</w:t>
      </w:r>
    </w:p>
    <w:p w:rsidR="00784FC9" w:rsidRPr="00784FC9" w:rsidRDefault="00784FC9" w:rsidP="00E22DE1">
      <w:pPr>
        <w:pStyle w:val="ListParagraph"/>
        <w:numPr>
          <w:ilvl w:val="0"/>
          <w:numId w:val="71"/>
        </w:numPr>
        <w:spacing w:after="120"/>
        <w:contextualSpacing w:val="0"/>
        <w:rPr>
          <w:lang w:val="en-AU"/>
        </w:rPr>
      </w:pPr>
      <w:r w:rsidRPr="00784FC9">
        <w:rPr>
          <w:lang w:val="en-AU"/>
        </w:rPr>
        <w:t>Changes in the description of SDA design categories and the inclusion of minimum criteria (compared with the ‘benchmark property’ specifications in the SDA Position Paper which represented the features of a ‘typical’ property from each category for the purposes of pricing, but were not minimum requirements).</w:t>
      </w:r>
    </w:p>
    <w:p w:rsidR="00C275A8" w:rsidRPr="00041ECD" w:rsidRDefault="00784FC9" w:rsidP="00E22DE1">
      <w:pPr>
        <w:pStyle w:val="ListParagraph"/>
        <w:numPr>
          <w:ilvl w:val="0"/>
          <w:numId w:val="71"/>
        </w:numPr>
        <w:spacing w:after="120"/>
        <w:contextualSpacing w:val="0"/>
        <w:rPr>
          <w:lang w:val="en-AU"/>
        </w:rPr>
      </w:pPr>
      <w:r w:rsidRPr="00C275A8">
        <w:rPr>
          <w:lang w:val="en-AU"/>
        </w:rPr>
        <w:t>To avoid confusion, this paper does not repeat the ‘benchmark property’ specifications that were used for pricing. However, the ‘benchmark property’ details used for pricing in this Decision Paper have been updated to reflect feedbac</w:t>
      </w:r>
      <w:r w:rsidRPr="0096469B">
        <w:rPr>
          <w:lang w:val="en-AU"/>
        </w:rPr>
        <w:t>k on the SDA Position Paper, including (but not limited to) increasing</w:t>
      </w:r>
      <w:r w:rsidR="00C275A8" w:rsidRPr="00C275A8">
        <w:t xml:space="preserve"> </w:t>
      </w:r>
      <w:r w:rsidR="00C275A8" w:rsidRPr="00C275A8">
        <w:rPr>
          <w:lang w:val="en-AU"/>
        </w:rPr>
        <w:t>some room sizes for</w:t>
      </w:r>
      <w:r w:rsidR="00041ECD">
        <w:rPr>
          <w:lang w:val="en-AU"/>
        </w:rPr>
        <w:t xml:space="preserve"> some property types</w:t>
      </w:r>
      <w:r w:rsidR="00C275A8" w:rsidRPr="00C275A8">
        <w:rPr>
          <w:lang w:val="en-AU"/>
        </w:rPr>
        <w:t>, reducing doorway and corridor widths in some design categories to avoid an 'institutional' environment, requir</w:t>
      </w:r>
      <w:r w:rsidR="00C275A8" w:rsidRPr="00041ECD">
        <w:rPr>
          <w:lang w:val="en-AU"/>
        </w:rPr>
        <w:t>ing a minimum Liveable Housing Australia Silver or Platinum level design for all New Builds, and a number of other minor changes and features. Most other suggestions provided a very useful cross reference, but had largely been incorporated into the original specifications, even if they had not been explicitly detailed in the original documentation.</w:t>
      </w:r>
      <w:r w:rsidR="00E9680B">
        <w:rPr>
          <w:lang w:val="en-AU"/>
        </w:rPr>
        <w:t xml:space="preserve"> </w:t>
      </w:r>
    </w:p>
    <w:p w:rsidR="00784FC9" w:rsidRPr="00C275A8" w:rsidRDefault="00784FC9" w:rsidP="00E22DE1">
      <w:pPr>
        <w:pStyle w:val="ListParagraph"/>
        <w:numPr>
          <w:ilvl w:val="0"/>
          <w:numId w:val="71"/>
        </w:numPr>
        <w:spacing w:after="120"/>
        <w:contextualSpacing w:val="0"/>
        <w:rPr>
          <w:lang w:val="en-AU"/>
        </w:rPr>
      </w:pPr>
      <w:r w:rsidRPr="00C275A8">
        <w:rPr>
          <w:lang w:val="en-AU"/>
        </w:rPr>
        <w:lastRenderedPageBreak/>
        <w:t>A position that was not explicitly discussed in the SDA Position Paper but is clarified in this paper is that the Agency will permit participants to provide discretionary rent contributions for SDA properties they prefer but where the property is priced higher than is considered reasonable and necessary by the Agency.</w:t>
      </w:r>
    </w:p>
    <w:p w:rsidR="00784FC9" w:rsidRPr="005F2BCE" w:rsidRDefault="00784FC9" w:rsidP="00E22DE1">
      <w:pPr>
        <w:pStyle w:val="ListParagraph"/>
        <w:numPr>
          <w:ilvl w:val="0"/>
          <w:numId w:val="71"/>
        </w:numPr>
        <w:spacing w:after="120"/>
        <w:contextualSpacing w:val="0"/>
        <w:rPr>
          <w:lang w:val="en-AU"/>
        </w:rPr>
      </w:pPr>
      <w:r w:rsidRPr="00784FC9">
        <w:rPr>
          <w:lang w:val="en-AU"/>
        </w:rPr>
        <w:t xml:space="preserve">The SDA Position Paper suggested that dwellings would be ‘approved’ by the Agency. This paper clarifies that the Agency is not a regulator of properties and will not directly certify or otherwise approve dwelling designs or condition. Consistent with the approach for other supports and services, the Terms of Business and Rules for provider registration will require SDA providers to attest to the fact that the property has the requisite certifications and other required documentation. Importantly, pending the implementation of the national NDIS Quality and Safeguard arrangements, and while State and Territory regulations apply, the relevant quality and safeguards requirements may vary by jurisdiction. Further information about the arrangements in each jurisdiction will be </w:t>
      </w:r>
      <w:r w:rsidRPr="00B97FC6">
        <w:rPr>
          <w:lang w:val="en-AU"/>
        </w:rPr>
        <w:t>advised.</w:t>
      </w:r>
    </w:p>
    <w:p w:rsidR="005F2BCE" w:rsidRPr="005F2BCE" w:rsidRDefault="005F2BCE" w:rsidP="005F2BCE">
      <w:pPr>
        <w:pStyle w:val="ListParagraph"/>
        <w:numPr>
          <w:ilvl w:val="0"/>
          <w:numId w:val="71"/>
        </w:numPr>
        <w:rPr>
          <w:rFonts w:ascii="Calibri" w:eastAsiaTheme="minorHAnsi" w:hAnsi="Calibri"/>
          <w:szCs w:val="22"/>
          <w:lang w:val="en-AU" w:eastAsia="en-US"/>
        </w:rPr>
      </w:pPr>
      <w:r w:rsidRPr="005F2BCE">
        <w:t>Proposals to include additional allowances to the SDA Benchmark Price for participants that do not receive the Commonwealth Rent Assistance or receive a lower Disability Support Pension are no longer included.</w:t>
      </w:r>
    </w:p>
    <w:p w:rsidR="00784FC9" w:rsidRPr="005F2BCE" w:rsidRDefault="00784FC9" w:rsidP="00784FC9">
      <w:pPr>
        <w:rPr>
          <w:lang w:val="en-AU"/>
        </w:rPr>
      </w:pPr>
      <w:r w:rsidRPr="005F2BCE">
        <w:rPr>
          <w:lang w:val="en-AU"/>
        </w:rPr>
        <w:t>This SDA Decision Paper also provides greater detail on important policy application issues, including:</w:t>
      </w:r>
    </w:p>
    <w:p w:rsidR="00784FC9" w:rsidRPr="00784FC9" w:rsidRDefault="00784FC9" w:rsidP="00CB2072">
      <w:pPr>
        <w:pStyle w:val="ListParagraph"/>
        <w:numPr>
          <w:ilvl w:val="0"/>
          <w:numId w:val="108"/>
        </w:numPr>
        <w:spacing w:after="120"/>
        <w:contextualSpacing w:val="0"/>
        <w:rPr>
          <w:lang w:val="en-AU"/>
        </w:rPr>
      </w:pPr>
      <w:r w:rsidRPr="00784FC9">
        <w:rPr>
          <w:lang w:val="en-AU"/>
        </w:rPr>
        <w:t>investment by families and participants;</w:t>
      </w:r>
    </w:p>
    <w:p w:rsidR="00784FC9" w:rsidRPr="00784FC9" w:rsidRDefault="00784FC9" w:rsidP="00CB2072">
      <w:pPr>
        <w:pStyle w:val="ListParagraph"/>
        <w:numPr>
          <w:ilvl w:val="0"/>
          <w:numId w:val="108"/>
        </w:numPr>
        <w:spacing w:after="120"/>
        <w:contextualSpacing w:val="0"/>
        <w:rPr>
          <w:lang w:val="en-AU"/>
        </w:rPr>
      </w:pPr>
      <w:r w:rsidRPr="00784FC9">
        <w:rPr>
          <w:lang w:val="en-AU"/>
        </w:rPr>
        <w:t>expectation around the separation of the provision of SDA and SIL (Supported Independent Living) providers;</w:t>
      </w:r>
    </w:p>
    <w:p w:rsidR="00784FC9" w:rsidRPr="00784FC9" w:rsidRDefault="00296780" w:rsidP="00CB2072">
      <w:pPr>
        <w:pStyle w:val="ListParagraph"/>
        <w:numPr>
          <w:ilvl w:val="0"/>
          <w:numId w:val="108"/>
        </w:numPr>
        <w:spacing w:after="120"/>
        <w:contextualSpacing w:val="0"/>
        <w:rPr>
          <w:lang w:val="en-AU"/>
        </w:rPr>
      </w:pPr>
      <w:r>
        <w:rPr>
          <w:lang w:val="en-AU"/>
        </w:rPr>
        <w:t xml:space="preserve">considerations for the </w:t>
      </w:r>
      <w:r w:rsidR="00784FC9" w:rsidRPr="00784FC9">
        <w:rPr>
          <w:lang w:val="en-AU"/>
        </w:rPr>
        <w:t>service agreement between the participant and the SDA provider;</w:t>
      </w:r>
    </w:p>
    <w:p w:rsidR="00784FC9" w:rsidRPr="00784FC9" w:rsidRDefault="00784FC9" w:rsidP="00CB2072">
      <w:pPr>
        <w:pStyle w:val="ListParagraph"/>
        <w:numPr>
          <w:ilvl w:val="0"/>
          <w:numId w:val="108"/>
        </w:numPr>
        <w:spacing w:after="120"/>
        <w:contextualSpacing w:val="0"/>
        <w:rPr>
          <w:lang w:val="en-AU"/>
        </w:rPr>
      </w:pPr>
      <w:r w:rsidRPr="00784FC9">
        <w:rPr>
          <w:lang w:val="en-AU"/>
        </w:rPr>
        <w:t xml:space="preserve">the </w:t>
      </w:r>
      <w:r w:rsidR="001D1744">
        <w:rPr>
          <w:lang w:val="en-AU"/>
        </w:rPr>
        <w:t xml:space="preserve">maximum number of residents that can reside in SDA where there are multiple properties on a single parcel of land; </w:t>
      </w:r>
    </w:p>
    <w:p w:rsidR="00784FC9" w:rsidRPr="00784FC9" w:rsidRDefault="00784FC9" w:rsidP="00CB2072">
      <w:pPr>
        <w:pStyle w:val="ListParagraph"/>
        <w:numPr>
          <w:ilvl w:val="0"/>
          <w:numId w:val="108"/>
        </w:numPr>
        <w:spacing w:after="120"/>
        <w:contextualSpacing w:val="0"/>
        <w:rPr>
          <w:lang w:val="en-AU"/>
        </w:rPr>
      </w:pPr>
      <w:r w:rsidRPr="00784FC9">
        <w:rPr>
          <w:lang w:val="en-AU"/>
        </w:rPr>
        <w:t>definitions for what constitutes a ‘New Build’, ‘Existing Stock’ and ‘Legacy Stock’; and</w:t>
      </w:r>
    </w:p>
    <w:p w:rsidR="00784FC9" w:rsidRPr="00784FC9" w:rsidRDefault="00784FC9" w:rsidP="00CB2072">
      <w:pPr>
        <w:pStyle w:val="ListParagraph"/>
        <w:numPr>
          <w:ilvl w:val="0"/>
          <w:numId w:val="108"/>
        </w:numPr>
        <w:spacing w:after="120"/>
        <w:contextualSpacing w:val="0"/>
        <w:rPr>
          <w:lang w:val="en-AU"/>
        </w:rPr>
      </w:pPr>
      <w:r w:rsidRPr="00784FC9">
        <w:rPr>
          <w:lang w:val="en-AU"/>
        </w:rPr>
        <w:t>transitionary arrangements for pricing of Legacy Stock (i.e. properties with six or more residents).</w:t>
      </w:r>
    </w:p>
    <w:p w:rsidR="002D6726" w:rsidRPr="007B7D09" w:rsidRDefault="00784FC9" w:rsidP="002D6726">
      <w:pPr>
        <w:rPr>
          <w:lang w:val="en-AU"/>
        </w:rPr>
      </w:pPr>
      <w:r w:rsidRPr="00784FC9">
        <w:rPr>
          <w:lang w:val="en-AU"/>
        </w:rPr>
        <w:t>Advice on the detailed arrangements for a range of elements and participant processes will be provided by the Agency following finalisation of the Rules.</w:t>
      </w:r>
    </w:p>
    <w:p w:rsidR="00D755F1" w:rsidRPr="00D755F1" w:rsidRDefault="00D755F1" w:rsidP="00D755F1"/>
    <w:p w:rsidR="00D755F1" w:rsidRPr="00F2760C" w:rsidRDefault="00D755F1" w:rsidP="00F2760C">
      <w:r>
        <w:rPr>
          <w:lang w:val="en-AU"/>
        </w:rPr>
        <w:br w:type="page"/>
      </w:r>
    </w:p>
    <w:p w:rsidR="002D6726" w:rsidRPr="005C4E27" w:rsidRDefault="004A0905" w:rsidP="002D6726">
      <w:pPr>
        <w:pStyle w:val="Heading2"/>
        <w:rPr>
          <w:lang w:val="en-AU"/>
        </w:rPr>
      </w:pPr>
      <w:bookmarkStart w:id="11" w:name="_Toc452310653"/>
      <w:bookmarkStart w:id="12" w:name="_Ref452406907"/>
      <w:bookmarkStart w:id="13" w:name="_Toc452550405"/>
      <w:bookmarkEnd w:id="11"/>
      <w:r>
        <w:rPr>
          <w:lang w:val="en-AU"/>
        </w:rPr>
        <w:lastRenderedPageBreak/>
        <w:t>Pricing and Payments</w:t>
      </w:r>
      <w:r w:rsidRPr="005C4E27">
        <w:rPr>
          <w:lang w:val="en-AU"/>
        </w:rPr>
        <w:t xml:space="preserve"> </w:t>
      </w:r>
      <w:r w:rsidR="002D6726" w:rsidRPr="005C4E27">
        <w:rPr>
          <w:lang w:val="en-AU"/>
        </w:rPr>
        <w:t>for SDA</w:t>
      </w:r>
      <w:bookmarkEnd w:id="12"/>
      <w:bookmarkEnd w:id="13"/>
    </w:p>
    <w:p w:rsidR="000917E9" w:rsidRPr="005C4E27" w:rsidRDefault="000917E9" w:rsidP="00717425">
      <w:pPr>
        <w:pStyle w:val="Heading3"/>
        <w:ind w:left="0" w:firstLine="0"/>
      </w:pPr>
      <w:bookmarkStart w:id="14" w:name="_Toc452550406"/>
      <w:r w:rsidRPr="005C4E27">
        <w:t>SDA Benchmark Prices</w:t>
      </w:r>
      <w:bookmarkEnd w:id="14"/>
    </w:p>
    <w:p w:rsidR="000917E9" w:rsidRPr="005C4E27" w:rsidRDefault="000917E9" w:rsidP="00CB2072">
      <w:pPr>
        <w:pStyle w:val="Heading4"/>
        <w:keepNext/>
        <w:keepLines/>
        <w:ind w:left="720"/>
        <w:rPr>
          <w:lang w:val="en-AU"/>
        </w:rPr>
      </w:pPr>
      <w:r w:rsidRPr="005C4E27">
        <w:rPr>
          <w:lang w:val="en-AU"/>
        </w:rPr>
        <w:t>Principles</w:t>
      </w:r>
    </w:p>
    <w:p w:rsidR="000917E9" w:rsidRPr="005C4E27" w:rsidRDefault="000917E9" w:rsidP="000917E9">
      <w:pPr>
        <w:rPr>
          <w:lang w:val="en-AU"/>
        </w:rPr>
      </w:pPr>
      <w:r w:rsidRPr="005C4E27">
        <w:rPr>
          <w:lang w:val="en-AU"/>
        </w:rPr>
        <w:t xml:space="preserve">SDA Benchmark Prices have been developed in accordance with the Framework. </w:t>
      </w:r>
    </w:p>
    <w:p w:rsidR="000917E9" w:rsidRPr="005C4E27" w:rsidRDefault="000917E9" w:rsidP="000917E9">
      <w:pPr>
        <w:rPr>
          <w:lang w:val="en-AU"/>
        </w:rPr>
      </w:pPr>
      <w:r w:rsidRPr="005C4E27">
        <w:rPr>
          <w:lang w:val="en-AU"/>
        </w:rPr>
        <w:t>After consultation with States and Territories, the Agency also developed specific principles that would guide the implementation of SDA Benchmark Prices. These principles include:</w:t>
      </w:r>
    </w:p>
    <w:p w:rsidR="000F451B" w:rsidRPr="005C4E27" w:rsidRDefault="000F451B" w:rsidP="000F451B">
      <w:pPr>
        <w:numPr>
          <w:ilvl w:val="0"/>
          <w:numId w:val="9"/>
        </w:numPr>
        <w:tabs>
          <w:tab w:val="clear" w:pos="720"/>
          <w:tab w:val="num" w:pos="360"/>
        </w:tabs>
        <w:ind w:left="360"/>
        <w:rPr>
          <w:lang w:val="en-AU"/>
        </w:rPr>
      </w:pPr>
      <w:r>
        <w:rPr>
          <w:b/>
          <w:bCs/>
          <w:i/>
          <w:iCs/>
          <w:lang w:val="en-AU"/>
        </w:rPr>
        <w:t>Sustainability</w:t>
      </w:r>
      <w:r w:rsidRPr="005C4E27">
        <w:rPr>
          <w:b/>
          <w:bCs/>
          <w:i/>
          <w:iCs/>
          <w:lang w:val="en-AU"/>
        </w:rPr>
        <w:t xml:space="preserve">: </w:t>
      </w:r>
      <w:r w:rsidRPr="005C4E27">
        <w:rPr>
          <w:lang w:val="en-AU"/>
        </w:rPr>
        <w:t xml:space="preserve">Best whole-of-life outcomes with efficient whole-of-package costs, </w:t>
      </w:r>
      <w:r>
        <w:rPr>
          <w:lang w:val="en-AU"/>
        </w:rPr>
        <w:t xml:space="preserve">consistent with the insurance principles underpinning the NDIS and </w:t>
      </w:r>
      <w:r w:rsidRPr="005C4E27">
        <w:rPr>
          <w:lang w:val="en-AU"/>
        </w:rPr>
        <w:t>to support the most people possible</w:t>
      </w:r>
      <w:r>
        <w:rPr>
          <w:lang w:val="en-AU"/>
        </w:rPr>
        <w:t xml:space="preserve"> based on value for money</w:t>
      </w:r>
      <w:r w:rsidRPr="005C4E27">
        <w:rPr>
          <w:lang w:val="en-AU"/>
        </w:rPr>
        <w:t>.</w:t>
      </w:r>
    </w:p>
    <w:p w:rsidR="000917E9" w:rsidRDefault="000917E9" w:rsidP="000917E9">
      <w:pPr>
        <w:numPr>
          <w:ilvl w:val="0"/>
          <w:numId w:val="9"/>
        </w:numPr>
        <w:tabs>
          <w:tab w:val="clear" w:pos="720"/>
          <w:tab w:val="num" w:pos="360"/>
        </w:tabs>
        <w:ind w:left="360"/>
        <w:rPr>
          <w:lang w:val="en-AU"/>
        </w:rPr>
      </w:pPr>
      <w:r w:rsidRPr="005C4E27">
        <w:rPr>
          <w:b/>
          <w:bCs/>
          <w:i/>
          <w:iCs/>
          <w:lang w:val="en-AU"/>
        </w:rPr>
        <w:t xml:space="preserve">Inclusion: </w:t>
      </w:r>
      <w:r w:rsidRPr="005C4E27">
        <w:rPr>
          <w:lang w:val="en-AU"/>
        </w:rPr>
        <w:t>To assist</w:t>
      </w:r>
      <w:r w:rsidRPr="005C4E27">
        <w:rPr>
          <w:i/>
          <w:iCs/>
          <w:lang w:val="en-AU"/>
        </w:rPr>
        <w:t xml:space="preserve"> </w:t>
      </w:r>
      <w:r w:rsidRPr="005C4E27">
        <w:rPr>
          <w:lang w:val="en-AU"/>
        </w:rPr>
        <w:t xml:space="preserve">participants to have the same housing opportunities, choices and responsibilities as the broader community through stimulating market supply.  </w:t>
      </w:r>
    </w:p>
    <w:p w:rsidR="000F451B" w:rsidRPr="005C4E27" w:rsidRDefault="000F451B" w:rsidP="000917E9">
      <w:pPr>
        <w:numPr>
          <w:ilvl w:val="0"/>
          <w:numId w:val="9"/>
        </w:numPr>
        <w:tabs>
          <w:tab w:val="clear" w:pos="720"/>
          <w:tab w:val="num" w:pos="360"/>
        </w:tabs>
        <w:ind w:left="360"/>
        <w:rPr>
          <w:lang w:val="en-AU"/>
        </w:rPr>
      </w:pPr>
      <w:r>
        <w:rPr>
          <w:b/>
          <w:bCs/>
          <w:i/>
          <w:iCs/>
          <w:lang w:val="en-AU"/>
        </w:rPr>
        <w:t>Independence:</w:t>
      </w:r>
      <w:r>
        <w:rPr>
          <w:lang w:val="en-AU"/>
        </w:rPr>
        <w:t xml:space="preserve"> Maximise independence and social and economic participation, consistent with the vision of the NDIS. </w:t>
      </w:r>
    </w:p>
    <w:p w:rsidR="000917E9" w:rsidRPr="005C4E27" w:rsidRDefault="000F451B" w:rsidP="000917E9">
      <w:pPr>
        <w:numPr>
          <w:ilvl w:val="0"/>
          <w:numId w:val="9"/>
        </w:numPr>
        <w:tabs>
          <w:tab w:val="clear" w:pos="720"/>
          <w:tab w:val="num" w:pos="360"/>
        </w:tabs>
        <w:ind w:left="360"/>
        <w:rPr>
          <w:lang w:val="en-AU"/>
        </w:rPr>
      </w:pPr>
      <w:r>
        <w:rPr>
          <w:b/>
          <w:bCs/>
          <w:i/>
          <w:iCs/>
          <w:lang w:val="en-AU"/>
        </w:rPr>
        <w:t>C</w:t>
      </w:r>
      <w:r w:rsidR="000917E9" w:rsidRPr="005C4E27">
        <w:rPr>
          <w:b/>
          <w:bCs/>
          <w:i/>
          <w:iCs/>
          <w:lang w:val="en-AU"/>
        </w:rPr>
        <w:t xml:space="preserve">hoice and control: </w:t>
      </w:r>
      <w:r w:rsidR="000917E9" w:rsidRPr="005C4E27">
        <w:rPr>
          <w:lang w:val="en-AU"/>
        </w:rPr>
        <w:t>To allow participants their choice of providers of housing and of support services, and the way in which they will be provided.</w:t>
      </w:r>
    </w:p>
    <w:p w:rsidR="000917E9" w:rsidRPr="005C4E27" w:rsidRDefault="000917E9" w:rsidP="000917E9">
      <w:pPr>
        <w:numPr>
          <w:ilvl w:val="0"/>
          <w:numId w:val="9"/>
        </w:numPr>
        <w:tabs>
          <w:tab w:val="clear" w:pos="720"/>
          <w:tab w:val="num" w:pos="360"/>
        </w:tabs>
        <w:ind w:left="360"/>
        <w:rPr>
          <w:lang w:val="en-AU"/>
        </w:rPr>
      </w:pPr>
      <w:r w:rsidRPr="005C4E27">
        <w:rPr>
          <w:b/>
          <w:bCs/>
          <w:i/>
          <w:iCs/>
          <w:lang w:val="en-AU"/>
        </w:rPr>
        <w:t xml:space="preserve">Continuity: </w:t>
      </w:r>
      <w:r w:rsidRPr="005C4E27">
        <w:rPr>
          <w:lang w:val="en-AU"/>
        </w:rPr>
        <w:t xml:space="preserve">Provide an orderly and managed transition of existing SDA into the NDIS. Over time, support a transition from historic accommodation options and service models to approaches that support independence and social and economic participation. </w:t>
      </w:r>
    </w:p>
    <w:p w:rsidR="000917E9" w:rsidRPr="004C01F6" w:rsidRDefault="000917E9" w:rsidP="000917E9">
      <w:pPr>
        <w:numPr>
          <w:ilvl w:val="0"/>
          <w:numId w:val="9"/>
        </w:numPr>
        <w:tabs>
          <w:tab w:val="clear" w:pos="720"/>
          <w:tab w:val="num" w:pos="360"/>
        </w:tabs>
        <w:ind w:left="360"/>
        <w:rPr>
          <w:lang w:val="en-AU"/>
        </w:rPr>
      </w:pPr>
      <w:r w:rsidRPr="005C4E27">
        <w:rPr>
          <w:b/>
          <w:bCs/>
          <w:i/>
          <w:iCs/>
          <w:lang w:val="en-AU"/>
        </w:rPr>
        <w:t xml:space="preserve">Innovation: </w:t>
      </w:r>
      <w:r w:rsidRPr="005C4E27">
        <w:rPr>
          <w:lang w:val="en-AU"/>
        </w:rPr>
        <w:t>To encourage</w:t>
      </w:r>
      <w:r w:rsidRPr="005C4E27">
        <w:rPr>
          <w:b/>
          <w:bCs/>
          <w:i/>
          <w:iCs/>
          <w:lang w:val="en-AU"/>
        </w:rPr>
        <w:t xml:space="preserve"> </w:t>
      </w:r>
      <w:r w:rsidRPr="005C4E27">
        <w:rPr>
          <w:lang w:val="en-AU"/>
        </w:rPr>
        <w:t xml:space="preserve">innovation and investment in new </w:t>
      </w:r>
      <w:r>
        <w:rPr>
          <w:lang w:val="en-AU"/>
        </w:rPr>
        <w:t>SDA</w:t>
      </w:r>
      <w:r w:rsidRPr="004C01F6">
        <w:rPr>
          <w:lang w:val="en-AU"/>
        </w:rPr>
        <w:t>.</w:t>
      </w:r>
    </w:p>
    <w:p w:rsidR="000917E9" w:rsidRPr="004C01F6" w:rsidRDefault="000917E9" w:rsidP="00CB2072">
      <w:pPr>
        <w:pStyle w:val="Heading4"/>
        <w:keepNext/>
        <w:keepLines/>
        <w:ind w:left="720"/>
        <w:rPr>
          <w:lang w:val="en-AU"/>
        </w:rPr>
      </w:pPr>
      <w:r w:rsidRPr="004C01F6">
        <w:rPr>
          <w:lang w:val="en-AU"/>
        </w:rPr>
        <w:t xml:space="preserve">Two tiered </w:t>
      </w:r>
      <w:r w:rsidR="00F01101">
        <w:rPr>
          <w:lang w:val="en-AU"/>
        </w:rPr>
        <w:t xml:space="preserve">pricing </w:t>
      </w:r>
      <w:r w:rsidRPr="004C01F6">
        <w:rPr>
          <w:lang w:val="en-AU"/>
        </w:rPr>
        <w:t>approach</w:t>
      </w:r>
    </w:p>
    <w:p w:rsidR="000917E9" w:rsidRPr="00DA1F62" w:rsidRDefault="000917E9" w:rsidP="000917E9">
      <w:pPr>
        <w:rPr>
          <w:lang w:val="en-AU"/>
        </w:rPr>
      </w:pPr>
      <w:r w:rsidRPr="00DA1F62">
        <w:rPr>
          <w:lang w:val="en-AU"/>
        </w:rPr>
        <w:t>As outlined in the SDA Position Paper, prices for SDA differ from prices set by government in monopoly industries such as electricity and water for two important reasons:</w:t>
      </w:r>
    </w:p>
    <w:p w:rsidR="000917E9" w:rsidRPr="00FC5E27" w:rsidRDefault="000917E9" w:rsidP="000917E9">
      <w:pPr>
        <w:numPr>
          <w:ilvl w:val="0"/>
          <w:numId w:val="8"/>
        </w:numPr>
        <w:rPr>
          <w:lang w:val="en-AU"/>
        </w:rPr>
      </w:pPr>
      <w:r w:rsidRPr="00294EE7">
        <w:rPr>
          <w:lang w:val="en-AU"/>
        </w:rPr>
        <w:t>Unlike mono</w:t>
      </w:r>
      <w:r w:rsidRPr="005B1B19">
        <w:rPr>
          <w:lang w:val="en-AU"/>
        </w:rPr>
        <w:t>poly assets, SDA properties have an alternative use and can be either sold or rented to the broader residential market. An important objective of SDA pricing is to encourage property owners to continue to provide SDA to participants for as long as they cho</w:t>
      </w:r>
      <w:r w:rsidRPr="00FC5E27">
        <w:rPr>
          <w:lang w:val="en-AU"/>
        </w:rPr>
        <w:t>ose to live at the property. Therefore prices must be at least equal to the next best use of the property, and must include an allowance for the additional maintenance and other costs that may be incurred by an SDA property.</w:t>
      </w:r>
    </w:p>
    <w:p w:rsidR="000917E9" w:rsidRPr="0069103E" w:rsidRDefault="000917E9" w:rsidP="000917E9">
      <w:pPr>
        <w:numPr>
          <w:ilvl w:val="0"/>
          <w:numId w:val="8"/>
        </w:numPr>
        <w:rPr>
          <w:lang w:val="en-AU"/>
        </w:rPr>
      </w:pPr>
      <w:r w:rsidRPr="00FC5E27">
        <w:rPr>
          <w:lang w:val="en-AU"/>
        </w:rPr>
        <w:t>Investors in monopoly infrastructure can accept a price that will recover their investment over the full life of the asset because the payment stream is highly certain (prices are revised upward if demand reduces and there are limited alternatives for customers), coupled with the fact t</w:t>
      </w:r>
      <w:r w:rsidRPr="0069103E">
        <w:rPr>
          <w:lang w:val="en-AU"/>
        </w:rPr>
        <w:t xml:space="preserve">hat the investor could (in theory at least) sell the asset before the end of its life and would expect a buyer to pay the present value of the remaining payment stream. By contrast, SDA </w:t>
      </w:r>
      <w:r>
        <w:rPr>
          <w:lang w:val="en-AU"/>
        </w:rPr>
        <w:t xml:space="preserve">Benchmark Price </w:t>
      </w:r>
      <w:r w:rsidRPr="0069103E">
        <w:rPr>
          <w:lang w:val="en-AU"/>
        </w:rPr>
        <w:t xml:space="preserve">payments are only guaranteed for </w:t>
      </w:r>
      <w:r w:rsidRPr="0069103E">
        <w:rPr>
          <w:lang w:val="en-AU"/>
        </w:rPr>
        <w:lastRenderedPageBreak/>
        <w:t>as long as participants remain in the property. If participants do not choose to reside at the property, the owner could revert the property to the broader residential market, but may not recoup their initial investment as the sale price would dependent on the value of the property in the non-SDA market.</w:t>
      </w:r>
    </w:p>
    <w:p w:rsidR="000917E9" w:rsidRPr="0069103E" w:rsidRDefault="000917E9" w:rsidP="000917E9">
      <w:pPr>
        <w:rPr>
          <w:lang w:val="en-AU"/>
        </w:rPr>
      </w:pPr>
      <w:r w:rsidRPr="0069103E">
        <w:rPr>
          <w:lang w:val="en-AU"/>
        </w:rPr>
        <w:t xml:space="preserve">Recognising these differences, the Agency has adopted a two-tiered approach to SDA pricing: </w:t>
      </w:r>
    </w:p>
    <w:p w:rsidR="000917E9" w:rsidRPr="005C4E27" w:rsidRDefault="000917E9" w:rsidP="000917E9">
      <w:pPr>
        <w:numPr>
          <w:ilvl w:val="0"/>
          <w:numId w:val="7"/>
        </w:numPr>
        <w:rPr>
          <w:lang w:val="en-AU"/>
        </w:rPr>
      </w:pPr>
      <w:r w:rsidRPr="00AA44FB">
        <w:rPr>
          <w:b/>
          <w:lang w:val="en-AU"/>
        </w:rPr>
        <w:t xml:space="preserve">Existing Stock </w:t>
      </w:r>
      <w:r w:rsidRPr="00CD197F">
        <w:rPr>
          <w:lang w:val="en-AU"/>
        </w:rPr>
        <w:t xml:space="preserve">- For existing properties, the SDA </w:t>
      </w:r>
      <w:r>
        <w:rPr>
          <w:lang w:val="en-AU"/>
        </w:rPr>
        <w:t xml:space="preserve">Benchmark Price </w:t>
      </w:r>
      <w:r w:rsidRPr="00CD197F">
        <w:rPr>
          <w:lang w:val="en-AU"/>
        </w:rPr>
        <w:t>payment provides an incentive for properties to remain in use as SDA for as long as participants choose to remain at the property. This paymen</w:t>
      </w:r>
      <w:r w:rsidRPr="005C4E27">
        <w:rPr>
          <w:lang w:val="en-AU"/>
        </w:rPr>
        <w:t xml:space="preserve">t must ensure that the property owner would not be financially better off reverting the property to the non-SDA market. </w:t>
      </w:r>
    </w:p>
    <w:p w:rsidR="000917E9" w:rsidRPr="005C4E27" w:rsidRDefault="000917E9" w:rsidP="000917E9">
      <w:pPr>
        <w:ind w:left="360"/>
        <w:rPr>
          <w:lang w:val="en-AU"/>
        </w:rPr>
      </w:pPr>
      <w:r w:rsidRPr="005C4E27">
        <w:rPr>
          <w:lang w:val="en-AU"/>
        </w:rPr>
        <w:t>Therefore, the price for existing properties is set at a level that ensures the property owner receives income higher than the broader rental market for an equivalent property. This is achieved by providing a net rental yield (income net of expenses divided by the property value) that is higher than the broader market and allowing for the additional maintenance, outgoing and management costs associated with SDA.</w:t>
      </w:r>
    </w:p>
    <w:p w:rsidR="000917E9" w:rsidRPr="005C4E27" w:rsidRDefault="000917E9" w:rsidP="000917E9">
      <w:pPr>
        <w:numPr>
          <w:ilvl w:val="0"/>
          <w:numId w:val="7"/>
        </w:numPr>
        <w:rPr>
          <w:lang w:val="en-AU"/>
        </w:rPr>
      </w:pPr>
      <w:r w:rsidRPr="005C4E27">
        <w:rPr>
          <w:b/>
          <w:lang w:val="en-AU"/>
        </w:rPr>
        <w:t xml:space="preserve">New Builds </w:t>
      </w:r>
      <w:r w:rsidRPr="005C4E27">
        <w:rPr>
          <w:lang w:val="en-AU"/>
        </w:rPr>
        <w:t xml:space="preserve">- There is significant unmet demand for SDA and it is unlikely that private individuals and not-for-profit organisations will have the capacity to finance and build the required number of dwellings within a reasonable timeframe without assistance from third party (‘institutional’) investors. </w:t>
      </w:r>
    </w:p>
    <w:p w:rsidR="000917E9" w:rsidRPr="005C4E27" w:rsidRDefault="000917E9" w:rsidP="000917E9">
      <w:pPr>
        <w:ind w:left="360"/>
        <w:rPr>
          <w:lang w:val="en-AU"/>
        </w:rPr>
      </w:pPr>
      <w:r w:rsidRPr="005C4E27">
        <w:rPr>
          <w:lang w:val="en-AU"/>
        </w:rPr>
        <w:t xml:space="preserve">Institutional investors could potentially include superannuation funds, trusts, high wealth individuals, developers (who may on-sell the properties) or companies with a desire to invest in socially beneficial projects. These investors typically require a higher rate of return than private individuals or not-for-profit organisations. </w:t>
      </w:r>
    </w:p>
    <w:p w:rsidR="000917E9" w:rsidRPr="005C4E27" w:rsidRDefault="000917E9" w:rsidP="000917E9">
      <w:pPr>
        <w:ind w:left="360"/>
        <w:rPr>
          <w:lang w:val="en-AU"/>
        </w:rPr>
      </w:pPr>
      <w:r w:rsidRPr="005C4E27">
        <w:rPr>
          <w:lang w:val="en-AU"/>
        </w:rPr>
        <w:t xml:space="preserve">Therefore, to attract the broadest possible range of investors, the SDA </w:t>
      </w:r>
      <w:r>
        <w:rPr>
          <w:lang w:val="en-AU"/>
        </w:rPr>
        <w:t xml:space="preserve">Benchmark Price </w:t>
      </w:r>
      <w:r w:rsidRPr="005C4E27">
        <w:rPr>
          <w:lang w:val="en-AU"/>
        </w:rPr>
        <w:t xml:space="preserve">payments for New Builds have been set to provide these higher returns, assuming a reasonable level of both debt and equity financing. </w:t>
      </w:r>
    </w:p>
    <w:p w:rsidR="000917E9" w:rsidRPr="005C4E27" w:rsidRDefault="000917E9" w:rsidP="000917E9">
      <w:pPr>
        <w:rPr>
          <w:lang w:val="en-AU"/>
        </w:rPr>
      </w:pPr>
      <w:r w:rsidRPr="005C4E27">
        <w:rPr>
          <w:lang w:val="en-AU"/>
        </w:rPr>
        <w:t xml:space="preserve">In summary, the price for </w:t>
      </w:r>
      <w:r>
        <w:rPr>
          <w:lang w:val="en-AU"/>
        </w:rPr>
        <w:t>New Builds</w:t>
      </w:r>
      <w:r w:rsidRPr="005C4E27">
        <w:rPr>
          <w:lang w:val="en-AU"/>
        </w:rPr>
        <w:t xml:space="preserve"> is set to provide an incentive to a broad range of potential investors to respond quickly in constructing new properties to provide for unmet SDA demand. The price for </w:t>
      </w:r>
      <w:r>
        <w:rPr>
          <w:lang w:val="en-AU"/>
        </w:rPr>
        <w:t>Existing Stock</w:t>
      </w:r>
      <w:r w:rsidRPr="005C4E27">
        <w:rPr>
          <w:lang w:val="en-AU"/>
        </w:rPr>
        <w:t xml:space="preserve"> is lower and provides yields more in line with the established rental market to ensure owners have a financial incentive to retain participants for as long as they choose.</w:t>
      </w:r>
    </w:p>
    <w:p w:rsidR="000917E9" w:rsidRPr="005C4E27" w:rsidRDefault="000917E9" w:rsidP="000917E9">
      <w:pPr>
        <w:rPr>
          <w:lang w:val="en-AU"/>
        </w:rPr>
      </w:pPr>
      <w:r w:rsidRPr="005C4E27">
        <w:rPr>
          <w:lang w:val="en-AU"/>
        </w:rPr>
        <w:t xml:space="preserve">The timeframe for the pricing has also been aligned with the expected investment horizon of institutional investors (20 years). To recognise the uncertainty associated with retaining participants for more than 20 years, the pricing model conservatively assumes that at the end of 20 years the property would revert to the general market, providing a lump sum cash flow to the investor equal to the (non-SDA) market value of the property. When combined, the revenue from SDA payments, </w:t>
      </w:r>
      <w:r>
        <w:rPr>
          <w:lang w:val="en-AU"/>
        </w:rPr>
        <w:t>R</w:t>
      </w:r>
      <w:r w:rsidR="003278B7">
        <w:rPr>
          <w:lang w:val="en-AU"/>
        </w:rPr>
        <w:t xml:space="preserve">easonable </w:t>
      </w:r>
      <w:r>
        <w:rPr>
          <w:lang w:val="en-AU"/>
        </w:rPr>
        <w:t>R</w:t>
      </w:r>
      <w:r w:rsidR="003278B7">
        <w:rPr>
          <w:lang w:val="en-AU"/>
        </w:rPr>
        <w:t>ent Contribution (RRC)</w:t>
      </w:r>
      <w:r w:rsidRPr="005C4E27">
        <w:rPr>
          <w:lang w:val="en-AU"/>
        </w:rPr>
        <w:t xml:space="preserve"> and the sale value of the property will be sufficient to recover the initial investment, all maintenance, outgoing and management costs, and an ‘institutional’ return on debt and equity.</w:t>
      </w:r>
    </w:p>
    <w:p w:rsidR="000917E9" w:rsidRPr="005C4E27" w:rsidRDefault="000917E9" w:rsidP="000917E9">
      <w:pPr>
        <w:rPr>
          <w:lang w:val="en-AU"/>
        </w:rPr>
      </w:pPr>
      <w:r w:rsidRPr="005C4E27">
        <w:rPr>
          <w:lang w:val="en-AU"/>
        </w:rPr>
        <w:lastRenderedPageBreak/>
        <w:t xml:space="preserve">The New Build pricing will only apply for a period of 20 years. At the end of the 20-year period, if the property remains occupied, the pricing will revert to </w:t>
      </w:r>
      <w:r>
        <w:rPr>
          <w:lang w:val="en-AU"/>
        </w:rPr>
        <w:t>E</w:t>
      </w:r>
      <w:r w:rsidRPr="005C4E27">
        <w:rPr>
          <w:lang w:val="en-AU"/>
        </w:rPr>
        <w:t xml:space="preserve">xisting </w:t>
      </w:r>
      <w:r>
        <w:rPr>
          <w:lang w:val="en-AU"/>
        </w:rPr>
        <w:t>S</w:t>
      </w:r>
      <w:r w:rsidRPr="005C4E27">
        <w:rPr>
          <w:lang w:val="en-AU"/>
        </w:rPr>
        <w:t>tock prices, which will provide a superior return to the general rental market and encourage property owners to retain the property as SDA.</w:t>
      </w:r>
    </w:p>
    <w:p w:rsidR="000917E9" w:rsidRPr="005C4E27" w:rsidRDefault="000917E9" w:rsidP="00CB2072">
      <w:pPr>
        <w:pStyle w:val="Heading4"/>
        <w:keepNext/>
        <w:keepLines/>
        <w:ind w:left="720"/>
        <w:rPr>
          <w:lang w:val="en-AU"/>
        </w:rPr>
      </w:pPr>
      <w:r w:rsidRPr="005C4E27">
        <w:rPr>
          <w:lang w:val="en-AU"/>
        </w:rPr>
        <w:t>SDA Benchmark Price</w:t>
      </w:r>
      <w:r w:rsidR="00B01595">
        <w:rPr>
          <w:lang w:val="en-AU"/>
        </w:rPr>
        <w:t>s</w:t>
      </w:r>
    </w:p>
    <w:p w:rsidR="000917E9" w:rsidRPr="005C4E27" w:rsidRDefault="000917E9" w:rsidP="000917E9">
      <w:pPr>
        <w:rPr>
          <w:lang w:val="en-AU"/>
        </w:rPr>
      </w:pPr>
      <w:r w:rsidRPr="005C4E27">
        <w:rPr>
          <w:lang w:val="en-AU"/>
        </w:rPr>
        <w:t xml:space="preserve">In accordance with the Framework, SDA will be included in a participant’s plan, but will be paid directly to the SDA provider for as long as the participant chooses to reside in the enrolled SDA </w:t>
      </w:r>
      <w:r>
        <w:rPr>
          <w:lang w:val="en-AU"/>
        </w:rPr>
        <w:t>dwelling</w:t>
      </w:r>
      <w:r w:rsidRPr="005C4E27">
        <w:rPr>
          <w:lang w:val="en-AU"/>
        </w:rPr>
        <w:t>.</w:t>
      </w:r>
    </w:p>
    <w:p w:rsidR="000917E9" w:rsidRPr="005C4E27" w:rsidRDefault="000917E9" w:rsidP="000917E9">
      <w:pPr>
        <w:rPr>
          <w:lang w:val="en-AU"/>
        </w:rPr>
      </w:pPr>
      <w:r>
        <w:rPr>
          <w:lang w:val="en-AU"/>
        </w:rPr>
        <w:t xml:space="preserve">Providers will be paid for dwellings when occupied by </w:t>
      </w:r>
      <w:r w:rsidR="001D1744">
        <w:rPr>
          <w:lang w:val="en-AU"/>
        </w:rPr>
        <w:t xml:space="preserve">SDA </w:t>
      </w:r>
      <w:r>
        <w:rPr>
          <w:lang w:val="en-AU"/>
        </w:rPr>
        <w:t xml:space="preserve">participants </w:t>
      </w:r>
      <w:r w:rsidRPr="005C4E27">
        <w:rPr>
          <w:lang w:val="en-AU"/>
        </w:rPr>
        <w:t xml:space="preserve">according to the highest design </w:t>
      </w:r>
      <w:r>
        <w:rPr>
          <w:lang w:val="en-AU"/>
        </w:rPr>
        <w:t xml:space="preserve">category </w:t>
      </w:r>
      <w:r w:rsidRPr="005C4E27">
        <w:rPr>
          <w:lang w:val="en-AU"/>
        </w:rPr>
        <w:t xml:space="preserve">with which the </w:t>
      </w:r>
      <w:r>
        <w:rPr>
          <w:lang w:val="en-AU"/>
        </w:rPr>
        <w:t>dwelling c</w:t>
      </w:r>
      <w:r w:rsidRPr="005C4E27">
        <w:rPr>
          <w:lang w:val="en-AU"/>
        </w:rPr>
        <w:t xml:space="preserve">omplies. For Existing Stock </w:t>
      </w:r>
      <w:r>
        <w:rPr>
          <w:lang w:val="en-AU"/>
        </w:rPr>
        <w:t xml:space="preserve">which </w:t>
      </w:r>
      <w:r w:rsidRPr="005C4E27">
        <w:rPr>
          <w:lang w:val="en-AU"/>
        </w:rPr>
        <w:t xml:space="preserve">does not comply with any standard, the Basic design </w:t>
      </w:r>
      <w:r>
        <w:rPr>
          <w:lang w:val="en-AU"/>
        </w:rPr>
        <w:t>category</w:t>
      </w:r>
      <w:r w:rsidRPr="005C4E27">
        <w:rPr>
          <w:lang w:val="en-AU"/>
        </w:rPr>
        <w:t xml:space="preserve"> will apply (the Basic design </w:t>
      </w:r>
      <w:r>
        <w:rPr>
          <w:lang w:val="en-AU"/>
        </w:rPr>
        <w:t>category i</w:t>
      </w:r>
      <w:r w:rsidRPr="005C4E27">
        <w:rPr>
          <w:lang w:val="en-AU"/>
        </w:rPr>
        <w:t>s not available for</w:t>
      </w:r>
      <w:r>
        <w:rPr>
          <w:lang w:val="en-AU"/>
        </w:rPr>
        <w:t xml:space="preserve"> </w:t>
      </w:r>
      <w:r w:rsidRPr="005C4E27">
        <w:rPr>
          <w:lang w:val="en-AU"/>
        </w:rPr>
        <w:t xml:space="preserve">New Builds). </w:t>
      </w:r>
    </w:p>
    <w:p w:rsidR="00A96331" w:rsidRDefault="000917E9" w:rsidP="00A96331">
      <w:pPr>
        <w:rPr>
          <w:lang w:val="en-AU"/>
        </w:rPr>
      </w:pPr>
      <w:r w:rsidRPr="005C4E27">
        <w:rPr>
          <w:lang w:val="en-AU"/>
        </w:rPr>
        <w:t xml:space="preserve">The </w:t>
      </w:r>
      <w:r w:rsidR="007D146A">
        <w:rPr>
          <w:lang w:val="en-AU"/>
        </w:rPr>
        <w:t xml:space="preserve">Annual </w:t>
      </w:r>
      <w:r w:rsidRPr="005C4E27">
        <w:rPr>
          <w:lang w:val="en-AU"/>
        </w:rPr>
        <w:t>Base Price</w:t>
      </w:r>
      <w:r w:rsidR="007D146A">
        <w:rPr>
          <w:lang w:val="en-AU"/>
        </w:rPr>
        <w:t xml:space="preserve"> per Participant</w:t>
      </w:r>
      <w:r w:rsidR="00A96331">
        <w:rPr>
          <w:lang w:val="en-AU"/>
        </w:rPr>
        <w:t xml:space="preserve"> </w:t>
      </w:r>
      <w:r w:rsidRPr="005C4E27">
        <w:rPr>
          <w:lang w:val="en-AU"/>
        </w:rPr>
        <w:t xml:space="preserve">must be multiplied by the relevant Location Factor </w:t>
      </w:r>
      <w:r w:rsidRPr="004C01F6">
        <w:rPr>
          <w:lang w:val="en-AU"/>
        </w:rPr>
        <w:t xml:space="preserve">and </w:t>
      </w:r>
      <w:r w:rsidR="001D1744">
        <w:rPr>
          <w:lang w:val="en-AU"/>
        </w:rPr>
        <w:t xml:space="preserve">where applicable a </w:t>
      </w:r>
      <w:r w:rsidR="00A96331">
        <w:rPr>
          <w:lang w:val="en-AU"/>
        </w:rPr>
        <w:t>F</w:t>
      </w:r>
      <w:r w:rsidR="001D1744">
        <w:rPr>
          <w:lang w:val="en-AU"/>
        </w:rPr>
        <w:t xml:space="preserve">ire </w:t>
      </w:r>
      <w:r w:rsidR="00A96331">
        <w:rPr>
          <w:lang w:val="en-AU"/>
        </w:rPr>
        <w:t>S</w:t>
      </w:r>
      <w:r w:rsidR="001D1744">
        <w:rPr>
          <w:lang w:val="en-AU"/>
        </w:rPr>
        <w:t xml:space="preserve">prinkler </w:t>
      </w:r>
      <w:r w:rsidR="00A96331">
        <w:rPr>
          <w:lang w:val="en-AU"/>
        </w:rPr>
        <w:t>A</w:t>
      </w:r>
      <w:r w:rsidR="001D1744">
        <w:rPr>
          <w:lang w:val="en-AU"/>
        </w:rPr>
        <w:t xml:space="preserve">llowance to </w:t>
      </w:r>
      <w:r w:rsidRPr="004C01F6">
        <w:rPr>
          <w:lang w:val="en-AU"/>
        </w:rPr>
        <w:t>calculate the SDA Benchmark Price as shown in the formula below</w:t>
      </w:r>
      <w:r w:rsidR="00A96331">
        <w:rPr>
          <w:lang w:val="en-AU"/>
        </w:rPr>
        <w:t>.</w:t>
      </w:r>
      <w:r w:rsidR="00A96331" w:rsidRPr="00A96331">
        <w:rPr>
          <w:lang w:val="en-AU"/>
        </w:rPr>
        <w:t xml:space="preserve"> </w:t>
      </w:r>
      <w:r w:rsidR="00A96331">
        <w:rPr>
          <w:lang w:val="en-AU"/>
        </w:rPr>
        <w:t xml:space="preserve">The Annual Base Price Per Participant and Fire Sprinkler Allowance are shown in </w:t>
      </w:r>
      <w:r w:rsidR="00A96331">
        <w:rPr>
          <w:lang w:val="en-AU"/>
        </w:rPr>
        <w:fldChar w:fldCharType="begin"/>
      </w:r>
      <w:r w:rsidR="00A96331">
        <w:rPr>
          <w:lang w:val="en-AU"/>
        </w:rPr>
        <w:instrText xml:space="preserve"> REF _Ref452552386 \h </w:instrText>
      </w:r>
      <w:r w:rsidR="00A96331">
        <w:rPr>
          <w:lang w:val="en-AU"/>
        </w:rPr>
      </w:r>
      <w:r w:rsidR="00A96331">
        <w:rPr>
          <w:lang w:val="en-AU"/>
        </w:rPr>
        <w:fldChar w:fldCharType="separate"/>
      </w:r>
      <w:r w:rsidR="006C6F0B" w:rsidRPr="00A23622">
        <w:t xml:space="preserve">Table </w:t>
      </w:r>
      <w:r w:rsidR="006C6F0B">
        <w:rPr>
          <w:noProof/>
        </w:rPr>
        <w:t>1</w:t>
      </w:r>
      <w:r w:rsidR="00A96331">
        <w:rPr>
          <w:lang w:val="en-AU"/>
        </w:rPr>
        <w:fldChar w:fldCharType="end"/>
      </w:r>
      <w:r w:rsidR="00A96331">
        <w:rPr>
          <w:lang w:val="en-AU"/>
        </w:rPr>
        <w:t xml:space="preserve"> and </w:t>
      </w:r>
      <w:r w:rsidR="00A96331">
        <w:rPr>
          <w:lang w:val="en-AU"/>
        </w:rPr>
        <w:fldChar w:fldCharType="begin"/>
      </w:r>
      <w:r w:rsidR="00A96331">
        <w:rPr>
          <w:lang w:val="en-AU"/>
        </w:rPr>
        <w:instrText xml:space="preserve"> REF _Ref452552390 \h </w:instrText>
      </w:r>
      <w:r w:rsidR="00A96331">
        <w:rPr>
          <w:lang w:val="en-AU"/>
        </w:rPr>
      </w:r>
      <w:r w:rsidR="00A96331">
        <w:rPr>
          <w:lang w:val="en-AU"/>
        </w:rPr>
        <w:fldChar w:fldCharType="separate"/>
      </w:r>
      <w:r w:rsidR="006C6F0B" w:rsidRPr="00CD197F">
        <w:rPr>
          <w:lang w:val="en-AU"/>
        </w:rPr>
        <w:t xml:space="preserve">Table </w:t>
      </w:r>
      <w:r w:rsidR="006C6F0B">
        <w:rPr>
          <w:noProof/>
          <w:lang w:val="en-AU"/>
        </w:rPr>
        <w:t>2</w:t>
      </w:r>
      <w:r w:rsidR="00A96331">
        <w:rPr>
          <w:lang w:val="en-AU"/>
        </w:rPr>
        <w:fldChar w:fldCharType="end"/>
      </w:r>
      <w:r w:rsidR="00A96331">
        <w:rPr>
          <w:lang w:val="en-AU"/>
        </w:rPr>
        <w:t>.</w:t>
      </w:r>
      <w:r w:rsidR="00A96331" w:rsidRPr="00A96331">
        <w:rPr>
          <w:lang w:val="en-AU"/>
        </w:rPr>
        <w:t xml:space="preserve"> </w:t>
      </w:r>
      <w:r w:rsidR="00A96331">
        <w:rPr>
          <w:lang w:val="en-AU"/>
        </w:rPr>
        <w:t xml:space="preserve">The Location Factors are </w:t>
      </w:r>
      <w:r w:rsidR="00A96331" w:rsidRPr="005C4E27">
        <w:rPr>
          <w:lang w:val="en-AU"/>
        </w:rPr>
        <w:t xml:space="preserve">shown in </w:t>
      </w:r>
      <w:r w:rsidR="00A96331">
        <w:rPr>
          <w:lang w:val="en-AU"/>
        </w:rPr>
        <w:t>Appendix 2</w:t>
      </w:r>
    </w:p>
    <w:p w:rsidR="000917E9" w:rsidRPr="004C01F6" w:rsidRDefault="000917E9" w:rsidP="000917E9">
      <w:pPr>
        <w:keepNext/>
        <w:keepLines/>
        <w:tabs>
          <w:tab w:val="left" w:pos="2552"/>
        </w:tabs>
        <w:rPr>
          <w:i/>
          <w:lang w:val="en-AU"/>
        </w:rPr>
      </w:pPr>
      <w:r w:rsidRPr="004C01F6">
        <w:rPr>
          <w:i/>
          <w:lang w:val="en-AU"/>
        </w:rPr>
        <w:t>SD</w:t>
      </w:r>
      <w:r w:rsidR="002B274F">
        <w:rPr>
          <w:i/>
          <w:lang w:val="en-AU"/>
        </w:rPr>
        <w:t xml:space="preserve">A Benchmark Price = </w:t>
      </w:r>
      <w:r w:rsidR="002B274F">
        <w:rPr>
          <w:i/>
          <w:lang w:val="en-AU"/>
        </w:rPr>
        <w:tab/>
      </w:r>
      <w:r w:rsidR="00690AD0">
        <w:rPr>
          <w:i/>
          <w:lang w:val="en-AU"/>
        </w:rPr>
        <w:t xml:space="preserve">Annual </w:t>
      </w:r>
      <w:r w:rsidR="002B274F">
        <w:rPr>
          <w:i/>
          <w:lang w:val="en-AU"/>
        </w:rPr>
        <w:t>Base Price</w:t>
      </w:r>
      <w:r w:rsidR="00690AD0">
        <w:rPr>
          <w:i/>
          <w:lang w:val="en-AU"/>
        </w:rPr>
        <w:t xml:space="preserve"> </w:t>
      </w:r>
      <w:r w:rsidR="00A96331">
        <w:rPr>
          <w:i/>
          <w:lang w:val="en-AU"/>
        </w:rPr>
        <w:t>P</w:t>
      </w:r>
      <w:r w:rsidR="00690AD0">
        <w:rPr>
          <w:i/>
          <w:lang w:val="en-AU"/>
        </w:rPr>
        <w:t>er Participant</w:t>
      </w:r>
    </w:p>
    <w:p w:rsidR="000917E9" w:rsidRPr="00DA1F62" w:rsidRDefault="000917E9" w:rsidP="000917E9">
      <w:pPr>
        <w:keepNext/>
        <w:keepLines/>
        <w:tabs>
          <w:tab w:val="left" w:pos="2552"/>
        </w:tabs>
        <w:ind w:left="1440" w:firstLine="720"/>
        <w:rPr>
          <w:i/>
          <w:lang w:val="en-AU"/>
        </w:rPr>
      </w:pPr>
      <w:r w:rsidRPr="00DA1F62">
        <w:rPr>
          <w:i/>
          <w:lang w:val="en-AU"/>
        </w:rPr>
        <w:tab/>
        <w:t xml:space="preserve">x Location Factor </w:t>
      </w:r>
    </w:p>
    <w:p w:rsidR="000917E9" w:rsidRPr="00FC5E27" w:rsidRDefault="000917E9">
      <w:pPr>
        <w:keepNext/>
        <w:keepLines/>
        <w:tabs>
          <w:tab w:val="left" w:pos="2552"/>
        </w:tabs>
        <w:ind w:left="2160"/>
        <w:rPr>
          <w:i/>
          <w:lang w:val="en-AU"/>
        </w:rPr>
      </w:pPr>
      <w:r w:rsidRPr="00294EE7">
        <w:rPr>
          <w:i/>
          <w:lang w:val="en-AU"/>
        </w:rPr>
        <w:tab/>
        <w:t>x (1 + Fire</w:t>
      </w:r>
      <w:r w:rsidRPr="005B1B19">
        <w:rPr>
          <w:i/>
          <w:lang w:val="en-AU"/>
        </w:rPr>
        <w:t xml:space="preserve"> </w:t>
      </w:r>
      <w:r w:rsidR="00A96331">
        <w:rPr>
          <w:i/>
          <w:lang w:val="en-AU"/>
        </w:rPr>
        <w:t>S</w:t>
      </w:r>
      <w:r w:rsidRPr="005B1B19">
        <w:rPr>
          <w:i/>
          <w:lang w:val="en-AU"/>
        </w:rPr>
        <w:t xml:space="preserve">prinkler </w:t>
      </w:r>
      <w:r w:rsidR="00A96331">
        <w:rPr>
          <w:i/>
          <w:lang w:val="en-AU"/>
        </w:rPr>
        <w:t>A</w:t>
      </w:r>
      <w:r w:rsidRPr="005B1B19">
        <w:rPr>
          <w:i/>
          <w:lang w:val="en-AU"/>
        </w:rPr>
        <w:t xml:space="preserve">llowance) (if applicable) </w:t>
      </w:r>
    </w:p>
    <w:p w:rsidR="000917E9" w:rsidRPr="004C01F6" w:rsidRDefault="000917E9" w:rsidP="000917E9">
      <w:pPr>
        <w:rPr>
          <w:lang w:val="en-AU"/>
        </w:rPr>
      </w:pPr>
      <w:r w:rsidRPr="00FC5E27">
        <w:rPr>
          <w:lang w:val="en-AU"/>
        </w:rPr>
        <w:t>SDA providers will derive income from both SDA Benchmark Price</w:t>
      </w:r>
      <w:r>
        <w:rPr>
          <w:lang w:val="en-AU"/>
        </w:rPr>
        <w:t xml:space="preserve"> payment</w:t>
      </w:r>
      <w:r w:rsidRPr="00FC5E27">
        <w:rPr>
          <w:lang w:val="en-AU"/>
        </w:rPr>
        <w:t>s and from RRCs from participants (</w:t>
      </w:r>
      <w:r>
        <w:rPr>
          <w:lang w:val="en-AU"/>
        </w:rPr>
        <w:t xml:space="preserve">as described in </w:t>
      </w:r>
      <w:r w:rsidRPr="00FC5E27">
        <w:rPr>
          <w:lang w:val="en-AU"/>
        </w:rPr>
        <w:t>Section</w:t>
      </w:r>
      <w:r w:rsidR="004F0A10">
        <w:rPr>
          <w:lang w:val="en-AU"/>
        </w:rPr>
        <w:t xml:space="preserve"> </w:t>
      </w:r>
      <w:r w:rsidR="004F0A10">
        <w:rPr>
          <w:lang w:val="en-AU"/>
        </w:rPr>
        <w:fldChar w:fldCharType="begin"/>
      </w:r>
      <w:r w:rsidR="004F0A10">
        <w:rPr>
          <w:lang w:val="en-AU"/>
        </w:rPr>
        <w:instrText xml:space="preserve"> REF _Ref452471470 \r \h </w:instrText>
      </w:r>
      <w:r w:rsidR="004F0A10">
        <w:rPr>
          <w:lang w:val="en-AU"/>
        </w:rPr>
      </w:r>
      <w:r w:rsidR="004F0A10">
        <w:rPr>
          <w:lang w:val="en-AU"/>
        </w:rPr>
        <w:fldChar w:fldCharType="separate"/>
      </w:r>
      <w:r w:rsidR="006C6F0B">
        <w:rPr>
          <w:lang w:val="en-AU"/>
        </w:rPr>
        <w:t>2.2.1</w:t>
      </w:r>
      <w:r w:rsidR="004F0A10">
        <w:rPr>
          <w:lang w:val="en-AU"/>
        </w:rPr>
        <w:fldChar w:fldCharType="end"/>
      </w:r>
      <w:r w:rsidRPr="004C01F6">
        <w:rPr>
          <w:lang w:val="en-AU"/>
        </w:rPr>
        <w:t>).</w:t>
      </w:r>
    </w:p>
    <w:p w:rsidR="000917E9" w:rsidRPr="004C01F6" w:rsidRDefault="000917E9" w:rsidP="00CB2072">
      <w:pPr>
        <w:pStyle w:val="Heading4"/>
        <w:keepNext/>
        <w:keepLines/>
        <w:ind w:left="720"/>
        <w:rPr>
          <w:lang w:val="en-AU"/>
        </w:rPr>
      </w:pPr>
      <w:r w:rsidRPr="004C01F6">
        <w:rPr>
          <w:lang w:val="en-AU"/>
        </w:rPr>
        <w:t>Location and amenity</w:t>
      </w:r>
    </w:p>
    <w:p w:rsidR="000917E9" w:rsidRPr="00FC5E27" w:rsidRDefault="000F451B" w:rsidP="000917E9">
      <w:pPr>
        <w:rPr>
          <w:lang w:val="en-AU"/>
        </w:rPr>
      </w:pPr>
      <w:r>
        <w:rPr>
          <w:lang w:val="en-AU"/>
        </w:rPr>
        <w:t xml:space="preserve">The </w:t>
      </w:r>
      <w:r w:rsidR="000917E9" w:rsidRPr="00DA1F62">
        <w:rPr>
          <w:lang w:val="en-AU"/>
        </w:rPr>
        <w:t>Agency recognises that it is important for many people with disability to be close to transport options, services and other ameniti</w:t>
      </w:r>
      <w:r w:rsidR="000917E9" w:rsidRPr="00294EE7">
        <w:rPr>
          <w:lang w:val="en-AU"/>
        </w:rPr>
        <w:t>es</w:t>
      </w:r>
      <w:r>
        <w:rPr>
          <w:lang w:val="en-AU"/>
        </w:rPr>
        <w:t>. However</w:t>
      </w:r>
      <w:r w:rsidR="000917E9" w:rsidRPr="00294EE7">
        <w:rPr>
          <w:lang w:val="en-AU"/>
        </w:rPr>
        <w:t xml:space="preserve"> initial SDA Benchmark Prices will not include an explicit adjustment for proximity to services or amenity in the initial </w:t>
      </w:r>
      <w:r w:rsidR="000917E9" w:rsidRPr="00FC5E27">
        <w:rPr>
          <w:lang w:val="en-AU"/>
        </w:rPr>
        <w:t xml:space="preserve">roll out. </w:t>
      </w:r>
      <w:r>
        <w:rPr>
          <w:lang w:val="en-AU"/>
        </w:rPr>
        <w:t xml:space="preserve">Location is likely to be an increasingly important factor in the decisions of participants who are eligible for SDA, as supply, and hence choice about where to live, increases. Therefore, the proposed SDA Requirements in Section </w:t>
      </w:r>
      <w:r w:rsidR="001D1744">
        <w:rPr>
          <w:lang w:val="en-AU"/>
        </w:rPr>
        <w:fldChar w:fldCharType="begin"/>
      </w:r>
      <w:r w:rsidR="001D1744">
        <w:rPr>
          <w:lang w:val="en-AU"/>
        </w:rPr>
        <w:instrText xml:space="preserve"> REF _Ref452548005 \r \h </w:instrText>
      </w:r>
      <w:r w:rsidR="001D1744">
        <w:rPr>
          <w:lang w:val="en-AU"/>
        </w:rPr>
      </w:r>
      <w:r w:rsidR="001D1744">
        <w:rPr>
          <w:lang w:val="en-AU"/>
        </w:rPr>
        <w:fldChar w:fldCharType="separate"/>
      </w:r>
      <w:r w:rsidR="006C6F0B">
        <w:rPr>
          <w:lang w:val="en-AU"/>
        </w:rPr>
        <w:t>2.3</w:t>
      </w:r>
      <w:r w:rsidR="001D1744">
        <w:rPr>
          <w:lang w:val="en-AU"/>
        </w:rPr>
        <w:fldChar w:fldCharType="end"/>
      </w:r>
      <w:r>
        <w:rPr>
          <w:lang w:val="en-AU"/>
        </w:rPr>
        <w:t xml:space="preserve"> are set to facilitate developers and investors selecting attractive locations. </w:t>
      </w:r>
    </w:p>
    <w:p w:rsidR="000917E9" w:rsidRPr="00AA44FB" w:rsidRDefault="000917E9" w:rsidP="000917E9">
      <w:pPr>
        <w:rPr>
          <w:lang w:val="en-AU"/>
        </w:rPr>
      </w:pPr>
      <w:r w:rsidRPr="00FC5E27">
        <w:rPr>
          <w:lang w:val="en-AU"/>
        </w:rPr>
        <w:t>The geographic groupings used for pricing are relatively large and incorporate properties and locations with a diverse range of features, services and benefits. Proximity to transport, services and amenities are a few among many features that dr</w:t>
      </w:r>
      <w:r w:rsidRPr="0069103E">
        <w:rPr>
          <w:lang w:val="en-AU"/>
        </w:rPr>
        <w:t>ive property values and the value of a property to individual participants. As the market matures, participants will have the opportunity to choose properties and locations that best suit their needs, and the providers seeking sustainable long-term returns will need to be responsive to expressed preferences and choices. The Agency does not consider it appropriate to select on behalf of participants which of these features will be the most important, nor is there yet the evidence base to support a nationally</w:t>
      </w:r>
      <w:r w:rsidRPr="00AA44FB">
        <w:rPr>
          <w:lang w:val="en-AU"/>
        </w:rPr>
        <w:t xml:space="preserve"> consistent amenity loading.</w:t>
      </w:r>
    </w:p>
    <w:p w:rsidR="000917E9" w:rsidRPr="005C4E27" w:rsidRDefault="000917E9" w:rsidP="000917E9">
      <w:pPr>
        <w:rPr>
          <w:lang w:val="en-AU"/>
        </w:rPr>
      </w:pPr>
      <w:r w:rsidRPr="005C4E27">
        <w:rPr>
          <w:lang w:val="en-AU"/>
        </w:rPr>
        <w:lastRenderedPageBreak/>
        <w:t xml:space="preserve">As part of our ongoing review of market supply and demand, the Agency will monitor whether there is, or may be, any market failure in relation to features such as amenity. If feedback and evidence suggests that investors will not construct new properties in suitable locations, the Agency will consider whether an adjustment to prices would improve the supply and demand balance. </w:t>
      </w:r>
    </w:p>
    <w:p w:rsidR="000917E9" w:rsidRPr="005C4E27" w:rsidRDefault="000917E9" w:rsidP="000917E9">
      <w:pPr>
        <w:rPr>
          <w:lang w:val="en-AU"/>
        </w:rPr>
      </w:pPr>
      <w:r w:rsidRPr="005C4E27">
        <w:rPr>
          <w:lang w:val="en-AU"/>
        </w:rPr>
        <w:t xml:space="preserve">Prices are currently based on average costs across each geographic area and do not distinguish between individual locations within that geographic area. If prices are disaggregated in the future then any increase in prices for some locations would require a corresponding decrease in prices for other locations. </w:t>
      </w:r>
    </w:p>
    <w:p w:rsidR="000917E9" w:rsidRPr="005C4E27" w:rsidRDefault="000917E9" w:rsidP="00CB2072">
      <w:pPr>
        <w:pStyle w:val="Heading4"/>
        <w:keepNext/>
        <w:keepLines/>
        <w:ind w:left="720"/>
        <w:rPr>
          <w:lang w:val="en-AU"/>
        </w:rPr>
      </w:pPr>
      <w:r w:rsidRPr="005C4E27">
        <w:rPr>
          <w:lang w:val="en-AU"/>
        </w:rPr>
        <w:t>Innovation</w:t>
      </w:r>
    </w:p>
    <w:p w:rsidR="000917E9" w:rsidRPr="005C4E27" w:rsidRDefault="000917E9" w:rsidP="000917E9">
      <w:pPr>
        <w:rPr>
          <w:lang w:val="en-AU"/>
        </w:rPr>
      </w:pPr>
      <w:r w:rsidRPr="005C4E27">
        <w:rPr>
          <w:lang w:val="en-AU"/>
        </w:rPr>
        <w:t xml:space="preserve">In addition to pricing the majority of known SDA configurations, the Agency also seeks to enable and incentivise innovation in SDA design, and has included an innovation category to clearly communicate this intent. </w:t>
      </w:r>
    </w:p>
    <w:p w:rsidR="000917E9" w:rsidRPr="007B7D09" w:rsidRDefault="000917E9" w:rsidP="000917E9">
      <w:pPr>
        <w:rPr>
          <w:rFonts w:ascii="Calibri" w:eastAsiaTheme="minorHAnsi" w:hAnsi="Calibri"/>
          <w:szCs w:val="22"/>
          <w:lang w:val="en-AU" w:eastAsia="en-US"/>
        </w:rPr>
      </w:pPr>
      <w:r w:rsidRPr="009655D6">
        <w:rPr>
          <w:lang w:val="en-AU"/>
        </w:rPr>
        <w:t xml:space="preserve">The innovation category will be utilised when the Agency has an evidence base and the market evolves. </w:t>
      </w:r>
    </w:p>
    <w:p w:rsidR="000917E9" w:rsidRPr="009655D6" w:rsidRDefault="000917E9" w:rsidP="000917E9">
      <w:pPr>
        <w:rPr>
          <w:lang w:val="en-AU"/>
        </w:rPr>
      </w:pPr>
      <w:r w:rsidRPr="009655D6">
        <w:rPr>
          <w:lang w:val="en-AU"/>
        </w:rPr>
        <w:t>The NDIS I</w:t>
      </w:r>
      <w:r>
        <w:rPr>
          <w:lang w:val="en-AU"/>
        </w:rPr>
        <w:t>ndependent Advisory Council (I</w:t>
      </w:r>
      <w:r w:rsidRPr="009655D6">
        <w:rPr>
          <w:lang w:val="en-AU"/>
        </w:rPr>
        <w:t>AC</w:t>
      </w:r>
      <w:r>
        <w:rPr>
          <w:lang w:val="en-AU"/>
        </w:rPr>
        <w:t>)</w:t>
      </w:r>
      <w:r w:rsidRPr="009655D6">
        <w:rPr>
          <w:lang w:val="en-AU"/>
        </w:rPr>
        <w:t xml:space="preserve"> </w:t>
      </w:r>
      <w:r>
        <w:rPr>
          <w:lang w:val="en-AU"/>
        </w:rPr>
        <w:t xml:space="preserve">has formed a </w:t>
      </w:r>
      <w:r w:rsidRPr="009655D6">
        <w:rPr>
          <w:lang w:val="en-AU"/>
        </w:rPr>
        <w:t xml:space="preserve">Housing Innovation </w:t>
      </w:r>
      <w:r>
        <w:rPr>
          <w:lang w:val="en-AU"/>
        </w:rPr>
        <w:t xml:space="preserve">Reference </w:t>
      </w:r>
      <w:r w:rsidRPr="009655D6">
        <w:rPr>
          <w:lang w:val="en-AU"/>
        </w:rPr>
        <w:t>Group</w:t>
      </w:r>
      <w:r>
        <w:rPr>
          <w:lang w:val="en-AU"/>
        </w:rPr>
        <w:t>. This Group</w:t>
      </w:r>
      <w:r w:rsidRPr="009655D6">
        <w:rPr>
          <w:lang w:val="en-AU"/>
        </w:rPr>
        <w:t xml:space="preserve"> will assist in establishing this evidence base and with selecting innovative models including for: </w:t>
      </w:r>
    </w:p>
    <w:p w:rsidR="000917E9" w:rsidRPr="009655D6" w:rsidRDefault="00D778F1" w:rsidP="00D778F1">
      <w:pPr>
        <w:numPr>
          <w:ilvl w:val="0"/>
          <w:numId w:val="116"/>
        </w:numPr>
        <w:rPr>
          <w:lang w:val="en-AU"/>
        </w:rPr>
      </w:pPr>
      <w:r>
        <w:rPr>
          <w:lang w:val="en-AU"/>
        </w:rPr>
        <w:t>f</w:t>
      </w:r>
      <w:r w:rsidR="000917E9" w:rsidRPr="009655D6">
        <w:rPr>
          <w:lang w:val="en-AU"/>
        </w:rPr>
        <w:t>uture housing showcases</w:t>
      </w:r>
      <w:r>
        <w:rPr>
          <w:lang w:val="en-AU"/>
        </w:rPr>
        <w:t>;</w:t>
      </w:r>
    </w:p>
    <w:p w:rsidR="000917E9" w:rsidRPr="009655D6" w:rsidRDefault="00D778F1" w:rsidP="00D778F1">
      <w:pPr>
        <w:numPr>
          <w:ilvl w:val="0"/>
          <w:numId w:val="116"/>
        </w:numPr>
        <w:rPr>
          <w:lang w:val="en-AU"/>
        </w:rPr>
      </w:pPr>
      <w:r>
        <w:rPr>
          <w:lang w:val="en-AU"/>
        </w:rPr>
        <w:t>f</w:t>
      </w:r>
      <w:r w:rsidR="000917E9" w:rsidRPr="009655D6">
        <w:rPr>
          <w:lang w:val="en-AU"/>
        </w:rPr>
        <w:t>urther SDA Innovation Housing Pilots</w:t>
      </w:r>
      <w:r>
        <w:rPr>
          <w:lang w:val="en-AU"/>
        </w:rPr>
        <w:t>; and</w:t>
      </w:r>
    </w:p>
    <w:p w:rsidR="000917E9" w:rsidRPr="007B75B8" w:rsidRDefault="000917E9" w:rsidP="00D778F1">
      <w:pPr>
        <w:numPr>
          <w:ilvl w:val="0"/>
          <w:numId w:val="116"/>
        </w:numPr>
        <w:rPr>
          <w:lang w:val="en-AU"/>
        </w:rPr>
      </w:pPr>
      <w:r w:rsidRPr="007B75B8">
        <w:rPr>
          <w:lang w:val="en-AU"/>
        </w:rPr>
        <w:t xml:space="preserve">establishing new innovation categories which extend existing </w:t>
      </w:r>
      <w:r w:rsidR="007B75B8" w:rsidRPr="007B75B8">
        <w:rPr>
          <w:lang w:val="en-AU"/>
        </w:rPr>
        <w:t xml:space="preserve">categories in the </w:t>
      </w:r>
      <w:r w:rsidRPr="007B75B8">
        <w:rPr>
          <w:lang w:val="en-AU"/>
        </w:rPr>
        <w:t>pricing</w:t>
      </w:r>
      <w:r w:rsidR="007B75B8" w:rsidRPr="007B75B8">
        <w:rPr>
          <w:lang w:val="en-AU"/>
        </w:rPr>
        <w:t xml:space="preserve"> matrix.</w:t>
      </w:r>
    </w:p>
    <w:p w:rsidR="000917E9" w:rsidRPr="009655D6" w:rsidRDefault="000917E9" w:rsidP="000917E9">
      <w:pPr>
        <w:rPr>
          <w:lang w:val="en-AU"/>
        </w:rPr>
      </w:pPr>
      <w:r w:rsidRPr="009655D6">
        <w:rPr>
          <w:lang w:val="en-AU"/>
        </w:rPr>
        <w:t>Where innovative options demonstrate benefits to participants and/or reduce whole of package costs, the Agency may consider adding new design categories to the SDA Benchmark Prices to accommodate the innovative features of the property type and the associated costs</w:t>
      </w:r>
    </w:p>
    <w:p w:rsidR="000917E9" w:rsidRPr="009655D6" w:rsidRDefault="000917E9" w:rsidP="000917E9">
      <w:pPr>
        <w:rPr>
          <w:lang w:val="en-AU"/>
        </w:rPr>
      </w:pPr>
      <w:r w:rsidRPr="009655D6">
        <w:rPr>
          <w:lang w:val="en-AU"/>
        </w:rPr>
        <w:t>Over time, an evidence base will determine the approach to pricing for the innovation category.</w:t>
      </w:r>
    </w:p>
    <w:p w:rsidR="000917E9" w:rsidRPr="00DA1F62" w:rsidRDefault="000917E9" w:rsidP="000917E9">
      <w:pPr>
        <w:rPr>
          <w:lang w:val="en-AU"/>
        </w:rPr>
      </w:pPr>
    </w:p>
    <w:p w:rsidR="000917E9" w:rsidRPr="00DA1F62" w:rsidRDefault="000917E9" w:rsidP="000917E9">
      <w:pPr>
        <w:rPr>
          <w:lang w:val="en-AU"/>
        </w:rPr>
      </w:pPr>
    </w:p>
    <w:p w:rsidR="000917E9" w:rsidRPr="005C4E27" w:rsidRDefault="000917E9" w:rsidP="000917E9">
      <w:pPr>
        <w:rPr>
          <w:lang w:val="en-AU"/>
        </w:rPr>
        <w:sectPr w:rsidR="000917E9" w:rsidRPr="005C4E27" w:rsidSect="003C358D">
          <w:footerReference w:type="default" r:id="rId9"/>
          <w:footerReference w:type="first" r:id="rId10"/>
          <w:pgSz w:w="11906" w:h="16838"/>
          <w:pgMar w:top="1440" w:right="1440" w:bottom="1440" w:left="1440" w:header="708" w:footer="0" w:gutter="0"/>
          <w:pgNumType w:start="0"/>
          <w:cols w:space="708"/>
          <w:titlePg/>
          <w:docGrid w:linePitch="360"/>
        </w:sectPr>
      </w:pPr>
    </w:p>
    <w:p w:rsidR="000917E9" w:rsidRPr="00A23622" w:rsidRDefault="000917E9" w:rsidP="00A23622">
      <w:pPr>
        <w:pStyle w:val="Caption"/>
      </w:pPr>
      <w:bookmarkStart w:id="15" w:name="_Ref452552386"/>
      <w:r w:rsidRPr="00A23622">
        <w:lastRenderedPageBreak/>
        <w:t xml:space="preserve">Table </w:t>
      </w:r>
      <w:r w:rsidRPr="00A23622">
        <w:fldChar w:fldCharType="begin"/>
      </w:r>
      <w:r w:rsidRPr="00A23622">
        <w:instrText xml:space="preserve"> SEQ Table \* ARABIC </w:instrText>
      </w:r>
      <w:r w:rsidRPr="00A23622">
        <w:fldChar w:fldCharType="separate"/>
      </w:r>
      <w:r w:rsidR="006C6F0B">
        <w:rPr>
          <w:noProof/>
        </w:rPr>
        <w:t>1</w:t>
      </w:r>
      <w:r w:rsidRPr="00A23622">
        <w:fldChar w:fldCharType="end"/>
      </w:r>
      <w:bookmarkEnd w:id="15"/>
      <w:r w:rsidRPr="00A23622">
        <w:t xml:space="preserve">: ANNUAL Base price per participant for </w:t>
      </w:r>
      <w:r w:rsidRPr="00F948BF">
        <w:rPr>
          <w:u w:val="single"/>
        </w:rPr>
        <w:t>NEW BUILDS</w:t>
      </w:r>
      <w:r w:rsidRPr="00A23622">
        <w:t xml:space="preserve">, excluding reasonable rent contribution ($2016/17) </w:t>
      </w:r>
    </w:p>
    <w:tbl>
      <w:tblPr>
        <w:tblW w:w="13876" w:type="dxa"/>
        <w:tblBorders>
          <w:insideH w:val="single" w:sz="4" w:space="0" w:color="7030A0"/>
          <w:insideV w:val="single" w:sz="4" w:space="0" w:color="7030A0"/>
        </w:tblBorders>
        <w:tblCellMar>
          <w:left w:w="57" w:type="dxa"/>
          <w:right w:w="57" w:type="dxa"/>
        </w:tblCellMar>
        <w:tblLook w:val="04A0" w:firstRow="1" w:lastRow="0" w:firstColumn="1" w:lastColumn="0" w:noHBand="0" w:noVBand="1"/>
      </w:tblPr>
      <w:tblGrid>
        <w:gridCol w:w="3143"/>
        <w:gridCol w:w="1036"/>
        <w:gridCol w:w="940"/>
        <w:gridCol w:w="940"/>
        <w:gridCol w:w="940"/>
        <w:gridCol w:w="940"/>
        <w:gridCol w:w="940"/>
        <w:gridCol w:w="940"/>
        <w:gridCol w:w="938"/>
        <w:gridCol w:w="940"/>
        <w:gridCol w:w="950"/>
        <w:gridCol w:w="1229"/>
      </w:tblGrid>
      <w:tr w:rsidR="000917E9" w:rsidRPr="005C4E27" w:rsidTr="00717425">
        <w:trPr>
          <w:trHeight w:val="334"/>
        </w:trPr>
        <w:tc>
          <w:tcPr>
            <w:tcW w:w="3143" w:type="dxa"/>
            <w:vMerge w:val="restart"/>
            <w:tcBorders>
              <w:top w:val="single" w:sz="4" w:space="0" w:color="7030A0"/>
              <w:left w:val="single" w:sz="4" w:space="0" w:color="7030A0"/>
              <w:bottom w:val="single" w:sz="4" w:space="0" w:color="7030A0"/>
              <w:right w:val="single" w:sz="4" w:space="0" w:color="FFFFFF" w:themeColor="background1"/>
            </w:tcBorders>
            <w:shd w:val="clear" w:color="auto" w:fill="7030A0"/>
            <w:noWrap/>
            <w:vAlign w:val="center"/>
            <w:hideMark/>
          </w:tcPr>
          <w:p w:rsidR="000917E9" w:rsidRPr="001A4824" w:rsidRDefault="000917E9" w:rsidP="00717425">
            <w:pPr>
              <w:spacing w:after="0" w:line="240" w:lineRule="auto"/>
              <w:rPr>
                <w:rFonts w:eastAsia="Times New Roman" w:cs="Arial"/>
                <w:b/>
                <w:color w:val="FFFFFF" w:themeColor="background1"/>
                <w:sz w:val="18"/>
                <w:szCs w:val="18"/>
                <w:lang w:val="en-AU" w:eastAsia="en-AU"/>
              </w:rPr>
            </w:pPr>
            <w:r w:rsidRPr="001A4824">
              <w:rPr>
                <w:rFonts w:eastAsia="Times New Roman" w:cs="Arial"/>
                <w:b/>
                <w:color w:val="FFFFFF" w:themeColor="background1"/>
                <w:sz w:val="18"/>
                <w:szCs w:val="18"/>
                <w:lang w:val="en-AU" w:eastAsia="en-AU"/>
              </w:rPr>
              <w:t>Building type / design category</w:t>
            </w:r>
          </w:p>
        </w:tc>
        <w:tc>
          <w:tcPr>
            <w:tcW w:w="1036" w:type="dxa"/>
            <w:vMerge w:val="restart"/>
            <w:tcBorders>
              <w:top w:val="single" w:sz="4" w:space="0" w:color="7030A0"/>
              <w:left w:val="single" w:sz="4" w:space="0" w:color="FFFFFF" w:themeColor="background1"/>
              <w:bottom w:val="single" w:sz="4" w:space="0" w:color="7030A0"/>
              <w:right w:val="single" w:sz="4" w:space="0" w:color="FFFFFF" w:themeColor="background1"/>
            </w:tcBorders>
            <w:shd w:val="clear" w:color="auto" w:fill="7030A0"/>
            <w:vAlign w:val="center"/>
          </w:tcPr>
          <w:p w:rsidR="000917E9" w:rsidRPr="001A4824" w:rsidRDefault="000917E9" w:rsidP="00717425">
            <w:pPr>
              <w:spacing w:after="0" w:line="240" w:lineRule="auto"/>
              <w:jc w:val="center"/>
              <w:rPr>
                <w:rFonts w:eastAsia="Times New Roman" w:cs="Arial"/>
                <w:b/>
                <w:color w:val="FFFFFF" w:themeColor="background1"/>
                <w:sz w:val="18"/>
                <w:szCs w:val="18"/>
                <w:lang w:val="en-AU" w:eastAsia="en-AU"/>
              </w:rPr>
            </w:pPr>
            <w:r w:rsidRPr="001A4824">
              <w:rPr>
                <w:rFonts w:eastAsia="Times New Roman" w:cs="Arial"/>
                <w:b/>
                <w:color w:val="FFFFFF" w:themeColor="background1"/>
                <w:sz w:val="18"/>
                <w:szCs w:val="18"/>
                <w:lang w:val="en-AU" w:eastAsia="en-AU"/>
              </w:rPr>
              <w:t>Basic</w:t>
            </w:r>
          </w:p>
        </w:tc>
        <w:tc>
          <w:tcPr>
            <w:tcW w:w="1880"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0917E9" w:rsidRPr="001A4824" w:rsidRDefault="000917E9" w:rsidP="00717425">
            <w:pPr>
              <w:spacing w:after="0" w:line="240" w:lineRule="auto"/>
              <w:jc w:val="center"/>
              <w:rPr>
                <w:rFonts w:eastAsia="Times New Roman" w:cs="Arial"/>
                <w:b/>
                <w:color w:val="FFFFFF" w:themeColor="background1"/>
                <w:sz w:val="18"/>
                <w:szCs w:val="18"/>
                <w:lang w:val="en-AU" w:eastAsia="en-AU"/>
              </w:rPr>
            </w:pPr>
            <w:r w:rsidRPr="001A4824">
              <w:rPr>
                <w:rFonts w:eastAsia="Times New Roman" w:cs="Arial"/>
                <w:b/>
                <w:color w:val="FFFFFF" w:themeColor="background1"/>
                <w:sz w:val="18"/>
                <w:szCs w:val="18"/>
                <w:lang w:val="en-AU" w:eastAsia="en-AU"/>
              </w:rPr>
              <w:t>Improved Livability</w:t>
            </w:r>
          </w:p>
        </w:tc>
        <w:tc>
          <w:tcPr>
            <w:tcW w:w="1880"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0917E9" w:rsidRPr="001A4824" w:rsidRDefault="000917E9" w:rsidP="00717425">
            <w:pPr>
              <w:spacing w:after="0" w:line="240" w:lineRule="auto"/>
              <w:jc w:val="center"/>
              <w:rPr>
                <w:rFonts w:eastAsia="Times New Roman" w:cs="Arial"/>
                <w:b/>
                <w:color w:val="FFFFFF" w:themeColor="background1"/>
                <w:sz w:val="18"/>
                <w:szCs w:val="18"/>
                <w:lang w:val="en-AU" w:eastAsia="en-AU"/>
              </w:rPr>
            </w:pPr>
            <w:r w:rsidRPr="001A4824">
              <w:rPr>
                <w:rFonts w:eastAsia="Times New Roman" w:cs="Arial"/>
                <w:b/>
                <w:color w:val="FFFFFF" w:themeColor="background1"/>
                <w:sz w:val="18"/>
                <w:szCs w:val="18"/>
                <w:lang w:val="en-AU" w:eastAsia="en-AU"/>
              </w:rPr>
              <w:t xml:space="preserve">Fully </w:t>
            </w:r>
            <w:r>
              <w:rPr>
                <w:rFonts w:eastAsia="Times New Roman" w:cs="Arial"/>
                <w:b/>
                <w:color w:val="FFFFFF" w:themeColor="background1"/>
                <w:sz w:val="18"/>
                <w:szCs w:val="18"/>
                <w:lang w:val="en-AU" w:eastAsia="en-AU"/>
              </w:rPr>
              <w:t>A</w:t>
            </w:r>
            <w:r w:rsidRPr="001A4824">
              <w:rPr>
                <w:rFonts w:eastAsia="Times New Roman" w:cs="Arial"/>
                <w:b/>
                <w:color w:val="FFFFFF" w:themeColor="background1"/>
                <w:sz w:val="18"/>
                <w:szCs w:val="18"/>
                <w:lang w:val="en-AU" w:eastAsia="en-AU"/>
              </w:rPr>
              <w:t>ccessible</w:t>
            </w:r>
          </w:p>
        </w:tc>
        <w:tc>
          <w:tcPr>
            <w:tcW w:w="2818" w:type="dxa"/>
            <w:gridSpan w:val="3"/>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0917E9" w:rsidRPr="001A4824" w:rsidRDefault="000917E9" w:rsidP="00717425">
            <w:pPr>
              <w:spacing w:after="0" w:line="240" w:lineRule="auto"/>
              <w:jc w:val="center"/>
              <w:rPr>
                <w:rFonts w:eastAsia="Times New Roman" w:cs="Arial"/>
                <w:b/>
                <w:color w:val="FFFFFF" w:themeColor="background1"/>
                <w:sz w:val="18"/>
                <w:szCs w:val="18"/>
                <w:lang w:val="en-AU" w:eastAsia="en-AU"/>
              </w:rPr>
            </w:pPr>
            <w:r w:rsidRPr="001A4824">
              <w:rPr>
                <w:rFonts w:eastAsia="Times New Roman" w:cs="Arial"/>
                <w:b/>
                <w:color w:val="FFFFFF" w:themeColor="background1"/>
                <w:sz w:val="18"/>
                <w:szCs w:val="18"/>
                <w:lang w:val="en-AU" w:eastAsia="en-AU"/>
              </w:rPr>
              <w:t>Robust</w:t>
            </w:r>
          </w:p>
        </w:tc>
        <w:tc>
          <w:tcPr>
            <w:tcW w:w="1890"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0917E9" w:rsidRPr="001A4824" w:rsidRDefault="000917E9" w:rsidP="00717425">
            <w:pPr>
              <w:spacing w:after="0" w:line="240" w:lineRule="auto"/>
              <w:jc w:val="center"/>
              <w:rPr>
                <w:rFonts w:eastAsia="Times New Roman" w:cs="Arial"/>
                <w:b/>
                <w:color w:val="FFFFFF" w:themeColor="background1"/>
                <w:sz w:val="18"/>
                <w:szCs w:val="18"/>
                <w:lang w:val="en-AU" w:eastAsia="en-AU"/>
              </w:rPr>
            </w:pPr>
            <w:r w:rsidRPr="001A4824">
              <w:rPr>
                <w:rFonts w:eastAsia="Times New Roman" w:cs="Arial"/>
                <w:b/>
                <w:color w:val="FFFFFF" w:themeColor="background1"/>
                <w:sz w:val="18"/>
                <w:szCs w:val="18"/>
                <w:lang w:val="en-AU" w:eastAsia="en-AU"/>
              </w:rPr>
              <w:t xml:space="preserve">High </w:t>
            </w:r>
            <w:r>
              <w:rPr>
                <w:rFonts w:eastAsia="Times New Roman" w:cs="Arial"/>
                <w:b/>
                <w:color w:val="FFFFFF" w:themeColor="background1"/>
                <w:sz w:val="18"/>
                <w:szCs w:val="18"/>
                <w:lang w:val="en-AU" w:eastAsia="en-AU"/>
              </w:rPr>
              <w:t>P</w:t>
            </w:r>
            <w:r w:rsidRPr="001A4824">
              <w:rPr>
                <w:rFonts w:eastAsia="Times New Roman" w:cs="Arial"/>
                <w:b/>
                <w:color w:val="FFFFFF" w:themeColor="background1"/>
                <w:sz w:val="18"/>
                <w:szCs w:val="18"/>
                <w:lang w:val="en-AU" w:eastAsia="en-AU"/>
              </w:rPr>
              <w:t xml:space="preserve">hysical </w:t>
            </w:r>
            <w:r>
              <w:rPr>
                <w:rFonts w:eastAsia="Times New Roman" w:cs="Arial"/>
                <w:b/>
                <w:color w:val="FFFFFF" w:themeColor="background1"/>
                <w:sz w:val="18"/>
                <w:szCs w:val="18"/>
                <w:lang w:val="en-AU" w:eastAsia="en-AU"/>
              </w:rPr>
              <w:t>S</w:t>
            </w:r>
            <w:r w:rsidRPr="001A4824">
              <w:rPr>
                <w:rFonts w:eastAsia="Times New Roman" w:cs="Arial"/>
                <w:b/>
                <w:color w:val="FFFFFF" w:themeColor="background1"/>
                <w:sz w:val="18"/>
                <w:szCs w:val="18"/>
                <w:lang w:val="en-AU" w:eastAsia="en-AU"/>
              </w:rPr>
              <w:t>upport</w:t>
            </w:r>
          </w:p>
        </w:tc>
        <w:tc>
          <w:tcPr>
            <w:tcW w:w="1229" w:type="dxa"/>
            <w:vMerge w:val="restart"/>
            <w:tcBorders>
              <w:top w:val="single" w:sz="4" w:space="0" w:color="7030A0"/>
              <w:left w:val="single" w:sz="4" w:space="0" w:color="FFFFFF" w:themeColor="background1"/>
              <w:bottom w:val="single" w:sz="4" w:space="0" w:color="7030A0"/>
              <w:right w:val="single" w:sz="4" w:space="0" w:color="7030A0"/>
            </w:tcBorders>
            <w:shd w:val="clear" w:color="auto" w:fill="7030A0"/>
            <w:noWrap/>
            <w:vAlign w:val="center"/>
            <w:hideMark/>
          </w:tcPr>
          <w:p w:rsidR="000917E9" w:rsidRPr="001A4824" w:rsidRDefault="000917E9" w:rsidP="00717425">
            <w:pPr>
              <w:spacing w:after="0" w:line="240" w:lineRule="auto"/>
              <w:jc w:val="center"/>
              <w:rPr>
                <w:rFonts w:eastAsia="Times New Roman" w:cs="Arial"/>
                <w:b/>
                <w:color w:val="FFFFFF" w:themeColor="background1"/>
                <w:sz w:val="18"/>
                <w:szCs w:val="18"/>
                <w:lang w:val="en-AU" w:eastAsia="en-AU"/>
              </w:rPr>
            </w:pPr>
            <w:r w:rsidRPr="001A4824">
              <w:rPr>
                <w:rFonts w:eastAsia="Times New Roman" w:cs="Arial"/>
                <w:b/>
                <w:color w:val="FFFFFF" w:themeColor="background1"/>
                <w:sz w:val="18"/>
                <w:szCs w:val="18"/>
                <w:lang w:val="en-AU" w:eastAsia="en-AU"/>
              </w:rPr>
              <w:t>Innovation</w:t>
            </w:r>
          </w:p>
        </w:tc>
      </w:tr>
      <w:tr w:rsidR="000917E9" w:rsidRPr="005C4E27" w:rsidTr="00717425">
        <w:trPr>
          <w:trHeight w:val="334"/>
        </w:trPr>
        <w:tc>
          <w:tcPr>
            <w:tcW w:w="3143" w:type="dxa"/>
            <w:vMerge/>
            <w:tcBorders>
              <w:top w:val="single" w:sz="4" w:space="0" w:color="7030A0"/>
              <w:left w:val="single" w:sz="4" w:space="0" w:color="7030A0"/>
              <w:bottom w:val="single" w:sz="4" w:space="0" w:color="7030A0"/>
              <w:right w:val="single" w:sz="4" w:space="0" w:color="FFFFFF" w:themeColor="background1"/>
            </w:tcBorders>
            <w:shd w:val="clear" w:color="auto" w:fill="auto"/>
            <w:noWrap/>
            <w:vAlign w:val="bottom"/>
            <w:hideMark/>
          </w:tcPr>
          <w:p w:rsidR="000917E9" w:rsidRPr="005C4E27" w:rsidRDefault="000917E9" w:rsidP="00717425">
            <w:pPr>
              <w:spacing w:after="0" w:line="240" w:lineRule="auto"/>
              <w:rPr>
                <w:rFonts w:eastAsia="Times New Roman" w:cs="Arial"/>
                <w:color w:val="000000"/>
                <w:sz w:val="18"/>
                <w:szCs w:val="18"/>
                <w:lang w:val="en-AU" w:eastAsia="en-AU"/>
              </w:rPr>
            </w:pPr>
          </w:p>
        </w:tc>
        <w:tc>
          <w:tcPr>
            <w:tcW w:w="1036" w:type="dxa"/>
            <w:vMerge/>
            <w:tcBorders>
              <w:top w:val="single" w:sz="4" w:space="0" w:color="FFFFFF" w:themeColor="background1"/>
              <w:left w:val="single" w:sz="4" w:space="0" w:color="FFFFFF" w:themeColor="background1"/>
              <w:bottom w:val="single" w:sz="4" w:space="0" w:color="7030A0"/>
              <w:right w:val="single" w:sz="4" w:space="0" w:color="FFFFFF" w:themeColor="background1"/>
            </w:tcBorders>
          </w:tcPr>
          <w:p w:rsidR="000917E9" w:rsidRPr="005C4E27" w:rsidRDefault="000917E9" w:rsidP="00717425">
            <w:pPr>
              <w:spacing w:after="0" w:line="240" w:lineRule="auto"/>
              <w:jc w:val="center"/>
              <w:rPr>
                <w:rFonts w:eastAsia="Times New Roman" w:cs="Arial"/>
                <w:color w:val="000000"/>
                <w:sz w:val="18"/>
                <w:szCs w:val="18"/>
                <w:lang w:val="en-AU" w:eastAsia="en-AU"/>
              </w:rPr>
            </w:pP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No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With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No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With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No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With OOA</w:t>
            </w:r>
          </w:p>
        </w:tc>
        <w:tc>
          <w:tcPr>
            <w:tcW w:w="938"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+1 Room</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No OOA</w:t>
            </w:r>
          </w:p>
        </w:tc>
        <w:tc>
          <w:tcPr>
            <w:tcW w:w="95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With OOA</w:t>
            </w:r>
          </w:p>
        </w:tc>
        <w:tc>
          <w:tcPr>
            <w:tcW w:w="1229" w:type="dxa"/>
            <w:vMerge/>
            <w:tcBorders>
              <w:top w:val="single" w:sz="4" w:space="0" w:color="FFFFFF" w:themeColor="background1"/>
              <w:left w:val="single" w:sz="4" w:space="0" w:color="FFFFFF" w:themeColor="background1"/>
              <w:bottom w:val="single" w:sz="4" w:space="0" w:color="7030A0"/>
              <w:right w:val="single" w:sz="4" w:space="0" w:color="7030A0"/>
            </w:tcBorders>
            <w:shd w:val="clear" w:color="auto" w:fill="7030A0"/>
            <w:noWrap/>
            <w:vAlign w:val="bottom"/>
            <w:hideMark/>
          </w:tcPr>
          <w:p w:rsidR="000917E9" w:rsidRPr="005C4E27" w:rsidRDefault="000917E9" w:rsidP="00717425">
            <w:pPr>
              <w:spacing w:after="0" w:line="240" w:lineRule="auto"/>
              <w:rPr>
                <w:rFonts w:eastAsia="Times New Roman" w:cs="Arial"/>
                <w:color w:val="FFFFFF" w:themeColor="background1"/>
                <w:sz w:val="18"/>
                <w:szCs w:val="18"/>
                <w:lang w:val="en-AU" w:eastAsia="en-AU"/>
              </w:rPr>
            </w:pPr>
          </w:p>
        </w:tc>
      </w:tr>
      <w:tr w:rsidR="000917E9" w:rsidRPr="005C4E27" w:rsidTr="00717425">
        <w:trPr>
          <w:trHeight w:val="334"/>
        </w:trPr>
        <w:tc>
          <w:tcPr>
            <w:tcW w:w="3143" w:type="dxa"/>
            <w:tcBorders>
              <w:top w:val="single" w:sz="4" w:space="0" w:color="7030A0"/>
              <w:left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Apartment, 1 bedroom, 1 resident</w:t>
            </w:r>
          </w:p>
        </w:tc>
        <w:tc>
          <w:tcPr>
            <w:tcW w:w="1036" w:type="dxa"/>
            <w:tcBorders>
              <w:top w:val="single" w:sz="4" w:space="0" w:color="7030A0"/>
              <w:bottom w:val="single" w:sz="4" w:space="0" w:color="7030A0"/>
            </w:tcBorders>
          </w:tcPr>
          <w:p w:rsidR="000917E9" w:rsidRPr="004C01F6" w:rsidRDefault="000917E9" w:rsidP="00717425">
            <w:pPr>
              <w:spacing w:after="0"/>
              <w:jc w:val="center"/>
              <w:rPr>
                <w:rFonts w:cs="Arial"/>
                <w:sz w:val="18"/>
                <w:szCs w:val="18"/>
                <w:lang w:val="en-AU"/>
              </w:rPr>
            </w:pPr>
            <w:r w:rsidRPr="004C01F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$33,784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$39,415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$47,884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$55,865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$72,353</w:t>
            </w:r>
          </w:p>
        </w:tc>
        <w:tc>
          <w:tcPr>
            <w:tcW w:w="95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$84,412</w:t>
            </w:r>
          </w:p>
        </w:tc>
        <w:tc>
          <w:tcPr>
            <w:tcW w:w="1229" w:type="dxa"/>
            <w:vMerge w:val="restart"/>
            <w:tcBorders>
              <w:top w:val="single" w:sz="4" w:space="0" w:color="7030A0"/>
              <w:bottom w:val="single" w:sz="4" w:space="0" w:color="7030A0"/>
              <w:right w:val="single" w:sz="4" w:space="0" w:color="7030A0"/>
            </w:tcBorders>
            <w:shd w:val="clear" w:color="auto" w:fill="auto"/>
            <w:vAlign w:val="center"/>
          </w:tcPr>
          <w:p w:rsidR="000917E9" w:rsidRPr="00DA1F62" w:rsidRDefault="000917E9" w:rsidP="00717425">
            <w:pPr>
              <w:spacing w:after="0" w:line="240" w:lineRule="auto"/>
              <w:jc w:val="center"/>
              <w:rPr>
                <w:rFonts w:eastAsia="Times New Roman" w:cs="Arial"/>
                <w:color w:val="000000"/>
                <w:sz w:val="18"/>
                <w:szCs w:val="18"/>
                <w:lang w:val="en-AU" w:eastAsia="en-AU"/>
              </w:rPr>
            </w:pPr>
            <w:r w:rsidRPr="004C01F6">
              <w:rPr>
                <w:rFonts w:eastAsia="Times New Roman" w:cs="Arial"/>
                <w:color w:val="000000"/>
                <w:sz w:val="18"/>
                <w:szCs w:val="18"/>
                <w:lang w:val="en-AU" w:eastAsia="en-AU"/>
              </w:rPr>
              <w:t>Funded as trials</w:t>
            </w:r>
            <w:r w:rsidRPr="00DA1F62">
              <w:rPr>
                <w:rFonts w:eastAsia="Times New Roman" w:cs="Arial"/>
                <w:color w:val="000000"/>
                <w:sz w:val="18"/>
                <w:szCs w:val="18"/>
                <w:lang w:val="en-AU" w:eastAsia="en-AU"/>
              </w:rPr>
              <w:t xml:space="preserve"> and/or new design categories added over time. </w:t>
            </w:r>
          </w:p>
        </w:tc>
      </w:tr>
      <w:tr w:rsidR="000917E9" w:rsidRPr="005C4E27" w:rsidTr="00717425">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Apartment, 2 bedrooms, 1 resident</w:t>
            </w:r>
          </w:p>
        </w:tc>
        <w:tc>
          <w:tcPr>
            <w:tcW w:w="1036" w:type="dxa"/>
            <w:tcBorders>
              <w:top w:val="single" w:sz="4" w:space="0" w:color="7030A0"/>
              <w:bottom w:val="single" w:sz="4" w:space="0" w:color="7030A0"/>
            </w:tcBorders>
          </w:tcPr>
          <w:p w:rsidR="000917E9" w:rsidRPr="004C01F6" w:rsidRDefault="000917E9" w:rsidP="00717425">
            <w:pPr>
              <w:spacing w:after="0"/>
              <w:jc w:val="center"/>
              <w:rPr>
                <w:rFonts w:cs="Arial"/>
                <w:sz w:val="18"/>
                <w:szCs w:val="18"/>
                <w:lang w:val="en-AU"/>
              </w:rPr>
            </w:pPr>
            <w:r w:rsidRPr="004C01F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$40,222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$46,926</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$58,139</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$67,829</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$90,026</w:t>
            </w:r>
          </w:p>
        </w:tc>
        <w:tc>
          <w:tcPr>
            <w:tcW w:w="950" w:type="dxa"/>
            <w:tcBorders>
              <w:top w:val="single" w:sz="4" w:space="0" w:color="7030A0"/>
              <w:bottom w:val="single" w:sz="4" w:space="0" w:color="7030A0"/>
            </w:tcBorders>
            <w:shd w:val="clear" w:color="auto" w:fill="auto"/>
            <w:noWrap/>
            <w:vAlign w:val="center"/>
          </w:tcPr>
          <w:p w:rsidR="000917E9" w:rsidRPr="007B7D09" w:rsidRDefault="000917E9" w:rsidP="004E3115">
            <w:pPr>
              <w:spacing w:after="0"/>
              <w:jc w:val="center"/>
              <w:rPr>
                <w:rFonts w:cs="Arial"/>
                <w:sz w:val="18"/>
                <w:szCs w:val="18"/>
                <w:lang w:val="en-AU"/>
              </w:rPr>
            </w:pPr>
            <w:r w:rsidRPr="009655D6">
              <w:rPr>
                <w:rFonts w:cs="Arial"/>
                <w:sz w:val="18"/>
                <w:szCs w:val="18"/>
                <w:lang w:val="en-AU"/>
              </w:rPr>
              <w:t>$</w:t>
            </w:r>
            <w:r w:rsidR="00F948BF">
              <w:rPr>
                <w:rFonts w:cs="Arial"/>
                <w:sz w:val="18"/>
                <w:szCs w:val="18"/>
                <w:lang w:val="en-AU"/>
              </w:rPr>
              <w:t>10</w:t>
            </w:r>
            <w:r w:rsidRPr="009655D6">
              <w:rPr>
                <w:rFonts w:cs="Arial"/>
                <w:sz w:val="18"/>
                <w:szCs w:val="18"/>
                <w:lang w:val="en-AU"/>
              </w:rPr>
              <w:t>5,030</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asciiTheme="minorHAnsi" w:eastAsia="Times New Roman" w:hAnsiTheme="minorHAnsi" w:cs="Times New Roman"/>
                <w:color w:val="000000"/>
                <w:sz w:val="20"/>
                <w:szCs w:val="20"/>
                <w:lang w:val="en-AU" w:eastAsia="en-AU"/>
              </w:rPr>
            </w:pPr>
          </w:p>
        </w:tc>
      </w:tr>
      <w:tr w:rsidR="000917E9" w:rsidRPr="005C4E27" w:rsidTr="00717425">
        <w:trPr>
          <w:trHeight w:val="334"/>
        </w:trPr>
        <w:tc>
          <w:tcPr>
            <w:tcW w:w="3143" w:type="dxa"/>
            <w:tcBorders>
              <w:top w:val="single" w:sz="4" w:space="0" w:color="7030A0"/>
              <w:left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Apartment, 3 bedrooms, 2 residents</w:t>
            </w:r>
          </w:p>
        </w:tc>
        <w:tc>
          <w:tcPr>
            <w:tcW w:w="1036" w:type="dxa"/>
            <w:tcBorders>
              <w:top w:val="single" w:sz="4" w:space="0" w:color="7030A0"/>
              <w:bottom w:val="single" w:sz="4" w:space="0" w:color="7030A0"/>
            </w:tcBorders>
          </w:tcPr>
          <w:p w:rsidR="000917E9" w:rsidRPr="004C01F6" w:rsidRDefault="000917E9" w:rsidP="00717425">
            <w:pPr>
              <w:spacing w:after="0"/>
              <w:jc w:val="center"/>
              <w:rPr>
                <w:rFonts w:cs="Arial"/>
                <w:sz w:val="18"/>
                <w:szCs w:val="18"/>
                <w:lang w:val="en-AU"/>
              </w:rPr>
            </w:pPr>
            <w:r w:rsidRPr="004C01F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$20,996</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$24,496</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$32,882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$38,362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$55,050</w:t>
            </w:r>
          </w:p>
        </w:tc>
        <w:tc>
          <w:tcPr>
            <w:tcW w:w="95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$64,225</w:t>
            </w:r>
          </w:p>
        </w:tc>
        <w:tc>
          <w:tcPr>
            <w:tcW w:w="1229" w:type="dxa"/>
            <w:vMerge/>
            <w:tcBorders>
              <w:top w:val="single" w:sz="4" w:space="0" w:color="7030A0"/>
              <w:bottom w:val="single" w:sz="4" w:space="0" w:color="7030A0"/>
              <w:right w:val="single" w:sz="4" w:space="0" w:color="7030A0"/>
            </w:tcBorders>
            <w:shd w:val="clear" w:color="auto" w:fill="auto"/>
            <w:vAlign w:val="center"/>
          </w:tcPr>
          <w:p w:rsidR="000917E9" w:rsidRPr="005C4E27" w:rsidRDefault="000917E9" w:rsidP="00717425">
            <w:pPr>
              <w:spacing w:after="0" w:line="240" w:lineRule="auto"/>
              <w:rPr>
                <w:rFonts w:asciiTheme="minorHAnsi" w:eastAsia="Times New Roman" w:hAnsiTheme="minorHAnsi" w:cs="Times New Roman"/>
                <w:color w:val="000000"/>
                <w:sz w:val="20"/>
                <w:szCs w:val="20"/>
                <w:lang w:val="en-AU" w:eastAsia="en-AU"/>
              </w:rPr>
            </w:pPr>
          </w:p>
        </w:tc>
      </w:tr>
      <w:tr w:rsidR="000917E9" w:rsidRPr="005C4E27" w:rsidTr="00717425">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4C01F6"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Villa, 1 bedr</w:t>
            </w:r>
            <w:r w:rsidRPr="004C01F6">
              <w:rPr>
                <w:rFonts w:eastAsia="Times New Roman" w:cs="Arial"/>
                <w:color w:val="000000"/>
                <w:sz w:val="18"/>
                <w:szCs w:val="18"/>
                <w:lang w:val="en-AU" w:eastAsia="en-AU"/>
              </w:rPr>
              <w:t>ooms, 1 resident</w:t>
            </w:r>
          </w:p>
        </w:tc>
        <w:tc>
          <w:tcPr>
            <w:tcW w:w="1036" w:type="dxa"/>
            <w:tcBorders>
              <w:top w:val="single" w:sz="4" w:space="0" w:color="7030A0"/>
              <w:bottom w:val="single" w:sz="4" w:space="0" w:color="7030A0"/>
            </w:tcBorders>
          </w:tcPr>
          <w:p w:rsidR="000917E9" w:rsidRPr="00DA1F62" w:rsidRDefault="000917E9" w:rsidP="00717425">
            <w:pPr>
              <w:spacing w:after="0"/>
              <w:jc w:val="center"/>
              <w:rPr>
                <w:rFonts w:cs="Arial"/>
                <w:sz w:val="18"/>
                <w:szCs w:val="18"/>
                <w:lang w:val="en-AU"/>
              </w:rPr>
            </w:pPr>
            <w:r w:rsidRPr="00DA1F62">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$23,794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$26,316</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$32,522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$35,699</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$38,805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$42,756</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$49,660</w:t>
            </w:r>
          </w:p>
        </w:tc>
        <w:tc>
          <w:tcPr>
            <w:tcW w:w="95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$53,841</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rPr>
                <w:rFonts w:asciiTheme="minorHAnsi" w:eastAsia="Times New Roman" w:hAnsiTheme="minorHAnsi" w:cs="Times New Roman"/>
                <w:color w:val="000000"/>
                <w:sz w:val="20"/>
                <w:szCs w:val="20"/>
                <w:lang w:val="en-AU" w:eastAsia="en-AU"/>
              </w:rPr>
            </w:pPr>
          </w:p>
        </w:tc>
      </w:tr>
      <w:tr w:rsidR="000917E9" w:rsidRPr="005C4E27" w:rsidTr="00717425">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Duplex</w:t>
            </w:r>
            <w:r>
              <w:rPr>
                <w:rFonts w:eastAsia="Times New Roman" w:cs="Arial"/>
                <w:color w:val="000000"/>
                <w:sz w:val="18"/>
                <w:szCs w:val="18"/>
                <w:lang w:val="en-AU" w:eastAsia="en-AU"/>
              </w:rPr>
              <w:t xml:space="preserve"> </w:t>
            </w:r>
            <w:r w:rsidRPr="007B7D09">
              <w:rPr>
                <w:rFonts w:eastAsia="Times New Roman" w:cs="Arial"/>
                <w:color w:val="000000"/>
                <w:sz w:val="18"/>
                <w:szCs w:val="18"/>
                <w:lang w:val="en-AU" w:eastAsia="en-AU"/>
              </w:rPr>
              <w:t>/</w:t>
            </w:r>
            <w:r>
              <w:rPr>
                <w:rFonts w:eastAsia="Times New Roman" w:cs="Arial"/>
                <w:color w:val="000000"/>
                <w:sz w:val="18"/>
                <w:szCs w:val="18"/>
                <w:lang w:val="en-AU" w:eastAsia="en-AU"/>
              </w:rPr>
              <w:t xml:space="preserve"> T</w:t>
            </w:r>
            <w:r w:rsidRPr="007B7D09">
              <w:rPr>
                <w:rFonts w:eastAsia="Times New Roman" w:cs="Arial"/>
                <w:color w:val="000000"/>
                <w:sz w:val="18"/>
                <w:szCs w:val="18"/>
                <w:lang w:val="en-AU" w:eastAsia="en-AU"/>
              </w:rPr>
              <w:t>ownhouse, 2 residents</w:t>
            </w:r>
          </w:p>
        </w:tc>
        <w:tc>
          <w:tcPr>
            <w:tcW w:w="1036" w:type="dxa"/>
            <w:tcBorders>
              <w:top w:val="single" w:sz="4" w:space="0" w:color="7030A0"/>
              <w:bottom w:val="single" w:sz="4" w:space="0" w:color="7030A0"/>
            </w:tcBorders>
          </w:tcPr>
          <w:p w:rsidR="000917E9" w:rsidRPr="004C01F6" w:rsidRDefault="000917E9" w:rsidP="00717425">
            <w:pPr>
              <w:spacing w:after="0"/>
              <w:jc w:val="center"/>
              <w:rPr>
                <w:rFonts w:cs="Arial"/>
                <w:sz w:val="18"/>
                <w:szCs w:val="18"/>
                <w:lang w:val="en-AU"/>
              </w:rPr>
            </w:pPr>
            <w:r w:rsidRPr="004C01F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$14,893</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$16,077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$20,116</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$21,659</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$24,317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$26,222</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+$1,602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$31,847</w:t>
            </w:r>
          </w:p>
        </w:tc>
        <w:tc>
          <w:tcPr>
            <w:tcW w:w="95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$33,858</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rPr>
                <w:rFonts w:asciiTheme="minorHAnsi" w:eastAsia="Times New Roman" w:hAnsiTheme="minorHAnsi" w:cs="Times New Roman"/>
                <w:color w:val="000000"/>
                <w:sz w:val="20"/>
                <w:szCs w:val="20"/>
                <w:lang w:val="en-AU" w:eastAsia="en-AU"/>
              </w:rPr>
            </w:pPr>
          </w:p>
        </w:tc>
      </w:tr>
      <w:tr w:rsidR="000917E9" w:rsidRPr="005C4E27" w:rsidTr="00717425">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Duplex</w:t>
            </w:r>
            <w:r>
              <w:rPr>
                <w:rFonts w:eastAsia="Times New Roman" w:cs="Arial"/>
                <w:color w:val="000000"/>
                <w:sz w:val="18"/>
                <w:szCs w:val="18"/>
                <w:lang w:val="en-AU" w:eastAsia="en-AU"/>
              </w:rPr>
              <w:t xml:space="preserve"> </w:t>
            </w:r>
            <w:r w:rsidRPr="007B7D09">
              <w:rPr>
                <w:rFonts w:eastAsia="Times New Roman" w:cs="Arial"/>
                <w:color w:val="000000"/>
                <w:sz w:val="18"/>
                <w:szCs w:val="18"/>
                <w:lang w:val="en-AU" w:eastAsia="en-AU"/>
              </w:rPr>
              <w:t>/</w:t>
            </w:r>
            <w:r>
              <w:rPr>
                <w:rFonts w:eastAsia="Times New Roman" w:cs="Arial"/>
                <w:color w:val="000000"/>
                <w:sz w:val="18"/>
                <w:szCs w:val="18"/>
                <w:lang w:val="en-AU" w:eastAsia="en-AU"/>
              </w:rPr>
              <w:t xml:space="preserve"> T</w:t>
            </w:r>
            <w:r w:rsidRPr="007B7D09">
              <w:rPr>
                <w:rFonts w:eastAsia="Times New Roman" w:cs="Arial"/>
                <w:color w:val="000000"/>
                <w:sz w:val="18"/>
                <w:szCs w:val="18"/>
                <w:lang w:val="en-AU" w:eastAsia="en-AU"/>
              </w:rPr>
              <w:t>ownhouse, 3 residents</w:t>
            </w:r>
          </w:p>
        </w:tc>
        <w:tc>
          <w:tcPr>
            <w:tcW w:w="1036" w:type="dxa"/>
            <w:tcBorders>
              <w:top w:val="single" w:sz="4" w:space="0" w:color="7030A0"/>
              <w:bottom w:val="single" w:sz="4" w:space="0" w:color="7030A0"/>
            </w:tcBorders>
          </w:tcPr>
          <w:p w:rsidR="000917E9" w:rsidRPr="004C01F6" w:rsidRDefault="000917E9" w:rsidP="00717425">
            <w:pPr>
              <w:spacing w:after="0"/>
              <w:jc w:val="center"/>
              <w:rPr>
                <w:rFonts w:cs="Arial"/>
                <w:sz w:val="18"/>
                <w:szCs w:val="18"/>
                <w:lang w:val="en-AU"/>
              </w:rPr>
            </w:pPr>
            <w:r w:rsidRPr="004C01F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$12,164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$12,970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$16,968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$18,000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$20,931</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$22,200</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+$1,068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$27,930</w:t>
            </w:r>
          </w:p>
        </w:tc>
        <w:tc>
          <w:tcPr>
            <w:tcW w:w="95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$29,269</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rPr>
                <w:rFonts w:asciiTheme="minorHAnsi" w:eastAsia="Times New Roman" w:hAnsiTheme="minorHAnsi" w:cs="Times New Roman"/>
                <w:color w:val="000000"/>
                <w:sz w:val="20"/>
                <w:szCs w:val="20"/>
                <w:lang w:val="en-AU" w:eastAsia="en-AU"/>
              </w:rPr>
            </w:pPr>
          </w:p>
        </w:tc>
      </w:tr>
      <w:tr w:rsidR="000917E9" w:rsidRPr="005C4E27" w:rsidTr="00717425">
        <w:trPr>
          <w:trHeight w:val="334"/>
        </w:trPr>
        <w:tc>
          <w:tcPr>
            <w:tcW w:w="3143" w:type="dxa"/>
            <w:tcBorders>
              <w:top w:val="single" w:sz="4" w:space="0" w:color="7030A0"/>
              <w:left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House, 2 residents</w:t>
            </w:r>
          </w:p>
        </w:tc>
        <w:tc>
          <w:tcPr>
            <w:tcW w:w="1036" w:type="dxa"/>
            <w:tcBorders>
              <w:top w:val="single" w:sz="4" w:space="0" w:color="7030A0"/>
              <w:bottom w:val="single" w:sz="4" w:space="0" w:color="7030A0"/>
            </w:tcBorders>
          </w:tcPr>
          <w:p w:rsidR="000917E9" w:rsidRPr="004C01F6" w:rsidRDefault="000917E9" w:rsidP="00717425">
            <w:pPr>
              <w:spacing w:after="0"/>
              <w:jc w:val="center"/>
              <w:rPr>
                <w:rFonts w:cs="Arial"/>
                <w:sz w:val="18"/>
                <w:szCs w:val="18"/>
                <w:lang w:val="en-AU"/>
              </w:rPr>
            </w:pPr>
            <w:r w:rsidRPr="004C01F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$21,749</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$22,934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$26,992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$28,535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$31,727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$33,632</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+$1,602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$39,305</w:t>
            </w:r>
          </w:p>
        </w:tc>
        <w:tc>
          <w:tcPr>
            <w:tcW w:w="95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$41,316</w:t>
            </w:r>
          </w:p>
        </w:tc>
        <w:tc>
          <w:tcPr>
            <w:tcW w:w="1229" w:type="dxa"/>
            <w:vMerge/>
            <w:tcBorders>
              <w:top w:val="single" w:sz="4" w:space="0" w:color="7030A0"/>
              <w:bottom w:val="single" w:sz="4" w:space="0" w:color="7030A0"/>
              <w:right w:val="single" w:sz="4" w:space="0" w:color="7030A0"/>
            </w:tcBorders>
            <w:shd w:val="clear" w:color="auto" w:fill="auto"/>
            <w:vAlign w:val="center"/>
          </w:tcPr>
          <w:p w:rsidR="000917E9" w:rsidRPr="005C4E27" w:rsidRDefault="000917E9" w:rsidP="00717425">
            <w:pPr>
              <w:spacing w:after="0" w:line="240" w:lineRule="auto"/>
              <w:rPr>
                <w:rFonts w:asciiTheme="minorHAnsi" w:eastAsia="Times New Roman" w:hAnsiTheme="minorHAnsi" w:cs="Times New Roman"/>
                <w:color w:val="000000"/>
                <w:sz w:val="20"/>
                <w:szCs w:val="20"/>
                <w:lang w:val="en-AU" w:eastAsia="en-AU"/>
              </w:rPr>
            </w:pPr>
          </w:p>
        </w:tc>
      </w:tr>
      <w:tr w:rsidR="000917E9" w:rsidRPr="005C4E27" w:rsidTr="00717425">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House, 3 residents</w:t>
            </w:r>
          </w:p>
        </w:tc>
        <w:tc>
          <w:tcPr>
            <w:tcW w:w="1036" w:type="dxa"/>
            <w:tcBorders>
              <w:top w:val="single" w:sz="4" w:space="0" w:color="7030A0"/>
              <w:bottom w:val="single" w:sz="4" w:space="0" w:color="7030A0"/>
            </w:tcBorders>
          </w:tcPr>
          <w:p w:rsidR="000917E9" w:rsidRPr="004C01F6" w:rsidRDefault="000917E9" w:rsidP="00717425">
            <w:pPr>
              <w:spacing w:after="0"/>
              <w:jc w:val="center"/>
              <w:rPr>
                <w:rFonts w:cs="Arial"/>
                <w:sz w:val="18"/>
                <w:szCs w:val="18"/>
                <w:lang w:val="en-AU"/>
              </w:rPr>
            </w:pPr>
            <w:r w:rsidRPr="004C01F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$17,094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$17,997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$22,445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$23,601</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$26,656</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$28,059</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+$1,180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$36,880</w:t>
            </w:r>
          </w:p>
        </w:tc>
        <w:tc>
          <w:tcPr>
            <w:tcW w:w="95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$38,500</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rPr>
                <w:rFonts w:asciiTheme="minorHAnsi" w:eastAsia="Times New Roman" w:hAnsiTheme="minorHAnsi" w:cs="Times New Roman"/>
                <w:color w:val="000000"/>
                <w:sz w:val="20"/>
                <w:szCs w:val="20"/>
                <w:lang w:val="en-AU" w:eastAsia="en-AU"/>
              </w:rPr>
            </w:pPr>
          </w:p>
        </w:tc>
      </w:tr>
      <w:tr w:rsidR="000917E9" w:rsidRPr="005C4E27" w:rsidTr="00717425">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4C01F6"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 xml:space="preserve">Group </w:t>
            </w:r>
            <w:r>
              <w:rPr>
                <w:rFonts w:eastAsia="Times New Roman" w:cs="Arial"/>
                <w:color w:val="000000"/>
                <w:sz w:val="18"/>
                <w:szCs w:val="18"/>
                <w:lang w:val="en-AU" w:eastAsia="en-AU"/>
              </w:rPr>
              <w:t>home</w:t>
            </w:r>
            <w:r w:rsidRPr="007B7D09">
              <w:rPr>
                <w:rFonts w:eastAsia="Times New Roman" w:cs="Arial"/>
                <w:color w:val="000000"/>
                <w:sz w:val="18"/>
                <w:szCs w:val="18"/>
                <w:lang w:val="en-AU" w:eastAsia="en-AU"/>
              </w:rPr>
              <w:t>, 4 r</w:t>
            </w:r>
            <w:r w:rsidRPr="004C01F6">
              <w:rPr>
                <w:rFonts w:eastAsia="Times New Roman" w:cs="Arial"/>
                <w:color w:val="000000"/>
                <w:sz w:val="18"/>
                <w:szCs w:val="18"/>
                <w:lang w:val="en-AU" w:eastAsia="en-AU"/>
              </w:rPr>
              <w:t>esidents</w:t>
            </w:r>
          </w:p>
        </w:tc>
        <w:tc>
          <w:tcPr>
            <w:tcW w:w="1036" w:type="dxa"/>
            <w:tcBorders>
              <w:top w:val="single" w:sz="4" w:space="0" w:color="7030A0"/>
              <w:bottom w:val="single" w:sz="4" w:space="0" w:color="7030A0"/>
            </w:tcBorders>
          </w:tcPr>
          <w:p w:rsidR="000917E9" w:rsidRPr="00DA1F62" w:rsidRDefault="000917E9" w:rsidP="00717425">
            <w:pPr>
              <w:spacing w:after="0"/>
              <w:jc w:val="center"/>
              <w:rPr>
                <w:rFonts w:cs="Arial"/>
                <w:sz w:val="18"/>
                <w:szCs w:val="18"/>
                <w:lang w:val="en-AU"/>
              </w:rPr>
            </w:pPr>
            <w:r w:rsidRPr="00DA1F62">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$15,064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$15,742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$19,926</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$20,808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$23,900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$24,963</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+$894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$33,135</w:t>
            </w:r>
          </w:p>
        </w:tc>
        <w:tc>
          <w:tcPr>
            <w:tcW w:w="95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$34,355</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rPr>
                <w:rFonts w:asciiTheme="minorHAnsi" w:eastAsia="Times New Roman" w:hAnsiTheme="minorHAnsi" w:cs="Times New Roman"/>
                <w:color w:val="000000"/>
                <w:sz w:val="20"/>
                <w:szCs w:val="20"/>
                <w:lang w:val="en-AU" w:eastAsia="en-AU"/>
              </w:rPr>
            </w:pPr>
          </w:p>
        </w:tc>
      </w:tr>
      <w:tr w:rsidR="000917E9" w:rsidRPr="005C4E27" w:rsidTr="00717425">
        <w:trPr>
          <w:trHeight w:val="334"/>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 xml:space="preserve">Group </w:t>
            </w:r>
            <w:r>
              <w:rPr>
                <w:rFonts w:eastAsia="Times New Roman" w:cs="Arial"/>
                <w:color w:val="000000"/>
                <w:sz w:val="18"/>
                <w:szCs w:val="18"/>
                <w:lang w:val="en-AU" w:eastAsia="en-AU"/>
              </w:rPr>
              <w:t>home</w:t>
            </w:r>
            <w:r w:rsidRPr="007B7D09">
              <w:rPr>
                <w:rFonts w:eastAsia="Times New Roman" w:cs="Arial"/>
                <w:color w:val="000000"/>
                <w:sz w:val="18"/>
                <w:szCs w:val="18"/>
                <w:lang w:val="en-AU" w:eastAsia="en-AU"/>
              </w:rPr>
              <w:t>, 5 residents</w:t>
            </w:r>
          </w:p>
        </w:tc>
        <w:tc>
          <w:tcPr>
            <w:tcW w:w="1036" w:type="dxa"/>
            <w:tcBorders>
              <w:top w:val="single" w:sz="4" w:space="0" w:color="7030A0"/>
              <w:bottom w:val="single" w:sz="4" w:space="0" w:color="7030A0"/>
            </w:tcBorders>
          </w:tcPr>
          <w:p w:rsidR="000917E9" w:rsidRPr="004C01F6" w:rsidRDefault="000917E9" w:rsidP="00717425">
            <w:pPr>
              <w:spacing w:after="0"/>
              <w:jc w:val="center"/>
              <w:rPr>
                <w:rFonts w:cs="Arial"/>
                <w:sz w:val="18"/>
                <w:szCs w:val="18"/>
                <w:lang w:val="en-AU"/>
              </w:rPr>
            </w:pPr>
            <w:r w:rsidRPr="004C01F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$12,730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$13,285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$17,424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$18,123</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$20,974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$21,814</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+$706</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$29,551</w:t>
            </w:r>
          </w:p>
        </w:tc>
        <w:tc>
          <w:tcPr>
            <w:tcW w:w="95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$30,512</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rPr>
                <w:rFonts w:asciiTheme="minorHAnsi" w:eastAsia="Times New Roman" w:hAnsiTheme="minorHAnsi" w:cs="Times New Roman"/>
                <w:color w:val="000000"/>
                <w:sz w:val="20"/>
                <w:szCs w:val="20"/>
                <w:lang w:val="en-AU" w:eastAsia="en-AU"/>
              </w:rPr>
            </w:pPr>
          </w:p>
        </w:tc>
      </w:tr>
    </w:tbl>
    <w:p w:rsidR="000917E9" w:rsidRPr="007B7D09" w:rsidRDefault="000917E9" w:rsidP="000917E9">
      <w:pPr>
        <w:spacing w:after="0"/>
        <w:rPr>
          <w:sz w:val="20"/>
          <w:szCs w:val="20"/>
          <w:lang w:val="en-AU"/>
        </w:rPr>
      </w:pPr>
    </w:p>
    <w:p w:rsidR="000917E9" w:rsidRPr="004C01F6" w:rsidRDefault="000917E9" w:rsidP="000917E9">
      <w:pPr>
        <w:spacing w:after="0"/>
        <w:rPr>
          <w:sz w:val="18"/>
          <w:lang w:val="en-AU"/>
        </w:rPr>
      </w:pPr>
      <w:r w:rsidRPr="004C01F6">
        <w:rPr>
          <w:sz w:val="18"/>
          <w:lang w:val="en-AU"/>
        </w:rPr>
        <w:t>OOA</w:t>
      </w:r>
      <w:r w:rsidRPr="004C01F6">
        <w:rPr>
          <w:sz w:val="18"/>
          <w:lang w:val="en-AU"/>
        </w:rPr>
        <w:tab/>
      </w:r>
      <w:r w:rsidRPr="004C01F6">
        <w:rPr>
          <w:sz w:val="18"/>
          <w:lang w:val="en-AU"/>
        </w:rPr>
        <w:tab/>
        <w:t>On-site overnight assistance</w:t>
      </w:r>
    </w:p>
    <w:p w:rsidR="000917E9" w:rsidRPr="00DA1F62" w:rsidRDefault="000917E9" w:rsidP="000917E9">
      <w:pPr>
        <w:spacing w:after="0"/>
        <w:rPr>
          <w:sz w:val="18"/>
          <w:lang w:val="en-AU"/>
        </w:rPr>
      </w:pPr>
      <w:r w:rsidRPr="00DA1F62">
        <w:rPr>
          <w:sz w:val="18"/>
          <w:lang w:val="en-AU"/>
        </w:rPr>
        <w:t>+1 Room</w:t>
      </w:r>
      <w:r w:rsidRPr="00DA1F62">
        <w:rPr>
          <w:sz w:val="18"/>
          <w:lang w:val="en-AU"/>
        </w:rPr>
        <w:tab/>
        <w:t>Additional breakout room</w:t>
      </w:r>
    </w:p>
    <w:p w:rsidR="000917E9" w:rsidRPr="005B1B19" w:rsidRDefault="000917E9" w:rsidP="000917E9">
      <w:pPr>
        <w:spacing w:before="120" w:after="120"/>
        <w:rPr>
          <w:rFonts w:asciiTheme="minorHAnsi" w:eastAsiaTheme="minorHAnsi" w:hAnsiTheme="minorHAnsi"/>
          <w:b/>
          <w:sz w:val="18"/>
          <w:szCs w:val="18"/>
          <w:lang w:val="en-AU" w:eastAsia="en-US"/>
        </w:rPr>
      </w:pPr>
      <w:r w:rsidRPr="00294EE7">
        <w:rPr>
          <w:b/>
          <w:sz w:val="18"/>
          <w:szCs w:val="18"/>
          <w:lang w:val="en-AU"/>
        </w:rPr>
        <w:t>Location</w:t>
      </w:r>
    </w:p>
    <w:p w:rsidR="000917E9" w:rsidRPr="007B7D09" w:rsidRDefault="000917E9" w:rsidP="000917E9">
      <w:pPr>
        <w:spacing w:after="120"/>
        <w:rPr>
          <w:sz w:val="18"/>
          <w:szCs w:val="18"/>
          <w:lang w:val="en-AU"/>
        </w:rPr>
      </w:pPr>
      <w:r w:rsidRPr="005B1B19">
        <w:rPr>
          <w:sz w:val="18"/>
          <w:szCs w:val="18"/>
          <w:lang w:val="en-AU"/>
        </w:rPr>
        <w:t xml:space="preserve">All prices must be multiplied by the location factor relevant to the property’s location – see </w:t>
      </w:r>
      <w:r>
        <w:rPr>
          <w:sz w:val="18"/>
          <w:szCs w:val="18"/>
          <w:lang w:val="en-AU"/>
        </w:rPr>
        <w:t xml:space="preserve">Appendix 2 </w:t>
      </w:r>
      <w:r w:rsidRPr="007B7D09">
        <w:rPr>
          <w:sz w:val="18"/>
          <w:szCs w:val="18"/>
          <w:lang w:val="en-AU"/>
        </w:rPr>
        <w:t xml:space="preserve">for location factors. </w:t>
      </w:r>
    </w:p>
    <w:p w:rsidR="00F948BF" w:rsidRPr="00F948BF" w:rsidRDefault="00F948BF" w:rsidP="00F948BF">
      <w:pPr>
        <w:spacing w:after="0"/>
        <w:rPr>
          <w:b/>
          <w:sz w:val="18"/>
          <w:szCs w:val="18"/>
          <w:lang w:val="en-AU"/>
        </w:rPr>
      </w:pPr>
      <w:r w:rsidRPr="00F948BF">
        <w:rPr>
          <w:b/>
          <w:sz w:val="18"/>
          <w:szCs w:val="18"/>
          <w:lang w:val="en-AU"/>
        </w:rPr>
        <w:t xml:space="preserve">Allowance </w:t>
      </w:r>
    </w:p>
    <w:p w:rsidR="00F948BF" w:rsidRDefault="00F948BF" w:rsidP="00F948BF">
      <w:pPr>
        <w:spacing w:after="0"/>
        <w:rPr>
          <w:sz w:val="18"/>
          <w:szCs w:val="18"/>
          <w:lang w:val="en-AU"/>
        </w:rPr>
      </w:pPr>
    </w:p>
    <w:p w:rsidR="000917E9" w:rsidRPr="00DA1F62" w:rsidRDefault="000917E9" w:rsidP="00F948BF">
      <w:pPr>
        <w:spacing w:after="0"/>
        <w:rPr>
          <w:sz w:val="18"/>
          <w:szCs w:val="18"/>
          <w:lang w:val="en-AU"/>
        </w:rPr>
      </w:pPr>
      <w:r w:rsidRPr="00DA1F62">
        <w:rPr>
          <w:sz w:val="18"/>
          <w:szCs w:val="18"/>
          <w:lang w:val="en-AU"/>
        </w:rPr>
        <w:t xml:space="preserve">Fire </w:t>
      </w:r>
      <w:r w:rsidR="00A96331">
        <w:rPr>
          <w:sz w:val="18"/>
          <w:szCs w:val="18"/>
          <w:lang w:val="en-AU"/>
        </w:rPr>
        <w:t>Sprinkler</w:t>
      </w:r>
      <w:r w:rsidRPr="00DA1F62">
        <w:rPr>
          <w:sz w:val="18"/>
          <w:szCs w:val="18"/>
          <w:lang w:val="en-AU"/>
        </w:rPr>
        <w:t xml:space="preserve"> </w:t>
      </w:r>
      <w:r w:rsidR="00A96331">
        <w:rPr>
          <w:sz w:val="18"/>
          <w:szCs w:val="18"/>
          <w:lang w:val="en-AU"/>
        </w:rPr>
        <w:t>A</w:t>
      </w:r>
      <w:r w:rsidRPr="00DA1F62">
        <w:rPr>
          <w:sz w:val="18"/>
          <w:szCs w:val="18"/>
          <w:lang w:val="en-AU"/>
        </w:rPr>
        <w:t>llowance (</w:t>
      </w:r>
      <w:r w:rsidR="000F451B">
        <w:rPr>
          <w:sz w:val="18"/>
          <w:szCs w:val="18"/>
          <w:lang w:val="en-AU"/>
        </w:rPr>
        <w:t>+</w:t>
      </w:r>
      <w:r w:rsidRPr="00DA1F62">
        <w:rPr>
          <w:sz w:val="18"/>
          <w:szCs w:val="18"/>
          <w:lang w:val="en-AU"/>
        </w:rPr>
        <w:t xml:space="preserve">1.2% for apartments and </w:t>
      </w:r>
      <w:r w:rsidR="000F451B">
        <w:rPr>
          <w:sz w:val="18"/>
          <w:szCs w:val="18"/>
          <w:lang w:val="en-AU"/>
        </w:rPr>
        <w:t>+</w:t>
      </w:r>
      <w:r w:rsidRPr="00DA1F62">
        <w:rPr>
          <w:sz w:val="18"/>
          <w:szCs w:val="18"/>
          <w:lang w:val="en-AU"/>
        </w:rPr>
        <w:t>1.9% for other building types)</w:t>
      </w:r>
    </w:p>
    <w:p w:rsidR="00826382" w:rsidRDefault="00826382" w:rsidP="000917E9">
      <w:pPr>
        <w:spacing w:after="0"/>
        <w:ind w:left="142"/>
        <w:rPr>
          <w:sz w:val="18"/>
          <w:szCs w:val="18"/>
          <w:lang w:val="en-AU"/>
        </w:rPr>
      </w:pPr>
    </w:p>
    <w:p w:rsidR="00D36A7C" w:rsidRDefault="00D36A7C">
      <w:pPr>
        <w:spacing w:line="276" w:lineRule="auto"/>
        <w:rPr>
          <w:b/>
          <w:bCs/>
          <w:caps/>
          <w:sz w:val="16"/>
          <w:szCs w:val="18"/>
          <w:lang w:val="en-AU"/>
        </w:rPr>
      </w:pPr>
      <w:r>
        <w:rPr>
          <w:lang w:val="en-AU"/>
        </w:rPr>
        <w:br w:type="page"/>
      </w:r>
    </w:p>
    <w:p w:rsidR="000917E9" w:rsidRPr="00E93D6A" w:rsidRDefault="000917E9" w:rsidP="000917E9">
      <w:pPr>
        <w:pStyle w:val="Caption"/>
        <w:rPr>
          <w:rFonts w:asciiTheme="minorHAnsi" w:hAnsiTheme="minorHAnsi"/>
          <w:sz w:val="20"/>
          <w:szCs w:val="20"/>
          <w:lang w:val="en-AU"/>
        </w:rPr>
      </w:pPr>
      <w:bookmarkStart w:id="16" w:name="_Ref452552390"/>
      <w:r w:rsidRPr="00CD197F">
        <w:rPr>
          <w:lang w:val="en-AU"/>
        </w:rPr>
        <w:lastRenderedPageBreak/>
        <w:t xml:space="preserve">Table </w:t>
      </w:r>
      <w:r w:rsidRPr="00ED4EE8">
        <w:rPr>
          <w:lang w:val="en-AU"/>
        </w:rPr>
        <w:fldChar w:fldCharType="begin"/>
      </w:r>
      <w:r w:rsidRPr="005C4E27">
        <w:rPr>
          <w:lang w:val="en-AU"/>
        </w:rPr>
        <w:instrText xml:space="preserve"> SEQ Table \* ARABIC </w:instrText>
      </w:r>
      <w:r w:rsidRPr="00ED4EE8">
        <w:rPr>
          <w:lang w:val="en-AU"/>
        </w:rPr>
        <w:fldChar w:fldCharType="separate"/>
      </w:r>
      <w:r w:rsidR="006C6F0B">
        <w:rPr>
          <w:noProof/>
          <w:lang w:val="en-AU"/>
        </w:rPr>
        <w:t>2</w:t>
      </w:r>
      <w:r w:rsidRPr="00ED4EE8">
        <w:rPr>
          <w:lang w:val="en-AU"/>
        </w:rPr>
        <w:fldChar w:fldCharType="end"/>
      </w:r>
      <w:bookmarkEnd w:id="16"/>
      <w:r>
        <w:rPr>
          <w:lang w:val="en-AU"/>
        </w:rPr>
        <w:t xml:space="preserve">: </w:t>
      </w:r>
      <w:r w:rsidRPr="00CD197F">
        <w:rPr>
          <w:lang w:val="en-AU"/>
        </w:rPr>
        <w:t xml:space="preserve">ANNUAL Base price per participant for </w:t>
      </w:r>
      <w:r w:rsidRPr="00F948BF">
        <w:rPr>
          <w:u w:val="single"/>
          <w:lang w:val="en-AU"/>
        </w:rPr>
        <w:t>EXISTING STOCK</w:t>
      </w:r>
      <w:r w:rsidRPr="00CD197F">
        <w:rPr>
          <w:lang w:val="en-AU"/>
        </w:rPr>
        <w:t>, excluding reasonable rent contribution ($</w:t>
      </w:r>
      <w:r w:rsidRPr="00E93D6A">
        <w:rPr>
          <w:lang w:val="en-AU"/>
        </w:rPr>
        <w:t>2016/17)</w:t>
      </w:r>
    </w:p>
    <w:tbl>
      <w:tblPr>
        <w:tblW w:w="13948" w:type="dxa"/>
        <w:tblBorders>
          <w:insideH w:val="single" w:sz="4" w:space="0" w:color="7030A0"/>
          <w:insideV w:val="single" w:sz="4" w:space="0" w:color="7030A0"/>
        </w:tblBorders>
        <w:tblLook w:val="04A0" w:firstRow="1" w:lastRow="0" w:firstColumn="1" w:lastColumn="0" w:noHBand="0" w:noVBand="1"/>
      </w:tblPr>
      <w:tblGrid>
        <w:gridCol w:w="3241"/>
        <w:gridCol w:w="867"/>
        <w:gridCol w:w="937"/>
        <w:gridCol w:w="937"/>
        <w:gridCol w:w="938"/>
        <w:gridCol w:w="1011"/>
        <w:gridCol w:w="867"/>
        <w:gridCol w:w="938"/>
        <w:gridCol w:w="1079"/>
        <w:gridCol w:w="938"/>
        <w:gridCol w:w="867"/>
        <w:gridCol w:w="1328"/>
      </w:tblGrid>
      <w:tr w:rsidR="000917E9" w:rsidRPr="005C4E27" w:rsidTr="00717425">
        <w:trPr>
          <w:trHeight w:val="334"/>
        </w:trPr>
        <w:tc>
          <w:tcPr>
            <w:tcW w:w="3241" w:type="dxa"/>
            <w:vMerge w:val="restart"/>
            <w:tcBorders>
              <w:top w:val="single" w:sz="4" w:space="0" w:color="7030A0"/>
              <w:left w:val="single" w:sz="4" w:space="0" w:color="7030A0"/>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rPr>
                <w:rFonts w:eastAsia="Times New Roman" w:cs="Arial"/>
                <w:b/>
                <w:color w:val="FFFFFF" w:themeColor="background1"/>
                <w:sz w:val="18"/>
                <w:szCs w:val="18"/>
                <w:lang w:val="en-AU" w:eastAsia="en-AU"/>
              </w:rPr>
            </w:pPr>
            <w:r w:rsidRPr="00E93D6A">
              <w:rPr>
                <w:rFonts w:eastAsia="Times New Roman" w:cs="Arial"/>
                <w:b/>
                <w:color w:val="FFFFFF" w:themeColor="background1"/>
                <w:sz w:val="18"/>
                <w:szCs w:val="18"/>
                <w:lang w:val="en-AU" w:eastAsia="en-AU"/>
              </w:rPr>
              <w:t>Building type / design category</w:t>
            </w:r>
          </w:p>
        </w:tc>
        <w:tc>
          <w:tcPr>
            <w:tcW w:w="867" w:type="dxa"/>
            <w:vMerge w:val="restart"/>
            <w:tcBorders>
              <w:top w:val="single" w:sz="4" w:space="0" w:color="7030A0"/>
              <w:left w:val="single" w:sz="4" w:space="0" w:color="FFFFFF" w:themeColor="background1"/>
              <w:bottom w:val="single" w:sz="4" w:space="0" w:color="7030A0"/>
              <w:right w:val="single" w:sz="4" w:space="0" w:color="FFFFFF" w:themeColor="background1"/>
            </w:tcBorders>
            <w:shd w:val="clear" w:color="auto" w:fill="7030A0"/>
            <w:vAlign w:val="center"/>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Basic</w:t>
            </w:r>
          </w:p>
        </w:tc>
        <w:tc>
          <w:tcPr>
            <w:tcW w:w="1874"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Improved Livability</w:t>
            </w:r>
          </w:p>
        </w:tc>
        <w:tc>
          <w:tcPr>
            <w:tcW w:w="1949"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0917E9" w:rsidRPr="00CD197F"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 xml:space="preserve">Fully </w:t>
            </w:r>
            <w:r>
              <w:rPr>
                <w:rFonts w:eastAsia="Times New Roman" w:cs="Arial"/>
                <w:b/>
                <w:color w:val="FFFFFF" w:themeColor="background1"/>
                <w:sz w:val="18"/>
                <w:szCs w:val="18"/>
                <w:lang w:val="en-AU" w:eastAsia="en-AU"/>
              </w:rPr>
              <w:t>A</w:t>
            </w:r>
            <w:r w:rsidRPr="00CD197F">
              <w:rPr>
                <w:rFonts w:eastAsia="Times New Roman" w:cs="Arial"/>
                <w:b/>
                <w:color w:val="FFFFFF" w:themeColor="background1"/>
                <w:sz w:val="18"/>
                <w:szCs w:val="18"/>
                <w:lang w:val="en-AU" w:eastAsia="en-AU"/>
              </w:rPr>
              <w:t>ccessible</w:t>
            </w:r>
          </w:p>
        </w:tc>
        <w:tc>
          <w:tcPr>
            <w:tcW w:w="2884" w:type="dxa"/>
            <w:gridSpan w:val="3"/>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Robust</w:t>
            </w:r>
          </w:p>
        </w:tc>
        <w:tc>
          <w:tcPr>
            <w:tcW w:w="1805"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0917E9" w:rsidRPr="001A4824"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 xml:space="preserve">High </w:t>
            </w:r>
            <w:r>
              <w:rPr>
                <w:rFonts w:eastAsia="Times New Roman" w:cs="Arial"/>
                <w:b/>
                <w:color w:val="FFFFFF" w:themeColor="background1"/>
                <w:sz w:val="18"/>
                <w:szCs w:val="18"/>
                <w:lang w:val="en-AU" w:eastAsia="en-AU"/>
              </w:rPr>
              <w:t>P</w:t>
            </w:r>
            <w:r w:rsidRPr="001A4824">
              <w:rPr>
                <w:rFonts w:eastAsia="Times New Roman" w:cs="Arial"/>
                <w:b/>
                <w:color w:val="FFFFFF" w:themeColor="background1"/>
                <w:sz w:val="18"/>
                <w:szCs w:val="18"/>
                <w:lang w:val="en-AU" w:eastAsia="en-AU"/>
              </w:rPr>
              <w:t xml:space="preserve">hysical </w:t>
            </w:r>
            <w:r>
              <w:rPr>
                <w:rFonts w:eastAsia="Times New Roman" w:cs="Arial"/>
                <w:b/>
                <w:color w:val="FFFFFF" w:themeColor="background1"/>
                <w:sz w:val="18"/>
                <w:szCs w:val="18"/>
                <w:lang w:val="en-AU" w:eastAsia="en-AU"/>
              </w:rPr>
              <w:t>S</w:t>
            </w:r>
            <w:r w:rsidRPr="001A4824">
              <w:rPr>
                <w:rFonts w:eastAsia="Times New Roman" w:cs="Arial"/>
                <w:b/>
                <w:color w:val="FFFFFF" w:themeColor="background1"/>
                <w:sz w:val="18"/>
                <w:szCs w:val="18"/>
                <w:lang w:val="en-AU" w:eastAsia="en-AU"/>
              </w:rPr>
              <w:t>upport</w:t>
            </w:r>
          </w:p>
        </w:tc>
        <w:tc>
          <w:tcPr>
            <w:tcW w:w="1328" w:type="dxa"/>
            <w:vMerge w:val="restart"/>
            <w:tcBorders>
              <w:top w:val="single" w:sz="4" w:space="0" w:color="7030A0"/>
              <w:left w:val="single" w:sz="4" w:space="0" w:color="FFFFFF" w:themeColor="background1"/>
              <w:bottom w:val="single" w:sz="4" w:space="0" w:color="7030A0"/>
              <w:right w:val="single" w:sz="4" w:space="0" w:color="7030A0"/>
            </w:tcBorders>
            <w:shd w:val="clear" w:color="auto" w:fill="7030A0"/>
            <w:noWrap/>
            <w:vAlign w:val="center"/>
            <w:hideMark/>
          </w:tcPr>
          <w:p w:rsidR="000917E9" w:rsidRPr="001A4824" w:rsidRDefault="000917E9" w:rsidP="00717425">
            <w:pPr>
              <w:spacing w:after="0" w:line="240" w:lineRule="auto"/>
              <w:jc w:val="center"/>
              <w:rPr>
                <w:rFonts w:eastAsia="Times New Roman" w:cs="Arial"/>
                <w:b/>
                <w:color w:val="FFFFFF" w:themeColor="background1"/>
                <w:sz w:val="18"/>
                <w:szCs w:val="18"/>
                <w:lang w:val="en-AU" w:eastAsia="en-AU"/>
              </w:rPr>
            </w:pPr>
            <w:r w:rsidRPr="001A4824">
              <w:rPr>
                <w:rFonts w:eastAsia="Times New Roman" w:cs="Arial"/>
                <w:b/>
                <w:color w:val="FFFFFF" w:themeColor="background1"/>
                <w:sz w:val="18"/>
                <w:szCs w:val="18"/>
                <w:lang w:val="en-AU" w:eastAsia="en-AU"/>
              </w:rPr>
              <w:t>Innovation</w:t>
            </w:r>
          </w:p>
        </w:tc>
      </w:tr>
      <w:tr w:rsidR="000917E9" w:rsidRPr="005C4E27" w:rsidTr="00717425">
        <w:trPr>
          <w:trHeight w:val="334"/>
        </w:trPr>
        <w:tc>
          <w:tcPr>
            <w:tcW w:w="3241" w:type="dxa"/>
            <w:vMerge/>
            <w:tcBorders>
              <w:top w:val="single" w:sz="4" w:space="0" w:color="7030A0"/>
              <w:left w:val="single" w:sz="4" w:space="0" w:color="7030A0"/>
              <w:bottom w:val="single" w:sz="4" w:space="0" w:color="7030A0"/>
              <w:right w:val="single" w:sz="4" w:space="0" w:color="FFFFFF" w:themeColor="background1"/>
            </w:tcBorders>
            <w:shd w:val="clear" w:color="auto" w:fill="auto"/>
            <w:noWrap/>
            <w:vAlign w:val="center"/>
            <w:hideMark/>
          </w:tcPr>
          <w:p w:rsidR="000917E9" w:rsidRPr="005C4E27" w:rsidRDefault="000917E9" w:rsidP="00717425">
            <w:pPr>
              <w:spacing w:after="0" w:line="240" w:lineRule="auto"/>
              <w:rPr>
                <w:rFonts w:eastAsia="Times New Roman" w:cs="Arial"/>
                <w:color w:val="000000"/>
                <w:sz w:val="18"/>
                <w:szCs w:val="18"/>
                <w:lang w:val="en-AU" w:eastAsia="en-AU"/>
              </w:rPr>
            </w:pPr>
          </w:p>
        </w:tc>
        <w:tc>
          <w:tcPr>
            <w:tcW w:w="867" w:type="dxa"/>
            <w:vMerge/>
            <w:tcBorders>
              <w:top w:val="single" w:sz="4" w:space="0" w:color="FFFFFF" w:themeColor="background1"/>
              <w:left w:val="single" w:sz="4" w:space="0" w:color="FFFFFF" w:themeColor="background1"/>
              <w:bottom w:val="single" w:sz="4" w:space="0" w:color="7030A0"/>
              <w:right w:val="single" w:sz="4" w:space="0" w:color="FFFFFF" w:themeColor="background1"/>
            </w:tcBorders>
            <w:vAlign w:val="center"/>
          </w:tcPr>
          <w:p w:rsidR="000917E9" w:rsidRPr="005C4E27" w:rsidRDefault="000917E9" w:rsidP="00717425">
            <w:pPr>
              <w:spacing w:after="0" w:line="240" w:lineRule="auto"/>
              <w:jc w:val="center"/>
              <w:rPr>
                <w:rFonts w:eastAsia="Times New Roman" w:cs="Arial"/>
                <w:color w:val="000000"/>
                <w:sz w:val="18"/>
                <w:szCs w:val="18"/>
                <w:lang w:val="en-AU" w:eastAsia="en-AU"/>
              </w:rPr>
            </w:pPr>
          </w:p>
        </w:tc>
        <w:tc>
          <w:tcPr>
            <w:tcW w:w="937"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No OOA</w:t>
            </w:r>
          </w:p>
        </w:tc>
        <w:tc>
          <w:tcPr>
            <w:tcW w:w="937"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With OOA</w:t>
            </w:r>
          </w:p>
        </w:tc>
        <w:tc>
          <w:tcPr>
            <w:tcW w:w="938"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No OOA</w:t>
            </w:r>
          </w:p>
        </w:tc>
        <w:tc>
          <w:tcPr>
            <w:tcW w:w="1011"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With OOA</w:t>
            </w:r>
          </w:p>
        </w:tc>
        <w:tc>
          <w:tcPr>
            <w:tcW w:w="867"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No OOA</w:t>
            </w:r>
          </w:p>
        </w:tc>
        <w:tc>
          <w:tcPr>
            <w:tcW w:w="938"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With OOA</w:t>
            </w:r>
          </w:p>
        </w:tc>
        <w:tc>
          <w:tcPr>
            <w:tcW w:w="1079"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+1 Room</w:t>
            </w:r>
          </w:p>
        </w:tc>
        <w:tc>
          <w:tcPr>
            <w:tcW w:w="938"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No OOA</w:t>
            </w:r>
          </w:p>
        </w:tc>
        <w:tc>
          <w:tcPr>
            <w:tcW w:w="867"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With OOA</w:t>
            </w:r>
          </w:p>
        </w:tc>
        <w:tc>
          <w:tcPr>
            <w:tcW w:w="1328" w:type="dxa"/>
            <w:vMerge/>
            <w:tcBorders>
              <w:top w:val="single" w:sz="4" w:space="0" w:color="FFFFFF" w:themeColor="background1"/>
              <w:left w:val="single" w:sz="4" w:space="0" w:color="FFFFFF" w:themeColor="background1"/>
              <w:bottom w:val="single" w:sz="4" w:space="0" w:color="7030A0"/>
              <w:right w:val="single" w:sz="4" w:space="0" w:color="7030A0"/>
            </w:tcBorders>
            <w:shd w:val="clear" w:color="auto" w:fill="7030A0"/>
            <w:noWrap/>
            <w:vAlign w:val="center"/>
            <w:hideMark/>
          </w:tcPr>
          <w:p w:rsidR="000917E9" w:rsidRPr="005C4E27" w:rsidRDefault="000917E9" w:rsidP="00717425">
            <w:pPr>
              <w:spacing w:after="0" w:line="240" w:lineRule="auto"/>
              <w:jc w:val="center"/>
              <w:rPr>
                <w:rFonts w:eastAsia="Times New Roman" w:cs="Arial"/>
                <w:color w:val="FFFFFF" w:themeColor="background1"/>
                <w:sz w:val="18"/>
                <w:szCs w:val="18"/>
                <w:lang w:val="en-AU" w:eastAsia="en-AU"/>
              </w:rPr>
            </w:pPr>
          </w:p>
        </w:tc>
      </w:tr>
      <w:tr w:rsidR="000917E9" w:rsidRPr="005C4E27" w:rsidTr="00717425">
        <w:trPr>
          <w:trHeight w:val="334"/>
        </w:trPr>
        <w:tc>
          <w:tcPr>
            <w:tcW w:w="3241" w:type="dxa"/>
            <w:tcBorders>
              <w:top w:val="single" w:sz="4" w:space="0" w:color="7030A0"/>
              <w:left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Apartment, 1 bedroom, 1 resident</w:t>
            </w:r>
          </w:p>
        </w:tc>
        <w:tc>
          <w:tcPr>
            <w:tcW w:w="867" w:type="dxa"/>
            <w:tcBorders>
              <w:top w:val="single" w:sz="4" w:space="0" w:color="7030A0"/>
              <w:bottom w:val="single" w:sz="4" w:space="0" w:color="7030A0"/>
            </w:tcBorders>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$18,837</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$19,255</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$22,464</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$32,688</w:t>
            </w:r>
          </w:p>
        </w:tc>
        <w:tc>
          <w:tcPr>
            <w:tcW w:w="1011"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$38,136</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1079"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$50,893</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$59,375</w:t>
            </w:r>
          </w:p>
        </w:tc>
        <w:tc>
          <w:tcPr>
            <w:tcW w:w="1328" w:type="dxa"/>
            <w:vMerge w:val="restart"/>
            <w:tcBorders>
              <w:top w:val="single" w:sz="4" w:space="0" w:color="7030A0"/>
              <w:bottom w:val="single" w:sz="4" w:space="0" w:color="7030A0"/>
              <w:right w:val="single" w:sz="4" w:space="0" w:color="7030A0"/>
            </w:tcBorders>
            <w:shd w:val="clear" w:color="auto" w:fill="auto"/>
            <w:vAlign w:val="center"/>
          </w:tcPr>
          <w:p w:rsidR="000917E9" w:rsidRPr="004C01F6" w:rsidRDefault="000917E9" w:rsidP="00717425">
            <w:pPr>
              <w:spacing w:after="0" w:line="240" w:lineRule="auto"/>
              <w:jc w:val="center"/>
              <w:rPr>
                <w:rFonts w:eastAsia="Times New Roman" w:cs="Arial"/>
                <w:color w:val="000000"/>
                <w:sz w:val="18"/>
                <w:szCs w:val="18"/>
                <w:lang w:val="en-AU" w:eastAsia="en-AU"/>
              </w:rPr>
            </w:pPr>
            <w:r w:rsidRPr="004C01F6">
              <w:rPr>
                <w:rFonts w:eastAsia="Times New Roman" w:cs="Arial"/>
                <w:color w:val="000000"/>
                <w:sz w:val="18"/>
                <w:szCs w:val="18"/>
                <w:lang w:val="en-AU" w:eastAsia="en-AU"/>
              </w:rPr>
              <w:t>Funded as trials and/or new design categories added over time.</w:t>
            </w:r>
          </w:p>
        </w:tc>
      </w:tr>
      <w:tr w:rsidR="000917E9" w:rsidRPr="005C4E27" w:rsidTr="00717425">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0917E9" w:rsidRPr="004C01F6"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Apart</w:t>
            </w:r>
            <w:r w:rsidRPr="004C01F6">
              <w:rPr>
                <w:rFonts w:eastAsia="Times New Roman" w:cs="Arial"/>
                <w:color w:val="000000"/>
                <w:sz w:val="18"/>
                <w:szCs w:val="18"/>
                <w:lang w:val="en-AU" w:eastAsia="en-AU"/>
              </w:rPr>
              <w:t>ment, 2 bedrooms, 1 resident</w:t>
            </w:r>
          </w:p>
        </w:tc>
        <w:tc>
          <w:tcPr>
            <w:tcW w:w="867" w:type="dxa"/>
            <w:tcBorders>
              <w:top w:val="single" w:sz="4" w:space="0" w:color="7030A0"/>
              <w:bottom w:val="single" w:sz="4" w:space="0" w:color="7030A0"/>
            </w:tcBorders>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$24,878</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$25,389</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$29,620</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$42,459</w:t>
            </w:r>
          </w:p>
        </w:tc>
        <w:tc>
          <w:tcPr>
            <w:tcW w:w="1011"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$49,536</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1079"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$66,182</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$77,213</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asciiTheme="minorHAnsi" w:eastAsia="Times New Roman" w:hAnsiTheme="minorHAnsi" w:cs="Times New Roman"/>
                <w:color w:val="000000"/>
                <w:szCs w:val="22"/>
                <w:lang w:val="en-AU" w:eastAsia="en-AU"/>
              </w:rPr>
            </w:pPr>
          </w:p>
        </w:tc>
      </w:tr>
      <w:tr w:rsidR="000917E9" w:rsidRPr="005C4E27" w:rsidTr="00717425">
        <w:trPr>
          <w:trHeight w:val="334"/>
        </w:trPr>
        <w:tc>
          <w:tcPr>
            <w:tcW w:w="3241" w:type="dxa"/>
            <w:tcBorders>
              <w:top w:val="single" w:sz="4" w:space="0" w:color="7030A0"/>
              <w:left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Apartment, 3 bedrooms, 2 residents</w:t>
            </w:r>
          </w:p>
        </w:tc>
        <w:tc>
          <w:tcPr>
            <w:tcW w:w="867" w:type="dxa"/>
            <w:tcBorders>
              <w:top w:val="single" w:sz="4" w:space="0" w:color="7030A0"/>
              <w:bottom w:val="single" w:sz="4" w:space="0" w:color="7030A0"/>
            </w:tcBorders>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$12,470</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$12,801</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$14,935</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$24,125</w:t>
            </w:r>
          </w:p>
        </w:tc>
        <w:tc>
          <w:tcPr>
            <w:tcW w:w="1011"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$28,146</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1079"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$40,618</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$47,387</w:t>
            </w:r>
          </w:p>
        </w:tc>
        <w:tc>
          <w:tcPr>
            <w:tcW w:w="1328" w:type="dxa"/>
            <w:vMerge/>
            <w:tcBorders>
              <w:top w:val="single" w:sz="4" w:space="0" w:color="7030A0"/>
              <w:bottom w:val="single" w:sz="4" w:space="0" w:color="7030A0"/>
              <w:right w:val="single" w:sz="4" w:space="0" w:color="7030A0"/>
            </w:tcBorders>
            <w:shd w:val="clear" w:color="auto" w:fill="auto"/>
            <w:vAlign w:val="center"/>
          </w:tcPr>
          <w:p w:rsidR="000917E9" w:rsidRPr="005C4E27" w:rsidRDefault="000917E9" w:rsidP="00717425">
            <w:pPr>
              <w:spacing w:after="0" w:line="240" w:lineRule="auto"/>
              <w:jc w:val="center"/>
              <w:rPr>
                <w:rFonts w:asciiTheme="minorHAnsi" w:eastAsia="Times New Roman" w:hAnsiTheme="minorHAnsi" w:cs="Times New Roman"/>
                <w:color w:val="000000"/>
                <w:szCs w:val="22"/>
                <w:lang w:val="en-AU" w:eastAsia="en-AU"/>
              </w:rPr>
            </w:pPr>
          </w:p>
        </w:tc>
      </w:tr>
      <w:tr w:rsidR="000917E9" w:rsidRPr="005C4E27" w:rsidTr="00717425">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Villa, 1 bedrooms, 1 resident</w:t>
            </w:r>
          </w:p>
        </w:tc>
        <w:tc>
          <w:tcPr>
            <w:tcW w:w="867" w:type="dxa"/>
            <w:tcBorders>
              <w:top w:val="single" w:sz="4" w:space="0" w:color="7030A0"/>
              <w:bottom w:val="single" w:sz="4" w:space="0" w:color="7030A0"/>
            </w:tcBorders>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$9,523</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$9,775</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$11,675</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$16,350</w:t>
            </w:r>
          </w:p>
        </w:tc>
        <w:tc>
          <w:tcPr>
            <w:tcW w:w="1011"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$18,350</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$20,305</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$22,793</w:t>
            </w:r>
          </w:p>
        </w:tc>
        <w:tc>
          <w:tcPr>
            <w:tcW w:w="1079"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$27,139</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$29,771</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asciiTheme="minorHAnsi" w:eastAsia="Times New Roman" w:hAnsiTheme="minorHAnsi" w:cs="Times New Roman"/>
                <w:color w:val="000000"/>
                <w:szCs w:val="22"/>
                <w:lang w:val="en-AU" w:eastAsia="en-AU"/>
              </w:rPr>
            </w:pPr>
          </w:p>
        </w:tc>
      </w:tr>
      <w:tr w:rsidR="000917E9" w:rsidRPr="005C4E27" w:rsidTr="00717425">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Duplex</w:t>
            </w:r>
            <w:r>
              <w:rPr>
                <w:rFonts w:eastAsia="Times New Roman" w:cs="Arial"/>
                <w:color w:val="000000"/>
                <w:sz w:val="18"/>
                <w:szCs w:val="18"/>
                <w:lang w:val="en-AU" w:eastAsia="en-AU"/>
              </w:rPr>
              <w:t xml:space="preserve"> </w:t>
            </w:r>
            <w:r w:rsidRPr="007B7D09">
              <w:rPr>
                <w:rFonts w:eastAsia="Times New Roman" w:cs="Arial"/>
                <w:color w:val="000000"/>
                <w:sz w:val="18"/>
                <w:szCs w:val="18"/>
                <w:lang w:val="en-AU" w:eastAsia="en-AU"/>
              </w:rPr>
              <w:t>/</w:t>
            </w:r>
            <w:r>
              <w:rPr>
                <w:rFonts w:eastAsia="Times New Roman" w:cs="Arial"/>
                <w:color w:val="000000"/>
                <w:sz w:val="18"/>
                <w:szCs w:val="18"/>
                <w:lang w:val="en-AU" w:eastAsia="en-AU"/>
              </w:rPr>
              <w:t xml:space="preserve"> T</w:t>
            </w:r>
            <w:r w:rsidRPr="007B7D09">
              <w:rPr>
                <w:rFonts w:eastAsia="Times New Roman" w:cs="Arial"/>
                <w:color w:val="000000"/>
                <w:sz w:val="18"/>
                <w:szCs w:val="18"/>
                <w:lang w:val="en-AU" w:eastAsia="en-AU"/>
              </w:rPr>
              <w:t>ownhouse, 2 residents</w:t>
            </w:r>
          </w:p>
        </w:tc>
        <w:tc>
          <w:tcPr>
            <w:tcW w:w="867" w:type="dxa"/>
            <w:tcBorders>
              <w:top w:val="single" w:sz="4" w:space="0" w:color="7030A0"/>
              <w:bottom w:val="single" w:sz="4" w:space="0" w:color="7030A0"/>
            </w:tcBorders>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$5,036</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$5,204</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$6,126</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$9,272</w:t>
            </w:r>
          </w:p>
        </w:tc>
        <w:tc>
          <w:tcPr>
            <w:tcW w:w="1011"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$10,243</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$11,917</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$13,116</w:t>
            </w:r>
          </w:p>
        </w:tc>
        <w:tc>
          <w:tcPr>
            <w:tcW w:w="1079"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+$1,009</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$16,657</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$17,923</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asciiTheme="minorHAnsi" w:eastAsia="Times New Roman" w:hAnsiTheme="minorHAnsi" w:cs="Times New Roman"/>
                <w:color w:val="000000"/>
                <w:szCs w:val="22"/>
                <w:lang w:val="en-AU" w:eastAsia="en-AU"/>
              </w:rPr>
            </w:pPr>
          </w:p>
        </w:tc>
      </w:tr>
      <w:tr w:rsidR="000917E9" w:rsidRPr="005C4E27" w:rsidTr="00717425">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Duplex</w:t>
            </w:r>
            <w:r>
              <w:rPr>
                <w:rFonts w:eastAsia="Times New Roman" w:cs="Arial"/>
                <w:color w:val="000000"/>
                <w:sz w:val="18"/>
                <w:szCs w:val="18"/>
                <w:lang w:val="en-AU" w:eastAsia="en-AU"/>
              </w:rPr>
              <w:t xml:space="preserve"> </w:t>
            </w:r>
            <w:r w:rsidRPr="007B7D09">
              <w:rPr>
                <w:rFonts w:eastAsia="Times New Roman" w:cs="Arial"/>
                <w:color w:val="000000"/>
                <w:sz w:val="18"/>
                <w:szCs w:val="18"/>
                <w:lang w:val="en-AU" w:eastAsia="en-AU"/>
              </w:rPr>
              <w:t>/</w:t>
            </w:r>
            <w:r>
              <w:rPr>
                <w:rFonts w:eastAsia="Times New Roman" w:cs="Arial"/>
                <w:color w:val="000000"/>
                <w:sz w:val="18"/>
                <w:szCs w:val="18"/>
                <w:lang w:val="en-AU" w:eastAsia="en-AU"/>
              </w:rPr>
              <w:t xml:space="preserve"> T</w:t>
            </w:r>
            <w:r w:rsidRPr="007B7D09">
              <w:rPr>
                <w:rFonts w:eastAsia="Times New Roman" w:cs="Arial"/>
                <w:color w:val="000000"/>
                <w:sz w:val="18"/>
                <w:szCs w:val="18"/>
                <w:lang w:val="en-AU" w:eastAsia="en-AU"/>
              </w:rPr>
              <w:t>ownhouse, 3 residents</w:t>
            </w:r>
          </w:p>
        </w:tc>
        <w:tc>
          <w:tcPr>
            <w:tcW w:w="867" w:type="dxa"/>
            <w:tcBorders>
              <w:top w:val="single" w:sz="4" w:space="0" w:color="7030A0"/>
              <w:bottom w:val="single" w:sz="4" w:space="0" w:color="7030A0"/>
            </w:tcBorders>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$4,076</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$4,222</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$4,839</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$7,902</w:t>
            </w:r>
          </w:p>
        </w:tc>
        <w:tc>
          <w:tcPr>
            <w:tcW w:w="1011"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$8,551</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$10,396</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$11,195</w:t>
            </w:r>
          </w:p>
        </w:tc>
        <w:tc>
          <w:tcPr>
            <w:tcW w:w="1079"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+$672</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$14,803</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$15,645</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asciiTheme="minorHAnsi" w:eastAsia="Times New Roman" w:hAnsiTheme="minorHAnsi" w:cs="Times New Roman"/>
                <w:color w:val="000000"/>
                <w:szCs w:val="22"/>
                <w:lang w:val="en-AU" w:eastAsia="en-AU"/>
              </w:rPr>
            </w:pPr>
          </w:p>
        </w:tc>
      </w:tr>
      <w:tr w:rsidR="000917E9" w:rsidRPr="005C4E27" w:rsidTr="00717425">
        <w:trPr>
          <w:trHeight w:val="334"/>
        </w:trPr>
        <w:tc>
          <w:tcPr>
            <w:tcW w:w="3241" w:type="dxa"/>
            <w:tcBorders>
              <w:top w:val="single" w:sz="4" w:space="0" w:color="7030A0"/>
              <w:left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House, 2 residents</w:t>
            </w:r>
          </w:p>
        </w:tc>
        <w:tc>
          <w:tcPr>
            <w:tcW w:w="867" w:type="dxa"/>
            <w:tcBorders>
              <w:top w:val="single" w:sz="4" w:space="0" w:color="7030A0"/>
              <w:bottom w:val="single" w:sz="4" w:space="0" w:color="7030A0"/>
            </w:tcBorders>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$5,800</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$5,922</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$6,845</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$10,005</w:t>
            </w:r>
          </w:p>
        </w:tc>
        <w:tc>
          <w:tcPr>
            <w:tcW w:w="1011"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$10,977</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$12,986</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$14,185</w:t>
            </w:r>
          </w:p>
        </w:tc>
        <w:tc>
          <w:tcPr>
            <w:tcW w:w="1079"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+$1,009</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$17,757</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$19,023</w:t>
            </w:r>
          </w:p>
        </w:tc>
        <w:tc>
          <w:tcPr>
            <w:tcW w:w="1328" w:type="dxa"/>
            <w:vMerge/>
            <w:tcBorders>
              <w:top w:val="single" w:sz="4" w:space="0" w:color="7030A0"/>
              <w:bottom w:val="single" w:sz="4" w:space="0" w:color="7030A0"/>
              <w:right w:val="single" w:sz="4" w:space="0" w:color="7030A0"/>
            </w:tcBorders>
            <w:shd w:val="clear" w:color="auto" w:fill="auto"/>
            <w:vAlign w:val="center"/>
          </w:tcPr>
          <w:p w:rsidR="000917E9" w:rsidRPr="005C4E27" w:rsidRDefault="000917E9" w:rsidP="00717425">
            <w:pPr>
              <w:spacing w:after="0" w:line="240" w:lineRule="auto"/>
              <w:jc w:val="center"/>
              <w:rPr>
                <w:rFonts w:asciiTheme="minorHAnsi" w:eastAsia="Times New Roman" w:hAnsiTheme="minorHAnsi" w:cs="Times New Roman"/>
                <w:color w:val="000000"/>
                <w:szCs w:val="22"/>
                <w:lang w:val="en-AU" w:eastAsia="en-AU"/>
              </w:rPr>
            </w:pPr>
          </w:p>
        </w:tc>
      </w:tr>
      <w:tr w:rsidR="000917E9" w:rsidRPr="005C4E27" w:rsidTr="00717425">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House, 3 residents</w:t>
            </w:r>
          </w:p>
        </w:tc>
        <w:tc>
          <w:tcPr>
            <w:tcW w:w="867" w:type="dxa"/>
            <w:tcBorders>
              <w:top w:val="single" w:sz="4" w:space="0" w:color="7030A0"/>
              <w:bottom w:val="single" w:sz="4" w:space="0" w:color="7030A0"/>
            </w:tcBorders>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$4,452</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$5,310</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$6,002</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$9,408</w:t>
            </w:r>
          </w:p>
        </w:tc>
        <w:tc>
          <w:tcPr>
            <w:tcW w:w="1011"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$10,136</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$12,060</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$12,943</w:t>
            </w:r>
          </w:p>
        </w:tc>
        <w:tc>
          <w:tcPr>
            <w:tcW w:w="1079"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+$743</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$18,496</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$19,516</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asciiTheme="minorHAnsi" w:eastAsia="Times New Roman" w:hAnsiTheme="minorHAnsi" w:cs="Times New Roman"/>
                <w:color w:val="000000"/>
                <w:szCs w:val="22"/>
                <w:lang w:val="en-AU" w:eastAsia="en-AU"/>
              </w:rPr>
            </w:pPr>
          </w:p>
        </w:tc>
      </w:tr>
      <w:tr w:rsidR="000917E9" w:rsidRPr="005C4E27" w:rsidTr="00717425">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 xml:space="preserve">Group </w:t>
            </w:r>
            <w:r>
              <w:rPr>
                <w:rFonts w:eastAsia="Times New Roman" w:cs="Arial"/>
                <w:color w:val="000000"/>
                <w:sz w:val="18"/>
                <w:szCs w:val="18"/>
                <w:lang w:val="en-AU" w:eastAsia="en-AU"/>
              </w:rPr>
              <w:t>home,</w:t>
            </w:r>
            <w:r w:rsidRPr="007B7D09">
              <w:rPr>
                <w:rFonts w:eastAsia="Times New Roman" w:cs="Arial"/>
                <w:color w:val="000000"/>
                <w:sz w:val="18"/>
                <w:szCs w:val="18"/>
                <w:lang w:val="en-AU" w:eastAsia="en-AU"/>
              </w:rPr>
              <w:t xml:space="preserve"> 4 residents</w:t>
            </w:r>
          </w:p>
        </w:tc>
        <w:tc>
          <w:tcPr>
            <w:tcW w:w="867" w:type="dxa"/>
            <w:tcBorders>
              <w:top w:val="single" w:sz="4" w:space="0" w:color="7030A0"/>
              <w:bottom w:val="single" w:sz="4" w:space="0" w:color="7030A0"/>
            </w:tcBorders>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$5,492</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$5,667</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$6,194</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$9,453</w:t>
            </w:r>
          </w:p>
        </w:tc>
        <w:tc>
          <w:tcPr>
            <w:tcW w:w="1011"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$10,009</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$11,955</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$12,624</w:t>
            </w:r>
          </w:p>
        </w:tc>
        <w:tc>
          <w:tcPr>
            <w:tcW w:w="1079"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+$563</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$17,769</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$18,537</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asciiTheme="minorHAnsi" w:eastAsia="Times New Roman" w:hAnsiTheme="minorHAnsi" w:cs="Times New Roman"/>
                <w:color w:val="000000"/>
                <w:szCs w:val="22"/>
                <w:lang w:val="en-AU" w:eastAsia="en-AU"/>
              </w:rPr>
            </w:pPr>
          </w:p>
        </w:tc>
      </w:tr>
      <w:tr w:rsidR="000917E9" w:rsidRPr="005C4E27" w:rsidTr="00717425">
        <w:trPr>
          <w:trHeight w:val="334"/>
        </w:trPr>
        <w:tc>
          <w:tcPr>
            <w:tcW w:w="3241"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 xml:space="preserve">Group </w:t>
            </w:r>
            <w:r>
              <w:rPr>
                <w:rFonts w:eastAsia="Times New Roman" w:cs="Arial"/>
                <w:color w:val="000000"/>
                <w:sz w:val="18"/>
                <w:szCs w:val="18"/>
                <w:lang w:val="en-AU" w:eastAsia="en-AU"/>
              </w:rPr>
              <w:t>home</w:t>
            </w:r>
            <w:r w:rsidRPr="007B7D09">
              <w:rPr>
                <w:rFonts w:eastAsia="Times New Roman" w:cs="Arial"/>
                <w:color w:val="000000"/>
                <w:sz w:val="18"/>
                <w:szCs w:val="18"/>
                <w:lang w:val="en-AU" w:eastAsia="en-AU"/>
              </w:rPr>
              <w:t>, 5 residents</w:t>
            </w:r>
          </w:p>
        </w:tc>
        <w:tc>
          <w:tcPr>
            <w:tcW w:w="867" w:type="dxa"/>
            <w:tcBorders>
              <w:top w:val="single" w:sz="4" w:space="0" w:color="7030A0"/>
              <w:bottom w:val="single" w:sz="4" w:space="0" w:color="7030A0"/>
            </w:tcBorders>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$4,410</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$4,552</w:t>
            </w:r>
          </w:p>
        </w:tc>
        <w:tc>
          <w:tcPr>
            <w:tcW w:w="93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$4,970</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$8,088</w:t>
            </w:r>
          </w:p>
        </w:tc>
        <w:tc>
          <w:tcPr>
            <w:tcW w:w="1011"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$8,528</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$10,323</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$10,852</w:t>
            </w:r>
          </w:p>
        </w:tc>
        <w:tc>
          <w:tcPr>
            <w:tcW w:w="1079"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+$445</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$15,722</w:t>
            </w:r>
          </w:p>
        </w:tc>
        <w:tc>
          <w:tcPr>
            <w:tcW w:w="867"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jc w:val="center"/>
              <w:rPr>
                <w:rFonts w:cs="Arial"/>
                <w:sz w:val="18"/>
                <w:szCs w:val="18"/>
                <w:lang w:val="en-AU"/>
              </w:rPr>
            </w:pPr>
            <w:r w:rsidRPr="009655D6">
              <w:rPr>
                <w:rFonts w:cs="Arial"/>
                <w:sz w:val="18"/>
                <w:szCs w:val="18"/>
                <w:lang w:val="en-AU"/>
              </w:rPr>
              <w:t>$16,327</w:t>
            </w:r>
          </w:p>
        </w:tc>
        <w:tc>
          <w:tcPr>
            <w:tcW w:w="1328"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asciiTheme="minorHAnsi" w:eastAsia="Times New Roman" w:hAnsiTheme="minorHAnsi" w:cs="Times New Roman"/>
                <w:color w:val="000000"/>
                <w:szCs w:val="22"/>
                <w:lang w:val="en-AU" w:eastAsia="en-AU"/>
              </w:rPr>
            </w:pPr>
          </w:p>
        </w:tc>
      </w:tr>
    </w:tbl>
    <w:p w:rsidR="000917E9" w:rsidRPr="007B7D09" w:rsidRDefault="000917E9" w:rsidP="000917E9">
      <w:pPr>
        <w:spacing w:after="0"/>
        <w:rPr>
          <w:sz w:val="18"/>
          <w:lang w:val="en-AU"/>
        </w:rPr>
      </w:pPr>
      <w:r w:rsidRPr="007B7D09">
        <w:rPr>
          <w:sz w:val="18"/>
          <w:lang w:val="en-AU"/>
        </w:rPr>
        <w:br/>
        <w:t>OOA</w:t>
      </w:r>
      <w:r w:rsidRPr="007B7D09">
        <w:rPr>
          <w:sz w:val="18"/>
          <w:lang w:val="en-AU"/>
        </w:rPr>
        <w:tab/>
      </w:r>
      <w:r w:rsidRPr="007B7D09">
        <w:rPr>
          <w:sz w:val="18"/>
          <w:lang w:val="en-AU"/>
        </w:rPr>
        <w:tab/>
        <w:t>On-site overnight assistance</w:t>
      </w:r>
    </w:p>
    <w:p w:rsidR="000917E9" w:rsidRPr="004C01F6" w:rsidRDefault="000917E9" w:rsidP="000917E9">
      <w:pPr>
        <w:spacing w:after="0"/>
        <w:rPr>
          <w:sz w:val="18"/>
          <w:lang w:val="en-AU"/>
        </w:rPr>
      </w:pPr>
      <w:r w:rsidRPr="004C01F6">
        <w:rPr>
          <w:sz w:val="18"/>
          <w:lang w:val="en-AU"/>
        </w:rPr>
        <w:t>+1 Room</w:t>
      </w:r>
      <w:r w:rsidRPr="004C01F6">
        <w:rPr>
          <w:sz w:val="18"/>
          <w:lang w:val="en-AU"/>
        </w:rPr>
        <w:tab/>
        <w:t>Additional breakout room</w:t>
      </w:r>
    </w:p>
    <w:p w:rsidR="000917E9" w:rsidRPr="00DA1F62" w:rsidRDefault="000917E9" w:rsidP="000917E9">
      <w:pPr>
        <w:spacing w:before="120" w:after="120"/>
        <w:rPr>
          <w:rFonts w:asciiTheme="minorHAnsi" w:eastAsiaTheme="minorHAnsi" w:hAnsiTheme="minorHAnsi"/>
          <w:b/>
          <w:sz w:val="18"/>
          <w:szCs w:val="18"/>
          <w:lang w:val="en-AU" w:eastAsia="en-US"/>
        </w:rPr>
      </w:pPr>
      <w:r w:rsidRPr="00DA1F62">
        <w:rPr>
          <w:b/>
          <w:sz w:val="18"/>
          <w:szCs w:val="18"/>
          <w:lang w:val="en-AU"/>
        </w:rPr>
        <w:t>Location</w:t>
      </w:r>
    </w:p>
    <w:p w:rsidR="000917E9" w:rsidRPr="007B7D09" w:rsidRDefault="000917E9" w:rsidP="000917E9">
      <w:pPr>
        <w:spacing w:after="120"/>
        <w:rPr>
          <w:sz w:val="18"/>
          <w:szCs w:val="18"/>
          <w:lang w:val="en-AU"/>
        </w:rPr>
      </w:pPr>
      <w:r w:rsidRPr="00DA1F62">
        <w:rPr>
          <w:sz w:val="18"/>
          <w:szCs w:val="18"/>
          <w:lang w:val="en-AU"/>
        </w:rPr>
        <w:t xml:space="preserve">All prices must be multiplied by the location factor relevant to the property’s location - see </w:t>
      </w:r>
      <w:r>
        <w:rPr>
          <w:sz w:val="18"/>
          <w:szCs w:val="18"/>
          <w:lang w:val="en-AU"/>
        </w:rPr>
        <w:t xml:space="preserve">Appendix 2 </w:t>
      </w:r>
      <w:r w:rsidRPr="007B7D09">
        <w:rPr>
          <w:sz w:val="18"/>
          <w:szCs w:val="18"/>
          <w:lang w:val="en-AU"/>
        </w:rPr>
        <w:t xml:space="preserve">for location factors. </w:t>
      </w:r>
    </w:p>
    <w:p w:rsidR="00F948BF" w:rsidRPr="00F948BF" w:rsidRDefault="00F948BF" w:rsidP="00F948BF">
      <w:pPr>
        <w:spacing w:after="0"/>
        <w:rPr>
          <w:b/>
          <w:sz w:val="18"/>
          <w:szCs w:val="18"/>
          <w:lang w:val="en-AU"/>
        </w:rPr>
      </w:pPr>
      <w:r w:rsidRPr="00F948BF">
        <w:rPr>
          <w:b/>
          <w:sz w:val="18"/>
          <w:szCs w:val="18"/>
          <w:lang w:val="en-AU"/>
        </w:rPr>
        <w:t xml:space="preserve">Allowance </w:t>
      </w:r>
    </w:p>
    <w:p w:rsidR="00F948BF" w:rsidRDefault="00F948BF" w:rsidP="000917E9">
      <w:pPr>
        <w:spacing w:after="0"/>
        <w:ind w:left="142"/>
        <w:rPr>
          <w:sz w:val="18"/>
          <w:szCs w:val="18"/>
          <w:lang w:val="en-AU"/>
        </w:rPr>
      </w:pPr>
    </w:p>
    <w:p w:rsidR="000917E9" w:rsidRPr="00DA1F62" w:rsidRDefault="000917E9" w:rsidP="00F948BF">
      <w:pPr>
        <w:spacing w:after="0"/>
        <w:rPr>
          <w:sz w:val="18"/>
          <w:szCs w:val="18"/>
          <w:lang w:val="en-AU"/>
        </w:rPr>
      </w:pPr>
      <w:r w:rsidRPr="00DA1F62">
        <w:rPr>
          <w:sz w:val="18"/>
          <w:szCs w:val="18"/>
          <w:lang w:val="en-AU"/>
        </w:rPr>
        <w:t xml:space="preserve">Fire </w:t>
      </w:r>
      <w:r w:rsidR="00A96331">
        <w:rPr>
          <w:sz w:val="18"/>
          <w:szCs w:val="18"/>
          <w:lang w:val="en-AU"/>
        </w:rPr>
        <w:t>S</w:t>
      </w:r>
      <w:r w:rsidRPr="00DA1F62">
        <w:rPr>
          <w:sz w:val="18"/>
          <w:szCs w:val="18"/>
          <w:lang w:val="en-AU"/>
        </w:rPr>
        <w:t xml:space="preserve">prinkler </w:t>
      </w:r>
      <w:r w:rsidR="00A96331">
        <w:rPr>
          <w:sz w:val="18"/>
          <w:szCs w:val="18"/>
          <w:lang w:val="en-AU"/>
        </w:rPr>
        <w:t>A</w:t>
      </w:r>
      <w:r w:rsidRPr="00DA1F62">
        <w:rPr>
          <w:sz w:val="18"/>
          <w:szCs w:val="18"/>
          <w:lang w:val="en-AU"/>
        </w:rPr>
        <w:t>llowance (</w:t>
      </w:r>
      <w:r w:rsidR="000F451B">
        <w:rPr>
          <w:sz w:val="18"/>
          <w:szCs w:val="18"/>
          <w:lang w:val="en-AU"/>
        </w:rPr>
        <w:t>+</w:t>
      </w:r>
      <w:r w:rsidRPr="00DA1F62">
        <w:rPr>
          <w:sz w:val="18"/>
          <w:szCs w:val="18"/>
          <w:lang w:val="en-AU"/>
        </w:rPr>
        <w:t xml:space="preserve">1.2% for apartments and </w:t>
      </w:r>
      <w:r w:rsidR="000F451B">
        <w:rPr>
          <w:sz w:val="18"/>
          <w:szCs w:val="18"/>
          <w:lang w:val="en-AU"/>
        </w:rPr>
        <w:t>+</w:t>
      </w:r>
      <w:r w:rsidRPr="00DA1F62">
        <w:rPr>
          <w:sz w:val="18"/>
          <w:szCs w:val="18"/>
          <w:lang w:val="en-AU"/>
        </w:rPr>
        <w:t>1.9% for other building types)</w:t>
      </w:r>
    </w:p>
    <w:p w:rsidR="000917E9" w:rsidRPr="00CD197F" w:rsidRDefault="000917E9" w:rsidP="000917E9">
      <w:pPr>
        <w:spacing w:after="0"/>
        <w:ind w:left="142"/>
        <w:rPr>
          <w:sz w:val="18"/>
          <w:szCs w:val="18"/>
          <w:lang w:val="en-AU"/>
        </w:rPr>
      </w:pPr>
    </w:p>
    <w:p w:rsidR="000917E9" w:rsidRPr="00CD197F" w:rsidRDefault="000917E9" w:rsidP="000917E9">
      <w:pPr>
        <w:pStyle w:val="BodyText1"/>
        <w:rPr>
          <w:lang w:val="en-AU"/>
        </w:rPr>
      </w:pPr>
      <w:r w:rsidRPr="00CD197F">
        <w:rPr>
          <w:lang w:val="en-AU"/>
        </w:rPr>
        <w:br w:type="page"/>
      </w:r>
    </w:p>
    <w:p w:rsidR="000917E9" w:rsidRPr="005C4E27" w:rsidRDefault="00D36A7C" w:rsidP="000917E9">
      <w:pPr>
        <w:rPr>
          <w:lang w:val="en-AU"/>
        </w:rPr>
      </w:pPr>
      <w:r>
        <w:rPr>
          <w:lang w:val="en-AU"/>
        </w:rPr>
        <w:lastRenderedPageBreak/>
        <w:fldChar w:fldCharType="begin"/>
      </w:r>
      <w:r>
        <w:rPr>
          <w:lang w:val="en-AU"/>
        </w:rPr>
        <w:instrText xml:space="preserve"> REF _Ref452470079 \h </w:instrText>
      </w:r>
      <w:r>
        <w:rPr>
          <w:lang w:val="en-AU"/>
        </w:rPr>
      </w:r>
      <w:r>
        <w:rPr>
          <w:lang w:val="en-AU"/>
        </w:rPr>
        <w:fldChar w:fldCharType="separate"/>
      </w:r>
      <w:r w:rsidR="006C6F0B" w:rsidRPr="005C4E27">
        <w:rPr>
          <w:lang w:val="en-AU"/>
        </w:rPr>
        <w:t xml:space="preserve">Table </w:t>
      </w:r>
      <w:r w:rsidR="006C6F0B">
        <w:rPr>
          <w:noProof/>
          <w:lang w:val="en-AU"/>
        </w:rPr>
        <w:t>3</w:t>
      </w:r>
      <w:r>
        <w:rPr>
          <w:lang w:val="en-AU"/>
        </w:rPr>
        <w:fldChar w:fldCharType="end"/>
      </w:r>
      <w:r w:rsidR="000917E9">
        <w:rPr>
          <w:lang w:val="en-AU"/>
        </w:rPr>
        <w:t xml:space="preserve"> </w:t>
      </w:r>
      <w:r w:rsidR="000917E9" w:rsidRPr="005C4E27">
        <w:rPr>
          <w:lang w:val="en-AU"/>
        </w:rPr>
        <w:t xml:space="preserve">indicates the typical annual income for an SDA provider, including both the SDA Benchmark Price and </w:t>
      </w:r>
      <w:r w:rsidR="000917E9">
        <w:rPr>
          <w:lang w:val="en-AU"/>
        </w:rPr>
        <w:t>RRC</w:t>
      </w:r>
      <w:r w:rsidR="000917E9" w:rsidRPr="005C4E27">
        <w:rPr>
          <w:lang w:val="en-AU"/>
        </w:rPr>
        <w:t xml:space="preserve"> from participants. </w:t>
      </w:r>
      <w:r w:rsidR="00B92E5C">
        <w:rPr>
          <w:lang w:val="en-AU"/>
        </w:rPr>
        <w:t xml:space="preserve">The RRC assumes that participants </w:t>
      </w:r>
      <w:r w:rsidR="00EF7124">
        <w:rPr>
          <w:lang w:val="en-AU"/>
        </w:rPr>
        <w:t>receive</w:t>
      </w:r>
      <w:r w:rsidR="00B92E5C">
        <w:rPr>
          <w:lang w:val="en-AU"/>
        </w:rPr>
        <w:t xml:space="preserve"> the maximum rate for DSP and CRA. </w:t>
      </w:r>
      <w:r w:rsidR="000917E9" w:rsidRPr="005C4E27">
        <w:rPr>
          <w:lang w:val="en-AU"/>
        </w:rPr>
        <w:t>The income is based on a median location</w:t>
      </w:r>
      <w:r w:rsidR="000917E9">
        <w:rPr>
          <w:lang w:val="en-AU"/>
        </w:rPr>
        <w:t xml:space="preserve"> and</w:t>
      </w:r>
      <w:r w:rsidR="000917E9" w:rsidRPr="005C4E27">
        <w:rPr>
          <w:lang w:val="en-AU"/>
        </w:rPr>
        <w:t xml:space="preserve"> no allowances</w:t>
      </w:r>
      <w:r w:rsidR="00B92E5C">
        <w:rPr>
          <w:lang w:val="en-AU"/>
        </w:rPr>
        <w:t xml:space="preserve">. </w:t>
      </w:r>
    </w:p>
    <w:p w:rsidR="000917E9" w:rsidRPr="005C4E27" w:rsidRDefault="000917E9" w:rsidP="000917E9">
      <w:pPr>
        <w:pStyle w:val="Caption"/>
        <w:spacing w:before="240" w:after="120"/>
        <w:rPr>
          <w:rFonts w:asciiTheme="minorHAnsi" w:hAnsiTheme="minorHAnsi"/>
          <w:sz w:val="20"/>
          <w:szCs w:val="20"/>
          <w:lang w:val="en-AU"/>
        </w:rPr>
      </w:pPr>
      <w:bookmarkStart w:id="17" w:name="_Ref452470079"/>
      <w:r w:rsidRPr="005C4E27">
        <w:rPr>
          <w:lang w:val="en-AU"/>
        </w:rPr>
        <w:t xml:space="preserve">Table </w:t>
      </w:r>
      <w:r w:rsidRPr="00ED4EE8">
        <w:rPr>
          <w:lang w:val="en-AU"/>
        </w:rPr>
        <w:fldChar w:fldCharType="begin"/>
      </w:r>
      <w:r w:rsidRPr="005C4E27">
        <w:rPr>
          <w:lang w:val="en-AU"/>
        </w:rPr>
        <w:instrText xml:space="preserve"> SEQ Table \* ARABIC </w:instrText>
      </w:r>
      <w:r w:rsidRPr="00ED4EE8">
        <w:rPr>
          <w:lang w:val="en-AU"/>
        </w:rPr>
        <w:fldChar w:fldCharType="separate"/>
      </w:r>
      <w:r w:rsidR="006C6F0B">
        <w:rPr>
          <w:noProof/>
          <w:lang w:val="en-AU"/>
        </w:rPr>
        <w:t>3</w:t>
      </w:r>
      <w:r w:rsidRPr="00ED4EE8">
        <w:rPr>
          <w:lang w:val="en-AU"/>
        </w:rPr>
        <w:fldChar w:fldCharType="end"/>
      </w:r>
      <w:bookmarkEnd w:id="17"/>
      <w:r w:rsidRPr="005C4E27">
        <w:rPr>
          <w:lang w:val="en-AU"/>
        </w:rPr>
        <w:t xml:space="preserve">: Typical annual income per property (median location, no allowances, average vacancies) including </w:t>
      </w:r>
      <w:r w:rsidR="00B92E5C">
        <w:rPr>
          <w:lang w:val="en-AU"/>
        </w:rPr>
        <w:t xml:space="preserve">MAXIMUM </w:t>
      </w:r>
      <w:r w:rsidRPr="005C4E27">
        <w:rPr>
          <w:lang w:val="en-AU"/>
        </w:rPr>
        <w:t>reasonable rent contribution ($2016/17)</w:t>
      </w:r>
    </w:p>
    <w:tbl>
      <w:tblPr>
        <w:tblW w:w="13876" w:type="dxa"/>
        <w:tblBorders>
          <w:insideH w:val="single" w:sz="4" w:space="0" w:color="7030A0"/>
          <w:insideV w:val="single" w:sz="4" w:space="0" w:color="7030A0"/>
        </w:tblBorders>
        <w:tblCellMar>
          <w:left w:w="57" w:type="dxa"/>
          <w:right w:w="57" w:type="dxa"/>
        </w:tblCellMar>
        <w:tblLook w:val="04A0" w:firstRow="1" w:lastRow="0" w:firstColumn="1" w:lastColumn="0" w:noHBand="0" w:noVBand="1"/>
      </w:tblPr>
      <w:tblGrid>
        <w:gridCol w:w="3143"/>
        <w:gridCol w:w="941"/>
        <w:gridCol w:w="940"/>
        <w:gridCol w:w="940"/>
        <w:gridCol w:w="940"/>
        <w:gridCol w:w="940"/>
        <w:gridCol w:w="940"/>
        <w:gridCol w:w="940"/>
        <w:gridCol w:w="938"/>
        <w:gridCol w:w="1005"/>
        <w:gridCol w:w="980"/>
        <w:gridCol w:w="1229"/>
      </w:tblGrid>
      <w:tr w:rsidR="000917E9" w:rsidRPr="005C4E27" w:rsidTr="00717425">
        <w:trPr>
          <w:trHeight w:val="283"/>
        </w:trPr>
        <w:tc>
          <w:tcPr>
            <w:tcW w:w="3143" w:type="dxa"/>
            <w:vMerge w:val="restart"/>
            <w:tcBorders>
              <w:top w:val="single" w:sz="4" w:space="0" w:color="7030A0"/>
              <w:left w:val="single" w:sz="4" w:space="0" w:color="7030A0"/>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Building type / Design Category</w:t>
            </w:r>
          </w:p>
        </w:tc>
        <w:tc>
          <w:tcPr>
            <w:tcW w:w="941" w:type="dxa"/>
            <w:vMerge w:val="restart"/>
            <w:tcBorders>
              <w:top w:val="single" w:sz="4" w:space="0" w:color="7030A0"/>
              <w:left w:val="single" w:sz="4" w:space="0" w:color="FFFFFF" w:themeColor="background1"/>
              <w:bottom w:val="single" w:sz="4" w:space="0" w:color="7030A0"/>
              <w:right w:val="single" w:sz="4" w:space="0" w:color="FFFFFF" w:themeColor="background1"/>
            </w:tcBorders>
            <w:shd w:val="clear" w:color="auto" w:fill="7030A0"/>
            <w:vAlign w:val="center"/>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Basic</w:t>
            </w:r>
          </w:p>
        </w:tc>
        <w:tc>
          <w:tcPr>
            <w:tcW w:w="1880"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Improved Livability</w:t>
            </w:r>
          </w:p>
        </w:tc>
        <w:tc>
          <w:tcPr>
            <w:tcW w:w="1880"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Fully Accessible</w:t>
            </w:r>
          </w:p>
        </w:tc>
        <w:tc>
          <w:tcPr>
            <w:tcW w:w="2818" w:type="dxa"/>
            <w:gridSpan w:val="3"/>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Robust</w:t>
            </w:r>
          </w:p>
        </w:tc>
        <w:tc>
          <w:tcPr>
            <w:tcW w:w="1985"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High Physical Support</w:t>
            </w:r>
          </w:p>
        </w:tc>
        <w:tc>
          <w:tcPr>
            <w:tcW w:w="1229" w:type="dxa"/>
            <w:vMerge w:val="restart"/>
            <w:tcBorders>
              <w:top w:val="single" w:sz="4" w:space="0" w:color="7030A0"/>
              <w:left w:val="single" w:sz="4" w:space="0" w:color="FFFFFF" w:themeColor="background1"/>
              <w:bottom w:val="single" w:sz="4" w:space="0" w:color="7030A0"/>
              <w:right w:val="single" w:sz="4" w:space="0" w:color="7030A0"/>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Inno</w:t>
            </w:r>
            <w:r w:rsidRPr="0037238E">
              <w:rPr>
                <w:rFonts w:eastAsia="Times New Roman" w:cs="Arial"/>
                <w:b/>
                <w:color w:val="FFFFFF" w:themeColor="background1"/>
                <w:sz w:val="18"/>
                <w:szCs w:val="18"/>
                <w:lang w:val="en-AU" w:eastAsia="en-AU"/>
              </w:rPr>
              <w:t>v</w:t>
            </w:r>
            <w:r w:rsidRPr="005C4E27">
              <w:rPr>
                <w:rFonts w:eastAsia="Times New Roman" w:cs="Arial"/>
                <w:b/>
                <w:color w:val="FFFFFF" w:themeColor="background1"/>
                <w:sz w:val="18"/>
                <w:szCs w:val="18"/>
                <w:lang w:val="en-AU" w:eastAsia="en-AU"/>
              </w:rPr>
              <w:t>ation</w:t>
            </w:r>
          </w:p>
        </w:tc>
      </w:tr>
      <w:tr w:rsidR="000917E9" w:rsidRPr="005C4E27" w:rsidTr="00717425">
        <w:trPr>
          <w:trHeight w:val="283"/>
        </w:trPr>
        <w:tc>
          <w:tcPr>
            <w:tcW w:w="3143" w:type="dxa"/>
            <w:vMerge/>
            <w:tcBorders>
              <w:top w:val="single" w:sz="4" w:space="0" w:color="7030A0"/>
              <w:left w:val="single" w:sz="4" w:space="0" w:color="7030A0"/>
              <w:bottom w:val="single" w:sz="4" w:space="0" w:color="7030A0"/>
              <w:right w:val="single" w:sz="4" w:space="0" w:color="FFFFFF" w:themeColor="background1"/>
            </w:tcBorders>
            <w:shd w:val="clear" w:color="auto" w:fill="auto"/>
            <w:noWrap/>
            <w:vAlign w:val="bottom"/>
            <w:hideMark/>
          </w:tcPr>
          <w:p w:rsidR="000917E9" w:rsidRPr="005C4E27" w:rsidRDefault="000917E9" w:rsidP="00717425">
            <w:pPr>
              <w:spacing w:after="0" w:line="240" w:lineRule="auto"/>
              <w:rPr>
                <w:rFonts w:eastAsia="Times New Roman" w:cs="Arial"/>
                <w:color w:val="000000"/>
                <w:sz w:val="18"/>
                <w:szCs w:val="18"/>
                <w:lang w:val="en-AU" w:eastAsia="en-AU"/>
              </w:rPr>
            </w:pPr>
          </w:p>
        </w:tc>
        <w:tc>
          <w:tcPr>
            <w:tcW w:w="941" w:type="dxa"/>
            <w:vMerge/>
            <w:tcBorders>
              <w:top w:val="single" w:sz="4" w:space="0" w:color="FFFFFF" w:themeColor="background1"/>
              <w:left w:val="single" w:sz="4" w:space="0" w:color="FFFFFF" w:themeColor="background1"/>
              <w:bottom w:val="single" w:sz="4" w:space="0" w:color="7030A0"/>
              <w:right w:val="single" w:sz="4" w:space="0" w:color="FFFFFF" w:themeColor="background1"/>
            </w:tcBorders>
          </w:tcPr>
          <w:p w:rsidR="000917E9" w:rsidRPr="005C4E27" w:rsidRDefault="000917E9" w:rsidP="00717425">
            <w:pPr>
              <w:spacing w:after="0" w:line="240" w:lineRule="auto"/>
              <w:jc w:val="center"/>
              <w:rPr>
                <w:rFonts w:eastAsia="Times New Roman" w:cs="Arial"/>
                <w:color w:val="000000"/>
                <w:sz w:val="18"/>
                <w:szCs w:val="18"/>
                <w:lang w:val="en-AU" w:eastAsia="en-AU"/>
              </w:rPr>
            </w:pP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No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With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No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With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No OOA</w:t>
            </w:r>
          </w:p>
        </w:tc>
        <w:tc>
          <w:tcPr>
            <w:tcW w:w="94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With OOA</w:t>
            </w:r>
          </w:p>
        </w:tc>
        <w:tc>
          <w:tcPr>
            <w:tcW w:w="938"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+1 Room</w:t>
            </w:r>
          </w:p>
        </w:tc>
        <w:tc>
          <w:tcPr>
            <w:tcW w:w="100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No OOA</w:t>
            </w:r>
          </w:p>
        </w:tc>
        <w:tc>
          <w:tcPr>
            <w:tcW w:w="980"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0917E9" w:rsidRPr="005C4E27" w:rsidRDefault="000917E9" w:rsidP="00717425">
            <w:pPr>
              <w:spacing w:after="0" w:line="240" w:lineRule="auto"/>
              <w:jc w:val="center"/>
              <w:rPr>
                <w:rFonts w:eastAsia="Times New Roman" w:cs="Arial"/>
                <w:b/>
                <w:color w:val="FFFFFF" w:themeColor="background1"/>
                <w:sz w:val="18"/>
                <w:szCs w:val="18"/>
                <w:lang w:val="en-AU" w:eastAsia="en-AU"/>
              </w:rPr>
            </w:pPr>
            <w:r w:rsidRPr="005C4E27">
              <w:rPr>
                <w:rFonts w:eastAsia="Times New Roman" w:cs="Arial"/>
                <w:b/>
                <w:color w:val="FFFFFF" w:themeColor="background1"/>
                <w:sz w:val="18"/>
                <w:szCs w:val="18"/>
                <w:lang w:val="en-AU" w:eastAsia="en-AU"/>
              </w:rPr>
              <w:t>With OOA</w:t>
            </w:r>
          </w:p>
        </w:tc>
        <w:tc>
          <w:tcPr>
            <w:tcW w:w="1229" w:type="dxa"/>
            <w:vMerge/>
            <w:tcBorders>
              <w:top w:val="single" w:sz="4" w:space="0" w:color="FFFFFF" w:themeColor="background1"/>
              <w:left w:val="single" w:sz="4" w:space="0" w:color="FFFFFF" w:themeColor="background1"/>
              <w:bottom w:val="single" w:sz="4" w:space="0" w:color="7030A0"/>
              <w:right w:val="single" w:sz="4" w:space="0" w:color="7030A0"/>
            </w:tcBorders>
            <w:shd w:val="clear" w:color="auto" w:fill="7030A0"/>
            <w:noWrap/>
            <w:vAlign w:val="bottom"/>
            <w:hideMark/>
          </w:tcPr>
          <w:p w:rsidR="000917E9" w:rsidRPr="005C4E27" w:rsidRDefault="000917E9" w:rsidP="00717425">
            <w:pPr>
              <w:spacing w:after="0" w:line="240" w:lineRule="auto"/>
              <w:rPr>
                <w:rFonts w:eastAsia="Times New Roman" w:cs="Arial"/>
                <w:color w:val="FFFFFF" w:themeColor="background1"/>
                <w:sz w:val="18"/>
                <w:szCs w:val="18"/>
                <w:lang w:val="en-AU" w:eastAsia="en-AU"/>
              </w:rPr>
            </w:pPr>
          </w:p>
        </w:tc>
      </w:tr>
      <w:tr w:rsidR="000917E9" w:rsidRPr="005C4E27" w:rsidTr="00717425">
        <w:trPr>
          <w:trHeight w:val="283"/>
        </w:trPr>
        <w:tc>
          <w:tcPr>
            <w:tcW w:w="13876" w:type="dxa"/>
            <w:gridSpan w:val="12"/>
            <w:tcBorders>
              <w:top w:val="single" w:sz="4" w:space="0" w:color="7030A0"/>
              <w:left w:val="single" w:sz="4" w:space="0" w:color="7030A0"/>
              <w:bottom w:val="single" w:sz="4" w:space="0" w:color="7030A0"/>
              <w:right w:val="single" w:sz="4" w:space="0" w:color="7030A0"/>
            </w:tcBorders>
            <w:shd w:val="clear" w:color="auto" w:fill="F3D3FD"/>
            <w:noWrap/>
            <w:vAlign w:val="center"/>
          </w:tcPr>
          <w:p w:rsidR="000917E9" w:rsidRPr="004C01F6" w:rsidRDefault="000917E9" w:rsidP="00717425">
            <w:pPr>
              <w:spacing w:after="0" w:line="240" w:lineRule="auto"/>
              <w:jc w:val="center"/>
              <w:rPr>
                <w:rFonts w:eastAsia="Times New Roman" w:cs="Arial"/>
                <w:color w:val="000000"/>
                <w:sz w:val="18"/>
                <w:szCs w:val="18"/>
                <w:lang w:val="en-AU" w:eastAsia="en-AU"/>
              </w:rPr>
            </w:pPr>
            <w:r w:rsidRPr="007B7D09">
              <w:rPr>
                <w:rFonts w:eastAsia="Times New Roman" w:cs="Arial"/>
                <w:b/>
                <w:color w:val="000000"/>
                <w:sz w:val="18"/>
                <w:szCs w:val="18"/>
                <w:lang w:val="en-AU" w:eastAsia="en-AU"/>
              </w:rPr>
              <w:t>NEW BUILDS</w:t>
            </w: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Apartment, 1 bedroom, 1 resident</w:t>
            </w:r>
          </w:p>
        </w:tc>
        <w:tc>
          <w:tcPr>
            <w:tcW w:w="941" w:type="dxa"/>
            <w:tcBorders>
              <w:top w:val="single" w:sz="4" w:space="0" w:color="7030A0"/>
              <w:bottom w:val="single" w:sz="4" w:space="0" w:color="7030A0"/>
            </w:tcBorders>
            <w:vAlign w:val="center"/>
          </w:tcPr>
          <w:p w:rsidR="000917E9" w:rsidRPr="004C01F6" w:rsidRDefault="000917E9" w:rsidP="00717425">
            <w:pPr>
              <w:spacing w:after="0" w:line="240" w:lineRule="auto"/>
              <w:jc w:val="center"/>
              <w:rPr>
                <w:rFonts w:cs="Arial"/>
                <w:color w:val="000000" w:themeColor="text1"/>
                <w:sz w:val="18"/>
                <w:szCs w:val="18"/>
                <w:lang w:val="en-AU"/>
              </w:rPr>
            </w:pPr>
            <w:r w:rsidRPr="004C01F6">
              <w:rPr>
                <w:rFonts w:cs="Arial"/>
                <w:color w:val="000000" w:themeColor="text1"/>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$41,093</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$46,555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$54,770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$62,512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$78,505</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$90,202</w:t>
            </w:r>
          </w:p>
        </w:tc>
        <w:tc>
          <w:tcPr>
            <w:tcW w:w="1229" w:type="dxa"/>
            <w:vMerge w:val="restart"/>
            <w:tcBorders>
              <w:top w:val="single" w:sz="4" w:space="0" w:color="7030A0"/>
              <w:bottom w:val="single" w:sz="4" w:space="0" w:color="7030A0"/>
              <w:right w:val="single" w:sz="4" w:space="0" w:color="7030A0"/>
            </w:tcBorders>
            <w:shd w:val="clear" w:color="auto" w:fill="auto"/>
            <w:vAlign w:val="center"/>
          </w:tcPr>
          <w:p w:rsidR="000917E9" w:rsidRPr="00DA1F62" w:rsidRDefault="000917E9" w:rsidP="00717425">
            <w:pPr>
              <w:spacing w:after="0" w:line="240" w:lineRule="auto"/>
              <w:jc w:val="center"/>
              <w:rPr>
                <w:rFonts w:eastAsia="Times New Roman" w:cs="Arial"/>
                <w:color w:val="000000"/>
                <w:sz w:val="18"/>
                <w:szCs w:val="18"/>
                <w:lang w:val="en-AU" w:eastAsia="en-AU"/>
              </w:rPr>
            </w:pPr>
            <w:r w:rsidRPr="004C01F6">
              <w:rPr>
                <w:rFonts w:eastAsia="Times New Roman" w:cs="Arial"/>
                <w:color w:val="000000"/>
                <w:sz w:val="18"/>
                <w:szCs w:val="18"/>
                <w:lang w:val="en-AU" w:eastAsia="en-AU"/>
              </w:rPr>
              <w:t>Funded as trials and/or new design categories added over ti</w:t>
            </w:r>
            <w:r w:rsidRPr="00DA1F62">
              <w:rPr>
                <w:rFonts w:eastAsia="Times New Roman" w:cs="Arial"/>
                <w:color w:val="000000"/>
                <w:sz w:val="18"/>
                <w:szCs w:val="18"/>
                <w:lang w:val="en-AU" w:eastAsia="en-AU"/>
              </w:rPr>
              <w:t>me.</w:t>
            </w: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Apartment, 2 bedrooms, 1 resident</w:t>
            </w:r>
          </w:p>
        </w:tc>
        <w:tc>
          <w:tcPr>
            <w:tcW w:w="941" w:type="dxa"/>
            <w:tcBorders>
              <w:top w:val="single" w:sz="4" w:space="0" w:color="7030A0"/>
              <w:bottom w:val="single" w:sz="4" w:space="0" w:color="7030A0"/>
            </w:tcBorders>
            <w:vAlign w:val="center"/>
          </w:tcPr>
          <w:p w:rsidR="000917E9" w:rsidRPr="004C01F6" w:rsidRDefault="000917E9" w:rsidP="00717425">
            <w:pPr>
              <w:spacing w:after="0" w:line="240" w:lineRule="auto"/>
              <w:jc w:val="center"/>
              <w:rPr>
                <w:rFonts w:cs="Arial"/>
                <w:color w:val="000000" w:themeColor="text1"/>
                <w:sz w:val="18"/>
                <w:szCs w:val="18"/>
                <w:lang w:val="en-AU"/>
              </w:rPr>
            </w:pPr>
            <w:r w:rsidRPr="004C01F6">
              <w:rPr>
                <w:rFonts w:cs="Arial"/>
                <w:color w:val="000000" w:themeColor="text1"/>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$47,338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$53,841</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$64,717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$74,117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$95,648</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$110,202</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eastAsia="Times New Roman" w:cs="Arial"/>
                <w:color w:val="000000"/>
                <w:sz w:val="18"/>
                <w:szCs w:val="18"/>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Apartment, 3 bedrooms, 2 residents</w:t>
            </w:r>
          </w:p>
        </w:tc>
        <w:tc>
          <w:tcPr>
            <w:tcW w:w="941" w:type="dxa"/>
            <w:tcBorders>
              <w:top w:val="single" w:sz="4" w:space="0" w:color="7030A0"/>
              <w:bottom w:val="single" w:sz="4" w:space="0" w:color="7030A0"/>
            </w:tcBorders>
            <w:vAlign w:val="center"/>
          </w:tcPr>
          <w:p w:rsidR="000917E9" w:rsidRPr="004C01F6" w:rsidRDefault="000917E9" w:rsidP="00717425">
            <w:pPr>
              <w:spacing w:after="0" w:line="240" w:lineRule="auto"/>
              <w:jc w:val="center"/>
              <w:rPr>
                <w:rFonts w:cs="Arial"/>
                <w:color w:val="000000" w:themeColor="text1"/>
                <w:sz w:val="18"/>
                <w:szCs w:val="18"/>
                <w:lang w:val="en-AU"/>
              </w:rPr>
            </w:pPr>
            <w:r w:rsidRPr="004C01F6">
              <w:rPr>
                <w:rFonts w:cs="Arial"/>
                <w:color w:val="000000" w:themeColor="text1"/>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$57,377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$64,167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$80,436</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$91,067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$123,442</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$141,242</w:t>
            </w:r>
          </w:p>
        </w:tc>
        <w:tc>
          <w:tcPr>
            <w:tcW w:w="1229" w:type="dxa"/>
            <w:vMerge/>
            <w:tcBorders>
              <w:top w:val="single" w:sz="4" w:space="0" w:color="7030A0"/>
              <w:bottom w:val="single" w:sz="4" w:space="0" w:color="7030A0"/>
              <w:right w:val="single" w:sz="4" w:space="0" w:color="7030A0"/>
            </w:tcBorders>
            <w:shd w:val="clear" w:color="auto" w:fill="auto"/>
            <w:vAlign w:val="center"/>
          </w:tcPr>
          <w:p w:rsidR="000917E9" w:rsidRPr="005C4E27" w:rsidRDefault="000917E9" w:rsidP="00717425">
            <w:pPr>
              <w:spacing w:after="0" w:line="240" w:lineRule="auto"/>
              <w:rPr>
                <w:rFonts w:eastAsia="Times New Roman" w:cs="Arial"/>
                <w:color w:val="000000"/>
                <w:sz w:val="18"/>
                <w:szCs w:val="18"/>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Villa, 1 bedrooms, 1 resident</w:t>
            </w:r>
          </w:p>
        </w:tc>
        <w:tc>
          <w:tcPr>
            <w:tcW w:w="941" w:type="dxa"/>
            <w:tcBorders>
              <w:top w:val="single" w:sz="4" w:space="0" w:color="7030A0"/>
              <w:bottom w:val="single" w:sz="4" w:space="0" w:color="7030A0"/>
            </w:tcBorders>
            <w:vAlign w:val="center"/>
          </w:tcPr>
          <w:p w:rsidR="000917E9" w:rsidRPr="004C01F6" w:rsidRDefault="000917E9" w:rsidP="00717425">
            <w:pPr>
              <w:spacing w:after="0" w:line="240" w:lineRule="auto"/>
              <w:jc w:val="center"/>
              <w:rPr>
                <w:rFonts w:cs="Arial"/>
                <w:color w:val="000000" w:themeColor="text1"/>
                <w:sz w:val="18"/>
                <w:szCs w:val="18"/>
                <w:lang w:val="en-AU"/>
              </w:rPr>
            </w:pPr>
            <w:r w:rsidRPr="004C01F6">
              <w:rPr>
                <w:rFonts w:cs="Arial"/>
                <w:color w:val="000000" w:themeColor="text1"/>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$31,403</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$33,849</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$39,869</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$42,951</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$45,963</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$49,796</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$56,493</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$60,548</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rPr>
                <w:rFonts w:eastAsia="Times New Roman" w:cs="Arial"/>
                <w:color w:val="000000"/>
                <w:sz w:val="18"/>
                <w:szCs w:val="18"/>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Duplex</w:t>
            </w:r>
            <w:r>
              <w:rPr>
                <w:rFonts w:eastAsia="Times New Roman" w:cs="Arial"/>
                <w:color w:val="000000"/>
                <w:sz w:val="18"/>
                <w:szCs w:val="18"/>
                <w:lang w:val="en-AU" w:eastAsia="en-AU"/>
              </w:rPr>
              <w:t xml:space="preserve"> </w:t>
            </w:r>
            <w:r w:rsidRPr="007B7D09">
              <w:rPr>
                <w:rFonts w:eastAsia="Times New Roman" w:cs="Arial"/>
                <w:color w:val="000000"/>
                <w:sz w:val="18"/>
                <w:szCs w:val="18"/>
                <w:lang w:val="en-AU" w:eastAsia="en-AU"/>
              </w:rPr>
              <w:t>/</w:t>
            </w:r>
            <w:r>
              <w:rPr>
                <w:rFonts w:eastAsia="Times New Roman" w:cs="Arial"/>
                <w:color w:val="000000"/>
                <w:sz w:val="18"/>
                <w:szCs w:val="18"/>
                <w:lang w:val="en-AU" w:eastAsia="en-AU"/>
              </w:rPr>
              <w:t xml:space="preserve"> T</w:t>
            </w:r>
            <w:r w:rsidRPr="007B7D09">
              <w:rPr>
                <w:rFonts w:eastAsia="Times New Roman" w:cs="Arial"/>
                <w:color w:val="000000"/>
                <w:sz w:val="18"/>
                <w:szCs w:val="18"/>
                <w:lang w:val="en-AU" w:eastAsia="en-AU"/>
              </w:rPr>
              <w:t>ownhouse, 2 residents</w:t>
            </w:r>
          </w:p>
        </w:tc>
        <w:tc>
          <w:tcPr>
            <w:tcW w:w="941" w:type="dxa"/>
            <w:tcBorders>
              <w:top w:val="single" w:sz="4" w:space="0" w:color="7030A0"/>
              <w:bottom w:val="single" w:sz="4" w:space="0" w:color="7030A0"/>
            </w:tcBorders>
            <w:vAlign w:val="center"/>
          </w:tcPr>
          <w:p w:rsidR="000917E9" w:rsidRPr="004C01F6" w:rsidRDefault="000917E9" w:rsidP="00717425">
            <w:pPr>
              <w:spacing w:after="0" w:line="240" w:lineRule="auto"/>
              <w:jc w:val="center"/>
              <w:rPr>
                <w:rFonts w:cs="Arial"/>
                <w:color w:val="000000" w:themeColor="text1"/>
                <w:sz w:val="18"/>
                <w:szCs w:val="18"/>
                <w:lang w:val="en-AU"/>
              </w:rPr>
            </w:pPr>
            <w:r w:rsidRPr="004C01F6">
              <w:rPr>
                <w:rFonts w:cs="Arial"/>
                <w:color w:val="000000" w:themeColor="text1"/>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$44,599</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$46,848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$54,522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$57,454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$62,504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$66,124</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+$3,044</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$76,811</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$80,632</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rPr>
                <w:rFonts w:eastAsia="Times New Roman" w:cs="Arial"/>
                <w:color w:val="000000"/>
                <w:sz w:val="18"/>
                <w:szCs w:val="18"/>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Duplex</w:t>
            </w:r>
            <w:r>
              <w:rPr>
                <w:rFonts w:eastAsia="Times New Roman" w:cs="Arial"/>
                <w:color w:val="000000"/>
                <w:sz w:val="18"/>
                <w:szCs w:val="18"/>
                <w:lang w:val="en-AU" w:eastAsia="en-AU"/>
              </w:rPr>
              <w:t xml:space="preserve"> </w:t>
            </w:r>
            <w:r w:rsidRPr="007B7D09">
              <w:rPr>
                <w:rFonts w:eastAsia="Times New Roman" w:cs="Arial"/>
                <w:color w:val="000000"/>
                <w:sz w:val="18"/>
                <w:szCs w:val="18"/>
                <w:lang w:val="en-AU" w:eastAsia="en-AU"/>
              </w:rPr>
              <w:t>/</w:t>
            </w:r>
            <w:r>
              <w:rPr>
                <w:rFonts w:eastAsia="Times New Roman" w:cs="Arial"/>
                <w:color w:val="000000"/>
                <w:sz w:val="18"/>
                <w:szCs w:val="18"/>
                <w:lang w:val="en-AU" w:eastAsia="en-AU"/>
              </w:rPr>
              <w:t xml:space="preserve"> T</w:t>
            </w:r>
            <w:r w:rsidRPr="007B7D09">
              <w:rPr>
                <w:rFonts w:eastAsia="Times New Roman" w:cs="Arial"/>
                <w:color w:val="000000"/>
                <w:sz w:val="18"/>
                <w:szCs w:val="18"/>
                <w:lang w:val="en-AU" w:eastAsia="en-AU"/>
              </w:rPr>
              <w:t>ownhouse, 3 residents</w:t>
            </w:r>
          </w:p>
        </w:tc>
        <w:tc>
          <w:tcPr>
            <w:tcW w:w="941" w:type="dxa"/>
            <w:tcBorders>
              <w:top w:val="single" w:sz="4" w:space="0" w:color="7030A0"/>
              <w:bottom w:val="single" w:sz="4" w:space="0" w:color="7030A0"/>
            </w:tcBorders>
            <w:vAlign w:val="center"/>
          </w:tcPr>
          <w:p w:rsidR="000917E9" w:rsidRPr="004C01F6" w:rsidRDefault="000917E9" w:rsidP="00717425">
            <w:pPr>
              <w:spacing w:after="0" w:line="240" w:lineRule="auto"/>
              <w:jc w:val="center"/>
              <w:rPr>
                <w:rFonts w:cs="Arial"/>
                <w:color w:val="000000" w:themeColor="text1"/>
                <w:sz w:val="18"/>
                <w:szCs w:val="18"/>
                <w:lang w:val="en-AU"/>
              </w:rPr>
            </w:pPr>
            <w:r w:rsidRPr="004C01F6">
              <w:rPr>
                <w:rFonts w:cs="Arial"/>
                <w:color w:val="000000" w:themeColor="text1"/>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$57,565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$59,801</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$70,896</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$73,760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$81,893</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$85,415</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+$2,963</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$101,315</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$105,031</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rPr>
                <w:rFonts w:eastAsia="Times New Roman" w:cs="Arial"/>
                <w:color w:val="000000"/>
                <w:sz w:val="18"/>
                <w:szCs w:val="18"/>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House, 2 residents</w:t>
            </w:r>
          </w:p>
        </w:tc>
        <w:tc>
          <w:tcPr>
            <w:tcW w:w="941" w:type="dxa"/>
            <w:tcBorders>
              <w:top w:val="single" w:sz="4" w:space="0" w:color="7030A0"/>
              <w:bottom w:val="single" w:sz="4" w:space="0" w:color="7030A0"/>
            </w:tcBorders>
            <w:vAlign w:val="center"/>
          </w:tcPr>
          <w:p w:rsidR="000917E9" w:rsidRPr="004C01F6" w:rsidRDefault="000917E9" w:rsidP="00717425">
            <w:pPr>
              <w:spacing w:after="0" w:line="240" w:lineRule="auto"/>
              <w:jc w:val="center"/>
              <w:rPr>
                <w:rFonts w:cs="Arial"/>
                <w:color w:val="000000" w:themeColor="text1"/>
                <w:sz w:val="18"/>
                <w:szCs w:val="18"/>
                <w:lang w:val="en-AU"/>
              </w:rPr>
            </w:pPr>
            <w:r w:rsidRPr="004C01F6">
              <w:rPr>
                <w:rFonts w:cs="Arial"/>
                <w:color w:val="000000" w:themeColor="text1"/>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$57,625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$59,877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$67,587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$70,519</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$76,583</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$80,203</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+$3,044</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$90,982</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$94,802</w:t>
            </w:r>
          </w:p>
        </w:tc>
        <w:tc>
          <w:tcPr>
            <w:tcW w:w="1229" w:type="dxa"/>
            <w:vMerge/>
            <w:tcBorders>
              <w:top w:val="single" w:sz="4" w:space="0" w:color="7030A0"/>
              <w:bottom w:val="single" w:sz="4" w:space="0" w:color="7030A0"/>
              <w:right w:val="single" w:sz="4" w:space="0" w:color="7030A0"/>
            </w:tcBorders>
            <w:shd w:val="clear" w:color="auto" w:fill="auto"/>
            <w:vAlign w:val="center"/>
          </w:tcPr>
          <w:p w:rsidR="000917E9" w:rsidRPr="005C4E27" w:rsidRDefault="000917E9" w:rsidP="00717425">
            <w:pPr>
              <w:spacing w:after="0" w:line="240" w:lineRule="auto"/>
              <w:rPr>
                <w:rFonts w:eastAsia="Times New Roman" w:cs="Arial"/>
                <w:color w:val="000000"/>
                <w:sz w:val="18"/>
                <w:szCs w:val="18"/>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House, 3 residents</w:t>
            </w:r>
          </w:p>
        </w:tc>
        <w:tc>
          <w:tcPr>
            <w:tcW w:w="941" w:type="dxa"/>
            <w:tcBorders>
              <w:top w:val="single" w:sz="4" w:space="0" w:color="7030A0"/>
              <w:bottom w:val="single" w:sz="4" w:space="0" w:color="7030A0"/>
            </w:tcBorders>
            <w:vAlign w:val="center"/>
          </w:tcPr>
          <w:p w:rsidR="000917E9" w:rsidRPr="004C01F6" w:rsidRDefault="000917E9" w:rsidP="00717425">
            <w:pPr>
              <w:spacing w:after="0" w:line="240" w:lineRule="auto"/>
              <w:jc w:val="center"/>
              <w:rPr>
                <w:rFonts w:cs="Arial"/>
                <w:color w:val="000000" w:themeColor="text1"/>
                <w:sz w:val="18"/>
                <w:szCs w:val="18"/>
                <w:lang w:val="en-AU"/>
              </w:rPr>
            </w:pPr>
            <w:r w:rsidRPr="004C01F6">
              <w:rPr>
                <w:rFonts w:cs="Arial"/>
                <w:color w:val="000000" w:themeColor="text1"/>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$71,245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$73,751</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$86,094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$89,302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$97,780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$101,673</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+$3,274</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$126,152</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$130,647</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rPr>
                <w:rFonts w:eastAsia="Times New Roman" w:cs="Arial"/>
                <w:color w:val="000000"/>
                <w:sz w:val="18"/>
                <w:szCs w:val="18"/>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 xml:space="preserve">Group </w:t>
            </w:r>
            <w:r>
              <w:rPr>
                <w:rFonts w:eastAsia="Times New Roman" w:cs="Arial"/>
                <w:color w:val="000000"/>
                <w:sz w:val="18"/>
                <w:szCs w:val="18"/>
                <w:lang w:val="en-AU" w:eastAsia="en-AU"/>
              </w:rPr>
              <w:t>home,</w:t>
            </w:r>
            <w:r w:rsidRPr="007B7D09">
              <w:rPr>
                <w:rFonts w:eastAsia="Times New Roman" w:cs="Arial"/>
                <w:color w:val="000000"/>
                <w:sz w:val="18"/>
                <w:szCs w:val="18"/>
                <w:lang w:val="en-AU" w:eastAsia="en-AU"/>
              </w:rPr>
              <w:t xml:space="preserve"> 4 residents</w:t>
            </w:r>
          </w:p>
        </w:tc>
        <w:tc>
          <w:tcPr>
            <w:tcW w:w="941" w:type="dxa"/>
            <w:tcBorders>
              <w:top w:val="single" w:sz="4" w:space="0" w:color="7030A0"/>
              <w:bottom w:val="single" w:sz="4" w:space="0" w:color="7030A0"/>
            </w:tcBorders>
            <w:vAlign w:val="center"/>
          </w:tcPr>
          <w:p w:rsidR="000917E9" w:rsidRPr="004C01F6" w:rsidRDefault="000917E9" w:rsidP="00717425">
            <w:pPr>
              <w:spacing w:after="0" w:line="240" w:lineRule="auto"/>
              <w:jc w:val="center"/>
              <w:rPr>
                <w:rFonts w:cs="Arial"/>
                <w:color w:val="000000" w:themeColor="text1"/>
                <w:sz w:val="18"/>
                <w:szCs w:val="18"/>
                <w:lang w:val="en-AU"/>
              </w:rPr>
            </w:pPr>
            <w:r w:rsidRPr="004C01F6">
              <w:rPr>
                <w:rFonts w:cs="Arial"/>
                <w:color w:val="000000" w:themeColor="text1"/>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$86,537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$89,019</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$104,332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$107,560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$118,877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$122,767</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+$3,273</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$152,677</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$157,142</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rPr>
                <w:rFonts w:eastAsia="Times New Roman" w:cs="Arial"/>
                <w:color w:val="000000"/>
                <w:sz w:val="18"/>
                <w:szCs w:val="18"/>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 xml:space="preserve">Group </w:t>
            </w:r>
            <w:r>
              <w:rPr>
                <w:rFonts w:eastAsia="Times New Roman" w:cs="Arial"/>
                <w:color w:val="000000"/>
                <w:sz w:val="18"/>
                <w:szCs w:val="18"/>
                <w:lang w:val="en-AU" w:eastAsia="en-AU"/>
              </w:rPr>
              <w:t>home</w:t>
            </w:r>
            <w:r w:rsidRPr="007B7D09">
              <w:rPr>
                <w:rFonts w:eastAsia="Times New Roman" w:cs="Arial"/>
                <w:color w:val="000000"/>
                <w:sz w:val="18"/>
                <w:szCs w:val="18"/>
                <w:lang w:val="en-AU" w:eastAsia="en-AU"/>
              </w:rPr>
              <w:t>, 5 residents</w:t>
            </w:r>
          </w:p>
        </w:tc>
        <w:tc>
          <w:tcPr>
            <w:tcW w:w="941" w:type="dxa"/>
            <w:tcBorders>
              <w:top w:val="single" w:sz="4" w:space="0" w:color="7030A0"/>
              <w:bottom w:val="single" w:sz="4" w:space="0" w:color="7030A0"/>
            </w:tcBorders>
            <w:vAlign w:val="center"/>
          </w:tcPr>
          <w:p w:rsidR="000917E9" w:rsidRPr="004C01F6" w:rsidRDefault="000917E9" w:rsidP="00717425">
            <w:pPr>
              <w:spacing w:after="0" w:line="240" w:lineRule="auto"/>
              <w:jc w:val="center"/>
              <w:rPr>
                <w:rFonts w:cs="Arial"/>
                <w:color w:val="000000" w:themeColor="text1"/>
                <w:sz w:val="18"/>
                <w:szCs w:val="18"/>
                <w:lang w:val="en-AU"/>
              </w:rPr>
            </w:pPr>
            <w:r w:rsidRPr="004C01F6">
              <w:rPr>
                <w:rFonts w:cs="Arial"/>
                <w:color w:val="000000" w:themeColor="text1"/>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$95,895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$98,393</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$117,018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$120,164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$132,993</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$136,773</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+$3,179</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$171,590</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$175,914</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rPr>
                <w:rFonts w:eastAsia="Times New Roman" w:cs="Arial"/>
                <w:color w:val="000000"/>
                <w:sz w:val="18"/>
                <w:szCs w:val="18"/>
                <w:lang w:val="en-AU" w:eastAsia="en-AU"/>
              </w:rPr>
            </w:pPr>
          </w:p>
        </w:tc>
      </w:tr>
      <w:tr w:rsidR="000917E9" w:rsidRPr="005C4E27" w:rsidTr="00717425">
        <w:trPr>
          <w:trHeight w:val="283"/>
        </w:trPr>
        <w:tc>
          <w:tcPr>
            <w:tcW w:w="13876" w:type="dxa"/>
            <w:gridSpan w:val="12"/>
            <w:tcBorders>
              <w:top w:val="single" w:sz="4" w:space="0" w:color="7030A0"/>
              <w:left w:val="single" w:sz="4" w:space="0" w:color="7030A0"/>
              <w:bottom w:val="single" w:sz="4" w:space="0" w:color="7030A0"/>
              <w:right w:val="single" w:sz="4" w:space="0" w:color="7030A0"/>
            </w:tcBorders>
            <w:shd w:val="clear" w:color="auto" w:fill="F3D3FD"/>
            <w:noWrap/>
            <w:vAlign w:val="center"/>
          </w:tcPr>
          <w:p w:rsidR="000917E9" w:rsidRPr="004C01F6" w:rsidRDefault="000917E9" w:rsidP="00717425">
            <w:pPr>
              <w:spacing w:after="0" w:line="240" w:lineRule="auto"/>
              <w:jc w:val="center"/>
              <w:rPr>
                <w:rFonts w:eastAsia="Times New Roman" w:cs="Arial"/>
                <w:color w:val="000000" w:themeColor="text1"/>
                <w:sz w:val="18"/>
                <w:szCs w:val="18"/>
                <w:lang w:val="en-AU" w:eastAsia="en-AU"/>
              </w:rPr>
            </w:pPr>
            <w:r w:rsidRPr="007B7D09">
              <w:rPr>
                <w:rFonts w:eastAsia="Times New Roman" w:cs="Arial"/>
                <w:b/>
                <w:color w:val="000000" w:themeColor="text1"/>
                <w:sz w:val="18"/>
                <w:szCs w:val="18"/>
                <w:lang w:val="en-AU" w:eastAsia="en-AU"/>
              </w:rPr>
              <w:t>EXISTING STOCK</w:t>
            </w: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Apartment, 1 bedroom, 1 resident</w:t>
            </w:r>
          </w:p>
        </w:tc>
        <w:tc>
          <w:tcPr>
            <w:tcW w:w="941" w:type="dxa"/>
            <w:tcBorders>
              <w:top w:val="single" w:sz="4" w:space="0" w:color="7030A0"/>
              <w:bottom w:val="single" w:sz="4" w:space="0" w:color="7030A0"/>
            </w:tcBorders>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$26,594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$27,000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$30,113</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$40,030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$45,315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$57,689</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$65,916</w:t>
            </w:r>
          </w:p>
        </w:tc>
        <w:tc>
          <w:tcPr>
            <w:tcW w:w="1229" w:type="dxa"/>
            <w:vMerge w:val="restart"/>
            <w:tcBorders>
              <w:top w:val="single" w:sz="4" w:space="0" w:color="7030A0"/>
              <w:bottom w:val="single" w:sz="4" w:space="0" w:color="7030A0"/>
              <w:right w:val="single" w:sz="4" w:space="0" w:color="7030A0"/>
            </w:tcBorders>
            <w:shd w:val="clear" w:color="auto" w:fill="auto"/>
            <w:vAlign w:val="center"/>
          </w:tcPr>
          <w:p w:rsidR="000917E9" w:rsidRPr="004C01F6" w:rsidRDefault="000917E9" w:rsidP="00717425">
            <w:pPr>
              <w:spacing w:after="0" w:line="240" w:lineRule="auto"/>
              <w:jc w:val="center"/>
              <w:rPr>
                <w:rFonts w:eastAsia="Times New Roman" w:cs="Arial"/>
                <w:color w:val="000000"/>
                <w:sz w:val="18"/>
                <w:szCs w:val="18"/>
                <w:lang w:val="en-AU" w:eastAsia="en-AU"/>
              </w:rPr>
            </w:pPr>
            <w:r w:rsidRPr="004C01F6">
              <w:rPr>
                <w:rFonts w:eastAsia="Times New Roman" w:cs="Arial"/>
                <w:color w:val="000000"/>
                <w:sz w:val="18"/>
                <w:szCs w:val="18"/>
                <w:lang w:val="en-AU" w:eastAsia="en-AU"/>
              </w:rPr>
              <w:t>Funded as trials and/or new design categories added over time.</w:t>
            </w: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Apartment, 2 bedrooms, 1 resident</w:t>
            </w:r>
          </w:p>
        </w:tc>
        <w:tc>
          <w:tcPr>
            <w:tcW w:w="941" w:type="dxa"/>
            <w:tcBorders>
              <w:top w:val="single" w:sz="4" w:space="0" w:color="7030A0"/>
              <w:bottom w:val="single" w:sz="4" w:space="0" w:color="7030A0"/>
            </w:tcBorders>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$32,454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$32,950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$37,054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$49,508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$56,373</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$72,519</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$83,219</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asciiTheme="minorHAnsi" w:eastAsia="Times New Roman" w:hAnsiTheme="minorHAnsi" w:cs="Times New Roman"/>
                <w:color w:val="000000"/>
                <w:sz w:val="20"/>
                <w:szCs w:val="22"/>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Apartment, 3 bedrooms, 2 residents</w:t>
            </w:r>
          </w:p>
        </w:tc>
        <w:tc>
          <w:tcPr>
            <w:tcW w:w="941" w:type="dxa"/>
            <w:tcBorders>
              <w:top w:val="single" w:sz="4" w:space="0" w:color="7030A0"/>
              <w:bottom w:val="single" w:sz="4" w:space="0" w:color="7030A0"/>
            </w:tcBorders>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$40,837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$41,479</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$45,619</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$63,448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$71,248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$95,444</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$108,576</w:t>
            </w:r>
          </w:p>
        </w:tc>
        <w:tc>
          <w:tcPr>
            <w:tcW w:w="1229" w:type="dxa"/>
            <w:vMerge/>
            <w:tcBorders>
              <w:top w:val="single" w:sz="4" w:space="0" w:color="7030A0"/>
              <w:bottom w:val="single" w:sz="4" w:space="0" w:color="7030A0"/>
              <w:right w:val="single" w:sz="4" w:space="0" w:color="7030A0"/>
            </w:tcBorders>
            <w:shd w:val="clear" w:color="auto" w:fill="auto"/>
            <w:vAlign w:val="center"/>
          </w:tcPr>
          <w:p w:rsidR="000917E9" w:rsidRPr="005C4E27" w:rsidRDefault="000917E9" w:rsidP="00717425">
            <w:pPr>
              <w:spacing w:after="0" w:line="240" w:lineRule="auto"/>
              <w:jc w:val="center"/>
              <w:rPr>
                <w:rFonts w:asciiTheme="minorHAnsi" w:eastAsia="Times New Roman" w:hAnsiTheme="minorHAnsi" w:cs="Times New Roman"/>
                <w:color w:val="000000"/>
                <w:sz w:val="20"/>
                <w:szCs w:val="22"/>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Villa, 1 bedrooms, 1 resident</w:t>
            </w:r>
          </w:p>
        </w:tc>
        <w:tc>
          <w:tcPr>
            <w:tcW w:w="941" w:type="dxa"/>
            <w:tcBorders>
              <w:top w:val="single" w:sz="4" w:space="0" w:color="7030A0"/>
              <w:bottom w:val="single" w:sz="4" w:space="0" w:color="7030A0"/>
            </w:tcBorders>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$17,560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$17,804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$19,647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$24,182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$26,122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$28,018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$30,432</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na</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$34,647</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$37,200</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asciiTheme="minorHAnsi" w:eastAsia="Times New Roman" w:hAnsiTheme="minorHAnsi" w:cs="Times New Roman"/>
                <w:color w:val="000000"/>
                <w:sz w:val="20"/>
                <w:szCs w:val="22"/>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Duplex</w:t>
            </w:r>
            <w:r>
              <w:rPr>
                <w:rFonts w:eastAsia="Times New Roman" w:cs="Arial"/>
                <w:color w:val="000000"/>
                <w:sz w:val="18"/>
                <w:szCs w:val="18"/>
                <w:lang w:val="en-AU" w:eastAsia="en-AU"/>
              </w:rPr>
              <w:t xml:space="preserve"> </w:t>
            </w:r>
            <w:r w:rsidRPr="007B7D09">
              <w:rPr>
                <w:rFonts w:eastAsia="Times New Roman" w:cs="Arial"/>
                <w:color w:val="000000"/>
                <w:sz w:val="18"/>
                <w:szCs w:val="18"/>
                <w:lang w:val="en-AU" w:eastAsia="en-AU"/>
              </w:rPr>
              <w:t>/</w:t>
            </w:r>
            <w:r>
              <w:rPr>
                <w:rFonts w:eastAsia="Times New Roman" w:cs="Arial"/>
                <w:color w:val="000000"/>
                <w:sz w:val="18"/>
                <w:szCs w:val="18"/>
                <w:lang w:val="en-AU" w:eastAsia="en-AU"/>
              </w:rPr>
              <w:t xml:space="preserve"> T</w:t>
            </w:r>
            <w:r w:rsidRPr="007B7D09">
              <w:rPr>
                <w:rFonts w:eastAsia="Times New Roman" w:cs="Arial"/>
                <w:color w:val="000000"/>
                <w:sz w:val="18"/>
                <w:szCs w:val="18"/>
                <w:lang w:val="en-AU" w:eastAsia="en-AU"/>
              </w:rPr>
              <w:t>ownhouse, 2 residents</w:t>
            </w:r>
          </w:p>
        </w:tc>
        <w:tc>
          <w:tcPr>
            <w:tcW w:w="941" w:type="dxa"/>
            <w:tcBorders>
              <w:top w:val="single" w:sz="4" w:space="0" w:color="7030A0"/>
              <w:bottom w:val="single" w:sz="4" w:space="0" w:color="7030A0"/>
            </w:tcBorders>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$25,870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$26,190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$27,941</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$33,919</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$35,764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$38,944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$41,222</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+$1,916</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$47,950</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$50,356</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asciiTheme="minorHAnsi" w:eastAsia="Times New Roman" w:hAnsiTheme="minorHAnsi" w:cs="Times New Roman"/>
                <w:color w:val="000000"/>
                <w:sz w:val="20"/>
                <w:szCs w:val="22"/>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4C01F6"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Dup</w:t>
            </w:r>
            <w:r w:rsidRPr="004C01F6">
              <w:rPr>
                <w:rFonts w:eastAsia="Times New Roman" w:cs="Arial"/>
                <w:color w:val="000000"/>
                <w:sz w:val="18"/>
                <w:szCs w:val="18"/>
                <w:lang w:val="en-AU" w:eastAsia="en-AU"/>
              </w:rPr>
              <w:t>lex</w:t>
            </w:r>
            <w:r>
              <w:rPr>
                <w:rFonts w:eastAsia="Times New Roman" w:cs="Arial"/>
                <w:color w:val="000000"/>
                <w:sz w:val="18"/>
                <w:szCs w:val="18"/>
                <w:lang w:val="en-AU" w:eastAsia="en-AU"/>
              </w:rPr>
              <w:t xml:space="preserve"> </w:t>
            </w:r>
            <w:r w:rsidRPr="004C01F6">
              <w:rPr>
                <w:rFonts w:eastAsia="Times New Roman" w:cs="Arial"/>
                <w:color w:val="000000"/>
                <w:sz w:val="18"/>
                <w:szCs w:val="18"/>
                <w:lang w:val="en-AU" w:eastAsia="en-AU"/>
              </w:rPr>
              <w:t>/</w:t>
            </w:r>
            <w:r>
              <w:rPr>
                <w:rFonts w:eastAsia="Times New Roman" w:cs="Arial"/>
                <w:color w:val="000000"/>
                <w:sz w:val="18"/>
                <w:szCs w:val="18"/>
                <w:lang w:val="en-AU" w:eastAsia="en-AU"/>
              </w:rPr>
              <w:t xml:space="preserve"> T</w:t>
            </w:r>
            <w:r w:rsidRPr="004C01F6">
              <w:rPr>
                <w:rFonts w:eastAsia="Times New Roman" w:cs="Arial"/>
                <w:color w:val="000000"/>
                <w:sz w:val="18"/>
                <w:szCs w:val="18"/>
                <w:lang w:val="en-AU" w:eastAsia="en-AU"/>
              </w:rPr>
              <w:t>ownhouse, 3 residents</w:t>
            </w:r>
          </w:p>
        </w:tc>
        <w:tc>
          <w:tcPr>
            <w:tcW w:w="941" w:type="dxa"/>
            <w:tcBorders>
              <w:top w:val="single" w:sz="4" w:space="0" w:color="7030A0"/>
              <w:bottom w:val="single" w:sz="4" w:space="0" w:color="7030A0"/>
            </w:tcBorders>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$35,120</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$35,526</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$37,238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$45,738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$47,539</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$52,658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$54,876</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+$1,865</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$64,888</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$67,224</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asciiTheme="minorHAnsi" w:eastAsia="Times New Roman" w:hAnsiTheme="minorHAnsi" w:cs="Times New Roman"/>
                <w:color w:val="000000"/>
                <w:sz w:val="20"/>
                <w:szCs w:val="22"/>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House, 2 residents</w:t>
            </w:r>
          </w:p>
        </w:tc>
        <w:tc>
          <w:tcPr>
            <w:tcW w:w="941" w:type="dxa"/>
            <w:tcBorders>
              <w:top w:val="single" w:sz="4" w:space="0" w:color="7030A0"/>
              <w:bottom w:val="single" w:sz="4" w:space="0" w:color="7030A0"/>
            </w:tcBorders>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$27,322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$27,554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$29,308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$35,312</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$37,158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$40,975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$43,254</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+$1,916</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$50,040</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$52,446</w:t>
            </w:r>
          </w:p>
        </w:tc>
        <w:tc>
          <w:tcPr>
            <w:tcW w:w="1229" w:type="dxa"/>
            <w:vMerge/>
            <w:tcBorders>
              <w:top w:val="single" w:sz="4" w:space="0" w:color="7030A0"/>
              <w:bottom w:val="single" w:sz="4" w:space="0" w:color="7030A0"/>
              <w:right w:val="single" w:sz="4" w:space="0" w:color="7030A0"/>
            </w:tcBorders>
            <w:shd w:val="clear" w:color="auto" w:fill="auto"/>
            <w:vAlign w:val="center"/>
          </w:tcPr>
          <w:p w:rsidR="000917E9" w:rsidRPr="005C4E27" w:rsidRDefault="000917E9" w:rsidP="00717425">
            <w:pPr>
              <w:spacing w:after="0" w:line="240" w:lineRule="auto"/>
              <w:jc w:val="center"/>
              <w:rPr>
                <w:rFonts w:asciiTheme="minorHAnsi" w:eastAsia="Times New Roman" w:hAnsiTheme="minorHAnsi" w:cs="Times New Roman"/>
                <w:color w:val="000000"/>
                <w:sz w:val="20"/>
                <w:szCs w:val="22"/>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House, 3 residents</w:t>
            </w:r>
          </w:p>
        </w:tc>
        <w:tc>
          <w:tcPr>
            <w:tcW w:w="941" w:type="dxa"/>
            <w:tcBorders>
              <w:top w:val="single" w:sz="4" w:space="0" w:color="7030A0"/>
              <w:bottom w:val="single" w:sz="4" w:space="0" w:color="7030A0"/>
            </w:tcBorders>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$36,164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$38,545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$40,465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$49,917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$51,937</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$57,276</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$59,726</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+$2,061</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$75,136</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$77,966</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asciiTheme="minorHAnsi" w:eastAsia="Times New Roman" w:hAnsiTheme="minorHAnsi" w:cs="Times New Roman"/>
                <w:color w:val="000000"/>
                <w:sz w:val="20"/>
                <w:szCs w:val="22"/>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 xml:space="preserve">Group </w:t>
            </w:r>
            <w:r>
              <w:rPr>
                <w:rFonts w:eastAsia="Times New Roman" w:cs="Arial"/>
                <w:color w:val="000000"/>
                <w:sz w:val="18"/>
                <w:szCs w:val="18"/>
                <w:lang w:val="en-AU" w:eastAsia="en-AU"/>
              </w:rPr>
              <w:t>home</w:t>
            </w:r>
            <w:r w:rsidRPr="007B7D09">
              <w:rPr>
                <w:rFonts w:eastAsia="Times New Roman" w:cs="Arial"/>
                <w:color w:val="000000"/>
                <w:sz w:val="18"/>
                <w:szCs w:val="18"/>
                <w:lang w:val="en-AU" w:eastAsia="en-AU"/>
              </w:rPr>
              <w:t>, 4 residents</w:t>
            </w:r>
          </w:p>
        </w:tc>
        <w:tc>
          <w:tcPr>
            <w:tcW w:w="941" w:type="dxa"/>
            <w:tcBorders>
              <w:top w:val="single" w:sz="4" w:space="0" w:color="7030A0"/>
              <w:bottom w:val="single" w:sz="4" w:space="0" w:color="7030A0"/>
            </w:tcBorders>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$51,504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$52,144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$54,073</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$66,001</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$68,036</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$75,158</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$77,607</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+$2,061</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$96,437</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$99,248</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asciiTheme="minorHAnsi" w:eastAsia="Times New Roman" w:hAnsiTheme="minorHAnsi" w:cs="Times New Roman"/>
                <w:color w:val="000000"/>
                <w:sz w:val="20"/>
                <w:szCs w:val="22"/>
                <w:lang w:val="en-AU" w:eastAsia="en-AU"/>
              </w:rPr>
            </w:pPr>
          </w:p>
        </w:tc>
      </w:tr>
      <w:tr w:rsidR="000917E9" w:rsidRPr="005C4E27" w:rsidTr="00717425">
        <w:trPr>
          <w:trHeight w:val="283"/>
        </w:trPr>
        <w:tc>
          <w:tcPr>
            <w:tcW w:w="3143" w:type="dxa"/>
            <w:tcBorders>
              <w:top w:val="single" w:sz="4" w:space="0" w:color="7030A0"/>
              <w:left w:val="single" w:sz="4" w:space="0" w:color="7030A0"/>
              <w:bottom w:val="single" w:sz="4" w:space="0" w:color="7030A0"/>
            </w:tcBorders>
            <w:shd w:val="clear" w:color="auto" w:fill="auto"/>
            <w:noWrap/>
            <w:vAlign w:val="center"/>
            <w:hideMark/>
          </w:tcPr>
          <w:p w:rsidR="000917E9" w:rsidRPr="007B7D09" w:rsidRDefault="000917E9"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 xml:space="preserve">Group </w:t>
            </w:r>
            <w:r>
              <w:rPr>
                <w:rFonts w:eastAsia="Times New Roman" w:cs="Arial"/>
                <w:color w:val="000000"/>
                <w:sz w:val="18"/>
                <w:szCs w:val="18"/>
                <w:lang w:val="en-AU" w:eastAsia="en-AU"/>
              </w:rPr>
              <w:t>home</w:t>
            </w:r>
            <w:r w:rsidRPr="007B7D09">
              <w:rPr>
                <w:rFonts w:eastAsia="Times New Roman" w:cs="Arial"/>
                <w:color w:val="000000"/>
                <w:sz w:val="18"/>
                <w:szCs w:val="18"/>
                <w:lang w:val="en-AU" w:eastAsia="en-AU"/>
              </w:rPr>
              <w:t>, 5 residents</w:t>
            </w:r>
          </w:p>
        </w:tc>
        <w:tc>
          <w:tcPr>
            <w:tcW w:w="941" w:type="dxa"/>
            <w:tcBorders>
              <w:top w:val="single" w:sz="4" w:space="0" w:color="7030A0"/>
              <w:bottom w:val="single" w:sz="4" w:space="0" w:color="7030A0"/>
            </w:tcBorders>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$58,455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$59,094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$60,975</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$75,006</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$76,986</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$85,064</w:t>
            </w:r>
          </w:p>
        </w:tc>
        <w:tc>
          <w:tcPr>
            <w:tcW w:w="94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$87,444</w:t>
            </w:r>
          </w:p>
        </w:tc>
        <w:tc>
          <w:tcPr>
            <w:tcW w:w="938"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+$2,001</w:t>
            </w:r>
          </w:p>
        </w:tc>
        <w:tc>
          <w:tcPr>
            <w:tcW w:w="1005"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$109,359</w:t>
            </w:r>
          </w:p>
        </w:tc>
        <w:tc>
          <w:tcPr>
            <w:tcW w:w="980" w:type="dxa"/>
            <w:tcBorders>
              <w:top w:val="single" w:sz="4" w:space="0" w:color="7030A0"/>
              <w:bottom w:val="single" w:sz="4" w:space="0" w:color="7030A0"/>
            </w:tcBorders>
            <w:shd w:val="clear" w:color="auto" w:fill="auto"/>
            <w:noWrap/>
            <w:vAlign w:val="center"/>
          </w:tcPr>
          <w:p w:rsidR="000917E9" w:rsidRPr="007B7D09" w:rsidRDefault="000917E9" w:rsidP="00717425">
            <w:pPr>
              <w:spacing w:after="0" w:line="240" w:lineRule="auto"/>
              <w:jc w:val="center"/>
              <w:rPr>
                <w:rFonts w:cs="Arial"/>
                <w:sz w:val="18"/>
                <w:szCs w:val="18"/>
                <w:lang w:val="en-AU"/>
              </w:rPr>
            </w:pPr>
            <w:r w:rsidRPr="009655D6">
              <w:rPr>
                <w:rFonts w:cs="Arial"/>
                <w:sz w:val="18"/>
                <w:szCs w:val="18"/>
                <w:lang w:val="en-AU"/>
              </w:rPr>
              <w:t>$112,082</w:t>
            </w:r>
          </w:p>
        </w:tc>
        <w:tc>
          <w:tcPr>
            <w:tcW w:w="1229" w:type="dxa"/>
            <w:vMerge/>
            <w:tcBorders>
              <w:top w:val="single" w:sz="4" w:space="0" w:color="7030A0"/>
              <w:bottom w:val="single" w:sz="4" w:space="0" w:color="7030A0"/>
              <w:right w:val="single" w:sz="4" w:space="0" w:color="7030A0"/>
            </w:tcBorders>
            <w:shd w:val="clear" w:color="auto" w:fill="auto"/>
            <w:vAlign w:val="center"/>
            <w:hideMark/>
          </w:tcPr>
          <w:p w:rsidR="000917E9" w:rsidRPr="005C4E27" w:rsidRDefault="000917E9" w:rsidP="00717425">
            <w:pPr>
              <w:spacing w:after="0" w:line="240" w:lineRule="auto"/>
              <w:jc w:val="center"/>
              <w:rPr>
                <w:rFonts w:asciiTheme="minorHAnsi" w:eastAsia="Times New Roman" w:hAnsiTheme="minorHAnsi" w:cs="Times New Roman"/>
                <w:color w:val="000000"/>
                <w:sz w:val="20"/>
                <w:szCs w:val="22"/>
                <w:lang w:val="en-AU" w:eastAsia="en-AU"/>
              </w:rPr>
            </w:pPr>
          </w:p>
        </w:tc>
      </w:tr>
    </w:tbl>
    <w:p w:rsidR="000917E9" w:rsidRPr="007B7D09" w:rsidRDefault="000917E9" w:rsidP="000917E9">
      <w:pPr>
        <w:rPr>
          <w:lang w:val="en-AU"/>
        </w:rPr>
      </w:pPr>
    </w:p>
    <w:p w:rsidR="000917E9" w:rsidRPr="005C4E27" w:rsidRDefault="000917E9" w:rsidP="000917E9">
      <w:pPr>
        <w:rPr>
          <w:lang w:val="en-AU"/>
        </w:rPr>
        <w:sectPr w:rsidR="000917E9" w:rsidRPr="005C4E27" w:rsidSect="00DC2F07">
          <w:headerReference w:type="even" r:id="rId11"/>
          <w:headerReference w:type="default" r:id="rId12"/>
          <w:footerReference w:type="default" r:id="rId13"/>
          <w:headerReference w:type="first" r:id="rId14"/>
          <w:footerReference w:type="first" r:id="rId15"/>
          <w:pgSz w:w="16838" w:h="11906" w:orient="landscape"/>
          <w:pgMar w:top="1440" w:right="1440" w:bottom="1440" w:left="1440" w:header="708" w:footer="0" w:gutter="0"/>
          <w:cols w:space="708"/>
          <w:titlePg/>
          <w:docGrid w:linePitch="360"/>
        </w:sectPr>
      </w:pPr>
    </w:p>
    <w:p w:rsidR="006141A1" w:rsidRPr="0069103E" w:rsidRDefault="006141A1" w:rsidP="006141A1">
      <w:pPr>
        <w:pStyle w:val="Heading4"/>
        <w:keepNext/>
        <w:keepLines/>
        <w:ind w:left="720"/>
        <w:rPr>
          <w:lang w:val="en-AU"/>
        </w:rPr>
      </w:pPr>
      <w:r w:rsidRPr="0069103E">
        <w:rPr>
          <w:lang w:val="en-AU"/>
        </w:rPr>
        <w:lastRenderedPageBreak/>
        <w:t xml:space="preserve">Additional allowances </w:t>
      </w:r>
    </w:p>
    <w:p w:rsidR="006141A1" w:rsidRPr="005C4E27" w:rsidRDefault="006141A1" w:rsidP="006141A1">
      <w:pPr>
        <w:keepNext/>
        <w:keepLines/>
        <w:rPr>
          <w:lang w:val="en-AU"/>
        </w:rPr>
      </w:pPr>
      <w:r w:rsidRPr="005C4E27">
        <w:rPr>
          <w:lang w:val="en-AU"/>
        </w:rPr>
        <w:t>Additional factors which do not form part of the SDA Benchmark Price but may be paid separately include:</w:t>
      </w:r>
    </w:p>
    <w:p w:rsidR="006141A1" w:rsidRPr="005C4E27" w:rsidRDefault="006141A1" w:rsidP="006141A1">
      <w:pPr>
        <w:pStyle w:val="ListParagraph"/>
        <w:numPr>
          <w:ilvl w:val="0"/>
          <w:numId w:val="18"/>
        </w:numPr>
        <w:tabs>
          <w:tab w:val="clear" w:pos="720"/>
          <w:tab w:val="num" w:pos="363"/>
        </w:tabs>
        <w:ind w:left="357" w:hanging="357"/>
        <w:contextualSpacing w:val="0"/>
        <w:rPr>
          <w:lang w:val="en-AU"/>
        </w:rPr>
      </w:pPr>
      <w:r w:rsidRPr="005C4E27">
        <w:rPr>
          <w:i/>
          <w:lang w:val="en-AU"/>
        </w:rPr>
        <w:t xml:space="preserve">Higher reactive maintenance costs </w:t>
      </w:r>
      <w:r w:rsidR="00F948BF">
        <w:rPr>
          <w:i/>
          <w:lang w:val="en-AU"/>
        </w:rPr>
        <w:t xml:space="preserve">for </w:t>
      </w:r>
      <w:r w:rsidRPr="005C4E27">
        <w:rPr>
          <w:i/>
          <w:lang w:val="en-AU"/>
        </w:rPr>
        <w:t xml:space="preserve">residents </w:t>
      </w:r>
      <w:r w:rsidR="00F948BF">
        <w:rPr>
          <w:i/>
          <w:lang w:val="en-AU"/>
        </w:rPr>
        <w:t xml:space="preserve">with </w:t>
      </w:r>
      <w:r w:rsidRPr="005C4E27">
        <w:rPr>
          <w:i/>
          <w:lang w:val="en-AU"/>
        </w:rPr>
        <w:t>behaviours of concern.</w:t>
      </w:r>
      <w:r w:rsidRPr="005C4E27">
        <w:rPr>
          <w:lang w:val="en-AU"/>
        </w:rPr>
        <w:t xml:space="preserve"> T</w:t>
      </w:r>
      <w:r w:rsidRPr="005C4E27">
        <w:rPr>
          <w:bCs/>
          <w:iCs/>
          <w:lang w:val="en-AU"/>
        </w:rPr>
        <w:t>he Agency will allow property owners to recover costs that are beyond standard maintenance costs for behaviours of concern through a separate payment. The payments will reflect the actual additional costs incurred by the SDA provider.</w:t>
      </w:r>
      <w:r w:rsidRPr="005C4E27">
        <w:rPr>
          <w:lang w:val="en-AU"/>
        </w:rPr>
        <w:t xml:space="preserve"> </w:t>
      </w:r>
    </w:p>
    <w:p w:rsidR="006141A1" w:rsidRPr="002D27B7" w:rsidRDefault="006141A1" w:rsidP="006141A1">
      <w:pPr>
        <w:pStyle w:val="ListParagraph"/>
        <w:numPr>
          <w:ilvl w:val="0"/>
          <w:numId w:val="32"/>
        </w:numPr>
        <w:contextualSpacing w:val="0"/>
        <w:rPr>
          <w:lang w:val="en-AU"/>
        </w:rPr>
      </w:pPr>
      <w:r w:rsidRPr="005C4E27">
        <w:rPr>
          <w:i/>
          <w:lang w:val="en-AU"/>
        </w:rPr>
        <w:t>Assistive technology</w:t>
      </w:r>
      <w:r w:rsidRPr="005C4E27">
        <w:rPr>
          <w:lang w:val="en-AU"/>
        </w:rPr>
        <w:t>. Assistive technology is funded separately to SDA under the Scheme. The design specifications for High Physical Support properties ensures that new SDA dwellings are built in a manner which is ‘Assistive Technology ready’. Assistive technology can be included in a participants plan when it is a reasonable and necessary support. A</w:t>
      </w:r>
      <w:r w:rsidRPr="005C4E27">
        <w:rPr>
          <w:bCs/>
          <w:lang w:val="en-AU"/>
        </w:rPr>
        <w:t xml:space="preserve">ssistive technology is expected to play an increasing role in support provision over time and the Agency will be monitoring the development of innovative new models and their integration into the housing form. </w:t>
      </w:r>
      <w:r w:rsidRPr="00541F49">
        <w:rPr>
          <w:bCs/>
          <w:lang w:val="en-AU"/>
        </w:rPr>
        <w:t xml:space="preserve">For example, </w:t>
      </w:r>
      <w:r>
        <w:rPr>
          <w:bCs/>
          <w:lang w:val="en-AU"/>
        </w:rPr>
        <w:t>automated doors or ceiling hoists may be funded under assistive technology, whereas reinforced walls or other structural features would be SDA.</w:t>
      </w:r>
    </w:p>
    <w:p w:rsidR="006141A1" w:rsidRPr="005C4E27" w:rsidRDefault="006141A1" w:rsidP="006141A1">
      <w:pPr>
        <w:pStyle w:val="ListParagraph"/>
        <w:numPr>
          <w:ilvl w:val="0"/>
          <w:numId w:val="32"/>
        </w:numPr>
        <w:contextualSpacing w:val="0"/>
        <w:rPr>
          <w:lang w:val="en-AU"/>
        </w:rPr>
      </w:pPr>
      <w:r w:rsidRPr="005C4E27">
        <w:rPr>
          <w:i/>
          <w:lang w:val="en-AU"/>
        </w:rPr>
        <w:t xml:space="preserve"> Additional features: </w:t>
      </w:r>
      <w:r w:rsidRPr="005C4E27">
        <w:rPr>
          <w:lang w:val="en-AU"/>
        </w:rPr>
        <w:t>The Agency may consider including additional features (such as communal areas that are provided to support multiple dwellings or specialist furnishings) as new allowances in future price updates. The Agency would need to consider the potential benefits of the features in addition to collecting information on the design and costs of these features to support the development of specific price adjustments.</w:t>
      </w:r>
      <w:r w:rsidRPr="005C4E27">
        <w:rPr>
          <w:bCs/>
          <w:iCs/>
          <w:lang w:val="en-AU"/>
        </w:rPr>
        <w:t xml:space="preserve">  </w:t>
      </w:r>
    </w:p>
    <w:p w:rsidR="006141A1" w:rsidRPr="005C4E27" w:rsidRDefault="006141A1" w:rsidP="006141A1">
      <w:pPr>
        <w:rPr>
          <w:lang w:val="en-AU"/>
        </w:rPr>
      </w:pPr>
      <w:r w:rsidRPr="005C4E27">
        <w:rPr>
          <w:bCs/>
          <w:iCs/>
          <w:lang w:val="en-AU"/>
        </w:rPr>
        <w:t xml:space="preserve">Further the Agency may consider existing home modifications funded under the Scheme, as SDA </w:t>
      </w:r>
      <w:r w:rsidRPr="005C4E27">
        <w:rPr>
          <w:lang w:val="en-AU"/>
        </w:rPr>
        <w:t>dwellings should not have previously received home modifications funding from the Scheme.</w:t>
      </w:r>
    </w:p>
    <w:p w:rsidR="006141A1" w:rsidRPr="005C4E27" w:rsidRDefault="006141A1" w:rsidP="006141A1">
      <w:pPr>
        <w:pStyle w:val="Heading4"/>
        <w:keepNext/>
        <w:keepLines/>
        <w:ind w:left="720"/>
        <w:rPr>
          <w:lang w:val="en-AU"/>
        </w:rPr>
      </w:pPr>
      <w:r w:rsidRPr="005C4E27">
        <w:rPr>
          <w:lang w:val="en-AU"/>
        </w:rPr>
        <w:t>Pricing for Legacy Stock</w:t>
      </w:r>
    </w:p>
    <w:p w:rsidR="006141A1" w:rsidRPr="005C4E27" w:rsidRDefault="006141A1" w:rsidP="006141A1">
      <w:pPr>
        <w:rPr>
          <w:lang w:val="en-AU"/>
        </w:rPr>
      </w:pPr>
      <w:r w:rsidRPr="005C4E27">
        <w:rPr>
          <w:lang w:val="en-AU"/>
        </w:rPr>
        <w:t xml:space="preserve">Legacy Stock are existing properties that </w:t>
      </w:r>
      <w:r>
        <w:rPr>
          <w:lang w:val="en-AU"/>
        </w:rPr>
        <w:t>accommodate</w:t>
      </w:r>
      <w:r w:rsidRPr="005C4E27">
        <w:rPr>
          <w:lang w:val="en-AU"/>
        </w:rPr>
        <w:t xml:space="preserve"> 6 or more residents. The Agency will not provide SDA Benchmark Price payments for any New Build with more than 5 residents, but recognises the importance of funding housing for participants that choose to stay in their current form of accommodation or for whom there is no supply of smaller form accommodation currently available. </w:t>
      </w:r>
    </w:p>
    <w:p w:rsidR="006141A1" w:rsidRPr="005C4E27" w:rsidRDefault="006141A1" w:rsidP="006141A1">
      <w:pPr>
        <w:rPr>
          <w:lang w:val="en-AU"/>
        </w:rPr>
      </w:pPr>
      <w:r w:rsidRPr="005C4E27">
        <w:rPr>
          <w:lang w:val="en-AU"/>
        </w:rPr>
        <w:t xml:space="preserve">The Agency understands that most of the larger residential centres will be phased out over the next few years. </w:t>
      </w:r>
    </w:p>
    <w:p w:rsidR="006141A1" w:rsidRPr="005C4E27" w:rsidRDefault="006141A1" w:rsidP="006141A1">
      <w:pPr>
        <w:rPr>
          <w:lang w:val="en-AU"/>
        </w:rPr>
      </w:pPr>
      <w:r w:rsidRPr="005C4E27">
        <w:rPr>
          <w:lang w:val="en-AU"/>
        </w:rPr>
        <w:t xml:space="preserve">Legacy Stock will receive payment according to an SDA Legacy Stock price list, which is based on the design category and number of residents in each legacy property. The SDA Legacy Stock price list will be provided to registered SDA providers with enrolled Legacy Stock on request. </w:t>
      </w:r>
    </w:p>
    <w:p w:rsidR="006141A1" w:rsidRPr="005C4E27" w:rsidRDefault="006141A1" w:rsidP="006141A1">
      <w:pPr>
        <w:rPr>
          <w:lang w:val="en-AU"/>
        </w:rPr>
      </w:pPr>
      <w:r w:rsidRPr="005C4E27">
        <w:rPr>
          <w:lang w:val="en-AU"/>
        </w:rPr>
        <w:t xml:space="preserve">The Agency’s pricing approach supports the Agency’s view that, in line with current industry practice, larger models which cater to more than five participants are not optimal for long-term participant outcomes and limit opportunities for inclusion. The Agency would prefer to </w:t>
      </w:r>
      <w:r w:rsidRPr="005C4E27">
        <w:rPr>
          <w:lang w:val="en-AU"/>
        </w:rPr>
        <w:lastRenderedPageBreak/>
        <w:t xml:space="preserve">see these types of properties phased out, however the Agency does not support changes which undermine participant’s continuity of support until suitable alternatives can be arranged. </w:t>
      </w:r>
    </w:p>
    <w:p w:rsidR="006141A1" w:rsidRPr="005C4E27" w:rsidRDefault="006141A1" w:rsidP="006141A1">
      <w:pPr>
        <w:rPr>
          <w:lang w:val="en-AU"/>
        </w:rPr>
      </w:pPr>
      <w:r w:rsidRPr="005C4E27">
        <w:rPr>
          <w:lang w:val="en-AU"/>
        </w:rPr>
        <w:t>Pricing for Legacy Stock consists of three distinct periods.  During the immediate five year period after the property’s location transitions into the Scheme, the Agency’s pricing for legacy properties covers the costs of the property as identified under the Framework. After year 5, SDA</w:t>
      </w:r>
      <w:r w:rsidR="00C72741">
        <w:rPr>
          <w:lang w:val="en-AU"/>
        </w:rPr>
        <w:t xml:space="preserve"> Legacy Stock</w:t>
      </w:r>
      <w:r w:rsidRPr="005C4E27">
        <w:rPr>
          <w:lang w:val="en-AU"/>
        </w:rPr>
        <w:t xml:space="preserve"> payments for properties with 11 or more residents will cease. For properties with 6 to 10 residents, the price will continue until 10</w:t>
      </w:r>
      <w:r>
        <w:rPr>
          <w:lang w:val="en-AU"/>
        </w:rPr>
        <w:t xml:space="preserve"> years after the property’s location transitions into the NDIS</w:t>
      </w:r>
      <w:r w:rsidRPr="005C4E27">
        <w:rPr>
          <w:lang w:val="en-AU"/>
        </w:rPr>
        <w:t>, at which time it will also cease. These timeframes are intended to provide residents with adequate time to investigate, consider and choose suitable alternative arrangements.</w:t>
      </w:r>
    </w:p>
    <w:p w:rsidR="006141A1" w:rsidRPr="00E22DE1" w:rsidRDefault="006141A1" w:rsidP="006141A1">
      <w:pPr>
        <w:pStyle w:val="Heading4"/>
        <w:keepNext/>
        <w:keepLines/>
        <w:ind w:left="720"/>
        <w:rPr>
          <w:lang w:val="en-AU"/>
        </w:rPr>
      </w:pPr>
      <w:r w:rsidRPr="00E22DE1">
        <w:rPr>
          <w:lang w:val="en-AU"/>
        </w:rPr>
        <w:t>Pricing review process and timeframes</w:t>
      </w:r>
    </w:p>
    <w:p w:rsidR="006141A1" w:rsidRPr="005C4E27" w:rsidRDefault="006141A1" w:rsidP="006141A1">
      <w:pPr>
        <w:rPr>
          <w:lang w:val="en-AU"/>
        </w:rPr>
      </w:pPr>
      <w:r w:rsidRPr="005C4E27">
        <w:rPr>
          <w:lang w:val="en-AU"/>
        </w:rPr>
        <w:t>The Agency will consider adding additional categories, loadings (for example for amenity) or allowances as the evidence base develops. SDA prices will also be adjusted for inflation each year. Unless there are exceptional circumstances, the Agency does not propose to adjust the underlying approach to prices until the Framework is reviewed.</w:t>
      </w:r>
    </w:p>
    <w:p w:rsidR="006141A1" w:rsidRPr="00F12308" w:rsidRDefault="006141A1" w:rsidP="006141A1">
      <w:pPr>
        <w:rPr>
          <w:lang w:val="en-AU"/>
        </w:rPr>
      </w:pPr>
      <w:r w:rsidRPr="005C4E27">
        <w:rPr>
          <w:lang w:val="en-AU"/>
        </w:rPr>
        <w:t xml:space="preserve">The </w:t>
      </w:r>
      <w:r>
        <w:rPr>
          <w:lang w:val="en-AU"/>
        </w:rPr>
        <w:t>DRC</w:t>
      </w:r>
      <w:r w:rsidRPr="00F12308">
        <w:rPr>
          <w:lang w:val="en-AU"/>
        </w:rPr>
        <w:t xml:space="preserve"> will review the Framework in the Framework’s third year of operation, with the goal of completing the review by the conclusion of that third year. The </w:t>
      </w:r>
      <w:r>
        <w:rPr>
          <w:lang w:val="en-AU"/>
        </w:rPr>
        <w:t>DRC</w:t>
      </w:r>
      <w:r w:rsidRPr="00F12308">
        <w:rPr>
          <w:lang w:val="en-AU"/>
        </w:rPr>
        <w:t xml:space="preserve"> will set the terms of reference for this review. The outcome of the review will inform the </w:t>
      </w:r>
      <w:r>
        <w:rPr>
          <w:lang w:val="en-AU"/>
        </w:rPr>
        <w:t>DRC</w:t>
      </w:r>
      <w:r w:rsidRPr="00F12308">
        <w:rPr>
          <w:lang w:val="en-AU"/>
        </w:rPr>
        <w:t>’s development of any pricing and payments arrangements that replace the original Framework. The Agency may request DRC to consider bringing forward the review time frame, should it be necessary.</w:t>
      </w:r>
    </w:p>
    <w:p w:rsidR="006141A1" w:rsidRPr="00AA44FB" w:rsidRDefault="006141A1" w:rsidP="006141A1">
      <w:pPr>
        <w:rPr>
          <w:lang w:val="en-AU"/>
        </w:rPr>
      </w:pPr>
      <w:r w:rsidRPr="00812272">
        <w:rPr>
          <w:lang w:val="en-AU"/>
        </w:rPr>
        <w:t>If</w:t>
      </w:r>
      <w:r>
        <w:rPr>
          <w:lang w:val="en-AU"/>
        </w:rPr>
        <w:t xml:space="preserve"> the</w:t>
      </w:r>
      <w:r w:rsidRPr="00812272">
        <w:rPr>
          <w:lang w:val="en-AU"/>
        </w:rPr>
        <w:t xml:space="preserve"> DRC considers that the Framework has been successful at stimulating outcomes, the Agency’s ongoing reviews would be focussed on continuing to refine the design criteria</w:t>
      </w:r>
      <w:r>
        <w:rPr>
          <w:lang w:val="en-AU"/>
        </w:rPr>
        <w:t xml:space="preserve"> and adjust prices</w:t>
      </w:r>
      <w:r w:rsidRPr="00812272">
        <w:rPr>
          <w:lang w:val="en-AU"/>
        </w:rPr>
        <w:t xml:space="preserve"> to promote the best outcomes for participants and update cost and financing assumptions to maintain alignment with market c</w:t>
      </w:r>
      <w:r w:rsidRPr="00AA44FB">
        <w:rPr>
          <w:lang w:val="en-AU"/>
        </w:rPr>
        <w:t>onditions.</w:t>
      </w:r>
    </w:p>
    <w:p w:rsidR="006141A1" w:rsidRDefault="006141A1" w:rsidP="006141A1">
      <w:pPr>
        <w:rPr>
          <w:lang w:val="en-AU"/>
        </w:rPr>
      </w:pPr>
      <w:r>
        <w:rPr>
          <w:lang w:val="en-AU"/>
        </w:rPr>
        <w:t>Following the review by DRC, t</w:t>
      </w:r>
      <w:r w:rsidRPr="000230AE">
        <w:rPr>
          <w:lang w:val="en-AU"/>
        </w:rPr>
        <w:t xml:space="preserve">he Agency proposes to only undertake a comprehensive pricing update (other than </w:t>
      </w:r>
      <w:r w:rsidRPr="007D120F">
        <w:rPr>
          <w:lang w:val="en-AU"/>
        </w:rPr>
        <w:t xml:space="preserve">adjustments for Consumer Price Index (CPI)) every five years unless it is otherwise required. </w:t>
      </w:r>
    </w:p>
    <w:p w:rsidR="006141A1" w:rsidRPr="00E22DE1" w:rsidRDefault="006141A1" w:rsidP="006141A1">
      <w:pPr>
        <w:rPr>
          <w:lang w:val="en-AU"/>
        </w:rPr>
      </w:pPr>
      <w:r>
        <w:rPr>
          <w:lang w:val="en-AU"/>
        </w:rPr>
        <w:t xml:space="preserve">The potential for future pricing reviews and adjustments implies a degree of regulatory risk. Investors will therefore need to obtain their own independent advice on this and all risks relating to investing in SDA. </w:t>
      </w:r>
    </w:p>
    <w:p w:rsidR="00B01595" w:rsidRPr="005C4E27" w:rsidRDefault="0001517A" w:rsidP="00717425">
      <w:pPr>
        <w:pStyle w:val="Heading3"/>
        <w:ind w:left="0" w:firstLine="0"/>
      </w:pPr>
      <w:bookmarkStart w:id="18" w:name="_Ref452548129"/>
      <w:bookmarkStart w:id="19" w:name="_Toc452550407"/>
      <w:r>
        <w:t>Residents’ rights and obligations</w:t>
      </w:r>
      <w:bookmarkEnd w:id="18"/>
      <w:bookmarkEnd w:id="19"/>
    </w:p>
    <w:p w:rsidR="00B01595" w:rsidRPr="00E22DE1" w:rsidRDefault="00B01595" w:rsidP="00CB2072">
      <w:pPr>
        <w:pStyle w:val="Heading4"/>
        <w:keepNext/>
        <w:keepLines/>
        <w:ind w:left="720"/>
      </w:pPr>
      <w:bookmarkStart w:id="20" w:name="_Ref452471470"/>
      <w:r w:rsidRPr="00E22DE1">
        <w:rPr>
          <w:lang w:val="en-AU"/>
        </w:rPr>
        <w:t>Rent and other contributions</w:t>
      </w:r>
      <w:bookmarkEnd w:id="20"/>
    </w:p>
    <w:p w:rsidR="00B01595" w:rsidRPr="00E22DE1" w:rsidRDefault="00B01595" w:rsidP="00B01595">
      <w:pPr>
        <w:rPr>
          <w:lang w:val="en-AU"/>
        </w:rPr>
      </w:pPr>
      <w:r w:rsidRPr="00E22DE1">
        <w:rPr>
          <w:lang w:val="en-AU"/>
        </w:rPr>
        <w:t xml:space="preserve">Residents of SDA will be required to make a </w:t>
      </w:r>
      <w:r w:rsidR="00EF7124">
        <w:rPr>
          <w:lang w:val="en-AU"/>
        </w:rPr>
        <w:t xml:space="preserve">Reasonable </w:t>
      </w:r>
      <w:r w:rsidR="003278B7">
        <w:rPr>
          <w:lang w:val="en-AU"/>
        </w:rPr>
        <w:t>R</w:t>
      </w:r>
      <w:r w:rsidR="00EF7124">
        <w:rPr>
          <w:lang w:val="en-AU"/>
        </w:rPr>
        <w:t xml:space="preserve">ent </w:t>
      </w:r>
      <w:r w:rsidR="003278B7">
        <w:rPr>
          <w:lang w:val="en-AU"/>
        </w:rPr>
        <w:t>C</w:t>
      </w:r>
      <w:r w:rsidR="00EF7124">
        <w:rPr>
          <w:lang w:val="en-AU"/>
        </w:rPr>
        <w:t>ontribution</w:t>
      </w:r>
      <w:r w:rsidRPr="00E22DE1">
        <w:rPr>
          <w:lang w:val="en-AU"/>
        </w:rPr>
        <w:t xml:space="preserve"> to their SDA provider, which will be in addition to any SDA Benchmark Price payments the provider is paid by the Agency. Currently the arrangement in most SDA is for a rent payment to be included in a single ‘board and lodgings’ payment along with utilities, food, other </w:t>
      </w:r>
      <w:r w:rsidRPr="00E22DE1">
        <w:rPr>
          <w:lang w:val="en-AU"/>
        </w:rPr>
        <w:lastRenderedPageBreak/>
        <w:t xml:space="preserve">consumables and household expenses. Under the new arrangements for SDA, RRCs will now be a standalone payment for rent only. </w:t>
      </w:r>
    </w:p>
    <w:p w:rsidR="00B01595" w:rsidRPr="00E22DE1" w:rsidRDefault="00B01595" w:rsidP="00B01595">
      <w:pPr>
        <w:rPr>
          <w:lang w:val="en-AU"/>
        </w:rPr>
      </w:pPr>
      <w:r w:rsidRPr="00E22DE1">
        <w:rPr>
          <w:lang w:val="en-AU"/>
        </w:rPr>
        <w:t xml:space="preserve">Providers of SDA will be required to abide by the Agency’s Terms of Business, which will include an obligation to limit any RRC to be paid by a participant to the following amounts: </w:t>
      </w:r>
    </w:p>
    <w:p w:rsidR="00B01595" w:rsidRPr="00E22DE1" w:rsidRDefault="00B01595" w:rsidP="00B01595">
      <w:pPr>
        <w:numPr>
          <w:ilvl w:val="0"/>
          <w:numId w:val="24"/>
        </w:numPr>
        <w:rPr>
          <w:lang w:val="en-AU"/>
        </w:rPr>
      </w:pPr>
      <w:r w:rsidRPr="00E22DE1">
        <w:rPr>
          <w:b/>
          <w:lang w:val="en-AU"/>
        </w:rPr>
        <w:t>Singles:</w:t>
      </w:r>
      <w:r w:rsidRPr="00E22DE1">
        <w:rPr>
          <w:lang w:val="en-AU"/>
        </w:rPr>
        <w:t xml:space="preserve"> 25 per cent of the basic rate of the Disability Support Pension (DSP) plus any Commonwealth Rent Assistance (CRA) for which the participant is eligible, before any adjustments for income.</w:t>
      </w:r>
    </w:p>
    <w:p w:rsidR="00B01595" w:rsidRPr="00E22DE1" w:rsidRDefault="00B01595" w:rsidP="00B01595">
      <w:pPr>
        <w:numPr>
          <w:ilvl w:val="0"/>
          <w:numId w:val="24"/>
        </w:numPr>
        <w:rPr>
          <w:lang w:val="en-AU"/>
        </w:rPr>
      </w:pPr>
      <w:r w:rsidRPr="00E22DE1">
        <w:rPr>
          <w:b/>
          <w:lang w:val="en-AU"/>
        </w:rPr>
        <w:t>Under 21’s and couples:</w:t>
      </w:r>
      <w:r w:rsidRPr="00E22DE1">
        <w:rPr>
          <w:lang w:val="en-AU"/>
        </w:rPr>
        <w:t xml:space="preserve"> 25 per cent of the relevant rate of the DSP plus any CRA for which the participant is eligible, before any adjustments for income. </w:t>
      </w:r>
    </w:p>
    <w:p w:rsidR="00B01595" w:rsidRPr="00E22DE1" w:rsidRDefault="00B01595" w:rsidP="00B01595">
      <w:pPr>
        <w:rPr>
          <w:lang w:val="en-AU"/>
        </w:rPr>
      </w:pPr>
      <w:r w:rsidRPr="00E22DE1">
        <w:rPr>
          <w:lang w:val="en-AU"/>
        </w:rPr>
        <w:t xml:space="preserve">These rates will apply whether or not the participant is receiving the DSP, for example if the participant is employed. </w:t>
      </w:r>
    </w:p>
    <w:p w:rsidR="00B01595" w:rsidRPr="00E22DE1" w:rsidRDefault="00B01595" w:rsidP="00CB2072">
      <w:pPr>
        <w:pStyle w:val="Heading4"/>
        <w:keepNext/>
        <w:keepLines/>
        <w:ind w:left="720"/>
        <w:rPr>
          <w:lang w:val="en-AU"/>
        </w:rPr>
      </w:pPr>
      <w:r w:rsidRPr="00E22DE1">
        <w:rPr>
          <w:lang w:val="en-AU"/>
        </w:rPr>
        <w:t>Intent of the rent setting model</w:t>
      </w:r>
    </w:p>
    <w:p w:rsidR="00B01595" w:rsidRPr="00E22DE1" w:rsidRDefault="00B01595" w:rsidP="00B01595">
      <w:pPr>
        <w:rPr>
          <w:lang w:val="en-AU"/>
        </w:rPr>
      </w:pPr>
      <w:r w:rsidRPr="00E22DE1">
        <w:rPr>
          <w:lang w:val="en-AU"/>
        </w:rPr>
        <w:t>The SDA provider will receive the RRC from the participant in addition to the applicable SDA Benchmark Price from the Agency.</w:t>
      </w:r>
    </w:p>
    <w:p w:rsidR="00B01595" w:rsidRPr="00E22DE1" w:rsidRDefault="00B01595" w:rsidP="00B01595">
      <w:pPr>
        <w:rPr>
          <w:lang w:val="en-AU"/>
        </w:rPr>
      </w:pPr>
      <w:r w:rsidRPr="00E22DE1">
        <w:rPr>
          <w:lang w:val="en-AU"/>
        </w:rPr>
        <w:t xml:space="preserve">The rent setting model for SDA provides an affordability safeguard for participants while also giving them the flexibility needed to make informed decisions about the type of accommodation they choose to live in, the SDA provider they choose and the amount of money they choose to spend on housing.  In this respect a person with disability will have the same entitlement to make decisions about their housing and their financial situation as everyone else. </w:t>
      </w:r>
    </w:p>
    <w:p w:rsidR="00B01595" w:rsidRPr="00E22DE1" w:rsidRDefault="00B01595" w:rsidP="00CB2072">
      <w:pPr>
        <w:pStyle w:val="Heading4"/>
        <w:keepNext/>
        <w:keepLines/>
        <w:ind w:left="720"/>
        <w:rPr>
          <w:lang w:val="en-AU"/>
        </w:rPr>
      </w:pPr>
      <w:r w:rsidRPr="00E22DE1">
        <w:rPr>
          <w:lang w:val="en-AU"/>
        </w:rPr>
        <w:t>What will the Reasonable Rent Contribution cover?</w:t>
      </w:r>
    </w:p>
    <w:p w:rsidR="00B01595" w:rsidRPr="00E22DE1" w:rsidRDefault="00B01595" w:rsidP="00B01595">
      <w:pPr>
        <w:keepNext/>
        <w:rPr>
          <w:lang w:val="en-AU"/>
        </w:rPr>
      </w:pPr>
      <w:r w:rsidRPr="00E22DE1">
        <w:rPr>
          <w:lang w:val="en-AU"/>
        </w:rPr>
        <w:t>The RRC relates only to the accommodation for the participant. It does not cover or contribute to board, furniture, utilities paid by residents, or support costs. SDA providers will not be able to impose additional administrative fees in relation to the accommodation such as fees associated with preparation of the service agreement. The costs of administering SDA have been included in the modelling of the SDA Benchmark Price.</w:t>
      </w:r>
      <w:r w:rsidRPr="00E22DE1" w:rsidDel="00176281">
        <w:rPr>
          <w:lang w:val="en-AU"/>
        </w:rPr>
        <w:t xml:space="preserve"> </w:t>
      </w:r>
    </w:p>
    <w:p w:rsidR="00B01595" w:rsidRPr="00E22DE1" w:rsidRDefault="00B01595" w:rsidP="00B01595">
      <w:pPr>
        <w:rPr>
          <w:lang w:val="en-AU"/>
        </w:rPr>
      </w:pPr>
      <w:r w:rsidRPr="00E22DE1">
        <w:rPr>
          <w:lang w:val="en-AU"/>
        </w:rPr>
        <w:t xml:space="preserve">Where board is also provided by the SDA provider, no more than 50 per cent of the relevant DSP maximum rate plus the energy supplement can be received as a ‘board’ payment (in addition to the RRC). The board payments may be collected by the SDA provider, SIL provider or a third party. In some cases board may not be required at all, with the household deciding to manage their own utilities, food and expenses for other consumables. </w:t>
      </w:r>
    </w:p>
    <w:p w:rsidR="00B01595" w:rsidRPr="00E22DE1" w:rsidRDefault="00B01595" w:rsidP="00B01595">
      <w:pPr>
        <w:rPr>
          <w:lang w:val="en-AU"/>
        </w:rPr>
      </w:pPr>
      <w:r w:rsidRPr="00E22DE1">
        <w:rPr>
          <w:lang w:val="en-AU"/>
        </w:rPr>
        <w:t xml:space="preserve">Any agreed board payments between participants and SDA providers will need to be reflected in the service agreement between the participant and the SDA provider.  </w:t>
      </w:r>
    </w:p>
    <w:p w:rsidR="00B01595" w:rsidRPr="00E22DE1" w:rsidRDefault="00B01595" w:rsidP="00B01595">
      <w:pPr>
        <w:rPr>
          <w:lang w:val="en-AU"/>
        </w:rPr>
      </w:pPr>
      <w:r w:rsidRPr="00E22DE1">
        <w:rPr>
          <w:lang w:val="en-AU"/>
        </w:rPr>
        <w:t>Aligned with the principles of improved choice and control for participants, the Agency recognises that participants may prefer to access particular SDA which is priced higher than the RRC and the SDA Benchmark Price that is funded in their plan. If so, the participant has the choice to make discretionary contributions.</w:t>
      </w:r>
    </w:p>
    <w:p w:rsidR="00B01595" w:rsidRPr="00E22DE1" w:rsidRDefault="00B01595" w:rsidP="00CB2072">
      <w:pPr>
        <w:pStyle w:val="Heading4"/>
        <w:keepNext/>
        <w:keepLines/>
        <w:ind w:left="720"/>
        <w:rPr>
          <w:lang w:val="en-AU"/>
        </w:rPr>
      </w:pPr>
      <w:r w:rsidRPr="00E22DE1">
        <w:rPr>
          <w:lang w:val="en-AU"/>
        </w:rPr>
        <w:lastRenderedPageBreak/>
        <w:t>Discretionary contributions</w:t>
      </w:r>
    </w:p>
    <w:p w:rsidR="00B01595" w:rsidRPr="00E22DE1" w:rsidRDefault="00B01595" w:rsidP="00B01595">
      <w:pPr>
        <w:rPr>
          <w:lang w:val="en-AU"/>
        </w:rPr>
      </w:pPr>
      <w:r w:rsidRPr="00E22DE1">
        <w:rPr>
          <w:lang w:val="en-AU"/>
        </w:rPr>
        <w:t>There are only two circumstances in which a participant might choose to pay a discretionary contribution:</w:t>
      </w:r>
    </w:p>
    <w:p w:rsidR="00B01595" w:rsidRPr="00E22DE1" w:rsidRDefault="00B01595" w:rsidP="00F86CA6">
      <w:pPr>
        <w:numPr>
          <w:ilvl w:val="0"/>
          <w:numId w:val="112"/>
        </w:numPr>
        <w:rPr>
          <w:lang w:val="en-AU"/>
        </w:rPr>
      </w:pPr>
      <w:r w:rsidRPr="00E22DE1">
        <w:rPr>
          <w:lang w:val="en-AU"/>
        </w:rPr>
        <w:t xml:space="preserve">Where the participant wishes to access a higher cost category of SDA than is funded as a reasonable and necessary support, such as a different location or a particular property with preferred features. </w:t>
      </w:r>
    </w:p>
    <w:p w:rsidR="00B01595" w:rsidRPr="00E22DE1" w:rsidRDefault="00B01595" w:rsidP="00F86CA6">
      <w:pPr>
        <w:numPr>
          <w:ilvl w:val="0"/>
          <w:numId w:val="112"/>
        </w:numPr>
        <w:rPr>
          <w:lang w:val="en-AU"/>
        </w:rPr>
      </w:pPr>
      <w:r w:rsidRPr="00E22DE1">
        <w:rPr>
          <w:lang w:val="en-AU"/>
        </w:rPr>
        <w:t xml:space="preserve">If the market rental value for a particular property is higher than the SDA Benchmark Price plus RRC. This could occur, for example, due to the particular location or the non-SDA features of the property. </w:t>
      </w:r>
    </w:p>
    <w:p w:rsidR="00B01595" w:rsidRPr="00E22DE1" w:rsidRDefault="00B01595" w:rsidP="00B01595">
      <w:pPr>
        <w:rPr>
          <w:b/>
          <w:bCs/>
          <w:lang w:val="en-AU"/>
        </w:rPr>
      </w:pPr>
      <w:r w:rsidRPr="00E22DE1">
        <w:rPr>
          <w:lang w:val="en-AU"/>
        </w:rPr>
        <w:t xml:space="preserve">If either of these cases occur the SDA provider </w:t>
      </w:r>
      <w:r w:rsidRPr="00E22DE1">
        <w:rPr>
          <w:u w:val="single"/>
          <w:lang w:val="en-AU"/>
        </w:rPr>
        <w:t>must</w:t>
      </w:r>
      <w:r w:rsidRPr="00E22DE1">
        <w:rPr>
          <w:lang w:val="en-AU"/>
        </w:rPr>
        <w:t xml:space="preserve"> lodge a declaration (at the time of enrolment of the SDA dwelling) setting out the amount of the discretionary contribution and the total of the amount being charged.</w:t>
      </w:r>
    </w:p>
    <w:p w:rsidR="00B01595" w:rsidRPr="00E22DE1" w:rsidRDefault="00B01595" w:rsidP="00B01595">
      <w:pPr>
        <w:rPr>
          <w:lang w:val="en-AU"/>
        </w:rPr>
      </w:pPr>
      <w:r w:rsidRPr="00E22DE1">
        <w:rPr>
          <w:lang w:val="en-AU"/>
        </w:rPr>
        <w:t xml:space="preserve">Where the </w:t>
      </w:r>
      <w:r w:rsidRPr="00E22DE1">
        <w:rPr>
          <w:b/>
          <w:bCs/>
          <w:lang w:val="en-AU"/>
        </w:rPr>
        <w:t xml:space="preserve">participant wishes to access a higher cost category of SDA </w:t>
      </w:r>
      <w:r w:rsidRPr="00E22DE1">
        <w:rPr>
          <w:lang w:val="en-AU"/>
        </w:rPr>
        <w:t>than is funded as a reasonable and necessary support, the participant will be able to provide a discretionary contribution representing the difference between the SDA Benchmark Price for the category approved as a reasonable and necessary support and the SDA Benchmark Price for the category they wish to access. The SDA payment from the Agency will remain at the level that is funded as a reasonable and necessary support in the participant’s plan.</w:t>
      </w:r>
    </w:p>
    <w:p w:rsidR="00B01595" w:rsidRPr="00E22DE1" w:rsidRDefault="00B01595" w:rsidP="00B01595">
      <w:pPr>
        <w:rPr>
          <w:lang w:val="en-AU"/>
        </w:rPr>
      </w:pPr>
      <w:r w:rsidRPr="00E22DE1">
        <w:rPr>
          <w:lang w:val="en-AU"/>
        </w:rPr>
        <w:t xml:space="preserve">In some cases, </w:t>
      </w:r>
      <w:r w:rsidRPr="00E22DE1">
        <w:rPr>
          <w:b/>
          <w:bCs/>
          <w:lang w:val="en-AU"/>
        </w:rPr>
        <w:t>the market rental value for a particular property may be higher than the SDA Benchmark Price plus RRC</w:t>
      </w:r>
      <w:r w:rsidRPr="00E22DE1">
        <w:rPr>
          <w:lang w:val="en-AU"/>
        </w:rPr>
        <w:t>. This may arise due to the specific location or (non-disability related) features of the property. As SDA Benchmark Prices are generally significantly above market rental values, this situation is expected to be extremely rare. Where the SDA provider considers that an additional rent contribution is necessary, the provider will be required to obtain a written certification from an appropriately qualified property valuer that the rent is fair and reasonable given the prevailing prices for dwellings of similar quality in the area.</w:t>
      </w:r>
    </w:p>
    <w:p w:rsidR="00B01595" w:rsidRPr="00E22DE1" w:rsidRDefault="00B01595" w:rsidP="00B01595">
      <w:pPr>
        <w:rPr>
          <w:lang w:val="en-AU"/>
        </w:rPr>
      </w:pPr>
      <w:r w:rsidRPr="00E22DE1">
        <w:rPr>
          <w:lang w:val="en-AU"/>
        </w:rPr>
        <w:t xml:space="preserve">The Agency will only contribute the SDA Benchmark Price amount as a reasonable and necessary support under the Scheme regardless of the market rental value. </w:t>
      </w:r>
    </w:p>
    <w:p w:rsidR="00B01595" w:rsidRPr="0069103E" w:rsidRDefault="00B01595" w:rsidP="00B01595">
      <w:pPr>
        <w:rPr>
          <w:rFonts w:ascii="Calibri" w:eastAsiaTheme="minorHAnsi" w:hAnsi="Calibri"/>
          <w:szCs w:val="22"/>
          <w:lang w:val="en-AU" w:eastAsia="en-US"/>
        </w:rPr>
      </w:pPr>
      <w:r w:rsidRPr="00E22DE1">
        <w:rPr>
          <w:lang w:val="en-AU"/>
        </w:rPr>
        <w:t>Importantly, the participant’s housing choice also impacts on how others supports might be provided and whether shared support arrangements are feasible. Before choosing a home, the participant and planner must also consider the support that will be funded in the new home as a reasonable and necessary support for the participant.</w:t>
      </w:r>
    </w:p>
    <w:p w:rsidR="00B01595" w:rsidRPr="00E22DE1" w:rsidRDefault="006141A1" w:rsidP="00CB2072">
      <w:pPr>
        <w:pStyle w:val="Heading4"/>
        <w:keepNext/>
        <w:keepLines/>
        <w:ind w:left="720"/>
      </w:pPr>
      <w:bookmarkStart w:id="21" w:name="_Ref452548080"/>
      <w:r>
        <w:rPr>
          <w:lang w:val="en-AU"/>
        </w:rPr>
        <w:t>Service a</w:t>
      </w:r>
      <w:r w:rsidR="0001517A">
        <w:rPr>
          <w:lang w:val="en-AU"/>
        </w:rPr>
        <w:t>greement</w:t>
      </w:r>
      <w:bookmarkEnd w:id="21"/>
    </w:p>
    <w:p w:rsidR="00B01595" w:rsidRPr="00E22DE1" w:rsidRDefault="00B01595" w:rsidP="00B01595">
      <w:pPr>
        <w:rPr>
          <w:lang w:val="en-AU"/>
        </w:rPr>
      </w:pPr>
      <w:r w:rsidRPr="00E22DE1">
        <w:rPr>
          <w:lang w:val="en-AU"/>
        </w:rPr>
        <w:t xml:space="preserve">SDA residents will continue to have the rights and obligations that apply to them under State or Territory laws.  </w:t>
      </w:r>
    </w:p>
    <w:p w:rsidR="00B01595" w:rsidRPr="00E22DE1" w:rsidRDefault="00B01595" w:rsidP="00B01595">
      <w:pPr>
        <w:rPr>
          <w:lang w:val="en-AU"/>
        </w:rPr>
      </w:pPr>
      <w:r w:rsidRPr="00E22DE1">
        <w:rPr>
          <w:lang w:val="en-AU"/>
        </w:rPr>
        <w:t xml:space="preserve">In addition, SDA providers will be bound by the Agency’s Terms of Business. The Terms of Business requires that each SDA provider is to have a written agreement (service agreement) with each participant that resides at their property. </w:t>
      </w:r>
    </w:p>
    <w:p w:rsidR="00B01595" w:rsidRPr="00E22DE1" w:rsidRDefault="00B01595" w:rsidP="00B01595">
      <w:pPr>
        <w:keepNext/>
        <w:keepLines/>
        <w:rPr>
          <w:lang w:val="en-AU"/>
        </w:rPr>
      </w:pPr>
      <w:r w:rsidRPr="00E22DE1">
        <w:rPr>
          <w:lang w:val="en-AU"/>
        </w:rPr>
        <w:lastRenderedPageBreak/>
        <w:t>The Agency is investigating the extent to which details of the written agreement can or should be prescribed in the Terms of Business and how these interact with existing tenancy and disability legislation in each state.</w:t>
      </w:r>
    </w:p>
    <w:p w:rsidR="00B01595" w:rsidRPr="00E22DE1" w:rsidRDefault="00B01595" w:rsidP="00B01595">
      <w:pPr>
        <w:keepNext/>
        <w:keepLines/>
        <w:rPr>
          <w:lang w:val="en-AU"/>
        </w:rPr>
      </w:pPr>
      <w:r w:rsidRPr="00E22DE1">
        <w:rPr>
          <w:lang w:val="en-AU"/>
        </w:rPr>
        <w:t xml:space="preserve">The type of issues that participants and SDA providers </w:t>
      </w:r>
      <w:r w:rsidR="00EF68DB">
        <w:rPr>
          <w:lang w:val="en-AU"/>
        </w:rPr>
        <w:t xml:space="preserve">should consider in an </w:t>
      </w:r>
      <w:r w:rsidRPr="00E22DE1">
        <w:rPr>
          <w:lang w:val="en-AU"/>
        </w:rPr>
        <w:t>agreement may include</w:t>
      </w:r>
      <w:r w:rsidR="00EF68DB">
        <w:rPr>
          <w:lang w:val="en-AU"/>
        </w:rPr>
        <w:t xml:space="preserve"> but is not limited to</w:t>
      </w:r>
      <w:r w:rsidRPr="00E22DE1">
        <w:rPr>
          <w:lang w:val="en-AU"/>
        </w:rPr>
        <w:t>:</w:t>
      </w:r>
    </w:p>
    <w:p w:rsidR="00B01595" w:rsidRPr="00E22DE1" w:rsidRDefault="00B01595" w:rsidP="00B01595">
      <w:pPr>
        <w:numPr>
          <w:ilvl w:val="0"/>
          <w:numId w:val="29"/>
        </w:numPr>
        <w:rPr>
          <w:lang w:val="en-AU"/>
        </w:rPr>
      </w:pPr>
      <w:r w:rsidRPr="00E22DE1">
        <w:rPr>
          <w:lang w:val="en-AU"/>
        </w:rPr>
        <w:t xml:space="preserve">the rent that will be paid by the participant and the method and timing of the rental payments; </w:t>
      </w:r>
    </w:p>
    <w:p w:rsidR="00B01595" w:rsidRPr="00E22DE1" w:rsidRDefault="00B01595" w:rsidP="00B01595">
      <w:pPr>
        <w:numPr>
          <w:ilvl w:val="0"/>
          <w:numId w:val="29"/>
        </w:numPr>
        <w:rPr>
          <w:lang w:val="en-AU"/>
        </w:rPr>
      </w:pPr>
      <w:r w:rsidRPr="00E22DE1">
        <w:rPr>
          <w:rFonts w:cs="Arial"/>
          <w:lang w:val="en-AU"/>
        </w:rPr>
        <w:t>the participants entitlement to be provided with a receipt for any payments they make;</w:t>
      </w:r>
    </w:p>
    <w:p w:rsidR="00B01595" w:rsidRPr="00E22DE1" w:rsidRDefault="00B01595" w:rsidP="00B01595">
      <w:pPr>
        <w:numPr>
          <w:ilvl w:val="0"/>
          <w:numId w:val="29"/>
        </w:numPr>
        <w:rPr>
          <w:lang w:val="en-AU"/>
        </w:rPr>
      </w:pPr>
      <w:r w:rsidRPr="00E22DE1">
        <w:rPr>
          <w:lang w:val="en-AU"/>
        </w:rPr>
        <w:t>the commencement date and the term (duration) of the agreement and the manner in which the agreement can be extended;</w:t>
      </w:r>
    </w:p>
    <w:p w:rsidR="00B01595" w:rsidRPr="00E22DE1" w:rsidRDefault="00B01595" w:rsidP="00B01595">
      <w:pPr>
        <w:numPr>
          <w:ilvl w:val="0"/>
          <w:numId w:val="29"/>
        </w:numPr>
        <w:rPr>
          <w:lang w:val="en-AU"/>
        </w:rPr>
      </w:pPr>
      <w:r w:rsidRPr="00E22DE1">
        <w:rPr>
          <w:lang w:val="en-AU"/>
        </w:rPr>
        <w:t>if applicable, any board payments that must be paid by the participant to the provider, what the board payments will cover, and the method and timing of the board payments;</w:t>
      </w:r>
    </w:p>
    <w:p w:rsidR="00B01595" w:rsidRPr="00E22DE1" w:rsidRDefault="00B01595" w:rsidP="00B01595">
      <w:pPr>
        <w:numPr>
          <w:ilvl w:val="0"/>
          <w:numId w:val="29"/>
        </w:numPr>
        <w:rPr>
          <w:lang w:val="en-AU"/>
        </w:rPr>
      </w:pPr>
      <w:r w:rsidRPr="00E22DE1">
        <w:rPr>
          <w:lang w:val="en-AU"/>
        </w:rPr>
        <w:t>the obligation of the provider to ensure that the premises are kept reasonably secure;</w:t>
      </w:r>
    </w:p>
    <w:p w:rsidR="00B01595" w:rsidRPr="00E22DE1" w:rsidRDefault="00B01595" w:rsidP="00B01595">
      <w:pPr>
        <w:numPr>
          <w:ilvl w:val="0"/>
          <w:numId w:val="29"/>
        </w:numPr>
        <w:rPr>
          <w:lang w:val="en-AU"/>
        </w:rPr>
      </w:pPr>
      <w:r w:rsidRPr="00E22DE1">
        <w:rPr>
          <w:lang w:val="en-AU"/>
        </w:rPr>
        <w:t>the obligation of the provider to undertake maintenance as appropriate to ensure the property is maintained in a reasonable state of repair;</w:t>
      </w:r>
    </w:p>
    <w:p w:rsidR="00B01595" w:rsidRPr="00E22DE1" w:rsidRDefault="00B01595" w:rsidP="00B01595">
      <w:pPr>
        <w:numPr>
          <w:ilvl w:val="0"/>
          <w:numId w:val="29"/>
        </w:numPr>
        <w:spacing w:after="120"/>
        <w:rPr>
          <w:lang w:val="en-AU"/>
        </w:rPr>
      </w:pPr>
      <w:r w:rsidRPr="00E22DE1">
        <w:rPr>
          <w:lang w:val="en-AU"/>
        </w:rPr>
        <w:t xml:space="preserve">the information </w:t>
      </w:r>
      <w:r w:rsidR="00E15AE7">
        <w:rPr>
          <w:lang w:val="en-AU"/>
        </w:rPr>
        <w:t xml:space="preserve">that </w:t>
      </w:r>
      <w:r w:rsidRPr="00E22DE1">
        <w:rPr>
          <w:lang w:val="en-AU"/>
        </w:rPr>
        <w:t>will be provided to the participant before moving in about:</w:t>
      </w:r>
    </w:p>
    <w:p w:rsidR="00B01595" w:rsidRPr="00E22DE1" w:rsidRDefault="00B01595" w:rsidP="00B01595">
      <w:pPr>
        <w:numPr>
          <w:ilvl w:val="0"/>
          <w:numId w:val="26"/>
        </w:numPr>
        <w:spacing w:after="120"/>
        <w:rPr>
          <w:lang w:val="en-AU"/>
        </w:rPr>
      </w:pPr>
      <w:r w:rsidRPr="00E22DE1">
        <w:rPr>
          <w:lang w:val="en-AU"/>
        </w:rPr>
        <w:t>the rules of the premises;</w:t>
      </w:r>
    </w:p>
    <w:p w:rsidR="00B01595" w:rsidRPr="00E22DE1" w:rsidRDefault="00B01595" w:rsidP="00B01595">
      <w:pPr>
        <w:numPr>
          <w:ilvl w:val="0"/>
          <w:numId w:val="26"/>
        </w:numPr>
        <w:spacing w:after="120"/>
        <w:rPr>
          <w:lang w:val="en-AU"/>
        </w:rPr>
      </w:pPr>
      <w:r w:rsidRPr="00E22DE1">
        <w:rPr>
          <w:lang w:val="en-AU"/>
        </w:rPr>
        <w:t>the processes for complaints and dispute resolution;</w:t>
      </w:r>
    </w:p>
    <w:p w:rsidR="00B01595" w:rsidRPr="00E22DE1" w:rsidRDefault="00B01595" w:rsidP="00B01595">
      <w:pPr>
        <w:numPr>
          <w:ilvl w:val="0"/>
          <w:numId w:val="26"/>
        </w:numPr>
        <w:spacing w:after="120"/>
        <w:rPr>
          <w:lang w:val="en-AU"/>
        </w:rPr>
      </w:pPr>
      <w:r w:rsidRPr="00E22DE1">
        <w:rPr>
          <w:lang w:val="en-AU"/>
        </w:rPr>
        <w:t>the process for requesting repairs or maintenance;</w:t>
      </w:r>
    </w:p>
    <w:p w:rsidR="00B01595" w:rsidRPr="00E22DE1" w:rsidRDefault="00B01595" w:rsidP="00B01595">
      <w:pPr>
        <w:numPr>
          <w:ilvl w:val="0"/>
          <w:numId w:val="26"/>
        </w:numPr>
        <w:rPr>
          <w:lang w:val="en-AU"/>
        </w:rPr>
      </w:pPr>
      <w:r w:rsidRPr="00E22DE1">
        <w:rPr>
          <w:lang w:val="en-AU"/>
        </w:rPr>
        <w:t>the circumstances in which the provider is reasonably entitled to access the participant’s bedroom and the premises more generally, and the notice that must be provided before access;</w:t>
      </w:r>
    </w:p>
    <w:p w:rsidR="00B01595" w:rsidRPr="00E22DE1" w:rsidRDefault="00B01595" w:rsidP="00B01595">
      <w:pPr>
        <w:numPr>
          <w:ilvl w:val="0"/>
          <w:numId w:val="29"/>
        </w:numPr>
        <w:rPr>
          <w:lang w:val="en-AU"/>
        </w:rPr>
      </w:pPr>
      <w:r w:rsidRPr="00E22DE1">
        <w:rPr>
          <w:lang w:val="en-AU"/>
        </w:rPr>
        <w:t xml:space="preserve">the circumstances in which the agreement can be terminated (by either party), and the notice period, which would ideally be no less than three months; </w:t>
      </w:r>
    </w:p>
    <w:p w:rsidR="00B01595" w:rsidRPr="00E22DE1" w:rsidRDefault="00B01595" w:rsidP="00B01595">
      <w:pPr>
        <w:numPr>
          <w:ilvl w:val="0"/>
          <w:numId w:val="29"/>
        </w:numPr>
        <w:rPr>
          <w:lang w:val="en-AU"/>
        </w:rPr>
      </w:pPr>
      <w:r w:rsidRPr="00E22DE1">
        <w:rPr>
          <w:lang w:val="en-AU"/>
        </w:rPr>
        <w:t>any reasonable responsibilities or obligations of the participant.</w:t>
      </w:r>
    </w:p>
    <w:p w:rsidR="00B01595" w:rsidRPr="00E22DE1" w:rsidRDefault="00B01595" w:rsidP="00B01595">
      <w:pPr>
        <w:rPr>
          <w:lang w:val="en-AU"/>
        </w:rPr>
      </w:pPr>
      <w:r w:rsidRPr="00E22DE1">
        <w:rPr>
          <w:lang w:val="en-AU"/>
        </w:rPr>
        <w:t xml:space="preserve">In some States and Territories, the current legislation may already require that there be a written agreement that addresses some or all of these rights and obligations. </w:t>
      </w:r>
    </w:p>
    <w:p w:rsidR="006709B9" w:rsidRDefault="00B01595" w:rsidP="00B01595">
      <w:pPr>
        <w:rPr>
          <w:lang w:val="en-AU"/>
        </w:rPr>
      </w:pPr>
      <w:r w:rsidRPr="00E22DE1">
        <w:rPr>
          <w:lang w:val="en-AU"/>
        </w:rPr>
        <w:t>Consistent with the Agency position on Quality and Safeguards working arrangements with the States and Territories, SDA will continue to operate under the existing State, Territory and Commonwealth arrangements. This includes the arrangements for complaints handling and dispute resolution mechanisms.</w:t>
      </w:r>
    </w:p>
    <w:p w:rsidR="007E069D" w:rsidRDefault="006709B9" w:rsidP="00B01595">
      <w:pPr>
        <w:rPr>
          <w:lang w:val="en-AU"/>
        </w:rPr>
      </w:pPr>
      <w:r>
        <w:rPr>
          <w:lang w:val="en-AU"/>
        </w:rPr>
        <w:br w:type="page"/>
      </w:r>
    </w:p>
    <w:p w:rsidR="00B01595" w:rsidRPr="0069103E" w:rsidRDefault="000F451B" w:rsidP="00717425">
      <w:pPr>
        <w:pStyle w:val="Heading3"/>
        <w:ind w:left="0" w:firstLine="0"/>
      </w:pPr>
      <w:bookmarkStart w:id="22" w:name="_Ref452547971"/>
      <w:bookmarkStart w:id="23" w:name="_Ref452548005"/>
      <w:bookmarkStart w:id="24" w:name="_Toc452550408"/>
      <w:r>
        <w:lastRenderedPageBreak/>
        <w:t>SDA requirements</w:t>
      </w:r>
      <w:bookmarkEnd w:id="22"/>
      <w:bookmarkEnd w:id="23"/>
      <w:bookmarkEnd w:id="24"/>
    </w:p>
    <w:p w:rsidR="00B01595" w:rsidRPr="00DC4DB5" w:rsidRDefault="00B01595" w:rsidP="00CB2072">
      <w:pPr>
        <w:pStyle w:val="Heading4"/>
        <w:keepNext/>
        <w:keepLines/>
        <w:ind w:left="720"/>
        <w:rPr>
          <w:lang w:val="en-AU"/>
        </w:rPr>
      </w:pPr>
      <w:r w:rsidRPr="00DC4DB5">
        <w:rPr>
          <w:lang w:val="en-AU"/>
        </w:rPr>
        <w:t>Who can receive SDA Benchmark Price payments?</w:t>
      </w:r>
    </w:p>
    <w:p w:rsidR="00B01595" w:rsidRPr="005C4E27" w:rsidRDefault="00B01595" w:rsidP="00B01595">
      <w:pPr>
        <w:spacing w:after="120"/>
        <w:rPr>
          <w:lang w:val="en-AU"/>
        </w:rPr>
      </w:pPr>
      <w:r w:rsidRPr="005C4E27">
        <w:rPr>
          <w:lang w:val="en-AU"/>
        </w:rPr>
        <w:t>SDA Benchmark Price payments will be made available to any individual or organisation, including State or Territory governments, not-for-profit organisations, community housing organisations, market providers, families and self-providing participants, that:</w:t>
      </w:r>
    </w:p>
    <w:p w:rsidR="00B01595" w:rsidRPr="005B1B19" w:rsidRDefault="00B01595" w:rsidP="00E10478">
      <w:pPr>
        <w:pStyle w:val="ListParagraph"/>
        <w:numPr>
          <w:ilvl w:val="0"/>
          <w:numId w:val="118"/>
        </w:numPr>
        <w:spacing w:after="120"/>
        <w:contextualSpacing w:val="0"/>
        <w:rPr>
          <w:lang w:val="en-AU"/>
        </w:rPr>
      </w:pPr>
      <w:r w:rsidRPr="005C4E27">
        <w:rPr>
          <w:lang w:val="en-AU"/>
        </w:rPr>
        <w:t>has registered as a provider</w:t>
      </w:r>
      <w:r>
        <w:rPr>
          <w:lang w:val="en-AU"/>
        </w:rPr>
        <w:t xml:space="preserve"> with the Agency and</w:t>
      </w:r>
      <w:r w:rsidRPr="005B1B19">
        <w:rPr>
          <w:lang w:val="en-AU"/>
        </w:rPr>
        <w:t xml:space="preserve"> with the ‘Specialist Disability Accommodation’ registration category;</w:t>
      </w:r>
    </w:p>
    <w:p w:rsidR="00B01595" w:rsidRPr="005B1B19" w:rsidRDefault="00B01595" w:rsidP="00E10478">
      <w:pPr>
        <w:pStyle w:val="ListParagraph"/>
        <w:numPr>
          <w:ilvl w:val="0"/>
          <w:numId w:val="118"/>
        </w:numPr>
        <w:spacing w:after="120"/>
        <w:contextualSpacing w:val="0"/>
        <w:rPr>
          <w:lang w:val="en-AU"/>
        </w:rPr>
      </w:pPr>
      <w:r w:rsidRPr="005B1B19">
        <w:rPr>
          <w:lang w:val="en-AU"/>
        </w:rPr>
        <w:t xml:space="preserve">owns or leases a property that conforms with the minimum </w:t>
      </w:r>
      <w:r w:rsidR="000B768D">
        <w:rPr>
          <w:lang w:val="en-AU"/>
        </w:rPr>
        <w:t>criteria</w:t>
      </w:r>
      <w:r w:rsidR="000B768D" w:rsidRPr="005B1B19">
        <w:rPr>
          <w:lang w:val="en-AU"/>
        </w:rPr>
        <w:t xml:space="preserve"> </w:t>
      </w:r>
      <w:r w:rsidRPr="005B1B19">
        <w:rPr>
          <w:lang w:val="en-AU"/>
        </w:rPr>
        <w:t>for SDA (see Section</w:t>
      </w:r>
      <w:r w:rsidR="00F3259D">
        <w:rPr>
          <w:lang w:val="en-AU"/>
        </w:rPr>
        <w:t xml:space="preserve"> </w:t>
      </w:r>
      <w:r w:rsidR="00F3259D">
        <w:rPr>
          <w:lang w:val="en-AU"/>
        </w:rPr>
        <w:fldChar w:fldCharType="begin"/>
      </w:r>
      <w:r w:rsidR="00F3259D">
        <w:rPr>
          <w:lang w:val="en-AU"/>
        </w:rPr>
        <w:instrText xml:space="preserve"> REF _Ref452471586 \r \h </w:instrText>
      </w:r>
      <w:r w:rsidR="00F3259D">
        <w:rPr>
          <w:lang w:val="en-AU"/>
        </w:rPr>
      </w:r>
      <w:r w:rsidR="00F3259D">
        <w:rPr>
          <w:lang w:val="en-AU"/>
        </w:rPr>
        <w:fldChar w:fldCharType="separate"/>
      </w:r>
      <w:r w:rsidR="006C6F0B">
        <w:rPr>
          <w:lang w:val="en-AU"/>
        </w:rPr>
        <w:t>2.3.2</w:t>
      </w:r>
      <w:r w:rsidR="00F3259D">
        <w:rPr>
          <w:lang w:val="en-AU"/>
        </w:rPr>
        <w:fldChar w:fldCharType="end"/>
      </w:r>
      <w:r w:rsidRPr="005C4E27">
        <w:rPr>
          <w:lang w:val="en-AU"/>
        </w:rPr>
        <w:t xml:space="preserve">) and has enrolled the </w:t>
      </w:r>
      <w:r>
        <w:rPr>
          <w:lang w:val="en-AU"/>
        </w:rPr>
        <w:t>dwelling</w:t>
      </w:r>
      <w:r w:rsidRPr="005B1B19">
        <w:rPr>
          <w:lang w:val="en-AU"/>
        </w:rPr>
        <w:t xml:space="preserve"> with the Agency;</w:t>
      </w:r>
    </w:p>
    <w:p w:rsidR="00B01595" w:rsidRPr="005B1B19" w:rsidRDefault="00B01595" w:rsidP="00E10478">
      <w:pPr>
        <w:pStyle w:val="ListParagraph"/>
        <w:numPr>
          <w:ilvl w:val="0"/>
          <w:numId w:val="118"/>
        </w:numPr>
        <w:spacing w:after="120"/>
        <w:contextualSpacing w:val="0"/>
        <w:rPr>
          <w:lang w:val="en-AU"/>
        </w:rPr>
      </w:pPr>
      <w:r w:rsidRPr="005B1B19">
        <w:rPr>
          <w:lang w:val="en-AU"/>
        </w:rPr>
        <w:t xml:space="preserve">has met and maintained all of the minimum requirements, including all relevant certifications and attestations, required in relation </w:t>
      </w:r>
      <w:r w:rsidRPr="00FC5E27">
        <w:rPr>
          <w:lang w:val="en-AU"/>
        </w:rPr>
        <w:t xml:space="preserve">to both the </w:t>
      </w:r>
      <w:r>
        <w:rPr>
          <w:lang w:val="en-AU"/>
        </w:rPr>
        <w:t>dwelling</w:t>
      </w:r>
      <w:r w:rsidRPr="005B1B19">
        <w:rPr>
          <w:lang w:val="en-AU"/>
        </w:rPr>
        <w:t xml:space="preserve"> and the SDA provider (see Section</w:t>
      </w:r>
      <w:r>
        <w:rPr>
          <w:lang w:val="en-AU"/>
        </w:rPr>
        <w:t xml:space="preserve"> </w:t>
      </w:r>
      <w:r>
        <w:rPr>
          <w:lang w:val="en-AU"/>
        </w:rPr>
        <w:fldChar w:fldCharType="begin"/>
      </w:r>
      <w:r>
        <w:rPr>
          <w:lang w:val="en-AU"/>
        </w:rPr>
        <w:instrText xml:space="preserve"> REF _Ref452407346 \r \h </w:instrText>
      </w:r>
      <w:r>
        <w:rPr>
          <w:lang w:val="en-AU"/>
        </w:rPr>
      </w:r>
      <w:r>
        <w:rPr>
          <w:lang w:val="en-AU"/>
        </w:rPr>
        <w:fldChar w:fldCharType="separate"/>
      </w:r>
      <w:r w:rsidR="006C6F0B">
        <w:rPr>
          <w:lang w:val="en-AU"/>
        </w:rPr>
        <w:t>2.4.2</w:t>
      </w:r>
      <w:r>
        <w:rPr>
          <w:lang w:val="en-AU"/>
        </w:rPr>
        <w:fldChar w:fldCharType="end"/>
      </w:r>
      <w:r w:rsidRPr="005B1B19">
        <w:rPr>
          <w:lang w:val="en-AU"/>
        </w:rPr>
        <w:t>); and</w:t>
      </w:r>
    </w:p>
    <w:p w:rsidR="00B01595" w:rsidRPr="00FC5E27" w:rsidRDefault="00B01595" w:rsidP="00E10478">
      <w:pPr>
        <w:pStyle w:val="ListParagraph"/>
        <w:numPr>
          <w:ilvl w:val="0"/>
          <w:numId w:val="118"/>
        </w:numPr>
        <w:contextualSpacing w:val="0"/>
        <w:rPr>
          <w:lang w:val="en-AU"/>
        </w:rPr>
      </w:pPr>
      <w:r w:rsidRPr="00FC5E27">
        <w:rPr>
          <w:lang w:val="en-AU"/>
        </w:rPr>
        <w:t>has one or more participants residing at the property who has SDA funded in their plan (SDA Benchmark Prices will be paid per participant residing at the property).</w:t>
      </w:r>
    </w:p>
    <w:p w:rsidR="00B01595" w:rsidRPr="004A0905" w:rsidRDefault="00B01595" w:rsidP="00E22DE1">
      <w:pPr>
        <w:pStyle w:val="Heading4"/>
        <w:ind w:left="709" w:hanging="709"/>
      </w:pPr>
      <w:bookmarkStart w:id="25" w:name="_Ref452471586"/>
      <w:r w:rsidRPr="00E22DE1">
        <w:rPr>
          <w:lang w:val="en-AU"/>
        </w:rPr>
        <w:t>Which properties can be enrolled as SDA?</w:t>
      </w:r>
      <w:bookmarkEnd w:id="25"/>
    </w:p>
    <w:p w:rsidR="00B01595" w:rsidRPr="005B1B19" w:rsidRDefault="00B01595" w:rsidP="00B01595">
      <w:pPr>
        <w:rPr>
          <w:lang w:val="en-AU"/>
        </w:rPr>
      </w:pPr>
      <w:r w:rsidRPr="005B1B19">
        <w:rPr>
          <w:lang w:val="en-AU"/>
        </w:rPr>
        <w:t>All SDA properties must meet a number of minimum criteria, including:</w:t>
      </w:r>
    </w:p>
    <w:p w:rsidR="00B01595" w:rsidRPr="00FC5E27" w:rsidRDefault="00B01595" w:rsidP="00E10478">
      <w:pPr>
        <w:numPr>
          <w:ilvl w:val="0"/>
          <w:numId w:val="119"/>
        </w:numPr>
        <w:rPr>
          <w:lang w:val="en-AU"/>
        </w:rPr>
      </w:pPr>
      <w:r w:rsidRPr="00FC5E27">
        <w:rPr>
          <w:lang w:val="en-AU"/>
        </w:rPr>
        <w:t>the property must be a permanent dwelling (e.g. not a mobile home); and</w:t>
      </w:r>
    </w:p>
    <w:p w:rsidR="00B01595" w:rsidRPr="0069103E" w:rsidRDefault="00B01595" w:rsidP="00E10478">
      <w:pPr>
        <w:numPr>
          <w:ilvl w:val="0"/>
          <w:numId w:val="119"/>
        </w:numPr>
        <w:rPr>
          <w:lang w:val="en-AU"/>
        </w:rPr>
      </w:pPr>
      <w:r w:rsidRPr="00FC5E27">
        <w:rPr>
          <w:lang w:val="en-AU"/>
        </w:rPr>
        <w:t>the property must provide permanent ac</w:t>
      </w:r>
      <w:r w:rsidRPr="0069103E">
        <w:rPr>
          <w:lang w:val="en-AU"/>
        </w:rPr>
        <w:t>commodation (e.g. not be solely used for respite, emergency or temporary accommodation); and</w:t>
      </w:r>
    </w:p>
    <w:p w:rsidR="00B01595" w:rsidRPr="0069103E" w:rsidRDefault="00B01595" w:rsidP="00E10478">
      <w:pPr>
        <w:numPr>
          <w:ilvl w:val="0"/>
          <w:numId w:val="119"/>
        </w:numPr>
        <w:rPr>
          <w:lang w:val="en-AU"/>
        </w:rPr>
      </w:pPr>
      <w:r w:rsidRPr="0069103E">
        <w:rPr>
          <w:lang w:val="en-AU"/>
        </w:rPr>
        <w:t>the property must not be a family home (that is, not primarily used as the residence of the participant’s family members, other than a partner or dependents, unless the family members also have an NDIS plan that includes SDA);</w:t>
      </w:r>
      <w:r w:rsidR="007B75B8">
        <w:rPr>
          <w:lang w:val="en-AU"/>
        </w:rPr>
        <w:t xml:space="preserve"> and</w:t>
      </w:r>
    </w:p>
    <w:p w:rsidR="00B01595" w:rsidRPr="00AA44FB" w:rsidRDefault="00B01595" w:rsidP="00E10478">
      <w:pPr>
        <w:numPr>
          <w:ilvl w:val="0"/>
          <w:numId w:val="119"/>
        </w:numPr>
        <w:rPr>
          <w:lang w:val="en-AU"/>
        </w:rPr>
      </w:pPr>
      <w:r w:rsidRPr="00AA44FB">
        <w:rPr>
          <w:lang w:val="en-AU"/>
        </w:rPr>
        <w:t>the State or Commonwealth do not provide accommodation funding for the property for a scheme unrelated to disability (e.g. aged care funding); and</w:t>
      </w:r>
    </w:p>
    <w:p w:rsidR="00B01595" w:rsidRPr="005C4E27" w:rsidRDefault="00B01595" w:rsidP="00E10478">
      <w:pPr>
        <w:numPr>
          <w:ilvl w:val="0"/>
          <w:numId w:val="119"/>
        </w:numPr>
        <w:rPr>
          <w:lang w:val="en-AU"/>
        </w:rPr>
      </w:pPr>
      <w:r w:rsidRPr="005C4E27">
        <w:rPr>
          <w:lang w:val="en-AU"/>
        </w:rPr>
        <w:t>the property must not have previously received home modifications funding from the Scheme.</w:t>
      </w:r>
    </w:p>
    <w:p w:rsidR="00B01595" w:rsidRPr="005C4E27" w:rsidRDefault="00B01595" w:rsidP="00B01595">
      <w:pPr>
        <w:rPr>
          <w:lang w:val="en-AU"/>
        </w:rPr>
      </w:pPr>
      <w:r w:rsidRPr="005C4E27">
        <w:rPr>
          <w:lang w:val="en-AU"/>
        </w:rPr>
        <w:t>The Agency may also establish minimum requirements with regard to the safety and suitability of the property for occupation. This will be advised as part of the work to finalise quality and safeguards arrangements, which initially will be jurisdiction-specific.</w:t>
      </w:r>
    </w:p>
    <w:p w:rsidR="00B01595" w:rsidRPr="005C4E27" w:rsidRDefault="00B01595" w:rsidP="00A933C9">
      <w:pPr>
        <w:keepNext/>
        <w:rPr>
          <w:lang w:val="en-AU"/>
        </w:rPr>
      </w:pPr>
      <w:r w:rsidRPr="005C4E27">
        <w:rPr>
          <w:lang w:val="en-AU"/>
        </w:rPr>
        <w:t>In addition to meeting these minimum criteria, a property may only be enrolled as SDA if it falls into one of the following three categories:</w:t>
      </w:r>
    </w:p>
    <w:p w:rsidR="00B01595" w:rsidRPr="005C4E27" w:rsidRDefault="00B01595" w:rsidP="0049327F">
      <w:pPr>
        <w:pStyle w:val="ListParagraph"/>
        <w:keepNext/>
        <w:keepLines/>
        <w:numPr>
          <w:ilvl w:val="0"/>
          <w:numId w:val="3"/>
        </w:numPr>
        <w:ind w:left="363" w:hanging="357"/>
        <w:contextualSpacing w:val="0"/>
        <w:rPr>
          <w:lang w:val="en-AU"/>
        </w:rPr>
      </w:pPr>
      <w:r w:rsidRPr="005C4E27">
        <w:rPr>
          <w:b/>
          <w:lang w:val="en-AU"/>
        </w:rPr>
        <w:t>Existing Stock:</w:t>
      </w:r>
      <w:r w:rsidRPr="005C4E27">
        <w:rPr>
          <w:lang w:val="en-AU"/>
        </w:rPr>
        <w:t xml:space="preserve"> Existing Stock are </w:t>
      </w:r>
      <w:r w:rsidR="00450D16">
        <w:rPr>
          <w:lang w:val="en-AU"/>
        </w:rPr>
        <w:t>dwellings</w:t>
      </w:r>
      <w:r w:rsidRPr="005C4E27">
        <w:rPr>
          <w:lang w:val="en-AU"/>
        </w:rPr>
        <w:t xml:space="preserve"> that:</w:t>
      </w:r>
    </w:p>
    <w:p w:rsidR="00B01595" w:rsidRPr="005C4E27" w:rsidRDefault="00B01595" w:rsidP="00B01595">
      <w:pPr>
        <w:pStyle w:val="ListParagraph"/>
        <w:numPr>
          <w:ilvl w:val="1"/>
          <w:numId w:val="3"/>
        </w:numPr>
        <w:ind w:hanging="357"/>
        <w:contextualSpacing w:val="0"/>
        <w:rPr>
          <w:lang w:val="en-AU"/>
        </w:rPr>
      </w:pPr>
      <w:r w:rsidRPr="005C4E27">
        <w:rPr>
          <w:lang w:val="en-AU"/>
        </w:rPr>
        <w:t>obtained an occupancy certificate prior to 1 April 2016; and</w:t>
      </w:r>
    </w:p>
    <w:p w:rsidR="00B01595" w:rsidRPr="005C4E27" w:rsidRDefault="00B01595" w:rsidP="00B01595">
      <w:pPr>
        <w:pStyle w:val="ListParagraph"/>
        <w:numPr>
          <w:ilvl w:val="1"/>
          <w:numId w:val="3"/>
        </w:numPr>
        <w:ind w:hanging="357"/>
        <w:contextualSpacing w:val="0"/>
        <w:rPr>
          <w:lang w:val="en-AU"/>
        </w:rPr>
      </w:pPr>
      <w:r w:rsidRPr="005C4E27">
        <w:rPr>
          <w:lang w:val="en-AU"/>
        </w:rPr>
        <w:t>house 5 or fewer permanent residents (excluding support staff); and</w:t>
      </w:r>
    </w:p>
    <w:p w:rsidR="00B01595" w:rsidRPr="005C4E27" w:rsidRDefault="00B01595" w:rsidP="00B01595">
      <w:pPr>
        <w:pStyle w:val="ListParagraph"/>
        <w:numPr>
          <w:ilvl w:val="1"/>
          <w:numId w:val="3"/>
        </w:numPr>
        <w:contextualSpacing w:val="0"/>
        <w:rPr>
          <w:lang w:val="en-AU"/>
        </w:rPr>
      </w:pPr>
      <w:r w:rsidRPr="005C4E27">
        <w:rPr>
          <w:lang w:val="en-AU"/>
        </w:rPr>
        <w:lastRenderedPageBreak/>
        <w:t>have primarily been used as accommodation for people with disability with a significant functional impairment and/or very high support needs since 1 July 2016; and</w:t>
      </w:r>
    </w:p>
    <w:p w:rsidR="00B01595" w:rsidRPr="005C4E27" w:rsidRDefault="00B01595" w:rsidP="00B01595">
      <w:pPr>
        <w:pStyle w:val="ListParagraph"/>
        <w:numPr>
          <w:ilvl w:val="1"/>
          <w:numId w:val="3"/>
        </w:numPr>
        <w:ind w:hanging="357"/>
        <w:contextualSpacing w:val="0"/>
        <w:rPr>
          <w:lang w:val="en-AU"/>
        </w:rPr>
      </w:pPr>
      <w:r w:rsidRPr="005C4E27">
        <w:rPr>
          <w:lang w:val="en-AU"/>
        </w:rPr>
        <w:t>housed at least one resident that received disability related supported accommodation (or equivalent) payments from a State, Territory or Commonwealth government in the 12 months to 1 July 2016.</w:t>
      </w:r>
    </w:p>
    <w:p w:rsidR="00B01595" w:rsidRPr="005C4E27" w:rsidRDefault="00B01595" w:rsidP="00B01595">
      <w:pPr>
        <w:pStyle w:val="ListParagraph"/>
        <w:numPr>
          <w:ilvl w:val="0"/>
          <w:numId w:val="3"/>
        </w:numPr>
        <w:ind w:hanging="357"/>
        <w:contextualSpacing w:val="0"/>
        <w:rPr>
          <w:lang w:val="en-AU"/>
        </w:rPr>
      </w:pPr>
      <w:r w:rsidRPr="005C4E27">
        <w:rPr>
          <w:b/>
          <w:lang w:val="en-AU"/>
        </w:rPr>
        <w:t xml:space="preserve">New Builds: </w:t>
      </w:r>
      <w:r w:rsidRPr="005C4E27">
        <w:rPr>
          <w:lang w:val="en-AU"/>
        </w:rPr>
        <w:t xml:space="preserve">New Builds are </w:t>
      </w:r>
      <w:r w:rsidR="00450D16">
        <w:rPr>
          <w:lang w:val="en-AU"/>
        </w:rPr>
        <w:t>dwellings</w:t>
      </w:r>
      <w:r w:rsidRPr="005C4E27">
        <w:rPr>
          <w:lang w:val="en-AU"/>
        </w:rPr>
        <w:t xml:space="preserve"> that:</w:t>
      </w:r>
    </w:p>
    <w:p w:rsidR="00B01595" w:rsidRPr="005C4E27" w:rsidRDefault="00B01595" w:rsidP="00B01595">
      <w:pPr>
        <w:pStyle w:val="ListParagraph"/>
        <w:numPr>
          <w:ilvl w:val="1"/>
          <w:numId w:val="3"/>
        </w:numPr>
        <w:ind w:hanging="357"/>
        <w:contextualSpacing w:val="0"/>
        <w:rPr>
          <w:lang w:val="en-AU"/>
        </w:rPr>
      </w:pPr>
      <w:r w:rsidRPr="005C4E27">
        <w:rPr>
          <w:lang w:val="en-AU"/>
        </w:rPr>
        <w:t xml:space="preserve">obtained their </w:t>
      </w:r>
      <w:r w:rsidRPr="005C4E27">
        <w:rPr>
          <w:u w:val="single"/>
          <w:lang w:val="en-AU"/>
        </w:rPr>
        <w:t>first</w:t>
      </w:r>
      <w:r w:rsidRPr="005C4E27">
        <w:rPr>
          <w:lang w:val="en-AU"/>
        </w:rPr>
        <w:t xml:space="preserve"> occupancy certificate (prior to renovation or rebuilds) on or after 1</w:t>
      </w:r>
      <w:r>
        <w:rPr>
          <w:lang w:val="en-AU"/>
        </w:rPr>
        <w:t> </w:t>
      </w:r>
      <w:r w:rsidRPr="005C4E27">
        <w:rPr>
          <w:lang w:val="en-AU"/>
        </w:rPr>
        <w:t>April 2016,</w:t>
      </w:r>
    </w:p>
    <w:p w:rsidR="00B01595" w:rsidRPr="005C4E27" w:rsidRDefault="00B01595" w:rsidP="00B01595">
      <w:pPr>
        <w:pStyle w:val="ListParagraph"/>
        <w:contextualSpacing w:val="0"/>
        <w:rPr>
          <w:lang w:val="en-AU"/>
        </w:rPr>
      </w:pPr>
      <w:r w:rsidRPr="005C4E27">
        <w:rPr>
          <w:lang w:val="en-AU"/>
        </w:rPr>
        <w:t xml:space="preserve">OR </w:t>
      </w:r>
    </w:p>
    <w:p w:rsidR="00B01595" w:rsidRPr="005C4E27" w:rsidRDefault="00B01595" w:rsidP="00B01595">
      <w:pPr>
        <w:pStyle w:val="ListParagraph"/>
        <w:contextualSpacing w:val="0"/>
        <w:rPr>
          <w:lang w:val="en-AU"/>
        </w:rPr>
      </w:pPr>
      <w:r w:rsidRPr="005C4E27">
        <w:rPr>
          <w:lang w:val="en-AU"/>
        </w:rPr>
        <w:t xml:space="preserve">have been refurbished such that the property meets one or more of the design criteria described in </w:t>
      </w:r>
      <w:r>
        <w:rPr>
          <w:lang w:val="en-AU"/>
        </w:rPr>
        <w:t xml:space="preserve">c) </w:t>
      </w:r>
      <w:r w:rsidRPr="005C4E27">
        <w:rPr>
          <w:lang w:val="en-AU"/>
        </w:rPr>
        <w:t>AND the cost of the refurbishment (excluding the cost of land or the original building) is greater than the cost shown in</w:t>
      </w:r>
      <w:r>
        <w:rPr>
          <w:lang w:val="en-AU"/>
        </w:rPr>
        <w:t xml:space="preserve"> </w:t>
      </w:r>
      <w:r w:rsidR="00B95ACC">
        <w:rPr>
          <w:lang w:val="en-AU"/>
        </w:rPr>
        <w:fldChar w:fldCharType="begin"/>
      </w:r>
      <w:r w:rsidR="00B95ACC">
        <w:rPr>
          <w:lang w:val="en-AU"/>
        </w:rPr>
        <w:instrText xml:space="preserve"> REF _Ref452473021 \h </w:instrText>
      </w:r>
      <w:r w:rsidR="00B95ACC">
        <w:rPr>
          <w:lang w:val="en-AU"/>
        </w:rPr>
      </w:r>
      <w:r w:rsidR="00B95ACC">
        <w:rPr>
          <w:lang w:val="en-AU"/>
        </w:rPr>
        <w:fldChar w:fldCharType="separate"/>
      </w:r>
      <w:r w:rsidR="006C6F0B" w:rsidRPr="0069103E">
        <w:rPr>
          <w:lang w:val="en-AU"/>
        </w:rPr>
        <w:t xml:space="preserve">Table </w:t>
      </w:r>
      <w:r w:rsidR="006C6F0B">
        <w:rPr>
          <w:noProof/>
          <w:lang w:val="en-AU"/>
        </w:rPr>
        <w:t>4</w:t>
      </w:r>
      <w:r w:rsidR="00B95ACC">
        <w:rPr>
          <w:lang w:val="en-AU"/>
        </w:rPr>
        <w:fldChar w:fldCharType="end"/>
      </w:r>
      <w:r w:rsidR="00B95ACC">
        <w:rPr>
          <w:lang w:val="en-AU"/>
        </w:rPr>
        <w:t xml:space="preserve"> </w:t>
      </w:r>
      <w:r>
        <w:rPr>
          <w:lang w:val="en-AU"/>
        </w:rPr>
        <w:t>(below)</w:t>
      </w:r>
      <w:r w:rsidRPr="005C4E27">
        <w:rPr>
          <w:lang w:val="en-AU"/>
        </w:rPr>
        <w:t>; and</w:t>
      </w:r>
    </w:p>
    <w:p w:rsidR="00B01595" w:rsidRPr="005C4E27" w:rsidRDefault="00B01595" w:rsidP="00B01595">
      <w:pPr>
        <w:pStyle w:val="ListParagraph"/>
        <w:numPr>
          <w:ilvl w:val="1"/>
          <w:numId w:val="3"/>
        </w:numPr>
        <w:ind w:hanging="357"/>
        <w:contextualSpacing w:val="0"/>
        <w:rPr>
          <w:lang w:val="en-AU"/>
        </w:rPr>
      </w:pPr>
      <w:r w:rsidRPr="005C4E27">
        <w:rPr>
          <w:lang w:val="en-AU"/>
        </w:rPr>
        <w:t>will house 5 or fewer permanent residents (excluding support staff); and</w:t>
      </w:r>
    </w:p>
    <w:p w:rsidR="00B01595" w:rsidRPr="005C4E27" w:rsidRDefault="00B01595" w:rsidP="00B01595">
      <w:pPr>
        <w:pStyle w:val="ListParagraph"/>
        <w:numPr>
          <w:ilvl w:val="1"/>
          <w:numId w:val="3"/>
        </w:numPr>
        <w:ind w:hanging="357"/>
        <w:contextualSpacing w:val="0"/>
        <w:rPr>
          <w:lang w:val="en-AU"/>
        </w:rPr>
      </w:pPr>
      <w:r w:rsidRPr="005C4E27">
        <w:rPr>
          <w:lang w:val="en-AU"/>
        </w:rPr>
        <w:t>conforms to one or more of the design categories ‘Improved Livability’, ‘Fully Accessible’, ‘Robust’ or ‘High Physical Support’ (see Section</w:t>
      </w:r>
      <w:r w:rsidR="00F3259D">
        <w:rPr>
          <w:lang w:val="en-AU"/>
        </w:rPr>
        <w:t xml:space="preserve"> </w:t>
      </w:r>
      <w:r w:rsidR="00F3259D">
        <w:rPr>
          <w:lang w:val="en-AU"/>
        </w:rPr>
        <w:fldChar w:fldCharType="begin"/>
      </w:r>
      <w:r w:rsidR="00F3259D">
        <w:rPr>
          <w:lang w:val="en-AU"/>
        </w:rPr>
        <w:instrText xml:space="preserve"> REF _Ref452471632 \r \h </w:instrText>
      </w:r>
      <w:r w:rsidR="00F3259D">
        <w:rPr>
          <w:lang w:val="en-AU"/>
        </w:rPr>
      </w:r>
      <w:r w:rsidR="00F3259D">
        <w:rPr>
          <w:lang w:val="en-AU"/>
        </w:rPr>
        <w:fldChar w:fldCharType="separate"/>
      </w:r>
      <w:r w:rsidR="006C6F0B">
        <w:rPr>
          <w:lang w:val="en-AU"/>
        </w:rPr>
        <w:t>2.3.3</w:t>
      </w:r>
      <w:r w:rsidR="00F3259D">
        <w:rPr>
          <w:lang w:val="en-AU"/>
        </w:rPr>
        <w:fldChar w:fldCharType="end"/>
      </w:r>
      <w:r w:rsidRPr="005C4E27">
        <w:rPr>
          <w:lang w:val="en-AU"/>
        </w:rPr>
        <w:t>).</w:t>
      </w:r>
    </w:p>
    <w:p w:rsidR="00B01595" w:rsidRPr="005C4E27" w:rsidRDefault="00B01595" w:rsidP="00B01595">
      <w:pPr>
        <w:pStyle w:val="ListParagraph"/>
        <w:numPr>
          <w:ilvl w:val="0"/>
          <w:numId w:val="3"/>
        </w:numPr>
        <w:ind w:hanging="357"/>
        <w:contextualSpacing w:val="0"/>
        <w:rPr>
          <w:lang w:val="en-AU"/>
        </w:rPr>
      </w:pPr>
      <w:r w:rsidRPr="005C4E27">
        <w:rPr>
          <w:b/>
          <w:lang w:val="en-AU"/>
        </w:rPr>
        <w:t>Legacy Stock:</w:t>
      </w:r>
      <w:r w:rsidRPr="005C4E27">
        <w:rPr>
          <w:lang w:val="en-AU"/>
        </w:rPr>
        <w:t xml:space="preserve"> </w:t>
      </w:r>
      <w:r w:rsidR="00F948BF">
        <w:rPr>
          <w:lang w:val="en-AU"/>
        </w:rPr>
        <w:t xml:space="preserve">The Agency defines </w:t>
      </w:r>
      <w:r w:rsidRPr="005C4E27">
        <w:rPr>
          <w:lang w:val="en-AU"/>
        </w:rPr>
        <w:t xml:space="preserve">Legacy Stock </w:t>
      </w:r>
      <w:r w:rsidR="00F948BF">
        <w:rPr>
          <w:lang w:val="en-AU"/>
        </w:rPr>
        <w:t xml:space="preserve">as </w:t>
      </w:r>
      <w:r w:rsidR="00450D16">
        <w:rPr>
          <w:lang w:val="en-AU"/>
        </w:rPr>
        <w:t>dwellings</w:t>
      </w:r>
      <w:r w:rsidRPr="005C4E27">
        <w:rPr>
          <w:lang w:val="en-AU"/>
        </w:rPr>
        <w:t xml:space="preserve"> that provide accommodation for 6 or more residents in the same dwelling. The Agency does not consider these larger form properties to be appropriate into the future and therefore</w:t>
      </w:r>
      <w:r w:rsidR="00DC3C84">
        <w:rPr>
          <w:lang w:val="en-AU"/>
        </w:rPr>
        <w:t xml:space="preserve"> from 31 December 2016 (to recognise buildings currently under construction)</w:t>
      </w:r>
      <w:r w:rsidRPr="005C4E27">
        <w:rPr>
          <w:lang w:val="en-AU"/>
        </w:rPr>
        <w:t xml:space="preserve"> will not fund any new </w:t>
      </w:r>
      <w:r w:rsidR="00450D16">
        <w:rPr>
          <w:lang w:val="en-AU"/>
        </w:rPr>
        <w:t xml:space="preserve">dwellings </w:t>
      </w:r>
      <w:r w:rsidRPr="005C4E27">
        <w:rPr>
          <w:lang w:val="en-AU"/>
        </w:rPr>
        <w:t>that house 6 or more residents.</w:t>
      </w:r>
    </w:p>
    <w:p w:rsidR="00B01595" w:rsidRPr="005C4E27" w:rsidRDefault="00B01595" w:rsidP="00B01595">
      <w:pPr>
        <w:pStyle w:val="ListParagraph"/>
        <w:ind w:left="360"/>
        <w:contextualSpacing w:val="0"/>
        <w:rPr>
          <w:lang w:val="en-AU"/>
        </w:rPr>
      </w:pPr>
      <w:r w:rsidRPr="005C4E27">
        <w:rPr>
          <w:lang w:val="en-AU"/>
        </w:rPr>
        <w:t xml:space="preserve">Legacy Stock will </w:t>
      </w:r>
      <w:r w:rsidRPr="005C4E27">
        <w:rPr>
          <w:u w:val="single"/>
          <w:lang w:val="en-AU"/>
        </w:rPr>
        <w:t>only</w:t>
      </w:r>
      <w:r w:rsidRPr="005C4E27">
        <w:rPr>
          <w:lang w:val="en-AU"/>
        </w:rPr>
        <w:t xml:space="preserve"> be </w:t>
      </w:r>
      <w:r w:rsidR="000B768D">
        <w:rPr>
          <w:lang w:val="en-AU"/>
        </w:rPr>
        <w:t xml:space="preserve">able to be enrolled </w:t>
      </w:r>
      <w:r w:rsidRPr="005C4E27">
        <w:rPr>
          <w:lang w:val="en-AU"/>
        </w:rPr>
        <w:t>if</w:t>
      </w:r>
      <w:r w:rsidR="00450D16">
        <w:rPr>
          <w:lang w:val="en-AU"/>
        </w:rPr>
        <w:t xml:space="preserve"> the dwelling</w:t>
      </w:r>
      <w:r w:rsidRPr="005C4E27">
        <w:rPr>
          <w:lang w:val="en-AU"/>
        </w:rPr>
        <w:t>:</w:t>
      </w:r>
    </w:p>
    <w:p w:rsidR="00B01595" w:rsidRPr="005C4E27" w:rsidRDefault="00B01595" w:rsidP="00B01595">
      <w:pPr>
        <w:pStyle w:val="ListParagraph"/>
        <w:numPr>
          <w:ilvl w:val="1"/>
          <w:numId w:val="3"/>
        </w:numPr>
        <w:ind w:hanging="357"/>
        <w:contextualSpacing w:val="0"/>
        <w:rPr>
          <w:lang w:val="en-AU"/>
        </w:rPr>
      </w:pPr>
      <w:r w:rsidRPr="005C4E27">
        <w:rPr>
          <w:lang w:val="en-AU"/>
        </w:rPr>
        <w:t>obtained (or will obtain) an occupancy certificate prior to 31 December 2016; and</w:t>
      </w:r>
    </w:p>
    <w:p w:rsidR="00B01595" w:rsidRPr="005C4E27" w:rsidRDefault="00B01595" w:rsidP="00B01595">
      <w:pPr>
        <w:pStyle w:val="ListParagraph"/>
        <w:numPr>
          <w:ilvl w:val="1"/>
          <w:numId w:val="3"/>
        </w:numPr>
        <w:ind w:hanging="357"/>
        <w:contextualSpacing w:val="0"/>
        <w:rPr>
          <w:lang w:val="en-AU"/>
        </w:rPr>
      </w:pPr>
      <w:r w:rsidRPr="005C4E27">
        <w:rPr>
          <w:lang w:val="en-AU"/>
        </w:rPr>
        <w:t>houses 6 or more permanent residents (excluding support staff); and</w:t>
      </w:r>
    </w:p>
    <w:p w:rsidR="00B01595" w:rsidRPr="005C4E27" w:rsidRDefault="00B01595" w:rsidP="00B01595">
      <w:pPr>
        <w:pStyle w:val="ListParagraph"/>
        <w:numPr>
          <w:ilvl w:val="1"/>
          <w:numId w:val="3"/>
        </w:numPr>
        <w:contextualSpacing w:val="0"/>
        <w:rPr>
          <w:lang w:val="en-AU"/>
        </w:rPr>
      </w:pPr>
      <w:r w:rsidRPr="005C4E27">
        <w:rPr>
          <w:lang w:val="en-AU"/>
        </w:rPr>
        <w:t>has been (if constructed before 1 July 2016) or will be (if constructed between 1 July and 31 December 2016) primarily used as accommodation for people with disability with a significant functional impairment and/or very high support needs.</w:t>
      </w:r>
    </w:p>
    <w:p w:rsidR="00B01595" w:rsidRPr="005C4E27" w:rsidRDefault="00B01595" w:rsidP="00B01595">
      <w:pPr>
        <w:ind w:left="360"/>
        <w:rPr>
          <w:lang w:val="en-AU"/>
        </w:rPr>
      </w:pPr>
      <w:r w:rsidRPr="005C4E27">
        <w:rPr>
          <w:lang w:val="en-AU"/>
        </w:rPr>
        <w:t xml:space="preserve">Legacy Stock does not include aged care, health care, or any other facility that is not primarily used as disability accommodation or is funded under a government program that is not specifically related to disability. </w:t>
      </w:r>
    </w:p>
    <w:p w:rsidR="00B01595" w:rsidRPr="005C4E27" w:rsidRDefault="00B01595" w:rsidP="00B01595">
      <w:pPr>
        <w:ind w:left="360"/>
        <w:rPr>
          <w:lang w:val="en-AU"/>
        </w:rPr>
        <w:sectPr w:rsidR="00B01595" w:rsidRPr="005C4E27" w:rsidSect="00FB5514">
          <w:headerReference w:type="even" r:id="rId16"/>
          <w:headerReference w:type="default" r:id="rId17"/>
          <w:footerReference w:type="default" r:id="rId18"/>
          <w:headerReference w:type="first" r:id="rId19"/>
          <w:footerReference w:type="first" r:id="rId20"/>
          <w:pgSz w:w="11906" w:h="16838"/>
          <w:pgMar w:top="1440" w:right="1440" w:bottom="1440" w:left="1440" w:header="708" w:footer="0" w:gutter="0"/>
          <w:cols w:space="708"/>
          <w:titlePg/>
          <w:docGrid w:linePitch="360"/>
        </w:sectPr>
      </w:pPr>
    </w:p>
    <w:p w:rsidR="00B01595" w:rsidRPr="0069103E" w:rsidRDefault="00B01595" w:rsidP="00B01595">
      <w:pPr>
        <w:pStyle w:val="Caption"/>
        <w:rPr>
          <w:lang w:val="en-AU"/>
        </w:rPr>
      </w:pPr>
      <w:bookmarkStart w:id="26" w:name="_Ref452473021"/>
      <w:r w:rsidRPr="0069103E">
        <w:rPr>
          <w:lang w:val="en-AU"/>
        </w:rPr>
        <w:lastRenderedPageBreak/>
        <w:t xml:space="preserve">Table </w:t>
      </w:r>
      <w:r w:rsidRPr="0069103E">
        <w:rPr>
          <w:lang w:val="en-AU"/>
        </w:rPr>
        <w:fldChar w:fldCharType="begin"/>
      </w:r>
      <w:r w:rsidRPr="0069103E">
        <w:rPr>
          <w:lang w:val="en-AU"/>
        </w:rPr>
        <w:instrText xml:space="preserve"> SEQ Table \* ARABIC </w:instrText>
      </w:r>
      <w:r w:rsidRPr="0069103E">
        <w:rPr>
          <w:lang w:val="en-AU"/>
        </w:rPr>
        <w:fldChar w:fldCharType="separate"/>
      </w:r>
      <w:r w:rsidR="006C6F0B">
        <w:rPr>
          <w:noProof/>
          <w:lang w:val="en-AU"/>
        </w:rPr>
        <w:t>4</w:t>
      </w:r>
      <w:r w:rsidRPr="0069103E">
        <w:rPr>
          <w:lang w:val="en-AU"/>
        </w:rPr>
        <w:fldChar w:fldCharType="end"/>
      </w:r>
      <w:bookmarkEnd w:id="26"/>
      <w:r w:rsidRPr="0069103E">
        <w:rPr>
          <w:lang w:val="en-AU"/>
        </w:rPr>
        <w:t>: Minimum refurbishment costs for new build category</w:t>
      </w:r>
    </w:p>
    <w:tbl>
      <w:tblPr>
        <w:tblW w:w="14476" w:type="dxa"/>
        <w:tblBorders>
          <w:insideH w:val="single" w:sz="4" w:space="0" w:color="7030A0"/>
          <w:insideV w:val="single" w:sz="4" w:space="0" w:color="7030A0"/>
        </w:tblBorders>
        <w:tblCellMar>
          <w:left w:w="28" w:type="dxa"/>
          <w:right w:w="28" w:type="dxa"/>
        </w:tblCellMar>
        <w:tblLook w:val="04A0" w:firstRow="1" w:lastRow="0" w:firstColumn="1" w:lastColumn="0" w:noHBand="0" w:noVBand="1"/>
      </w:tblPr>
      <w:tblGrid>
        <w:gridCol w:w="2972"/>
        <w:gridCol w:w="537"/>
        <w:gridCol w:w="1225"/>
        <w:gridCol w:w="1225"/>
        <w:gridCol w:w="1225"/>
        <w:gridCol w:w="1225"/>
        <w:gridCol w:w="1167"/>
        <w:gridCol w:w="1225"/>
        <w:gridCol w:w="1225"/>
        <w:gridCol w:w="1225"/>
        <w:gridCol w:w="1225"/>
      </w:tblGrid>
      <w:tr w:rsidR="00B01595" w:rsidRPr="0069103E" w:rsidTr="00717425">
        <w:trPr>
          <w:trHeight w:val="334"/>
        </w:trPr>
        <w:tc>
          <w:tcPr>
            <w:tcW w:w="2972" w:type="dxa"/>
            <w:vMerge w:val="restart"/>
            <w:tcBorders>
              <w:top w:val="single" w:sz="4" w:space="0" w:color="7030A0"/>
              <w:left w:val="single" w:sz="4" w:space="0" w:color="7030A0"/>
              <w:bottom w:val="single" w:sz="4" w:space="0" w:color="FFFFFF" w:themeColor="background1"/>
              <w:right w:val="single" w:sz="4" w:space="0" w:color="FFFFFF" w:themeColor="background1"/>
            </w:tcBorders>
            <w:shd w:val="clear" w:color="auto" w:fill="7030A0"/>
            <w:noWrap/>
            <w:vAlign w:val="center"/>
            <w:hideMark/>
          </w:tcPr>
          <w:p w:rsidR="00B01595" w:rsidRPr="0069103E" w:rsidRDefault="00B01595" w:rsidP="00717425">
            <w:pPr>
              <w:spacing w:after="0" w:line="240" w:lineRule="auto"/>
              <w:rPr>
                <w:rFonts w:eastAsia="Times New Roman" w:cs="Arial"/>
                <w:b/>
                <w:color w:val="FFFFFF" w:themeColor="background1"/>
                <w:sz w:val="18"/>
                <w:szCs w:val="18"/>
                <w:lang w:val="en-AU" w:eastAsia="en-AU"/>
              </w:rPr>
            </w:pPr>
            <w:r w:rsidRPr="0069103E">
              <w:rPr>
                <w:rFonts w:eastAsia="Times New Roman" w:cs="Arial"/>
                <w:b/>
                <w:color w:val="FFFFFF" w:themeColor="background1"/>
                <w:sz w:val="18"/>
                <w:szCs w:val="18"/>
                <w:lang w:val="en-AU" w:eastAsia="en-AU"/>
              </w:rPr>
              <w:t>Building type / design category</w:t>
            </w:r>
          </w:p>
        </w:tc>
        <w:tc>
          <w:tcPr>
            <w:tcW w:w="537" w:type="dxa"/>
            <w:vMerge w:val="restart"/>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B01595" w:rsidRPr="0069103E" w:rsidRDefault="00B01595" w:rsidP="00717425">
            <w:pPr>
              <w:spacing w:after="0" w:line="240" w:lineRule="auto"/>
              <w:jc w:val="center"/>
              <w:rPr>
                <w:rFonts w:eastAsia="Times New Roman" w:cs="Arial"/>
                <w:b/>
                <w:color w:val="FFFFFF" w:themeColor="background1"/>
                <w:sz w:val="18"/>
                <w:szCs w:val="18"/>
                <w:lang w:val="en-AU" w:eastAsia="en-AU"/>
              </w:rPr>
            </w:pPr>
            <w:r w:rsidRPr="0069103E">
              <w:rPr>
                <w:rFonts w:eastAsia="Times New Roman" w:cs="Arial"/>
                <w:b/>
                <w:color w:val="FFFFFF" w:themeColor="background1"/>
                <w:sz w:val="18"/>
                <w:szCs w:val="18"/>
                <w:lang w:val="en-AU" w:eastAsia="en-AU"/>
              </w:rPr>
              <w:t>Basic</w:t>
            </w:r>
          </w:p>
        </w:tc>
        <w:tc>
          <w:tcPr>
            <w:tcW w:w="2450"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B01595" w:rsidRPr="0069103E" w:rsidRDefault="00B01595" w:rsidP="00717425">
            <w:pPr>
              <w:spacing w:after="0" w:line="240" w:lineRule="auto"/>
              <w:jc w:val="center"/>
              <w:rPr>
                <w:rFonts w:eastAsia="Times New Roman" w:cs="Arial"/>
                <w:b/>
                <w:color w:val="FFFFFF" w:themeColor="background1"/>
                <w:sz w:val="18"/>
                <w:szCs w:val="18"/>
                <w:lang w:val="en-AU" w:eastAsia="en-AU"/>
              </w:rPr>
            </w:pPr>
            <w:r w:rsidRPr="0069103E">
              <w:rPr>
                <w:rFonts w:eastAsia="Times New Roman" w:cs="Arial"/>
                <w:b/>
                <w:color w:val="FFFFFF" w:themeColor="background1"/>
                <w:sz w:val="18"/>
                <w:szCs w:val="18"/>
                <w:lang w:val="en-AU" w:eastAsia="en-AU"/>
              </w:rPr>
              <w:t>Improved Livability</w:t>
            </w:r>
          </w:p>
        </w:tc>
        <w:tc>
          <w:tcPr>
            <w:tcW w:w="2450" w:type="dxa"/>
            <w:gridSpan w:val="2"/>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B01595" w:rsidRPr="0069103E" w:rsidRDefault="00B01595" w:rsidP="00717425">
            <w:pPr>
              <w:spacing w:after="0" w:line="240" w:lineRule="auto"/>
              <w:jc w:val="center"/>
              <w:rPr>
                <w:rFonts w:eastAsia="Times New Roman" w:cs="Arial"/>
                <w:b/>
                <w:color w:val="FFFFFF" w:themeColor="background1"/>
                <w:sz w:val="18"/>
                <w:szCs w:val="18"/>
                <w:lang w:val="en-AU" w:eastAsia="en-AU"/>
              </w:rPr>
            </w:pPr>
            <w:r w:rsidRPr="0069103E">
              <w:rPr>
                <w:rFonts w:eastAsia="Times New Roman" w:cs="Arial"/>
                <w:b/>
                <w:color w:val="FFFFFF" w:themeColor="background1"/>
                <w:sz w:val="18"/>
                <w:szCs w:val="18"/>
                <w:lang w:val="en-AU" w:eastAsia="en-AU"/>
              </w:rPr>
              <w:t>Fully Accessible</w:t>
            </w:r>
          </w:p>
        </w:tc>
        <w:tc>
          <w:tcPr>
            <w:tcW w:w="3617" w:type="dxa"/>
            <w:gridSpan w:val="3"/>
            <w:tcBorders>
              <w:top w:val="single" w:sz="4" w:space="0" w:color="7030A0"/>
              <w:left w:val="single" w:sz="4" w:space="0" w:color="FFFFFF" w:themeColor="background1"/>
              <w:bottom w:val="single" w:sz="4" w:space="0" w:color="FFFFFF" w:themeColor="background1"/>
              <w:right w:val="single" w:sz="4" w:space="0" w:color="FFFFFF" w:themeColor="background1"/>
            </w:tcBorders>
            <w:shd w:val="clear" w:color="auto" w:fill="7030A0"/>
            <w:noWrap/>
            <w:vAlign w:val="center"/>
            <w:hideMark/>
          </w:tcPr>
          <w:p w:rsidR="00B01595" w:rsidRPr="0069103E" w:rsidRDefault="00B01595" w:rsidP="00717425">
            <w:pPr>
              <w:spacing w:after="0" w:line="240" w:lineRule="auto"/>
              <w:jc w:val="center"/>
              <w:rPr>
                <w:rFonts w:eastAsia="Times New Roman" w:cs="Arial"/>
                <w:b/>
                <w:color w:val="FFFFFF" w:themeColor="background1"/>
                <w:sz w:val="18"/>
                <w:szCs w:val="18"/>
                <w:lang w:val="en-AU" w:eastAsia="en-AU"/>
              </w:rPr>
            </w:pPr>
            <w:r w:rsidRPr="0069103E">
              <w:rPr>
                <w:rFonts w:eastAsia="Times New Roman" w:cs="Arial"/>
                <w:b/>
                <w:color w:val="FFFFFF" w:themeColor="background1"/>
                <w:sz w:val="18"/>
                <w:szCs w:val="18"/>
                <w:lang w:val="en-AU" w:eastAsia="en-AU"/>
              </w:rPr>
              <w:t>Robust</w:t>
            </w:r>
          </w:p>
        </w:tc>
        <w:tc>
          <w:tcPr>
            <w:tcW w:w="2450" w:type="dxa"/>
            <w:gridSpan w:val="2"/>
            <w:tcBorders>
              <w:top w:val="single" w:sz="4" w:space="0" w:color="7030A0"/>
              <w:left w:val="single" w:sz="4" w:space="0" w:color="FFFFFF" w:themeColor="background1"/>
              <w:bottom w:val="single" w:sz="4" w:space="0" w:color="FFFFFF" w:themeColor="background1"/>
              <w:right w:val="single" w:sz="4" w:space="0" w:color="7030A0"/>
            </w:tcBorders>
            <w:shd w:val="clear" w:color="auto" w:fill="7030A0"/>
            <w:noWrap/>
            <w:vAlign w:val="center"/>
            <w:hideMark/>
          </w:tcPr>
          <w:p w:rsidR="00B01595" w:rsidRPr="0069103E" w:rsidRDefault="00B01595" w:rsidP="00717425">
            <w:pPr>
              <w:spacing w:after="0" w:line="240" w:lineRule="auto"/>
              <w:jc w:val="center"/>
              <w:rPr>
                <w:rFonts w:eastAsia="Times New Roman" w:cs="Arial"/>
                <w:b/>
                <w:color w:val="FFFFFF" w:themeColor="background1"/>
                <w:sz w:val="18"/>
                <w:szCs w:val="18"/>
                <w:lang w:val="en-AU" w:eastAsia="en-AU"/>
              </w:rPr>
            </w:pPr>
            <w:r w:rsidRPr="0069103E">
              <w:rPr>
                <w:rFonts w:eastAsia="Times New Roman" w:cs="Arial"/>
                <w:b/>
                <w:color w:val="FFFFFF" w:themeColor="background1"/>
                <w:sz w:val="18"/>
                <w:szCs w:val="18"/>
                <w:lang w:val="en-AU" w:eastAsia="en-AU"/>
              </w:rPr>
              <w:t>High Physical Support</w:t>
            </w:r>
          </w:p>
        </w:tc>
      </w:tr>
      <w:tr w:rsidR="00B01595" w:rsidRPr="0069103E" w:rsidTr="00717425">
        <w:trPr>
          <w:trHeight w:val="334"/>
        </w:trPr>
        <w:tc>
          <w:tcPr>
            <w:tcW w:w="2972" w:type="dxa"/>
            <w:vMerge/>
            <w:tcBorders>
              <w:top w:val="single" w:sz="4" w:space="0" w:color="FFFFFF" w:themeColor="background1"/>
              <w:left w:val="single" w:sz="4" w:space="0" w:color="7030A0"/>
              <w:bottom w:val="single" w:sz="4" w:space="0" w:color="7030A0"/>
              <w:right w:val="single" w:sz="4" w:space="0" w:color="FFFFFF" w:themeColor="background1"/>
            </w:tcBorders>
            <w:shd w:val="clear" w:color="auto" w:fill="auto"/>
            <w:noWrap/>
            <w:vAlign w:val="bottom"/>
            <w:hideMark/>
          </w:tcPr>
          <w:p w:rsidR="00B01595" w:rsidRPr="0069103E" w:rsidRDefault="00B01595" w:rsidP="00717425">
            <w:pPr>
              <w:spacing w:after="0" w:line="240" w:lineRule="auto"/>
              <w:rPr>
                <w:rFonts w:eastAsia="Times New Roman" w:cs="Arial"/>
                <w:color w:val="000000"/>
                <w:sz w:val="18"/>
                <w:szCs w:val="18"/>
                <w:lang w:val="en-AU" w:eastAsia="en-AU"/>
              </w:rPr>
            </w:pPr>
          </w:p>
        </w:tc>
        <w:tc>
          <w:tcPr>
            <w:tcW w:w="537" w:type="dxa"/>
            <w:vMerge/>
            <w:tcBorders>
              <w:top w:val="single" w:sz="4" w:space="0" w:color="FFFFFF" w:themeColor="background1"/>
              <w:left w:val="single" w:sz="4" w:space="0" w:color="FFFFFF" w:themeColor="background1"/>
              <w:bottom w:val="single" w:sz="4" w:space="0" w:color="7030A0"/>
              <w:right w:val="single" w:sz="4" w:space="0" w:color="FFFFFF" w:themeColor="background1"/>
            </w:tcBorders>
            <w:vAlign w:val="center"/>
          </w:tcPr>
          <w:p w:rsidR="00B01595" w:rsidRPr="0069103E" w:rsidRDefault="00B01595" w:rsidP="00717425">
            <w:pPr>
              <w:spacing w:after="0" w:line="240" w:lineRule="auto"/>
              <w:jc w:val="center"/>
              <w:rPr>
                <w:rFonts w:eastAsia="Times New Roman" w:cs="Arial"/>
                <w:color w:val="000000"/>
                <w:sz w:val="18"/>
                <w:szCs w:val="18"/>
                <w:lang w:val="en-AU" w:eastAsia="en-AU"/>
              </w:rPr>
            </w:pP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B01595" w:rsidRPr="0069103E" w:rsidRDefault="00B01595" w:rsidP="00717425">
            <w:pPr>
              <w:spacing w:after="0" w:line="240" w:lineRule="auto"/>
              <w:jc w:val="center"/>
              <w:rPr>
                <w:rFonts w:eastAsia="Times New Roman" w:cs="Arial"/>
                <w:b/>
                <w:color w:val="FFFFFF" w:themeColor="background1"/>
                <w:sz w:val="18"/>
                <w:szCs w:val="18"/>
                <w:lang w:val="en-AU" w:eastAsia="en-AU"/>
              </w:rPr>
            </w:pPr>
            <w:r w:rsidRPr="0069103E">
              <w:rPr>
                <w:rFonts w:eastAsia="Times New Roman" w:cs="Arial"/>
                <w:b/>
                <w:color w:val="FFFFFF" w:themeColor="background1"/>
                <w:sz w:val="18"/>
                <w:szCs w:val="18"/>
                <w:lang w:val="en-AU" w:eastAsia="en-AU"/>
              </w:rPr>
              <w:t>No OOA</w:t>
            </w: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B01595" w:rsidRPr="0069103E" w:rsidRDefault="00B01595" w:rsidP="00717425">
            <w:pPr>
              <w:spacing w:after="0" w:line="240" w:lineRule="auto"/>
              <w:jc w:val="center"/>
              <w:rPr>
                <w:rFonts w:eastAsia="Times New Roman" w:cs="Arial"/>
                <w:b/>
                <w:color w:val="FFFFFF" w:themeColor="background1"/>
                <w:sz w:val="18"/>
                <w:szCs w:val="18"/>
                <w:lang w:val="en-AU" w:eastAsia="en-AU"/>
              </w:rPr>
            </w:pPr>
            <w:r w:rsidRPr="0069103E">
              <w:rPr>
                <w:rFonts w:eastAsia="Times New Roman" w:cs="Arial"/>
                <w:b/>
                <w:color w:val="FFFFFF" w:themeColor="background1"/>
                <w:sz w:val="18"/>
                <w:szCs w:val="18"/>
                <w:lang w:val="en-AU" w:eastAsia="en-AU"/>
              </w:rPr>
              <w:t>With OOA</w:t>
            </w: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B01595" w:rsidRPr="0069103E" w:rsidRDefault="00B01595" w:rsidP="00717425">
            <w:pPr>
              <w:spacing w:after="0" w:line="240" w:lineRule="auto"/>
              <w:jc w:val="center"/>
              <w:rPr>
                <w:rFonts w:eastAsia="Times New Roman" w:cs="Arial"/>
                <w:b/>
                <w:color w:val="FFFFFF" w:themeColor="background1"/>
                <w:sz w:val="18"/>
                <w:szCs w:val="18"/>
                <w:lang w:val="en-AU" w:eastAsia="en-AU"/>
              </w:rPr>
            </w:pPr>
            <w:r w:rsidRPr="0069103E">
              <w:rPr>
                <w:rFonts w:eastAsia="Times New Roman" w:cs="Arial"/>
                <w:b/>
                <w:color w:val="FFFFFF" w:themeColor="background1"/>
                <w:sz w:val="18"/>
                <w:szCs w:val="18"/>
                <w:lang w:val="en-AU" w:eastAsia="en-AU"/>
              </w:rPr>
              <w:t>No OOA</w:t>
            </w: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B01595" w:rsidRPr="0069103E" w:rsidRDefault="00B01595" w:rsidP="00717425">
            <w:pPr>
              <w:spacing w:after="0" w:line="240" w:lineRule="auto"/>
              <w:jc w:val="center"/>
              <w:rPr>
                <w:rFonts w:eastAsia="Times New Roman" w:cs="Arial"/>
                <w:b/>
                <w:color w:val="FFFFFF" w:themeColor="background1"/>
                <w:sz w:val="18"/>
                <w:szCs w:val="18"/>
                <w:lang w:val="en-AU" w:eastAsia="en-AU"/>
              </w:rPr>
            </w:pPr>
            <w:r w:rsidRPr="0069103E">
              <w:rPr>
                <w:rFonts w:eastAsia="Times New Roman" w:cs="Arial"/>
                <w:b/>
                <w:color w:val="FFFFFF" w:themeColor="background1"/>
                <w:sz w:val="18"/>
                <w:szCs w:val="18"/>
                <w:lang w:val="en-AU" w:eastAsia="en-AU"/>
              </w:rPr>
              <w:t>With OOA</w:t>
            </w:r>
          </w:p>
        </w:tc>
        <w:tc>
          <w:tcPr>
            <w:tcW w:w="1167"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B01595" w:rsidRPr="0069103E" w:rsidRDefault="00B01595" w:rsidP="00717425">
            <w:pPr>
              <w:spacing w:after="0" w:line="240" w:lineRule="auto"/>
              <w:jc w:val="center"/>
              <w:rPr>
                <w:rFonts w:eastAsia="Times New Roman" w:cs="Arial"/>
                <w:b/>
                <w:color w:val="FFFFFF" w:themeColor="background1"/>
                <w:sz w:val="18"/>
                <w:szCs w:val="18"/>
                <w:lang w:val="en-AU" w:eastAsia="en-AU"/>
              </w:rPr>
            </w:pPr>
            <w:r w:rsidRPr="0069103E">
              <w:rPr>
                <w:rFonts w:eastAsia="Times New Roman" w:cs="Arial"/>
                <w:b/>
                <w:color w:val="FFFFFF" w:themeColor="background1"/>
                <w:sz w:val="18"/>
                <w:szCs w:val="18"/>
                <w:lang w:val="en-AU" w:eastAsia="en-AU"/>
              </w:rPr>
              <w:t>No OOA</w:t>
            </w: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B01595" w:rsidRPr="0069103E" w:rsidRDefault="00B01595" w:rsidP="00717425">
            <w:pPr>
              <w:spacing w:after="0" w:line="240" w:lineRule="auto"/>
              <w:jc w:val="center"/>
              <w:rPr>
                <w:rFonts w:eastAsia="Times New Roman" w:cs="Arial"/>
                <w:b/>
                <w:color w:val="FFFFFF" w:themeColor="background1"/>
                <w:sz w:val="18"/>
                <w:szCs w:val="18"/>
                <w:lang w:val="en-AU" w:eastAsia="en-AU"/>
              </w:rPr>
            </w:pPr>
            <w:r w:rsidRPr="0069103E">
              <w:rPr>
                <w:rFonts w:eastAsia="Times New Roman" w:cs="Arial"/>
                <w:b/>
                <w:color w:val="FFFFFF" w:themeColor="background1"/>
                <w:sz w:val="18"/>
                <w:szCs w:val="18"/>
                <w:lang w:val="en-AU" w:eastAsia="en-AU"/>
              </w:rPr>
              <w:t>With OOA</w:t>
            </w: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B01595" w:rsidRPr="0069103E" w:rsidRDefault="00B01595" w:rsidP="00717425">
            <w:pPr>
              <w:spacing w:after="0" w:line="240" w:lineRule="auto"/>
              <w:jc w:val="center"/>
              <w:rPr>
                <w:rFonts w:eastAsia="Times New Roman" w:cs="Arial"/>
                <w:b/>
                <w:color w:val="FFFFFF" w:themeColor="background1"/>
                <w:sz w:val="18"/>
                <w:szCs w:val="18"/>
                <w:lang w:val="en-AU" w:eastAsia="en-AU"/>
              </w:rPr>
            </w:pPr>
            <w:r w:rsidRPr="0069103E">
              <w:rPr>
                <w:rFonts w:eastAsia="Times New Roman" w:cs="Arial"/>
                <w:b/>
                <w:color w:val="FFFFFF" w:themeColor="background1"/>
                <w:sz w:val="18"/>
                <w:szCs w:val="18"/>
                <w:lang w:val="en-AU" w:eastAsia="en-AU"/>
              </w:rPr>
              <w:t>+1 Room</w:t>
            </w:r>
          </w:p>
        </w:tc>
        <w:tc>
          <w:tcPr>
            <w:tcW w:w="1225" w:type="dxa"/>
            <w:tcBorders>
              <w:top w:val="single" w:sz="4" w:space="0" w:color="FFFFFF" w:themeColor="background1"/>
              <w:left w:val="single" w:sz="4" w:space="0" w:color="FFFFFF" w:themeColor="background1"/>
              <w:bottom w:val="single" w:sz="4" w:space="0" w:color="7030A0"/>
              <w:right w:val="single" w:sz="4" w:space="0" w:color="FFFFFF" w:themeColor="background1"/>
            </w:tcBorders>
            <w:shd w:val="clear" w:color="auto" w:fill="7030A0"/>
            <w:noWrap/>
            <w:vAlign w:val="center"/>
            <w:hideMark/>
          </w:tcPr>
          <w:p w:rsidR="00B01595" w:rsidRPr="0069103E" w:rsidRDefault="00B01595" w:rsidP="00717425">
            <w:pPr>
              <w:spacing w:after="0" w:line="240" w:lineRule="auto"/>
              <w:jc w:val="center"/>
              <w:rPr>
                <w:rFonts w:eastAsia="Times New Roman" w:cs="Arial"/>
                <w:b/>
                <w:color w:val="FFFFFF" w:themeColor="background1"/>
                <w:sz w:val="18"/>
                <w:szCs w:val="18"/>
                <w:lang w:val="en-AU" w:eastAsia="en-AU"/>
              </w:rPr>
            </w:pPr>
            <w:r w:rsidRPr="0069103E">
              <w:rPr>
                <w:rFonts w:eastAsia="Times New Roman" w:cs="Arial"/>
                <w:b/>
                <w:color w:val="FFFFFF" w:themeColor="background1"/>
                <w:sz w:val="18"/>
                <w:szCs w:val="18"/>
                <w:lang w:val="en-AU" w:eastAsia="en-AU"/>
              </w:rPr>
              <w:t>No OOA</w:t>
            </w:r>
          </w:p>
        </w:tc>
        <w:tc>
          <w:tcPr>
            <w:tcW w:w="1225" w:type="dxa"/>
            <w:tcBorders>
              <w:top w:val="single" w:sz="4" w:space="0" w:color="FFFFFF" w:themeColor="background1"/>
              <w:left w:val="single" w:sz="4" w:space="0" w:color="FFFFFF" w:themeColor="background1"/>
              <w:bottom w:val="single" w:sz="4" w:space="0" w:color="7030A0"/>
              <w:right w:val="single" w:sz="4" w:space="0" w:color="7030A0"/>
            </w:tcBorders>
            <w:shd w:val="clear" w:color="auto" w:fill="7030A0"/>
            <w:noWrap/>
            <w:vAlign w:val="center"/>
            <w:hideMark/>
          </w:tcPr>
          <w:p w:rsidR="00B01595" w:rsidRPr="0069103E" w:rsidRDefault="00B01595" w:rsidP="00717425">
            <w:pPr>
              <w:spacing w:after="0" w:line="240" w:lineRule="auto"/>
              <w:jc w:val="center"/>
              <w:rPr>
                <w:rFonts w:eastAsia="Times New Roman" w:cs="Arial"/>
                <w:b/>
                <w:color w:val="FFFFFF" w:themeColor="background1"/>
                <w:sz w:val="18"/>
                <w:szCs w:val="18"/>
                <w:lang w:val="en-AU" w:eastAsia="en-AU"/>
              </w:rPr>
            </w:pPr>
            <w:r w:rsidRPr="0069103E">
              <w:rPr>
                <w:rFonts w:eastAsia="Times New Roman" w:cs="Arial"/>
                <w:b/>
                <w:color w:val="FFFFFF" w:themeColor="background1"/>
                <w:sz w:val="18"/>
                <w:szCs w:val="18"/>
                <w:lang w:val="en-AU" w:eastAsia="en-AU"/>
              </w:rPr>
              <w:t>With OOA</w:t>
            </w:r>
          </w:p>
        </w:tc>
      </w:tr>
      <w:tr w:rsidR="00B01595" w:rsidRPr="0069103E" w:rsidTr="00717425">
        <w:trPr>
          <w:trHeight w:val="334"/>
        </w:trPr>
        <w:tc>
          <w:tcPr>
            <w:tcW w:w="2972" w:type="dxa"/>
            <w:tcBorders>
              <w:top w:val="single" w:sz="4" w:space="0" w:color="7030A0"/>
              <w:left w:val="single" w:sz="4" w:space="0" w:color="7030A0"/>
              <w:bottom w:val="single" w:sz="4" w:space="0" w:color="7030A0"/>
            </w:tcBorders>
            <w:shd w:val="clear" w:color="auto" w:fill="auto"/>
            <w:noWrap/>
            <w:vAlign w:val="center"/>
          </w:tcPr>
          <w:p w:rsidR="00B01595" w:rsidRPr="007B7D09" w:rsidRDefault="00B01595"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Apartment, 1 bedroom, 1 resident</w:t>
            </w:r>
          </w:p>
        </w:tc>
        <w:tc>
          <w:tcPr>
            <w:tcW w:w="537" w:type="dxa"/>
            <w:tcBorders>
              <w:top w:val="single" w:sz="4" w:space="0" w:color="7030A0"/>
              <w:bottom w:val="single" w:sz="4" w:space="0" w:color="7030A0"/>
            </w:tcBorders>
            <w:vAlign w:val="center"/>
          </w:tcPr>
          <w:p w:rsidR="00B01595" w:rsidRPr="004C01F6" w:rsidRDefault="00B01595" w:rsidP="00717425">
            <w:pPr>
              <w:spacing w:after="0"/>
              <w:jc w:val="center"/>
              <w:rPr>
                <w:rFonts w:cs="Arial"/>
                <w:sz w:val="18"/>
                <w:szCs w:val="18"/>
                <w:lang w:val="en-AU"/>
              </w:rPr>
            </w:pPr>
            <w:r w:rsidRPr="004C01F6">
              <w:rPr>
                <w:rFonts w:cs="Arial"/>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line="240" w:lineRule="auto"/>
              <w:jc w:val="center"/>
              <w:rPr>
                <w:rFonts w:eastAsia="Times New Roman" w:cs="Arial"/>
                <w:color w:val="000000"/>
                <w:sz w:val="18"/>
                <w:szCs w:val="18"/>
                <w:lang w:val="en-AU" w:eastAsia="en-AU"/>
              </w:rPr>
            </w:pPr>
            <w:r w:rsidRPr="0069103E">
              <w:rPr>
                <w:rFonts w:cs="Arial"/>
                <w:color w:val="000000"/>
                <w:sz w:val="18"/>
                <w:szCs w:val="18"/>
                <w:lang w:val="en-AU"/>
              </w:rPr>
              <w:t>$190,000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$290,000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c>
          <w:tcPr>
            <w:tcW w:w="1167"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$420,000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r>
      <w:tr w:rsidR="00B01595" w:rsidRPr="0069103E" w:rsidTr="00717425">
        <w:trPr>
          <w:trHeight w:val="334"/>
        </w:trPr>
        <w:tc>
          <w:tcPr>
            <w:tcW w:w="2972" w:type="dxa"/>
            <w:tcBorders>
              <w:top w:val="single" w:sz="4" w:space="0" w:color="7030A0"/>
              <w:left w:val="single" w:sz="4" w:space="0" w:color="7030A0"/>
              <w:bottom w:val="single" w:sz="4" w:space="0" w:color="7030A0"/>
            </w:tcBorders>
            <w:shd w:val="clear" w:color="auto" w:fill="auto"/>
            <w:noWrap/>
            <w:vAlign w:val="center"/>
            <w:hideMark/>
          </w:tcPr>
          <w:p w:rsidR="00B01595" w:rsidRPr="007B7D09" w:rsidRDefault="00B01595"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Apartment, 2 bedrooms, 1 resident</w:t>
            </w:r>
          </w:p>
        </w:tc>
        <w:tc>
          <w:tcPr>
            <w:tcW w:w="537" w:type="dxa"/>
            <w:tcBorders>
              <w:top w:val="single" w:sz="4" w:space="0" w:color="7030A0"/>
              <w:bottom w:val="single" w:sz="4" w:space="0" w:color="7030A0"/>
            </w:tcBorders>
            <w:vAlign w:val="center"/>
          </w:tcPr>
          <w:p w:rsidR="00B01595" w:rsidRPr="004C01F6" w:rsidRDefault="00B01595" w:rsidP="00717425">
            <w:pPr>
              <w:spacing w:after="0"/>
              <w:jc w:val="center"/>
              <w:rPr>
                <w:rFonts w:cs="Arial"/>
                <w:sz w:val="18"/>
                <w:szCs w:val="18"/>
                <w:lang w:val="en-AU"/>
              </w:rPr>
            </w:pPr>
            <w:r w:rsidRPr="004C01F6">
              <w:rPr>
                <w:rFonts w:cs="Arial"/>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$230,000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$360,000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c>
          <w:tcPr>
            <w:tcW w:w="1167"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$530,000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r>
      <w:tr w:rsidR="00B01595" w:rsidRPr="0069103E" w:rsidTr="00717425">
        <w:trPr>
          <w:trHeight w:val="334"/>
        </w:trPr>
        <w:tc>
          <w:tcPr>
            <w:tcW w:w="2972" w:type="dxa"/>
            <w:tcBorders>
              <w:top w:val="single" w:sz="4" w:space="0" w:color="7030A0"/>
              <w:left w:val="single" w:sz="4" w:space="0" w:color="7030A0"/>
              <w:bottom w:val="single" w:sz="4" w:space="0" w:color="7030A0"/>
            </w:tcBorders>
            <w:shd w:val="clear" w:color="auto" w:fill="auto"/>
            <w:noWrap/>
            <w:vAlign w:val="center"/>
          </w:tcPr>
          <w:p w:rsidR="00B01595" w:rsidRPr="007B7D09" w:rsidRDefault="00B01595"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Apartment, 3 bedrooms, 2 residents</w:t>
            </w:r>
          </w:p>
        </w:tc>
        <w:tc>
          <w:tcPr>
            <w:tcW w:w="537" w:type="dxa"/>
            <w:tcBorders>
              <w:top w:val="single" w:sz="4" w:space="0" w:color="7030A0"/>
              <w:bottom w:val="single" w:sz="4" w:space="0" w:color="7030A0"/>
            </w:tcBorders>
            <w:vAlign w:val="center"/>
          </w:tcPr>
          <w:p w:rsidR="00B01595" w:rsidRPr="004C01F6" w:rsidRDefault="00B01595" w:rsidP="00717425">
            <w:pPr>
              <w:spacing w:after="0"/>
              <w:jc w:val="center"/>
              <w:rPr>
                <w:rFonts w:cs="Arial"/>
                <w:sz w:val="18"/>
                <w:szCs w:val="18"/>
                <w:lang w:val="en-AU"/>
              </w:rPr>
            </w:pPr>
            <w:r w:rsidRPr="004C01F6">
              <w:rPr>
                <w:rFonts w:cs="Arial"/>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$300,000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$460,000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c>
          <w:tcPr>
            <w:tcW w:w="1167"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$700,000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na</w:t>
            </w:r>
          </w:p>
        </w:tc>
      </w:tr>
      <w:tr w:rsidR="00B01595" w:rsidRPr="0069103E" w:rsidTr="00717425">
        <w:trPr>
          <w:trHeight w:val="334"/>
        </w:trPr>
        <w:tc>
          <w:tcPr>
            <w:tcW w:w="2972" w:type="dxa"/>
            <w:tcBorders>
              <w:top w:val="single" w:sz="4" w:space="0" w:color="7030A0"/>
              <w:left w:val="single" w:sz="4" w:space="0" w:color="7030A0"/>
              <w:bottom w:val="single" w:sz="4" w:space="0" w:color="7030A0"/>
            </w:tcBorders>
            <w:shd w:val="clear" w:color="auto" w:fill="auto"/>
            <w:noWrap/>
            <w:vAlign w:val="center"/>
            <w:hideMark/>
          </w:tcPr>
          <w:p w:rsidR="00B01595" w:rsidRPr="007B7D09" w:rsidRDefault="00B01595"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Villa, 1 bedrooms, 1 resident</w:t>
            </w:r>
          </w:p>
        </w:tc>
        <w:tc>
          <w:tcPr>
            <w:tcW w:w="537" w:type="dxa"/>
            <w:tcBorders>
              <w:top w:val="single" w:sz="4" w:space="0" w:color="7030A0"/>
              <w:bottom w:val="single" w:sz="4" w:space="0" w:color="7030A0"/>
            </w:tcBorders>
            <w:vAlign w:val="center"/>
          </w:tcPr>
          <w:p w:rsidR="00B01595" w:rsidRPr="004C01F6" w:rsidRDefault="00B01595" w:rsidP="00717425">
            <w:pPr>
              <w:spacing w:after="0"/>
              <w:jc w:val="center"/>
              <w:rPr>
                <w:rFonts w:cs="Arial"/>
                <w:sz w:val="18"/>
                <w:szCs w:val="18"/>
                <w:lang w:val="en-AU"/>
              </w:rPr>
            </w:pPr>
            <w:r w:rsidRPr="004C01F6">
              <w:rPr>
                <w:rFonts w:cs="Arial"/>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$110,000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$130,000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$170,000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$180,000</w:t>
            </w:r>
          </w:p>
        </w:tc>
        <w:tc>
          <w:tcPr>
            <w:tcW w:w="1167"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$200,000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$220,000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$240,000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$260,000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$280,000</w:t>
            </w:r>
          </w:p>
        </w:tc>
      </w:tr>
      <w:tr w:rsidR="00B01595" w:rsidRPr="0069103E" w:rsidTr="00717425">
        <w:trPr>
          <w:trHeight w:val="334"/>
        </w:trPr>
        <w:tc>
          <w:tcPr>
            <w:tcW w:w="2972" w:type="dxa"/>
            <w:tcBorders>
              <w:top w:val="single" w:sz="4" w:space="0" w:color="7030A0"/>
              <w:left w:val="single" w:sz="4" w:space="0" w:color="7030A0"/>
              <w:bottom w:val="single" w:sz="4" w:space="0" w:color="7030A0"/>
            </w:tcBorders>
            <w:shd w:val="clear" w:color="auto" w:fill="auto"/>
            <w:noWrap/>
            <w:vAlign w:val="center"/>
            <w:hideMark/>
          </w:tcPr>
          <w:p w:rsidR="00B01595" w:rsidRPr="007B7D09" w:rsidRDefault="00B01595"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Duplex</w:t>
            </w:r>
            <w:r>
              <w:rPr>
                <w:rFonts w:eastAsia="Times New Roman" w:cs="Arial"/>
                <w:color w:val="000000"/>
                <w:sz w:val="18"/>
                <w:szCs w:val="18"/>
                <w:lang w:val="en-AU" w:eastAsia="en-AU"/>
              </w:rPr>
              <w:t xml:space="preserve"> </w:t>
            </w:r>
            <w:r w:rsidRPr="007B7D09">
              <w:rPr>
                <w:rFonts w:eastAsia="Times New Roman" w:cs="Arial"/>
                <w:color w:val="000000"/>
                <w:sz w:val="18"/>
                <w:szCs w:val="18"/>
                <w:lang w:val="en-AU" w:eastAsia="en-AU"/>
              </w:rPr>
              <w:t>/</w:t>
            </w:r>
            <w:r>
              <w:rPr>
                <w:rFonts w:eastAsia="Times New Roman" w:cs="Arial"/>
                <w:color w:val="000000"/>
                <w:sz w:val="18"/>
                <w:szCs w:val="18"/>
                <w:lang w:val="en-AU" w:eastAsia="en-AU"/>
              </w:rPr>
              <w:t xml:space="preserve"> T</w:t>
            </w:r>
            <w:r w:rsidRPr="007B7D09">
              <w:rPr>
                <w:rFonts w:eastAsia="Times New Roman" w:cs="Arial"/>
                <w:color w:val="000000"/>
                <w:sz w:val="18"/>
                <w:szCs w:val="18"/>
                <w:lang w:val="en-AU" w:eastAsia="en-AU"/>
              </w:rPr>
              <w:t>ownhouse, 2 residents</w:t>
            </w:r>
          </w:p>
        </w:tc>
        <w:tc>
          <w:tcPr>
            <w:tcW w:w="537" w:type="dxa"/>
            <w:tcBorders>
              <w:top w:val="single" w:sz="4" w:space="0" w:color="7030A0"/>
              <w:bottom w:val="single" w:sz="4" w:space="0" w:color="7030A0"/>
            </w:tcBorders>
            <w:vAlign w:val="center"/>
          </w:tcPr>
          <w:p w:rsidR="00B01595" w:rsidRPr="004C01F6" w:rsidRDefault="00B01595" w:rsidP="00717425">
            <w:pPr>
              <w:spacing w:after="0"/>
              <w:jc w:val="center"/>
              <w:rPr>
                <w:rFonts w:cs="Arial"/>
                <w:sz w:val="18"/>
                <w:szCs w:val="18"/>
                <w:lang w:val="en-AU"/>
              </w:rPr>
            </w:pPr>
            <w:r w:rsidRPr="004C01F6">
              <w:rPr>
                <w:rFonts w:cs="Arial"/>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$140,000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$160,000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$210,000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$230,000</w:t>
            </w:r>
          </w:p>
        </w:tc>
        <w:tc>
          <w:tcPr>
            <w:tcW w:w="1167"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$250,000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$270,000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$290,000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$330,000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$360,000</w:t>
            </w:r>
          </w:p>
        </w:tc>
      </w:tr>
      <w:tr w:rsidR="00B01595" w:rsidRPr="0069103E" w:rsidTr="00717425">
        <w:trPr>
          <w:trHeight w:val="334"/>
        </w:trPr>
        <w:tc>
          <w:tcPr>
            <w:tcW w:w="2972" w:type="dxa"/>
            <w:tcBorders>
              <w:top w:val="single" w:sz="4" w:space="0" w:color="7030A0"/>
              <w:left w:val="single" w:sz="4" w:space="0" w:color="7030A0"/>
              <w:bottom w:val="single" w:sz="4" w:space="0" w:color="7030A0"/>
            </w:tcBorders>
            <w:shd w:val="clear" w:color="auto" w:fill="auto"/>
            <w:noWrap/>
            <w:vAlign w:val="center"/>
            <w:hideMark/>
          </w:tcPr>
          <w:p w:rsidR="00B01595" w:rsidRPr="004C01F6" w:rsidRDefault="00B01595"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Duplex</w:t>
            </w:r>
            <w:r>
              <w:rPr>
                <w:rFonts w:eastAsia="Times New Roman" w:cs="Arial"/>
                <w:color w:val="000000"/>
                <w:sz w:val="18"/>
                <w:szCs w:val="18"/>
                <w:lang w:val="en-AU" w:eastAsia="en-AU"/>
              </w:rPr>
              <w:t xml:space="preserve"> </w:t>
            </w:r>
            <w:r w:rsidRPr="004C01F6">
              <w:rPr>
                <w:rFonts w:eastAsia="Times New Roman" w:cs="Arial"/>
                <w:color w:val="000000"/>
                <w:sz w:val="18"/>
                <w:szCs w:val="18"/>
                <w:lang w:val="en-AU" w:eastAsia="en-AU"/>
              </w:rPr>
              <w:t>/</w:t>
            </w:r>
            <w:r>
              <w:rPr>
                <w:rFonts w:eastAsia="Times New Roman" w:cs="Arial"/>
                <w:color w:val="000000"/>
                <w:sz w:val="18"/>
                <w:szCs w:val="18"/>
                <w:lang w:val="en-AU" w:eastAsia="en-AU"/>
              </w:rPr>
              <w:t xml:space="preserve"> T</w:t>
            </w:r>
            <w:r w:rsidRPr="004C01F6">
              <w:rPr>
                <w:rFonts w:eastAsia="Times New Roman" w:cs="Arial"/>
                <w:color w:val="000000"/>
                <w:sz w:val="18"/>
                <w:szCs w:val="18"/>
                <w:lang w:val="en-AU" w:eastAsia="en-AU"/>
              </w:rPr>
              <w:t>ownhouse, 3 residents</w:t>
            </w:r>
          </w:p>
        </w:tc>
        <w:tc>
          <w:tcPr>
            <w:tcW w:w="537" w:type="dxa"/>
            <w:tcBorders>
              <w:top w:val="single" w:sz="4" w:space="0" w:color="7030A0"/>
              <w:bottom w:val="single" w:sz="4" w:space="0" w:color="7030A0"/>
            </w:tcBorders>
            <w:vAlign w:val="center"/>
          </w:tcPr>
          <w:p w:rsidR="00B01595" w:rsidRPr="00294EE7" w:rsidRDefault="00B01595" w:rsidP="00717425">
            <w:pPr>
              <w:spacing w:after="0"/>
              <w:jc w:val="center"/>
              <w:rPr>
                <w:rFonts w:cs="Arial"/>
                <w:sz w:val="18"/>
                <w:szCs w:val="18"/>
                <w:lang w:val="en-AU"/>
              </w:rPr>
            </w:pPr>
            <w:r w:rsidRPr="00294EE7">
              <w:rPr>
                <w:rFonts w:cs="Arial"/>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$190,000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$200,000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$280,000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$290,000</w:t>
            </w:r>
          </w:p>
        </w:tc>
        <w:tc>
          <w:tcPr>
            <w:tcW w:w="1167"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$340,000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$360,000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$370,000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$450,000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$470,000</w:t>
            </w:r>
          </w:p>
        </w:tc>
      </w:tr>
      <w:tr w:rsidR="00B01595" w:rsidRPr="0069103E" w:rsidTr="00717425">
        <w:trPr>
          <w:trHeight w:val="334"/>
        </w:trPr>
        <w:tc>
          <w:tcPr>
            <w:tcW w:w="2972" w:type="dxa"/>
            <w:tcBorders>
              <w:top w:val="single" w:sz="4" w:space="0" w:color="7030A0"/>
              <w:left w:val="single" w:sz="4" w:space="0" w:color="7030A0"/>
              <w:bottom w:val="single" w:sz="4" w:space="0" w:color="7030A0"/>
            </w:tcBorders>
            <w:shd w:val="clear" w:color="auto" w:fill="auto"/>
            <w:noWrap/>
            <w:vAlign w:val="center"/>
          </w:tcPr>
          <w:p w:rsidR="00B01595" w:rsidRPr="007B7D09" w:rsidRDefault="00B01595"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House, 2 residents</w:t>
            </w:r>
          </w:p>
        </w:tc>
        <w:tc>
          <w:tcPr>
            <w:tcW w:w="537" w:type="dxa"/>
            <w:tcBorders>
              <w:top w:val="single" w:sz="4" w:space="0" w:color="7030A0"/>
              <w:bottom w:val="single" w:sz="4" w:space="0" w:color="7030A0"/>
            </w:tcBorders>
            <w:vAlign w:val="center"/>
          </w:tcPr>
          <w:p w:rsidR="00B01595" w:rsidRPr="004C01F6" w:rsidRDefault="00B01595" w:rsidP="00717425">
            <w:pPr>
              <w:spacing w:after="0"/>
              <w:jc w:val="center"/>
              <w:rPr>
                <w:rFonts w:cs="Arial"/>
                <w:sz w:val="18"/>
                <w:szCs w:val="18"/>
                <w:lang w:val="en-AU"/>
              </w:rPr>
            </w:pPr>
            <w:r w:rsidRPr="004C01F6">
              <w:rPr>
                <w:rFonts w:cs="Arial"/>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$150,000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$170,000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$220,000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$240,000</w:t>
            </w:r>
          </w:p>
        </w:tc>
        <w:tc>
          <w:tcPr>
            <w:tcW w:w="1167"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$270,000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$290,000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$310,000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$350,000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$370,000</w:t>
            </w:r>
          </w:p>
        </w:tc>
      </w:tr>
      <w:tr w:rsidR="00B01595" w:rsidRPr="0069103E" w:rsidTr="00717425">
        <w:trPr>
          <w:trHeight w:val="334"/>
        </w:trPr>
        <w:tc>
          <w:tcPr>
            <w:tcW w:w="2972" w:type="dxa"/>
            <w:tcBorders>
              <w:top w:val="single" w:sz="4" w:space="0" w:color="7030A0"/>
              <w:left w:val="single" w:sz="4" w:space="0" w:color="7030A0"/>
              <w:bottom w:val="single" w:sz="4" w:space="0" w:color="7030A0"/>
            </w:tcBorders>
            <w:shd w:val="clear" w:color="auto" w:fill="auto"/>
            <w:noWrap/>
            <w:vAlign w:val="center"/>
            <w:hideMark/>
          </w:tcPr>
          <w:p w:rsidR="00B01595" w:rsidRPr="007B7D09" w:rsidRDefault="00B01595"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House, 3 residents</w:t>
            </w:r>
          </w:p>
        </w:tc>
        <w:tc>
          <w:tcPr>
            <w:tcW w:w="537" w:type="dxa"/>
            <w:tcBorders>
              <w:top w:val="single" w:sz="4" w:space="0" w:color="7030A0"/>
              <w:bottom w:val="single" w:sz="4" w:space="0" w:color="7030A0"/>
            </w:tcBorders>
            <w:vAlign w:val="center"/>
          </w:tcPr>
          <w:p w:rsidR="00B01595" w:rsidRPr="004C01F6" w:rsidRDefault="00B01595" w:rsidP="00717425">
            <w:pPr>
              <w:spacing w:after="0"/>
              <w:jc w:val="center"/>
              <w:rPr>
                <w:rFonts w:cs="Arial"/>
                <w:sz w:val="18"/>
                <w:szCs w:val="18"/>
                <w:lang w:val="en-AU"/>
              </w:rPr>
            </w:pPr>
            <w:r w:rsidRPr="004C01F6">
              <w:rPr>
                <w:rFonts w:cs="Arial"/>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$210,000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$230,000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$310,000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$330,000</w:t>
            </w:r>
          </w:p>
        </w:tc>
        <w:tc>
          <w:tcPr>
            <w:tcW w:w="1167"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$380,000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$400,000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$420,000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$540,000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$560,000</w:t>
            </w:r>
          </w:p>
        </w:tc>
      </w:tr>
      <w:tr w:rsidR="00B01595" w:rsidRPr="0069103E" w:rsidTr="00717425">
        <w:trPr>
          <w:trHeight w:val="334"/>
        </w:trPr>
        <w:tc>
          <w:tcPr>
            <w:tcW w:w="2972" w:type="dxa"/>
            <w:tcBorders>
              <w:top w:val="single" w:sz="4" w:space="0" w:color="7030A0"/>
              <w:left w:val="single" w:sz="4" w:space="0" w:color="7030A0"/>
              <w:bottom w:val="single" w:sz="4" w:space="0" w:color="7030A0"/>
            </w:tcBorders>
            <w:shd w:val="clear" w:color="auto" w:fill="auto"/>
            <w:noWrap/>
            <w:vAlign w:val="center"/>
            <w:hideMark/>
          </w:tcPr>
          <w:p w:rsidR="00B01595" w:rsidRPr="007B7D09" w:rsidRDefault="00B01595"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 xml:space="preserve">Group </w:t>
            </w:r>
            <w:r>
              <w:rPr>
                <w:rFonts w:eastAsia="Times New Roman" w:cs="Arial"/>
                <w:color w:val="000000"/>
                <w:sz w:val="18"/>
                <w:szCs w:val="18"/>
                <w:lang w:val="en-AU" w:eastAsia="en-AU"/>
              </w:rPr>
              <w:t>home</w:t>
            </w:r>
            <w:r w:rsidRPr="007B7D09">
              <w:rPr>
                <w:rFonts w:eastAsia="Times New Roman" w:cs="Arial"/>
                <w:color w:val="000000"/>
                <w:sz w:val="18"/>
                <w:szCs w:val="18"/>
                <w:lang w:val="en-AU" w:eastAsia="en-AU"/>
              </w:rPr>
              <w:t>, 4 residents</w:t>
            </w:r>
          </w:p>
        </w:tc>
        <w:tc>
          <w:tcPr>
            <w:tcW w:w="537" w:type="dxa"/>
            <w:tcBorders>
              <w:top w:val="single" w:sz="4" w:space="0" w:color="7030A0"/>
              <w:bottom w:val="single" w:sz="4" w:space="0" w:color="7030A0"/>
            </w:tcBorders>
            <w:vAlign w:val="center"/>
          </w:tcPr>
          <w:p w:rsidR="00B01595" w:rsidRPr="004C01F6" w:rsidRDefault="00B01595" w:rsidP="00717425">
            <w:pPr>
              <w:spacing w:after="0"/>
              <w:jc w:val="center"/>
              <w:rPr>
                <w:rFonts w:cs="Arial"/>
                <w:sz w:val="18"/>
                <w:szCs w:val="18"/>
                <w:lang w:val="en-AU"/>
              </w:rPr>
            </w:pPr>
            <w:r w:rsidRPr="004C01F6">
              <w:rPr>
                <w:rFonts w:cs="Arial"/>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$290,000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$310,000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$420,000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$430,000</w:t>
            </w:r>
          </w:p>
        </w:tc>
        <w:tc>
          <w:tcPr>
            <w:tcW w:w="1167"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$500,000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$520,000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$540,000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$680,000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$710,000</w:t>
            </w:r>
          </w:p>
        </w:tc>
      </w:tr>
      <w:tr w:rsidR="00B01595" w:rsidRPr="0069103E" w:rsidTr="00717425">
        <w:trPr>
          <w:trHeight w:val="334"/>
        </w:trPr>
        <w:tc>
          <w:tcPr>
            <w:tcW w:w="2972" w:type="dxa"/>
            <w:tcBorders>
              <w:top w:val="single" w:sz="4" w:space="0" w:color="7030A0"/>
              <w:left w:val="single" w:sz="4" w:space="0" w:color="7030A0"/>
              <w:bottom w:val="single" w:sz="4" w:space="0" w:color="7030A0"/>
            </w:tcBorders>
            <w:shd w:val="clear" w:color="auto" w:fill="auto"/>
            <w:noWrap/>
            <w:vAlign w:val="center"/>
            <w:hideMark/>
          </w:tcPr>
          <w:p w:rsidR="00B01595" w:rsidRPr="007B7D09" w:rsidRDefault="00B01595" w:rsidP="00717425">
            <w:pPr>
              <w:spacing w:after="0" w:line="240" w:lineRule="auto"/>
              <w:rPr>
                <w:rFonts w:eastAsia="Times New Roman" w:cs="Arial"/>
                <w:color w:val="000000"/>
                <w:sz w:val="18"/>
                <w:szCs w:val="18"/>
                <w:lang w:val="en-AU" w:eastAsia="en-AU"/>
              </w:rPr>
            </w:pPr>
            <w:r w:rsidRPr="007B7D09">
              <w:rPr>
                <w:rFonts w:eastAsia="Times New Roman" w:cs="Arial"/>
                <w:color w:val="000000"/>
                <w:sz w:val="18"/>
                <w:szCs w:val="18"/>
                <w:lang w:val="en-AU" w:eastAsia="en-AU"/>
              </w:rPr>
              <w:t xml:space="preserve">Group </w:t>
            </w:r>
            <w:r>
              <w:rPr>
                <w:rFonts w:eastAsia="Times New Roman" w:cs="Arial"/>
                <w:color w:val="000000"/>
                <w:sz w:val="18"/>
                <w:szCs w:val="18"/>
                <w:lang w:val="en-AU" w:eastAsia="en-AU"/>
              </w:rPr>
              <w:t>home</w:t>
            </w:r>
            <w:r w:rsidRPr="007B7D09">
              <w:rPr>
                <w:rFonts w:eastAsia="Times New Roman" w:cs="Arial"/>
                <w:color w:val="000000"/>
                <w:sz w:val="18"/>
                <w:szCs w:val="18"/>
                <w:lang w:val="en-AU" w:eastAsia="en-AU"/>
              </w:rPr>
              <w:t>, 5 residents</w:t>
            </w:r>
          </w:p>
        </w:tc>
        <w:tc>
          <w:tcPr>
            <w:tcW w:w="537" w:type="dxa"/>
            <w:tcBorders>
              <w:top w:val="single" w:sz="4" w:space="0" w:color="7030A0"/>
              <w:bottom w:val="single" w:sz="4" w:space="0" w:color="7030A0"/>
            </w:tcBorders>
            <w:vAlign w:val="center"/>
          </w:tcPr>
          <w:p w:rsidR="00B01595" w:rsidRPr="004C01F6" w:rsidRDefault="00B01595" w:rsidP="00717425">
            <w:pPr>
              <w:spacing w:after="0"/>
              <w:jc w:val="center"/>
              <w:rPr>
                <w:rFonts w:cs="Arial"/>
                <w:sz w:val="18"/>
                <w:szCs w:val="18"/>
                <w:lang w:val="en-AU"/>
              </w:rPr>
            </w:pPr>
            <w:r w:rsidRPr="004C01F6">
              <w:rPr>
                <w:rFonts w:cs="Arial"/>
                <w:sz w:val="18"/>
                <w:szCs w:val="18"/>
                <w:lang w:val="en-AU"/>
              </w:rPr>
              <w:t>na</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$320,000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$330,000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$460,000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$480,000</w:t>
            </w:r>
          </w:p>
        </w:tc>
        <w:tc>
          <w:tcPr>
            <w:tcW w:w="1167"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$550,000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$570,000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$590,000</w:t>
            </w:r>
          </w:p>
        </w:tc>
        <w:tc>
          <w:tcPr>
            <w:tcW w:w="1225" w:type="dxa"/>
            <w:tcBorders>
              <w:top w:val="single" w:sz="4" w:space="0" w:color="7030A0"/>
              <w:bottom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$760,000</w:t>
            </w:r>
          </w:p>
        </w:tc>
        <w:tc>
          <w:tcPr>
            <w:tcW w:w="1225" w:type="dxa"/>
            <w:tcBorders>
              <w:top w:val="single" w:sz="4" w:space="0" w:color="7030A0"/>
              <w:bottom w:val="single" w:sz="4" w:space="0" w:color="7030A0"/>
              <w:right w:val="single" w:sz="4" w:space="0" w:color="7030A0"/>
            </w:tcBorders>
            <w:shd w:val="clear" w:color="auto" w:fill="auto"/>
            <w:noWrap/>
            <w:vAlign w:val="center"/>
          </w:tcPr>
          <w:p w:rsidR="00B01595" w:rsidRPr="007B7D09" w:rsidRDefault="00B01595" w:rsidP="00717425">
            <w:pPr>
              <w:spacing w:after="0"/>
              <w:jc w:val="center"/>
              <w:rPr>
                <w:rFonts w:cs="Arial"/>
                <w:color w:val="000000"/>
                <w:sz w:val="18"/>
                <w:szCs w:val="18"/>
                <w:lang w:val="en-AU"/>
              </w:rPr>
            </w:pPr>
            <w:r w:rsidRPr="0069103E">
              <w:rPr>
                <w:rFonts w:cs="Arial"/>
                <w:color w:val="000000"/>
                <w:sz w:val="18"/>
                <w:szCs w:val="18"/>
                <w:lang w:val="en-AU"/>
              </w:rPr>
              <w:t>$790,000</w:t>
            </w:r>
          </w:p>
        </w:tc>
      </w:tr>
    </w:tbl>
    <w:p w:rsidR="00B01595" w:rsidRPr="007B7D09" w:rsidRDefault="00B01595" w:rsidP="00B01595">
      <w:pPr>
        <w:rPr>
          <w:lang w:val="en-AU"/>
        </w:rPr>
        <w:sectPr w:rsidR="00B01595" w:rsidRPr="007B7D09" w:rsidSect="00F53A14">
          <w:headerReference w:type="even" r:id="rId21"/>
          <w:headerReference w:type="default" r:id="rId22"/>
          <w:headerReference w:type="first" r:id="rId23"/>
          <w:footerReference w:type="first" r:id="rId24"/>
          <w:pgSz w:w="16838" w:h="11906" w:orient="landscape"/>
          <w:pgMar w:top="1440" w:right="1440" w:bottom="1440" w:left="1440" w:header="708" w:footer="0" w:gutter="0"/>
          <w:cols w:space="708"/>
          <w:titlePg/>
          <w:docGrid w:linePitch="360"/>
        </w:sectPr>
      </w:pPr>
    </w:p>
    <w:p w:rsidR="00B01595" w:rsidRPr="0069103E" w:rsidRDefault="00B01595" w:rsidP="00CB2072">
      <w:pPr>
        <w:pStyle w:val="Heading4"/>
        <w:keepNext/>
        <w:keepLines/>
        <w:ind w:left="720"/>
        <w:rPr>
          <w:lang w:val="en-AU"/>
        </w:rPr>
      </w:pPr>
      <w:bookmarkStart w:id="27" w:name="_Ref452471632"/>
      <w:r w:rsidRPr="0069103E">
        <w:rPr>
          <w:lang w:val="en-AU"/>
        </w:rPr>
        <w:lastRenderedPageBreak/>
        <w:t>Accommodation design categories</w:t>
      </w:r>
      <w:bookmarkEnd w:id="27"/>
    </w:p>
    <w:p w:rsidR="00B01595" w:rsidRPr="00115D32" w:rsidRDefault="00B01595" w:rsidP="00B01595">
      <w:pPr>
        <w:rPr>
          <w:lang w:val="en-AU"/>
        </w:rPr>
      </w:pPr>
      <w:r w:rsidRPr="0069103E">
        <w:rPr>
          <w:lang w:val="en-AU"/>
        </w:rPr>
        <w:t xml:space="preserve">Benchmark pricing caters for a number of building purposes which incorporate different standards and characteristics of SDA </w:t>
      </w:r>
      <w:r w:rsidR="00450D16">
        <w:rPr>
          <w:lang w:val="en-AU"/>
        </w:rPr>
        <w:t xml:space="preserve">to meet participants’ </w:t>
      </w:r>
      <w:r w:rsidRPr="0069103E">
        <w:rPr>
          <w:lang w:val="en-AU"/>
        </w:rPr>
        <w:t xml:space="preserve">needs and the nature of their </w:t>
      </w:r>
      <w:r w:rsidRPr="00115D32">
        <w:rPr>
          <w:lang w:val="en-AU"/>
        </w:rPr>
        <w:t xml:space="preserve">disability. </w:t>
      </w:r>
    </w:p>
    <w:p w:rsidR="00B01595" w:rsidRPr="00115D32" w:rsidRDefault="00B01595" w:rsidP="00B01595">
      <w:pPr>
        <w:rPr>
          <w:lang w:val="en-AU"/>
        </w:rPr>
      </w:pPr>
      <w:r w:rsidRPr="00115D32">
        <w:rPr>
          <w:lang w:val="en-AU"/>
        </w:rPr>
        <w:t>The SDA Benchmark Pricing model is based on five broad categories of SDA design, shown in</w:t>
      </w:r>
      <w:r w:rsidR="00DB710E" w:rsidRPr="00115D32">
        <w:rPr>
          <w:lang w:val="en-AU"/>
        </w:rPr>
        <w:t xml:space="preserve"> </w:t>
      </w:r>
      <w:r w:rsidR="00115D32" w:rsidRPr="00115D32">
        <w:rPr>
          <w:lang w:val="en-AU"/>
        </w:rPr>
        <w:fldChar w:fldCharType="begin"/>
      </w:r>
      <w:r w:rsidR="00115D32" w:rsidRPr="00115D32">
        <w:rPr>
          <w:lang w:val="en-AU"/>
        </w:rPr>
        <w:instrText xml:space="preserve"> REF _Ref452471781 \h  \* MERGEFORMAT </w:instrText>
      </w:r>
      <w:r w:rsidR="00115D32" w:rsidRPr="00115D32">
        <w:rPr>
          <w:lang w:val="en-AU"/>
        </w:rPr>
      </w:r>
      <w:r w:rsidR="00115D32" w:rsidRPr="00115D32">
        <w:rPr>
          <w:lang w:val="en-AU"/>
        </w:rPr>
        <w:fldChar w:fldCharType="separate"/>
      </w:r>
      <w:r w:rsidR="006C6F0B" w:rsidRPr="0069103E">
        <w:rPr>
          <w:lang w:val="en-AU"/>
        </w:rPr>
        <w:t xml:space="preserve">Table </w:t>
      </w:r>
      <w:r w:rsidR="006C6F0B">
        <w:rPr>
          <w:noProof/>
          <w:lang w:val="en-AU"/>
        </w:rPr>
        <w:t>5</w:t>
      </w:r>
      <w:r w:rsidR="00115D32" w:rsidRPr="00115D32">
        <w:rPr>
          <w:lang w:val="en-AU"/>
        </w:rPr>
        <w:fldChar w:fldCharType="end"/>
      </w:r>
      <w:r w:rsidRPr="00115D32">
        <w:rPr>
          <w:lang w:val="en-AU"/>
        </w:rPr>
        <w:t xml:space="preserve">. These categories received support through consultation and feedback. </w:t>
      </w:r>
    </w:p>
    <w:p w:rsidR="00B01595" w:rsidRPr="00294EE7" w:rsidRDefault="00115D32" w:rsidP="00B01595">
      <w:pPr>
        <w:rPr>
          <w:lang w:val="en-AU"/>
        </w:rPr>
      </w:pPr>
      <w:r w:rsidRPr="00115D32">
        <w:rPr>
          <w:lang w:val="en-AU"/>
        </w:rPr>
        <w:fldChar w:fldCharType="begin"/>
      </w:r>
      <w:r w:rsidRPr="00115D32">
        <w:rPr>
          <w:lang w:val="en-AU"/>
        </w:rPr>
        <w:instrText xml:space="preserve"> REF _Ref452471781 \h </w:instrText>
      </w:r>
      <w:r>
        <w:rPr>
          <w:lang w:val="en-AU"/>
        </w:rPr>
        <w:instrText xml:space="preserve"> \* MERGEFORMAT </w:instrText>
      </w:r>
      <w:r w:rsidRPr="00115D32">
        <w:rPr>
          <w:lang w:val="en-AU"/>
        </w:rPr>
      </w:r>
      <w:r w:rsidRPr="00115D32">
        <w:rPr>
          <w:lang w:val="en-AU"/>
        </w:rPr>
        <w:fldChar w:fldCharType="separate"/>
      </w:r>
      <w:r w:rsidR="006C6F0B" w:rsidRPr="0069103E">
        <w:rPr>
          <w:lang w:val="en-AU"/>
        </w:rPr>
        <w:t xml:space="preserve">Table </w:t>
      </w:r>
      <w:r w:rsidR="006C6F0B">
        <w:rPr>
          <w:noProof/>
          <w:lang w:val="en-AU"/>
        </w:rPr>
        <w:t>5</w:t>
      </w:r>
      <w:r w:rsidRPr="00115D32">
        <w:rPr>
          <w:lang w:val="en-AU"/>
        </w:rPr>
        <w:fldChar w:fldCharType="end"/>
      </w:r>
      <w:r w:rsidRPr="00115D32">
        <w:rPr>
          <w:lang w:val="en-AU"/>
        </w:rPr>
        <w:t xml:space="preserve"> </w:t>
      </w:r>
      <w:r w:rsidR="00B01595" w:rsidRPr="00115D32">
        <w:rPr>
          <w:lang w:val="en-AU"/>
        </w:rPr>
        <w:t xml:space="preserve">specifies the </w:t>
      </w:r>
      <w:r w:rsidR="00B01595" w:rsidRPr="00115D32">
        <w:rPr>
          <w:i/>
          <w:lang w:val="en-AU"/>
        </w:rPr>
        <w:t>‘Minimum Requirements for New Builds’</w:t>
      </w:r>
      <w:r w:rsidR="00B01595" w:rsidRPr="00115D32">
        <w:rPr>
          <w:lang w:val="en-AU"/>
        </w:rPr>
        <w:t xml:space="preserve"> for each design category. For</w:t>
      </w:r>
      <w:r w:rsidR="00B01595" w:rsidRPr="004C01F6">
        <w:rPr>
          <w:lang w:val="en-AU"/>
        </w:rPr>
        <w:t xml:space="preserve"> New Builds, the minimum specifications must be met f</w:t>
      </w:r>
      <w:r w:rsidR="00B01595" w:rsidRPr="00294EE7">
        <w:rPr>
          <w:lang w:val="en-AU"/>
        </w:rPr>
        <w:t xml:space="preserve">or all shared areas and the majority of bedrooms before a property will be considered eligible for the corresponding design category. </w:t>
      </w:r>
    </w:p>
    <w:p w:rsidR="00B01595" w:rsidRPr="0069103E" w:rsidRDefault="00B01595" w:rsidP="00B01595">
      <w:pPr>
        <w:rPr>
          <w:lang w:val="en-AU"/>
        </w:rPr>
      </w:pPr>
      <w:r w:rsidRPr="00FC5E27">
        <w:rPr>
          <w:lang w:val="en-AU"/>
        </w:rPr>
        <w:t xml:space="preserve">The Agency recognises that some existing properties would have been constructed prior to the development of current standards and therefore Existing Stock that substantially meets the </w:t>
      </w:r>
      <w:r w:rsidRPr="00FC5E27">
        <w:rPr>
          <w:i/>
          <w:lang w:val="en-AU"/>
        </w:rPr>
        <w:t xml:space="preserve">‘Minimum Requirements for New Builds’ </w:t>
      </w:r>
      <w:r w:rsidRPr="0069103E">
        <w:rPr>
          <w:lang w:val="en-AU"/>
        </w:rPr>
        <w:t>will also be considered eligible for the corresponding design category. Substantial compliance will mean compliance in all but a few non-critical respects.</w:t>
      </w:r>
    </w:p>
    <w:p w:rsidR="00B01595" w:rsidRPr="00FC5E27" w:rsidRDefault="00B01595" w:rsidP="00B01595">
      <w:pPr>
        <w:rPr>
          <w:lang w:val="en-AU"/>
        </w:rPr>
      </w:pPr>
      <w:r w:rsidRPr="0069103E">
        <w:rPr>
          <w:lang w:val="en-AU"/>
        </w:rPr>
        <w:t xml:space="preserve">The SDA design category will need to be confirmed in writing by </w:t>
      </w:r>
      <w:r w:rsidR="00631DA5">
        <w:rPr>
          <w:lang w:val="en-AU"/>
        </w:rPr>
        <w:t>an assessment against the relevant Liv</w:t>
      </w:r>
      <w:r w:rsidRPr="0069103E">
        <w:rPr>
          <w:lang w:val="en-AU"/>
        </w:rPr>
        <w:t xml:space="preserve">able Housing Australia </w:t>
      </w:r>
      <w:r w:rsidR="00631DA5">
        <w:rPr>
          <w:lang w:val="en-AU"/>
        </w:rPr>
        <w:t xml:space="preserve">design standards that </w:t>
      </w:r>
      <w:r w:rsidRPr="0069103E">
        <w:rPr>
          <w:lang w:val="en-AU"/>
        </w:rPr>
        <w:t xml:space="preserve">must explicitly reference each of the </w:t>
      </w:r>
      <w:r w:rsidRPr="0069103E">
        <w:rPr>
          <w:i/>
          <w:lang w:val="en-AU"/>
        </w:rPr>
        <w:t xml:space="preserve">‘Minimum Requirements for New Builds’ </w:t>
      </w:r>
      <w:r w:rsidRPr="0069103E">
        <w:rPr>
          <w:lang w:val="en-AU"/>
        </w:rPr>
        <w:t>relevant to that category.</w:t>
      </w:r>
      <w:r w:rsidRPr="00294EE7">
        <w:rPr>
          <w:rStyle w:val="FootnoteReference"/>
          <w:lang w:val="en-AU"/>
        </w:rPr>
        <w:footnoteReference w:id="2"/>
      </w:r>
      <w:r w:rsidRPr="00294EE7">
        <w:rPr>
          <w:lang w:val="en-AU"/>
        </w:rPr>
        <w:t xml:space="preserve"> For properties owned or operated by a State or Territory Government, a government department with responsibility for disability or housing may, at its discret</w:t>
      </w:r>
      <w:r w:rsidRPr="00FC5E27">
        <w:rPr>
          <w:lang w:val="en-AU"/>
        </w:rPr>
        <w:t>ion, attest to the SDA design category instead.</w:t>
      </w:r>
    </w:p>
    <w:p w:rsidR="00B01595" w:rsidRPr="0069103E" w:rsidRDefault="00B01595" w:rsidP="00B01595">
      <w:pPr>
        <w:rPr>
          <w:lang w:val="en-AU"/>
        </w:rPr>
      </w:pPr>
      <w:r w:rsidRPr="00FC5E27">
        <w:rPr>
          <w:lang w:val="en-AU"/>
        </w:rPr>
        <w:t>In the SDA Position Paper, the Agency outlined a suite of features, materials and specifications that were used in the pricing for each design category. These features and specifications were applied in calcu</w:t>
      </w:r>
      <w:r w:rsidRPr="0069103E">
        <w:rPr>
          <w:lang w:val="en-AU"/>
        </w:rPr>
        <w:t xml:space="preserve">lating the prices associated with each design category and are therefore considered ‘benchmark property’ specifications, but are not minimum requirements with regard to assessing the SDA design category. </w:t>
      </w:r>
    </w:p>
    <w:p w:rsidR="00B01595" w:rsidRPr="0069103E" w:rsidRDefault="00B01595" w:rsidP="00B01595">
      <w:pPr>
        <w:rPr>
          <w:lang w:val="en-AU"/>
        </w:rPr>
      </w:pPr>
    </w:p>
    <w:p w:rsidR="00B01595" w:rsidRPr="0069103E" w:rsidRDefault="00B01595" w:rsidP="00B01595">
      <w:pPr>
        <w:rPr>
          <w:b/>
          <w:bCs/>
          <w:lang w:val="en-AU"/>
        </w:rPr>
        <w:sectPr w:rsidR="00B01595" w:rsidRPr="0069103E" w:rsidSect="00FB5514">
          <w:headerReference w:type="even" r:id="rId25"/>
          <w:headerReference w:type="default" r:id="rId26"/>
          <w:footerReference w:type="default" r:id="rId27"/>
          <w:headerReference w:type="first" r:id="rId28"/>
          <w:footerReference w:type="first" r:id="rId29"/>
          <w:pgSz w:w="11906" w:h="16838"/>
          <w:pgMar w:top="1440" w:right="1440" w:bottom="1440" w:left="1440" w:header="708" w:footer="0" w:gutter="0"/>
          <w:cols w:space="708"/>
          <w:titlePg/>
          <w:docGrid w:linePitch="360"/>
        </w:sectPr>
      </w:pPr>
    </w:p>
    <w:p w:rsidR="00B01595" w:rsidRPr="00294EE7" w:rsidRDefault="00B01595" w:rsidP="00B01595">
      <w:pPr>
        <w:pStyle w:val="Caption"/>
        <w:rPr>
          <w:lang w:val="en-AU"/>
        </w:rPr>
      </w:pPr>
      <w:bookmarkStart w:id="28" w:name="_Ref452471781"/>
      <w:r w:rsidRPr="0069103E">
        <w:rPr>
          <w:lang w:val="en-AU"/>
        </w:rPr>
        <w:lastRenderedPageBreak/>
        <w:t xml:space="preserve">Table </w:t>
      </w:r>
      <w:r w:rsidRPr="00294EE7">
        <w:rPr>
          <w:lang w:val="en-AU"/>
        </w:rPr>
        <w:fldChar w:fldCharType="begin"/>
      </w:r>
      <w:r w:rsidRPr="0069103E">
        <w:rPr>
          <w:lang w:val="en-AU"/>
        </w:rPr>
        <w:instrText xml:space="preserve"> SEQ Table \* ARABIC </w:instrText>
      </w:r>
      <w:r w:rsidRPr="00294EE7">
        <w:rPr>
          <w:lang w:val="en-AU"/>
        </w:rPr>
        <w:fldChar w:fldCharType="separate"/>
      </w:r>
      <w:r w:rsidR="006C6F0B">
        <w:rPr>
          <w:noProof/>
          <w:lang w:val="en-AU"/>
        </w:rPr>
        <w:t>5</w:t>
      </w:r>
      <w:r w:rsidRPr="00294EE7">
        <w:rPr>
          <w:lang w:val="en-AU"/>
        </w:rPr>
        <w:fldChar w:fldCharType="end"/>
      </w:r>
      <w:bookmarkEnd w:id="28"/>
      <w:r w:rsidRPr="00294EE7">
        <w:rPr>
          <w:lang w:val="en-AU"/>
        </w:rPr>
        <w:t>: Description of SDA design categories</w:t>
      </w:r>
    </w:p>
    <w:tbl>
      <w:tblPr>
        <w:tblStyle w:val="TableGrid"/>
        <w:tblW w:w="13212" w:type="dxa"/>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Caption w:val="Primary design catergories"/>
        <w:tblDescription w:val="Describes category, definition and minimum requirements for new builds"/>
      </w:tblPr>
      <w:tblGrid>
        <w:gridCol w:w="1521"/>
        <w:gridCol w:w="3895"/>
        <w:gridCol w:w="7796"/>
      </w:tblGrid>
      <w:tr w:rsidR="00B01595" w:rsidRPr="00CD197F" w:rsidTr="002F0DDE">
        <w:trPr>
          <w:tblHeader/>
        </w:trPr>
        <w:tc>
          <w:tcPr>
            <w:tcW w:w="1521" w:type="dxa"/>
            <w:shd w:val="clear" w:color="auto" w:fill="7030A0"/>
            <w:vAlign w:val="center"/>
          </w:tcPr>
          <w:p w:rsidR="00B01595" w:rsidRPr="009655D6" w:rsidRDefault="00B01595" w:rsidP="002F0DDE">
            <w:pPr>
              <w:spacing w:before="120"/>
              <w:rPr>
                <w:b/>
                <w:color w:val="FFFFFF" w:themeColor="background1"/>
                <w:sz w:val="20"/>
                <w:szCs w:val="20"/>
                <w:lang w:val="en-AU"/>
              </w:rPr>
            </w:pPr>
            <w:r>
              <w:rPr>
                <w:b/>
                <w:color w:val="FFFFFF" w:themeColor="background1"/>
                <w:sz w:val="20"/>
                <w:szCs w:val="20"/>
                <w:lang w:val="en-AU"/>
              </w:rPr>
              <w:t>SDA design c</w:t>
            </w:r>
            <w:r w:rsidRPr="009655D6">
              <w:rPr>
                <w:b/>
                <w:color w:val="FFFFFF" w:themeColor="background1"/>
                <w:sz w:val="20"/>
                <w:szCs w:val="20"/>
                <w:lang w:val="en-AU"/>
              </w:rPr>
              <w:t>ategory</w:t>
            </w:r>
          </w:p>
        </w:tc>
        <w:tc>
          <w:tcPr>
            <w:tcW w:w="3895" w:type="dxa"/>
            <w:shd w:val="clear" w:color="auto" w:fill="7030A0"/>
            <w:vAlign w:val="center"/>
          </w:tcPr>
          <w:p w:rsidR="00B01595" w:rsidRPr="009655D6" w:rsidRDefault="00B01595" w:rsidP="002F0DDE">
            <w:pPr>
              <w:spacing w:before="120"/>
              <w:rPr>
                <w:b/>
                <w:color w:val="FFFFFF" w:themeColor="background1"/>
                <w:sz w:val="20"/>
                <w:szCs w:val="20"/>
                <w:lang w:val="en-AU"/>
              </w:rPr>
            </w:pPr>
            <w:r w:rsidRPr="009655D6">
              <w:rPr>
                <w:b/>
                <w:color w:val="FFFFFF" w:themeColor="background1"/>
                <w:sz w:val="20"/>
                <w:szCs w:val="20"/>
                <w:lang w:val="en-AU"/>
              </w:rPr>
              <w:t>Definition</w:t>
            </w:r>
          </w:p>
        </w:tc>
        <w:tc>
          <w:tcPr>
            <w:tcW w:w="7796" w:type="dxa"/>
            <w:shd w:val="clear" w:color="auto" w:fill="7030A0"/>
            <w:vAlign w:val="center"/>
          </w:tcPr>
          <w:p w:rsidR="00B01595" w:rsidRPr="009655D6" w:rsidRDefault="00B01595" w:rsidP="002F0DDE">
            <w:pPr>
              <w:spacing w:before="120"/>
              <w:rPr>
                <w:b/>
                <w:color w:val="FFFFFF" w:themeColor="background1"/>
                <w:sz w:val="20"/>
                <w:szCs w:val="20"/>
                <w:lang w:val="en-AU"/>
              </w:rPr>
            </w:pPr>
            <w:r w:rsidRPr="009655D6">
              <w:rPr>
                <w:b/>
                <w:color w:val="FFFFFF" w:themeColor="background1"/>
                <w:sz w:val="20"/>
                <w:szCs w:val="20"/>
                <w:lang w:val="en-AU"/>
              </w:rPr>
              <w:t>Minimum Requirements for New Builds</w:t>
            </w:r>
          </w:p>
        </w:tc>
      </w:tr>
      <w:tr w:rsidR="00B01595" w:rsidRPr="005C4E27" w:rsidTr="00717425">
        <w:tc>
          <w:tcPr>
            <w:tcW w:w="1521" w:type="dxa"/>
          </w:tcPr>
          <w:p w:rsidR="00B01595" w:rsidRPr="007B7D09" w:rsidRDefault="00B01595" w:rsidP="0028716B">
            <w:pPr>
              <w:spacing w:before="120"/>
              <w:rPr>
                <w:b/>
                <w:sz w:val="20"/>
                <w:szCs w:val="20"/>
                <w:lang w:val="en-AU"/>
              </w:rPr>
            </w:pPr>
            <w:r w:rsidRPr="007B7D09">
              <w:rPr>
                <w:b/>
                <w:sz w:val="20"/>
                <w:szCs w:val="20"/>
                <w:lang w:val="en-AU"/>
              </w:rPr>
              <w:t xml:space="preserve">Basic </w:t>
            </w:r>
          </w:p>
        </w:tc>
        <w:tc>
          <w:tcPr>
            <w:tcW w:w="3895" w:type="dxa"/>
          </w:tcPr>
          <w:p w:rsidR="00B01595" w:rsidRPr="00294EE7" w:rsidRDefault="00B01595" w:rsidP="0028716B">
            <w:pPr>
              <w:spacing w:before="120"/>
              <w:rPr>
                <w:sz w:val="20"/>
                <w:szCs w:val="20"/>
                <w:lang w:val="en-AU"/>
              </w:rPr>
            </w:pPr>
            <w:r w:rsidRPr="004C01F6">
              <w:rPr>
                <w:sz w:val="20"/>
                <w:szCs w:val="20"/>
                <w:lang w:val="en-AU"/>
              </w:rPr>
              <w:t>Housing without specialised design features but with other important SDA chara</w:t>
            </w:r>
            <w:r w:rsidRPr="00294EE7">
              <w:rPr>
                <w:sz w:val="20"/>
                <w:szCs w:val="20"/>
                <w:lang w:val="en-AU"/>
              </w:rPr>
              <w:t xml:space="preserve">cteristics (e.g. location, privacy, shared supports).  </w:t>
            </w:r>
          </w:p>
        </w:tc>
        <w:tc>
          <w:tcPr>
            <w:tcW w:w="7796" w:type="dxa"/>
          </w:tcPr>
          <w:p w:rsidR="00B01595" w:rsidRPr="00581AC4" w:rsidRDefault="00B01595" w:rsidP="00581AC4">
            <w:pPr>
              <w:spacing w:before="120" w:after="120"/>
              <w:ind w:left="-6"/>
              <w:rPr>
                <w:sz w:val="20"/>
                <w:szCs w:val="20"/>
                <w:lang w:val="en-AU"/>
              </w:rPr>
            </w:pPr>
            <w:r w:rsidRPr="00581AC4">
              <w:rPr>
                <w:sz w:val="20"/>
                <w:szCs w:val="20"/>
                <w:lang w:val="en-AU"/>
              </w:rPr>
              <w:t>Available for Existing Stock only</w:t>
            </w:r>
            <w:r w:rsidR="00A91FA7">
              <w:rPr>
                <w:sz w:val="20"/>
                <w:szCs w:val="20"/>
                <w:lang w:val="en-AU"/>
              </w:rPr>
              <w:t>.</w:t>
            </w:r>
          </w:p>
        </w:tc>
      </w:tr>
      <w:tr w:rsidR="00B01595" w:rsidRPr="005C4E27" w:rsidTr="00717425">
        <w:tc>
          <w:tcPr>
            <w:tcW w:w="1521" w:type="dxa"/>
          </w:tcPr>
          <w:p w:rsidR="00B01595" w:rsidRPr="004C01F6" w:rsidRDefault="00B01595" w:rsidP="0028716B">
            <w:pPr>
              <w:spacing w:before="120"/>
              <w:rPr>
                <w:b/>
                <w:sz w:val="20"/>
                <w:szCs w:val="20"/>
                <w:lang w:val="en-AU"/>
              </w:rPr>
            </w:pPr>
            <w:r w:rsidRPr="007B7D09">
              <w:rPr>
                <w:b/>
                <w:sz w:val="20"/>
                <w:szCs w:val="20"/>
                <w:lang w:val="en-AU"/>
              </w:rPr>
              <w:t xml:space="preserve">Improved </w:t>
            </w:r>
            <w:r w:rsidRPr="004C01F6">
              <w:rPr>
                <w:b/>
                <w:sz w:val="20"/>
                <w:szCs w:val="20"/>
                <w:lang w:val="en-AU"/>
              </w:rPr>
              <w:t>Livability</w:t>
            </w:r>
          </w:p>
        </w:tc>
        <w:tc>
          <w:tcPr>
            <w:tcW w:w="3895" w:type="dxa"/>
          </w:tcPr>
          <w:p w:rsidR="00B01595" w:rsidRPr="00294EE7" w:rsidRDefault="00B01595" w:rsidP="0028716B">
            <w:pPr>
              <w:spacing w:before="120"/>
              <w:rPr>
                <w:sz w:val="20"/>
                <w:szCs w:val="20"/>
                <w:lang w:val="en-AU"/>
              </w:rPr>
            </w:pPr>
            <w:r w:rsidRPr="00294EE7">
              <w:rPr>
                <w:sz w:val="20"/>
                <w:szCs w:val="20"/>
                <w:lang w:val="en-AU"/>
              </w:rPr>
              <w:t>Housing that has been designed to improve ‘Livability’ by incorporating a reasonable level of physical access and enhanced provision for people with sensory, intellectual or cognitive impairment</w:t>
            </w:r>
          </w:p>
        </w:tc>
        <w:tc>
          <w:tcPr>
            <w:tcW w:w="7796" w:type="dxa"/>
          </w:tcPr>
          <w:p w:rsidR="00B01595" w:rsidRPr="00FC5E27" w:rsidRDefault="00B01595" w:rsidP="0028716B">
            <w:pPr>
              <w:pStyle w:val="ListParagraph"/>
              <w:numPr>
                <w:ilvl w:val="0"/>
                <w:numId w:val="17"/>
              </w:numPr>
              <w:spacing w:before="120" w:after="120"/>
              <w:ind w:left="136" w:hanging="142"/>
              <w:contextualSpacing w:val="0"/>
              <w:rPr>
                <w:sz w:val="20"/>
                <w:szCs w:val="20"/>
                <w:lang w:val="en-AU"/>
              </w:rPr>
            </w:pPr>
            <w:r w:rsidRPr="00FC5E27">
              <w:rPr>
                <w:sz w:val="20"/>
                <w:szCs w:val="20"/>
                <w:lang w:val="en-AU"/>
              </w:rPr>
              <w:t>Livable Housing Australia ‘Silver’ level</w:t>
            </w:r>
          </w:p>
          <w:p w:rsidR="00B01595" w:rsidRPr="0069103E" w:rsidRDefault="00B01595" w:rsidP="00717425">
            <w:pPr>
              <w:pStyle w:val="ListParagraph"/>
              <w:numPr>
                <w:ilvl w:val="0"/>
                <w:numId w:val="17"/>
              </w:numPr>
              <w:spacing w:after="120"/>
              <w:ind w:left="134" w:hanging="142"/>
              <w:contextualSpacing w:val="0"/>
              <w:rPr>
                <w:sz w:val="20"/>
                <w:szCs w:val="20"/>
                <w:lang w:val="en-AU"/>
              </w:rPr>
            </w:pPr>
            <w:r w:rsidRPr="0069103E">
              <w:rPr>
                <w:sz w:val="20"/>
                <w:szCs w:val="20"/>
                <w:lang w:val="en-AU"/>
              </w:rPr>
              <w:t>One or more ‘improved Livability’ design features such as luminance contrasts, improved wayfinding or lines of sight</w:t>
            </w:r>
          </w:p>
        </w:tc>
      </w:tr>
      <w:tr w:rsidR="00B01595" w:rsidRPr="005C4E27" w:rsidTr="00717425">
        <w:tc>
          <w:tcPr>
            <w:tcW w:w="1521" w:type="dxa"/>
          </w:tcPr>
          <w:p w:rsidR="00B01595" w:rsidRPr="004C01F6" w:rsidRDefault="00B01595" w:rsidP="0028716B">
            <w:pPr>
              <w:spacing w:before="120"/>
              <w:rPr>
                <w:b/>
                <w:sz w:val="20"/>
                <w:szCs w:val="20"/>
                <w:lang w:val="en-AU"/>
              </w:rPr>
            </w:pPr>
            <w:r w:rsidRPr="007B7D09">
              <w:rPr>
                <w:b/>
                <w:sz w:val="20"/>
                <w:szCs w:val="20"/>
                <w:lang w:val="en-AU"/>
              </w:rPr>
              <w:t>Ful</w:t>
            </w:r>
            <w:r w:rsidRPr="004C01F6">
              <w:rPr>
                <w:b/>
                <w:sz w:val="20"/>
                <w:szCs w:val="20"/>
                <w:lang w:val="en-AU"/>
              </w:rPr>
              <w:t>ly Accessible</w:t>
            </w:r>
          </w:p>
        </w:tc>
        <w:tc>
          <w:tcPr>
            <w:tcW w:w="3895" w:type="dxa"/>
          </w:tcPr>
          <w:p w:rsidR="00B01595" w:rsidRPr="00FC5E27" w:rsidRDefault="00B01595" w:rsidP="0028716B">
            <w:pPr>
              <w:spacing w:before="120"/>
              <w:rPr>
                <w:sz w:val="20"/>
                <w:szCs w:val="20"/>
                <w:lang w:val="en-AU"/>
              </w:rPr>
            </w:pPr>
            <w:r w:rsidRPr="00294EE7">
              <w:rPr>
                <w:sz w:val="20"/>
                <w:szCs w:val="20"/>
                <w:lang w:val="en-AU"/>
              </w:rPr>
              <w:t>Housing that has been designed to incorporate a high level of physical access provision for people with significan</w:t>
            </w:r>
            <w:r w:rsidRPr="00FC5E27">
              <w:rPr>
                <w:sz w:val="20"/>
                <w:szCs w:val="20"/>
                <w:lang w:val="en-AU"/>
              </w:rPr>
              <w:t xml:space="preserve">t physical impairment </w:t>
            </w:r>
          </w:p>
        </w:tc>
        <w:tc>
          <w:tcPr>
            <w:tcW w:w="7796" w:type="dxa"/>
          </w:tcPr>
          <w:p w:rsidR="00B01595" w:rsidRPr="00FC5E27" w:rsidRDefault="00B01595" w:rsidP="0028716B">
            <w:pPr>
              <w:pStyle w:val="ListParagraph"/>
              <w:numPr>
                <w:ilvl w:val="0"/>
                <w:numId w:val="17"/>
              </w:numPr>
              <w:spacing w:before="120" w:after="120"/>
              <w:ind w:left="136" w:hanging="142"/>
              <w:contextualSpacing w:val="0"/>
              <w:rPr>
                <w:sz w:val="20"/>
                <w:szCs w:val="20"/>
                <w:lang w:val="en-AU"/>
              </w:rPr>
            </w:pPr>
            <w:r w:rsidRPr="00FC5E27">
              <w:rPr>
                <w:sz w:val="20"/>
                <w:szCs w:val="20"/>
                <w:lang w:val="en-AU"/>
              </w:rPr>
              <w:t>Livable Housing Australia ‘Platinum’ level</w:t>
            </w:r>
          </w:p>
          <w:p w:rsidR="00B01595" w:rsidRPr="0069103E" w:rsidRDefault="00B01595" w:rsidP="00717425">
            <w:pPr>
              <w:numPr>
                <w:ilvl w:val="0"/>
                <w:numId w:val="12"/>
              </w:numPr>
              <w:spacing w:after="120"/>
              <w:ind w:left="134" w:hanging="134"/>
              <w:rPr>
                <w:rFonts w:eastAsia="Times New Roman"/>
                <w:sz w:val="20"/>
                <w:szCs w:val="20"/>
                <w:lang w:val="en-AU"/>
              </w:rPr>
            </w:pPr>
            <w:r w:rsidRPr="0069103E">
              <w:rPr>
                <w:rFonts w:eastAsia="Times New Roman"/>
                <w:sz w:val="20"/>
                <w:szCs w:val="20"/>
                <w:lang w:val="en-AU"/>
              </w:rPr>
              <w:t xml:space="preserve">External doors and external outdoor private areas to be accessible by wheelchair </w:t>
            </w:r>
          </w:p>
          <w:p w:rsidR="00B01595" w:rsidRPr="0069103E" w:rsidRDefault="00B01595" w:rsidP="00717425">
            <w:pPr>
              <w:numPr>
                <w:ilvl w:val="0"/>
                <w:numId w:val="12"/>
              </w:numPr>
              <w:spacing w:after="120"/>
              <w:ind w:left="134" w:hanging="134"/>
              <w:rPr>
                <w:rFonts w:eastAsia="Times New Roman"/>
                <w:sz w:val="20"/>
                <w:szCs w:val="20"/>
                <w:lang w:val="en-AU"/>
              </w:rPr>
            </w:pPr>
            <w:r w:rsidRPr="0069103E">
              <w:rPr>
                <w:rFonts w:eastAsia="Times New Roman"/>
                <w:sz w:val="20"/>
                <w:szCs w:val="20"/>
                <w:lang w:val="en-AU"/>
              </w:rPr>
              <w:t>Bathroom vanity/hand basin to be accessible in seated or standing position</w:t>
            </w:r>
          </w:p>
          <w:p w:rsidR="00B01595" w:rsidRPr="0069103E" w:rsidRDefault="00B01595" w:rsidP="00717425">
            <w:pPr>
              <w:numPr>
                <w:ilvl w:val="0"/>
                <w:numId w:val="12"/>
              </w:numPr>
              <w:spacing w:after="120"/>
              <w:ind w:left="134" w:hanging="134"/>
              <w:rPr>
                <w:rFonts w:eastAsia="Times New Roman"/>
                <w:sz w:val="20"/>
                <w:szCs w:val="20"/>
                <w:lang w:val="en-AU"/>
              </w:rPr>
            </w:pPr>
            <w:r w:rsidRPr="0069103E">
              <w:rPr>
                <w:rFonts w:eastAsia="Times New Roman"/>
                <w:sz w:val="20"/>
                <w:szCs w:val="20"/>
                <w:lang w:val="en-AU"/>
              </w:rPr>
              <w:t>Power supply to doors and windows (blinds), for retrofit of automation as necessary</w:t>
            </w:r>
          </w:p>
          <w:p w:rsidR="00B01595" w:rsidRPr="0069103E" w:rsidRDefault="00B01595" w:rsidP="00717425">
            <w:pPr>
              <w:numPr>
                <w:ilvl w:val="0"/>
                <w:numId w:val="12"/>
              </w:numPr>
              <w:spacing w:after="120"/>
              <w:ind w:left="134" w:hanging="134"/>
              <w:rPr>
                <w:rFonts w:eastAsia="Times New Roman"/>
                <w:sz w:val="20"/>
                <w:szCs w:val="20"/>
                <w:lang w:val="en-AU"/>
              </w:rPr>
            </w:pPr>
            <w:r w:rsidRPr="0069103E">
              <w:rPr>
                <w:rFonts w:eastAsia="Times New Roman"/>
                <w:sz w:val="20"/>
                <w:szCs w:val="20"/>
                <w:lang w:val="en-AU"/>
              </w:rPr>
              <w:t>Consideration must be given to whether it is appropriate for the kitchen sink, cooktop, meal preparation bench area and key appliances (dishwasher, oven, microwave oven, laundry appliances) to be accessible in seated or standing position</w:t>
            </w:r>
          </w:p>
        </w:tc>
      </w:tr>
      <w:tr w:rsidR="00B01595" w:rsidRPr="005C4E27" w:rsidTr="00717425">
        <w:tc>
          <w:tcPr>
            <w:tcW w:w="1521" w:type="dxa"/>
          </w:tcPr>
          <w:p w:rsidR="00B01595" w:rsidRPr="007B7D09" w:rsidRDefault="00B01595" w:rsidP="0028716B">
            <w:pPr>
              <w:spacing w:before="120"/>
              <w:rPr>
                <w:b/>
                <w:sz w:val="20"/>
                <w:szCs w:val="20"/>
                <w:lang w:val="en-AU"/>
              </w:rPr>
            </w:pPr>
            <w:r w:rsidRPr="007B7D09">
              <w:rPr>
                <w:b/>
                <w:sz w:val="20"/>
                <w:szCs w:val="20"/>
                <w:lang w:val="en-AU"/>
              </w:rPr>
              <w:t>Robust</w:t>
            </w:r>
          </w:p>
        </w:tc>
        <w:tc>
          <w:tcPr>
            <w:tcW w:w="3895" w:type="dxa"/>
          </w:tcPr>
          <w:p w:rsidR="00B01595" w:rsidRPr="00FC5E27" w:rsidRDefault="00B01595" w:rsidP="0028716B">
            <w:pPr>
              <w:spacing w:before="120"/>
              <w:rPr>
                <w:sz w:val="20"/>
                <w:szCs w:val="20"/>
                <w:lang w:val="en-AU"/>
              </w:rPr>
            </w:pPr>
            <w:r w:rsidRPr="004C01F6">
              <w:rPr>
                <w:sz w:val="20"/>
                <w:szCs w:val="20"/>
                <w:lang w:val="en-AU"/>
              </w:rPr>
              <w:t>Housing that has been designed to incorporate a high level of physical ac</w:t>
            </w:r>
            <w:r w:rsidRPr="00294EE7">
              <w:rPr>
                <w:sz w:val="20"/>
                <w:szCs w:val="20"/>
                <w:lang w:val="en-AU"/>
              </w:rPr>
              <w:t>cess provision and be very resilient, reducing the likelihood of reactive maintenance and reducing the risk to the participant a</w:t>
            </w:r>
            <w:r w:rsidRPr="00FC5E27">
              <w:rPr>
                <w:sz w:val="20"/>
                <w:szCs w:val="20"/>
                <w:lang w:val="en-AU"/>
              </w:rPr>
              <w:t>nd the community.</w:t>
            </w:r>
          </w:p>
        </w:tc>
        <w:tc>
          <w:tcPr>
            <w:tcW w:w="7796" w:type="dxa"/>
          </w:tcPr>
          <w:p w:rsidR="00B01595" w:rsidRPr="00FC5E27" w:rsidRDefault="00B01595" w:rsidP="0028716B">
            <w:pPr>
              <w:pStyle w:val="ListParagraph"/>
              <w:numPr>
                <w:ilvl w:val="0"/>
                <w:numId w:val="17"/>
              </w:numPr>
              <w:spacing w:before="120" w:after="120"/>
              <w:ind w:left="136" w:hanging="142"/>
              <w:contextualSpacing w:val="0"/>
              <w:rPr>
                <w:sz w:val="20"/>
                <w:szCs w:val="20"/>
                <w:lang w:val="en-AU"/>
              </w:rPr>
            </w:pPr>
            <w:r w:rsidRPr="00FC5E27">
              <w:rPr>
                <w:sz w:val="20"/>
                <w:szCs w:val="20"/>
                <w:lang w:val="en-AU"/>
              </w:rPr>
              <w:t xml:space="preserve">Livable Housing Australia ‘Silver’ level </w:t>
            </w:r>
          </w:p>
          <w:p w:rsidR="00B01595" w:rsidRPr="0069103E" w:rsidRDefault="00B01595" w:rsidP="00717425">
            <w:pPr>
              <w:pStyle w:val="ListParagraph"/>
              <w:numPr>
                <w:ilvl w:val="0"/>
                <w:numId w:val="17"/>
              </w:numPr>
              <w:ind w:left="134" w:hanging="142"/>
              <w:contextualSpacing w:val="0"/>
              <w:rPr>
                <w:sz w:val="20"/>
                <w:szCs w:val="20"/>
                <w:lang w:val="en-AU"/>
              </w:rPr>
            </w:pPr>
            <w:r w:rsidRPr="0069103E">
              <w:rPr>
                <w:sz w:val="20"/>
                <w:szCs w:val="20"/>
                <w:lang w:val="en-AU"/>
              </w:rPr>
              <w:t>Resilient but inconspicuous materials that can withstand heavy use and minimises the risk of injury and neighbourhood disturbance including:</w:t>
            </w:r>
          </w:p>
          <w:p w:rsidR="00B01595" w:rsidRPr="0069103E" w:rsidRDefault="00B01595" w:rsidP="0028716B">
            <w:pPr>
              <w:pStyle w:val="ListParagraph"/>
              <w:numPr>
                <w:ilvl w:val="0"/>
                <w:numId w:val="4"/>
              </w:numPr>
              <w:spacing w:after="60"/>
              <w:contextualSpacing w:val="0"/>
              <w:rPr>
                <w:sz w:val="20"/>
                <w:szCs w:val="20"/>
                <w:lang w:val="en-AU"/>
              </w:rPr>
            </w:pPr>
            <w:r w:rsidRPr="0069103E">
              <w:rPr>
                <w:sz w:val="20"/>
                <w:szCs w:val="20"/>
                <w:lang w:val="en-AU"/>
              </w:rPr>
              <w:t xml:space="preserve">high impact wall lining, fittings and fixtures (e.g. blinds, door handles) </w:t>
            </w:r>
          </w:p>
          <w:p w:rsidR="00B01595" w:rsidRPr="0069103E" w:rsidRDefault="00B01595" w:rsidP="0028716B">
            <w:pPr>
              <w:pStyle w:val="ListParagraph"/>
              <w:numPr>
                <w:ilvl w:val="0"/>
                <w:numId w:val="4"/>
              </w:numPr>
              <w:spacing w:after="60"/>
              <w:contextualSpacing w:val="0"/>
              <w:rPr>
                <w:sz w:val="20"/>
                <w:szCs w:val="20"/>
                <w:lang w:val="en-AU"/>
              </w:rPr>
            </w:pPr>
            <w:r w:rsidRPr="0069103E">
              <w:rPr>
                <w:sz w:val="20"/>
                <w:szCs w:val="20"/>
                <w:lang w:val="en-AU"/>
              </w:rPr>
              <w:t>secure windows, doors and external areas</w:t>
            </w:r>
          </w:p>
          <w:p w:rsidR="00B01595" w:rsidRPr="0069103E" w:rsidRDefault="00B01595" w:rsidP="0028716B">
            <w:pPr>
              <w:pStyle w:val="ListParagraph"/>
              <w:numPr>
                <w:ilvl w:val="0"/>
                <w:numId w:val="4"/>
              </w:numPr>
              <w:spacing w:after="60"/>
              <w:contextualSpacing w:val="0"/>
              <w:rPr>
                <w:sz w:val="20"/>
                <w:szCs w:val="20"/>
                <w:lang w:val="en-AU"/>
              </w:rPr>
            </w:pPr>
            <w:r w:rsidRPr="0069103E">
              <w:rPr>
                <w:sz w:val="20"/>
                <w:szCs w:val="20"/>
                <w:lang w:val="en-AU"/>
              </w:rPr>
              <w:lastRenderedPageBreak/>
              <w:t xml:space="preserve">appropriate sound proofing if residents are likely to cause </w:t>
            </w:r>
            <w:r w:rsidR="006141A1">
              <w:rPr>
                <w:sz w:val="20"/>
                <w:szCs w:val="20"/>
                <w:lang w:val="en-AU"/>
              </w:rPr>
              <w:t xml:space="preserve">significant </w:t>
            </w:r>
            <w:r w:rsidRPr="0069103E">
              <w:rPr>
                <w:sz w:val="20"/>
                <w:szCs w:val="20"/>
                <w:lang w:val="en-AU"/>
              </w:rPr>
              <w:t>noise disturbances (</w:t>
            </w:r>
            <w:r w:rsidR="006141A1">
              <w:rPr>
                <w:sz w:val="20"/>
                <w:szCs w:val="20"/>
                <w:lang w:val="en-AU"/>
              </w:rPr>
              <w:t>if required must retrofit in new builds if not previously installed at building stage</w:t>
            </w:r>
            <w:r w:rsidRPr="0069103E">
              <w:rPr>
                <w:sz w:val="20"/>
                <w:szCs w:val="20"/>
                <w:lang w:val="en-AU"/>
              </w:rPr>
              <w:t>)</w:t>
            </w:r>
          </w:p>
          <w:p w:rsidR="00B01595" w:rsidRPr="0069103E" w:rsidRDefault="00B01595" w:rsidP="0028716B">
            <w:pPr>
              <w:pStyle w:val="ListParagraph"/>
              <w:numPr>
                <w:ilvl w:val="0"/>
                <w:numId w:val="4"/>
              </w:numPr>
              <w:spacing w:after="60"/>
              <w:contextualSpacing w:val="0"/>
              <w:rPr>
                <w:sz w:val="20"/>
                <w:szCs w:val="20"/>
                <w:lang w:val="en-AU"/>
              </w:rPr>
            </w:pPr>
            <w:r w:rsidRPr="0069103E">
              <w:rPr>
                <w:sz w:val="20"/>
                <w:szCs w:val="20"/>
                <w:lang w:val="en-AU"/>
              </w:rPr>
              <w:t>laminated glass</w:t>
            </w:r>
          </w:p>
          <w:p w:rsidR="00B01595" w:rsidRPr="00AC7002" w:rsidRDefault="00B01595" w:rsidP="00717425">
            <w:pPr>
              <w:pStyle w:val="ListParagraph"/>
              <w:numPr>
                <w:ilvl w:val="0"/>
                <w:numId w:val="17"/>
              </w:numPr>
              <w:spacing w:after="120"/>
              <w:ind w:left="134" w:hanging="142"/>
              <w:contextualSpacing w:val="0"/>
              <w:rPr>
                <w:sz w:val="20"/>
                <w:szCs w:val="20"/>
                <w:lang w:val="en-AU"/>
              </w:rPr>
            </w:pPr>
            <w:r w:rsidRPr="0069103E">
              <w:rPr>
                <w:sz w:val="20"/>
                <w:szCs w:val="20"/>
                <w:lang w:val="en-AU"/>
              </w:rPr>
              <w:t>Layout with areas of egress and retreat for staf</w:t>
            </w:r>
            <w:r w:rsidRPr="00AC7002">
              <w:rPr>
                <w:sz w:val="20"/>
                <w:szCs w:val="20"/>
                <w:lang w:val="en-AU"/>
              </w:rPr>
              <w:t>f and other residents to avoid harm if required</w:t>
            </w:r>
          </w:p>
          <w:p w:rsidR="00B01595" w:rsidRPr="00CD197F" w:rsidRDefault="00B01595" w:rsidP="00717425">
            <w:pPr>
              <w:pStyle w:val="ListParagraph"/>
              <w:numPr>
                <w:ilvl w:val="0"/>
                <w:numId w:val="17"/>
              </w:numPr>
              <w:spacing w:after="120"/>
              <w:ind w:left="134" w:hanging="142"/>
              <w:contextualSpacing w:val="0"/>
              <w:rPr>
                <w:sz w:val="20"/>
                <w:szCs w:val="20"/>
                <w:lang w:val="en-AU"/>
              </w:rPr>
            </w:pPr>
            <w:r w:rsidRPr="00AA44FB">
              <w:rPr>
                <w:sz w:val="20"/>
                <w:szCs w:val="20"/>
                <w:lang w:val="en-AU"/>
              </w:rPr>
              <w:t>Cons</w:t>
            </w:r>
            <w:r w:rsidRPr="00CD197F">
              <w:rPr>
                <w:sz w:val="20"/>
                <w:szCs w:val="20"/>
                <w:lang w:val="en-AU"/>
              </w:rPr>
              <w:t>ideration must be given to providing adequate space and safeguards throughout the property to accommodate the needs of residents with complex behaviours</w:t>
            </w:r>
          </w:p>
        </w:tc>
      </w:tr>
      <w:tr w:rsidR="00B01595" w:rsidRPr="005C4E27" w:rsidTr="00717425">
        <w:tc>
          <w:tcPr>
            <w:tcW w:w="1521" w:type="dxa"/>
            <w:tcBorders>
              <w:bottom w:val="double" w:sz="4" w:space="0" w:color="7030A0"/>
            </w:tcBorders>
          </w:tcPr>
          <w:p w:rsidR="00B01595" w:rsidRPr="007B7D09" w:rsidRDefault="00B01595" w:rsidP="00D404DE">
            <w:pPr>
              <w:spacing w:before="120"/>
              <w:rPr>
                <w:b/>
                <w:sz w:val="20"/>
                <w:szCs w:val="20"/>
                <w:lang w:val="en-AU"/>
              </w:rPr>
            </w:pPr>
            <w:r w:rsidRPr="007B7D09">
              <w:rPr>
                <w:b/>
                <w:sz w:val="20"/>
                <w:szCs w:val="20"/>
                <w:lang w:val="en-AU"/>
              </w:rPr>
              <w:lastRenderedPageBreak/>
              <w:t>High Physical Support</w:t>
            </w:r>
          </w:p>
        </w:tc>
        <w:tc>
          <w:tcPr>
            <w:tcW w:w="3895" w:type="dxa"/>
            <w:tcBorders>
              <w:bottom w:val="double" w:sz="4" w:space="0" w:color="7030A0"/>
            </w:tcBorders>
          </w:tcPr>
          <w:p w:rsidR="00B01595" w:rsidRPr="00294EE7" w:rsidRDefault="00B01595" w:rsidP="00D404DE">
            <w:pPr>
              <w:spacing w:before="120"/>
              <w:rPr>
                <w:sz w:val="20"/>
                <w:szCs w:val="20"/>
                <w:lang w:val="en-AU"/>
              </w:rPr>
            </w:pPr>
            <w:r w:rsidRPr="004C01F6">
              <w:rPr>
                <w:sz w:val="20"/>
                <w:szCs w:val="20"/>
                <w:lang w:val="en-AU"/>
              </w:rPr>
              <w:t>Housing that has been designed to incorporate a high level of physical access provision for people with sig</w:t>
            </w:r>
            <w:r w:rsidRPr="00294EE7">
              <w:rPr>
                <w:sz w:val="20"/>
                <w:szCs w:val="20"/>
                <w:lang w:val="en-AU"/>
              </w:rPr>
              <w:t>nificant physical impairment and requiring very high levels of support.</w:t>
            </w:r>
          </w:p>
        </w:tc>
        <w:tc>
          <w:tcPr>
            <w:tcW w:w="7796" w:type="dxa"/>
            <w:tcBorders>
              <w:bottom w:val="double" w:sz="4" w:space="0" w:color="7030A0"/>
            </w:tcBorders>
          </w:tcPr>
          <w:p w:rsidR="00B01595" w:rsidRPr="00FC5E27" w:rsidRDefault="00B01595" w:rsidP="00D404DE">
            <w:pPr>
              <w:pStyle w:val="ListParagraph"/>
              <w:numPr>
                <w:ilvl w:val="0"/>
                <w:numId w:val="17"/>
              </w:numPr>
              <w:spacing w:before="120" w:after="60"/>
              <w:ind w:left="136" w:hanging="142"/>
              <w:contextualSpacing w:val="0"/>
              <w:rPr>
                <w:sz w:val="20"/>
                <w:szCs w:val="20"/>
                <w:lang w:val="en-AU"/>
              </w:rPr>
            </w:pPr>
            <w:r w:rsidRPr="00FC5E27">
              <w:rPr>
                <w:sz w:val="20"/>
                <w:szCs w:val="20"/>
                <w:lang w:val="en-AU"/>
              </w:rPr>
              <w:t xml:space="preserve">All requirements </w:t>
            </w:r>
            <w:r w:rsidR="005924E3">
              <w:rPr>
                <w:sz w:val="20"/>
                <w:szCs w:val="20"/>
                <w:lang w:val="en-AU"/>
              </w:rPr>
              <w:t>listed in the</w:t>
            </w:r>
            <w:r w:rsidR="005924E3" w:rsidRPr="00FC5E27">
              <w:rPr>
                <w:sz w:val="20"/>
                <w:szCs w:val="20"/>
                <w:lang w:val="en-AU"/>
              </w:rPr>
              <w:t xml:space="preserve"> </w:t>
            </w:r>
            <w:r w:rsidRPr="00FC5E27">
              <w:rPr>
                <w:sz w:val="20"/>
                <w:szCs w:val="20"/>
                <w:lang w:val="en-AU"/>
              </w:rPr>
              <w:t>‘Fully Accessible’</w:t>
            </w:r>
            <w:r w:rsidR="005924E3">
              <w:rPr>
                <w:sz w:val="20"/>
                <w:szCs w:val="20"/>
                <w:lang w:val="en-AU"/>
              </w:rPr>
              <w:t xml:space="preserve"> design category</w:t>
            </w:r>
            <w:r w:rsidRPr="00FC5E27">
              <w:rPr>
                <w:sz w:val="20"/>
                <w:szCs w:val="20"/>
                <w:lang w:val="en-AU"/>
              </w:rPr>
              <w:t>, plus</w:t>
            </w:r>
            <w:r w:rsidR="0023472C">
              <w:rPr>
                <w:sz w:val="20"/>
                <w:szCs w:val="20"/>
                <w:lang w:val="en-AU"/>
              </w:rPr>
              <w:t>:</w:t>
            </w:r>
          </w:p>
          <w:p w:rsidR="00B01595" w:rsidRPr="00FC5E27" w:rsidRDefault="00B01595" w:rsidP="00717425">
            <w:pPr>
              <w:pStyle w:val="ListParagraph"/>
              <w:numPr>
                <w:ilvl w:val="0"/>
                <w:numId w:val="4"/>
              </w:numPr>
              <w:spacing w:after="60"/>
              <w:contextualSpacing w:val="0"/>
              <w:rPr>
                <w:sz w:val="20"/>
                <w:szCs w:val="20"/>
                <w:lang w:val="en-AU"/>
              </w:rPr>
            </w:pPr>
            <w:r w:rsidRPr="00FC5E27">
              <w:rPr>
                <w:sz w:val="20"/>
                <w:szCs w:val="20"/>
                <w:lang w:val="en-AU"/>
              </w:rPr>
              <w:t>Structural provision for ceiling hoists</w:t>
            </w:r>
          </w:p>
          <w:p w:rsidR="00B01595" w:rsidRPr="0069103E" w:rsidRDefault="00B01595" w:rsidP="00717425">
            <w:pPr>
              <w:pStyle w:val="ListParagraph"/>
              <w:numPr>
                <w:ilvl w:val="0"/>
                <w:numId w:val="4"/>
              </w:numPr>
              <w:spacing w:after="60"/>
              <w:contextualSpacing w:val="0"/>
              <w:rPr>
                <w:sz w:val="20"/>
                <w:szCs w:val="20"/>
                <w:lang w:val="en-AU"/>
              </w:rPr>
            </w:pPr>
            <w:r w:rsidRPr="0069103E">
              <w:rPr>
                <w:sz w:val="20"/>
                <w:szCs w:val="20"/>
                <w:lang w:val="en-AU"/>
              </w:rPr>
              <w:t>Assistive technology ready</w:t>
            </w:r>
          </w:p>
          <w:p w:rsidR="00B01595" w:rsidRPr="0069103E" w:rsidRDefault="00B01595" w:rsidP="00717425">
            <w:pPr>
              <w:pStyle w:val="ListParagraph"/>
              <w:numPr>
                <w:ilvl w:val="0"/>
                <w:numId w:val="4"/>
              </w:numPr>
              <w:spacing w:after="60"/>
              <w:contextualSpacing w:val="0"/>
              <w:rPr>
                <w:sz w:val="20"/>
                <w:szCs w:val="20"/>
                <w:lang w:val="en-AU"/>
              </w:rPr>
            </w:pPr>
            <w:r w:rsidRPr="0069103E">
              <w:rPr>
                <w:sz w:val="20"/>
                <w:szCs w:val="20"/>
                <w:lang w:val="en-AU"/>
              </w:rPr>
              <w:t>Heating/cooling and household communication technology (e.g. video or intercom systems) appropriate for the needs of residents</w:t>
            </w:r>
          </w:p>
          <w:p w:rsidR="00B01595" w:rsidRPr="0069103E" w:rsidRDefault="00B01595" w:rsidP="00717425">
            <w:pPr>
              <w:pStyle w:val="ListParagraph"/>
              <w:numPr>
                <w:ilvl w:val="0"/>
                <w:numId w:val="4"/>
              </w:numPr>
              <w:spacing w:after="60"/>
              <w:contextualSpacing w:val="0"/>
              <w:rPr>
                <w:sz w:val="20"/>
                <w:szCs w:val="20"/>
                <w:lang w:val="en-AU"/>
              </w:rPr>
            </w:pPr>
            <w:r w:rsidRPr="0069103E">
              <w:rPr>
                <w:sz w:val="20"/>
                <w:szCs w:val="20"/>
                <w:lang w:val="en-AU"/>
              </w:rPr>
              <w:t xml:space="preserve">Emergency power solutions to cater for a minimum two hour outage where the welfare of participants is at risk </w:t>
            </w:r>
          </w:p>
          <w:p w:rsidR="00B01595" w:rsidRPr="0069103E" w:rsidRDefault="00B01595" w:rsidP="00717425">
            <w:pPr>
              <w:pStyle w:val="ListParagraph"/>
              <w:numPr>
                <w:ilvl w:val="0"/>
                <w:numId w:val="4"/>
              </w:numPr>
              <w:spacing w:after="60"/>
              <w:contextualSpacing w:val="0"/>
              <w:rPr>
                <w:sz w:val="20"/>
                <w:szCs w:val="20"/>
                <w:lang w:val="en-AU"/>
              </w:rPr>
            </w:pPr>
            <w:r w:rsidRPr="0069103E">
              <w:rPr>
                <w:sz w:val="20"/>
                <w:szCs w:val="20"/>
                <w:lang w:val="en-AU"/>
              </w:rPr>
              <w:t>950mm minimum clear opening width doors to all habitable rooms</w:t>
            </w:r>
          </w:p>
        </w:tc>
      </w:tr>
      <w:tr w:rsidR="00B01595" w:rsidRPr="005C4E27" w:rsidTr="00717425">
        <w:tc>
          <w:tcPr>
            <w:tcW w:w="1521" w:type="dxa"/>
            <w:tcBorders>
              <w:top w:val="double" w:sz="4" w:space="0" w:color="7030A0"/>
            </w:tcBorders>
          </w:tcPr>
          <w:p w:rsidR="00B01595" w:rsidRPr="007B7D09" w:rsidRDefault="00B01595" w:rsidP="00717425">
            <w:pPr>
              <w:spacing w:before="120"/>
              <w:rPr>
                <w:b/>
                <w:sz w:val="20"/>
                <w:szCs w:val="20"/>
                <w:lang w:val="en-AU"/>
              </w:rPr>
            </w:pPr>
            <w:r w:rsidRPr="007B7D09">
              <w:rPr>
                <w:b/>
                <w:sz w:val="20"/>
                <w:szCs w:val="20"/>
                <w:lang w:val="en-AU"/>
              </w:rPr>
              <w:t>All</w:t>
            </w:r>
          </w:p>
        </w:tc>
        <w:tc>
          <w:tcPr>
            <w:tcW w:w="3895" w:type="dxa"/>
            <w:tcBorders>
              <w:top w:val="double" w:sz="4" w:space="0" w:color="7030A0"/>
            </w:tcBorders>
          </w:tcPr>
          <w:p w:rsidR="00B01595" w:rsidRPr="004C01F6" w:rsidRDefault="00B01595" w:rsidP="00717425">
            <w:pPr>
              <w:spacing w:before="120"/>
              <w:rPr>
                <w:sz w:val="20"/>
                <w:szCs w:val="20"/>
                <w:lang w:val="en-AU"/>
              </w:rPr>
            </w:pPr>
            <w:r w:rsidRPr="004C01F6">
              <w:rPr>
                <w:sz w:val="20"/>
                <w:szCs w:val="20"/>
                <w:lang w:val="en-AU"/>
              </w:rPr>
              <w:t>Applicable to all categories</w:t>
            </w:r>
          </w:p>
        </w:tc>
        <w:tc>
          <w:tcPr>
            <w:tcW w:w="7796" w:type="dxa"/>
            <w:tcBorders>
              <w:top w:val="double" w:sz="4" w:space="0" w:color="7030A0"/>
            </w:tcBorders>
          </w:tcPr>
          <w:p w:rsidR="00B01595" w:rsidRPr="00294EE7" w:rsidRDefault="00B01595" w:rsidP="00717425">
            <w:pPr>
              <w:spacing w:before="120"/>
              <w:rPr>
                <w:sz w:val="20"/>
                <w:szCs w:val="20"/>
                <w:lang w:val="en-AU"/>
              </w:rPr>
            </w:pPr>
            <w:r w:rsidRPr="00294EE7">
              <w:rPr>
                <w:sz w:val="20"/>
                <w:szCs w:val="20"/>
                <w:lang w:val="en-AU"/>
              </w:rPr>
              <w:t>In all cases, SDA should:</w:t>
            </w:r>
          </w:p>
          <w:p w:rsidR="00B01595" w:rsidRPr="00FC5E27" w:rsidRDefault="00B01595" w:rsidP="00717425">
            <w:pPr>
              <w:pStyle w:val="ListParagraph"/>
              <w:numPr>
                <w:ilvl w:val="0"/>
                <w:numId w:val="4"/>
              </w:numPr>
              <w:spacing w:before="120"/>
              <w:ind w:left="714" w:hanging="357"/>
              <w:contextualSpacing w:val="0"/>
              <w:rPr>
                <w:sz w:val="20"/>
                <w:szCs w:val="20"/>
                <w:lang w:val="en-AU"/>
              </w:rPr>
            </w:pPr>
            <w:r w:rsidRPr="00FC5E27">
              <w:rPr>
                <w:sz w:val="20"/>
                <w:szCs w:val="20"/>
                <w:lang w:val="en-AU"/>
              </w:rPr>
              <w:t>ensure the property is designed and maintained in a manner that is consistent with other properties in the neighbourhood</w:t>
            </w:r>
          </w:p>
          <w:p w:rsidR="00B01595" w:rsidRPr="0069103E" w:rsidRDefault="00B01595" w:rsidP="00717425">
            <w:pPr>
              <w:pStyle w:val="ListParagraph"/>
              <w:numPr>
                <w:ilvl w:val="0"/>
                <w:numId w:val="4"/>
              </w:numPr>
              <w:spacing w:before="120" w:after="120"/>
              <w:ind w:left="714" w:hanging="357"/>
              <w:contextualSpacing w:val="0"/>
              <w:rPr>
                <w:sz w:val="20"/>
                <w:szCs w:val="20"/>
                <w:lang w:val="en-AU"/>
              </w:rPr>
            </w:pPr>
            <w:r w:rsidRPr="00FC5E27">
              <w:rPr>
                <w:sz w:val="20"/>
                <w:szCs w:val="20"/>
                <w:lang w:val="en-AU"/>
              </w:rPr>
              <w:t>recognise the importa</w:t>
            </w:r>
            <w:r w:rsidRPr="0069103E">
              <w:rPr>
                <w:sz w:val="20"/>
                <w:szCs w:val="20"/>
                <w:lang w:val="en-AU"/>
              </w:rPr>
              <w:t>nce of outdoor areas and allow for adequate land area commensurate with the number of residents in the household</w:t>
            </w:r>
          </w:p>
        </w:tc>
      </w:tr>
    </w:tbl>
    <w:p w:rsidR="00B01595" w:rsidRPr="007B7D09" w:rsidRDefault="00B01595" w:rsidP="00B01595">
      <w:pPr>
        <w:rPr>
          <w:b/>
          <w:bCs/>
          <w:lang w:val="en-AU"/>
        </w:rPr>
      </w:pPr>
    </w:p>
    <w:p w:rsidR="00B01595" w:rsidRPr="005C4E27" w:rsidRDefault="00B01595" w:rsidP="00B01595">
      <w:pPr>
        <w:rPr>
          <w:b/>
          <w:bCs/>
          <w:lang w:val="en-AU"/>
        </w:rPr>
        <w:sectPr w:rsidR="00B01595" w:rsidRPr="005C4E27" w:rsidSect="006E5B52">
          <w:headerReference w:type="even" r:id="rId30"/>
          <w:headerReference w:type="default" r:id="rId31"/>
          <w:headerReference w:type="first" r:id="rId32"/>
          <w:footerReference w:type="first" r:id="rId33"/>
          <w:pgSz w:w="16838" w:h="11906" w:orient="landscape"/>
          <w:pgMar w:top="1440" w:right="1440" w:bottom="1440" w:left="1440" w:header="708" w:footer="0" w:gutter="0"/>
          <w:cols w:space="708"/>
          <w:titlePg/>
          <w:docGrid w:linePitch="360"/>
        </w:sectPr>
      </w:pPr>
    </w:p>
    <w:p w:rsidR="00B01595" w:rsidRPr="00B01595" w:rsidRDefault="00B01595" w:rsidP="00CB2072">
      <w:pPr>
        <w:pStyle w:val="Heading4"/>
        <w:keepNext/>
        <w:keepLines/>
        <w:ind w:left="720"/>
        <w:rPr>
          <w:lang w:val="en-AU"/>
        </w:rPr>
      </w:pPr>
      <w:r w:rsidRPr="00B01595">
        <w:rPr>
          <w:lang w:val="en-AU"/>
        </w:rPr>
        <w:lastRenderedPageBreak/>
        <w:t>Building types</w:t>
      </w:r>
    </w:p>
    <w:p w:rsidR="00B01595" w:rsidRPr="00E22DE1" w:rsidRDefault="00B01595" w:rsidP="00B01595">
      <w:pPr>
        <w:rPr>
          <w:lang w:val="en-AU"/>
        </w:rPr>
      </w:pPr>
      <w:r w:rsidRPr="005C4E27">
        <w:rPr>
          <w:lang w:val="en-AU"/>
        </w:rPr>
        <w:t>The nature of the accommodation, the size, and the total number of bedrooms and residents has a material impact o</w:t>
      </w:r>
      <w:r w:rsidRPr="00E22DE1">
        <w:rPr>
          <w:lang w:val="en-AU"/>
        </w:rPr>
        <w:t>n build costs. In developing the SDA Benchmark Prices the Agency has used the building types set out in</w:t>
      </w:r>
      <w:r w:rsidR="00E92F86">
        <w:rPr>
          <w:lang w:val="en-AU"/>
        </w:rPr>
        <w:t xml:space="preserve"> </w:t>
      </w:r>
      <w:r w:rsidR="00C55CDA" w:rsidRPr="00E22DE1">
        <w:rPr>
          <w:lang w:val="en-AU"/>
        </w:rPr>
        <w:fldChar w:fldCharType="begin"/>
      </w:r>
      <w:r w:rsidR="00C55CDA" w:rsidRPr="00E22DE1">
        <w:rPr>
          <w:lang w:val="en-AU"/>
        </w:rPr>
        <w:instrText xml:space="preserve"> REF _Ref452470388 \h </w:instrText>
      </w:r>
      <w:r w:rsidR="00E92F86">
        <w:rPr>
          <w:lang w:val="en-AU"/>
        </w:rPr>
        <w:instrText xml:space="preserve"> \* MERGEFORMAT </w:instrText>
      </w:r>
      <w:r w:rsidR="00C55CDA" w:rsidRPr="00E22DE1">
        <w:rPr>
          <w:lang w:val="en-AU"/>
        </w:rPr>
      </w:r>
      <w:r w:rsidR="00C55CDA" w:rsidRPr="00E22DE1">
        <w:rPr>
          <w:lang w:val="en-AU"/>
        </w:rPr>
        <w:fldChar w:fldCharType="separate"/>
      </w:r>
      <w:r w:rsidR="006C6F0B" w:rsidRPr="004C01F6">
        <w:rPr>
          <w:lang w:val="en-AU"/>
        </w:rPr>
        <w:t xml:space="preserve">Table </w:t>
      </w:r>
      <w:r w:rsidR="006C6F0B">
        <w:rPr>
          <w:noProof/>
          <w:lang w:val="en-AU"/>
        </w:rPr>
        <w:t>6</w:t>
      </w:r>
      <w:r w:rsidR="00C55CDA" w:rsidRPr="00E22DE1">
        <w:rPr>
          <w:lang w:val="en-AU"/>
        </w:rPr>
        <w:fldChar w:fldCharType="end"/>
      </w:r>
      <w:r w:rsidR="00C55CDA" w:rsidRPr="00E22DE1">
        <w:rPr>
          <w:lang w:val="en-AU"/>
        </w:rPr>
        <w:t xml:space="preserve"> below</w:t>
      </w:r>
      <w:r w:rsidRPr="00E22DE1">
        <w:rPr>
          <w:lang w:val="en-AU"/>
        </w:rPr>
        <w:t>.</w:t>
      </w:r>
    </w:p>
    <w:p w:rsidR="00B01595" w:rsidRPr="004C01F6" w:rsidRDefault="00B01595" w:rsidP="00B01595">
      <w:pPr>
        <w:rPr>
          <w:lang w:val="en-AU"/>
        </w:rPr>
      </w:pPr>
      <w:r w:rsidRPr="00E22DE1">
        <w:rPr>
          <w:lang w:val="en-AU"/>
        </w:rPr>
        <w:t>In addition to conforming with the building types in</w:t>
      </w:r>
      <w:r w:rsidR="00C84A76">
        <w:rPr>
          <w:lang w:val="en-AU"/>
        </w:rPr>
        <w:t xml:space="preserve"> </w:t>
      </w:r>
      <w:r w:rsidR="00C84A76">
        <w:rPr>
          <w:lang w:val="en-AU"/>
        </w:rPr>
        <w:fldChar w:fldCharType="begin"/>
      </w:r>
      <w:r w:rsidR="00C84A76">
        <w:rPr>
          <w:lang w:val="en-AU"/>
        </w:rPr>
        <w:instrText xml:space="preserve"> REF _Ref452470388 \h </w:instrText>
      </w:r>
      <w:r w:rsidR="00C84A76">
        <w:rPr>
          <w:lang w:val="en-AU"/>
        </w:rPr>
      </w:r>
      <w:r w:rsidR="00C84A76">
        <w:rPr>
          <w:lang w:val="en-AU"/>
        </w:rPr>
        <w:fldChar w:fldCharType="separate"/>
      </w:r>
      <w:r w:rsidR="006C6F0B" w:rsidRPr="004C01F6">
        <w:rPr>
          <w:lang w:val="en-AU"/>
        </w:rPr>
        <w:t xml:space="preserve">Table </w:t>
      </w:r>
      <w:r w:rsidR="006C6F0B">
        <w:rPr>
          <w:noProof/>
          <w:lang w:val="en-AU"/>
        </w:rPr>
        <w:t>6</w:t>
      </w:r>
      <w:r w:rsidR="00C84A76">
        <w:rPr>
          <w:lang w:val="en-AU"/>
        </w:rPr>
        <w:fldChar w:fldCharType="end"/>
      </w:r>
      <w:r w:rsidRPr="00E22DE1">
        <w:rPr>
          <w:lang w:val="en-AU"/>
        </w:rPr>
        <w:t>, each individually enrolled dwelling must, as a minimum, contain a kitchen, bathroom, living/dining</w:t>
      </w:r>
      <w:r w:rsidRPr="007B7D09">
        <w:rPr>
          <w:lang w:val="en-AU"/>
        </w:rPr>
        <w:t xml:space="preserve"> area, entrance/exit and at le</w:t>
      </w:r>
      <w:r w:rsidRPr="004C01F6">
        <w:rPr>
          <w:lang w:val="en-AU"/>
        </w:rPr>
        <w:t>ast one bedroom. Dwelling areas that do not contain each of these elements either cannot enrol as SDA or must be enrolled as part of a larger dwelling type. Dwellings may contain more than one of each element.</w:t>
      </w:r>
    </w:p>
    <w:p w:rsidR="00B01595" w:rsidRPr="004C01F6" w:rsidRDefault="00B01595" w:rsidP="00B01595">
      <w:pPr>
        <w:rPr>
          <w:lang w:val="en-AU"/>
        </w:rPr>
      </w:pPr>
      <w:r w:rsidRPr="004C01F6">
        <w:rPr>
          <w:lang w:val="en-AU"/>
        </w:rPr>
        <w:t>Building types will typically conform with the Building Code of Australia (BCA) classifications set out in</w:t>
      </w:r>
      <w:r>
        <w:rPr>
          <w:lang w:val="en-AU"/>
        </w:rPr>
        <w:t xml:space="preserve"> the far right column in </w:t>
      </w:r>
      <w:r w:rsidR="002D46CE">
        <w:rPr>
          <w:lang w:val="en-AU"/>
        </w:rPr>
        <w:fldChar w:fldCharType="begin"/>
      </w:r>
      <w:r w:rsidR="002D46CE">
        <w:rPr>
          <w:lang w:val="en-AU"/>
        </w:rPr>
        <w:instrText xml:space="preserve"> REF _Ref452470388 \h </w:instrText>
      </w:r>
      <w:r w:rsidR="002D46CE">
        <w:rPr>
          <w:lang w:val="en-AU"/>
        </w:rPr>
      </w:r>
      <w:r w:rsidR="002D46CE">
        <w:rPr>
          <w:lang w:val="en-AU"/>
        </w:rPr>
        <w:fldChar w:fldCharType="separate"/>
      </w:r>
      <w:r w:rsidR="006C6F0B" w:rsidRPr="004C01F6">
        <w:rPr>
          <w:lang w:val="en-AU"/>
        </w:rPr>
        <w:t xml:space="preserve">Table </w:t>
      </w:r>
      <w:r w:rsidR="006C6F0B">
        <w:rPr>
          <w:noProof/>
          <w:lang w:val="en-AU"/>
        </w:rPr>
        <w:t>6</w:t>
      </w:r>
      <w:r w:rsidR="002D46CE">
        <w:rPr>
          <w:lang w:val="en-AU"/>
        </w:rPr>
        <w:fldChar w:fldCharType="end"/>
      </w:r>
      <w:r w:rsidR="002D46CE">
        <w:rPr>
          <w:lang w:val="en-AU"/>
        </w:rPr>
        <w:t xml:space="preserve"> below</w:t>
      </w:r>
      <w:r w:rsidRPr="007B7D09">
        <w:rPr>
          <w:lang w:val="en-AU"/>
        </w:rPr>
        <w:t xml:space="preserve">. </w:t>
      </w:r>
    </w:p>
    <w:p w:rsidR="00B01595" w:rsidRPr="004C01F6" w:rsidRDefault="00B01595" w:rsidP="00B01595">
      <w:pPr>
        <w:pStyle w:val="Caption"/>
        <w:rPr>
          <w:lang w:val="en-AU"/>
        </w:rPr>
      </w:pPr>
      <w:bookmarkStart w:id="29" w:name="_Ref452470388"/>
      <w:r w:rsidRPr="004C01F6">
        <w:rPr>
          <w:lang w:val="en-AU"/>
        </w:rPr>
        <w:t xml:space="preserve">Table </w:t>
      </w:r>
      <w:r w:rsidRPr="004C01F6">
        <w:rPr>
          <w:lang w:val="en-AU"/>
        </w:rPr>
        <w:fldChar w:fldCharType="begin"/>
      </w:r>
      <w:r w:rsidRPr="009655D6">
        <w:rPr>
          <w:lang w:val="en-AU"/>
        </w:rPr>
        <w:instrText xml:space="preserve"> SEQ Table \* ARABIC </w:instrText>
      </w:r>
      <w:r w:rsidRPr="004C01F6">
        <w:rPr>
          <w:lang w:val="en-AU"/>
        </w:rPr>
        <w:fldChar w:fldCharType="separate"/>
      </w:r>
      <w:r w:rsidR="006C6F0B">
        <w:rPr>
          <w:noProof/>
          <w:lang w:val="en-AU"/>
        </w:rPr>
        <w:t>6</w:t>
      </w:r>
      <w:r w:rsidRPr="004C01F6">
        <w:rPr>
          <w:lang w:val="en-AU"/>
        </w:rPr>
        <w:fldChar w:fldCharType="end"/>
      </w:r>
      <w:bookmarkEnd w:id="29"/>
      <w:r>
        <w:rPr>
          <w:lang w:val="en-AU"/>
        </w:rPr>
        <w:t>:</w:t>
      </w:r>
      <w:r w:rsidRPr="007B7D09">
        <w:rPr>
          <w:lang w:val="en-AU"/>
        </w:rPr>
        <w:t xml:space="preserve"> Description of </w:t>
      </w:r>
      <w:r w:rsidRPr="004C01F6">
        <w:rPr>
          <w:lang w:val="en-AU"/>
        </w:rPr>
        <w:t>SDA building types</w:t>
      </w:r>
    </w:p>
    <w:tbl>
      <w:tblPr>
        <w:tblStyle w:val="TableGrid"/>
        <w:tblW w:w="949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Caption w:val="Primary building types"/>
        <w:tblDescription w:val="Describes by building type and typical building code of Australia classification"/>
      </w:tblPr>
      <w:tblGrid>
        <w:gridCol w:w="1843"/>
        <w:gridCol w:w="5528"/>
        <w:gridCol w:w="2127"/>
      </w:tblGrid>
      <w:tr w:rsidR="00B01595" w:rsidRPr="005C4E27" w:rsidTr="00E22DE1">
        <w:trPr>
          <w:trHeight w:val="551"/>
          <w:tblHeader/>
        </w:trPr>
        <w:tc>
          <w:tcPr>
            <w:tcW w:w="1843" w:type="dxa"/>
            <w:shd w:val="clear" w:color="auto" w:fill="7030A0"/>
            <w:vAlign w:val="center"/>
          </w:tcPr>
          <w:p w:rsidR="00B01595" w:rsidRPr="004C01F6" w:rsidRDefault="00B01595" w:rsidP="00E22DE1">
            <w:pPr>
              <w:pStyle w:val="Heading5"/>
              <w:keepNext/>
              <w:keepLines/>
              <w:spacing w:before="120" w:after="200"/>
              <w:outlineLvl w:val="4"/>
              <w:rPr>
                <w:b w:val="0"/>
                <w:color w:val="FFFFFF" w:themeColor="background1"/>
                <w:sz w:val="20"/>
                <w:szCs w:val="20"/>
                <w:lang w:val="en-AU"/>
              </w:rPr>
            </w:pPr>
            <w:r w:rsidRPr="004C01F6">
              <w:rPr>
                <w:color w:val="FFFFFF" w:themeColor="background1"/>
                <w:sz w:val="20"/>
                <w:szCs w:val="20"/>
                <w:lang w:val="en-AU"/>
              </w:rPr>
              <w:t>Building type</w:t>
            </w:r>
          </w:p>
        </w:tc>
        <w:tc>
          <w:tcPr>
            <w:tcW w:w="5528" w:type="dxa"/>
            <w:shd w:val="clear" w:color="auto" w:fill="7030A0"/>
            <w:vAlign w:val="center"/>
          </w:tcPr>
          <w:p w:rsidR="00B01595" w:rsidRPr="00DA1F62" w:rsidRDefault="00B01595" w:rsidP="00E22DE1">
            <w:pPr>
              <w:pStyle w:val="Heading5"/>
              <w:keepNext/>
              <w:keepLines/>
              <w:spacing w:before="120" w:after="200"/>
              <w:outlineLvl w:val="4"/>
              <w:rPr>
                <w:b w:val="0"/>
                <w:color w:val="FFFFFF" w:themeColor="background1"/>
                <w:sz w:val="20"/>
                <w:szCs w:val="20"/>
                <w:lang w:val="en-AU"/>
              </w:rPr>
            </w:pPr>
            <w:r w:rsidRPr="00DA1F62">
              <w:rPr>
                <w:color w:val="FFFFFF" w:themeColor="background1"/>
                <w:sz w:val="20"/>
                <w:szCs w:val="20"/>
                <w:lang w:val="en-AU"/>
              </w:rPr>
              <w:t>Description</w:t>
            </w:r>
          </w:p>
        </w:tc>
        <w:tc>
          <w:tcPr>
            <w:tcW w:w="2127" w:type="dxa"/>
            <w:shd w:val="clear" w:color="auto" w:fill="7030A0"/>
            <w:vAlign w:val="center"/>
          </w:tcPr>
          <w:p w:rsidR="00B01595" w:rsidRPr="00FC5E27" w:rsidRDefault="00B01595" w:rsidP="00E22DE1">
            <w:pPr>
              <w:pStyle w:val="Heading5"/>
              <w:keepNext/>
              <w:keepLines/>
              <w:spacing w:before="120" w:after="200"/>
              <w:outlineLvl w:val="4"/>
              <w:rPr>
                <w:b w:val="0"/>
                <w:color w:val="FFFFFF" w:themeColor="background1"/>
                <w:sz w:val="20"/>
                <w:szCs w:val="20"/>
                <w:lang w:val="en-AU"/>
              </w:rPr>
            </w:pPr>
            <w:r w:rsidRPr="00294EE7">
              <w:rPr>
                <w:color w:val="FFFFFF" w:themeColor="background1"/>
                <w:sz w:val="20"/>
                <w:szCs w:val="20"/>
                <w:lang w:val="en-AU"/>
              </w:rPr>
              <w:t>Typical Building Code of Australia classification</w:t>
            </w:r>
          </w:p>
        </w:tc>
      </w:tr>
      <w:tr w:rsidR="00B01595" w:rsidRPr="005C4E27" w:rsidTr="00717425">
        <w:trPr>
          <w:trHeight w:val="731"/>
        </w:trPr>
        <w:tc>
          <w:tcPr>
            <w:tcW w:w="1843" w:type="dxa"/>
          </w:tcPr>
          <w:p w:rsidR="00B01595" w:rsidRPr="007B7D09" w:rsidRDefault="00B01595" w:rsidP="00E22DE1">
            <w:pPr>
              <w:keepNext/>
              <w:keepLines/>
              <w:spacing w:before="120" w:after="200"/>
              <w:rPr>
                <w:sz w:val="20"/>
                <w:szCs w:val="20"/>
                <w:lang w:val="en-AU"/>
              </w:rPr>
            </w:pPr>
            <w:r w:rsidRPr="007B7D09">
              <w:rPr>
                <w:sz w:val="20"/>
                <w:szCs w:val="20"/>
                <w:lang w:val="en-AU"/>
              </w:rPr>
              <w:t>Apartment</w:t>
            </w:r>
          </w:p>
        </w:tc>
        <w:tc>
          <w:tcPr>
            <w:tcW w:w="5528" w:type="dxa"/>
          </w:tcPr>
          <w:p w:rsidR="00B01595" w:rsidRPr="004C01F6" w:rsidRDefault="00B01595" w:rsidP="00E22DE1">
            <w:pPr>
              <w:keepNext/>
              <w:keepLines/>
              <w:spacing w:before="120" w:after="200"/>
              <w:rPr>
                <w:sz w:val="20"/>
                <w:szCs w:val="20"/>
                <w:lang w:val="en-AU"/>
              </w:rPr>
            </w:pPr>
            <w:r w:rsidRPr="004C01F6">
              <w:rPr>
                <w:sz w:val="20"/>
                <w:szCs w:val="20"/>
                <w:lang w:val="en-AU"/>
              </w:rPr>
              <w:t>Apartments are self-contained units occupying only part of a larger residential real estate building.</w:t>
            </w:r>
          </w:p>
        </w:tc>
        <w:tc>
          <w:tcPr>
            <w:tcW w:w="2127" w:type="dxa"/>
          </w:tcPr>
          <w:p w:rsidR="00B01595" w:rsidRPr="004C01F6" w:rsidRDefault="00B01595" w:rsidP="00E22DE1">
            <w:pPr>
              <w:keepNext/>
              <w:keepLines/>
              <w:spacing w:before="120" w:after="200"/>
              <w:rPr>
                <w:sz w:val="20"/>
                <w:szCs w:val="20"/>
                <w:lang w:val="en-AU"/>
              </w:rPr>
            </w:pPr>
            <w:r w:rsidRPr="004C01F6">
              <w:rPr>
                <w:sz w:val="20"/>
                <w:szCs w:val="20"/>
                <w:lang w:val="en-AU"/>
              </w:rPr>
              <w:t>Class 2</w:t>
            </w:r>
          </w:p>
        </w:tc>
      </w:tr>
      <w:tr w:rsidR="00B01595" w:rsidRPr="005C4E27" w:rsidTr="00717425">
        <w:tc>
          <w:tcPr>
            <w:tcW w:w="1843" w:type="dxa"/>
          </w:tcPr>
          <w:p w:rsidR="00B01595" w:rsidRPr="007B7D09" w:rsidRDefault="00B01595" w:rsidP="00E22DE1">
            <w:pPr>
              <w:keepNext/>
              <w:keepLines/>
              <w:spacing w:before="120" w:after="200"/>
              <w:rPr>
                <w:sz w:val="20"/>
                <w:szCs w:val="20"/>
                <w:lang w:val="en-AU"/>
              </w:rPr>
            </w:pPr>
            <w:r w:rsidRPr="007B7D09">
              <w:rPr>
                <w:sz w:val="20"/>
                <w:szCs w:val="20"/>
                <w:lang w:val="en-AU"/>
              </w:rPr>
              <w:t>Villa</w:t>
            </w:r>
            <w:r>
              <w:rPr>
                <w:sz w:val="20"/>
                <w:szCs w:val="20"/>
                <w:lang w:val="en-AU"/>
              </w:rPr>
              <w:t xml:space="preserve"> /</w:t>
            </w:r>
            <w:r w:rsidRPr="007B7D09">
              <w:rPr>
                <w:sz w:val="20"/>
                <w:szCs w:val="20"/>
                <w:lang w:val="en-AU"/>
              </w:rPr>
              <w:t xml:space="preserve"> </w:t>
            </w:r>
            <w:r>
              <w:rPr>
                <w:sz w:val="20"/>
                <w:szCs w:val="20"/>
                <w:lang w:val="en-AU"/>
              </w:rPr>
              <w:t>D</w:t>
            </w:r>
            <w:r w:rsidRPr="007B7D09">
              <w:rPr>
                <w:sz w:val="20"/>
                <w:szCs w:val="20"/>
                <w:lang w:val="en-AU"/>
              </w:rPr>
              <w:t xml:space="preserve">uplex </w:t>
            </w:r>
            <w:r>
              <w:rPr>
                <w:sz w:val="20"/>
                <w:szCs w:val="20"/>
                <w:lang w:val="en-AU"/>
              </w:rPr>
              <w:t>/ T</w:t>
            </w:r>
            <w:r w:rsidRPr="007B7D09">
              <w:rPr>
                <w:sz w:val="20"/>
                <w:szCs w:val="20"/>
                <w:lang w:val="en-AU"/>
              </w:rPr>
              <w:t>ownhous</w:t>
            </w:r>
            <w:r>
              <w:rPr>
                <w:sz w:val="20"/>
                <w:szCs w:val="20"/>
                <w:lang w:val="en-AU"/>
              </w:rPr>
              <w:t>e</w:t>
            </w:r>
          </w:p>
        </w:tc>
        <w:tc>
          <w:tcPr>
            <w:tcW w:w="5528" w:type="dxa"/>
          </w:tcPr>
          <w:p w:rsidR="00B01595" w:rsidRPr="004C01F6" w:rsidRDefault="00B01595" w:rsidP="00E22DE1">
            <w:pPr>
              <w:keepNext/>
              <w:keepLines/>
              <w:spacing w:before="120" w:after="200"/>
              <w:rPr>
                <w:sz w:val="20"/>
                <w:szCs w:val="20"/>
                <w:lang w:val="en-AU"/>
              </w:rPr>
            </w:pPr>
            <w:r w:rsidRPr="004C01F6">
              <w:rPr>
                <w:sz w:val="20"/>
                <w:szCs w:val="20"/>
                <w:lang w:val="en-AU"/>
              </w:rPr>
              <w:t>Villas, duplexes and townhouses are separate but semi-attached properties within a single land title or strata titled area. The dwelling will be separated from one or more adjoining dwellings by a fire-resisting wall (</w:t>
            </w:r>
            <w:r w:rsidR="006141A1">
              <w:rPr>
                <w:sz w:val="20"/>
                <w:szCs w:val="20"/>
                <w:lang w:val="en-AU"/>
              </w:rPr>
              <w:t>f</w:t>
            </w:r>
            <w:r w:rsidRPr="004C01F6">
              <w:rPr>
                <w:sz w:val="20"/>
                <w:szCs w:val="20"/>
                <w:lang w:val="en-AU"/>
              </w:rPr>
              <w:t>ire resistance not required for Existing Stock)</w:t>
            </w:r>
            <w:r w:rsidR="006141A1">
              <w:rPr>
                <w:sz w:val="20"/>
                <w:szCs w:val="20"/>
                <w:lang w:val="en-AU"/>
              </w:rPr>
              <w:t>.</w:t>
            </w:r>
          </w:p>
          <w:p w:rsidR="00B01595" w:rsidRPr="00294EE7" w:rsidRDefault="00B01595" w:rsidP="00717425">
            <w:pPr>
              <w:keepNext/>
              <w:keepLines/>
              <w:spacing w:after="200"/>
              <w:rPr>
                <w:sz w:val="20"/>
                <w:szCs w:val="20"/>
                <w:lang w:val="en-AU"/>
              </w:rPr>
            </w:pPr>
            <w:r w:rsidRPr="00DA1F62">
              <w:rPr>
                <w:sz w:val="20"/>
                <w:szCs w:val="20"/>
                <w:lang w:val="en-AU"/>
              </w:rPr>
              <w:t>May also include ancillary dwellings that are located on the same parcel of land as anot</w:t>
            </w:r>
            <w:r w:rsidRPr="00294EE7">
              <w:rPr>
                <w:sz w:val="20"/>
                <w:szCs w:val="20"/>
                <w:lang w:val="en-AU"/>
              </w:rPr>
              <w:t>her dwelling (e.g. standalone villas, ‘granny flats’</w:t>
            </w:r>
            <w:r w:rsidR="006141A1">
              <w:rPr>
                <w:sz w:val="20"/>
                <w:szCs w:val="20"/>
                <w:lang w:val="en-AU"/>
              </w:rPr>
              <w:t>.</w:t>
            </w:r>
            <w:r w:rsidRPr="00294EE7">
              <w:rPr>
                <w:sz w:val="20"/>
                <w:szCs w:val="20"/>
                <w:lang w:val="en-AU"/>
              </w:rPr>
              <w:t>)</w:t>
            </w:r>
          </w:p>
        </w:tc>
        <w:tc>
          <w:tcPr>
            <w:tcW w:w="2127" w:type="dxa"/>
          </w:tcPr>
          <w:p w:rsidR="00B01595" w:rsidRPr="00FC5E27" w:rsidRDefault="00B01595" w:rsidP="00E22DE1">
            <w:pPr>
              <w:keepNext/>
              <w:keepLines/>
              <w:spacing w:before="120"/>
              <w:rPr>
                <w:sz w:val="20"/>
                <w:szCs w:val="20"/>
                <w:lang w:val="en-AU"/>
              </w:rPr>
            </w:pPr>
            <w:r w:rsidRPr="00FC5E27">
              <w:rPr>
                <w:sz w:val="20"/>
                <w:szCs w:val="20"/>
                <w:lang w:val="en-AU"/>
              </w:rPr>
              <w:t>Class 1(a)(ii), or</w:t>
            </w:r>
          </w:p>
          <w:p w:rsidR="002D27B7" w:rsidRDefault="00B01595" w:rsidP="002D27B7">
            <w:pPr>
              <w:keepNext/>
              <w:keepLines/>
              <w:spacing w:after="200"/>
              <w:rPr>
                <w:sz w:val="20"/>
                <w:szCs w:val="20"/>
                <w:lang w:val="en-AU"/>
              </w:rPr>
            </w:pPr>
            <w:r w:rsidRPr="00FC5E27">
              <w:rPr>
                <w:sz w:val="20"/>
                <w:szCs w:val="20"/>
                <w:lang w:val="en-AU"/>
              </w:rPr>
              <w:t>Class 3</w:t>
            </w:r>
          </w:p>
          <w:p w:rsidR="00B01595" w:rsidRPr="005C4E27" w:rsidRDefault="00B01595" w:rsidP="002D27B7">
            <w:pPr>
              <w:keepNext/>
              <w:keepLines/>
              <w:spacing w:before="1080" w:after="200"/>
              <w:rPr>
                <w:sz w:val="20"/>
                <w:szCs w:val="20"/>
                <w:lang w:val="en-AU"/>
              </w:rPr>
            </w:pPr>
            <w:r w:rsidRPr="005C4E27">
              <w:rPr>
                <w:sz w:val="20"/>
                <w:szCs w:val="20"/>
                <w:lang w:val="en-AU"/>
              </w:rPr>
              <w:t>Class 1(a)(i)</w:t>
            </w:r>
          </w:p>
        </w:tc>
      </w:tr>
      <w:tr w:rsidR="00B01595" w:rsidRPr="005C4E27" w:rsidTr="00717425">
        <w:tc>
          <w:tcPr>
            <w:tcW w:w="1843" w:type="dxa"/>
          </w:tcPr>
          <w:p w:rsidR="00B01595" w:rsidRPr="007B7D09" w:rsidRDefault="00B01595" w:rsidP="00E22DE1">
            <w:pPr>
              <w:keepNext/>
              <w:keepLines/>
              <w:spacing w:before="120"/>
              <w:rPr>
                <w:sz w:val="20"/>
                <w:szCs w:val="20"/>
                <w:lang w:val="en-AU"/>
              </w:rPr>
            </w:pPr>
            <w:r w:rsidRPr="007B7D09">
              <w:rPr>
                <w:sz w:val="20"/>
                <w:szCs w:val="20"/>
                <w:lang w:val="en-AU"/>
              </w:rPr>
              <w:t>House</w:t>
            </w:r>
          </w:p>
        </w:tc>
        <w:tc>
          <w:tcPr>
            <w:tcW w:w="5528" w:type="dxa"/>
          </w:tcPr>
          <w:p w:rsidR="00B01595" w:rsidRPr="004C01F6" w:rsidRDefault="00B01595" w:rsidP="00E22DE1">
            <w:pPr>
              <w:keepNext/>
              <w:keepLines/>
              <w:spacing w:before="120"/>
              <w:rPr>
                <w:sz w:val="20"/>
                <w:szCs w:val="20"/>
                <w:lang w:val="en-AU"/>
              </w:rPr>
            </w:pPr>
            <w:r w:rsidRPr="004C01F6">
              <w:rPr>
                <w:sz w:val="20"/>
                <w:szCs w:val="20"/>
                <w:lang w:val="en-AU"/>
              </w:rPr>
              <w:t xml:space="preserve">Houses are detached low-rise dwellings with garden or courtyard areas. </w:t>
            </w:r>
          </w:p>
        </w:tc>
        <w:tc>
          <w:tcPr>
            <w:tcW w:w="2127" w:type="dxa"/>
          </w:tcPr>
          <w:p w:rsidR="00B01595" w:rsidRPr="004C01F6" w:rsidRDefault="00B01595" w:rsidP="00E22DE1">
            <w:pPr>
              <w:keepNext/>
              <w:keepLines/>
              <w:spacing w:before="120"/>
              <w:rPr>
                <w:sz w:val="20"/>
                <w:szCs w:val="20"/>
                <w:lang w:val="en-AU"/>
              </w:rPr>
            </w:pPr>
            <w:r w:rsidRPr="004C01F6">
              <w:rPr>
                <w:sz w:val="20"/>
                <w:szCs w:val="20"/>
                <w:lang w:val="en-AU"/>
              </w:rPr>
              <w:t>Class 1(a)(i),</w:t>
            </w:r>
          </w:p>
          <w:p w:rsidR="00B01595" w:rsidRPr="00DA1F62" w:rsidRDefault="00B01595" w:rsidP="00717425">
            <w:pPr>
              <w:keepNext/>
              <w:keepLines/>
              <w:rPr>
                <w:sz w:val="20"/>
                <w:szCs w:val="20"/>
                <w:lang w:val="en-AU"/>
              </w:rPr>
            </w:pPr>
            <w:r w:rsidRPr="00DA1F62">
              <w:rPr>
                <w:sz w:val="20"/>
                <w:szCs w:val="20"/>
                <w:lang w:val="en-AU"/>
              </w:rPr>
              <w:t xml:space="preserve">Class 1(b)(i), or </w:t>
            </w:r>
          </w:p>
          <w:p w:rsidR="00B01595" w:rsidRPr="00294EE7" w:rsidRDefault="00B01595" w:rsidP="00717425">
            <w:pPr>
              <w:keepNext/>
              <w:keepLines/>
              <w:spacing w:after="200"/>
              <w:rPr>
                <w:sz w:val="20"/>
                <w:szCs w:val="20"/>
                <w:lang w:val="en-AU"/>
              </w:rPr>
            </w:pPr>
            <w:r w:rsidRPr="00294EE7">
              <w:rPr>
                <w:sz w:val="20"/>
                <w:szCs w:val="20"/>
                <w:lang w:val="en-AU"/>
              </w:rPr>
              <w:t>Class 3</w:t>
            </w:r>
          </w:p>
        </w:tc>
      </w:tr>
      <w:tr w:rsidR="00B01595" w:rsidRPr="005C4E27" w:rsidTr="00717425">
        <w:trPr>
          <w:trHeight w:val="1078"/>
        </w:trPr>
        <w:tc>
          <w:tcPr>
            <w:tcW w:w="1843" w:type="dxa"/>
          </w:tcPr>
          <w:p w:rsidR="00B01595" w:rsidRPr="007B7D09" w:rsidRDefault="00B01595" w:rsidP="00E22DE1">
            <w:pPr>
              <w:keepNext/>
              <w:keepLines/>
              <w:spacing w:before="120"/>
              <w:rPr>
                <w:sz w:val="20"/>
                <w:szCs w:val="20"/>
                <w:lang w:val="en-AU"/>
              </w:rPr>
            </w:pPr>
            <w:r w:rsidRPr="007B7D09">
              <w:rPr>
                <w:sz w:val="20"/>
                <w:szCs w:val="20"/>
                <w:lang w:val="en-AU"/>
              </w:rPr>
              <w:t>Group home</w:t>
            </w:r>
          </w:p>
        </w:tc>
        <w:tc>
          <w:tcPr>
            <w:tcW w:w="5528" w:type="dxa"/>
          </w:tcPr>
          <w:p w:rsidR="00B01595" w:rsidRPr="004C01F6" w:rsidRDefault="00B01595" w:rsidP="00E22DE1">
            <w:pPr>
              <w:keepNext/>
              <w:keepLines/>
              <w:spacing w:before="120"/>
              <w:rPr>
                <w:sz w:val="20"/>
                <w:szCs w:val="20"/>
                <w:lang w:val="en-AU"/>
              </w:rPr>
            </w:pPr>
            <w:r w:rsidRPr="004C01F6">
              <w:rPr>
                <w:sz w:val="20"/>
                <w:szCs w:val="20"/>
                <w:lang w:val="en-AU"/>
              </w:rPr>
              <w:t>Group accommodation is distinguished from other forms of accommodation by the larger number of residents (4 or 5).</w:t>
            </w:r>
          </w:p>
        </w:tc>
        <w:tc>
          <w:tcPr>
            <w:tcW w:w="2127" w:type="dxa"/>
          </w:tcPr>
          <w:p w:rsidR="00B01595" w:rsidRPr="004C01F6" w:rsidRDefault="00B01595" w:rsidP="00E22DE1">
            <w:pPr>
              <w:keepNext/>
              <w:keepLines/>
              <w:spacing w:before="120"/>
              <w:rPr>
                <w:sz w:val="20"/>
                <w:szCs w:val="20"/>
                <w:lang w:val="en-AU"/>
              </w:rPr>
            </w:pPr>
            <w:r w:rsidRPr="004C01F6">
              <w:rPr>
                <w:sz w:val="20"/>
                <w:szCs w:val="20"/>
                <w:lang w:val="en-AU"/>
              </w:rPr>
              <w:t xml:space="preserve">Class 1(b)(i), or </w:t>
            </w:r>
          </w:p>
          <w:p w:rsidR="00B01595" w:rsidRPr="00DA1F62" w:rsidRDefault="00B01595" w:rsidP="00717425">
            <w:pPr>
              <w:keepNext/>
              <w:keepLines/>
              <w:rPr>
                <w:sz w:val="20"/>
                <w:szCs w:val="20"/>
                <w:lang w:val="en-AU"/>
              </w:rPr>
            </w:pPr>
            <w:r w:rsidRPr="00DA1F62">
              <w:rPr>
                <w:sz w:val="20"/>
                <w:szCs w:val="20"/>
                <w:lang w:val="en-AU"/>
              </w:rPr>
              <w:t>Class 3</w:t>
            </w:r>
          </w:p>
        </w:tc>
      </w:tr>
    </w:tbl>
    <w:p w:rsidR="00B01595" w:rsidRPr="007B7D09" w:rsidRDefault="00B01595" w:rsidP="00B01595">
      <w:pPr>
        <w:rPr>
          <w:bCs/>
          <w:lang w:val="en-AU"/>
        </w:rPr>
      </w:pPr>
    </w:p>
    <w:p w:rsidR="00B01595" w:rsidRPr="00B01595" w:rsidRDefault="00B01595" w:rsidP="00CB2072">
      <w:pPr>
        <w:pStyle w:val="Heading4"/>
        <w:keepNext/>
        <w:keepLines/>
        <w:ind w:left="720"/>
        <w:rPr>
          <w:lang w:val="en-AU"/>
        </w:rPr>
      </w:pPr>
      <w:r w:rsidRPr="00B01595">
        <w:rPr>
          <w:lang w:val="en-AU"/>
        </w:rPr>
        <w:lastRenderedPageBreak/>
        <w:t>Location</w:t>
      </w:r>
    </w:p>
    <w:p w:rsidR="00B01595" w:rsidRPr="0069103E" w:rsidRDefault="00B01595" w:rsidP="00E22DE1">
      <w:pPr>
        <w:keepNext/>
        <w:rPr>
          <w:lang w:val="en-AU"/>
        </w:rPr>
      </w:pPr>
      <w:r w:rsidRPr="0069103E">
        <w:rPr>
          <w:lang w:val="en-AU"/>
        </w:rPr>
        <w:t xml:space="preserve">SDA Benchmark Prices will be adjusted for location based on Australian Bureau of Statistics (ABS) statistical divisions. </w:t>
      </w:r>
    </w:p>
    <w:p w:rsidR="00B01595" w:rsidRPr="007B7D09" w:rsidRDefault="00B01595" w:rsidP="00E22DE1">
      <w:pPr>
        <w:keepNext/>
        <w:rPr>
          <w:lang w:val="en-AU"/>
        </w:rPr>
      </w:pPr>
      <w:r w:rsidRPr="0069103E">
        <w:rPr>
          <w:lang w:val="en-AU"/>
        </w:rPr>
        <w:t>Locational factors are calculated with reference to benchmark pricing results, after adjusting for differences in construction cost in each location and differences in median land values for each location.</w:t>
      </w:r>
      <w:r w:rsidRPr="007B7D09">
        <w:rPr>
          <w:rStyle w:val="FootnoteReference"/>
          <w:lang w:val="en-AU"/>
        </w:rPr>
        <w:footnoteReference w:id="3"/>
      </w:r>
    </w:p>
    <w:p w:rsidR="00B01595" w:rsidRPr="004C01F6" w:rsidRDefault="00B01595" w:rsidP="00B01595">
      <w:pPr>
        <w:rPr>
          <w:lang w:val="en-AU"/>
        </w:rPr>
      </w:pPr>
      <w:r w:rsidRPr="004C01F6">
        <w:rPr>
          <w:lang w:val="en-AU"/>
        </w:rPr>
        <w:t>The complete list of location factors are provided in</w:t>
      </w:r>
      <w:r>
        <w:rPr>
          <w:lang w:val="en-AU"/>
        </w:rPr>
        <w:t xml:space="preserve"> Appendix 2</w:t>
      </w:r>
      <w:r w:rsidRPr="007B7D09">
        <w:rPr>
          <w:lang w:val="en-AU"/>
        </w:rPr>
        <w:t>. The SDA Benchmark P</w:t>
      </w:r>
      <w:r w:rsidRPr="004C01F6">
        <w:rPr>
          <w:lang w:val="en-AU"/>
        </w:rPr>
        <w:t>rice for a property will be determined by multiplying the locational factor by the Base Price relevant to that property.</w:t>
      </w:r>
    </w:p>
    <w:p w:rsidR="00B01595" w:rsidRPr="00294EE7" w:rsidRDefault="00B01595" w:rsidP="00B01595">
      <w:pPr>
        <w:rPr>
          <w:lang w:val="en-AU"/>
        </w:rPr>
      </w:pPr>
      <w:r w:rsidRPr="004C01F6">
        <w:rPr>
          <w:lang w:val="en-AU"/>
        </w:rPr>
        <w:t>For remote areas that would face significantly higher construction costs (an area specific construction</w:t>
      </w:r>
      <w:r w:rsidRPr="00DA1F62">
        <w:rPr>
          <w:lang w:val="en-AU"/>
        </w:rPr>
        <w:t xml:space="preserve"> cost index more than 25</w:t>
      </w:r>
      <w:r>
        <w:rPr>
          <w:lang w:val="en-AU"/>
        </w:rPr>
        <w:t xml:space="preserve"> per cent</w:t>
      </w:r>
      <w:r w:rsidRPr="00DA1F62">
        <w:rPr>
          <w:lang w:val="en-AU"/>
        </w:rPr>
        <w:t xml:space="preserve"> higher than the average for the region), the Agency may consider including additional, more granular location factors for specific areas if the area is likely to have a significant need for new SDA. Additional location factors are</w:t>
      </w:r>
      <w:r w:rsidRPr="00294EE7">
        <w:rPr>
          <w:lang w:val="en-AU"/>
        </w:rPr>
        <w:t xml:space="preserve"> only likely to be required in very remote locations. </w:t>
      </w:r>
    </w:p>
    <w:p w:rsidR="00B01595" w:rsidRPr="0069103E" w:rsidRDefault="00B01595" w:rsidP="00B01595">
      <w:pPr>
        <w:rPr>
          <w:lang w:val="en-AU"/>
        </w:rPr>
      </w:pPr>
      <w:r w:rsidRPr="00FC5E27">
        <w:rPr>
          <w:lang w:val="en-AU"/>
        </w:rPr>
        <w:t>In some cases, the occupancy risks in remote areas may also be a significant deterrent to investment in SDA. In these circumstances, the Agency would consider the options available to address the market failure. These options are not the subject of this SDA Decision Paper and will be further considered by the Commonwealth and t</w:t>
      </w:r>
      <w:r w:rsidRPr="0069103E">
        <w:rPr>
          <w:lang w:val="en-AU"/>
        </w:rPr>
        <w:t>he Agency in the near future.</w:t>
      </w:r>
    </w:p>
    <w:p w:rsidR="00B01595" w:rsidRPr="00E22DE1" w:rsidRDefault="00B01595" w:rsidP="00CB2072">
      <w:pPr>
        <w:pStyle w:val="Heading4"/>
        <w:keepNext/>
        <w:keepLines/>
        <w:ind w:left="720"/>
        <w:rPr>
          <w:lang w:val="en-AU"/>
        </w:rPr>
      </w:pPr>
      <w:r w:rsidRPr="00E22DE1">
        <w:rPr>
          <w:lang w:val="en-AU"/>
        </w:rPr>
        <w:t>Number of residents and bedrooms</w:t>
      </w:r>
    </w:p>
    <w:p w:rsidR="00B01595" w:rsidRPr="00294EE7" w:rsidRDefault="00B01595" w:rsidP="00B01595">
      <w:pPr>
        <w:rPr>
          <w:lang w:val="en-AU"/>
        </w:rPr>
      </w:pPr>
      <w:r w:rsidRPr="004C01F6">
        <w:rPr>
          <w:lang w:val="en-AU"/>
        </w:rPr>
        <w:t xml:space="preserve">The SDA Benchmark Price will be paid for each participant with SDA in their plan that resides at a </w:t>
      </w:r>
      <w:r w:rsidRPr="00DA1F62">
        <w:rPr>
          <w:lang w:val="en-AU"/>
        </w:rPr>
        <w:t>dwelling that is enrolled for SDA by a registered provider. A provider of SDA must make at least one private room available to each permanent resident (a bedroom or, if part of a couple, a bedroom and a second room that may be a bedroom or another similar siz</w:t>
      </w:r>
      <w:r w:rsidRPr="00294EE7">
        <w:rPr>
          <w:lang w:val="en-AU"/>
        </w:rPr>
        <w:t>ed room).</w:t>
      </w:r>
    </w:p>
    <w:p w:rsidR="00B01595" w:rsidRPr="00FC5E27" w:rsidRDefault="00B01595" w:rsidP="00B01595">
      <w:pPr>
        <w:rPr>
          <w:lang w:val="en-AU"/>
        </w:rPr>
      </w:pPr>
      <w:r w:rsidRPr="00294EE7">
        <w:rPr>
          <w:lang w:val="en-AU"/>
        </w:rPr>
        <w:t>In addition to design category and building type, SDA Benchmark Price categories also reference the number of resident</w:t>
      </w:r>
      <w:r w:rsidRPr="00FC5E27">
        <w:rPr>
          <w:lang w:val="en-AU"/>
        </w:rPr>
        <w:t xml:space="preserve">s for which the property is enrolled (rather than the number of bedrooms). The SDA provider must not allow more people to reside at the property than the number for which the property is enrolled (excluding support staff). </w:t>
      </w:r>
    </w:p>
    <w:p w:rsidR="00B01595" w:rsidRPr="00FC5E27" w:rsidRDefault="00B01595" w:rsidP="00B01595">
      <w:pPr>
        <w:rPr>
          <w:lang w:val="en-AU"/>
        </w:rPr>
      </w:pPr>
      <w:r w:rsidRPr="00FC5E27">
        <w:rPr>
          <w:lang w:val="en-AU"/>
        </w:rPr>
        <w:t xml:space="preserve">For New Builds and Existing Stock, no more than five people are to reside </w:t>
      </w:r>
      <w:r w:rsidR="00EF7124">
        <w:rPr>
          <w:lang w:val="en-AU"/>
        </w:rPr>
        <w:t xml:space="preserve">in any one dwelling </w:t>
      </w:r>
      <w:r w:rsidRPr="00FC5E27">
        <w:rPr>
          <w:lang w:val="en-AU"/>
        </w:rPr>
        <w:t xml:space="preserve">at the property at any time. Only Legacy </w:t>
      </w:r>
      <w:r>
        <w:rPr>
          <w:lang w:val="en-AU"/>
        </w:rPr>
        <w:t>Stock</w:t>
      </w:r>
      <w:r w:rsidRPr="00FC5E27">
        <w:rPr>
          <w:lang w:val="en-AU"/>
        </w:rPr>
        <w:t xml:space="preserve"> may house more than five people and pricing for properties that have more than five residents will be phased out over time. </w:t>
      </w:r>
    </w:p>
    <w:p w:rsidR="00B01595" w:rsidRPr="004C01F6" w:rsidRDefault="00B01595" w:rsidP="00CB2072">
      <w:pPr>
        <w:pStyle w:val="Heading4"/>
        <w:keepNext/>
        <w:keepLines/>
        <w:ind w:left="720"/>
        <w:rPr>
          <w:lang w:val="en-AU"/>
        </w:rPr>
      </w:pPr>
      <w:bookmarkStart w:id="30" w:name="_Ref452472164"/>
      <w:r w:rsidRPr="007B7D09">
        <w:rPr>
          <w:lang w:val="en-AU"/>
        </w:rPr>
        <w:lastRenderedPageBreak/>
        <w:t>Restrictions</w:t>
      </w:r>
      <w:bookmarkEnd w:id="30"/>
      <w:r w:rsidRPr="007B7D09">
        <w:rPr>
          <w:lang w:val="en-AU"/>
        </w:rPr>
        <w:t xml:space="preserve"> </w:t>
      </w:r>
    </w:p>
    <w:p w:rsidR="00B01595" w:rsidRPr="00294EE7" w:rsidRDefault="00B01595" w:rsidP="00B01595">
      <w:pPr>
        <w:spacing w:after="120"/>
        <w:rPr>
          <w:lang w:val="en-AU"/>
        </w:rPr>
      </w:pPr>
      <w:r w:rsidRPr="00294EE7">
        <w:rPr>
          <w:lang w:val="en-AU"/>
        </w:rPr>
        <w:t xml:space="preserve">In addition to meeting the SDA design standards, there are also restrictions on how many residents can reside in SDA properties and which properties can be enrolled when there is more than one property on a single parcel of land. </w:t>
      </w:r>
    </w:p>
    <w:p w:rsidR="00B01595" w:rsidRPr="00FC5E27" w:rsidRDefault="00B01595" w:rsidP="00B01595">
      <w:pPr>
        <w:spacing w:after="120"/>
        <w:rPr>
          <w:lang w:val="en-AU"/>
        </w:rPr>
      </w:pPr>
      <w:r w:rsidRPr="00FC5E27">
        <w:rPr>
          <w:lang w:val="en-AU"/>
        </w:rPr>
        <w:t>The restrictions, which apply only to New Builds, include:</w:t>
      </w:r>
    </w:p>
    <w:p w:rsidR="00B01595" w:rsidRPr="00E22DE1" w:rsidRDefault="00B01595" w:rsidP="005E0D4B">
      <w:pPr>
        <w:pStyle w:val="ListParagraph"/>
        <w:numPr>
          <w:ilvl w:val="0"/>
          <w:numId w:val="120"/>
        </w:numPr>
        <w:contextualSpacing w:val="0"/>
        <w:rPr>
          <w:lang w:val="en-AU"/>
        </w:rPr>
      </w:pPr>
      <w:r w:rsidRPr="00E22DE1">
        <w:rPr>
          <w:lang w:val="en-AU"/>
        </w:rPr>
        <w:t>no more than 5 people can reside in a single SDA dwelling;</w:t>
      </w:r>
    </w:p>
    <w:p w:rsidR="00295F86" w:rsidRDefault="00B01595" w:rsidP="00B97FC6">
      <w:pPr>
        <w:pStyle w:val="ListParagraph"/>
        <w:numPr>
          <w:ilvl w:val="0"/>
          <w:numId w:val="120"/>
        </w:numPr>
        <w:contextualSpacing w:val="0"/>
        <w:rPr>
          <w:lang w:val="en-AU"/>
        </w:rPr>
      </w:pPr>
      <w:r w:rsidRPr="00E22DE1">
        <w:rPr>
          <w:lang w:val="en-AU"/>
        </w:rPr>
        <w:t>if there are multiple properties on a single parcel of land</w:t>
      </w:r>
      <w:r w:rsidR="00D00437">
        <w:rPr>
          <w:lang w:val="en-AU"/>
        </w:rPr>
        <w:t xml:space="preserve">, then the number of dwellings which </w:t>
      </w:r>
      <w:r w:rsidR="00FA73EE">
        <w:rPr>
          <w:lang w:val="en-AU"/>
        </w:rPr>
        <w:t>may</w:t>
      </w:r>
      <w:r w:rsidR="00D00437">
        <w:rPr>
          <w:lang w:val="en-AU"/>
        </w:rPr>
        <w:t xml:space="preserve"> be enrolled as SDA can</w:t>
      </w:r>
      <w:r w:rsidR="00FA73EE">
        <w:rPr>
          <w:lang w:val="en-AU"/>
        </w:rPr>
        <w:t xml:space="preserve"> </w:t>
      </w:r>
      <w:r w:rsidR="00D00437" w:rsidRPr="00FA73EE">
        <w:rPr>
          <w:lang w:val="en-AU"/>
        </w:rPr>
        <w:t>house no more than 10 resid</w:t>
      </w:r>
      <w:r w:rsidR="00295F86">
        <w:rPr>
          <w:lang w:val="en-AU"/>
        </w:rPr>
        <w:t xml:space="preserve">ents </w:t>
      </w:r>
      <w:r w:rsidR="00D00437" w:rsidRPr="00FA73EE">
        <w:rPr>
          <w:lang w:val="en-AU"/>
        </w:rPr>
        <w:t xml:space="preserve">unless all </w:t>
      </w:r>
      <w:r w:rsidR="00450D16">
        <w:rPr>
          <w:lang w:val="en-AU"/>
        </w:rPr>
        <w:t xml:space="preserve">SDA </w:t>
      </w:r>
      <w:r w:rsidR="00D00437" w:rsidRPr="00FA73EE">
        <w:rPr>
          <w:lang w:val="en-AU"/>
        </w:rPr>
        <w:t xml:space="preserve">dwellings house two or fewer residents </w:t>
      </w:r>
      <w:r w:rsidR="00FA73EE" w:rsidRPr="00FA73EE">
        <w:rPr>
          <w:lang w:val="en-AU"/>
        </w:rPr>
        <w:t xml:space="preserve">per dwelling </w:t>
      </w:r>
      <w:r w:rsidR="00D00437" w:rsidRPr="00FA73EE">
        <w:rPr>
          <w:lang w:val="en-AU"/>
        </w:rPr>
        <w:t xml:space="preserve">in which case there may be </w:t>
      </w:r>
      <w:r w:rsidR="00FA73EE" w:rsidRPr="00FA73EE">
        <w:rPr>
          <w:lang w:val="en-AU"/>
        </w:rPr>
        <w:t xml:space="preserve">up to </w:t>
      </w:r>
      <w:r w:rsidR="00295F86">
        <w:rPr>
          <w:lang w:val="en-AU"/>
        </w:rPr>
        <w:t xml:space="preserve">15 residents or 15 per cent of the total number of expected residents, whichever is greater. </w:t>
      </w:r>
    </w:p>
    <w:p w:rsidR="00B01595" w:rsidRPr="0069103E" w:rsidRDefault="00B01595" w:rsidP="00B01595">
      <w:pPr>
        <w:rPr>
          <w:lang w:val="en-AU"/>
        </w:rPr>
      </w:pPr>
      <w:r w:rsidRPr="0069103E">
        <w:rPr>
          <w:lang w:val="en-AU"/>
        </w:rPr>
        <w:t xml:space="preserve">An exception to the restrictions is explained in ‘Intentional Communities’ below. </w:t>
      </w:r>
    </w:p>
    <w:p w:rsidR="00B01595" w:rsidRPr="0069103E" w:rsidRDefault="00B01595" w:rsidP="00B01595">
      <w:pPr>
        <w:rPr>
          <w:lang w:val="en-AU"/>
        </w:rPr>
      </w:pPr>
      <w:r w:rsidRPr="0069103E">
        <w:rPr>
          <w:lang w:val="en-AU"/>
        </w:rPr>
        <w:t>The restrictions apply to New Builds only and the restriction will not apply to Existing Stock and Legacy Stock.</w:t>
      </w:r>
    </w:p>
    <w:p w:rsidR="00B01595" w:rsidRPr="0069103E" w:rsidRDefault="00B01595" w:rsidP="00B01595">
      <w:pPr>
        <w:rPr>
          <w:b/>
          <w:lang w:val="en-AU"/>
        </w:rPr>
      </w:pPr>
      <w:r w:rsidRPr="0069103E">
        <w:rPr>
          <w:b/>
          <w:lang w:val="en-AU"/>
        </w:rPr>
        <w:t>Intentional communities</w:t>
      </w:r>
    </w:p>
    <w:p w:rsidR="00B01595" w:rsidRPr="0069103E" w:rsidRDefault="00B01595" w:rsidP="00B01595">
      <w:pPr>
        <w:rPr>
          <w:lang w:val="en-AU"/>
        </w:rPr>
      </w:pPr>
      <w:r w:rsidRPr="0069103E">
        <w:rPr>
          <w:lang w:val="en-AU"/>
        </w:rPr>
        <w:t xml:space="preserve">Intentional communities are typically estate based developments in which residents make a conscious and often collective decision to live based on shared values, including mutual community support.  </w:t>
      </w:r>
    </w:p>
    <w:p w:rsidR="00B01595" w:rsidRPr="0069103E" w:rsidRDefault="00B01595" w:rsidP="00B01595">
      <w:pPr>
        <w:rPr>
          <w:lang w:val="en-AU"/>
        </w:rPr>
      </w:pPr>
      <w:r w:rsidRPr="0069103E">
        <w:rPr>
          <w:lang w:val="en-AU"/>
        </w:rPr>
        <w:t xml:space="preserve">In several examples of these intentional communities across Australia, a certain percentage of the available housing is made available to people with disability. Often the other members of the intentional community make a commitment to provide support and assistance to all other members of the community, including those with disability. </w:t>
      </w:r>
    </w:p>
    <w:p w:rsidR="00B01595" w:rsidRPr="0069103E" w:rsidRDefault="00B01595" w:rsidP="00B01595">
      <w:pPr>
        <w:rPr>
          <w:lang w:val="en-AU"/>
        </w:rPr>
      </w:pPr>
      <w:r w:rsidRPr="0069103E">
        <w:rPr>
          <w:lang w:val="en-AU"/>
        </w:rPr>
        <w:t xml:space="preserve">The Agency believes that within intentional communities, a higher ratio of SDA to standard housing can be acceptable and even beneficial, due in part to the deliberate choice of other residents to include and provide support to people with disabilities living there. </w:t>
      </w:r>
    </w:p>
    <w:p w:rsidR="00B01595" w:rsidRPr="0069103E" w:rsidRDefault="00B01595" w:rsidP="00B01595">
      <w:pPr>
        <w:rPr>
          <w:lang w:val="en-AU"/>
        </w:rPr>
      </w:pPr>
      <w:r w:rsidRPr="0069103E">
        <w:rPr>
          <w:lang w:val="en-AU"/>
        </w:rPr>
        <w:t xml:space="preserve">For intentional communities, individual SDA dwellings must still house no more than </w:t>
      </w:r>
      <w:r w:rsidR="00151F6D" w:rsidRPr="0069103E">
        <w:rPr>
          <w:lang w:val="en-AU"/>
        </w:rPr>
        <w:t>5</w:t>
      </w:r>
      <w:r w:rsidR="00151F6D">
        <w:rPr>
          <w:lang w:val="en-AU"/>
        </w:rPr>
        <w:t> </w:t>
      </w:r>
      <w:r w:rsidRPr="0069103E">
        <w:rPr>
          <w:lang w:val="en-AU"/>
        </w:rPr>
        <w:t>residents, but the dwellings that can be enrolled for use as SDA must house no more than 1</w:t>
      </w:r>
      <w:r w:rsidR="00151F6D">
        <w:rPr>
          <w:lang w:val="en-AU"/>
        </w:rPr>
        <w:t>5</w:t>
      </w:r>
      <w:r w:rsidRPr="0069103E">
        <w:rPr>
          <w:lang w:val="en-AU"/>
        </w:rPr>
        <w:t xml:space="preserve"> residents or 25</w:t>
      </w:r>
      <w:r>
        <w:rPr>
          <w:lang w:val="en-AU"/>
        </w:rPr>
        <w:t xml:space="preserve"> per cent</w:t>
      </w:r>
      <w:r w:rsidRPr="0069103E">
        <w:rPr>
          <w:lang w:val="en-AU"/>
        </w:rPr>
        <w:t xml:space="preserve"> of the total number of expected residents in the community, whichever is greater.</w:t>
      </w:r>
    </w:p>
    <w:p w:rsidR="00206384" w:rsidRPr="00624FF2" w:rsidRDefault="006141A1" w:rsidP="00E22DE1">
      <w:pPr>
        <w:pStyle w:val="Heading3"/>
        <w:ind w:left="0" w:firstLine="0"/>
      </w:pPr>
      <w:bookmarkStart w:id="31" w:name="_Toc452550409"/>
      <w:r>
        <w:t>SDA providers</w:t>
      </w:r>
      <w:bookmarkEnd w:id="31"/>
    </w:p>
    <w:p w:rsidR="002D6726" w:rsidRPr="004C01F6" w:rsidRDefault="002D6726" w:rsidP="002D6726">
      <w:pPr>
        <w:rPr>
          <w:lang w:val="en-AU"/>
        </w:rPr>
      </w:pPr>
      <w:r w:rsidRPr="005C4E27">
        <w:rPr>
          <w:lang w:val="en-AU"/>
        </w:rPr>
        <w:t>The NDIS Act requires SDA providers to be suitable to provide SDA supports and requires them to meet the obligations imposed by the NDIS Rules.  The obligations imposed by the NDIS Rules include that a provider agrees to be bound by the Agency’s Terms of Business, which should include the Quality and Safeguard Working Arrangements</w:t>
      </w:r>
      <w:r w:rsidR="005C4E27" w:rsidRPr="005C4E27">
        <w:rPr>
          <w:lang w:val="en-AU"/>
        </w:rPr>
        <w:t xml:space="preserve"> for SDA</w:t>
      </w:r>
      <w:r w:rsidRPr="005C4E27">
        <w:rPr>
          <w:lang w:val="en-AU"/>
        </w:rPr>
        <w:t xml:space="preserve">.  Providers are also required to comply with all of their obligations in State, Territory and Commonwealth legislation. The NDIS Rules impose a number of obligations on providers and it is proposed </w:t>
      </w:r>
      <w:r w:rsidRPr="005C4E27">
        <w:rPr>
          <w:lang w:val="en-AU"/>
        </w:rPr>
        <w:lastRenderedPageBreak/>
        <w:t>to include additional requirements specific to SDA</w:t>
      </w:r>
      <w:r w:rsidR="00914CA4">
        <w:rPr>
          <w:lang w:val="en-AU"/>
        </w:rPr>
        <w:t xml:space="preserve"> which are</w:t>
      </w:r>
      <w:r w:rsidR="0002702A">
        <w:rPr>
          <w:lang w:val="en-AU"/>
        </w:rPr>
        <w:t xml:space="preserve"> consist with this Decision Paper</w:t>
      </w:r>
      <w:r w:rsidRPr="007B7D09">
        <w:rPr>
          <w:lang w:val="en-AU"/>
        </w:rPr>
        <w:t>.</w:t>
      </w:r>
    </w:p>
    <w:p w:rsidR="002D6726" w:rsidRPr="00FC5E27" w:rsidRDefault="002D6726" w:rsidP="002D6726">
      <w:pPr>
        <w:rPr>
          <w:lang w:val="en-AU"/>
        </w:rPr>
      </w:pPr>
      <w:r w:rsidRPr="00294EE7">
        <w:rPr>
          <w:lang w:val="en-AU"/>
        </w:rPr>
        <w:t>State, Territory and other Commonwealth legislation relating to non-disability specific requirements (such as requirements to compl</w:t>
      </w:r>
      <w:r w:rsidRPr="00FC5E27">
        <w:rPr>
          <w:lang w:val="en-AU"/>
        </w:rPr>
        <w:t>y with building standards</w:t>
      </w:r>
      <w:r w:rsidR="00700345">
        <w:rPr>
          <w:lang w:val="en-AU"/>
        </w:rPr>
        <w:t>, for example</w:t>
      </w:r>
      <w:r w:rsidRPr="00FC5E27">
        <w:rPr>
          <w:lang w:val="en-AU"/>
        </w:rPr>
        <w:t>) will continue to apply to SDA providers.</w:t>
      </w:r>
    </w:p>
    <w:p w:rsidR="002D6726" w:rsidRPr="0069103E" w:rsidRDefault="002D6726" w:rsidP="00CB2072">
      <w:pPr>
        <w:pStyle w:val="Heading4"/>
        <w:keepNext/>
        <w:keepLines/>
        <w:ind w:left="720"/>
        <w:rPr>
          <w:lang w:val="en-AU"/>
        </w:rPr>
      </w:pPr>
      <w:r w:rsidRPr="0069103E">
        <w:rPr>
          <w:lang w:val="en-AU"/>
        </w:rPr>
        <w:t>Quality and Safeguarding Framework</w:t>
      </w:r>
    </w:p>
    <w:p w:rsidR="002D6726" w:rsidRPr="00AA44FB" w:rsidRDefault="002D6726" w:rsidP="002D6726">
      <w:pPr>
        <w:rPr>
          <w:rFonts w:cs="Arial"/>
          <w:lang w:val="en-AU"/>
        </w:rPr>
      </w:pPr>
      <w:r w:rsidRPr="00AA44FB">
        <w:rPr>
          <w:rFonts w:cs="Arial"/>
          <w:lang w:val="en-AU"/>
        </w:rPr>
        <w:t xml:space="preserve">The national NDIS Quality and Safeguarding Framework is currently being developed by the Commonwealth and is expected to commence from 2018. </w:t>
      </w:r>
    </w:p>
    <w:p w:rsidR="002D6726" w:rsidRPr="005B1B19" w:rsidRDefault="002D6726" w:rsidP="002D6726">
      <w:pPr>
        <w:rPr>
          <w:rFonts w:cs="Arial"/>
          <w:lang w:val="en-AU"/>
        </w:rPr>
      </w:pPr>
      <w:r w:rsidRPr="005C4E27">
        <w:rPr>
          <w:rFonts w:cs="Arial"/>
          <w:lang w:val="en-AU"/>
        </w:rPr>
        <w:t xml:space="preserve">A national </w:t>
      </w:r>
      <w:r w:rsidR="005B1B19">
        <w:rPr>
          <w:rFonts w:cs="Arial"/>
          <w:lang w:val="en-AU"/>
        </w:rPr>
        <w:t xml:space="preserve">Quality and Safeguarding </w:t>
      </w:r>
      <w:r w:rsidRPr="005B1B19">
        <w:rPr>
          <w:rFonts w:cs="Arial"/>
          <w:lang w:val="en-AU"/>
        </w:rPr>
        <w:t xml:space="preserve">Framework will mean consistent standards and safeguards for </w:t>
      </w:r>
      <w:r w:rsidR="005B1B19">
        <w:rPr>
          <w:rFonts w:cs="Arial"/>
          <w:lang w:val="en-AU"/>
        </w:rPr>
        <w:t xml:space="preserve">Scheme </w:t>
      </w:r>
      <w:r w:rsidRPr="005B1B19">
        <w:rPr>
          <w:rFonts w:cs="Arial"/>
          <w:lang w:val="en-AU"/>
        </w:rPr>
        <w:t>participants wherever they live.</w:t>
      </w:r>
    </w:p>
    <w:p w:rsidR="002D6726" w:rsidRPr="005B1B19" w:rsidRDefault="002D6726" w:rsidP="002D6726">
      <w:pPr>
        <w:rPr>
          <w:rFonts w:cs="Arial"/>
          <w:lang w:val="en-AU"/>
        </w:rPr>
      </w:pPr>
      <w:r w:rsidRPr="005B1B19">
        <w:rPr>
          <w:rFonts w:cs="Arial"/>
          <w:lang w:val="en-AU"/>
        </w:rPr>
        <w:t xml:space="preserve">Until the </w:t>
      </w:r>
      <w:r w:rsidR="005B1B19">
        <w:rPr>
          <w:rFonts w:cs="Arial"/>
          <w:lang w:val="en-AU"/>
        </w:rPr>
        <w:t xml:space="preserve">Scheme </w:t>
      </w:r>
      <w:r w:rsidRPr="005B1B19">
        <w:rPr>
          <w:rFonts w:cs="Arial"/>
          <w:lang w:val="en-AU"/>
        </w:rPr>
        <w:t xml:space="preserve">is fully implemented and the </w:t>
      </w:r>
      <w:r w:rsidR="005B1B19">
        <w:rPr>
          <w:rFonts w:cs="Arial"/>
          <w:lang w:val="en-AU"/>
        </w:rPr>
        <w:t xml:space="preserve">Quality and Safeguarding </w:t>
      </w:r>
      <w:r w:rsidRPr="005B1B19">
        <w:rPr>
          <w:rFonts w:cs="Arial"/>
          <w:lang w:val="en-AU"/>
        </w:rPr>
        <w:t xml:space="preserve">Framework </w:t>
      </w:r>
      <w:r w:rsidR="005B1B19">
        <w:rPr>
          <w:rFonts w:cs="Arial"/>
          <w:lang w:val="en-AU"/>
        </w:rPr>
        <w:t xml:space="preserve">is </w:t>
      </w:r>
      <w:r w:rsidRPr="005B1B19">
        <w:rPr>
          <w:rFonts w:cs="Arial"/>
          <w:lang w:val="en-AU"/>
        </w:rPr>
        <w:t xml:space="preserve">in place, the Agency will use existing State and Commonwealth quality and safeguarding arrangements. </w:t>
      </w:r>
    </w:p>
    <w:p w:rsidR="002D6726" w:rsidRPr="005C4E27" w:rsidRDefault="002D6726" w:rsidP="002D6726">
      <w:pPr>
        <w:rPr>
          <w:rFonts w:cs="Arial"/>
          <w:lang w:val="en-AU"/>
        </w:rPr>
      </w:pPr>
      <w:r w:rsidRPr="00FC5E27">
        <w:rPr>
          <w:rFonts w:cs="Arial"/>
          <w:lang w:val="en-AU"/>
        </w:rPr>
        <w:t xml:space="preserve">The Agency expects that SDA dwellings will be safe for participants, and maintained appropriately, in line with existing State arrangements. </w:t>
      </w:r>
      <w:r w:rsidRPr="00AA44FB">
        <w:rPr>
          <w:rFonts w:cs="Arial"/>
          <w:lang w:val="en-AU"/>
        </w:rPr>
        <w:t>Details on the application of quality and safeguards in respect of S</w:t>
      </w:r>
      <w:r w:rsidRPr="00CD197F">
        <w:rPr>
          <w:rFonts w:cs="Arial"/>
          <w:lang w:val="en-AU"/>
        </w:rPr>
        <w:t xml:space="preserve">DA will be released separately. </w:t>
      </w:r>
      <w:r w:rsidRPr="005C4E27">
        <w:rPr>
          <w:lang w:val="en-AU"/>
        </w:rPr>
        <w:t xml:space="preserve"> </w:t>
      </w:r>
    </w:p>
    <w:p w:rsidR="006141A1" w:rsidRPr="0069103E" w:rsidRDefault="006141A1" w:rsidP="006141A1">
      <w:pPr>
        <w:pStyle w:val="Heading4"/>
        <w:keepNext/>
        <w:keepLines/>
        <w:ind w:left="720"/>
        <w:rPr>
          <w:lang w:val="en-AU"/>
        </w:rPr>
      </w:pPr>
      <w:bookmarkStart w:id="32" w:name="_Ref452407346"/>
      <w:bookmarkStart w:id="33" w:name="_Ref452409948"/>
      <w:r w:rsidRPr="0069103E">
        <w:rPr>
          <w:lang w:val="en-AU"/>
        </w:rPr>
        <w:t>Relationship with disability support providers</w:t>
      </w:r>
    </w:p>
    <w:p w:rsidR="006141A1" w:rsidRPr="00294EE7" w:rsidRDefault="006141A1" w:rsidP="006141A1">
      <w:pPr>
        <w:rPr>
          <w:lang w:val="en-AU"/>
        </w:rPr>
      </w:pPr>
      <w:r w:rsidRPr="0069103E">
        <w:rPr>
          <w:lang w:val="en-AU"/>
        </w:rPr>
        <w:t>The Agency expects SDA and SIL to be separabl</w:t>
      </w:r>
      <w:r>
        <w:rPr>
          <w:lang w:val="en-AU"/>
        </w:rPr>
        <w:t>e</w:t>
      </w:r>
      <w:r w:rsidRPr="0069103E">
        <w:rPr>
          <w:lang w:val="en-AU"/>
        </w:rPr>
        <w:t xml:space="preserve"> and ultimately separately provided</w:t>
      </w:r>
      <w:r>
        <w:rPr>
          <w:lang w:val="en-AU"/>
        </w:rPr>
        <w:t>.</w:t>
      </w:r>
      <w:r w:rsidRPr="0069103E">
        <w:rPr>
          <w:lang w:val="en-AU"/>
        </w:rPr>
        <w:t xml:space="preserve"> The Agency and States are currently examining the legislative and other requirements to enable the separatio</w:t>
      </w:r>
      <w:r w:rsidRPr="00AA44FB">
        <w:rPr>
          <w:lang w:val="en-AU"/>
        </w:rPr>
        <w:t xml:space="preserve">n of SDA and SIL supports across all States and Territories. The objective is that SDA providers will </w:t>
      </w:r>
      <w:r>
        <w:rPr>
          <w:lang w:val="en-AU"/>
        </w:rPr>
        <w:t xml:space="preserve">need to </w:t>
      </w:r>
      <w:r w:rsidRPr="004C01F6">
        <w:rPr>
          <w:lang w:val="en-AU"/>
        </w:rPr>
        <w:t xml:space="preserve">demonstrate meaningful separation of the functions delivering the two types of support in the same residence. </w:t>
      </w:r>
    </w:p>
    <w:p w:rsidR="006141A1" w:rsidRPr="00FC5E27" w:rsidRDefault="006141A1" w:rsidP="006141A1">
      <w:pPr>
        <w:rPr>
          <w:lang w:val="en-AU"/>
        </w:rPr>
      </w:pPr>
      <w:r w:rsidRPr="00FC5E27">
        <w:rPr>
          <w:lang w:val="en-AU"/>
        </w:rPr>
        <w:t>Subject to a review of jurisdictional legislative and other processes, the Agency expects that there will be a transition period in which:</w:t>
      </w:r>
    </w:p>
    <w:p w:rsidR="006141A1" w:rsidRPr="000D62BC" w:rsidRDefault="006141A1" w:rsidP="006141A1">
      <w:pPr>
        <w:pStyle w:val="ListParagraph"/>
        <w:numPr>
          <w:ilvl w:val="0"/>
          <w:numId w:val="115"/>
        </w:numPr>
        <w:contextualSpacing w:val="0"/>
        <w:rPr>
          <w:lang w:val="en-AU"/>
        </w:rPr>
      </w:pPr>
      <w:r w:rsidRPr="000D62BC">
        <w:rPr>
          <w:lang w:val="en-AU"/>
        </w:rPr>
        <w:t>in cases where the SDA provider (or a related party) also provides SIL services to residents of the property they will need to provide participants with separated contracts for each service at no cost to the participant;</w:t>
      </w:r>
    </w:p>
    <w:p w:rsidR="006141A1" w:rsidRPr="00717425" w:rsidRDefault="006141A1" w:rsidP="006141A1">
      <w:pPr>
        <w:pStyle w:val="ListParagraph"/>
        <w:numPr>
          <w:ilvl w:val="0"/>
          <w:numId w:val="115"/>
        </w:numPr>
        <w:contextualSpacing w:val="0"/>
        <w:rPr>
          <w:lang w:val="en-AU"/>
        </w:rPr>
      </w:pPr>
      <w:r w:rsidRPr="00AA44FB">
        <w:rPr>
          <w:lang w:val="en-AU"/>
        </w:rPr>
        <w:t>Conflict of Interest (COI) provisions will be introduced to manage any real or perceived conflict of interest between SDA and SIL services. The active management of conflicts of interest are required to give clear effect t</w:t>
      </w:r>
      <w:r w:rsidRPr="005C4E27">
        <w:rPr>
          <w:lang w:val="en-AU"/>
        </w:rPr>
        <w:t>o the participant’s rights as a resident of the house separately from the support services they receive.</w:t>
      </w:r>
    </w:p>
    <w:p w:rsidR="005F756F" w:rsidRPr="005F756F" w:rsidRDefault="005F756F" w:rsidP="00CB2072">
      <w:pPr>
        <w:pStyle w:val="Heading4"/>
        <w:keepNext/>
        <w:keepLines/>
        <w:ind w:left="720"/>
        <w:rPr>
          <w:lang w:val="en-AU"/>
        </w:rPr>
      </w:pPr>
      <w:bookmarkStart w:id="34" w:name="_Ref452548680"/>
      <w:r w:rsidRPr="005F756F">
        <w:rPr>
          <w:lang w:val="en-AU"/>
        </w:rPr>
        <w:t>Registration process</w:t>
      </w:r>
      <w:bookmarkEnd w:id="34"/>
    </w:p>
    <w:bookmarkEnd w:id="32"/>
    <w:bookmarkEnd w:id="33"/>
    <w:p w:rsidR="002D6726" w:rsidRPr="007B7D09" w:rsidRDefault="005B1B19" w:rsidP="002D6726">
      <w:pPr>
        <w:rPr>
          <w:rFonts w:cs="Arial"/>
          <w:szCs w:val="22"/>
          <w:lang w:val="en-AU"/>
        </w:rPr>
      </w:pPr>
      <w:r>
        <w:rPr>
          <w:lang w:val="en-AU"/>
        </w:rPr>
        <w:t>To</w:t>
      </w:r>
      <w:r w:rsidR="002D6726" w:rsidRPr="005B1B19">
        <w:rPr>
          <w:lang w:val="en-AU"/>
        </w:rPr>
        <w:t xml:space="preserve"> receive funding for SDA</w:t>
      </w:r>
      <w:r>
        <w:rPr>
          <w:lang w:val="en-AU"/>
        </w:rPr>
        <w:t>,</w:t>
      </w:r>
      <w:r w:rsidR="002D6726" w:rsidRPr="005B1B19">
        <w:rPr>
          <w:lang w:val="en-AU"/>
        </w:rPr>
        <w:t xml:space="preserve"> all providers </w:t>
      </w:r>
      <w:r>
        <w:rPr>
          <w:lang w:val="en-AU"/>
        </w:rPr>
        <w:t xml:space="preserve">are </w:t>
      </w:r>
      <w:r w:rsidR="002D6726" w:rsidRPr="005B1B19">
        <w:rPr>
          <w:lang w:val="en-AU"/>
        </w:rPr>
        <w:t xml:space="preserve">required to be registered providers under the NDIS Act. </w:t>
      </w:r>
      <w:r>
        <w:rPr>
          <w:lang w:val="en-AU"/>
        </w:rPr>
        <w:t xml:space="preserve">Registration and requirements </w:t>
      </w:r>
      <w:r w:rsidR="002D6726" w:rsidRPr="005B1B19">
        <w:rPr>
          <w:lang w:val="en-AU"/>
        </w:rPr>
        <w:t>appl</w:t>
      </w:r>
      <w:r>
        <w:rPr>
          <w:lang w:val="en-AU"/>
        </w:rPr>
        <w:t>y</w:t>
      </w:r>
      <w:r w:rsidR="002D6726" w:rsidRPr="005B1B19">
        <w:rPr>
          <w:lang w:val="en-AU"/>
        </w:rPr>
        <w:t xml:space="preserve"> to</w:t>
      </w:r>
      <w:r>
        <w:rPr>
          <w:lang w:val="en-AU"/>
        </w:rPr>
        <w:t xml:space="preserve"> all</w:t>
      </w:r>
      <w:r w:rsidR="002D6726" w:rsidRPr="005B1B19">
        <w:rPr>
          <w:lang w:val="en-AU"/>
        </w:rPr>
        <w:t xml:space="preserve"> States and Territories, not-for-profit organisations, community housing organisations, market providers, parents of participants and self-providing participants. </w:t>
      </w:r>
      <w:r w:rsidR="002D6726" w:rsidRPr="009655D6">
        <w:rPr>
          <w:lang w:val="en-AU"/>
        </w:rPr>
        <w:t xml:space="preserve"> Details are expected to be reflected in the new Rules outlining the process for SDA provider registration.</w:t>
      </w:r>
    </w:p>
    <w:p w:rsidR="002D6726" w:rsidRPr="00294EE7" w:rsidRDefault="002D6726" w:rsidP="002D6726">
      <w:pPr>
        <w:rPr>
          <w:lang w:val="en-AU"/>
        </w:rPr>
      </w:pPr>
      <w:r w:rsidRPr="004C01F6">
        <w:rPr>
          <w:lang w:val="en-AU"/>
        </w:rPr>
        <w:lastRenderedPageBreak/>
        <w:t>SDA will broadly follow the same registration process used for other NDIS supports. All providers are required to sign a Declaration of Suitabilit</w:t>
      </w:r>
      <w:r w:rsidRPr="00294EE7">
        <w:rPr>
          <w:lang w:val="en-AU"/>
        </w:rPr>
        <w:t>y, which includes agreement to comply with the Agency’s Terms of Business.</w:t>
      </w:r>
    </w:p>
    <w:p w:rsidR="002D6726" w:rsidRPr="00FC5E27" w:rsidRDefault="002D6726" w:rsidP="002D6726">
      <w:pPr>
        <w:rPr>
          <w:lang w:val="en-AU"/>
        </w:rPr>
      </w:pPr>
      <w:r w:rsidRPr="00FC5E27">
        <w:rPr>
          <w:lang w:val="en-AU"/>
        </w:rPr>
        <w:t xml:space="preserve">The </w:t>
      </w:r>
      <w:r w:rsidR="00FC5E27">
        <w:rPr>
          <w:lang w:val="en-AU"/>
        </w:rPr>
        <w:t xml:space="preserve">Agency’s </w:t>
      </w:r>
      <w:r w:rsidRPr="00FC5E27">
        <w:rPr>
          <w:lang w:val="en-AU"/>
        </w:rPr>
        <w:t xml:space="preserve">Terms of Business </w:t>
      </w:r>
      <w:r w:rsidR="00FC5E27">
        <w:rPr>
          <w:lang w:val="en-AU"/>
        </w:rPr>
        <w:t xml:space="preserve">(as updated from time to time) </w:t>
      </w:r>
      <w:r w:rsidRPr="00FC5E27">
        <w:rPr>
          <w:lang w:val="en-AU"/>
        </w:rPr>
        <w:t xml:space="preserve">will include a number of requirements specific to SDA. There will also be a newly formed </w:t>
      </w:r>
      <w:r w:rsidR="00FC5E27">
        <w:rPr>
          <w:lang w:val="en-AU"/>
        </w:rPr>
        <w:t xml:space="preserve">‘Specialist Disability Accommodation’ </w:t>
      </w:r>
      <w:r w:rsidRPr="00FC5E27">
        <w:rPr>
          <w:lang w:val="en-AU"/>
        </w:rPr>
        <w:t>Registration Category with corresponding suitability requirements</w:t>
      </w:r>
      <w:r w:rsidR="00FC5E27">
        <w:rPr>
          <w:lang w:val="en-AU"/>
        </w:rPr>
        <w:t xml:space="preserve"> that must be met</w:t>
      </w:r>
      <w:r w:rsidRPr="00FC5E27">
        <w:rPr>
          <w:lang w:val="en-AU"/>
        </w:rPr>
        <w:t>.</w:t>
      </w:r>
    </w:p>
    <w:p w:rsidR="002D6726" w:rsidRPr="00FC5E27" w:rsidRDefault="002D6726" w:rsidP="002D6726">
      <w:pPr>
        <w:rPr>
          <w:lang w:val="en-AU"/>
        </w:rPr>
      </w:pPr>
      <w:r w:rsidRPr="00FC5E27">
        <w:rPr>
          <w:lang w:val="en-AU"/>
        </w:rPr>
        <w:t xml:space="preserve">In addition, a separate </w:t>
      </w:r>
      <w:r w:rsidR="002B33AD">
        <w:rPr>
          <w:lang w:val="en-AU"/>
        </w:rPr>
        <w:t>d</w:t>
      </w:r>
      <w:r w:rsidRPr="00FC5E27">
        <w:rPr>
          <w:lang w:val="en-AU"/>
        </w:rPr>
        <w:t xml:space="preserve">welling </w:t>
      </w:r>
      <w:r w:rsidR="002B33AD">
        <w:rPr>
          <w:lang w:val="en-AU"/>
        </w:rPr>
        <w:t>e</w:t>
      </w:r>
      <w:r w:rsidRPr="00FC5E27">
        <w:rPr>
          <w:lang w:val="en-AU"/>
        </w:rPr>
        <w:t>nrolment is required to ensure data on the individual dwellings through which SDA supports will be provided are collected and that the SDA provider makes declarations on a dwelling by dwelling basis.</w:t>
      </w:r>
    </w:p>
    <w:p w:rsidR="002D6726" w:rsidRPr="0069103E" w:rsidRDefault="002D6726" w:rsidP="002D6726">
      <w:pPr>
        <w:pStyle w:val="CommentText"/>
        <w:spacing w:after="120" w:line="288" w:lineRule="auto"/>
        <w:rPr>
          <w:rFonts w:ascii="Arial" w:hAnsi="Arial" w:cs="Arial"/>
          <w:sz w:val="22"/>
          <w:szCs w:val="22"/>
        </w:rPr>
      </w:pPr>
      <w:r w:rsidRPr="0069103E">
        <w:rPr>
          <w:rFonts w:ascii="Arial" w:hAnsi="Arial" w:cs="Arial"/>
          <w:sz w:val="22"/>
          <w:szCs w:val="22"/>
        </w:rPr>
        <w:t>In summary, to receive SDA Benchmark Price payments, SDA providers will be required to:</w:t>
      </w:r>
    </w:p>
    <w:p w:rsidR="002D6726" w:rsidRPr="00FC5E27" w:rsidRDefault="002D6726" w:rsidP="008045C8">
      <w:pPr>
        <w:pStyle w:val="CommentText"/>
        <w:numPr>
          <w:ilvl w:val="0"/>
          <w:numId w:val="22"/>
        </w:numPr>
        <w:spacing w:after="120" w:line="288" w:lineRule="auto"/>
        <w:rPr>
          <w:rFonts w:ascii="Arial" w:hAnsi="Arial" w:cs="Arial"/>
          <w:sz w:val="22"/>
          <w:szCs w:val="22"/>
        </w:rPr>
      </w:pPr>
      <w:r w:rsidRPr="00AA44FB">
        <w:rPr>
          <w:rFonts w:ascii="Arial" w:hAnsi="Arial" w:cs="Arial"/>
          <w:sz w:val="22"/>
          <w:szCs w:val="22"/>
        </w:rPr>
        <w:t>Register as a provider with the Agency and sign a Declaration of Suitability, which will include the provider’s agreement</w:t>
      </w:r>
      <w:r w:rsidRPr="005C4E27">
        <w:rPr>
          <w:rFonts w:ascii="Arial" w:hAnsi="Arial" w:cs="Arial"/>
          <w:sz w:val="22"/>
          <w:szCs w:val="22"/>
        </w:rPr>
        <w:t xml:space="preserve"> to comply with the Terms of Business, including Quality and Safeguard Working Arrangements as applied under the relevant existing State or Territory legislation</w:t>
      </w:r>
      <w:r w:rsidR="00FC5E27">
        <w:rPr>
          <w:rFonts w:ascii="Arial" w:hAnsi="Arial" w:cs="Arial"/>
          <w:sz w:val="22"/>
          <w:szCs w:val="22"/>
        </w:rPr>
        <w:t>.</w:t>
      </w:r>
      <w:r w:rsidRPr="00FC5E27">
        <w:rPr>
          <w:rFonts w:ascii="Arial" w:hAnsi="Arial" w:cs="Arial"/>
          <w:sz w:val="22"/>
          <w:szCs w:val="22"/>
        </w:rPr>
        <w:t xml:space="preserve"> </w:t>
      </w:r>
    </w:p>
    <w:p w:rsidR="002D6726" w:rsidRPr="00FC5E27" w:rsidRDefault="002D6726" w:rsidP="008045C8">
      <w:pPr>
        <w:pStyle w:val="CommentText"/>
        <w:numPr>
          <w:ilvl w:val="0"/>
          <w:numId w:val="22"/>
        </w:numPr>
        <w:spacing w:after="120" w:line="288" w:lineRule="auto"/>
        <w:rPr>
          <w:rFonts w:ascii="Arial" w:hAnsi="Arial" w:cs="Arial"/>
          <w:sz w:val="22"/>
          <w:szCs w:val="22"/>
        </w:rPr>
      </w:pPr>
      <w:r w:rsidRPr="00FC5E27">
        <w:rPr>
          <w:rFonts w:ascii="Arial" w:hAnsi="Arial" w:cs="Arial"/>
          <w:sz w:val="22"/>
          <w:szCs w:val="22"/>
        </w:rPr>
        <w:t>Add an SDA registration category through the provider portal</w:t>
      </w:r>
      <w:r w:rsidR="00FC5E27">
        <w:rPr>
          <w:rFonts w:ascii="Arial" w:hAnsi="Arial" w:cs="Arial"/>
          <w:sz w:val="22"/>
          <w:szCs w:val="22"/>
        </w:rPr>
        <w:t>.</w:t>
      </w:r>
    </w:p>
    <w:p w:rsidR="002D6726" w:rsidRPr="0069103E" w:rsidRDefault="002D6726" w:rsidP="008045C8">
      <w:pPr>
        <w:pStyle w:val="CommentText"/>
        <w:numPr>
          <w:ilvl w:val="0"/>
          <w:numId w:val="22"/>
        </w:numPr>
        <w:spacing w:after="240" w:line="288" w:lineRule="auto"/>
        <w:rPr>
          <w:rFonts w:ascii="Arial" w:hAnsi="Arial" w:cs="Arial"/>
          <w:sz w:val="22"/>
          <w:szCs w:val="22"/>
        </w:rPr>
      </w:pPr>
      <w:r w:rsidRPr="0069103E">
        <w:rPr>
          <w:rFonts w:ascii="Arial" w:hAnsi="Arial" w:cs="Arial"/>
          <w:sz w:val="22"/>
          <w:szCs w:val="22"/>
        </w:rPr>
        <w:t xml:space="preserve">Provide a </w:t>
      </w:r>
      <w:r w:rsidR="002B33AD">
        <w:rPr>
          <w:rFonts w:ascii="Arial" w:hAnsi="Arial" w:cs="Arial"/>
          <w:sz w:val="22"/>
          <w:szCs w:val="22"/>
        </w:rPr>
        <w:t>d</w:t>
      </w:r>
      <w:r w:rsidRPr="0069103E">
        <w:rPr>
          <w:rFonts w:ascii="Arial" w:hAnsi="Arial" w:cs="Arial"/>
          <w:sz w:val="22"/>
          <w:szCs w:val="22"/>
        </w:rPr>
        <w:t xml:space="preserve">welling </w:t>
      </w:r>
      <w:r w:rsidR="002B33AD">
        <w:rPr>
          <w:rFonts w:ascii="Arial" w:hAnsi="Arial" w:cs="Arial"/>
          <w:sz w:val="22"/>
          <w:szCs w:val="22"/>
        </w:rPr>
        <w:t>e</w:t>
      </w:r>
      <w:r w:rsidRPr="0069103E">
        <w:rPr>
          <w:rFonts w:ascii="Arial" w:hAnsi="Arial" w:cs="Arial"/>
          <w:sz w:val="22"/>
          <w:szCs w:val="22"/>
        </w:rPr>
        <w:t xml:space="preserve">nrolment for each SDA dwelling. </w:t>
      </w:r>
    </w:p>
    <w:p w:rsidR="002D6726" w:rsidRPr="00AA44FB" w:rsidRDefault="002D6726" w:rsidP="002D6726">
      <w:pPr>
        <w:pStyle w:val="CommentText"/>
        <w:spacing w:after="120" w:line="288" w:lineRule="auto"/>
        <w:rPr>
          <w:rFonts w:ascii="Arial" w:hAnsi="Arial" w:cs="Arial"/>
          <w:sz w:val="22"/>
          <w:szCs w:val="22"/>
        </w:rPr>
      </w:pPr>
      <w:r w:rsidRPr="00AA44FB">
        <w:rPr>
          <w:rFonts w:ascii="Arial" w:hAnsi="Arial" w:cs="Arial"/>
          <w:sz w:val="22"/>
          <w:szCs w:val="22"/>
        </w:rPr>
        <w:t>SDA providers may also be required to provide evidence and attestations at different points throughout the process.</w:t>
      </w:r>
    </w:p>
    <w:p w:rsidR="002D6726" w:rsidRPr="004C01F6" w:rsidRDefault="00E27807" w:rsidP="002D6726">
      <w:pPr>
        <w:rPr>
          <w:lang w:val="en-AU"/>
        </w:rPr>
      </w:pPr>
      <w:r w:rsidRPr="00996597">
        <w:rPr>
          <w:lang w:val="en-AU"/>
        </w:rPr>
        <w:t>For details</w:t>
      </w:r>
      <w:r>
        <w:rPr>
          <w:lang w:val="en-AU"/>
        </w:rPr>
        <w:t xml:space="preserve"> about the provider registration process and updates on</w:t>
      </w:r>
      <w:r w:rsidRPr="004F7903">
        <w:rPr>
          <w:lang w:val="en-AU"/>
        </w:rPr>
        <w:t xml:space="preserve"> </w:t>
      </w:r>
      <w:r>
        <w:rPr>
          <w:lang w:val="en-AU"/>
        </w:rPr>
        <w:t xml:space="preserve">the </w:t>
      </w:r>
      <w:r w:rsidRPr="004F7903">
        <w:rPr>
          <w:lang w:val="en-AU"/>
        </w:rPr>
        <w:t xml:space="preserve">dwelling enrolment process </w:t>
      </w:r>
      <w:r>
        <w:rPr>
          <w:lang w:val="en-AU"/>
        </w:rPr>
        <w:t>for SDA</w:t>
      </w:r>
      <w:r w:rsidRPr="00996597">
        <w:rPr>
          <w:lang w:val="en-AU"/>
        </w:rPr>
        <w:t xml:space="preserve"> </w:t>
      </w:r>
      <w:r w:rsidR="00324A75">
        <w:rPr>
          <w:lang w:val="en-AU"/>
        </w:rPr>
        <w:t xml:space="preserve">will be </w:t>
      </w:r>
      <w:r w:rsidR="00B36CA8">
        <w:rPr>
          <w:lang w:val="en-AU"/>
        </w:rPr>
        <w:t xml:space="preserve">made </w:t>
      </w:r>
      <w:r w:rsidR="00324A75">
        <w:rPr>
          <w:lang w:val="en-AU"/>
        </w:rPr>
        <w:t xml:space="preserve">available on the </w:t>
      </w:r>
      <w:r w:rsidRPr="00996597">
        <w:rPr>
          <w:lang w:val="en-AU"/>
        </w:rPr>
        <w:t>NDIA website.</w:t>
      </w:r>
    </w:p>
    <w:p w:rsidR="004A0905" w:rsidRPr="00624FF2" w:rsidRDefault="004A0905" w:rsidP="00CB2072">
      <w:pPr>
        <w:pStyle w:val="Heading4"/>
        <w:keepNext/>
        <w:keepLines/>
        <w:ind w:left="720"/>
      </w:pPr>
      <w:r w:rsidRPr="00E22DE1">
        <w:rPr>
          <w:lang w:val="en-AU"/>
        </w:rPr>
        <w:t>Investment by participants and families</w:t>
      </w:r>
    </w:p>
    <w:p w:rsidR="004A0905" w:rsidRPr="00E22DE1" w:rsidRDefault="004A0905" w:rsidP="004A0905">
      <w:pPr>
        <w:rPr>
          <w:lang w:val="en-AU"/>
        </w:rPr>
      </w:pPr>
      <w:r w:rsidRPr="00E22DE1">
        <w:rPr>
          <w:lang w:val="en-AU"/>
        </w:rPr>
        <w:t>Participants and their families can register as SDA providers under the same terms and conditions as any other SDA provider. In order to enrol a property as an SDA dwelling, the dwelling must comply with</w:t>
      </w:r>
      <w:r w:rsidR="007E069D">
        <w:rPr>
          <w:lang w:val="en-AU"/>
        </w:rPr>
        <w:t xml:space="preserve"> SDA requirements. Family homes</w:t>
      </w:r>
      <w:r w:rsidRPr="00E22DE1">
        <w:rPr>
          <w:lang w:val="en-AU"/>
        </w:rPr>
        <w:t xml:space="preserve"> will typically not be considered eligible for SDA payments. Participants can work with the Agency to identify home modification funding to assist with modifications to family homes. </w:t>
      </w:r>
    </w:p>
    <w:p w:rsidR="004A0905" w:rsidRPr="00E22DE1" w:rsidRDefault="004A0905" w:rsidP="004A0905">
      <w:pPr>
        <w:rPr>
          <w:lang w:val="en-AU"/>
        </w:rPr>
      </w:pPr>
      <w:r w:rsidRPr="00E22DE1">
        <w:rPr>
          <w:lang w:val="en-AU"/>
        </w:rPr>
        <w:t xml:space="preserve">If participants or their families construct or purchase a property from which SDA is to be provided then, as long as the property meets all of the requirements to receive SDA funding, they will be able to receive SDA Benchmark Price payments for each participant </w:t>
      </w:r>
      <w:r w:rsidR="00806B77">
        <w:rPr>
          <w:lang w:val="en-AU"/>
        </w:rPr>
        <w:t xml:space="preserve">with SDA funding in their plan </w:t>
      </w:r>
      <w:r w:rsidRPr="00E22DE1">
        <w:rPr>
          <w:lang w:val="en-AU"/>
        </w:rPr>
        <w:t>who resides at the property.</w:t>
      </w:r>
    </w:p>
    <w:p w:rsidR="004A0905" w:rsidRPr="00E22DE1" w:rsidRDefault="004A0905" w:rsidP="004A0905">
      <w:pPr>
        <w:rPr>
          <w:lang w:val="en-AU"/>
        </w:rPr>
      </w:pPr>
      <w:r w:rsidRPr="00E22DE1">
        <w:rPr>
          <w:lang w:val="en-AU"/>
        </w:rPr>
        <w:t>Participants who self-manage their SDA funding may also be able to receive SDA funding for a property that they own and live in. As with all SDA payments, funding will only be available if the property meets all of the requirements to receive SDA funding, including that the dwelling is enrolled with the Agency. It is important to remember that the SDA funding a participant receives in their plan will be determined by what is considered reasonable and necessary based on their needs.</w:t>
      </w:r>
    </w:p>
    <w:p w:rsidR="004A0905" w:rsidRPr="00E22DE1" w:rsidRDefault="004A0905" w:rsidP="004A0905">
      <w:pPr>
        <w:rPr>
          <w:lang w:val="en-AU"/>
        </w:rPr>
      </w:pPr>
      <w:r w:rsidRPr="00E22DE1">
        <w:rPr>
          <w:lang w:val="en-AU"/>
        </w:rPr>
        <w:lastRenderedPageBreak/>
        <w:t>Unlike other SDA providers and participants, a participant who lives in their own SDA property will not be required to have a written agreement in place and will be able to decide how much of their own income and the SDA payments will be contributed to paying down loans or other financing costs.</w:t>
      </w:r>
    </w:p>
    <w:p w:rsidR="004A0905" w:rsidRPr="00E22DE1" w:rsidRDefault="004A0905" w:rsidP="004A0905">
      <w:pPr>
        <w:rPr>
          <w:lang w:val="en-AU"/>
        </w:rPr>
      </w:pPr>
      <w:r w:rsidRPr="00E22DE1">
        <w:rPr>
          <w:lang w:val="en-AU"/>
        </w:rPr>
        <w:t xml:space="preserve">In all cases, including self-managing participants, SDA Benchmark Pricing payments will only be available for dwellings that are enrolled with the Agency. SDA Benchmark Pricing payments cannot be ‘cashed out’ and used for accommodation which is available through the non-SDA housing market. SDA payments are intended for those who require a specialist housing solution, and allowing SDA payments to flow to the general market would not stimulate increased supply of specialist housing, or adequately meet the needs of participants for whom SDA is a reasonable and necessary support. </w:t>
      </w:r>
    </w:p>
    <w:p w:rsidR="004A0905" w:rsidRPr="00E22DE1" w:rsidRDefault="004A0905" w:rsidP="004A0905">
      <w:pPr>
        <w:rPr>
          <w:lang w:val="en-AU"/>
        </w:rPr>
      </w:pPr>
      <w:r w:rsidRPr="00E22DE1">
        <w:rPr>
          <w:lang w:val="en-AU"/>
        </w:rPr>
        <w:t>Family members who construct or purchase an SDA property will need to meet all of the obligations that apply to any other SDA provider, including that there be a written agreement with the participant, unless the SDA provider is also the participant’s representative.</w:t>
      </w:r>
    </w:p>
    <w:p w:rsidR="004A0905" w:rsidRPr="00E22DE1" w:rsidRDefault="004A0905" w:rsidP="004A0905">
      <w:pPr>
        <w:rPr>
          <w:lang w:val="en-AU"/>
        </w:rPr>
      </w:pPr>
      <w:r w:rsidRPr="00E22DE1">
        <w:rPr>
          <w:lang w:val="en-AU"/>
        </w:rPr>
        <w:t xml:space="preserve">The development of SDA Benchmark Prices represents a significant step toward assisting potential investors, including participants and their families, to meet the cost of financing an SDA property. In most cases, the income generated by SDA Benchmark Prices plus RRC from participants is expected to be significantly higher than the market rent for properties of a similar value. </w:t>
      </w:r>
    </w:p>
    <w:p w:rsidR="004A0905" w:rsidRPr="005C4E27" w:rsidRDefault="004A0905" w:rsidP="004A0905">
      <w:pPr>
        <w:rPr>
          <w:lang w:val="en-AU"/>
        </w:rPr>
      </w:pPr>
      <w:r w:rsidRPr="00E22DE1">
        <w:rPr>
          <w:lang w:val="en-AU"/>
        </w:rPr>
        <w:t>The SDA Benchmark Price payments may also be a consideration for financial institutions when approving financing for a property. However, as the payments will only continue as long as one or more participants reside at the property, potential investors should seek independent financial advice regarding how or if the SDA Benchmark Price payments will affect financing for the property.</w:t>
      </w:r>
    </w:p>
    <w:p w:rsidR="002D6726" w:rsidRPr="00294EE7" w:rsidRDefault="002D6726" w:rsidP="00CB2072">
      <w:pPr>
        <w:pStyle w:val="Heading4"/>
        <w:keepNext/>
        <w:keepLines/>
        <w:ind w:left="720"/>
        <w:rPr>
          <w:lang w:val="en-AU"/>
        </w:rPr>
      </w:pPr>
      <w:r w:rsidRPr="00294EE7">
        <w:rPr>
          <w:lang w:val="en-AU"/>
        </w:rPr>
        <w:t>Terms of Business for SDA</w:t>
      </w:r>
    </w:p>
    <w:p w:rsidR="002D6726" w:rsidRPr="00187AFC" w:rsidRDefault="002D6726" w:rsidP="002D6726">
      <w:pPr>
        <w:rPr>
          <w:lang w:val="en-AU"/>
        </w:rPr>
      </w:pPr>
      <w:r w:rsidRPr="00FC5E27">
        <w:rPr>
          <w:lang w:val="en-AU"/>
        </w:rPr>
        <w:t xml:space="preserve">The Terms of Business will include provisions specific to the provision of SDA.  Those SDA </w:t>
      </w:r>
      <w:r w:rsidRPr="00187AFC">
        <w:rPr>
          <w:lang w:val="en-AU"/>
        </w:rPr>
        <w:t xml:space="preserve">specific provisions will include: </w:t>
      </w:r>
    </w:p>
    <w:p w:rsidR="002D6726" w:rsidRPr="00187AFC" w:rsidRDefault="002D6726" w:rsidP="008045C8">
      <w:pPr>
        <w:numPr>
          <w:ilvl w:val="0"/>
          <w:numId w:val="30"/>
        </w:numPr>
        <w:rPr>
          <w:lang w:val="en-AU"/>
        </w:rPr>
      </w:pPr>
      <w:r w:rsidRPr="00187AFC" w:rsidDel="00B52EFD">
        <w:rPr>
          <w:lang w:val="en-AU"/>
        </w:rPr>
        <w:t xml:space="preserve">A </w:t>
      </w:r>
      <w:r w:rsidR="00187AFC" w:rsidRPr="00187AFC">
        <w:rPr>
          <w:lang w:val="en-AU"/>
        </w:rPr>
        <w:t>service</w:t>
      </w:r>
      <w:r w:rsidR="00187AFC" w:rsidRPr="00187AFC" w:rsidDel="00B52EFD">
        <w:rPr>
          <w:lang w:val="en-AU"/>
        </w:rPr>
        <w:t xml:space="preserve"> </w:t>
      </w:r>
      <w:r w:rsidRPr="00187AFC" w:rsidDel="00B52EFD">
        <w:rPr>
          <w:lang w:val="en-AU"/>
        </w:rPr>
        <w:t xml:space="preserve">agreement with participants </w:t>
      </w:r>
      <w:r w:rsidRPr="00187AFC">
        <w:rPr>
          <w:lang w:val="en-AU"/>
        </w:rPr>
        <w:t xml:space="preserve">in accordance with </w:t>
      </w:r>
      <w:r w:rsidRPr="00187AFC" w:rsidDel="00B52EFD">
        <w:rPr>
          <w:lang w:val="en-AU"/>
        </w:rPr>
        <w:t xml:space="preserve">Section </w:t>
      </w:r>
      <w:r w:rsidR="00CD4D3E">
        <w:rPr>
          <w:lang w:val="en-AU"/>
        </w:rPr>
        <w:fldChar w:fldCharType="begin"/>
      </w:r>
      <w:r w:rsidR="00CD4D3E">
        <w:rPr>
          <w:lang w:val="en-AU"/>
        </w:rPr>
        <w:instrText xml:space="preserve"> REF _Ref452548080 \r \h </w:instrText>
      </w:r>
      <w:r w:rsidR="00CD4D3E">
        <w:rPr>
          <w:lang w:val="en-AU"/>
        </w:rPr>
      </w:r>
      <w:r w:rsidR="00CD4D3E">
        <w:rPr>
          <w:lang w:val="en-AU"/>
        </w:rPr>
        <w:fldChar w:fldCharType="separate"/>
      </w:r>
      <w:r w:rsidR="006C6F0B">
        <w:rPr>
          <w:lang w:val="en-AU"/>
        </w:rPr>
        <w:t>2.2.5</w:t>
      </w:r>
      <w:r w:rsidR="00CD4D3E">
        <w:rPr>
          <w:lang w:val="en-AU"/>
        </w:rPr>
        <w:fldChar w:fldCharType="end"/>
      </w:r>
      <w:r w:rsidR="00CD4D3E">
        <w:rPr>
          <w:lang w:val="en-AU"/>
        </w:rPr>
        <w:t>.</w:t>
      </w:r>
    </w:p>
    <w:p w:rsidR="002D6726" w:rsidRPr="00187AFC" w:rsidRDefault="002D6726" w:rsidP="008045C8">
      <w:pPr>
        <w:numPr>
          <w:ilvl w:val="0"/>
          <w:numId w:val="30"/>
        </w:numPr>
        <w:rPr>
          <w:lang w:val="en-AU"/>
        </w:rPr>
      </w:pPr>
      <w:r w:rsidRPr="00187AFC">
        <w:rPr>
          <w:lang w:val="en-AU"/>
        </w:rPr>
        <w:t>The provider must not charge participants more than the RRC outlined in Section</w:t>
      </w:r>
      <w:r w:rsidR="001C4544">
        <w:rPr>
          <w:lang w:val="en-AU"/>
        </w:rPr>
        <w:t xml:space="preserve"> </w:t>
      </w:r>
      <w:r w:rsidR="001C4544">
        <w:rPr>
          <w:lang w:val="en-AU"/>
        </w:rPr>
        <w:fldChar w:fldCharType="begin"/>
      </w:r>
      <w:r w:rsidR="001C4544">
        <w:rPr>
          <w:lang w:val="en-AU"/>
        </w:rPr>
        <w:instrText xml:space="preserve"> REF _Ref452471470 \r \h </w:instrText>
      </w:r>
      <w:r w:rsidR="001C4544">
        <w:rPr>
          <w:lang w:val="en-AU"/>
        </w:rPr>
      </w:r>
      <w:r w:rsidR="001C4544">
        <w:rPr>
          <w:lang w:val="en-AU"/>
        </w:rPr>
        <w:fldChar w:fldCharType="separate"/>
      </w:r>
      <w:r w:rsidR="006C6F0B">
        <w:rPr>
          <w:lang w:val="en-AU"/>
        </w:rPr>
        <w:t>2.2.1</w:t>
      </w:r>
      <w:r w:rsidR="001C4544">
        <w:rPr>
          <w:lang w:val="en-AU"/>
        </w:rPr>
        <w:fldChar w:fldCharType="end"/>
      </w:r>
      <w:r w:rsidRPr="00187AFC">
        <w:rPr>
          <w:lang w:val="en-AU"/>
        </w:rPr>
        <w:t>.</w:t>
      </w:r>
    </w:p>
    <w:p w:rsidR="002D6726" w:rsidRPr="00187AFC" w:rsidRDefault="002D6726" w:rsidP="008045C8">
      <w:pPr>
        <w:numPr>
          <w:ilvl w:val="0"/>
          <w:numId w:val="30"/>
        </w:numPr>
        <w:rPr>
          <w:lang w:val="en-AU"/>
        </w:rPr>
      </w:pPr>
      <w:r w:rsidRPr="00187AFC">
        <w:rPr>
          <w:lang w:val="en-AU"/>
        </w:rPr>
        <w:t>Other matters</w:t>
      </w:r>
      <w:r w:rsidR="00E851E5" w:rsidRPr="00187AFC">
        <w:rPr>
          <w:lang w:val="en-AU"/>
        </w:rPr>
        <w:t xml:space="preserve"> as</w:t>
      </w:r>
      <w:r w:rsidRPr="00187AFC">
        <w:rPr>
          <w:lang w:val="en-AU"/>
        </w:rPr>
        <w:t xml:space="preserve"> determined by the Agency.</w:t>
      </w:r>
    </w:p>
    <w:p w:rsidR="002D6726" w:rsidRPr="00294EE7" w:rsidRDefault="002D6726" w:rsidP="002D6726">
      <w:pPr>
        <w:rPr>
          <w:lang w:val="en-AU"/>
        </w:rPr>
      </w:pPr>
      <w:r w:rsidRPr="00187AFC">
        <w:rPr>
          <w:lang w:val="en-AU"/>
        </w:rPr>
        <w:t>The Terms of Business may be updated or modified by th</w:t>
      </w:r>
      <w:r w:rsidRPr="00294EE7">
        <w:rPr>
          <w:lang w:val="en-AU"/>
        </w:rPr>
        <w:t>e Agency from time to time.</w:t>
      </w:r>
    </w:p>
    <w:p w:rsidR="002D6726" w:rsidRPr="00294EE7" w:rsidRDefault="002D6726" w:rsidP="00CB2072">
      <w:pPr>
        <w:pStyle w:val="Heading4"/>
        <w:keepNext/>
        <w:keepLines/>
        <w:ind w:left="720"/>
        <w:rPr>
          <w:lang w:val="en-AU"/>
        </w:rPr>
      </w:pPr>
      <w:r w:rsidRPr="00294EE7">
        <w:rPr>
          <w:lang w:val="en-AU"/>
        </w:rPr>
        <w:t xml:space="preserve">Dwelling </w:t>
      </w:r>
      <w:r w:rsidR="00E851E5">
        <w:rPr>
          <w:lang w:val="en-AU"/>
        </w:rPr>
        <w:t>e</w:t>
      </w:r>
      <w:r w:rsidRPr="00294EE7">
        <w:rPr>
          <w:lang w:val="en-AU"/>
        </w:rPr>
        <w:t>nrolment process</w:t>
      </w:r>
    </w:p>
    <w:p w:rsidR="002D6726" w:rsidRPr="00FC5E27" w:rsidRDefault="002D6726" w:rsidP="002D6726">
      <w:pPr>
        <w:rPr>
          <w:lang w:val="en-AU"/>
        </w:rPr>
      </w:pPr>
      <w:r w:rsidRPr="00FC5E27">
        <w:rPr>
          <w:lang w:val="en-AU"/>
        </w:rPr>
        <w:t xml:space="preserve">The </w:t>
      </w:r>
      <w:r w:rsidR="00E851E5">
        <w:rPr>
          <w:lang w:val="en-AU"/>
        </w:rPr>
        <w:t>d</w:t>
      </w:r>
      <w:r w:rsidRPr="00FC5E27">
        <w:rPr>
          <w:lang w:val="en-AU"/>
        </w:rPr>
        <w:t xml:space="preserve">welling </w:t>
      </w:r>
      <w:r w:rsidR="00E851E5">
        <w:rPr>
          <w:lang w:val="en-AU"/>
        </w:rPr>
        <w:t>e</w:t>
      </w:r>
      <w:r w:rsidRPr="00FC5E27">
        <w:rPr>
          <w:lang w:val="en-AU"/>
        </w:rPr>
        <w:t>nrolment process is an SDA specific requirement that sits alongside the registration process for SDA providers.</w:t>
      </w:r>
    </w:p>
    <w:p w:rsidR="002D6726" w:rsidRPr="0069103E" w:rsidRDefault="002D6726" w:rsidP="002D6726">
      <w:pPr>
        <w:rPr>
          <w:lang w:val="en-AU"/>
        </w:rPr>
      </w:pPr>
      <w:r w:rsidRPr="00FC5E27">
        <w:rPr>
          <w:lang w:val="en-AU"/>
        </w:rPr>
        <w:lastRenderedPageBreak/>
        <w:t xml:space="preserve">The </w:t>
      </w:r>
      <w:r w:rsidR="00E851E5">
        <w:rPr>
          <w:lang w:val="en-AU"/>
        </w:rPr>
        <w:t>d</w:t>
      </w:r>
      <w:r w:rsidRPr="00FC5E27">
        <w:rPr>
          <w:lang w:val="en-AU"/>
        </w:rPr>
        <w:t xml:space="preserve">welling </w:t>
      </w:r>
      <w:r w:rsidR="00E851E5">
        <w:rPr>
          <w:lang w:val="en-AU"/>
        </w:rPr>
        <w:t>e</w:t>
      </w:r>
      <w:r w:rsidRPr="00FC5E27">
        <w:rPr>
          <w:lang w:val="en-AU"/>
        </w:rPr>
        <w:t>nrolment process allows for information on individual dwellings to be listed and subsequently updated or removed over time. As such, it is functionally designed to minimise admi</w:t>
      </w:r>
      <w:r w:rsidRPr="0069103E">
        <w:rPr>
          <w:lang w:val="en-AU"/>
        </w:rPr>
        <w:t xml:space="preserve">nistrative burden to both SDA providers and the Agency. </w:t>
      </w:r>
    </w:p>
    <w:p w:rsidR="002D6726" w:rsidRPr="00CD197F" w:rsidRDefault="002D6726" w:rsidP="002D6726">
      <w:pPr>
        <w:spacing w:after="120"/>
        <w:rPr>
          <w:lang w:val="en-AU"/>
        </w:rPr>
      </w:pPr>
      <w:r w:rsidRPr="00AA44FB">
        <w:rPr>
          <w:lang w:val="en-AU"/>
        </w:rPr>
        <w:t>Informatio</w:t>
      </w:r>
      <w:r w:rsidRPr="00CD197F">
        <w:rPr>
          <w:lang w:val="en-AU"/>
        </w:rPr>
        <w:t>n required by the Agency for this process serves two purposes:</w:t>
      </w:r>
    </w:p>
    <w:p w:rsidR="002D6726" w:rsidRPr="005C4E27" w:rsidRDefault="00EA7211" w:rsidP="005E0D4B">
      <w:pPr>
        <w:pStyle w:val="ListParagraph"/>
        <w:numPr>
          <w:ilvl w:val="0"/>
          <w:numId w:val="121"/>
        </w:numPr>
        <w:contextualSpacing w:val="0"/>
        <w:rPr>
          <w:lang w:val="en-AU"/>
        </w:rPr>
      </w:pPr>
      <w:r>
        <w:rPr>
          <w:lang w:val="en-AU"/>
        </w:rPr>
        <w:t>t</w:t>
      </w:r>
      <w:r w:rsidR="002D6726" w:rsidRPr="005C4E27">
        <w:rPr>
          <w:lang w:val="en-AU"/>
        </w:rPr>
        <w:t>he data will enable identification of the relevant SDA Benchmark Price that should apply to the dwelling</w:t>
      </w:r>
      <w:r w:rsidR="005E0D4B">
        <w:rPr>
          <w:lang w:val="en-AU"/>
        </w:rPr>
        <w:t>; and</w:t>
      </w:r>
    </w:p>
    <w:p w:rsidR="002D6726" w:rsidRPr="005C4E27" w:rsidRDefault="00EA7211" w:rsidP="005E0D4B">
      <w:pPr>
        <w:pStyle w:val="ListParagraph"/>
        <w:numPr>
          <w:ilvl w:val="0"/>
          <w:numId w:val="121"/>
        </w:numPr>
        <w:contextualSpacing w:val="0"/>
        <w:rPr>
          <w:lang w:val="en-AU"/>
        </w:rPr>
      </w:pPr>
      <w:r>
        <w:rPr>
          <w:lang w:val="en-AU"/>
        </w:rPr>
        <w:t>the information will e</w:t>
      </w:r>
      <w:r w:rsidR="002D6726" w:rsidRPr="005C4E27">
        <w:rPr>
          <w:lang w:val="en-AU"/>
        </w:rPr>
        <w:t>nables plan co-ordinators to better assist participants to choose appropriate SDA supports.</w:t>
      </w:r>
    </w:p>
    <w:p w:rsidR="002D6726" w:rsidRPr="005C4E27" w:rsidRDefault="002D6726" w:rsidP="002D6726">
      <w:pPr>
        <w:spacing w:after="120"/>
        <w:rPr>
          <w:b/>
          <w:lang w:val="en-AU"/>
        </w:rPr>
      </w:pPr>
      <w:r w:rsidRPr="005C4E27">
        <w:rPr>
          <w:b/>
          <w:lang w:val="en-AU"/>
        </w:rPr>
        <w:t xml:space="preserve">Information required for </w:t>
      </w:r>
      <w:r w:rsidR="00E851E5">
        <w:rPr>
          <w:b/>
          <w:lang w:val="en-AU"/>
        </w:rPr>
        <w:t>d</w:t>
      </w:r>
      <w:r w:rsidRPr="005C4E27">
        <w:rPr>
          <w:b/>
          <w:lang w:val="en-AU"/>
        </w:rPr>
        <w:t xml:space="preserve">welling </w:t>
      </w:r>
      <w:r w:rsidR="00E851E5">
        <w:rPr>
          <w:b/>
          <w:lang w:val="en-AU"/>
        </w:rPr>
        <w:t>e</w:t>
      </w:r>
      <w:r w:rsidRPr="005C4E27">
        <w:rPr>
          <w:b/>
          <w:lang w:val="en-AU"/>
        </w:rPr>
        <w:t>nrolment</w:t>
      </w:r>
    </w:p>
    <w:p w:rsidR="002D6726" w:rsidRPr="005C4E27" w:rsidRDefault="002D6726" w:rsidP="004E00CF">
      <w:pPr>
        <w:pStyle w:val="ListParagraph"/>
        <w:numPr>
          <w:ilvl w:val="0"/>
          <w:numId w:val="121"/>
        </w:numPr>
        <w:contextualSpacing w:val="0"/>
        <w:rPr>
          <w:lang w:val="en-AU"/>
        </w:rPr>
      </w:pPr>
      <w:r w:rsidRPr="005C4E27">
        <w:rPr>
          <w:lang w:val="en-AU"/>
        </w:rPr>
        <w:t>Provider identifying information (Provider Number and authorised contact person details)</w:t>
      </w:r>
    </w:p>
    <w:p w:rsidR="002D6726" w:rsidRPr="005C4E27" w:rsidRDefault="002D6726" w:rsidP="004E00CF">
      <w:pPr>
        <w:pStyle w:val="ListParagraph"/>
        <w:numPr>
          <w:ilvl w:val="0"/>
          <w:numId w:val="121"/>
        </w:numPr>
        <w:contextualSpacing w:val="0"/>
        <w:rPr>
          <w:lang w:val="en-AU"/>
        </w:rPr>
      </w:pPr>
      <w:r w:rsidRPr="005C4E27">
        <w:rPr>
          <w:lang w:val="en-AU"/>
        </w:rPr>
        <w:t>Unique address of the dwelling</w:t>
      </w:r>
    </w:p>
    <w:p w:rsidR="002D6726" w:rsidRPr="005C4E27" w:rsidRDefault="002D6726" w:rsidP="004E00CF">
      <w:pPr>
        <w:pStyle w:val="ListParagraph"/>
        <w:numPr>
          <w:ilvl w:val="0"/>
          <w:numId w:val="121"/>
        </w:numPr>
        <w:contextualSpacing w:val="0"/>
        <w:rPr>
          <w:lang w:val="en-AU"/>
        </w:rPr>
      </w:pPr>
      <w:r w:rsidRPr="005C4E27">
        <w:rPr>
          <w:lang w:val="en-AU"/>
        </w:rPr>
        <w:t>SDA region</w:t>
      </w:r>
    </w:p>
    <w:p w:rsidR="002D6726" w:rsidRPr="00786A09" w:rsidRDefault="002D6726" w:rsidP="004E00CF">
      <w:pPr>
        <w:pStyle w:val="ListParagraph"/>
        <w:numPr>
          <w:ilvl w:val="0"/>
          <w:numId w:val="121"/>
        </w:numPr>
        <w:contextualSpacing w:val="0"/>
        <w:rPr>
          <w:lang w:val="en-AU"/>
        </w:rPr>
      </w:pPr>
      <w:r w:rsidRPr="005C4E27">
        <w:rPr>
          <w:lang w:val="en-AU"/>
        </w:rPr>
        <w:t>New</w:t>
      </w:r>
      <w:r w:rsidR="00786A09">
        <w:rPr>
          <w:lang w:val="en-AU"/>
        </w:rPr>
        <w:t xml:space="preserve"> Build</w:t>
      </w:r>
      <w:r w:rsidRPr="00786A09">
        <w:rPr>
          <w:lang w:val="en-AU"/>
        </w:rPr>
        <w:t xml:space="preserve">, Existing </w:t>
      </w:r>
      <w:r w:rsidR="00786A09">
        <w:rPr>
          <w:lang w:val="en-AU"/>
        </w:rPr>
        <w:t xml:space="preserve">Stock </w:t>
      </w:r>
      <w:r w:rsidRPr="00786A09">
        <w:rPr>
          <w:lang w:val="en-AU"/>
        </w:rPr>
        <w:t>or Legacy</w:t>
      </w:r>
      <w:r w:rsidR="00786A09">
        <w:rPr>
          <w:lang w:val="en-AU"/>
        </w:rPr>
        <w:t xml:space="preserve"> Stock</w:t>
      </w:r>
    </w:p>
    <w:p w:rsidR="002D6726" w:rsidRPr="00AA44FB" w:rsidRDefault="002D6726" w:rsidP="004E00CF">
      <w:pPr>
        <w:pStyle w:val="ListParagraph"/>
        <w:numPr>
          <w:ilvl w:val="0"/>
          <w:numId w:val="121"/>
        </w:numPr>
        <w:contextualSpacing w:val="0"/>
        <w:rPr>
          <w:lang w:val="en-AU"/>
        </w:rPr>
      </w:pPr>
      <w:r w:rsidRPr="00AA44FB">
        <w:rPr>
          <w:lang w:val="en-AU"/>
        </w:rPr>
        <w:t xml:space="preserve">SDA </w:t>
      </w:r>
      <w:r w:rsidR="00000601">
        <w:rPr>
          <w:lang w:val="en-AU"/>
        </w:rPr>
        <w:t>b</w:t>
      </w:r>
      <w:r w:rsidRPr="00AA44FB">
        <w:rPr>
          <w:lang w:val="en-AU"/>
        </w:rPr>
        <w:t xml:space="preserve">uilding </w:t>
      </w:r>
      <w:r w:rsidR="00000601">
        <w:rPr>
          <w:lang w:val="en-AU"/>
        </w:rPr>
        <w:t>t</w:t>
      </w:r>
      <w:r w:rsidRPr="00AA44FB">
        <w:rPr>
          <w:lang w:val="en-AU"/>
        </w:rPr>
        <w:t>ype</w:t>
      </w:r>
    </w:p>
    <w:p w:rsidR="002D6726" w:rsidRPr="005C4E27" w:rsidRDefault="002D6726" w:rsidP="004E00CF">
      <w:pPr>
        <w:pStyle w:val="ListParagraph"/>
        <w:numPr>
          <w:ilvl w:val="0"/>
          <w:numId w:val="121"/>
        </w:numPr>
        <w:contextualSpacing w:val="0"/>
        <w:rPr>
          <w:lang w:val="en-AU"/>
        </w:rPr>
      </w:pPr>
      <w:r w:rsidRPr="005C4E27">
        <w:rPr>
          <w:lang w:val="en-AU"/>
        </w:rPr>
        <w:t xml:space="preserve">SDA </w:t>
      </w:r>
      <w:r w:rsidR="00000601">
        <w:rPr>
          <w:lang w:val="en-AU"/>
        </w:rPr>
        <w:t>d</w:t>
      </w:r>
      <w:r w:rsidRPr="005C4E27">
        <w:rPr>
          <w:lang w:val="en-AU"/>
        </w:rPr>
        <w:t xml:space="preserve">esign </w:t>
      </w:r>
      <w:r w:rsidR="00000601">
        <w:rPr>
          <w:lang w:val="en-AU"/>
        </w:rPr>
        <w:t>c</w:t>
      </w:r>
      <w:r w:rsidRPr="005C4E27">
        <w:rPr>
          <w:lang w:val="en-AU"/>
        </w:rPr>
        <w:t>ategory</w:t>
      </w:r>
    </w:p>
    <w:p w:rsidR="002D6726" w:rsidRPr="005C4E27" w:rsidRDefault="002D6726" w:rsidP="004E00CF">
      <w:pPr>
        <w:pStyle w:val="ListParagraph"/>
        <w:numPr>
          <w:ilvl w:val="0"/>
          <w:numId w:val="121"/>
        </w:numPr>
        <w:contextualSpacing w:val="0"/>
        <w:rPr>
          <w:lang w:val="en-AU"/>
        </w:rPr>
      </w:pPr>
      <w:r w:rsidRPr="005C4E27">
        <w:rPr>
          <w:lang w:val="en-AU"/>
        </w:rPr>
        <w:t>Date of first occupancy certification or major renovation</w:t>
      </w:r>
    </w:p>
    <w:p w:rsidR="002D6726" w:rsidRPr="005C4E27" w:rsidRDefault="002D6726" w:rsidP="004E00CF">
      <w:pPr>
        <w:pStyle w:val="ListParagraph"/>
        <w:numPr>
          <w:ilvl w:val="0"/>
          <w:numId w:val="121"/>
        </w:numPr>
        <w:contextualSpacing w:val="0"/>
        <w:rPr>
          <w:lang w:val="en-AU"/>
        </w:rPr>
      </w:pPr>
      <w:r w:rsidRPr="005C4E27">
        <w:rPr>
          <w:lang w:val="en-AU"/>
        </w:rPr>
        <w:t>Maximum number of residents intended to be accommodated at the property</w:t>
      </w:r>
    </w:p>
    <w:p w:rsidR="002D6726" w:rsidRPr="005C4E27" w:rsidRDefault="002D6726" w:rsidP="004E00CF">
      <w:pPr>
        <w:pStyle w:val="ListParagraph"/>
        <w:numPr>
          <w:ilvl w:val="0"/>
          <w:numId w:val="121"/>
        </w:numPr>
        <w:contextualSpacing w:val="0"/>
        <w:rPr>
          <w:lang w:val="en-AU"/>
        </w:rPr>
      </w:pPr>
      <w:r w:rsidRPr="005C4E27">
        <w:rPr>
          <w:lang w:val="en-AU"/>
        </w:rPr>
        <w:t>Provision of OOA</w:t>
      </w:r>
    </w:p>
    <w:p w:rsidR="002D6726" w:rsidRPr="00786A09" w:rsidRDefault="002D6726" w:rsidP="004E00CF">
      <w:pPr>
        <w:pStyle w:val="ListParagraph"/>
        <w:numPr>
          <w:ilvl w:val="0"/>
          <w:numId w:val="121"/>
        </w:numPr>
        <w:contextualSpacing w:val="0"/>
        <w:rPr>
          <w:lang w:val="en-AU"/>
        </w:rPr>
      </w:pPr>
      <w:r w:rsidRPr="005C4E27">
        <w:rPr>
          <w:lang w:val="en-AU"/>
        </w:rPr>
        <w:t>If OOA is available,</w:t>
      </w:r>
      <w:r w:rsidR="00786A09">
        <w:rPr>
          <w:lang w:val="en-AU"/>
        </w:rPr>
        <w:t xml:space="preserve"> and if so,</w:t>
      </w:r>
      <w:r w:rsidRPr="00786A09">
        <w:rPr>
          <w:lang w:val="en-AU"/>
        </w:rPr>
        <w:t xml:space="preserve"> whether any other SDA dwellings share this OOA</w:t>
      </w:r>
    </w:p>
    <w:p w:rsidR="002D6726" w:rsidRPr="00CD197F" w:rsidRDefault="002D6726" w:rsidP="004E00CF">
      <w:pPr>
        <w:pStyle w:val="ListParagraph"/>
        <w:numPr>
          <w:ilvl w:val="0"/>
          <w:numId w:val="121"/>
        </w:numPr>
        <w:contextualSpacing w:val="0"/>
        <w:rPr>
          <w:lang w:val="en-AU"/>
        </w:rPr>
      </w:pPr>
      <w:r w:rsidRPr="00AA44FB">
        <w:rPr>
          <w:lang w:val="en-AU"/>
        </w:rPr>
        <w:t>If fire sprinklers are instal</w:t>
      </w:r>
      <w:r w:rsidRPr="00CD197F">
        <w:rPr>
          <w:lang w:val="en-AU"/>
        </w:rPr>
        <w:t>led throughout the dwelling</w:t>
      </w:r>
    </w:p>
    <w:p w:rsidR="002D6726" w:rsidRPr="00786A09" w:rsidRDefault="002D6726" w:rsidP="004E00CF">
      <w:pPr>
        <w:pStyle w:val="ListParagraph"/>
        <w:numPr>
          <w:ilvl w:val="0"/>
          <w:numId w:val="121"/>
        </w:numPr>
        <w:contextualSpacing w:val="0"/>
        <w:rPr>
          <w:lang w:val="en-AU"/>
        </w:rPr>
      </w:pPr>
      <w:r w:rsidRPr="005C4E27">
        <w:rPr>
          <w:lang w:val="en-AU"/>
        </w:rPr>
        <w:t xml:space="preserve">Provision of an additional breakout room (applies to Robust design </w:t>
      </w:r>
      <w:r w:rsidR="00786A09">
        <w:rPr>
          <w:lang w:val="en-AU"/>
        </w:rPr>
        <w:t xml:space="preserve">category </w:t>
      </w:r>
      <w:r w:rsidRPr="00786A09">
        <w:rPr>
          <w:lang w:val="en-AU"/>
        </w:rPr>
        <w:t>only)</w:t>
      </w:r>
    </w:p>
    <w:p w:rsidR="002D6726" w:rsidRPr="004C01F6" w:rsidRDefault="002D6726" w:rsidP="002D6726">
      <w:pPr>
        <w:spacing w:after="120"/>
        <w:rPr>
          <w:lang w:val="en-AU"/>
        </w:rPr>
      </w:pPr>
      <w:r w:rsidRPr="00AA44FB">
        <w:rPr>
          <w:lang w:val="en-AU"/>
        </w:rPr>
        <w:t>Additional information will be also be sought for New Builds to confirm they are not restricted</w:t>
      </w:r>
      <w:r w:rsidR="00E409E2">
        <w:rPr>
          <w:lang w:val="en-AU"/>
        </w:rPr>
        <w:t xml:space="preserve"> </w:t>
      </w:r>
      <w:r w:rsidR="0093552F">
        <w:rPr>
          <w:lang w:val="en-AU"/>
        </w:rPr>
        <w:t>(</w:t>
      </w:r>
      <w:r w:rsidR="00E409E2">
        <w:rPr>
          <w:lang w:val="en-AU"/>
        </w:rPr>
        <w:t xml:space="preserve">as outlined in </w:t>
      </w:r>
      <w:r w:rsidRPr="00AA44FB">
        <w:rPr>
          <w:lang w:val="en-AU"/>
        </w:rPr>
        <w:t>Section</w:t>
      </w:r>
      <w:r w:rsidR="00E409E2">
        <w:rPr>
          <w:lang w:val="en-AU"/>
        </w:rPr>
        <w:t xml:space="preserve"> </w:t>
      </w:r>
      <w:r w:rsidR="00E409E2">
        <w:rPr>
          <w:lang w:val="en-AU"/>
        </w:rPr>
        <w:fldChar w:fldCharType="begin"/>
      </w:r>
      <w:r w:rsidR="00E409E2">
        <w:rPr>
          <w:lang w:val="en-AU"/>
        </w:rPr>
        <w:instrText xml:space="preserve"> REF _Ref452472164 \r \h </w:instrText>
      </w:r>
      <w:r w:rsidR="00E409E2">
        <w:rPr>
          <w:lang w:val="en-AU"/>
        </w:rPr>
      </w:r>
      <w:r w:rsidR="00E409E2">
        <w:rPr>
          <w:lang w:val="en-AU"/>
        </w:rPr>
        <w:fldChar w:fldCharType="separate"/>
      </w:r>
      <w:r w:rsidR="006C6F0B">
        <w:rPr>
          <w:lang w:val="en-AU"/>
        </w:rPr>
        <w:t>2.3.7</w:t>
      </w:r>
      <w:r w:rsidR="00E409E2">
        <w:rPr>
          <w:lang w:val="en-AU"/>
        </w:rPr>
        <w:fldChar w:fldCharType="end"/>
      </w:r>
      <w:r w:rsidR="0093552F">
        <w:rPr>
          <w:lang w:val="en-AU"/>
        </w:rPr>
        <w:t>)</w:t>
      </w:r>
      <w:r w:rsidRPr="007B7D09">
        <w:rPr>
          <w:lang w:val="en-AU"/>
        </w:rPr>
        <w:t>.</w:t>
      </w:r>
    </w:p>
    <w:p w:rsidR="002D6726" w:rsidRPr="00294EE7" w:rsidRDefault="002D6726" w:rsidP="002D6726">
      <w:pPr>
        <w:keepNext/>
        <w:keepLines/>
        <w:spacing w:after="120"/>
        <w:rPr>
          <w:b/>
          <w:lang w:val="en-AU"/>
        </w:rPr>
      </w:pPr>
      <w:r w:rsidRPr="00294EE7">
        <w:rPr>
          <w:b/>
          <w:lang w:val="en-AU"/>
        </w:rPr>
        <w:t xml:space="preserve">Declaration for </w:t>
      </w:r>
      <w:r w:rsidR="00D63491">
        <w:rPr>
          <w:b/>
          <w:lang w:val="en-AU"/>
        </w:rPr>
        <w:t>e</w:t>
      </w:r>
      <w:r w:rsidRPr="00294EE7">
        <w:rPr>
          <w:b/>
          <w:lang w:val="en-AU"/>
        </w:rPr>
        <w:t>nrolment</w:t>
      </w:r>
    </w:p>
    <w:p w:rsidR="002D6726" w:rsidRPr="0069103E" w:rsidRDefault="002D6726" w:rsidP="002D6726">
      <w:pPr>
        <w:rPr>
          <w:lang w:val="en-AU"/>
        </w:rPr>
      </w:pPr>
      <w:r w:rsidRPr="00FC5E27">
        <w:rPr>
          <w:lang w:val="en-AU"/>
        </w:rPr>
        <w:t xml:space="preserve">The Terms of Business and Declaration of Suitability which providers sign as part of the initial registration process extend to the dwelling enrolment. By submitting information on properties to the Agency via </w:t>
      </w:r>
      <w:r w:rsidR="00786A09">
        <w:rPr>
          <w:lang w:val="en-AU"/>
        </w:rPr>
        <w:t>a</w:t>
      </w:r>
      <w:r w:rsidR="00786A09" w:rsidRPr="00FC5E27">
        <w:rPr>
          <w:lang w:val="en-AU"/>
        </w:rPr>
        <w:t xml:space="preserve"> </w:t>
      </w:r>
      <w:r w:rsidR="00D63491">
        <w:rPr>
          <w:lang w:val="en-AU"/>
        </w:rPr>
        <w:t>d</w:t>
      </w:r>
      <w:r w:rsidRPr="00FC5E27">
        <w:rPr>
          <w:lang w:val="en-AU"/>
        </w:rPr>
        <w:t xml:space="preserve">welling </w:t>
      </w:r>
      <w:r w:rsidR="00D63491">
        <w:rPr>
          <w:lang w:val="en-AU"/>
        </w:rPr>
        <w:t>e</w:t>
      </w:r>
      <w:r w:rsidRPr="00FC5E27">
        <w:rPr>
          <w:lang w:val="en-AU"/>
        </w:rPr>
        <w:t xml:space="preserve">nrolment </w:t>
      </w:r>
      <w:r w:rsidR="00786A09">
        <w:rPr>
          <w:lang w:val="en-AU"/>
        </w:rPr>
        <w:t>f</w:t>
      </w:r>
      <w:r w:rsidRPr="00FC5E27">
        <w:rPr>
          <w:lang w:val="en-AU"/>
        </w:rPr>
        <w:t>orm, the SDA provider will be attesting to the accuracy of the information and that all relevant certifications and written confirmations have been obtained. SDA providers will be required to retain and produce the certific</w:t>
      </w:r>
      <w:r w:rsidRPr="0069103E">
        <w:rPr>
          <w:lang w:val="en-AU"/>
        </w:rPr>
        <w:t>ations and written confirmations if required by the Agency.</w:t>
      </w:r>
    </w:p>
    <w:p w:rsidR="002D6726" w:rsidRPr="0069103E" w:rsidRDefault="002D6726" w:rsidP="00CB2072">
      <w:pPr>
        <w:pStyle w:val="Heading4"/>
        <w:keepNext/>
        <w:keepLines/>
        <w:ind w:left="720"/>
        <w:rPr>
          <w:rFonts w:eastAsiaTheme="minorHAnsi"/>
          <w:lang w:val="en-AU" w:eastAsia="en-US"/>
        </w:rPr>
      </w:pPr>
      <w:r w:rsidRPr="00CB2072">
        <w:rPr>
          <w:lang w:val="en-AU"/>
        </w:rPr>
        <w:lastRenderedPageBreak/>
        <w:t>Maintaining</w:t>
      </w:r>
      <w:r w:rsidRPr="0069103E">
        <w:rPr>
          <w:rFonts w:eastAsiaTheme="minorHAnsi"/>
          <w:lang w:val="en-AU" w:eastAsia="en-US"/>
        </w:rPr>
        <w:t xml:space="preserve"> </w:t>
      </w:r>
      <w:r w:rsidR="00D63491">
        <w:rPr>
          <w:rFonts w:eastAsiaTheme="minorHAnsi"/>
          <w:lang w:val="en-AU" w:eastAsia="en-US"/>
        </w:rPr>
        <w:t>d</w:t>
      </w:r>
      <w:r w:rsidRPr="0069103E">
        <w:rPr>
          <w:rFonts w:eastAsiaTheme="minorHAnsi"/>
          <w:lang w:val="en-AU" w:eastAsia="en-US"/>
        </w:rPr>
        <w:t xml:space="preserve">welling </w:t>
      </w:r>
      <w:r w:rsidR="00D63491">
        <w:rPr>
          <w:rFonts w:eastAsiaTheme="minorHAnsi"/>
          <w:lang w:val="en-AU" w:eastAsia="en-US"/>
        </w:rPr>
        <w:t>e</w:t>
      </w:r>
      <w:r w:rsidRPr="0069103E">
        <w:rPr>
          <w:rFonts w:eastAsiaTheme="minorHAnsi"/>
          <w:lang w:val="en-AU" w:eastAsia="en-US"/>
        </w:rPr>
        <w:t>nrolment</w:t>
      </w:r>
    </w:p>
    <w:p w:rsidR="002D6726" w:rsidRPr="005C4E27" w:rsidRDefault="002D6726" w:rsidP="002D6726">
      <w:pPr>
        <w:spacing w:after="120"/>
        <w:rPr>
          <w:lang w:val="en-AU"/>
        </w:rPr>
      </w:pPr>
      <w:r w:rsidRPr="00AA44FB">
        <w:rPr>
          <w:lang w:val="en-AU"/>
        </w:rPr>
        <w:t xml:space="preserve">To continue to receive SDA funding providers are required to meet the ongoing requirements in relation to SDA, including updates to the dwelling enrolment information if works are undertaken </w:t>
      </w:r>
      <w:r w:rsidRPr="005C4E27">
        <w:rPr>
          <w:lang w:val="en-AU"/>
        </w:rPr>
        <w:t>which alter the design category, building type or suitability of the dwelling to provide SDA.</w:t>
      </w:r>
    </w:p>
    <w:p w:rsidR="002D6726" w:rsidRPr="005C4E27" w:rsidRDefault="002D6726" w:rsidP="002D6726">
      <w:pPr>
        <w:spacing w:after="120"/>
        <w:rPr>
          <w:lang w:val="en-AU"/>
        </w:rPr>
      </w:pPr>
      <w:r w:rsidRPr="005C4E27">
        <w:rPr>
          <w:lang w:val="en-AU"/>
        </w:rPr>
        <w:t xml:space="preserve">Subject to </w:t>
      </w:r>
      <w:r w:rsidR="00D63491">
        <w:rPr>
          <w:lang w:val="en-AU"/>
        </w:rPr>
        <w:t>further review of existing q</w:t>
      </w:r>
      <w:r w:rsidRPr="005C4E27">
        <w:rPr>
          <w:lang w:val="en-AU"/>
        </w:rPr>
        <w:t xml:space="preserve">uality and </w:t>
      </w:r>
      <w:r w:rsidR="00D63491">
        <w:rPr>
          <w:lang w:val="en-AU"/>
        </w:rPr>
        <w:t>s</w:t>
      </w:r>
      <w:r w:rsidRPr="005C4E27">
        <w:rPr>
          <w:lang w:val="en-AU"/>
        </w:rPr>
        <w:t xml:space="preserve">afeguards </w:t>
      </w:r>
      <w:r w:rsidR="00D63491">
        <w:rPr>
          <w:lang w:val="en-AU"/>
        </w:rPr>
        <w:t>arrangements</w:t>
      </w:r>
      <w:r w:rsidRPr="005C4E27">
        <w:rPr>
          <w:lang w:val="en-AU"/>
        </w:rPr>
        <w:t>, an annual attestation from providers may be required by the Agency regarding compliance with ongoing condition and property maintenance requirements. Providers may also be required to</w:t>
      </w:r>
      <w:r w:rsidR="00D63491">
        <w:rPr>
          <w:lang w:val="en-AU"/>
        </w:rPr>
        <w:t xml:space="preserve"> </w:t>
      </w:r>
      <w:r w:rsidRPr="005C4E27">
        <w:rPr>
          <w:lang w:val="en-AU"/>
        </w:rPr>
        <w:t xml:space="preserve">notify the Agency when certain changes are made to the </w:t>
      </w:r>
      <w:r w:rsidR="00D63491">
        <w:rPr>
          <w:lang w:val="en-AU"/>
        </w:rPr>
        <w:t>service</w:t>
      </w:r>
      <w:r w:rsidRPr="005C4E27">
        <w:rPr>
          <w:lang w:val="en-AU"/>
        </w:rPr>
        <w:t xml:space="preserve"> agreement between the participant and the provider.</w:t>
      </w:r>
    </w:p>
    <w:p w:rsidR="002D6726" w:rsidRPr="005C4E27" w:rsidRDefault="002D6726" w:rsidP="00CB2072">
      <w:pPr>
        <w:pStyle w:val="Heading4"/>
        <w:keepNext/>
        <w:keepLines/>
        <w:ind w:left="720"/>
        <w:rPr>
          <w:lang w:val="en-AU"/>
        </w:rPr>
      </w:pPr>
      <w:r w:rsidRPr="005C4E27">
        <w:rPr>
          <w:lang w:val="en-AU"/>
        </w:rPr>
        <w:t>Cost of registration</w:t>
      </w:r>
    </w:p>
    <w:p w:rsidR="002D6726" w:rsidRPr="005C4E27" w:rsidRDefault="002D6726" w:rsidP="002D6726">
      <w:pPr>
        <w:rPr>
          <w:lang w:val="en-AU"/>
        </w:rPr>
      </w:pPr>
      <w:r w:rsidRPr="005C4E27">
        <w:rPr>
          <w:lang w:val="en-AU"/>
        </w:rPr>
        <w:t>The Agency will not charge providers any fees in relation becoming a registered provider or to enrol dwellings. However there may be costs (likely to vary by jurisdiction and property type) which will be borne by the SDA provider. These may include costs related to compliance with local quality and safeguards and proving certification of occupancy</w:t>
      </w:r>
      <w:r w:rsidR="00D76CF6">
        <w:rPr>
          <w:lang w:val="en-AU"/>
        </w:rPr>
        <w:t>, for example</w:t>
      </w:r>
      <w:r w:rsidRPr="005C4E27">
        <w:rPr>
          <w:lang w:val="en-AU"/>
        </w:rPr>
        <w:t>.</w:t>
      </w:r>
    </w:p>
    <w:p w:rsidR="00AD2FC9" w:rsidRPr="00AD2FC9" w:rsidRDefault="00AD2FC9" w:rsidP="00AD2FC9">
      <w:pPr>
        <w:pStyle w:val="Heading4"/>
        <w:keepNext/>
        <w:keepLines/>
        <w:ind w:left="720"/>
        <w:rPr>
          <w:lang w:val="en-AU"/>
        </w:rPr>
      </w:pPr>
      <w:r w:rsidRPr="00AD2FC9">
        <w:rPr>
          <w:lang w:val="en-AU"/>
        </w:rPr>
        <w:t>Payments and administration</w:t>
      </w:r>
    </w:p>
    <w:p w:rsidR="00AD2FC9" w:rsidRPr="00A328F3" w:rsidRDefault="00AD2FC9" w:rsidP="00AD2FC9">
      <w:pPr>
        <w:keepNext/>
        <w:rPr>
          <w:lang w:val="en-AU"/>
        </w:rPr>
      </w:pPr>
      <w:r w:rsidRPr="005C4E27">
        <w:rPr>
          <w:lang w:val="en-AU"/>
        </w:rPr>
        <w:t xml:space="preserve">Consistent with other supports, SDA providers will need to provide information on the legal tax status of their organisation, </w:t>
      </w:r>
      <w:r>
        <w:rPr>
          <w:lang w:val="en-AU"/>
        </w:rPr>
        <w:t>Australian Business Number (</w:t>
      </w:r>
      <w:r w:rsidRPr="00A328F3">
        <w:rPr>
          <w:lang w:val="en-AU"/>
        </w:rPr>
        <w:t>ABN</w:t>
      </w:r>
      <w:r>
        <w:rPr>
          <w:lang w:val="en-AU"/>
        </w:rPr>
        <w:t>)</w:t>
      </w:r>
      <w:r w:rsidRPr="00A328F3">
        <w:rPr>
          <w:lang w:val="en-AU"/>
        </w:rPr>
        <w:t xml:space="preserve"> details and bank account details as part of becoming a registered provider of supports.</w:t>
      </w:r>
    </w:p>
    <w:p w:rsidR="00AD2FC9" w:rsidRPr="00786A09" w:rsidRDefault="00AD2FC9" w:rsidP="00AD2FC9">
      <w:pPr>
        <w:rPr>
          <w:lang w:val="en-AU"/>
        </w:rPr>
      </w:pPr>
      <w:r w:rsidRPr="0069103E">
        <w:rPr>
          <w:lang w:val="en-AU"/>
        </w:rPr>
        <w:t xml:space="preserve">Payments systems will initially require SDA providers to submit a “quote” in relation to </w:t>
      </w:r>
      <w:r w:rsidRPr="00786A09">
        <w:rPr>
          <w:lang w:val="en-AU"/>
        </w:rPr>
        <w:t>SDA services based on the applicable SDA Benchmark Price. The initial validation process may request that the SDA provider information regarding participants residing at the property.</w:t>
      </w:r>
    </w:p>
    <w:p w:rsidR="00AD2FC9" w:rsidRPr="00CD197F" w:rsidRDefault="00AD2FC9" w:rsidP="00AD2FC9">
      <w:pPr>
        <w:rPr>
          <w:lang w:val="en-AU"/>
        </w:rPr>
      </w:pPr>
      <w:r w:rsidRPr="00AA44FB">
        <w:rPr>
          <w:lang w:val="en-AU"/>
        </w:rPr>
        <w:t>The linking of participants to providers and the quotation proc</w:t>
      </w:r>
      <w:r w:rsidRPr="00CD197F">
        <w:rPr>
          <w:lang w:val="en-AU"/>
        </w:rPr>
        <w:t>ess will be facilitated by the Agency during an initial transition period as the allocation of Provider Number</w:t>
      </w:r>
      <w:r>
        <w:rPr>
          <w:lang w:val="en-AU"/>
        </w:rPr>
        <w:t>s</w:t>
      </w:r>
      <w:r w:rsidRPr="00CD197F">
        <w:rPr>
          <w:lang w:val="en-AU"/>
        </w:rPr>
        <w:t>, Participant Numbers and dwelling identifiers will be allocated simultaneously for existing properties entering the Scheme.</w:t>
      </w:r>
    </w:p>
    <w:p w:rsidR="00AD2FC9" w:rsidRPr="005C4E27" w:rsidRDefault="00AD2FC9" w:rsidP="00AD2FC9">
      <w:pPr>
        <w:rPr>
          <w:lang w:val="en-AU"/>
        </w:rPr>
      </w:pPr>
      <w:r w:rsidRPr="005C4E27">
        <w:rPr>
          <w:lang w:val="en-AU"/>
        </w:rPr>
        <w:t xml:space="preserve">After transition, the payments and administration processes will be outlined in the SDA Provider Registration Guidelines. </w:t>
      </w:r>
    </w:p>
    <w:p w:rsidR="00AD2FC9" w:rsidRPr="005C4E27" w:rsidRDefault="00AD2FC9" w:rsidP="00AD2FC9">
      <w:pPr>
        <w:rPr>
          <w:lang w:val="en-AU"/>
        </w:rPr>
      </w:pPr>
      <w:r w:rsidRPr="005C4E27">
        <w:rPr>
          <w:lang w:val="en-AU"/>
        </w:rPr>
        <w:t xml:space="preserve">Once registered (and after 1 July 2016), SDA providers will be able to access the same online payment claim system used for other </w:t>
      </w:r>
      <w:r>
        <w:rPr>
          <w:lang w:val="en-AU"/>
        </w:rPr>
        <w:t>Scheme</w:t>
      </w:r>
      <w:r w:rsidRPr="005C4E27">
        <w:rPr>
          <w:lang w:val="en-AU"/>
        </w:rPr>
        <w:t xml:space="preserve"> supports. SDA supports will appear as a registration category and claims will be able to be made in relation to enrolled dwellings and in relation to individual participants on a monthly basis. In the short term at least, SDA providers are likely to be required to log in to the provider portal each month to submit claims for occupied SDA dwellings in order to process, validate and execute payments. </w:t>
      </w:r>
    </w:p>
    <w:p w:rsidR="00AD2FC9" w:rsidRPr="005C4E27" w:rsidRDefault="00AD2FC9" w:rsidP="00AD2FC9">
      <w:pPr>
        <w:rPr>
          <w:lang w:val="en-AU"/>
        </w:rPr>
      </w:pPr>
      <w:r w:rsidRPr="005C4E27">
        <w:rPr>
          <w:lang w:val="en-AU"/>
        </w:rPr>
        <w:t xml:space="preserve">Where applicable, SDA Benchmark Price payments will be determined by the information included in the </w:t>
      </w:r>
      <w:r>
        <w:rPr>
          <w:lang w:val="en-AU"/>
        </w:rPr>
        <w:t>d</w:t>
      </w:r>
      <w:r w:rsidRPr="005C4E27">
        <w:rPr>
          <w:lang w:val="en-AU"/>
        </w:rPr>
        <w:t xml:space="preserve">welling </w:t>
      </w:r>
      <w:r>
        <w:rPr>
          <w:lang w:val="en-AU"/>
        </w:rPr>
        <w:t>e</w:t>
      </w:r>
      <w:r w:rsidRPr="005C4E27">
        <w:rPr>
          <w:lang w:val="en-AU"/>
        </w:rPr>
        <w:t>nrolment</w:t>
      </w:r>
      <w:r>
        <w:rPr>
          <w:lang w:val="en-AU"/>
        </w:rPr>
        <w:t>.</w:t>
      </w:r>
    </w:p>
    <w:p w:rsidR="00AD2FC9" w:rsidRPr="005C4E27" w:rsidRDefault="00AD2FC9" w:rsidP="00AD2FC9">
      <w:pPr>
        <w:rPr>
          <w:lang w:val="en-AU"/>
        </w:rPr>
      </w:pPr>
      <w:r w:rsidRPr="005C4E27">
        <w:rPr>
          <w:lang w:val="en-AU"/>
        </w:rPr>
        <w:t xml:space="preserve">SDA providers should be aware that the payment made by the Agency does not include any RRC from the participant. SDA providers and participants must make independent </w:t>
      </w:r>
      <w:r w:rsidRPr="005C4E27">
        <w:rPr>
          <w:lang w:val="en-AU"/>
        </w:rPr>
        <w:lastRenderedPageBreak/>
        <w:t>arrangements (through the written agreement between the SDA provider and the participant) for the payment of the RRC and any board charged in relation to non-SDA shared expenses.</w:t>
      </w:r>
    </w:p>
    <w:p w:rsidR="002D6726" w:rsidRPr="005C4E27" w:rsidRDefault="002D6726" w:rsidP="000230AE">
      <w:pPr>
        <w:pStyle w:val="Heading3"/>
        <w:ind w:left="0" w:firstLine="0"/>
      </w:pPr>
      <w:bookmarkStart w:id="35" w:name="_Toc452550410"/>
      <w:r w:rsidRPr="005C4E27">
        <w:t>Managing occupancy</w:t>
      </w:r>
      <w:bookmarkEnd w:id="35"/>
    </w:p>
    <w:p w:rsidR="002D6726" w:rsidRPr="004C01F6" w:rsidRDefault="002D6726" w:rsidP="002D6726">
      <w:pPr>
        <w:rPr>
          <w:lang w:val="en-AU"/>
        </w:rPr>
      </w:pPr>
      <w:r w:rsidRPr="009655D6">
        <w:rPr>
          <w:lang w:val="en-AU"/>
        </w:rPr>
        <w:t xml:space="preserve">Unless otherwise required by local legislation to be via the SIL provider, the </w:t>
      </w:r>
      <w:r w:rsidRPr="007B7D09">
        <w:rPr>
          <w:lang w:val="en-AU"/>
        </w:rPr>
        <w:t>written agreement in relation to the provision of SDA will always be between a participant (or their representative) and an SDA provider (see Section</w:t>
      </w:r>
      <w:r w:rsidR="00CD4D3E">
        <w:rPr>
          <w:lang w:val="en-AU"/>
        </w:rPr>
        <w:t xml:space="preserve"> </w:t>
      </w:r>
      <w:r w:rsidR="00CD4D3E">
        <w:rPr>
          <w:lang w:val="en-AU"/>
        </w:rPr>
        <w:fldChar w:fldCharType="begin"/>
      </w:r>
      <w:r w:rsidR="00CD4D3E">
        <w:rPr>
          <w:lang w:val="en-AU"/>
        </w:rPr>
        <w:instrText xml:space="preserve"> REF _Ref452548129 \r \h </w:instrText>
      </w:r>
      <w:r w:rsidR="00CD4D3E">
        <w:rPr>
          <w:lang w:val="en-AU"/>
        </w:rPr>
      </w:r>
      <w:r w:rsidR="00CD4D3E">
        <w:rPr>
          <w:lang w:val="en-AU"/>
        </w:rPr>
        <w:fldChar w:fldCharType="separate"/>
      </w:r>
      <w:r w:rsidR="006C6F0B">
        <w:rPr>
          <w:lang w:val="en-AU"/>
        </w:rPr>
        <w:t>2.2</w:t>
      </w:r>
      <w:r w:rsidR="00CD4D3E">
        <w:rPr>
          <w:lang w:val="en-AU"/>
        </w:rPr>
        <w:fldChar w:fldCharType="end"/>
      </w:r>
      <w:r w:rsidRPr="007B7D09">
        <w:rPr>
          <w:lang w:val="en-AU"/>
        </w:rPr>
        <w:t>).</w:t>
      </w:r>
      <w:r w:rsidRPr="004C01F6">
        <w:rPr>
          <w:lang w:val="en-AU"/>
        </w:rPr>
        <w:t xml:space="preserve"> </w:t>
      </w:r>
    </w:p>
    <w:p w:rsidR="00FC54BF" w:rsidRDefault="000B13F2" w:rsidP="002D6726">
      <w:pPr>
        <w:rPr>
          <w:lang w:val="en-AU"/>
        </w:rPr>
      </w:pPr>
      <w:r>
        <w:rPr>
          <w:lang w:val="en-AU"/>
        </w:rPr>
        <w:t xml:space="preserve">As </w:t>
      </w:r>
      <w:r w:rsidR="002D6726" w:rsidRPr="00294EE7">
        <w:rPr>
          <w:lang w:val="en-AU"/>
        </w:rPr>
        <w:t xml:space="preserve">agreements will always be between a participant and </w:t>
      </w:r>
      <w:r>
        <w:rPr>
          <w:lang w:val="en-AU"/>
        </w:rPr>
        <w:t>the</w:t>
      </w:r>
      <w:r w:rsidR="002D6726" w:rsidRPr="00294EE7">
        <w:rPr>
          <w:lang w:val="en-AU"/>
        </w:rPr>
        <w:t xml:space="preserve"> SDA provider, the res</w:t>
      </w:r>
      <w:r w:rsidR="002D6726" w:rsidRPr="005B1B19">
        <w:rPr>
          <w:lang w:val="en-AU"/>
        </w:rPr>
        <w:t>ponsibility for occupancy (or ‘vacancy’) management will remain with the SDA provider. In some cases SDA providers may choose to engage a dedicated tenancy manager, or other market</w:t>
      </w:r>
      <w:r w:rsidR="00A328F3">
        <w:rPr>
          <w:lang w:val="en-AU"/>
        </w:rPr>
        <w:t xml:space="preserve"> based</w:t>
      </w:r>
      <w:r w:rsidR="002D6726" w:rsidRPr="005B1B19">
        <w:rPr>
          <w:lang w:val="en-AU"/>
        </w:rPr>
        <w:t xml:space="preserve"> provider who offers these services.</w:t>
      </w:r>
      <w:r w:rsidR="00FC54BF">
        <w:rPr>
          <w:lang w:val="en-AU"/>
        </w:rPr>
        <w:t xml:space="preserve"> </w:t>
      </w:r>
    </w:p>
    <w:p w:rsidR="002D6726" w:rsidRPr="005B1B19" w:rsidRDefault="00FC54BF" w:rsidP="002D6726">
      <w:pPr>
        <w:rPr>
          <w:lang w:val="en-AU"/>
        </w:rPr>
      </w:pPr>
      <w:r>
        <w:rPr>
          <w:lang w:val="en-AU"/>
        </w:rPr>
        <w:t xml:space="preserve">Under the SDA pricing and payments approach, SDA providers will wear the risk of vacancy. Particularly in the case of New Builds, SDA providers will need to consider future demand requirements and ensure properties are appropriate to meet future and not just current needs. </w:t>
      </w:r>
    </w:p>
    <w:p w:rsidR="002D6726" w:rsidRPr="00FC5E27" w:rsidRDefault="002D6726" w:rsidP="002D6726">
      <w:pPr>
        <w:rPr>
          <w:lang w:val="en-AU"/>
        </w:rPr>
      </w:pPr>
      <w:r w:rsidRPr="00FC5E27">
        <w:rPr>
          <w:lang w:val="en-AU"/>
        </w:rPr>
        <w:t xml:space="preserve">When a participant gives notice to vacate an SDA property the SDA provider will be required to notify the Agency. The provider may then advertise the vacancy and the Agency will also make the vacancy information available to participants. </w:t>
      </w:r>
    </w:p>
    <w:p w:rsidR="002D6726" w:rsidRPr="00CD197F" w:rsidRDefault="002D6726" w:rsidP="002D6726">
      <w:pPr>
        <w:rPr>
          <w:lang w:val="en-AU"/>
        </w:rPr>
      </w:pPr>
      <w:r w:rsidRPr="00FC5E27">
        <w:rPr>
          <w:lang w:val="en-AU"/>
        </w:rPr>
        <w:t xml:space="preserve">Once vacancy information is made available, participants who have been assessed as requiring the corresponding SDA </w:t>
      </w:r>
      <w:r w:rsidR="000B13F2">
        <w:rPr>
          <w:lang w:val="en-AU"/>
        </w:rPr>
        <w:t xml:space="preserve">building </w:t>
      </w:r>
      <w:r w:rsidRPr="00FC5E27">
        <w:rPr>
          <w:lang w:val="en-AU"/>
        </w:rPr>
        <w:t>type</w:t>
      </w:r>
      <w:r w:rsidR="000B13F2">
        <w:rPr>
          <w:lang w:val="en-AU"/>
        </w:rPr>
        <w:t>, design category</w:t>
      </w:r>
      <w:r w:rsidRPr="00FC5E27">
        <w:rPr>
          <w:lang w:val="en-AU"/>
        </w:rPr>
        <w:t xml:space="preserve"> and location may consider the vacancy and approach the SDA provider to explore the possibility of a placement. The SDA provider will then have an opportunity to consider the current household</w:t>
      </w:r>
      <w:r w:rsidRPr="0069103E">
        <w:rPr>
          <w:lang w:val="en-AU"/>
        </w:rPr>
        <w:t xml:space="preserve"> dynamics and to what extent the participant would be a suitable addition to the household. At this point, the participant will also have the opportunity to determine the household’s dynamics and the condition and location of the SDA, and determine its sui</w:t>
      </w:r>
      <w:r w:rsidRPr="00AA44FB">
        <w:rPr>
          <w:lang w:val="en-AU"/>
        </w:rPr>
        <w:t>tability to their ne</w:t>
      </w:r>
      <w:r w:rsidRPr="00CD197F">
        <w:rPr>
          <w:lang w:val="en-AU"/>
        </w:rPr>
        <w:t xml:space="preserve">eds and preferences. </w:t>
      </w:r>
    </w:p>
    <w:p w:rsidR="002D6726" w:rsidRPr="005C4E27" w:rsidRDefault="002D6726" w:rsidP="002D6726">
      <w:pPr>
        <w:rPr>
          <w:lang w:val="en-AU"/>
        </w:rPr>
      </w:pPr>
      <w:r w:rsidRPr="005C4E27">
        <w:rPr>
          <w:lang w:val="en-AU"/>
        </w:rPr>
        <w:t>The Agency acknowledges that effective occupancy management and effective decision making by participants to enter a household will require planning and careful consideration by all parties. To this end, the SDA Benchmark Price has incorporated fees in the expense assumptions to allow SDA providers to recover the costs associated with resourcing this function. To assist participants, planners will consider what supports might be reasonable and necessary to assist a participant to implement their plan.</w:t>
      </w:r>
    </w:p>
    <w:p w:rsidR="002D6726" w:rsidRPr="005C4E27" w:rsidRDefault="002D6726" w:rsidP="002D6726">
      <w:pPr>
        <w:rPr>
          <w:lang w:val="en-AU"/>
        </w:rPr>
      </w:pPr>
      <w:r w:rsidRPr="005C4E27">
        <w:rPr>
          <w:lang w:val="en-AU"/>
        </w:rPr>
        <w:t>In order to allow time to properly assess residents’ compatibility, the Agency will pay SDA providers for up to 60 additional days (after the expiration of the initial notice period), or less if the vacancy is filled, at the applicable SDA Benchmark Price for dwellings with four or more residents. This 60 day period will assist SDA providers and new participants as well as enabling a reasonable period of readjustment for the remaining residents of the household following a participant’s departure.</w:t>
      </w:r>
    </w:p>
    <w:p w:rsidR="002D27B7" w:rsidRDefault="002D6726" w:rsidP="002D27B7">
      <w:pPr>
        <w:rPr>
          <w:lang w:val="en-AU"/>
        </w:rPr>
      </w:pPr>
      <w:r w:rsidRPr="005C4E27">
        <w:rPr>
          <w:lang w:val="en-AU"/>
        </w:rPr>
        <w:t xml:space="preserve">The Agency also recognises that the vacancy rates for larger forms of SDA may increase as there is an increase in supply of smaller form SDA, which the Agency anticipates will </w:t>
      </w:r>
      <w:r w:rsidRPr="005C4E27">
        <w:rPr>
          <w:lang w:val="en-AU"/>
        </w:rPr>
        <w:lastRenderedPageBreak/>
        <w:t xml:space="preserve">increasingly be preferred by participants. The SDA Benchmark Prices for group homes allow for vacancy rates of between 8 and 10 per cent (significantly above current averages) to assist with sustaining supply as providers make changes in line with the demand signals of the market. </w:t>
      </w:r>
    </w:p>
    <w:p w:rsidR="00AD2FC9" w:rsidRPr="00CB2072" w:rsidRDefault="00AD2FC9" w:rsidP="00AD2FC9">
      <w:pPr>
        <w:pStyle w:val="Heading4"/>
        <w:keepNext/>
        <w:keepLines/>
        <w:ind w:left="720"/>
        <w:rPr>
          <w:lang w:val="en-AU"/>
        </w:rPr>
      </w:pPr>
      <w:r w:rsidRPr="00CB2072">
        <w:rPr>
          <w:lang w:val="en-AU"/>
        </w:rPr>
        <w:t xml:space="preserve">Plan </w:t>
      </w:r>
      <w:r>
        <w:rPr>
          <w:lang w:val="en-AU"/>
        </w:rPr>
        <w:t>i</w:t>
      </w:r>
      <w:r w:rsidRPr="00CB2072">
        <w:rPr>
          <w:lang w:val="en-AU"/>
        </w:rPr>
        <w:t>mplementation</w:t>
      </w:r>
    </w:p>
    <w:p w:rsidR="00AD2FC9" w:rsidRPr="00E22DE1" w:rsidRDefault="00AD2FC9" w:rsidP="00AD2FC9">
      <w:pPr>
        <w:rPr>
          <w:lang w:val="en-AU"/>
        </w:rPr>
      </w:pPr>
      <w:r w:rsidRPr="00E22DE1">
        <w:rPr>
          <w:lang w:val="en-AU"/>
        </w:rPr>
        <w:t xml:space="preserve">The process of finding a suitable home, deciding whether the other residents will be suitable housemates, reaching an agreement with the SDA provider and moving in can be challenging. In some cases participants may require assistance with this process, and the planner will consider whether additional funded supports are reasonable and necessary. </w:t>
      </w:r>
    </w:p>
    <w:p w:rsidR="00AD2FC9" w:rsidRPr="00E22DE1" w:rsidRDefault="00AD2FC9" w:rsidP="00AD2FC9">
      <w:pPr>
        <w:rPr>
          <w:lang w:val="en-AU"/>
        </w:rPr>
      </w:pPr>
      <w:r w:rsidRPr="00E22DE1">
        <w:rPr>
          <w:lang w:val="en-AU"/>
        </w:rPr>
        <w:t xml:space="preserve">For participants with SDA in their plan the Agency will maintain a register of known SDA vacancies by type based on registered SDA providers and properties to assist with locating a suitable placement. </w:t>
      </w:r>
    </w:p>
    <w:p w:rsidR="00AD2FC9" w:rsidRPr="00E22DE1" w:rsidRDefault="00AD2FC9" w:rsidP="00AD2FC9">
      <w:pPr>
        <w:rPr>
          <w:lang w:val="en-AU"/>
        </w:rPr>
      </w:pPr>
      <w:r w:rsidRPr="00E22DE1">
        <w:rPr>
          <w:lang w:val="en-AU"/>
        </w:rPr>
        <w:t xml:space="preserve">The agreement for an SDA placement will always be between the participant (or their representative) and the provider of SDA. This will be in the form of a written service agreement between the participant and the SDA provider (please see </w:t>
      </w:r>
      <w:r>
        <w:rPr>
          <w:lang w:val="en-AU"/>
        </w:rPr>
        <w:t>S</w:t>
      </w:r>
      <w:r w:rsidRPr="00E22DE1">
        <w:rPr>
          <w:lang w:val="en-AU"/>
        </w:rPr>
        <w:t xml:space="preserve">ection </w:t>
      </w:r>
      <w:r w:rsidR="00F01101">
        <w:rPr>
          <w:lang w:val="en-AU"/>
        </w:rPr>
        <w:fldChar w:fldCharType="begin"/>
      </w:r>
      <w:r w:rsidR="00F01101">
        <w:rPr>
          <w:lang w:val="en-AU"/>
        </w:rPr>
        <w:instrText xml:space="preserve"> REF _Ref452548680 \r \h </w:instrText>
      </w:r>
      <w:r w:rsidR="00F01101">
        <w:rPr>
          <w:lang w:val="en-AU"/>
        </w:rPr>
      </w:r>
      <w:r w:rsidR="00F01101">
        <w:rPr>
          <w:lang w:val="en-AU"/>
        </w:rPr>
        <w:fldChar w:fldCharType="separate"/>
      </w:r>
      <w:r w:rsidR="006C6F0B">
        <w:rPr>
          <w:lang w:val="en-AU"/>
        </w:rPr>
        <w:t>2.4.3</w:t>
      </w:r>
      <w:r w:rsidR="00F01101">
        <w:rPr>
          <w:lang w:val="en-AU"/>
        </w:rPr>
        <w:fldChar w:fldCharType="end"/>
      </w:r>
      <w:r w:rsidR="00F01101">
        <w:rPr>
          <w:lang w:val="en-AU"/>
        </w:rPr>
        <w:t xml:space="preserve"> </w:t>
      </w:r>
      <w:r w:rsidRPr="00E22DE1">
        <w:rPr>
          <w:lang w:val="en-AU"/>
        </w:rPr>
        <w:t>for more information), except where the participant is the provider of the SDA. Where jurisdiction-specific rules dictate, it may also be incorporated within an existing service agreement with the provider of SDA or SIL.</w:t>
      </w:r>
    </w:p>
    <w:p w:rsidR="00AD2FC9" w:rsidRPr="007D120F" w:rsidRDefault="00AD2FC9" w:rsidP="00AD2FC9">
      <w:pPr>
        <w:rPr>
          <w:lang w:val="en-AU"/>
        </w:rPr>
      </w:pPr>
      <w:r w:rsidRPr="00E22DE1">
        <w:rPr>
          <w:lang w:val="en-AU"/>
        </w:rPr>
        <w:t xml:space="preserve">As with all SDA, participants who choose to self-manage their funding, SDA payments will only be able to be made towards a dwelling that is enrolled as SDA by a registered provider. </w:t>
      </w:r>
    </w:p>
    <w:p w:rsidR="002D6726" w:rsidRPr="005C4E27" w:rsidRDefault="002D6726" w:rsidP="00E22DE1">
      <w:pPr>
        <w:pStyle w:val="Heading3"/>
        <w:ind w:left="0" w:firstLine="0"/>
      </w:pPr>
      <w:bookmarkStart w:id="36" w:name="_Toc452550411"/>
      <w:r w:rsidRPr="005C4E27">
        <w:t>SDA supply and demand</w:t>
      </w:r>
      <w:bookmarkEnd w:id="36"/>
    </w:p>
    <w:p w:rsidR="002D6726" w:rsidRPr="005C4E27" w:rsidRDefault="002D6726" w:rsidP="002D6726">
      <w:pPr>
        <w:rPr>
          <w:lang w:val="en-AU"/>
        </w:rPr>
      </w:pPr>
      <w:r w:rsidRPr="005C4E27">
        <w:rPr>
          <w:lang w:val="en-AU"/>
        </w:rPr>
        <w:t xml:space="preserve">The Agency expects the supply profile of SDA to change over time as demand influences development and design in the marketplace. For example, the observed experience in NDIS Trial Sites indicates that there is likely to be a growing preference for smaller forms of SDA by participants such as </w:t>
      </w:r>
      <w:r w:rsidR="00466C95">
        <w:rPr>
          <w:lang w:val="en-AU"/>
        </w:rPr>
        <w:t>d</w:t>
      </w:r>
      <w:r w:rsidRPr="005C4E27">
        <w:rPr>
          <w:lang w:val="en-AU"/>
        </w:rPr>
        <w:t xml:space="preserve">uplex and </w:t>
      </w:r>
      <w:r w:rsidR="00466C95">
        <w:rPr>
          <w:lang w:val="en-AU"/>
        </w:rPr>
        <w:t>v</w:t>
      </w:r>
      <w:r w:rsidRPr="005C4E27">
        <w:rPr>
          <w:lang w:val="en-AU"/>
        </w:rPr>
        <w:t xml:space="preserve">illa forms of SDA that afford ready access to supports but also tend to provide greater opportunities for independence and skill development. </w:t>
      </w:r>
    </w:p>
    <w:p w:rsidR="002D6726" w:rsidRPr="005C4E27" w:rsidRDefault="002D6726" w:rsidP="002D6726">
      <w:pPr>
        <w:rPr>
          <w:lang w:val="en-AU"/>
        </w:rPr>
      </w:pPr>
      <w:r w:rsidRPr="005C4E27">
        <w:rPr>
          <w:lang w:val="en-AU"/>
        </w:rPr>
        <w:t xml:space="preserve">As SDA </w:t>
      </w:r>
      <w:r w:rsidR="00F86A4F">
        <w:rPr>
          <w:lang w:val="en-AU"/>
        </w:rPr>
        <w:t xml:space="preserve">Benchmark Price </w:t>
      </w:r>
      <w:r w:rsidRPr="005C4E27">
        <w:rPr>
          <w:lang w:val="en-AU"/>
        </w:rPr>
        <w:t>payments will only be made where there are eligible participants residing in SDA, the supply market will benefit from the Agency regularly providing SDA demand data. These data will inform development decisions by communicating important information such as which SDA types are popular and needed, and in wh</w:t>
      </w:r>
      <w:r w:rsidR="00F86A4F">
        <w:rPr>
          <w:lang w:val="en-AU"/>
        </w:rPr>
        <w:t>ich</w:t>
      </w:r>
      <w:r w:rsidRPr="005C4E27">
        <w:rPr>
          <w:lang w:val="en-AU"/>
        </w:rPr>
        <w:t xml:space="preserve"> locations they are most required.</w:t>
      </w:r>
    </w:p>
    <w:p w:rsidR="002D6726" w:rsidRPr="004C01F6" w:rsidRDefault="002D6726" w:rsidP="002D6726">
      <w:pPr>
        <w:rPr>
          <w:lang w:val="en-AU"/>
        </w:rPr>
      </w:pPr>
      <w:r w:rsidRPr="005C4E27">
        <w:rPr>
          <w:lang w:val="en-AU"/>
        </w:rPr>
        <w:t xml:space="preserve">This information will become increasingly available to the Agency as participants phase into the </w:t>
      </w:r>
      <w:r w:rsidR="004C01F6">
        <w:rPr>
          <w:lang w:val="en-AU"/>
        </w:rPr>
        <w:t>Scheme</w:t>
      </w:r>
      <w:r w:rsidRPr="004C01F6">
        <w:rPr>
          <w:lang w:val="en-AU"/>
        </w:rPr>
        <w:t xml:space="preserve"> and are assessed as requiring SDA. </w:t>
      </w:r>
    </w:p>
    <w:p w:rsidR="002D6726" w:rsidRPr="00FC5E27" w:rsidRDefault="002D6726" w:rsidP="002D6726">
      <w:pPr>
        <w:rPr>
          <w:lang w:val="en-AU"/>
        </w:rPr>
      </w:pPr>
      <w:r w:rsidRPr="00294EE7">
        <w:rPr>
          <w:lang w:val="en-AU"/>
        </w:rPr>
        <w:t>As it becomes available, this information will be provided to the market in a form</w:t>
      </w:r>
      <w:r w:rsidRPr="005B1B19">
        <w:rPr>
          <w:lang w:val="en-AU"/>
        </w:rPr>
        <w:t xml:space="preserve">at consistent with the Agency’s existing Market Position Statements (MPS) and will likely include information such as demand (expressed preferences and need) for SDA by type and location, as well as, where possible, information on patterns of choice by </w:t>
      </w:r>
      <w:r w:rsidRPr="00FC5E27">
        <w:rPr>
          <w:lang w:val="en-AU"/>
        </w:rPr>
        <w:t xml:space="preserve">participants. These MPS SDA modules will also benefit from including information such as numbers of known </w:t>
      </w:r>
      <w:r w:rsidRPr="00FC5E27">
        <w:rPr>
          <w:lang w:val="en-AU"/>
        </w:rPr>
        <w:lastRenderedPageBreak/>
        <w:t xml:space="preserve">vacancies, including the average length of vacancy by design category, build </w:t>
      </w:r>
      <w:r w:rsidR="00F86A4F">
        <w:rPr>
          <w:lang w:val="en-AU"/>
        </w:rPr>
        <w:t>type</w:t>
      </w:r>
      <w:r w:rsidRPr="00FC5E27">
        <w:rPr>
          <w:lang w:val="en-AU"/>
        </w:rPr>
        <w:t xml:space="preserve"> and location. </w:t>
      </w:r>
    </w:p>
    <w:p w:rsidR="002D6726" w:rsidRPr="00FC5E27" w:rsidRDefault="002D6726" w:rsidP="002D6726">
      <w:pPr>
        <w:rPr>
          <w:lang w:val="en-AU"/>
        </w:rPr>
      </w:pPr>
      <w:r w:rsidRPr="00FC5E27">
        <w:rPr>
          <w:lang w:val="en-AU"/>
        </w:rPr>
        <w:t xml:space="preserve">The Agency expects that, as the supply market evolves, providers will be motivated to build SDA in the form and location that best responds to participant’s preferences and need. The Agency will closely monitor how the market responds to the initial approach to SDA pricing. </w:t>
      </w:r>
    </w:p>
    <w:p w:rsidR="002D6726" w:rsidRPr="00786A09" w:rsidRDefault="002D6726" w:rsidP="002D6726">
      <w:pPr>
        <w:rPr>
          <w:lang w:val="en-AU"/>
        </w:rPr>
      </w:pPr>
      <w:r w:rsidRPr="0069103E">
        <w:rPr>
          <w:lang w:val="en-AU"/>
        </w:rPr>
        <w:t>In areas where there is particula</w:t>
      </w:r>
      <w:r w:rsidRPr="00786A09">
        <w:rPr>
          <w:lang w:val="en-AU"/>
        </w:rPr>
        <w:t xml:space="preserve">rly under developed supply, or in established thin markets, the Agency will also consider how it can bundle and target this information to send very clear signals to the market.  </w:t>
      </w:r>
    </w:p>
    <w:p w:rsidR="002D6726" w:rsidRPr="005C4E27" w:rsidRDefault="002D6726" w:rsidP="002D6726">
      <w:pPr>
        <w:rPr>
          <w:lang w:val="en-AU"/>
        </w:rPr>
      </w:pPr>
      <w:r w:rsidRPr="00AA44FB">
        <w:rPr>
          <w:lang w:val="en-AU"/>
        </w:rPr>
        <w:t>In some cases such as in regional, remote or very remote locations, or in instances where very s</w:t>
      </w:r>
      <w:r w:rsidRPr="005C4E27">
        <w:rPr>
          <w:lang w:val="en-AU"/>
        </w:rPr>
        <w:t xml:space="preserve">pecialised design is required, these efforts to encourage the development of supply may not be enough to adequately stimulate the market. In these circumstances, the Agency will consider the best approach to addressing this lack of supply. These efforts will be aligned with the Agency’s broader approach to market intervention, and aligned with its Remote and Indigenous Supply Strategy where this is relevant. </w:t>
      </w:r>
    </w:p>
    <w:p w:rsidR="00B97FC6" w:rsidRDefault="00B97FC6">
      <w:pPr>
        <w:spacing w:line="276" w:lineRule="auto"/>
        <w:rPr>
          <w:rFonts w:eastAsiaTheme="majorEastAsia" w:cstheme="majorBidi"/>
          <w:b/>
          <w:bCs/>
          <w:color w:val="6A2875"/>
          <w:sz w:val="44"/>
          <w:szCs w:val="26"/>
          <w:lang w:val="en-AU"/>
        </w:rPr>
      </w:pPr>
      <w:r>
        <w:rPr>
          <w:lang w:val="en-AU"/>
        </w:rPr>
        <w:br w:type="page"/>
      </w:r>
    </w:p>
    <w:p w:rsidR="002D6726" w:rsidRPr="005C4E27" w:rsidRDefault="002D6726" w:rsidP="002D6726">
      <w:pPr>
        <w:pStyle w:val="Heading2"/>
        <w:numPr>
          <w:ilvl w:val="0"/>
          <w:numId w:val="0"/>
        </w:numPr>
        <w:rPr>
          <w:lang w:val="en-AU"/>
        </w:rPr>
      </w:pPr>
      <w:bookmarkStart w:id="37" w:name="_Toc452550412"/>
      <w:r w:rsidRPr="005C4E27">
        <w:rPr>
          <w:lang w:val="en-AU"/>
        </w:rPr>
        <w:lastRenderedPageBreak/>
        <w:t>List of Abbreviations</w:t>
      </w:r>
      <w:bookmarkEnd w:id="37"/>
    </w:p>
    <w:tbl>
      <w:tblPr>
        <w:tblStyle w:val="TableGrid"/>
        <w:tblW w:w="9078" w:type="dxa"/>
        <w:tblInd w:w="-147" w:type="dxa"/>
        <w:tblBorders>
          <w:top w:val="single" w:sz="4" w:space="0" w:color="7030A0"/>
          <w:left w:val="none" w:sz="0" w:space="0" w:color="auto"/>
          <w:bottom w:val="single" w:sz="4" w:space="0" w:color="7030A0"/>
          <w:right w:val="none" w:sz="0" w:space="0" w:color="auto"/>
          <w:insideH w:val="single" w:sz="4" w:space="0" w:color="7030A0"/>
          <w:insideV w:val="none" w:sz="0" w:space="0" w:color="auto"/>
        </w:tblBorders>
        <w:tblLayout w:type="fixed"/>
        <w:tblLook w:val="04A0" w:firstRow="1" w:lastRow="0" w:firstColumn="1" w:lastColumn="0" w:noHBand="0" w:noVBand="1"/>
        <w:tblCaption w:val="Table of abbreviations used"/>
      </w:tblPr>
      <w:tblGrid>
        <w:gridCol w:w="2132"/>
        <w:gridCol w:w="6946"/>
      </w:tblGrid>
      <w:tr w:rsidR="002D6726" w:rsidRPr="005C4E27" w:rsidTr="009655D6">
        <w:trPr>
          <w:tblHeader/>
        </w:trPr>
        <w:tc>
          <w:tcPr>
            <w:tcW w:w="2132" w:type="dxa"/>
            <w:shd w:val="clear" w:color="auto" w:fill="7030A0"/>
            <w:vAlign w:val="center"/>
          </w:tcPr>
          <w:p w:rsidR="002D6726" w:rsidRPr="005C4E27" w:rsidRDefault="002D6726" w:rsidP="009B4DFF">
            <w:pPr>
              <w:spacing w:before="120" w:after="120"/>
              <w:rPr>
                <w:b/>
                <w:color w:val="FFFFFF" w:themeColor="background1"/>
                <w:sz w:val="20"/>
                <w:szCs w:val="20"/>
                <w:lang w:val="en-AU"/>
              </w:rPr>
            </w:pPr>
            <w:r w:rsidRPr="005C4E27">
              <w:rPr>
                <w:b/>
                <w:color w:val="FFFFFF" w:themeColor="background1"/>
                <w:sz w:val="20"/>
                <w:szCs w:val="20"/>
                <w:lang w:val="en-AU"/>
              </w:rPr>
              <w:t>Abbreviation</w:t>
            </w:r>
          </w:p>
        </w:tc>
        <w:tc>
          <w:tcPr>
            <w:tcW w:w="6946" w:type="dxa"/>
            <w:shd w:val="clear" w:color="auto" w:fill="7030A0"/>
            <w:vAlign w:val="center"/>
          </w:tcPr>
          <w:p w:rsidR="002D6726" w:rsidRPr="005C4E27" w:rsidRDefault="002D6726" w:rsidP="009B4DFF">
            <w:pPr>
              <w:spacing w:before="120" w:after="120"/>
              <w:rPr>
                <w:b/>
                <w:color w:val="FFFFFF" w:themeColor="background1"/>
                <w:sz w:val="20"/>
                <w:szCs w:val="20"/>
                <w:lang w:val="en-AU"/>
              </w:rPr>
            </w:pPr>
            <w:r w:rsidRPr="005C4E27">
              <w:rPr>
                <w:b/>
                <w:color w:val="FFFFFF" w:themeColor="background1"/>
                <w:sz w:val="20"/>
                <w:szCs w:val="20"/>
                <w:lang w:val="en-AU"/>
              </w:rPr>
              <w:t>Meaning</w:t>
            </w:r>
          </w:p>
        </w:tc>
      </w:tr>
      <w:tr w:rsidR="002D6726" w:rsidRPr="005C4E27" w:rsidTr="009655D6">
        <w:trPr>
          <w:trHeight w:val="77"/>
        </w:trPr>
        <w:tc>
          <w:tcPr>
            <w:tcW w:w="2132" w:type="dxa"/>
          </w:tcPr>
          <w:p w:rsidR="002D6726" w:rsidRPr="007B7D09" w:rsidRDefault="002D6726" w:rsidP="009B4DFF">
            <w:pPr>
              <w:spacing w:beforeLines="60" w:before="144" w:afterLines="60" w:after="144" w:line="240" w:lineRule="auto"/>
              <w:rPr>
                <w:sz w:val="20"/>
                <w:szCs w:val="20"/>
                <w:lang w:val="en-AU"/>
              </w:rPr>
            </w:pPr>
            <w:r w:rsidRPr="007B7D09">
              <w:rPr>
                <w:sz w:val="20"/>
                <w:szCs w:val="20"/>
                <w:lang w:val="en-AU"/>
              </w:rPr>
              <w:t>ABN</w:t>
            </w:r>
          </w:p>
        </w:tc>
        <w:tc>
          <w:tcPr>
            <w:tcW w:w="6946" w:type="dxa"/>
          </w:tcPr>
          <w:p w:rsidR="002D6726" w:rsidRPr="004C01F6" w:rsidRDefault="002D6726" w:rsidP="009B4DFF">
            <w:pPr>
              <w:spacing w:beforeLines="60" w:before="144" w:afterLines="60" w:after="144" w:line="240" w:lineRule="auto"/>
              <w:rPr>
                <w:sz w:val="20"/>
                <w:szCs w:val="20"/>
                <w:lang w:val="en-AU"/>
              </w:rPr>
            </w:pPr>
            <w:r w:rsidRPr="004C01F6">
              <w:rPr>
                <w:sz w:val="20"/>
                <w:szCs w:val="20"/>
                <w:lang w:val="en-AU"/>
              </w:rPr>
              <w:t>Australian Business Number</w:t>
            </w:r>
          </w:p>
        </w:tc>
      </w:tr>
      <w:tr w:rsidR="002D6726" w:rsidRPr="005C4E27" w:rsidTr="009655D6">
        <w:trPr>
          <w:trHeight w:val="77"/>
        </w:trPr>
        <w:tc>
          <w:tcPr>
            <w:tcW w:w="2132" w:type="dxa"/>
          </w:tcPr>
          <w:p w:rsidR="002D6726" w:rsidRPr="007B7D09" w:rsidRDefault="002D6726" w:rsidP="009B4DFF">
            <w:pPr>
              <w:spacing w:beforeLines="60" w:before="144" w:afterLines="60" w:after="144" w:line="240" w:lineRule="auto"/>
              <w:rPr>
                <w:sz w:val="20"/>
                <w:szCs w:val="20"/>
                <w:lang w:val="en-AU"/>
              </w:rPr>
            </w:pPr>
            <w:r w:rsidRPr="007B7D09">
              <w:rPr>
                <w:sz w:val="20"/>
                <w:szCs w:val="20"/>
                <w:lang w:val="en-AU"/>
              </w:rPr>
              <w:t>ABS</w:t>
            </w:r>
          </w:p>
        </w:tc>
        <w:tc>
          <w:tcPr>
            <w:tcW w:w="6946" w:type="dxa"/>
          </w:tcPr>
          <w:p w:rsidR="002D6726" w:rsidRPr="004C01F6" w:rsidRDefault="002D6726" w:rsidP="009B4DFF">
            <w:pPr>
              <w:spacing w:beforeLines="60" w:before="144" w:afterLines="60" w:after="144" w:line="240" w:lineRule="auto"/>
              <w:rPr>
                <w:sz w:val="20"/>
                <w:szCs w:val="20"/>
                <w:lang w:val="en-AU"/>
              </w:rPr>
            </w:pPr>
            <w:r w:rsidRPr="004C01F6">
              <w:rPr>
                <w:sz w:val="20"/>
                <w:szCs w:val="20"/>
                <w:lang w:val="en-AU"/>
              </w:rPr>
              <w:t>Australian Bureau of Statistics</w:t>
            </w:r>
          </w:p>
        </w:tc>
      </w:tr>
      <w:tr w:rsidR="00772FCA" w:rsidRPr="005C4E27" w:rsidTr="009655D6">
        <w:trPr>
          <w:trHeight w:val="77"/>
        </w:trPr>
        <w:tc>
          <w:tcPr>
            <w:tcW w:w="2132" w:type="dxa"/>
            <w:vAlign w:val="center"/>
          </w:tcPr>
          <w:p w:rsidR="00772FCA" w:rsidRPr="007B7D09" w:rsidRDefault="00772FCA" w:rsidP="009B4DFF">
            <w:pPr>
              <w:spacing w:beforeLines="60" w:before="144" w:afterLines="60" w:after="144" w:line="240" w:lineRule="auto"/>
              <w:rPr>
                <w:sz w:val="20"/>
                <w:szCs w:val="20"/>
                <w:lang w:val="en-AU"/>
              </w:rPr>
            </w:pPr>
            <w:r>
              <w:rPr>
                <w:sz w:val="20"/>
                <w:szCs w:val="20"/>
                <w:lang w:val="en-AU"/>
              </w:rPr>
              <w:t>BCA</w:t>
            </w:r>
          </w:p>
        </w:tc>
        <w:tc>
          <w:tcPr>
            <w:tcW w:w="6946" w:type="dxa"/>
            <w:vAlign w:val="center"/>
          </w:tcPr>
          <w:p w:rsidR="00772FCA" w:rsidRPr="004C01F6" w:rsidRDefault="00772FCA" w:rsidP="009B4DFF">
            <w:pPr>
              <w:spacing w:beforeLines="60" w:before="144" w:afterLines="60" w:after="144" w:line="240" w:lineRule="auto"/>
              <w:rPr>
                <w:sz w:val="20"/>
                <w:szCs w:val="20"/>
                <w:lang w:val="en-AU"/>
              </w:rPr>
            </w:pPr>
            <w:r>
              <w:rPr>
                <w:sz w:val="20"/>
                <w:szCs w:val="20"/>
                <w:lang w:val="en-AU"/>
              </w:rPr>
              <w:t>Building Code of Australia</w:t>
            </w:r>
          </w:p>
        </w:tc>
      </w:tr>
      <w:tr w:rsidR="002D6726" w:rsidRPr="005C4E27" w:rsidTr="009655D6">
        <w:trPr>
          <w:trHeight w:val="77"/>
        </w:trPr>
        <w:tc>
          <w:tcPr>
            <w:tcW w:w="2132" w:type="dxa"/>
            <w:vAlign w:val="center"/>
          </w:tcPr>
          <w:p w:rsidR="002D6726" w:rsidRPr="007B7D09" w:rsidRDefault="002D6726" w:rsidP="009B4DFF">
            <w:pPr>
              <w:spacing w:beforeLines="60" w:before="144" w:afterLines="60" w:after="144" w:line="240" w:lineRule="auto"/>
              <w:rPr>
                <w:sz w:val="20"/>
                <w:szCs w:val="20"/>
                <w:lang w:val="en-AU"/>
              </w:rPr>
            </w:pPr>
            <w:r w:rsidRPr="007B7D09">
              <w:rPr>
                <w:sz w:val="20"/>
                <w:szCs w:val="20"/>
                <w:lang w:val="en-AU"/>
              </w:rPr>
              <w:t>COI</w:t>
            </w:r>
          </w:p>
        </w:tc>
        <w:tc>
          <w:tcPr>
            <w:tcW w:w="6946" w:type="dxa"/>
            <w:vAlign w:val="center"/>
          </w:tcPr>
          <w:p w:rsidR="002D6726" w:rsidRPr="004C01F6" w:rsidRDefault="002D6726" w:rsidP="009B4DFF">
            <w:pPr>
              <w:spacing w:beforeLines="60" w:before="144" w:afterLines="60" w:after="144" w:line="240" w:lineRule="auto"/>
              <w:rPr>
                <w:sz w:val="20"/>
                <w:szCs w:val="20"/>
                <w:lang w:val="en-AU"/>
              </w:rPr>
            </w:pPr>
            <w:r w:rsidRPr="004C01F6">
              <w:rPr>
                <w:sz w:val="20"/>
                <w:szCs w:val="20"/>
                <w:lang w:val="en-AU"/>
              </w:rPr>
              <w:t>Conflict of Interest</w:t>
            </w:r>
          </w:p>
        </w:tc>
      </w:tr>
      <w:tr w:rsidR="002D6726" w:rsidRPr="005C4E27" w:rsidTr="009655D6">
        <w:trPr>
          <w:trHeight w:val="77"/>
        </w:trPr>
        <w:tc>
          <w:tcPr>
            <w:tcW w:w="2132" w:type="dxa"/>
            <w:vAlign w:val="center"/>
          </w:tcPr>
          <w:p w:rsidR="002D6726" w:rsidRPr="007B7D09" w:rsidRDefault="002D6726" w:rsidP="009B4DFF">
            <w:pPr>
              <w:spacing w:beforeLines="60" w:before="144" w:afterLines="60" w:after="144" w:line="240" w:lineRule="auto"/>
              <w:rPr>
                <w:sz w:val="20"/>
                <w:szCs w:val="20"/>
                <w:lang w:val="en-AU"/>
              </w:rPr>
            </w:pPr>
            <w:r w:rsidRPr="007B7D09">
              <w:rPr>
                <w:sz w:val="20"/>
                <w:szCs w:val="20"/>
                <w:lang w:val="en-AU"/>
              </w:rPr>
              <w:t>CPI</w:t>
            </w:r>
          </w:p>
        </w:tc>
        <w:tc>
          <w:tcPr>
            <w:tcW w:w="6946" w:type="dxa"/>
            <w:vAlign w:val="center"/>
          </w:tcPr>
          <w:p w:rsidR="002D6726" w:rsidRPr="004C01F6" w:rsidRDefault="002D6726" w:rsidP="009B4DFF">
            <w:pPr>
              <w:spacing w:beforeLines="60" w:before="144" w:afterLines="60" w:after="144" w:line="240" w:lineRule="auto"/>
              <w:rPr>
                <w:sz w:val="20"/>
                <w:szCs w:val="20"/>
                <w:lang w:val="en-AU"/>
              </w:rPr>
            </w:pPr>
            <w:r w:rsidRPr="004C01F6">
              <w:rPr>
                <w:sz w:val="20"/>
                <w:szCs w:val="20"/>
                <w:lang w:val="en-AU"/>
              </w:rPr>
              <w:t xml:space="preserve">Consumer Price Index </w:t>
            </w:r>
          </w:p>
        </w:tc>
      </w:tr>
      <w:tr w:rsidR="002D6726" w:rsidRPr="005C4E27" w:rsidTr="009655D6">
        <w:tc>
          <w:tcPr>
            <w:tcW w:w="2132" w:type="dxa"/>
            <w:vAlign w:val="center"/>
          </w:tcPr>
          <w:p w:rsidR="002D6726" w:rsidRPr="004C01F6" w:rsidRDefault="002D6726" w:rsidP="009B4DFF">
            <w:pPr>
              <w:spacing w:beforeLines="60" w:before="144" w:afterLines="60" w:after="144" w:line="240" w:lineRule="auto"/>
              <w:rPr>
                <w:sz w:val="20"/>
                <w:szCs w:val="20"/>
                <w:lang w:val="en-AU"/>
              </w:rPr>
            </w:pPr>
            <w:r w:rsidRPr="007B7D09">
              <w:rPr>
                <w:sz w:val="20"/>
                <w:szCs w:val="20"/>
                <w:lang w:val="en-AU"/>
              </w:rPr>
              <w:t>CRA</w:t>
            </w:r>
          </w:p>
        </w:tc>
        <w:tc>
          <w:tcPr>
            <w:tcW w:w="6946" w:type="dxa"/>
            <w:vAlign w:val="center"/>
          </w:tcPr>
          <w:p w:rsidR="002D6726" w:rsidRPr="00294EE7" w:rsidRDefault="002D6726" w:rsidP="009B4DFF">
            <w:pPr>
              <w:spacing w:beforeLines="60" w:before="144" w:afterLines="60" w:after="144" w:line="240" w:lineRule="auto"/>
              <w:rPr>
                <w:sz w:val="20"/>
                <w:szCs w:val="20"/>
                <w:lang w:val="en-AU"/>
              </w:rPr>
            </w:pPr>
            <w:r w:rsidRPr="00294EE7">
              <w:rPr>
                <w:sz w:val="20"/>
                <w:szCs w:val="20"/>
                <w:lang w:val="en-AU"/>
              </w:rPr>
              <w:t>Commonwealth Rent Assistance</w:t>
            </w:r>
          </w:p>
        </w:tc>
      </w:tr>
      <w:tr w:rsidR="002D6726" w:rsidRPr="005C4E27" w:rsidTr="009655D6">
        <w:tc>
          <w:tcPr>
            <w:tcW w:w="2132" w:type="dxa"/>
            <w:vAlign w:val="center"/>
          </w:tcPr>
          <w:p w:rsidR="002D6726" w:rsidRPr="007B7D09" w:rsidRDefault="002D6726" w:rsidP="009B4DFF">
            <w:pPr>
              <w:spacing w:beforeLines="60" w:before="144" w:afterLines="60" w:after="144" w:line="240" w:lineRule="auto"/>
              <w:rPr>
                <w:sz w:val="20"/>
                <w:szCs w:val="20"/>
                <w:lang w:val="en-AU"/>
              </w:rPr>
            </w:pPr>
            <w:r w:rsidRPr="007B7D09">
              <w:rPr>
                <w:sz w:val="20"/>
                <w:szCs w:val="20"/>
                <w:lang w:val="en-AU"/>
              </w:rPr>
              <w:t xml:space="preserve">DRC </w:t>
            </w:r>
          </w:p>
        </w:tc>
        <w:tc>
          <w:tcPr>
            <w:tcW w:w="6946" w:type="dxa"/>
            <w:vAlign w:val="center"/>
          </w:tcPr>
          <w:p w:rsidR="002D6726" w:rsidRPr="004C01F6" w:rsidRDefault="002D6726" w:rsidP="009B4DFF">
            <w:pPr>
              <w:spacing w:beforeLines="60" w:before="144" w:afterLines="60" w:after="144" w:line="240" w:lineRule="auto"/>
              <w:rPr>
                <w:sz w:val="20"/>
                <w:szCs w:val="20"/>
                <w:lang w:val="en-AU"/>
              </w:rPr>
            </w:pPr>
            <w:r w:rsidRPr="004C01F6">
              <w:rPr>
                <w:sz w:val="20"/>
                <w:szCs w:val="20"/>
                <w:lang w:val="en-AU"/>
              </w:rPr>
              <w:t xml:space="preserve">Disability Reform Council </w:t>
            </w:r>
          </w:p>
        </w:tc>
      </w:tr>
      <w:tr w:rsidR="002D6726" w:rsidRPr="005C4E27" w:rsidTr="009655D6">
        <w:tc>
          <w:tcPr>
            <w:tcW w:w="2132" w:type="dxa"/>
            <w:vAlign w:val="center"/>
          </w:tcPr>
          <w:p w:rsidR="002D6726" w:rsidRPr="004C01F6" w:rsidRDefault="002D6726" w:rsidP="009B4DFF">
            <w:pPr>
              <w:spacing w:beforeLines="60" w:before="144" w:afterLines="60" w:after="144" w:line="240" w:lineRule="auto"/>
              <w:rPr>
                <w:sz w:val="20"/>
                <w:szCs w:val="20"/>
                <w:lang w:val="en-AU"/>
              </w:rPr>
            </w:pPr>
            <w:r w:rsidRPr="007B7D09">
              <w:rPr>
                <w:sz w:val="20"/>
                <w:szCs w:val="20"/>
                <w:lang w:val="en-AU"/>
              </w:rPr>
              <w:t>DSP</w:t>
            </w:r>
          </w:p>
        </w:tc>
        <w:tc>
          <w:tcPr>
            <w:tcW w:w="6946" w:type="dxa"/>
            <w:vAlign w:val="center"/>
          </w:tcPr>
          <w:p w:rsidR="002D6726" w:rsidRPr="00294EE7" w:rsidRDefault="002D6726" w:rsidP="009B4DFF">
            <w:pPr>
              <w:spacing w:beforeLines="60" w:before="144" w:afterLines="60" w:after="144" w:line="240" w:lineRule="auto"/>
              <w:rPr>
                <w:sz w:val="20"/>
                <w:szCs w:val="20"/>
                <w:lang w:val="en-AU"/>
              </w:rPr>
            </w:pPr>
            <w:r w:rsidRPr="00294EE7">
              <w:rPr>
                <w:sz w:val="20"/>
                <w:szCs w:val="20"/>
                <w:lang w:val="en-AU"/>
              </w:rPr>
              <w:t>Disability Support Pension</w:t>
            </w:r>
          </w:p>
        </w:tc>
      </w:tr>
      <w:tr w:rsidR="002D6726" w:rsidRPr="005C4E27" w:rsidTr="009655D6">
        <w:trPr>
          <w:trHeight w:val="77"/>
        </w:trPr>
        <w:tc>
          <w:tcPr>
            <w:tcW w:w="2132" w:type="dxa"/>
            <w:vAlign w:val="center"/>
          </w:tcPr>
          <w:p w:rsidR="002D6726" w:rsidRPr="007B7D09" w:rsidRDefault="002D6726" w:rsidP="009B4DFF">
            <w:pPr>
              <w:spacing w:beforeLines="60" w:before="144" w:afterLines="60" w:after="144" w:line="240" w:lineRule="auto"/>
              <w:rPr>
                <w:sz w:val="20"/>
                <w:szCs w:val="20"/>
                <w:lang w:val="en-AU"/>
              </w:rPr>
            </w:pPr>
            <w:r w:rsidRPr="007B7D09">
              <w:rPr>
                <w:sz w:val="20"/>
                <w:szCs w:val="20"/>
                <w:lang w:val="en-AU"/>
              </w:rPr>
              <w:t>Framework</w:t>
            </w:r>
          </w:p>
        </w:tc>
        <w:tc>
          <w:tcPr>
            <w:tcW w:w="6946" w:type="dxa"/>
            <w:vAlign w:val="center"/>
          </w:tcPr>
          <w:p w:rsidR="002D6726" w:rsidRPr="004C01F6" w:rsidRDefault="002D6726" w:rsidP="009B4DFF">
            <w:pPr>
              <w:spacing w:beforeLines="60" w:before="144" w:afterLines="60" w:after="144" w:line="240" w:lineRule="auto"/>
              <w:rPr>
                <w:sz w:val="20"/>
                <w:szCs w:val="20"/>
                <w:lang w:val="en-AU"/>
              </w:rPr>
            </w:pPr>
            <w:r w:rsidRPr="004C01F6">
              <w:rPr>
                <w:sz w:val="20"/>
                <w:szCs w:val="20"/>
                <w:lang w:val="en-AU"/>
              </w:rPr>
              <w:t xml:space="preserve">Specialist Disability Accommodation Pricing and Payments Framework </w:t>
            </w:r>
          </w:p>
        </w:tc>
      </w:tr>
      <w:tr w:rsidR="002D6726" w:rsidRPr="005C4E27" w:rsidTr="009655D6">
        <w:trPr>
          <w:trHeight w:val="77"/>
        </w:trPr>
        <w:tc>
          <w:tcPr>
            <w:tcW w:w="2132" w:type="dxa"/>
          </w:tcPr>
          <w:p w:rsidR="002D6726" w:rsidRPr="007B7D09" w:rsidRDefault="002D6726" w:rsidP="009B4DFF">
            <w:pPr>
              <w:spacing w:beforeLines="60" w:before="144" w:afterLines="60" w:after="144" w:line="240" w:lineRule="auto"/>
              <w:rPr>
                <w:sz w:val="20"/>
                <w:szCs w:val="20"/>
                <w:lang w:val="en-AU"/>
              </w:rPr>
            </w:pPr>
            <w:r w:rsidRPr="007B7D09">
              <w:rPr>
                <w:sz w:val="20"/>
                <w:szCs w:val="20"/>
                <w:lang w:val="en-AU"/>
              </w:rPr>
              <w:t>HIRG</w:t>
            </w:r>
          </w:p>
        </w:tc>
        <w:tc>
          <w:tcPr>
            <w:tcW w:w="6946" w:type="dxa"/>
          </w:tcPr>
          <w:p w:rsidR="002D6726" w:rsidRPr="004C01F6" w:rsidRDefault="002D6726" w:rsidP="009B4DFF">
            <w:pPr>
              <w:spacing w:beforeLines="60" w:before="144" w:afterLines="60" w:after="144" w:line="240" w:lineRule="auto"/>
              <w:rPr>
                <w:sz w:val="20"/>
                <w:szCs w:val="20"/>
                <w:lang w:val="en-AU"/>
              </w:rPr>
            </w:pPr>
            <w:r w:rsidRPr="004C01F6">
              <w:rPr>
                <w:sz w:val="20"/>
                <w:szCs w:val="20"/>
                <w:lang w:val="en-AU"/>
              </w:rPr>
              <w:t>Housing Innovation Reference Group (formed by the NDIS Independent Advisory Council)</w:t>
            </w:r>
          </w:p>
        </w:tc>
      </w:tr>
      <w:tr w:rsidR="002D6726" w:rsidRPr="005C4E27" w:rsidTr="009655D6">
        <w:trPr>
          <w:trHeight w:val="77"/>
        </w:trPr>
        <w:tc>
          <w:tcPr>
            <w:tcW w:w="2132" w:type="dxa"/>
          </w:tcPr>
          <w:p w:rsidR="002D6726" w:rsidRPr="007B7D09" w:rsidRDefault="002D6726" w:rsidP="009B4DFF">
            <w:pPr>
              <w:spacing w:beforeLines="60" w:before="144" w:afterLines="60" w:after="144" w:line="240" w:lineRule="auto"/>
              <w:rPr>
                <w:sz w:val="20"/>
                <w:szCs w:val="20"/>
                <w:lang w:val="en-AU"/>
              </w:rPr>
            </w:pPr>
            <w:r w:rsidRPr="007B7D09">
              <w:rPr>
                <w:sz w:val="20"/>
                <w:szCs w:val="20"/>
                <w:lang w:val="en-AU"/>
              </w:rPr>
              <w:t xml:space="preserve">IAC </w:t>
            </w:r>
          </w:p>
        </w:tc>
        <w:tc>
          <w:tcPr>
            <w:tcW w:w="6946" w:type="dxa"/>
          </w:tcPr>
          <w:p w:rsidR="002D6726" w:rsidRPr="004C01F6" w:rsidRDefault="002D6726" w:rsidP="009B4DFF">
            <w:pPr>
              <w:spacing w:beforeLines="60" w:before="144" w:afterLines="60" w:after="144" w:line="240" w:lineRule="auto"/>
              <w:rPr>
                <w:sz w:val="20"/>
                <w:szCs w:val="20"/>
                <w:lang w:val="en-AU"/>
              </w:rPr>
            </w:pPr>
            <w:r w:rsidRPr="004C01F6">
              <w:rPr>
                <w:sz w:val="20"/>
                <w:szCs w:val="20"/>
                <w:lang w:val="en-AU"/>
              </w:rPr>
              <w:t xml:space="preserve">NDIS Independent Advisory Council </w:t>
            </w:r>
          </w:p>
        </w:tc>
      </w:tr>
      <w:tr w:rsidR="002D6726" w:rsidRPr="005C4E27" w:rsidTr="009655D6">
        <w:trPr>
          <w:trHeight w:val="77"/>
        </w:trPr>
        <w:tc>
          <w:tcPr>
            <w:tcW w:w="2132" w:type="dxa"/>
            <w:vAlign w:val="center"/>
          </w:tcPr>
          <w:p w:rsidR="002D6726" w:rsidRPr="004C01F6" w:rsidRDefault="002D6726" w:rsidP="009B4DFF">
            <w:pPr>
              <w:spacing w:beforeLines="60" w:before="144" w:afterLines="60" w:after="144" w:line="240" w:lineRule="auto"/>
              <w:rPr>
                <w:sz w:val="20"/>
                <w:szCs w:val="20"/>
                <w:lang w:val="en-AU"/>
              </w:rPr>
            </w:pPr>
            <w:r w:rsidRPr="007B7D09">
              <w:rPr>
                <w:sz w:val="20"/>
                <w:szCs w:val="20"/>
                <w:lang w:val="en-AU"/>
              </w:rPr>
              <w:t>SDA</w:t>
            </w:r>
          </w:p>
        </w:tc>
        <w:tc>
          <w:tcPr>
            <w:tcW w:w="6946" w:type="dxa"/>
            <w:vAlign w:val="center"/>
          </w:tcPr>
          <w:p w:rsidR="002D6726" w:rsidRPr="00294EE7" w:rsidRDefault="002D6726" w:rsidP="009B4DFF">
            <w:pPr>
              <w:spacing w:beforeLines="60" w:before="144" w:afterLines="60" w:after="144" w:line="240" w:lineRule="auto"/>
              <w:rPr>
                <w:sz w:val="20"/>
                <w:szCs w:val="20"/>
                <w:lang w:val="en-AU"/>
              </w:rPr>
            </w:pPr>
            <w:r w:rsidRPr="00294EE7">
              <w:rPr>
                <w:sz w:val="20"/>
                <w:szCs w:val="20"/>
                <w:lang w:val="en-AU"/>
              </w:rPr>
              <w:t>Specialist Disability Accommodation</w:t>
            </w:r>
          </w:p>
        </w:tc>
      </w:tr>
      <w:tr w:rsidR="00171215" w:rsidRPr="005C4E27" w:rsidTr="009655D6">
        <w:trPr>
          <w:trHeight w:val="77"/>
        </w:trPr>
        <w:tc>
          <w:tcPr>
            <w:tcW w:w="2132" w:type="dxa"/>
            <w:vAlign w:val="center"/>
          </w:tcPr>
          <w:p w:rsidR="00171215" w:rsidRPr="007B7D09" w:rsidRDefault="00171215" w:rsidP="006A72F1">
            <w:pPr>
              <w:spacing w:beforeLines="60" w:before="144" w:afterLines="60" w:after="144" w:line="240" w:lineRule="auto"/>
              <w:rPr>
                <w:sz w:val="20"/>
                <w:szCs w:val="20"/>
                <w:lang w:val="en-AU"/>
              </w:rPr>
            </w:pPr>
            <w:r>
              <w:rPr>
                <w:sz w:val="20"/>
                <w:szCs w:val="20"/>
                <w:lang w:val="en-AU"/>
              </w:rPr>
              <w:t>SDA Position Paper</w:t>
            </w:r>
          </w:p>
        </w:tc>
        <w:tc>
          <w:tcPr>
            <w:tcW w:w="6946" w:type="dxa"/>
            <w:vAlign w:val="center"/>
          </w:tcPr>
          <w:p w:rsidR="00171215" w:rsidRPr="00294EE7" w:rsidRDefault="00171215" w:rsidP="006A72F1">
            <w:pPr>
              <w:spacing w:beforeLines="60" w:before="144" w:afterLines="60" w:after="144" w:line="240" w:lineRule="auto"/>
              <w:rPr>
                <w:sz w:val="20"/>
                <w:szCs w:val="20"/>
                <w:lang w:val="en-AU"/>
              </w:rPr>
            </w:pPr>
            <w:r w:rsidRPr="00171215">
              <w:rPr>
                <w:sz w:val="20"/>
                <w:szCs w:val="20"/>
                <w:lang w:val="en-AU"/>
              </w:rPr>
              <w:t>SDA Position Paper</w:t>
            </w:r>
            <w:r>
              <w:rPr>
                <w:sz w:val="20"/>
                <w:szCs w:val="20"/>
                <w:lang w:val="en-AU"/>
              </w:rPr>
              <w:t xml:space="preserve"> on Draft Pricing and Payments</w:t>
            </w:r>
          </w:p>
        </w:tc>
      </w:tr>
      <w:tr w:rsidR="00EB34ED" w:rsidRPr="005C4E27" w:rsidTr="00447871">
        <w:trPr>
          <w:trHeight w:val="77"/>
        </w:trPr>
        <w:tc>
          <w:tcPr>
            <w:tcW w:w="2132" w:type="dxa"/>
            <w:vAlign w:val="center"/>
          </w:tcPr>
          <w:p w:rsidR="00EB34ED" w:rsidRPr="007B7D09" w:rsidRDefault="00EB34ED" w:rsidP="006A72F1">
            <w:pPr>
              <w:spacing w:beforeLines="60" w:before="144" w:afterLines="60" w:after="144" w:line="240" w:lineRule="auto"/>
              <w:rPr>
                <w:sz w:val="20"/>
                <w:szCs w:val="20"/>
                <w:lang w:val="en-AU"/>
              </w:rPr>
            </w:pPr>
            <w:r>
              <w:rPr>
                <w:sz w:val="20"/>
                <w:szCs w:val="20"/>
                <w:lang w:val="en-AU"/>
              </w:rPr>
              <w:t>SDA Decision Paper</w:t>
            </w:r>
          </w:p>
        </w:tc>
        <w:tc>
          <w:tcPr>
            <w:tcW w:w="6946" w:type="dxa"/>
            <w:vAlign w:val="center"/>
          </w:tcPr>
          <w:p w:rsidR="00EB34ED" w:rsidRPr="00294EE7" w:rsidRDefault="00EB34ED" w:rsidP="009B4DFF">
            <w:pPr>
              <w:spacing w:beforeLines="60" w:before="144" w:afterLines="60" w:after="144" w:line="240" w:lineRule="auto"/>
              <w:rPr>
                <w:sz w:val="20"/>
                <w:szCs w:val="20"/>
                <w:lang w:val="en-AU"/>
              </w:rPr>
            </w:pPr>
            <w:r>
              <w:rPr>
                <w:sz w:val="20"/>
                <w:szCs w:val="20"/>
                <w:lang w:val="en-AU"/>
              </w:rPr>
              <w:t>SDA Decision Paper on Pricing and Payments (this paper)</w:t>
            </w:r>
          </w:p>
        </w:tc>
      </w:tr>
      <w:tr w:rsidR="002D6726" w:rsidRPr="005C4E27" w:rsidTr="009655D6">
        <w:trPr>
          <w:trHeight w:val="77"/>
        </w:trPr>
        <w:tc>
          <w:tcPr>
            <w:tcW w:w="2132" w:type="dxa"/>
            <w:vAlign w:val="center"/>
          </w:tcPr>
          <w:p w:rsidR="002D6726" w:rsidRPr="004C01F6" w:rsidRDefault="002D6726" w:rsidP="009B4DFF">
            <w:pPr>
              <w:spacing w:beforeLines="60" w:before="144" w:afterLines="60" w:after="144" w:line="240" w:lineRule="auto"/>
              <w:rPr>
                <w:sz w:val="20"/>
                <w:szCs w:val="20"/>
                <w:lang w:val="en-AU"/>
              </w:rPr>
            </w:pPr>
            <w:r w:rsidRPr="007B7D09">
              <w:rPr>
                <w:sz w:val="20"/>
                <w:szCs w:val="20"/>
                <w:lang w:val="en-AU"/>
              </w:rPr>
              <w:t>SIL</w:t>
            </w:r>
          </w:p>
        </w:tc>
        <w:tc>
          <w:tcPr>
            <w:tcW w:w="6946" w:type="dxa"/>
            <w:vAlign w:val="center"/>
          </w:tcPr>
          <w:p w:rsidR="002D6726" w:rsidRPr="00294EE7" w:rsidRDefault="002D6726" w:rsidP="009B4DFF">
            <w:pPr>
              <w:spacing w:beforeLines="60" w:before="144" w:afterLines="60" w:after="144" w:line="240" w:lineRule="auto"/>
              <w:rPr>
                <w:sz w:val="20"/>
                <w:szCs w:val="20"/>
                <w:lang w:val="en-AU"/>
              </w:rPr>
            </w:pPr>
            <w:r w:rsidRPr="00294EE7">
              <w:rPr>
                <w:sz w:val="20"/>
                <w:szCs w:val="20"/>
                <w:lang w:val="en-AU"/>
              </w:rPr>
              <w:t>Supported Independent Living</w:t>
            </w:r>
          </w:p>
        </w:tc>
      </w:tr>
      <w:tr w:rsidR="002D6726" w:rsidRPr="005C4E27" w:rsidTr="009655D6">
        <w:trPr>
          <w:trHeight w:val="77"/>
        </w:trPr>
        <w:tc>
          <w:tcPr>
            <w:tcW w:w="2132" w:type="dxa"/>
          </w:tcPr>
          <w:p w:rsidR="002D6726" w:rsidRPr="007B7D09" w:rsidRDefault="002D6726" w:rsidP="009B4DFF">
            <w:pPr>
              <w:spacing w:beforeLines="60" w:before="144" w:afterLines="60" w:after="144" w:line="240" w:lineRule="auto"/>
              <w:rPr>
                <w:sz w:val="20"/>
                <w:szCs w:val="20"/>
                <w:lang w:val="en-AU"/>
              </w:rPr>
            </w:pPr>
            <w:r w:rsidRPr="007B7D09">
              <w:rPr>
                <w:sz w:val="20"/>
                <w:szCs w:val="20"/>
                <w:lang w:val="en-AU"/>
              </w:rPr>
              <w:t>MPS</w:t>
            </w:r>
          </w:p>
        </w:tc>
        <w:tc>
          <w:tcPr>
            <w:tcW w:w="6946" w:type="dxa"/>
          </w:tcPr>
          <w:p w:rsidR="002D6726" w:rsidRPr="004C01F6" w:rsidRDefault="002D6726" w:rsidP="009B4DFF">
            <w:pPr>
              <w:spacing w:beforeLines="60" w:before="144" w:afterLines="60" w:after="144" w:line="240" w:lineRule="auto"/>
              <w:rPr>
                <w:sz w:val="20"/>
                <w:szCs w:val="20"/>
                <w:lang w:val="en-AU"/>
              </w:rPr>
            </w:pPr>
            <w:r w:rsidRPr="004C01F6">
              <w:rPr>
                <w:sz w:val="20"/>
                <w:szCs w:val="20"/>
                <w:lang w:val="en-AU"/>
              </w:rPr>
              <w:t>NDIS Market Position Statement(s)</w:t>
            </w:r>
          </w:p>
        </w:tc>
      </w:tr>
      <w:tr w:rsidR="002D6726" w:rsidRPr="005C4E27" w:rsidTr="009655D6">
        <w:trPr>
          <w:trHeight w:val="77"/>
        </w:trPr>
        <w:tc>
          <w:tcPr>
            <w:tcW w:w="2132" w:type="dxa"/>
            <w:vAlign w:val="center"/>
          </w:tcPr>
          <w:p w:rsidR="002D6726" w:rsidRPr="007B7D09" w:rsidRDefault="002D6726" w:rsidP="009B4DFF">
            <w:pPr>
              <w:spacing w:beforeLines="60" w:before="144" w:afterLines="60" w:after="144" w:line="240" w:lineRule="auto"/>
              <w:rPr>
                <w:sz w:val="20"/>
                <w:szCs w:val="20"/>
                <w:lang w:val="en-AU"/>
              </w:rPr>
            </w:pPr>
            <w:r w:rsidRPr="007B7D09">
              <w:rPr>
                <w:sz w:val="20"/>
                <w:szCs w:val="20"/>
                <w:lang w:val="en-AU"/>
              </w:rPr>
              <w:t>NDIA / Agency</w:t>
            </w:r>
          </w:p>
        </w:tc>
        <w:tc>
          <w:tcPr>
            <w:tcW w:w="6946" w:type="dxa"/>
            <w:vAlign w:val="center"/>
          </w:tcPr>
          <w:p w:rsidR="002D6726" w:rsidRPr="004C01F6" w:rsidRDefault="002D6726" w:rsidP="009B4DFF">
            <w:pPr>
              <w:spacing w:beforeLines="60" w:before="144" w:afterLines="60" w:after="144" w:line="240" w:lineRule="auto"/>
              <w:rPr>
                <w:sz w:val="20"/>
                <w:szCs w:val="20"/>
                <w:lang w:val="en-AU"/>
              </w:rPr>
            </w:pPr>
            <w:r w:rsidRPr="004C01F6">
              <w:rPr>
                <w:sz w:val="20"/>
                <w:szCs w:val="20"/>
                <w:lang w:val="en-AU"/>
              </w:rPr>
              <w:t>National Disability Insurance Agency</w:t>
            </w:r>
          </w:p>
        </w:tc>
      </w:tr>
      <w:tr w:rsidR="002D6726" w:rsidRPr="005C4E27" w:rsidTr="009655D6">
        <w:trPr>
          <w:trHeight w:val="77"/>
        </w:trPr>
        <w:tc>
          <w:tcPr>
            <w:tcW w:w="2132" w:type="dxa"/>
            <w:vAlign w:val="center"/>
          </w:tcPr>
          <w:p w:rsidR="002D6726" w:rsidRPr="007B7D09" w:rsidRDefault="002D6726" w:rsidP="009B4DFF">
            <w:pPr>
              <w:spacing w:beforeLines="60" w:before="144" w:afterLines="60" w:after="144" w:line="240" w:lineRule="auto"/>
              <w:rPr>
                <w:sz w:val="20"/>
                <w:szCs w:val="20"/>
                <w:lang w:val="en-AU"/>
              </w:rPr>
            </w:pPr>
            <w:r w:rsidRPr="007B7D09">
              <w:rPr>
                <w:sz w:val="20"/>
                <w:szCs w:val="20"/>
                <w:lang w:val="en-AU"/>
              </w:rPr>
              <w:t>NDIS Act / Act</w:t>
            </w:r>
          </w:p>
        </w:tc>
        <w:tc>
          <w:tcPr>
            <w:tcW w:w="6946" w:type="dxa"/>
            <w:vAlign w:val="center"/>
          </w:tcPr>
          <w:p w:rsidR="002D6726" w:rsidRPr="004C01F6" w:rsidRDefault="002D6726" w:rsidP="009B4DFF">
            <w:pPr>
              <w:spacing w:beforeLines="60" w:before="144" w:afterLines="60" w:after="144" w:line="240" w:lineRule="auto"/>
              <w:rPr>
                <w:i/>
                <w:sz w:val="20"/>
                <w:szCs w:val="20"/>
                <w:lang w:val="en-AU"/>
              </w:rPr>
            </w:pPr>
            <w:r w:rsidRPr="004C01F6">
              <w:rPr>
                <w:i/>
                <w:sz w:val="20"/>
                <w:szCs w:val="20"/>
                <w:lang w:val="en-AU"/>
              </w:rPr>
              <w:t>National Disability Insurance Scheme Act 2013</w:t>
            </w:r>
          </w:p>
        </w:tc>
      </w:tr>
      <w:tr w:rsidR="002D6726" w:rsidRPr="005C4E27" w:rsidTr="009655D6">
        <w:trPr>
          <w:trHeight w:val="77"/>
        </w:trPr>
        <w:tc>
          <w:tcPr>
            <w:tcW w:w="2132" w:type="dxa"/>
            <w:vAlign w:val="center"/>
          </w:tcPr>
          <w:p w:rsidR="002D6726" w:rsidRPr="007B7D09" w:rsidRDefault="002D6726" w:rsidP="009B4DFF">
            <w:pPr>
              <w:spacing w:beforeLines="60" w:before="144" w:afterLines="60" w:after="144" w:line="240" w:lineRule="auto"/>
              <w:rPr>
                <w:sz w:val="20"/>
                <w:szCs w:val="20"/>
                <w:lang w:val="en-AU"/>
              </w:rPr>
            </w:pPr>
            <w:r w:rsidRPr="007B7D09">
              <w:rPr>
                <w:sz w:val="20"/>
                <w:szCs w:val="20"/>
                <w:lang w:val="en-AU"/>
              </w:rPr>
              <w:t>NDIS / Scheme</w:t>
            </w:r>
          </w:p>
        </w:tc>
        <w:tc>
          <w:tcPr>
            <w:tcW w:w="6946" w:type="dxa"/>
            <w:vAlign w:val="center"/>
          </w:tcPr>
          <w:p w:rsidR="002D6726" w:rsidRPr="004C01F6" w:rsidRDefault="002D6726" w:rsidP="009B4DFF">
            <w:pPr>
              <w:spacing w:beforeLines="60" w:before="144" w:afterLines="60" w:after="144" w:line="240" w:lineRule="auto"/>
              <w:rPr>
                <w:sz w:val="20"/>
                <w:szCs w:val="20"/>
                <w:lang w:val="en-AU"/>
              </w:rPr>
            </w:pPr>
            <w:r w:rsidRPr="004C01F6">
              <w:rPr>
                <w:sz w:val="20"/>
                <w:szCs w:val="20"/>
                <w:lang w:val="en-AU"/>
              </w:rPr>
              <w:t>National Disability Insurance Scheme</w:t>
            </w:r>
          </w:p>
        </w:tc>
      </w:tr>
      <w:tr w:rsidR="002D6726" w:rsidRPr="005C4E27" w:rsidTr="009655D6">
        <w:trPr>
          <w:trHeight w:val="77"/>
        </w:trPr>
        <w:tc>
          <w:tcPr>
            <w:tcW w:w="2132" w:type="dxa"/>
          </w:tcPr>
          <w:p w:rsidR="002D6726" w:rsidRPr="007B7D09" w:rsidRDefault="002D6726" w:rsidP="009B4DFF">
            <w:pPr>
              <w:spacing w:beforeLines="60" w:before="144" w:afterLines="60" w:after="144" w:line="240" w:lineRule="auto"/>
              <w:rPr>
                <w:sz w:val="20"/>
                <w:szCs w:val="20"/>
                <w:lang w:val="en-AU"/>
              </w:rPr>
            </w:pPr>
            <w:r w:rsidRPr="007B7D09">
              <w:rPr>
                <w:sz w:val="20"/>
                <w:szCs w:val="20"/>
                <w:lang w:val="en-AU"/>
              </w:rPr>
              <w:t>OOA</w:t>
            </w:r>
          </w:p>
        </w:tc>
        <w:tc>
          <w:tcPr>
            <w:tcW w:w="6946" w:type="dxa"/>
          </w:tcPr>
          <w:p w:rsidR="002D6726" w:rsidRPr="004C01F6" w:rsidRDefault="002D6726" w:rsidP="009B4DFF">
            <w:pPr>
              <w:spacing w:beforeLines="60" w:before="144" w:afterLines="60" w:after="144" w:line="240" w:lineRule="auto"/>
              <w:rPr>
                <w:sz w:val="20"/>
                <w:szCs w:val="20"/>
                <w:lang w:val="en-AU"/>
              </w:rPr>
            </w:pPr>
            <w:r w:rsidRPr="004C01F6">
              <w:rPr>
                <w:sz w:val="20"/>
                <w:szCs w:val="20"/>
                <w:lang w:val="en-AU"/>
              </w:rPr>
              <w:t>On-site overnight assistance.</w:t>
            </w:r>
          </w:p>
        </w:tc>
      </w:tr>
      <w:tr w:rsidR="002D6726" w:rsidRPr="005C4E27" w:rsidTr="009655D6">
        <w:trPr>
          <w:trHeight w:val="77"/>
        </w:trPr>
        <w:tc>
          <w:tcPr>
            <w:tcW w:w="2132" w:type="dxa"/>
            <w:vAlign w:val="center"/>
          </w:tcPr>
          <w:p w:rsidR="002D6726" w:rsidRPr="007B7D09" w:rsidRDefault="002D6726" w:rsidP="009B4DFF">
            <w:pPr>
              <w:spacing w:beforeLines="60" w:before="144" w:afterLines="60" w:after="144" w:line="240" w:lineRule="auto"/>
              <w:rPr>
                <w:sz w:val="20"/>
                <w:szCs w:val="20"/>
                <w:lang w:val="en-AU"/>
              </w:rPr>
            </w:pPr>
            <w:r w:rsidRPr="007B7D09">
              <w:rPr>
                <w:sz w:val="20"/>
                <w:szCs w:val="20"/>
                <w:lang w:val="en-AU"/>
              </w:rPr>
              <w:t>RRC</w:t>
            </w:r>
          </w:p>
        </w:tc>
        <w:tc>
          <w:tcPr>
            <w:tcW w:w="6946" w:type="dxa"/>
            <w:vAlign w:val="center"/>
          </w:tcPr>
          <w:p w:rsidR="002D6726" w:rsidRPr="004C01F6" w:rsidRDefault="002D6726" w:rsidP="009B4DFF">
            <w:pPr>
              <w:spacing w:beforeLines="60" w:before="144" w:afterLines="60" w:after="144" w:line="240" w:lineRule="auto"/>
              <w:rPr>
                <w:sz w:val="20"/>
                <w:szCs w:val="20"/>
                <w:lang w:val="en-AU"/>
              </w:rPr>
            </w:pPr>
            <w:r w:rsidRPr="004C01F6">
              <w:rPr>
                <w:sz w:val="20"/>
                <w:szCs w:val="20"/>
                <w:lang w:val="en-AU"/>
              </w:rPr>
              <w:t>Reasonable Rent Contribution.</w:t>
            </w:r>
          </w:p>
        </w:tc>
      </w:tr>
    </w:tbl>
    <w:p w:rsidR="002D6726" w:rsidRPr="004C01F6" w:rsidRDefault="002D6726" w:rsidP="002D6726">
      <w:pPr>
        <w:rPr>
          <w:lang w:val="en-AU"/>
        </w:rPr>
      </w:pPr>
      <w:r w:rsidRPr="004C01F6">
        <w:rPr>
          <w:lang w:val="en-AU"/>
        </w:rPr>
        <w:br w:type="page"/>
      </w:r>
    </w:p>
    <w:p w:rsidR="002D6726" w:rsidRPr="005C4E27" w:rsidRDefault="002D6726" w:rsidP="002D6726">
      <w:pPr>
        <w:pStyle w:val="Heading2"/>
        <w:numPr>
          <w:ilvl w:val="0"/>
          <w:numId w:val="0"/>
        </w:numPr>
        <w:ind w:left="709" w:hanging="709"/>
        <w:rPr>
          <w:lang w:val="en-AU"/>
        </w:rPr>
      </w:pPr>
      <w:bookmarkStart w:id="38" w:name="_Toc452550413"/>
      <w:r w:rsidRPr="004C01F6">
        <w:rPr>
          <w:lang w:val="en-AU"/>
        </w:rPr>
        <w:lastRenderedPageBreak/>
        <w:t xml:space="preserve">Appendix </w:t>
      </w:r>
      <w:r w:rsidRPr="00ED4EE8">
        <w:rPr>
          <w:lang w:val="en-AU"/>
        </w:rPr>
        <w:fldChar w:fldCharType="begin"/>
      </w:r>
      <w:r w:rsidRPr="005C4E27">
        <w:rPr>
          <w:lang w:val="en-AU"/>
        </w:rPr>
        <w:instrText xml:space="preserve"> SEQ Appendix \* ARABIC </w:instrText>
      </w:r>
      <w:r w:rsidRPr="00ED4EE8">
        <w:rPr>
          <w:lang w:val="en-AU"/>
        </w:rPr>
        <w:fldChar w:fldCharType="separate"/>
      </w:r>
      <w:r w:rsidR="006C6F0B">
        <w:rPr>
          <w:noProof/>
          <w:lang w:val="en-AU"/>
        </w:rPr>
        <w:t>1</w:t>
      </w:r>
      <w:r w:rsidRPr="00ED4EE8">
        <w:rPr>
          <w:lang w:val="en-AU"/>
        </w:rPr>
        <w:fldChar w:fldCharType="end"/>
      </w:r>
      <w:r w:rsidRPr="005C4E27">
        <w:rPr>
          <w:lang w:val="en-AU"/>
        </w:rPr>
        <w:t>: SDA Benchmark Pricing</w:t>
      </w:r>
      <w:bookmarkEnd w:id="38"/>
    </w:p>
    <w:p w:rsidR="002D6726" w:rsidRPr="00786A09" w:rsidRDefault="002D6726" w:rsidP="002D6726">
      <w:pPr>
        <w:rPr>
          <w:lang w:val="en-AU"/>
        </w:rPr>
      </w:pPr>
      <w:r w:rsidRPr="005C4E27">
        <w:rPr>
          <w:lang w:val="en-AU"/>
        </w:rPr>
        <w:t>The benchmark pricing model for SDA has been developed based on the formula and other factors outlined in the</w:t>
      </w:r>
      <w:r w:rsidR="00786A09">
        <w:rPr>
          <w:lang w:val="en-AU"/>
        </w:rPr>
        <w:t xml:space="preserve"> </w:t>
      </w:r>
      <w:r w:rsidR="00786A09" w:rsidRPr="00786A09">
        <w:rPr>
          <w:lang w:val="en-AU"/>
        </w:rPr>
        <w:t>Specialist Disability Accommodation Pricing and Payments Framework</w:t>
      </w:r>
      <w:r w:rsidR="00786A09">
        <w:rPr>
          <w:lang w:val="en-AU"/>
        </w:rPr>
        <w:t xml:space="preserve"> (</w:t>
      </w:r>
      <w:r w:rsidR="00452344">
        <w:rPr>
          <w:lang w:val="en-AU"/>
        </w:rPr>
        <w:t xml:space="preserve">the </w:t>
      </w:r>
      <w:r w:rsidRPr="00786A09">
        <w:rPr>
          <w:lang w:val="en-AU"/>
        </w:rPr>
        <w:t>Framework</w:t>
      </w:r>
      <w:r w:rsidR="00786A09">
        <w:rPr>
          <w:lang w:val="en-AU"/>
        </w:rPr>
        <w:t>)</w:t>
      </w:r>
      <w:r w:rsidRPr="00786A09">
        <w:rPr>
          <w:lang w:val="en-AU"/>
        </w:rPr>
        <w:t>. To the extent possible, the model assumptions have been developed from industry benchmarks, but have referenced State</w:t>
      </w:r>
      <w:r w:rsidR="00452344">
        <w:rPr>
          <w:lang w:val="en-AU"/>
        </w:rPr>
        <w:t xml:space="preserve"> and Territory</w:t>
      </w:r>
      <w:r w:rsidRPr="00786A09">
        <w:rPr>
          <w:lang w:val="en-AU"/>
        </w:rPr>
        <w:t xml:space="preserve"> government data to test and calibrate the results. </w:t>
      </w:r>
    </w:p>
    <w:p w:rsidR="002D6726" w:rsidRPr="005C4E27" w:rsidRDefault="002D6726" w:rsidP="002D6726">
      <w:pPr>
        <w:rPr>
          <w:lang w:val="en-AU"/>
        </w:rPr>
      </w:pPr>
      <w:r w:rsidRPr="00AA44FB">
        <w:rPr>
          <w:lang w:val="en-AU"/>
        </w:rPr>
        <w:t>There are separate prices for new housing and for existing housing stock. The price for new builds is set to provide an incentive to a broad range of potential investors, including but not limited to institutional inves</w:t>
      </w:r>
      <w:r w:rsidRPr="00E93D6A">
        <w:rPr>
          <w:lang w:val="en-AU"/>
        </w:rPr>
        <w:t>tors, to respond quickly in constructing new properties to provide for the significant estimated unmet SDA demand. The price for existing housing stock is lower and provides yields more in line with the established rental market to ensure owners have a fin</w:t>
      </w:r>
      <w:r w:rsidRPr="005C4E27">
        <w:rPr>
          <w:lang w:val="en-AU"/>
        </w:rPr>
        <w:t xml:space="preserve">ancial incentive to retain participants for as long as they choose to live at the property. </w:t>
      </w:r>
    </w:p>
    <w:p w:rsidR="002D6726" w:rsidRPr="005C4E27" w:rsidRDefault="002D6726" w:rsidP="002D6726">
      <w:pPr>
        <w:rPr>
          <w:lang w:val="en-AU"/>
        </w:rPr>
      </w:pPr>
      <w:r w:rsidRPr="005C4E27">
        <w:rPr>
          <w:lang w:val="en-AU"/>
        </w:rPr>
        <w:t xml:space="preserve">The benchmark prices have additive and/or multiplicative factors or weights for classes of dwellings (determined by the Agency) that can be applied by the Agency as necessary. </w:t>
      </w:r>
    </w:p>
    <w:p w:rsidR="002D6726" w:rsidRPr="005C4E27" w:rsidRDefault="002D6726" w:rsidP="002D6726">
      <w:pPr>
        <w:rPr>
          <w:lang w:val="en-AU"/>
        </w:rPr>
      </w:pPr>
      <w:r w:rsidRPr="005C4E27">
        <w:rPr>
          <w:lang w:val="en-AU"/>
        </w:rPr>
        <w:t>Prices are differentiated by building type and design category. The building type and design categories were developed through consultation with stakeholders, with detailed specifications developed by architects, reflecting the range of different types of accommodation that the Agency may need to fund, including existing accommodation.</w:t>
      </w:r>
    </w:p>
    <w:p w:rsidR="002D6726" w:rsidRPr="002D27B7" w:rsidRDefault="002D6726" w:rsidP="002D27B7">
      <w:pPr>
        <w:pStyle w:val="Heading5"/>
      </w:pPr>
      <w:r w:rsidRPr="002D27B7">
        <w:t>SDA Benchmark Pricing formula</w:t>
      </w:r>
    </w:p>
    <w:p w:rsidR="002D6726" w:rsidRPr="004C01F6" w:rsidRDefault="002D6726" w:rsidP="002D6726">
      <w:pPr>
        <w:rPr>
          <w:lang w:val="en-AU"/>
        </w:rPr>
      </w:pPr>
      <w:r w:rsidRPr="005C4E27">
        <w:rPr>
          <w:lang w:val="en-AU"/>
        </w:rPr>
        <w:t xml:space="preserve">In accordance with the </w:t>
      </w:r>
      <w:r w:rsidRPr="00A328F3">
        <w:rPr>
          <w:lang w:val="en-AU"/>
        </w:rPr>
        <w:t xml:space="preserve">Framework, the Agency’s benchmark pricing for SDA is based on an efficient representative provider, with representative configurations of dwelling stock. Prices are calculated based on the formula illustrated below and expressed as a price per participant. The numbers in brackets refer to elements described </w:t>
      </w:r>
      <w:r w:rsidRPr="007B7D09">
        <w:rPr>
          <w:lang w:val="en-AU"/>
        </w:rPr>
        <w:t>below.</w:t>
      </w:r>
    </w:p>
    <w:p w:rsidR="003610C1" w:rsidRPr="00294EE7" w:rsidRDefault="003610C1" w:rsidP="009B4DFF">
      <w:pPr>
        <w:spacing w:before="240"/>
        <w:rPr>
          <w:b/>
          <w:lang w:val="en-AU"/>
        </w:rPr>
      </w:pPr>
      <w:r w:rsidRPr="00294EE7">
        <w:rPr>
          <w:b/>
          <w:lang w:val="en-AU"/>
        </w:rPr>
        <w:t xml:space="preserve">Dwelling price (1) = </w:t>
      </w:r>
    </w:p>
    <w:p w:rsidR="003610C1" w:rsidRPr="00FC5E27" w:rsidRDefault="003610C1" w:rsidP="009B4DFF">
      <w:pPr>
        <w:ind w:left="596"/>
        <w:rPr>
          <w:b/>
          <w:lang w:val="en-AU"/>
        </w:rPr>
      </w:pPr>
      <w:r w:rsidRPr="00FC5E27">
        <w:rPr>
          <w:b/>
          <w:lang w:val="en-AU"/>
        </w:rPr>
        <w:t>Consumption costs (2)</w:t>
      </w:r>
    </w:p>
    <w:p w:rsidR="003610C1" w:rsidRPr="00A328F3" w:rsidRDefault="003610C1" w:rsidP="009B4DFF">
      <w:pPr>
        <w:ind w:left="596"/>
        <w:rPr>
          <w:b/>
          <w:lang w:val="en-AU"/>
        </w:rPr>
      </w:pPr>
      <w:r w:rsidRPr="00FC5E27">
        <w:rPr>
          <w:b/>
          <w:lang w:val="en-AU"/>
        </w:rPr>
        <w:t>+ Opportunity costs of ca</w:t>
      </w:r>
      <w:r w:rsidRPr="00A328F3">
        <w:rPr>
          <w:b/>
          <w:lang w:val="en-AU"/>
        </w:rPr>
        <w:t xml:space="preserve">pital (3) </w:t>
      </w:r>
    </w:p>
    <w:p w:rsidR="003610C1" w:rsidRPr="00AC7002" w:rsidRDefault="003610C1" w:rsidP="009B4DFF">
      <w:pPr>
        <w:ind w:left="596"/>
        <w:rPr>
          <w:b/>
          <w:lang w:val="en-AU"/>
        </w:rPr>
      </w:pPr>
      <w:r w:rsidRPr="00AC7002">
        <w:rPr>
          <w:b/>
          <w:lang w:val="en-AU"/>
        </w:rPr>
        <w:t>+ Costs of ownership (4)</w:t>
      </w:r>
    </w:p>
    <w:p w:rsidR="003610C1" w:rsidRPr="00F12308" w:rsidRDefault="003610C1" w:rsidP="009B4DFF">
      <w:pPr>
        <w:ind w:left="596"/>
        <w:rPr>
          <w:b/>
          <w:lang w:val="en-AU"/>
        </w:rPr>
      </w:pPr>
      <w:r w:rsidRPr="00F12308">
        <w:rPr>
          <w:b/>
          <w:lang w:val="en-AU"/>
        </w:rPr>
        <w:t>– Land price inflation (5)</w:t>
      </w:r>
    </w:p>
    <w:p w:rsidR="003610C1" w:rsidRPr="00AA44FB" w:rsidRDefault="003610C1" w:rsidP="009B4DFF">
      <w:pPr>
        <w:ind w:left="596"/>
        <w:rPr>
          <w:b/>
          <w:lang w:val="en-AU"/>
        </w:rPr>
      </w:pPr>
      <w:r w:rsidRPr="00AA44FB">
        <w:rPr>
          <w:b/>
          <w:lang w:val="en-AU"/>
        </w:rPr>
        <w:t>– Reasonable rent contribution (from all participants in dwelling) (6)</w:t>
      </w:r>
    </w:p>
    <w:p w:rsidR="003610C1" w:rsidRPr="005C4E27" w:rsidRDefault="003610C1" w:rsidP="009B4DFF">
      <w:pPr>
        <w:rPr>
          <w:b/>
          <w:lang w:val="en-AU"/>
        </w:rPr>
      </w:pPr>
      <w:r w:rsidRPr="005C4E27">
        <w:rPr>
          <w:b/>
          <w:lang w:val="en-AU"/>
        </w:rPr>
        <w:t>SDA Benchmark Price (7) = Dwelling price (1) / anticipated number of residents (</w:t>
      </w:r>
      <w:r w:rsidR="00DF2001">
        <w:rPr>
          <w:b/>
          <w:lang w:val="en-AU"/>
        </w:rPr>
        <w:t>9</w:t>
      </w:r>
      <w:r w:rsidRPr="005C4E27">
        <w:rPr>
          <w:b/>
          <w:lang w:val="en-AU"/>
        </w:rPr>
        <w:t>)</w:t>
      </w:r>
    </w:p>
    <w:p w:rsidR="002D6726" w:rsidRPr="007B7D09" w:rsidRDefault="002D6726" w:rsidP="002D6726">
      <w:pPr>
        <w:rPr>
          <w:lang w:val="en-AU"/>
        </w:rPr>
      </w:pPr>
    </w:p>
    <w:p w:rsidR="00DF2001" w:rsidRDefault="00DF2001" w:rsidP="002D6726">
      <w:pPr>
        <w:rPr>
          <w:lang w:val="en-AU"/>
        </w:rPr>
      </w:pPr>
    </w:p>
    <w:p w:rsidR="00DF2001" w:rsidRDefault="00DF2001" w:rsidP="002D6726">
      <w:pPr>
        <w:rPr>
          <w:lang w:val="en-AU"/>
        </w:rPr>
      </w:pPr>
    </w:p>
    <w:p w:rsidR="002D6726" w:rsidRPr="004C01F6" w:rsidRDefault="002D6726" w:rsidP="002D6726">
      <w:pPr>
        <w:rPr>
          <w:lang w:val="en-AU"/>
        </w:rPr>
      </w:pPr>
      <w:r w:rsidRPr="007B7D09">
        <w:rPr>
          <w:lang w:val="en-AU"/>
        </w:rPr>
        <w:lastRenderedPageBreak/>
        <w:t>In addition, the benchmark pric</w:t>
      </w:r>
      <w:r w:rsidRPr="004C01F6">
        <w:rPr>
          <w:lang w:val="en-AU"/>
        </w:rPr>
        <w:t>ing approach also allow</w:t>
      </w:r>
      <w:r w:rsidR="00DF2001">
        <w:rPr>
          <w:lang w:val="en-AU"/>
        </w:rPr>
        <w:t>s</w:t>
      </w:r>
      <w:r w:rsidRPr="004C01F6">
        <w:rPr>
          <w:lang w:val="en-AU"/>
        </w:rPr>
        <w:t xml:space="preserve"> for a location factor and </w:t>
      </w:r>
      <w:r w:rsidR="00DF2001">
        <w:rPr>
          <w:lang w:val="en-AU"/>
        </w:rPr>
        <w:t>an</w:t>
      </w:r>
      <w:r w:rsidRPr="004C01F6">
        <w:rPr>
          <w:lang w:val="en-AU"/>
        </w:rPr>
        <w:t xml:space="preserve"> allowance</w:t>
      </w:r>
      <w:r w:rsidR="00DF2001">
        <w:rPr>
          <w:lang w:val="en-AU"/>
        </w:rPr>
        <w:t xml:space="preserve"> for fire sprinklers (where applicable)</w:t>
      </w:r>
      <w:r w:rsidRPr="004C01F6">
        <w:rPr>
          <w:lang w:val="en-AU"/>
        </w:rPr>
        <w:t xml:space="preserve">. </w:t>
      </w:r>
    </w:p>
    <w:p w:rsidR="00DF2001" w:rsidRDefault="00DF2001" w:rsidP="00DF2001">
      <w:pPr>
        <w:spacing w:before="120"/>
        <w:rPr>
          <w:b/>
          <w:lang w:val="en-AU"/>
        </w:rPr>
      </w:pPr>
      <w:r w:rsidRPr="00DF2001">
        <w:rPr>
          <w:b/>
          <w:lang w:val="en-AU"/>
        </w:rPr>
        <w:t>SDA Benchmark Price</w:t>
      </w:r>
      <w:r>
        <w:rPr>
          <w:b/>
          <w:lang w:val="en-AU"/>
        </w:rPr>
        <w:t xml:space="preserve"> (7)</w:t>
      </w:r>
      <w:r w:rsidRPr="00DF2001">
        <w:rPr>
          <w:b/>
          <w:lang w:val="en-AU"/>
        </w:rPr>
        <w:t xml:space="preserve"> = </w:t>
      </w:r>
      <w:r w:rsidRPr="00DF2001">
        <w:rPr>
          <w:b/>
          <w:lang w:val="en-AU"/>
        </w:rPr>
        <w:tab/>
      </w:r>
    </w:p>
    <w:p w:rsidR="00DF2001" w:rsidRPr="00DF2001" w:rsidRDefault="00DF2001" w:rsidP="00DF2001">
      <w:pPr>
        <w:spacing w:before="120"/>
        <w:ind w:firstLine="720"/>
        <w:rPr>
          <w:b/>
          <w:lang w:val="en-AU"/>
        </w:rPr>
      </w:pPr>
      <w:r>
        <w:rPr>
          <w:b/>
          <w:lang w:val="en-AU"/>
        </w:rPr>
        <w:t xml:space="preserve">Annual </w:t>
      </w:r>
      <w:r w:rsidRPr="00DF2001">
        <w:rPr>
          <w:b/>
          <w:lang w:val="en-AU"/>
        </w:rPr>
        <w:t>Base Price</w:t>
      </w:r>
      <w:r>
        <w:rPr>
          <w:b/>
          <w:lang w:val="en-AU"/>
        </w:rPr>
        <w:t xml:space="preserve"> per </w:t>
      </w:r>
      <w:r w:rsidR="00690AD0">
        <w:rPr>
          <w:b/>
          <w:lang w:val="en-AU"/>
        </w:rPr>
        <w:t>P</w:t>
      </w:r>
      <w:r>
        <w:rPr>
          <w:b/>
          <w:lang w:val="en-AU"/>
        </w:rPr>
        <w:t>articipant</w:t>
      </w:r>
      <w:r w:rsidR="004422C8">
        <w:rPr>
          <w:b/>
          <w:lang w:val="en-AU"/>
        </w:rPr>
        <w:t xml:space="preserve"> </w:t>
      </w:r>
      <w:r>
        <w:rPr>
          <w:b/>
          <w:lang w:val="en-AU"/>
        </w:rPr>
        <w:t>(8)</w:t>
      </w:r>
    </w:p>
    <w:p w:rsidR="00DF2001" w:rsidRPr="00DF2001" w:rsidRDefault="00DF2001" w:rsidP="00DF2001">
      <w:pPr>
        <w:spacing w:before="120"/>
        <w:rPr>
          <w:b/>
          <w:lang w:val="en-AU"/>
        </w:rPr>
      </w:pPr>
      <w:r w:rsidRPr="00DF2001">
        <w:rPr>
          <w:b/>
          <w:lang w:val="en-AU"/>
        </w:rPr>
        <w:tab/>
        <w:t xml:space="preserve">x Location Factor </w:t>
      </w:r>
      <w:r>
        <w:rPr>
          <w:b/>
          <w:lang w:val="en-AU"/>
        </w:rPr>
        <w:t>(11)</w:t>
      </w:r>
    </w:p>
    <w:p w:rsidR="00DF2001" w:rsidRPr="00DF2001" w:rsidRDefault="00DF2001" w:rsidP="00DF2001">
      <w:pPr>
        <w:spacing w:before="120"/>
        <w:rPr>
          <w:b/>
          <w:lang w:val="en-AU"/>
        </w:rPr>
      </w:pPr>
      <w:r w:rsidRPr="00DF2001">
        <w:rPr>
          <w:b/>
          <w:lang w:val="en-AU"/>
        </w:rPr>
        <w:tab/>
        <w:t xml:space="preserve">x (1 + Fire </w:t>
      </w:r>
      <w:r w:rsidR="004422C8">
        <w:rPr>
          <w:b/>
          <w:lang w:val="en-AU"/>
        </w:rPr>
        <w:t>S</w:t>
      </w:r>
      <w:r w:rsidRPr="00DF2001">
        <w:rPr>
          <w:b/>
          <w:lang w:val="en-AU"/>
        </w:rPr>
        <w:t xml:space="preserve">prinkler </w:t>
      </w:r>
      <w:r w:rsidR="004422C8">
        <w:rPr>
          <w:b/>
          <w:lang w:val="en-AU"/>
        </w:rPr>
        <w:t>A</w:t>
      </w:r>
      <w:r w:rsidRPr="00DF2001">
        <w:rPr>
          <w:b/>
          <w:lang w:val="en-AU"/>
        </w:rPr>
        <w:t xml:space="preserve">llowance) (if applicable) </w:t>
      </w:r>
      <w:r>
        <w:rPr>
          <w:b/>
          <w:lang w:val="en-AU"/>
        </w:rPr>
        <w:t>(12)</w:t>
      </w:r>
    </w:p>
    <w:p w:rsidR="002D6726" w:rsidRPr="007B7D09" w:rsidRDefault="002D6726" w:rsidP="002D6726">
      <w:pPr>
        <w:rPr>
          <w:lang w:val="en-AU"/>
        </w:rPr>
      </w:pPr>
      <w:r w:rsidRPr="00294EE7">
        <w:rPr>
          <w:lang w:val="en-AU"/>
        </w:rPr>
        <w:t>Assuming an average occupancy rate, the total income to the SDA provider for a particular dwelling is described in the following equation. As with the previous formulas, the numbers in br</w:t>
      </w:r>
      <w:r w:rsidRPr="005B1B19">
        <w:rPr>
          <w:lang w:val="en-AU"/>
        </w:rPr>
        <w:t xml:space="preserve">ackets refer to elements described </w:t>
      </w:r>
      <w:r w:rsidRPr="007B7D09">
        <w:rPr>
          <w:lang w:val="en-AU"/>
        </w:rPr>
        <w:t>below.</w:t>
      </w:r>
    </w:p>
    <w:p w:rsidR="003610C1" w:rsidRPr="004C01F6" w:rsidRDefault="003610C1" w:rsidP="009B4DFF">
      <w:pPr>
        <w:spacing w:before="120"/>
        <w:rPr>
          <w:b/>
          <w:lang w:val="en-AU"/>
        </w:rPr>
      </w:pPr>
      <w:r w:rsidRPr="004C01F6">
        <w:rPr>
          <w:b/>
          <w:lang w:val="en-AU"/>
        </w:rPr>
        <w:t>Total dwelling income (</w:t>
      </w:r>
      <w:r w:rsidR="00DF2001">
        <w:rPr>
          <w:b/>
          <w:lang w:val="en-AU"/>
        </w:rPr>
        <w:t>10</w:t>
      </w:r>
      <w:r w:rsidRPr="004C01F6">
        <w:rPr>
          <w:b/>
          <w:lang w:val="en-AU"/>
        </w:rPr>
        <w:t xml:space="preserve">) = </w:t>
      </w:r>
    </w:p>
    <w:p w:rsidR="003610C1" w:rsidRPr="00294EE7" w:rsidRDefault="00DF2001" w:rsidP="009B4DFF">
      <w:pPr>
        <w:ind w:left="738"/>
        <w:rPr>
          <w:b/>
          <w:lang w:val="en-AU"/>
        </w:rPr>
      </w:pPr>
      <w:r>
        <w:rPr>
          <w:b/>
          <w:lang w:val="en-AU"/>
        </w:rPr>
        <w:t xml:space="preserve">SDA </w:t>
      </w:r>
      <w:r w:rsidR="003610C1" w:rsidRPr="00294EE7">
        <w:rPr>
          <w:b/>
          <w:lang w:val="en-AU"/>
        </w:rPr>
        <w:t xml:space="preserve">Benchmark </w:t>
      </w:r>
      <w:r>
        <w:rPr>
          <w:b/>
          <w:lang w:val="en-AU"/>
        </w:rPr>
        <w:t>P</w:t>
      </w:r>
      <w:r w:rsidR="003610C1" w:rsidRPr="00294EE7">
        <w:rPr>
          <w:b/>
          <w:lang w:val="en-AU"/>
        </w:rPr>
        <w:t>rice (7)</w:t>
      </w:r>
    </w:p>
    <w:p w:rsidR="003610C1" w:rsidRPr="00FC5E27" w:rsidRDefault="003610C1" w:rsidP="009B4DFF">
      <w:pPr>
        <w:ind w:left="738"/>
        <w:rPr>
          <w:b/>
          <w:lang w:val="en-AU"/>
        </w:rPr>
      </w:pPr>
      <w:r w:rsidRPr="00FC5E27">
        <w:rPr>
          <w:b/>
          <w:lang w:val="en-AU"/>
        </w:rPr>
        <w:t>x Anticipated number of residents (</w:t>
      </w:r>
      <w:r w:rsidR="00DF2001">
        <w:rPr>
          <w:b/>
          <w:lang w:val="en-AU"/>
        </w:rPr>
        <w:t>9</w:t>
      </w:r>
      <w:r w:rsidRPr="00FC5E27">
        <w:rPr>
          <w:b/>
          <w:lang w:val="en-AU"/>
        </w:rPr>
        <w:t>)</w:t>
      </w:r>
    </w:p>
    <w:p w:rsidR="003610C1" w:rsidRPr="00AC7002" w:rsidRDefault="003610C1" w:rsidP="009B4DFF">
      <w:pPr>
        <w:ind w:left="738"/>
        <w:rPr>
          <w:b/>
          <w:lang w:val="en-AU"/>
        </w:rPr>
      </w:pPr>
      <w:r w:rsidRPr="00AC7002">
        <w:rPr>
          <w:b/>
          <w:lang w:val="en-AU"/>
        </w:rPr>
        <w:t xml:space="preserve">+ Reasonable </w:t>
      </w:r>
      <w:r w:rsidR="004422C8">
        <w:rPr>
          <w:b/>
          <w:lang w:val="en-AU"/>
        </w:rPr>
        <w:t>R</w:t>
      </w:r>
      <w:r w:rsidRPr="00AC7002">
        <w:rPr>
          <w:b/>
          <w:lang w:val="en-AU"/>
        </w:rPr>
        <w:t xml:space="preserve">ent </w:t>
      </w:r>
      <w:r w:rsidR="004422C8">
        <w:rPr>
          <w:b/>
          <w:lang w:val="en-AU"/>
        </w:rPr>
        <w:t>C</w:t>
      </w:r>
      <w:r w:rsidRPr="00AC7002">
        <w:rPr>
          <w:b/>
          <w:lang w:val="en-AU"/>
        </w:rPr>
        <w:t>ontributions (6)</w:t>
      </w:r>
    </w:p>
    <w:p w:rsidR="002D6726" w:rsidRPr="007B7D09" w:rsidRDefault="002D6726" w:rsidP="002D6726">
      <w:pPr>
        <w:rPr>
          <w:b/>
          <w:u w:val="single"/>
          <w:lang w:val="en-AU"/>
        </w:rPr>
      </w:pPr>
    </w:p>
    <w:p w:rsidR="002D6726" w:rsidRPr="007B7D09" w:rsidRDefault="002D6726" w:rsidP="002D6726">
      <w:pPr>
        <w:rPr>
          <w:lang w:val="en-AU"/>
        </w:rPr>
      </w:pPr>
      <w:r w:rsidRPr="004C01F6">
        <w:rPr>
          <w:lang w:val="en-AU"/>
        </w:rPr>
        <w:t>The elements of the pricing formula are set out in</w:t>
      </w:r>
      <w:r w:rsidR="00F102FE">
        <w:rPr>
          <w:lang w:val="en-AU"/>
        </w:rPr>
        <w:t xml:space="preserve"> </w:t>
      </w:r>
      <w:r w:rsidR="00F102FE">
        <w:rPr>
          <w:lang w:val="en-AU"/>
        </w:rPr>
        <w:fldChar w:fldCharType="begin"/>
      </w:r>
      <w:r w:rsidR="00F102FE">
        <w:rPr>
          <w:lang w:val="en-AU"/>
        </w:rPr>
        <w:instrText xml:space="preserve"> REF _Ref452411121 \h </w:instrText>
      </w:r>
      <w:r w:rsidR="00F102FE">
        <w:rPr>
          <w:lang w:val="en-AU"/>
        </w:rPr>
      </w:r>
      <w:r w:rsidR="00F102FE">
        <w:rPr>
          <w:lang w:val="en-AU"/>
        </w:rPr>
        <w:fldChar w:fldCharType="separate"/>
      </w:r>
      <w:r w:rsidR="006C6F0B" w:rsidRPr="004C01F6">
        <w:rPr>
          <w:lang w:val="en-AU"/>
        </w:rPr>
        <w:t xml:space="preserve">Table </w:t>
      </w:r>
      <w:r w:rsidR="006C6F0B">
        <w:rPr>
          <w:noProof/>
          <w:lang w:val="en-AU"/>
        </w:rPr>
        <w:t>7</w:t>
      </w:r>
      <w:r w:rsidR="00F102FE">
        <w:rPr>
          <w:lang w:val="en-AU"/>
        </w:rPr>
        <w:fldChar w:fldCharType="end"/>
      </w:r>
      <w:r w:rsidRPr="007B7D09">
        <w:rPr>
          <w:lang w:val="en-AU"/>
        </w:rPr>
        <w:t>.</w:t>
      </w:r>
    </w:p>
    <w:p w:rsidR="002D6726" w:rsidRPr="00DA1F62" w:rsidRDefault="002D6726" w:rsidP="009655D6">
      <w:pPr>
        <w:pStyle w:val="Caption"/>
        <w:rPr>
          <w:lang w:val="en-AU"/>
        </w:rPr>
      </w:pPr>
      <w:bookmarkStart w:id="39" w:name="_Ref452411121"/>
      <w:r w:rsidRPr="004C01F6">
        <w:rPr>
          <w:lang w:val="en-AU"/>
        </w:rPr>
        <w:t xml:space="preserve">Table </w:t>
      </w:r>
      <w:r w:rsidRPr="004C01F6">
        <w:rPr>
          <w:lang w:val="en-AU"/>
        </w:rPr>
        <w:fldChar w:fldCharType="begin"/>
      </w:r>
      <w:r w:rsidRPr="009655D6">
        <w:rPr>
          <w:lang w:val="en-AU"/>
        </w:rPr>
        <w:instrText xml:space="preserve"> SEQ Table \* ARABIC </w:instrText>
      </w:r>
      <w:r w:rsidRPr="004C01F6">
        <w:rPr>
          <w:lang w:val="en-AU"/>
        </w:rPr>
        <w:fldChar w:fldCharType="separate"/>
      </w:r>
      <w:r w:rsidR="006C6F0B">
        <w:rPr>
          <w:noProof/>
          <w:lang w:val="en-AU"/>
        </w:rPr>
        <w:t>7</w:t>
      </w:r>
      <w:r w:rsidRPr="004C01F6">
        <w:rPr>
          <w:lang w:val="en-AU"/>
        </w:rPr>
        <w:fldChar w:fldCharType="end"/>
      </w:r>
      <w:bookmarkEnd w:id="39"/>
      <w:r w:rsidRPr="007B7D09">
        <w:rPr>
          <w:lang w:val="en-AU"/>
        </w:rPr>
        <w:t>: Des</w:t>
      </w:r>
      <w:r w:rsidRPr="004C01F6">
        <w:rPr>
          <w:lang w:val="en-AU"/>
        </w:rPr>
        <w:t>cription of SDA Benchmark Pricing formula elements</w:t>
      </w:r>
    </w:p>
    <w:tbl>
      <w:tblPr>
        <w:tblStyle w:val="TableGrid"/>
        <w:tblW w:w="907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Caption w:val="Description of benchmark pricing formula"/>
        <w:tblDescription w:val="details by Metric "/>
      </w:tblPr>
      <w:tblGrid>
        <w:gridCol w:w="2263"/>
        <w:gridCol w:w="6809"/>
      </w:tblGrid>
      <w:tr w:rsidR="002D6726" w:rsidRPr="005C4E27" w:rsidTr="00E15AE7">
        <w:trPr>
          <w:tblHeader/>
        </w:trPr>
        <w:tc>
          <w:tcPr>
            <w:tcW w:w="2263" w:type="dxa"/>
            <w:shd w:val="clear" w:color="auto" w:fill="7030A0"/>
          </w:tcPr>
          <w:p w:rsidR="002D6726" w:rsidRPr="00294EE7" w:rsidRDefault="002D6726" w:rsidP="00E00CCA">
            <w:pPr>
              <w:spacing w:before="120" w:after="200"/>
              <w:rPr>
                <w:b/>
                <w:color w:val="FFFFFF" w:themeColor="background1"/>
                <w:sz w:val="20"/>
                <w:szCs w:val="20"/>
                <w:lang w:val="en-AU"/>
              </w:rPr>
            </w:pPr>
            <w:r w:rsidRPr="00294EE7">
              <w:rPr>
                <w:b/>
                <w:color w:val="FFFFFF" w:themeColor="background1"/>
                <w:sz w:val="20"/>
                <w:szCs w:val="20"/>
                <w:lang w:val="en-AU"/>
              </w:rPr>
              <w:t>Metric</w:t>
            </w:r>
          </w:p>
        </w:tc>
        <w:tc>
          <w:tcPr>
            <w:tcW w:w="6809" w:type="dxa"/>
            <w:shd w:val="clear" w:color="auto" w:fill="7030A0"/>
          </w:tcPr>
          <w:p w:rsidR="002D6726" w:rsidRPr="00FC5E27" w:rsidRDefault="002D6726" w:rsidP="00E00CCA">
            <w:pPr>
              <w:spacing w:before="120" w:after="200"/>
              <w:rPr>
                <w:b/>
                <w:color w:val="FFFFFF" w:themeColor="background1"/>
                <w:sz w:val="20"/>
                <w:szCs w:val="20"/>
                <w:lang w:val="en-AU"/>
              </w:rPr>
            </w:pPr>
            <w:r w:rsidRPr="00FC5E27">
              <w:rPr>
                <w:b/>
                <w:color w:val="FFFFFF" w:themeColor="background1"/>
                <w:sz w:val="20"/>
                <w:szCs w:val="20"/>
                <w:lang w:val="en-AU"/>
              </w:rPr>
              <w:t>Description</w:t>
            </w:r>
          </w:p>
        </w:tc>
      </w:tr>
      <w:tr w:rsidR="002D6726" w:rsidRPr="005C4E27" w:rsidTr="00E15AE7">
        <w:trPr>
          <w:cantSplit/>
          <w:trHeight w:val="427"/>
        </w:trPr>
        <w:tc>
          <w:tcPr>
            <w:tcW w:w="2263" w:type="dxa"/>
          </w:tcPr>
          <w:p w:rsidR="002D6726" w:rsidRPr="007B7D09" w:rsidRDefault="002D6726" w:rsidP="00E00CCA">
            <w:pPr>
              <w:spacing w:before="120" w:after="200"/>
              <w:rPr>
                <w:sz w:val="20"/>
                <w:szCs w:val="20"/>
                <w:lang w:val="en-AU"/>
              </w:rPr>
            </w:pPr>
            <w:r w:rsidRPr="007B7D09">
              <w:rPr>
                <w:sz w:val="20"/>
                <w:szCs w:val="20"/>
                <w:lang w:val="en-AU"/>
              </w:rPr>
              <w:t>1) Dwelling price</w:t>
            </w:r>
          </w:p>
        </w:tc>
        <w:tc>
          <w:tcPr>
            <w:tcW w:w="6809" w:type="dxa"/>
          </w:tcPr>
          <w:p w:rsidR="002D6726" w:rsidRPr="00294EE7" w:rsidRDefault="002D6726" w:rsidP="00E00CCA">
            <w:pPr>
              <w:spacing w:before="120" w:after="200"/>
              <w:rPr>
                <w:sz w:val="20"/>
                <w:szCs w:val="20"/>
                <w:lang w:val="en-AU"/>
              </w:rPr>
            </w:pPr>
            <w:r w:rsidRPr="004C01F6">
              <w:rPr>
                <w:sz w:val="20"/>
                <w:szCs w:val="20"/>
                <w:lang w:val="en-AU"/>
              </w:rPr>
              <w:t xml:space="preserve">The annual cost of a dwelling, including land, buildings and recurring annual costs, net of land price inflation and reasonable rent contributions. The dwelling price </w:t>
            </w:r>
            <w:r w:rsidRPr="00294EE7">
              <w:rPr>
                <w:sz w:val="20"/>
                <w:szCs w:val="20"/>
                <w:lang w:val="en-AU"/>
              </w:rPr>
              <w:t xml:space="preserve">is the total paid for a dwelling by the </w:t>
            </w:r>
            <w:r w:rsidR="00035D99">
              <w:rPr>
                <w:sz w:val="20"/>
                <w:szCs w:val="20"/>
                <w:lang w:val="en-AU"/>
              </w:rPr>
              <w:t>Agency</w:t>
            </w:r>
            <w:r w:rsidRPr="00294EE7">
              <w:rPr>
                <w:sz w:val="20"/>
                <w:szCs w:val="20"/>
                <w:lang w:val="en-AU"/>
              </w:rPr>
              <w:t xml:space="preserve">, before other allowances. </w:t>
            </w:r>
          </w:p>
          <w:p w:rsidR="002D6726" w:rsidRPr="00FC5E27" w:rsidRDefault="002D6726" w:rsidP="009B4DFF">
            <w:pPr>
              <w:spacing w:after="200"/>
              <w:rPr>
                <w:sz w:val="20"/>
                <w:szCs w:val="20"/>
                <w:lang w:val="en-AU"/>
              </w:rPr>
            </w:pPr>
            <w:r w:rsidRPr="00FC5E27">
              <w:rPr>
                <w:sz w:val="20"/>
                <w:szCs w:val="20"/>
                <w:lang w:val="en-AU"/>
              </w:rPr>
              <w:t xml:space="preserve">The dwelling price is divided by the anticipated number of residents to provide an SDA Benchmark Price per participant.  </w:t>
            </w:r>
          </w:p>
          <w:p w:rsidR="002D6726" w:rsidRPr="00FC5E27" w:rsidRDefault="002D6726" w:rsidP="009B4DFF">
            <w:pPr>
              <w:spacing w:after="200"/>
              <w:rPr>
                <w:sz w:val="20"/>
                <w:szCs w:val="20"/>
                <w:lang w:val="en-AU"/>
              </w:rPr>
            </w:pPr>
            <w:r w:rsidRPr="00FC5E27">
              <w:rPr>
                <w:sz w:val="20"/>
                <w:szCs w:val="20"/>
                <w:lang w:val="en-AU"/>
              </w:rPr>
              <w:t>Note: the total income for the dwelling owner will be the total dwelling income (9), described below.</w:t>
            </w:r>
          </w:p>
        </w:tc>
      </w:tr>
      <w:tr w:rsidR="002D6726" w:rsidRPr="005C4E27" w:rsidTr="00E15AE7">
        <w:trPr>
          <w:cantSplit/>
        </w:trPr>
        <w:tc>
          <w:tcPr>
            <w:tcW w:w="2263" w:type="dxa"/>
          </w:tcPr>
          <w:p w:rsidR="002D6726" w:rsidRPr="007B7D09" w:rsidRDefault="002D6726" w:rsidP="00E00CCA">
            <w:pPr>
              <w:spacing w:before="120" w:after="200"/>
              <w:rPr>
                <w:sz w:val="20"/>
                <w:szCs w:val="20"/>
                <w:lang w:val="en-AU"/>
              </w:rPr>
            </w:pPr>
            <w:r w:rsidRPr="007B7D09">
              <w:rPr>
                <w:sz w:val="20"/>
                <w:szCs w:val="20"/>
                <w:lang w:val="en-AU"/>
              </w:rPr>
              <w:t>2) Consumption costs</w:t>
            </w:r>
          </w:p>
        </w:tc>
        <w:tc>
          <w:tcPr>
            <w:tcW w:w="6809" w:type="dxa"/>
          </w:tcPr>
          <w:p w:rsidR="002D6726" w:rsidRPr="004C01F6" w:rsidRDefault="002D6726" w:rsidP="00E00CCA">
            <w:pPr>
              <w:spacing w:before="120" w:after="200"/>
              <w:rPr>
                <w:sz w:val="20"/>
                <w:szCs w:val="20"/>
                <w:lang w:val="en-AU"/>
              </w:rPr>
            </w:pPr>
            <w:r w:rsidRPr="004C01F6">
              <w:rPr>
                <w:sz w:val="20"/>
                <w:szCs w:val="20"/>
                <w:lang w:val="en-AU"/>
              </w:rPr>
              <w:t xml:space="preserve">The depreciation in the value of the building and other assets over time. </w:t>
            </w:r>
          </w:p>
        </w:tc>
      </w:tr>
      <w:tr w:rsidR="002D6726" w:rsidRPr="005C4E27" w:rsidTr="00E15AE7">
        <w:trPr>
          <w:cantSplit/>
        </w:trPr>
        <w:tc>
          <w:tcPr>
            <w:tcW w:w="2263" w:type="dxa"/>
          </w:tcPr>
          <w:p w:rsidR="002D6726" w:rsidRPr="007B7D09" w:rsidRDefault="002D6726" w:rsidP="00E00CCA">
            <w:pPr>
              <w:spacing w:before="120" w:after="200"/>
              <w:rPr>
                <w:sz w:val="20"/>
                <w:szCs w:val="20"/>
                <w:lang w:val="en-AU"/>
              </w:rPr>
            </w:pPr>
            <w:r w:rsidRPr="007B7D09">
              <w:rPr>
                <w:sz w:val="20"/>
                <w:szCs w:val="20"/>
                <w:lang w:val="en-AU"/>
              </w:rPr>
              <w:t>3) Opportunity cost of capital</w:t>
            </w:r>
          </w:p>
        </w:tc>
        <w:tc>
          <w:tcPr>
            <w:tcW w:w="6809" w:type="dxa"/>
          </w:tcPr>
          <w:p w:rsidR="002D6726" w:rsidRPr="00FC5E27" w:rsidRDefault="002D6726" w:rsidP="00E00CCA">
            <w:pPr>
              <w:spacing w:before="120" w:after="200"/>
              <w:rPr>
                <w:sz w:val="20"/>
                <w:szCs w:val="20"/>
                <w:lang w:val="en-AU"/>
              </w:rPr>
            </w:pPr>
            <w:r w:rsidRPr="004C01F6">
              <w:rPr>
                <w:sz w:val="20"/>
                <w:szCs w:val="20"/>
                <w:lang w:val="en-AU"/>
              </w:rPr>
              <w:t>The efficient financing costs associated with the typical sources of capital (debt or e</w:t>
            </w:r>
            <w:r w:rsidRPr="00294EE7">
              <w:rPr>
                <w:sz w:val="20"/>
                <w:szCs w:val="20"/>
                <w:lang w:val="en-AU"/>
              </w:rPr>
              <w:t>quity), across all aspects of the capital investment (land, buildings, plant and equipment). The weighted a</w:t>
            </w:r>
            <w:r w:rsidRPr="00FC5E27">
              <w:rPr>
                <w:sz w:val="20"/>
                <w:szCs w:val="20"/>
                <w:lang w:val="en-AU"/>
              </w:rPr>
              <w:t>verage cost of capital has been determined by the Agency with reference to similar industries.</w:t>
            </w:r>
          </w:p>
        </w:tc>
      </w:tr>
      <w:tr w:rsidR="002D6726" w:rsidRPr="005C4E27" w:rsidTr="00E15AE7">
        <w:trPr>
          <w:cantSplit/>
        </w:trPr>
        <w:tc>
          <w:tcPr>
            <w:tcW w:w="2263" w:type="dxa"/>
          </w:tcPr>
          <w:p w:rsidR="002D6726" w:rsidRPr="007B7D09" w:rsidRDefault="002D6726" w:rsidP="00E00CCA">
            <w:pPr>
              <w:spacing w:before="120" w:after="200"/>
              <w:rPr>
                <w:sz w:val="20"/>
                <w:szCs w:val="20"/>
                <w:lang w:val="en-AU"/>
              </w:rPr>
            </w:pPr>
            <w:r w:rsidRPr="007B7D09">
              <w:rPr>
                <w:sz w:val="20"/>
                <w:szCs w:val="20"/>
                <w:lang w:val="en-AU"/>
              </w:rPr>
              <w:lastRenderedPageBreak/>
              <w:t>4) Cost of ownership</w:t>
            </w:r>
          </w:p>
        </w:tc>
        <w:tc>
          <w:tcPr>
            <w:tcW w:w="6809" w:type="dxa"/>
          </w:tcPr>
          <w:p w:rsidR="002D6726" w:rsidRPr="00294EE7" w:rsidRDefault="002D6726" w:rsidP="00E00CCA">
            <w:pPr>
              <w:spacing w:before="120" w:after="200"/>
              <w:rPr>
                <w:sz w:val="20"/>
                <w:szCs w:val="20"/>
                <w:lang w:val="en-AU"/>
              </w:rPr>
            </w:pPr>
            <w:r w:rsidRPr="004C01F6">
              <w:rPr>
                <w:sz w:val="20"/>
                <w:szCs w:val="20"/>
                <w:lang w:val="en-AU"/>
              </w:rPr>
              <w:t>Recurring costs including those that are legally required, that extend the operating life of the accommodation, or that are otherwise necessary. An efficient accommodation-related operational cost of SDA could include: facilities management, rates, insurance, utilities not met by the ten</w:t>
            </w:r>
            <w:r w:rsidRPr="00294EE7">
              <w:rPr>
                <w:sz w:val="20"/>
                <w:szCs w:val="20"/>
                <w:lang w:val="en-AU"/>
              </w:rPr>
              <w:t>ants, repairs and maintenance, and tenancy management.</w:t>
            </w:r>
          </w:p>
        </w:tc>
      </w:tr>
      <w:tr w:rsidR="002D6726" w:rsidRPr="005C4E27" w:rsidTr="00E15AE7">
        <w:trPr>
          <w:cantSplit/>
        </w:trPr>
        <w:tc>
          <w:tcPr>
            <w:tcW w:w="2263" w:type="dxa"/>
          </w:tcPr>
          <w:p w:rsidR="002D6726" w:rsidRPr="007B7D09" w:rsidRDefault="002D6726" w:rsidP="00E00CCA">
            <w:pPr>
              <w:spacing w:before="120" w:after="200"/>
              <w:rPr>
                <w:sz w:val="20"/>
                <w:szCs w:val="20"/>
                <w:lang w:val="en-AU"/>
              </w:rPr>
            </w:pPr>
            <w:r w:rsidRPr="007B7D09">
              <w:rPr>
                <w:sz w:val="20"/>
                <w:szCs w:val="20"/>
                <w:lang w:val="en-AU"/>
              </w:rPr>
              <w:t>5) Land price inflation</w:t>
            </w:r>
          </w:p>
        </w:tc>
        <w:tc>
          <w:tcPr>
            <w:tcW w:w="6809" w:type="dxa"/>
          </w:tcPr>
          <w:p w:rsidR="002D6726" w:rsidRPr="00FC5E27" w:rsidRDefault="002D6726" w:rsidP="00E00CCA">
            <w:pPr>
              <w:spacing w:before="120" w:after="200"/>
              <w:rPr>
                <w:sz w:val="20"/>
                <w:szCs w:val="20"/>
                <w:lang w:val="en-AU"/>
              </w:rPr>
            </w:pPr>
            <w:r w:rsidRPr="004C01F6">
              <w:rPr>
                <w:sz w:val="20"/>
                <w:szCs w:val="20"/>
                <w:lang w:val="en-AU"/>
              </w:rPr>
              <w:t xml:space="preserve">The gain or loss the accommodation owner incurs over time due to changes in the value of land. To minimise short-run volatility in pricing arrangements, the Agency has adopted </w:t>
            </w:r>
            <w:r w:rsidRPr="00294EE7">
              <w:rPr>
                <w:sz w:val="20"/>
                <w:szCs w:val="20"/>
                <w:lang w:val="en-AU"/>
              </w:rPr>
              <w:t>a long-run (20 year+) approach to establishing this component of the benchmark prices. This factor will not</w:t>
            </w:r>
            <w:r w:rsidRPr="00FC5E27">
              <w:rPr>
                <w:sz w:val="20"/>
                <w:szCs w:val="20"/>
                <w:lang w:val="en-AU"/>
              </w:rPr>
              <w:t xml:space="preserve"> vary from year to year but (like other assumptions such as efficient financing costs) may be varied at the nominated review periods if expectations for long term inflation have materially changed since the last review.</w:t>
            </w:r>
          </w:p>
          <w:p w:rsidR="002D6726" w:rsidRPr="0069103E" w:rsidRDefault="002D6726" w:rsidP="00F12308">
            <w:pPr>
              <w:spacing w:after="200"/>
              <w:rPr>
                <w:sz w:val="20"/>
                <w:szCs w:val="20"/>
                <w:lang w:val="en-AU"/>
              </w:rPr>
            </w:pPr>
            <w:r w:rsidRPr="00FC5E27">
              <w:rPr>
                <w:sz w:val="20"/>
                <w:szCs w:val="20"/>
                <w:lang w:val="en-AU"/>
              </w:rPr>
              <w:t>The Framework notes that land that is procured through a leasing arrangement by the SDA provider will also be funded consistent with the formula outlined above. That is, the benchmark price will not be adjusted for land ownership arrangements (own versus lease). This recognises that whil</w:t>
            </w:r>
            <w:r w:rsidRPr="0069103E">
              <w:rPr>
                <w:sz w:val="20"/>
                <w:szCs w:val="20"/>
                <w:lang w:val="en-AU"/>
              </w:rPr>
              <w:t>e the SDA provider is leasing the land, if they are paying a market price, then the owner of the land will be incurring costs and inflation consistent with the formula above, and this will, in theory, be reflected in the market rental price for the land.</w:t>
            </w:r>
          </w:p>
        </w:tc>
      </w:tr>
      <w:tr w:rsidR="002D6726" w:rsidRPr="005C4E27" w:rsidTr="00E15AE7">
        <w:trPr>
          <w:cantSplit/>
        </w:trPr>
        <w:tc>
          <w:tcPr>
            <w:tcW w:w="2263" w:type="dxa"/>
          </w:tcPr>
          <w:p w:rsidR="002D6726" w:rsidRPr="007B7D09" w:rsidRDefault="002D6726" w:rsidP="00E00CCA">
            <w:pPr>
              <w:spacing w:before="120" w:after="200"/>
              <w:rPr>
                <w:sz w:val="20"/>
                <w:szCs w:val="20"/>
                <w:lang w:val="en-AU"/>
              </w:rPr>
            </w:pPr>
            <w:r w:rsidRPr="007B7D09">
              <w:rPr>
                <w:sz w:val="20"/>
                <w:szCs w:val="20"/>
                <w:lang w:val="en-AU"/>
              </w:rPr>
              <w:t>6) Reasonable Rent Contribution</w:t>
            </w:r>
            <w:r w:rsidR="00D06694">
              <w:rPr>
                <w:sz w:val="20"/>
                <w:szCs w:val="20"/>
                <w:lang w:val="en-AU"/>
              </w:rPr>
              <w:t xml:space="preserve"> (RRC)</w:t>
            </w:r>
          </w:p>
        </w:tc>
        <w:tc>
          <w:tcPr>
            <w:tcW w:w="6809" w:type="dxa"/>
          </w:tcPr>
          <w:p w:rsidR="002D6726" w:rsidRPr="00FC5E27" w:rsidRDefault="002D6726" w:rsidP="00E00CCA">
            <w:pPr>
              <w:spacing w:before="120" w:after="200"/>
              <w:rPr>
                <w:sz w:val="20"/>
                <w:szCs w:val="20"/>
                <w:lang w:val="en-AU"/>
              </w:rPr>
            </w:pPr>
            <w:r w:rsidRPr="004C01F6">
              <w:rPr>
                <w:sz w:val="20"/>
                <w:szCs w:val="20"/>
                <w:lang w:val="en-AU"/>
              </w:rPr>
              <w:t>In formulating a resident contribution in the benchmark prices, consistent with the Framework the Agency has assu</w:t>
            </w:r>
            <w:r w:rsidRPr="00294EE7">
              <w:rPr>
                <w:sz w:val="20"/>
                <w:szCs w:val="20"/>
                <w:lang w:val="en-AU"/>
              </w:rPr>
              <w:t xml:space="preserve">med residents will contribute 25 per cent of the </w:t>
            </w:r>
            <w:r w:rsidRPr="00FC5E27">
              <w:rPr>
                <w:sz w:val="20"/>
                <w:szCs w:val="20"/>
                <w:lang w:val="en-AU"/>
              </w:rPr>
              <w:t>Disability Support Pension</w:t>
            </w:r>
            <w:r w:rsidR="00E93D6A">
              <w:rPr>
                <w:sz w:val="20"/>
                <w:szCs w:val="20"/>
                <w:lang w:val="en-AU"/>
              </w:rPr>
              <w:t xml:space="preserve"> (DSP)</w:t>
            </w:r>
            <w:r w:rsidRPr="00FC5E27">
              <w:rPr>
                <w:sz w:val="20"/>
                <w:szCs w:val="20"/>
                <w:lang w:val="en-AU"/>
              </w:rPr>
              <w:t xml:space="preserve"> plus any Commonwealth Rent Assistance (CRA) for which they are eligible. The </w:t>
            </w:r>
            <w:r w:rsidR="00DD2395">
              <w:rPr>
                <w:sz w:val="20"/>
                <w:szCs w:val="20"/>
                <w:lang w:val="en-AU"/>
              </w:rPr>
              <w:t>RRC</w:t>
            </w:r>
            <w:r w:rsidRPr="00FC5E27">
              <w:rPr>
                <w:sz w:val="20"/>
                <w:szCs w:val="20"/>
                <w:lang w:val="en-AU"/>
              </w:rPr>
              <w:t xml:space="preserve"> excludes board. </w:t>
            </w:r>
          </w:p>
          <w:p w:rsidR="002D6726" w:rsidRPr="004C01F6" w:rsidRDefault="002D6726" w:rsidP="009B4DFF">
            <w:pPr>
              <w:spacing w:after="200"/>
              <w:rPr>
                <w:sz w:val="20"/>
                <w:szCs w:val="20"/>
                <w:lang w:val="en-AU"/>
              </w:rPr>
            </w:pPr>
            <w:r w:rsidRPr="004C01F6">
              <w:rPr>
                <w:sz w:val="20"/>
                <w:szCs w:val="20"/>
                <w:lang w:val="en-AU"/>
              </w:rPr>
              <w:t xml:space="preserve">Rent charged to residents that do not have SDA in their plan or are not participants is a matter for the SDA provider and will not affect SDA Benchmark Price payments associated with participants that do have SDA in their plan. </w:t>
            </w:r>
          </w:p>
        </w:tc>
      </w:tr>
      <w:tr w:rsidR="002D6726" w:rsidRPr="005C4E27" w:rsidTr="00E15AE7">
        <w:trPr>
          <w:cantSplit/>
        </w:trPr>
        <w:tc>
          <w:tcPr>
            <w:tcW w:w="2263" w:type="dxa"/>
          </w:tcPr>
          <w:p w:rsidR="002D6726" w:rsidRPr="007B7D09" w:rsidRDefault="002D6726" w:rsidP="00E00CCA">
            <w:pPr>
              <w:spacing w:before="120" w:after="200"/>
              <w:rPr>
                <w:sz w:val="20"/>
                <w:szCs w:val="20"/>
                <w:lang w:val="en-AU"/>
              </w:rPr>
            </w:pPr>
            <w:r w:rsidRPr="007B7D09">
              <w:rPr>
                <w:sz w:val="20"/>
                <w:szCs w:val="20"/>
                <w:lang w:val="en-AU"/>
              </w:rPr>
              <w:t>7)</w:t>
            </w:r>
            <w:r w:rsidR="00CB0909">
              <w:rPr>
                <w:sz w:val="20"/>
                <w:szCs w:val="20"/>
                <w:lang w:val="en-AU"/>
              </w:rPr>
              <w:t xml:space="preserve"> SDA Benchmark P</w:t>
            </w:r>
            <w:r w:rsidRPr="007B7D09">
              <w:rPr>
                <w:sz w:val="20"/>
                <w:szCs w:val="20"/>
                <w:lang w:val="en-AU"/>
              </w:rPr>
              <w:t>rice</w:t>
            </w:r>
          </w:p>
        </w:tc>
        <w:tc>
          <w:tcPr>
            <w:tcW w:w="6809" w:type="dxa"/>
          </w:tcPr>
          <w:p w:rsidR="002D6726" w:rsidRPr="004C01F6" w:rsidRDefault="002D6726" w:rsidP="00E00CCA">
            <w:pPr>
              <w:spacing w:before="120" w:after="200"/>
              <w:rPr>
                <w:sz w:val="20"/>
                <w:szCs w:val="20"/>
                <w:lang w:val="en-AU"/>
              </w:rPr>
            </w:pPr>
            <w:r w:rsidRPr="004C01F6">
              <w:rPr>
                <w:sz w:val="20"/>
                <w:szCs w:val="20"/>
                <w:lang w:val="en-AU"/>
              </w:rPr>
              <w:t xml:space="preserve">The </w:t>
            </w:r>
            <w:r w:rsidR="00646C31">
              <w:rPr>
                <w:sz w:val="20"/>
                <w:szCs w:val="20"/>
                <w:lang w:val="en-AU"/>
              </w:rPr>
              <w:t>SDA B</w:t>
            </w:r>
            <w:r w:rsidRPr="004C01F6">
              <w:rPr>
                <w:sz w:val="20"/>
                <w:szCs w:val="20"/>
                <w:lang w:val="en-AU"/>
              </w:rPr>
              <w:t xml:space="preserve">enchmark </w:t>
            </w:r>
            <w:r w:rsidR="00646C31">
              <w:rPr>
                <w:sz w:val="20"/>
                <w:szCs w:val="20"/>
                <w:lang w:val="en-AU"/>
              </w:rPr>
              <w:t>P</w:t>
            </w:r>
            <w:r w:rsidRPr="004C01F6">
              <w:rPr>
                <w:sz w:val="20"/>
                <w:szCs w:val="20"/>
                <w:lang w:val="en-AU"/>
              </w:rPr>
              <w:t xml:space="preserve">rice is the annual payment for SDA that would be provided per eligible participant that resides at a property. The </w:t>
            </w:r>
            <w:r w:rsidR="007200EE">
              <w:rPr>
                <w:sz w:val="20"/>
                <w:szCs w:val="20"/>
                <w:lang w:val="en-AU"/>
              </w:rPr>
              <w:t>SDA B</w:t>
            </w:r>
            <w:r w:rsidRPr="004C01F6">
              <w:rPr>
                <w:sz w:val="20"/>
                <w:szCs w:val="20"/>
                <w:lang w:val="en-AU"/>
              </w:rPr>
              <w:t xml:space="preserve">enchmark </w:t>
            </w:r>
            <w:r w:rsidR="007200EE">
              <w:rPr>
                <w:sz w:val="20"/>
                <w:szCs w:val="20"/>
                <w:lang w:val="en-AU"/>
              </w:rPr>
              <w:t>P</w:t>
            </w:r>
            <w:r w:rsidRPr="004C01F6">
              <w:rPr>
                <w:sz w:val="20"/>
                <w:szCs w:val="20"/>
                <w:lang w:val="en-AU"/>
              </w:rPr>
              <w:t xml:space="preserve">rice is net of </w:t>
            </w:r>
            <w:r w:rsidR="007200EE">
              <w:rPr>
                <w:sz w:val="20"/>
                <w:szCs w:val="20"/>
                <w:lang w:val="en-AU"/>
              </w:rPr>
              <w:t>RRC</w:t>
            </w:r>
            <w:r w:rsidRPr="004C01F6">
              <w:rPr>
                <w:sz w:val="20"/>
                <w:szCs w:val="20"/>
                <w:lang w:val="en-AU"/>
              </w:rPr>
              <w:t xml:space="preserve"> and therefore does not represent the entire income to the </w:t>
            </w:r>
            <w:r w:rsidR="007200EE">
              <w:rPr>
                <w:sz w:val="20"/>
                <w:szCs w:val="20"/>
                <w:lang w:val="en-AU"/>
              </w:rPr>
              <w:t>SDA provider</w:t>
            </w:r>
            <w:r w:rsidRPr="004C01F6">
              <w:rPr>
                <w:sz w:val="20"/>
                <w:szCs w:val="20"/>
                <w:lang w:val="en-AU"/>
              </w:rPr>
              <w:t>.</w:t>
            </w:r>
          </w:p>
        </w:tc>
      </w:tr>
      <w:tr w:rsidR="00CB0909" w:rsidRPr="005C4E27" w:rsidTr="00E15AE7">
        <w:trPr>
          <w:cantSplit/>
        </w:trPr>
        <w:tc>
          <w:tcPr>
            <w:tcW w:w="2263" w:type="dxa"/>
          </w:tcPr>
          <w:p w:rsidR="00CB0909" w:rsidRPr="007B7D09" w:rsidRDefault="00CB0909" w:rsidP="006211F3">
            <w:pPr>
              <w:spacing w:before="120"/>
              <w:rPr>
                <w:sz w:val="20"/>
                <w:szCs w:val="20"/>
                <w:lang w:val="en-AU"/>
              </w:rPr>
            </w:pPr>
            <w:r w:rsidRPr="007B7D09">
              <w:rPr>
                <w:sz w:val="20"/>
                <w:szCs w:val="20"/>
                <w:lang w:val="en-AU"/>
              </w:rPr>
              <w:t>8)</w:t>
            </w:r>
            <w:r>
              <w:rPr>
                <w:sz w:val="20"/>
                <w:szCs w:val="20"/>
                <w:lang w:val="en-AU"/>
              </w:rPr>
              <w:t xml:space="preserve"> Ann</w:t>
            </w:r>
            <w:r w:rsidR="006211F3">
              <w:rPr>
                <w:sz w:val="20"/>
                <w:szCs w:val="20"/>
                <w:lang w:val="en-AU"/>
              </w:rPr>
              <w:t xml:space="preserve">ual Base Price Per Participant </w:t>
            </w:r>
          </w:p>
        </w:tc>
        <w:tc>
          <w:tcPr>
            <w:tcW w:w="6809" w:type="dxa"/>
          </w:tcPr>
          <w:p w:rsidR="00CB0909" w:rsidRPr="004C01F6" w:rsidRDefault="00CB0909" w:rsidP="006211F3">
            <w:pPr>
              <w:spacing w:before="120"/>
              <w:rPr>
                <w:sz w:val="20"/>
                <w:szCs w:val="20"/>
                <w:lang w:val="en-AU"/>
              </w:rPr>
            </w:pPr>
            <w:r>
              <w:rPr>
                <w:sz w:val="20"/>
                <w:szCs w:val="20"/>
                <w:lang w:val="en-AU"/>
              </w:rPr>
              <w:t xml:space="preserve">The Annual Base Price </w:t>
            </w:r>
            <w:r w:rsidR="006211F3">
              <w:rPr>
                <w:sz w:val="20"/>
                <w:szCs w:val="20"/>
                <w:lang w:val="en-AU"/>
              </w:rPr>
              <w:t>P</w:t>
            </w:r>
            <w:r>
              <w:rPr>
                <w:sz w:val="20"/>
                <w:szCs w:val="20"/>
                <w:lang w:val="en-AU"/>
              </w:rPr>
              <w:t xml:space="preserve">er Participant, excluding RRC as shown in </w:t>
            </w:r>
            <w:r>
              <w:rPr>
                <w:sz w:val="20"/>
                <w:szCs w:val="20"/>
                <w:lang w:val="en-AU"/>
              </w:rPr>
              <w:fldChar w:fldCharType="begin"/>
            </w:r>
            <w:r>
              <w:rPr>
                <w:sz w:val="20"/>
                <w:szCs w:val="20"/>
                <w:lang w:val="en-AU"/>
              </w:rPr>
              <w:instrText xml:space="preserve"> REF _Ref452552386 \h  \* MERGEFORMAT </w:instrText>
            </w:r>
            <w:r>
              <w:rPr>
                <w:sz w:val="20"/>
                <w:szCs w:val="20"/>
                <w:lang w:val="en-AU"/>
              </w:rPr>
            </w:r>
            <w:r>
              <w:rPr>
                <w:sz w:val="20"/>
                <w:szCs w:val="20"/>
                <w:lang w:val="en-AU"/>
              </w:rPr>
              <w:fldChar w:fldCharType="separate"/>
            </w:r>
            <w:r w:rsidR="006C6F0B" w:rsidRPr="006C6F0B">
              <w:rPr>
                <w:sz w:val="20"/>
                <w:szCs w:val="20"/>
                <w:lang w:val="en-AU"/>
              </w:rPr>
              <w:t>Table 1</w:t>
            </w:r>
            <w:r>
              <w:rPr>
                <w:sz w:val="20"/>
                <w:szCs w:val="20"/>
                <w:lang w:val="en-AU"/>
              </w:rPr>
              <w:fldChar w:fldCharType="end"/>
            </w:r>
            <w:r>
              <w:rPr>
                <w:sz w:val="20"/>
                <w:szCs w:val="20"/>
                <w:lang w:val="en-AU"/>
              </w:rPr>
              <w:t xml:space="preserve"> for New Builds and </w:t>
            </w:r>
            <w:r>
              <w:rPr>
                <w:sz w:val="20"/>
                <w:szCs w:val="20"/>
                <w:lang w:val="en-AU"/>
              </w:rPr>
              <w:fldChar w:fldCharType="begin"/>
            </w:r>
            <w:r>
              <w:rPr>
                <w:sz w:val="20"/>
                <w:szCs w:val="20"/>
                <w:lang w:val="en-AU"/>
              </w:rPr>
              <w:instrText xml:space="preserve"> REF _Ref452552390 \h  \* MERGEFORMAT </w:instrText>
            </w:r>
            <w:r>
              <w:rPr>
                <w:sz w:val="20"/>
                <w:szCs w:val="20"/>
                <w:lang w:val="en-AU"/>
              </w:rPr>
            </w:r>
            <w:r>
              <w:rPr>
                <w:sz w:val="20"/>
                <w:szCs w:val="20"/>
                <w:lang w:val="en-AU"/>
              </w:rPr>
              <w:fldChar w:fldCharType="separate"/>
            </w:r>
            <w:r w:rsidR="006C6F0B" w:rsidRPr="006C6F0B">
              <w:rPr>
                <w:sz w:val="20"/>
                <w:szCs w:val="20"/>
                <w:lang w:val="en-AU"/>
              </w:rPr>
              <w:t>Table 2</w:t>
            </w:r>
            <w:r>
              <w:rPr>
                <w:sz w:val="20"/>
                <w:szCs w:val="20"/>
                <w:lang w:val="en-AU"/>
              </w:rPr>
              <w:fldChar w:fldCharType="end"/>
            </w:r>
            <w:r>
              <w:rPr>
                <w:sz w:val="20"/>
                <w:szCs w:val="20"/>
                <w:lang w:val="en-AU"/>
              </w:rPr>
              <w:t xml:space="preserve"> for Existing Stock</w:t>
            </w:r>
            <w:r w:rsidR="006211F3">
              <w:rPr>
                <w:sz w:val="20"/>
                <w:szCs w:val="20"/>
                <w:lang w:val="en-AU"/>
              </w:rPr>
              <w:t>.</w:t>
            </w:r>
          </w:p>
        </w:tc>
      </w:tr>
      <w:tr w:rsidR="002D6726" w:rsidRPr="005C4E27" w:rsidTr="00E15AE7">
        <w:trPr>
          <w:cantSplit/>
        </w:trPr>
        <w:tc>
          <w:tcPr>
            <w:tcW w:w="2263" w:type="dxa"/>
          </w:tcPr>
          <w:p w:rsidR="002D6726" w:rsidRPr="007B7D09" w:rsidRDefault="00CB0909" w:rsidP="00E00CCA">
            <w:pPr>
              <w:spacing w:before="120" w:after="200"/>
              <w:rPr>
                <w:sz w:val="20"/>
                <w:szCs w:val="20"/>
                <w:lang w:val="en-AU"/>
              </w:rPr>
            </w:pPr>
            <w:r>
              <w:rPr>
                <w:sz w:val="20"/>
                <w:szCs w:val="20"/>
                <w:lang w:val="en-AU"/>
              </w:rPr>
              <w:t xml:space="preserve">9) </w:t>
            </w:r>
            <w:r w:rsidR="002D6726" w:rsidRPr="007B7D09">
              <w:rPr>
                <w:sz w:val="20"/>
                <w:szCs w:val="20"/>
                <w:lang w:val="en-AU"/>
              </w:rPr>
              <w:t>Anticipated number of residents</w:t>
            </w:r>
          </w:p>
        </w:tc>
        <w:tc>
          <w:tcPr>
            <w:tcW w:w="6809" w:type="dxa"/>
          </w:tcPr>
          <w:p w:rsidR="002D6726" w:rsidRPr="004C01F6" w:rsidRDefault="002D6726" w:rsidP="00E00CCA">
            <w:pPr>
              <w:spacing w:before="120" w:after="200"/>
              <w:rPr>
                <w:sz w:val="20"/>
                <w:szCs w:val="20"/>
                <w:lang w:val="en-AU"/>
              </w:rPr>
            </w:pPr>
            <w:r w:rsidRPr="004C01F6">
              <w:rPr>
                <w:sz w:val="20"/>
                <w:szCs w:val="20"/>
                <w:lang w:val="en-AU"/>
              </w:rPr>
              <w:t xml:space="preserve">The number of residents within the accommodation, adjusted for the average level of vacancies for each dwelling type. Note that the Agency includes all residents of the property, including those who are not participants </w:t>
            </w:r>
            <w:r w:rsidR="007200EE">
              <w:rPr>
                <w:sz w:val="20"/>
                <w:szCs w:val="20"/>
                <w:lang w:val="en-AU"/>
              </w:rPr>
              <w:t xml:space="preserve">and participants </w:t>
            </w:r>
            <w:r w:rsidRPr="004C01F6">
              <w:rPr>
                <w:sz w:val="20"/>
                <w:szCs w:val="20"/>
                <w:lang w:val="en-AU"/>
              </w:rPr>
              <w:t>who do not have SDA in their plan.</w:t>
            </w:r>
          </w:p>
        </w:tc>
      </w:tr>
      <w:tr w:rsidR="002D6726" w:rsidRPr="005C4E27" w:rsidTr="00E15AE7">
        <w:trPr>
          <w:cantSplit/>
        </w:trPr>
        <w:tc>
          <w:tcPr>
            <w:tcW w:w="2263" w:type="dxa"/>
          </w:tcPr>
          <w:p w:rsidR="002D6726" w:rsidRPr="004C01F6" w:rsidRDefault="00CB0909" w:rsidP="00E00CCA">
            <w:pPr>
              <w:spacing w:before="120" w:after="200"/>
              <w:rPr>
                <w:sz w:val="20"/>
                <w:szCs w:val="20"/>
                <w:lang w:val="en-AU"/>
              </w:rPr>
            </w:pPr>
            <w:r>
              <w:rPr>
                <w:sz w:val="20"/>
                <w:szCs w:val="20"/>
                <w:lang w:val="en-AU"/>
              </w:rPr>
              <w:lastRenderedPageBreak/>
              <w:t>10</w:t>
            </w:r>
            <w:r w:rsidR="002D6726" w:rsidRPr="007B7D09">
              <w:rPr>
                <w:sz w:val="20"/>
                <w:szCs w:val="20"/>
                <w:lang w:val="en-AU"/>
              </w:rPr>
              <w:t>) Total dwelli</w:t>
            </w:r>
            <w:r w:rsidR="002D6726" w:rsidRPr="004C01F6">
              <w:rPr>
                <w:sz w:val="20"/>
                <w:szCs w:val="20"/>
                <w:lang w:val="en-AU"/>
              </w:rPr>
              <w:t>ng income</w:t>
            </w:r>
          </w:p>
        </w:tc>
        <w:tc>
          <w:tcPr>
            <w:tcW w:w="6809" w:type="dxa"/>
          </w:tcPr>
          <w:p w:rsidR="002D6726" w:rsidRPr="00FC5E27" w:rsidRDefault="002D6726" w:rsidP="00E00CCA">
            <w:pPr>
              <w:spacing w:before="120" w:after="200"/>
              <w:rPr>
                <w:sz w:val="20"/>
                <w:szCs w:val="20"/>
                <w:lang w:val="en-AU"/>
              </w:rPr>
            </w:pPr>
            <w:r w:rsidRPr="00294EE7">
              <w:rPr>
                <w:sz w:val="20"/>
                <w:szCs w:val="20"/>
                <w:lang w:val="en-AU"/>
              </w:rPr>
              <w:t>The total dwelling income is the total income the SDA provider would expect to receive and includ</w:t>
            </w:r>
            <w:r w:rsidRPr="00FC5E27">
              <w:rPr>
                <w:sz w:val="20"/>
                <w:szCs w:val="20"/>
                <w:lang w:val="en-AU"/>
              </w:rPr>
              <w:t xml:space="preserve">es the </w:t>
            </w:r>
            <w:r w:rsidR="007200EE">
              <w:rPr>
                <w:sz w:val="20"/>
                <w:szCs w:val="20"/>
                <w:lang w:val="en-AU"/>
              </w:rPr>
              <w:t>SDA B</w:t>
            </w:r>
            <w:r w:rsidRPr="00FC5E27">
              <w:rPr>
                <w:sz w:val="20"/>
                <w:szCs w:val="20"/>
                <w:lang w:val="en-AU"/>
              </w:rPr>
              <w:t xml:space="preserve">enchmark </w:t>
            </w:r>
            <w:r w:rsidR="007200EE">
              <w:rPr>
                <w:sz w:val="20"/>
                <w:szCs w:val="20"/>
                <w:lang w:val="en-AU"/>
              </w:rPr>
              <w:t>P</w:t>
            </w:r>
            <w:r w:rsidRPr="00FC5E27">
              <w:rPr>
                <w:sz w:val="20"/>
                <w:szCs w:val="20"/>
                <w:lang w:val="en-AU"/>
              </w:rPr>
              <w:t>rice</w:t>
            </w:r>
            <w:r w:rsidR="007200EE">
              <w:rPr>
                <w:sz w:val="20"/>
                <w:szCs w:val="20"/>
                <w:lang w:val="en-AU"/>
              </w:rPr>
              <w:t xml:space="preserve"> </w:t>
            </w:r>
            <w:r w:rsidRPr="00FC5E27">
              <w:rPr>
                <w:sz w:val="20"/>
                <w:szCs w:val="20"/>
                <w:lang w:val="en-AU"/>
              </w:rPr>
              <w:t xml:space="preserve">for each eligible participant residing at the property, plus </w:t>
            </w:r>
            <w:r w:rsidR="007200EE">
              <w:rPr>
                <w:sz w:val="20"/>
                <w:szCs w:val="20"/>
                <w:lang w:val="en-AU"/>
              </w:rPr>
              <w:t>RRC</w:t>
            </w:r>
            <w:r w:rsidRPr="00FC5E27">
              <w:rPr>
                <w:sz w:val="20"/>
                <w:szCs w:val="20"/>
                <w:lang w:val="en-AU"/>
              </w:rPr>
              <w:t xml:space="preserve"> from the participants, plus any additional allowances (see </w:t>
            </w:r>
            <w:r w:rsidR="00E00CCA">
              <w:rPr>
                <w:sz w:val="20"/>
                <w:szCs w:val="20"/>
                <w:lang w:val="en-AU"/>
              </w:rPr>
              <w:t xml:space="preserve">number </w:t>
            </w:r>
            <w:r w:rsidRPr="00FC5E27">
              <w:rPr>
                <w:sz w:val="20"/>
                <w:szCs w:val="20"/>
                <w:lang w:val="en-AU"/>
              </w:rPr>
              <w:t>1</w:t>
            </w:r>
            <w:r w:rsidR="007200EE">
              <w:rPr>
                <w:sz w:val="20"/>
                <w:szCs w:val="20"/>
                <w:lang w:val="en-AU"/>
              </w:rPr>
              <w:t>1</w:t>
            </w:r>
            <w:r w:rsidRPr="00FC5E27">
              <w:rPr>
                <w:sz w:val="20"/>
                <w:szCs w:val="20"/>
                <w:lang w:val="en-AU"/>
              </w:rPr>
              <w:t xml:space="preserve"> below).</w:t>
            </w:r>
          </w:p>
        </w:tc>
      </w:tr>
      <w:tr w:rsidR="002D6726" w:rsidRPr="005C4E27" w:rsidTr="00E15AE7">
        <w:trPr>
          <w:cantSplit/>
        </w:trPr>
        <w:tc>
          <w:tcPr>
            <w:tcW w:w="2263" w:type="dxa"/>
          </w:tcPr>
          <w:p w:rsidR="002D6726" w:rsidRPr="007B7D09" w:rsidRDefault="002D6726" w:rsidP="00CB0909">
            <w:pPr>
              <w:spacing w:before="120" w:after="200"/>
              <w:rPr>
                <w:sz w:val="20"/>
                <w:szCs w:val="20"/>
                <w:lang w:val="en-AU"/>
              </w:rPr>
            </w:pPr>
            <w:r w:rsidRPr="007B7D09">
              <w:rPr>
                <w:sz w:val="20"/>
                <w:szCs w:val="20"/>
                <w:lang w:val="en-AU"/>
              </w:rPr>
              <w:t>1</w:t>
            </w:r>
            <w:r w:rsidR="00CB0909">
              <w:rPr>
                <w:sz w:val="20"/>
                <w:szCs w:val="20"/>
                <w:lang w:val="en-AU"/>
              </w:rPr>
              <w:t>1</w:t>
            </w:r>
            <w:r w:rsidR="006211F3">
              <w:rPr>
                <w:sz w:val="20"/>
                <w:szCs w:val="20"/>
                <w:lang w:val="en-AU"/>
              </w:rPr>
              <w:t>) Location F</w:t>
            </w:r>
            <w:r w:rsidRPr="007B7D09">
              <w:rPr>
                <w:sz w:val="20"/>
                <w:szCs w:val="20"/>
                <w:lang w:val="en-AU"/>
              </w:rPr>
              <w:t>actor</w:t>
            </w:r>
          </w:p>
        </w:tc>
        <w:tc>
          <w:tcPr>
            <w:tcW w:w="6809" w:type="dxa"/>
          </w:tcPr>
          <w:p w:rsidR="002D6726" w:rsidRPr="00FC5E27" w:rsidRDefault="002D6726" w:rsidP="00E00CCA">
            <w:pPr>
              <w:spacing w:before="120" w:after="200"/>
              <w:rPr>
                <w:sz w:val="20"/>
                <w:szCs w:val="20"/>
                <w:lang w:val="en-AU"/>
              </w:rPr>
            </w:pPr>
            <w:r w:rsidRPr="004C01F6">
              <w:rPr>
                <w:sz w:val="20"/>
                <w:szCs w:val="20"/>
                <w:lang w:val="en-AU"/>
              </w:rPr>
              <w:t xml:space="preserve">The </w:t>
            </w:r>
            <w:r w:rsidR="006211F3">
              <w:rPr>
                <w:sz w:val="20"/>
                <w:szCs w:val="20"/>
                <w:lang w:val="en-AU"/>
              </w:rPr>
              <w:t xml:space="preserve">Annual </w:t>
            </w:r>
            <w:r w:rsidR="00F451CF">
              <w:rPr>
                <w:sz w:val="20"/>
                <w:szCs w:val="20"/>
                <w:lang w:val="en-AU"/>
              </w:rPr>
              <w:t>B</w:t>
            </w:r>
            <w:r w:rsidRPr="004C01F6">
              <w:rPr>
                <w:sz w:val="20"/>
                <w:szCs w:val="20"/>
                <w:lang w:val="en-AU"/>
              </w:rPr>
              <w:t xml:space="preserve">ase </w:t>
            </w:r>
            <w:r w:rsidR="00F451CF">
              <w:rPr>
                <w:sz w:val="20"/>
                <w:szCs w:val="20"/>
                <w:lang w:val="en-AU"/>
              </w:rPr>
              <w:t>P</w:t>
            </w:r>
            <w:r w:rsidRPr="004C01F6">
              <w:rPr>
                <w:sz w:val="20"/>
                <w:szCs w:val="20"/>
                <w:lang w:val="en-AU"/>
              </w:rPr>
              <w:t xml:space="preserve">rice </w:t>
            </w:r>
            <w:r w:rsidR="006211F3">
              <w:rPr>
                <w:sz w:val="20"/>
                <w:szCs w:val="20"/>
                <w:lang w:val="en-AU"/>
              </w:rPr>
              <w:t xml:space="preserve">Per Participant </w:t>
            </w:r>
            <w:r w:rsidRPr="004C01F6">
              <w:rPr>
                <w:sz w:val="20"/>
                <w:szCs w:val="20"/>
                <w:lang w:val="en-AU"/>
              </w:rPr>
              <w:t xml:space="preserve">provided in the </w:t>
            </w:r>
            <w:r w:rsidR="00F451CF">
              <w:rPr>
                <w:sz w:val="20"/>
                <w:szCs w:val="20"/>
                <w:lang w:val="en-AU"/>
              </w:rPr>
              <w:t xml:space="preserve">SDA Benchmark Price </w:t>
            </w:r>
            <w:r w:rsidRPr="004C01F6">
              <w:rPr>
                <w:sz w:val="20"/>
                <w:szCs w:val="20"/>
                <w:lang w:val="en-AU"/>
              </w:rPr>
              <w:t xml:space="preserve">schedules reflects a property constructed in a location with land values equal to the median capital city value. A location factor will be applied to the </w:t>
            </w:r>
            <w:r w:rsidR="00F451CF">
              <w:rPr>
                <w:sz w:val="20"/>
                <w:szCs w:val="20"/>
                <w:lang w:val="en-AU"/>
              </w:rPr>
              <w:t>Base Price</w:t>
            </w:r>
            <w:r w:rsidRPr="00294EE7">
              <w:rPr>
                <w:sz w:val="20"/>
                <w:szCs w:val="20"/>
                <w:lang w:val="en-AU"/>
              </w:rPr>
              <w:t xml:space="preserve"> based on the location of the property to reflect differences in building costs and land values in </w:t>
            </w:r>
            <w:r w:rsidRPr="00FC5E27">
              <w:rPr>
                <w:sz w:val="20"/>
                <w:szCs w:val="20"/>
                <w:lang w:val="en-AU"/>
              </w:rPr>
              <w:t xml:space="preserve">each geographic area. </w:t>
            </w:r>
          </w:p>
        </w:tc>
      </w:tr>
      <w:tr w:rsidR="002D6726" w:rsidRPr="005C4E27" w:rsidTr="00E15AE7">
        <w:trPr>
          <w:cantSplit/>
        </w:trPr>
        <w:tc>
          <w:tcPr>
            <w:tcW w:w="2263" w:type="dxa"/>
          </w:tcPr>
          <w:p w:rsidR="002D6726" w:rsidRPr="007B7D09" w:rsidRDefault="002D6726" w:rsidP="00CB0909">
            <w:pPr>
              <w:spacing w:before="120" w:after="200"/>
              <w:rPr>
                <w:sz w:val="20"/>
                <w:szCs w:val="20"/>
                <w:lang w:val="en-AU"/>
              </w:rPr>
            </w:pPr>
            <w:r w:rsidRPr="007B7D09">
              <w:rPr>
                <w:sz w:val="20"/>
                <w:szCs w:val="20"/>
                <w:lang w:val="en-AU"/>
              </w:rPr>
              <w:t>1</w:t>
            </w:r>
            <w:r w:rsidR="00CB0909">
              <w:rPr>
                <w:sz w:val="20"/>
                <w:szCs w:val="20"/>
                <w:lang w:val="en-AU"/>
              </w:rPr>
              <w:t>2</w:t>
            </w:r>
            <w:r w:rsidRPr="007B7D09">
              <w:rPr>
                <w:sz w:val="20"/>
                <w:szCs w:val="20"/>
                <w:lang w:val="en-AU"/>
              </w:rPr>
              <w:t xml:space="preserve">) </w:t>
            </w:r>
            <w:r w:rsidR="00CB0909">
              <w:rPr>
                <w:sz w:val="20"/>
                <w:szCs w:val="20"/>
                <w:lang w:val="en-AU"/>
              </w:rPr>
              <w:t>Fire Sprinkler Allowance</w:t>
            </w:r>
          </w:p>
        </w:tc>
        <w:tc>
          <w:tcPr>
            <w:tcW w:w="6809" w:type="dxa"/>
          </w:tcPr>
          <w:p w:rsidR="002D6726" w:rsidRPr="00FC5E27" w:rsidRDefault="00826382" w:rsidP="00E00CCA">
            <w:pPr>
              <w:spacing w:before="120" w:after="200"/>
              <w:rPr>
                <w:sz w:val="20"/>
                <w:szCs w:val="20"/>
                <w:lang w:val="en-AU"/>
              </w:rPr>
            </w:pPr>
            <w:r>
              <w:rPr>
                <w:sz w:val="20"/>
                <w:szCs w:val="20"/>
                <w:lang w:val="en-AU"/>
              </w:rPr>
              <w:t xml:space="preserve">An additional allowance will be paid for SDA properties with fire sprinklers. </w:t>
            </w:r>
          </w:p>
        </w:tc>
      </w:tr>
    </w:tbl>
    <w:p w:rsidR="002D6726" w:rsidRPr="007B7D09" w:rsidRDefault="002D6726" w:rsidP="002D6726">
      <w:pPr>
        <w:rPr>
          <w:lang w:val="en-AU"/>
        </w:rPr>
      </w:pPr>
      <w:r w:rsidRPr="007B7D09">
        <w:rPr>
          <w:lang w:val="en-AU"/>
        </w:rPr>
        <w:br w:type="page"/>
      </w:r>
    </w:p>
    <w:p w:rsidR="002D6726" w:rsidRPr="005C4E27" w:rsidRDefault="002D6726" w:rsidP="002D6726">
      <w:pPr>
        <w:rPr>
          <w:lang w:val="en-AU"/>
        </w:rPr>
        <w:sectPr w:rsidR="002D6726" w:rsidRPr="005C4E27" w:rsidSect="00FB5514">
          <w:headerReference w:type="even" r:id="rId34"/>
          <w:headerReference w:type="default" r:id="rId35"/>
          <w:footerReference w:type="default" r:id="rId36"/>
          <w:headerReference w:type="first" r:id="rId37"/>
          <w:footerReference w:type="first" r:id="rId38"/>
          <w:pgSz w:w="11906" w:h="16838"/>
          <w:pgMar w:top="1440" w:right="1440" w:bottom="1440" w:left="1440" w:header="708" w:footer="0" w:gutter="0"/>
          <w:cols w:space="708"/>
          <w:titlePg/>
          <w:docGrid w:linePitch="360"/>
        </w:sectPr>
      </w:pPr>
    </w:p>
    <w:p w:rsidR="002D6726" w:rsidRPr="005C4E27" w:rsidRDefault="002D6726" w:rsidP="002D6726">
      <w:pPr>
        <w:pStyle w:val="Heading2"/>
        <w:numPr>
          <w:ilvl w:val="0"/>
          <w:numId w:val="0"/>
        </w:numPr>
        <w:ind w:left="709" w:hanging="709"/>
        <w:rPr>
          <w:lang w:val="en-AU"/>
        </w:rPr>
      </w:pPr>
      <w:bookmarkStart w:id="40" w:name="_Toc452550414"/>
      <w:r w:rsidRPr="005C4E27">
        <w:rPr>
          <w:lang w:val="en-AU"/>
        </w:rPr>
        <w:lastRenderedPageBreak/>
        <w:t xml:space="preserve">Appendix </w:t>
      </w:r>
      <w:r w:rsidRPr="00ED4EE8">
        <w:rPr>
          <w:lang w:val="en-AU"/>
        </w:rPr>
        <w:fldChar w:fldCharType="begin"/>
      </w:r>
      <w:r w:rsidRPr="005C4E27">
        <w:rPr>
          <w:lang w:val="en-AU"/>
        </w:rPr>
        <w:instrText xml:space="preserve"> SEQ Appendix \* ARABIC </w:instrText>
      </w:r>
      <w:r w:rsidRPr="00ED4EE8">
        <w:rPr>
          <w:lang w:val="en-AU"/>
        </w:rPr>
        <w:fldChar w:fldCharType="separate"/>
      </w:r>
      <w:r w:rsidR="006C6F0B">
        <w:rPr>
          <w:noProof/>
          <w:lang w:val="en-AU"/>
        </w:rPr>
        <w:t>2</w:t>
      </w:r>
      <w:r w:rsidRPr="00ED4EE8">
        <w:rPr>
          <w:lang w:val="en-AU"/>
        </w:rPr>
        <w:fldChar w:fldCharType="end"/>
      </w:r>
      <w:r w:rsidRPr="005C4E27">
        <w:rPr>
          <w:lang w:val="en-AU"/>
        </w:rPr>
        <w:t>: Location factors</w:t>
      </w:r>
      <w:bookmarkEnd w:id="40"/>
    </w:p>
    <w:p w:rsidR="002D6726" w:rsidRPr="005C4E27" w:rsidRDefault="002D6726" w:rsidP="009655D6">
      <w:pPr>
        <w:rPr>
          <w:lang w:val="en-AU"/>
        </w:rPr>
      </w:pPr>
      <w:r w:rsidRPr="009655D6">
        <w:t xml:space="preserve">To derive an SDA Benchmark Price for a particular </w:t>
      </w:r>
      <w:r w:rsidR="00BD3EE3">
        <w:t>dwelling</w:t>
      </w:r>
      <w:r w:rsidRPr="009655D6">
        <w:t>, the Base Price (before additional allowances) must be multiplied by the Location Factor</w:t>
      </w:r>
      <w:r w:rsidR="00BD3EE3">
        <w:t xml:space="preserve"> </w:t>
      </w:r>
      <w:r w:rsidRPr="009655D6">
        <w:t>relevant to the property’s location and building type, as shown in the table below. The Location Factor geographic areas are based on Australian Bureau of Statistics, Statistical Areas Level 4 regions</w:t>
      </w:r>
      <w:r w:rsidRPr="005C4E27">
        <w:rPr>
          <w:lang w:val="en-AU"/>
        </w:rPr>
        <w:t>.</w:t>
      </w:r>
      <w:r w:rsidRPr="005C4E27">
        <w:rPr>
          <w:rStyle w:val="FootnoteReference"/>
          <w:lang w:val="en-AU"/>
        </w:rPr>
        <w:footnoteReference w:id="4"/>
      </w:r>
      <w:r w:rsidRPr="005C4E27">
        <w:rPr>
          <w:lang w:val="en-AU"/>
        </w:rPr>
        <w:t xml:space="preserve"> </w:t>
      </w:r>
    </w:p>
    <w:p w:rsidR="002D6726" w:rsidRPr="005C4E27" w:rsidRDefault="002D6726" w:rsidP="002D6726">
      <w:pPr>
        <w:pStyle w:val="Caption"/>
        <w:rPr>
          <w:lang w:val="en-AU"/>
        </w:rPr>
      </w:pPr>
      <w:bookmarkStart w:id="41" w:name="_Ref452411510"/>
      <w:r w:rsidRPr="005C4E27">
        <w:rPr>
          <w:lang w:val="en-AU"/>
        </w:rPr>
        <w:t xml:space="preserve">Table </w:t>
      </w:r>
      <w:r w:rsidRPr="00ED4EE8">
        <w:rPr>
          <w:lang w:val="en-AU"/>
        </w:rPr>
        <w:fldChar w:fldCharType="begin"/>
      </w:r>
      <w:r w:rsidRPr="005C4E27">
        <w:rPr>
          <w:lang w:val="en-AU"/>
        </w:rPr>
        <w:instrText xml:space="preserve"> SEQ Table \* ARABIC </w:instrText>
      </w:r>
      <w:r w:rsidRPr="00ED4EE8">
        <w:rPr>
          <w:lang w:val="en-AU"/>
        </w:rPr>
        <w:fldChar w:fldCharType="separate"/>
      </w:r>
      <w:r w:rsidR="006C6F0B">
        <w:rPr>
          <w:noProof/>
          <w:lang w:val="en-AU"/>
        </w:rPr>
        <w:t>8</w:t>
      </w:r>
      <w:r w:rsidRPr="00ED4EE8">
        <w:rPr>
          <w:lang w:val="en-AU"/>
        </w:rPr>
        <w:fldChar w:fldCharType="end"/>
      </w:r>
      <w:bookmarkEnd w:id="41"/>
      <w:r w:rsidR="003C358D">
        <w:rPr>
          <w:lang w:val="en-AU"/>
        </w:rPr>
        <w:t>: Location factors</w:t>
      </w:r>
    </w:p>
    <w:tbl>
      <w:tblPr>
        <w:tblW w:w="14170" w:type="dxa"/>
        <w:tblLayout w:type="fixed"/>
        <w:tblLook w:val="04A0" w:firstRow="1" w:lastRow="0" w:firstColumn="1" w:lastColumn="0" w:noHBand="0" w:noVBand="1"/>
      </w:tblPr>
      <w:tblGrid>
        <w:gridCol w:w="3823"/>
        <w:gridCol w:w="1134"/>
        <w:gridCol w:w="1134"/>
        <w:gridCol w:w="1134"/>
        <w:gridCol w:w="992"/>
        <w:gridCol w:w="992"/>
        <w:gridCol w:w="992"/>
        <w:gridCol w:w="960"/>
        <w:gridCol w:w="992"/>
        <w:gridCol w:w="1025"/>
        <w:gridCol w:w="992"/>
      </w:tblGrid>
      <w:tr w:rsidR="00D46F03" w:rsidRPr="005C4E27" w:rsidTr="009655D6">
        <w:trPr>
          <w:cantSplit/>
          <w:trHeight w:val="303"/>
          <w:tblHeader/>
        </w:trPr>
        <w:tc>
          <w:tcPr>
            <w:tcW w:w="3823" w:type="dxa"/>
            <w:vMerge w:val="restart"/>
            <w:tcBorders>
              <w:top w:val="single" w:sz="4" w:space="0" w:color="7030A0"/>
              <w:left w:val="single" w:sz="4" w:space="0" w:color="7030A0"/>
              <w:right w:val="single" w:sz="4" w:space="0" w:color="FFFFFF" w:themeColor="background1"/>
            </w:tcBorders>
            <w:shd w:val="clear" w:color="auto" w:fill="7030A0"/>
            <w:noWrap/>
            <w:vAlign w:val="center"/>
          </w:tcPr>
          <w:p w:rsidR="00D46F03" w:rsidRPr="005C4E27" w:rsidRDefault="00D46F03" w:rsidP="00AA44FB">
            <w:pPr>
              <w:spacing w:after="0" w:line="240" w:lineRule="auto"/>
              <w:rPr>
                <w:rFonts w:eastAsia="Times New Roman" w:cs="Times New Roman"/>
                <w:b/>
                <w:color w:val="FFFFFF" w:themeColor="background1"/>
                <w:sz w:val="20"/>
                <w:szCs w:val="20"/>
                <w:lang w:val="en-AU" w:eastAsia="en-AU"/>
              </w:rPr>
            </w:pPr>
            <w:r w:rsidRPr="005C4E27">
              <w:rPr>
                <w:rFonts w:eastAsia="Times New Roman" w:cs="Times New Roman"/>
                <w:b/>
                <w:color w:val="FFFFFF" w:themeColor="background1"/>
                <w:sz w:val="18"/>
                <w:szCs w:val="20"/>
                <w:lang w:val="en-AU" w:eastAsia="en-AU"/>
              </w:rPr>
              <w:t>Location</w:t>
            </w:r>
          </w:p>
        </w:tc>
        <w:tc>
          <w:tcPr>
            <w:tcW w:w="340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D46F03" w:rsidRPr="005C4E27" w:rsidRDefault="00D46F03">
            <w:pPr>
              <w:spacing w:after="0" w:line="240" w:lineRule="auto"/>
              <w:jc w:val="center"/>
              <w:rPr>
                <w:rFonts w:eastAsia="Times New Roman" w:cs="Times New Roman"/>
                <w:b/>
                <w:color w:val="FFFFFF" w:themeColor="background1"/>
                <w:sz w:val="18"/>
                <w:szCs w:val="18"/>
                <w:lang w:val="en-AU" w:eastAsia="en-AU"/>
              </w:rPr>
            </w:pPr>
            <w:r w:rsidRPr="005C4E27">
              <w:rPr>
                <w:rFonts w:eastAsia="Times New Roman" w:cs="Times New Roman"/>
                <w:b/>
                <w:color w:val="FFFFFF" w:themeColor="background1"/>
                <w:sz w:val="18"/>
                <w:szCs w:val="18"/>
                <w:lang w:val="en-AU" w:eastAsia="en-AU"/>
              </w:rPr>
              <w:t>Apartment</w:t>
            </w:r>
          </w:p>
        </w:tc>
        <w:tc>
          <w:tcPr>
            <w:tcW w:w="29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D46F03" w:rsidRPr="005C4E27" w:rsidRDefault="00D46F03" w:rsidP="006A72F1">
            <w:pPr>
              <w:spacing w:after="0" w:line="240" w:lineRule="auto"/>
              <w:jc w:val="center"/>
              <w:rPr>
                <w:rFonts w:eastAsia="Times New Roman" w:cs="Times New Roman"/>
                <w:b/>
                <w:color w:val="FFFFFF" w:themeColor="background1"/>
                <w:sz w:val="18"/>
                <w:szCs w:val="18"/>
                <w:lang w:val="en-AU" w:eastAsia="en-AU"/>
              </w:rPr>
            </w:pPr>
            <w:r w:rsidRPr="005C4E27">
              <w:rPr>
                <w:rFonts w:eastAsia="Times New Roman" w:cs="Times New Roman"/>
                <w:b/>
                <w:color w:val="FFFFFF" w:themeColor="background1"/>
                <w:sz w:val="18"/>
                <w:szCs w:val="18"/>
                <w:lang w:val="en-AU" w:eastAsia="en-AU"/>
              </w:rPr>
              <w:t>Villa</w:t>
            </w:r>
            <w:r w:rsidR="009150D8">
              <w:rPr>
                <w:rFonts w:eastAsia="Times New Roman" w:cs="Times New Roman"/>
                <w:b/>
                <w:color w:val="FFFFFF" w:themeColor="background1"/>
                <w:sz w:val="18"/>
                <w:szCs w:val="18"/>
                <w:lang w:val="en-AU" w:eastAsia="en-AU"/>
              </w:rPr>
              <w:t xml:space="preserve"> / </w:t>
            </w:r>
            <w:r w:rsidRPr="005C4E27">
              <w:rPr>
                <w:rFonts w:eastAsia="Times New Roman" w:cs="Times New Roman"/>
                <w:b/>
                <w:color w:val="FFFFFF" w:themeColor="background1"/>
                <w:sz w:val="18"/>
                <w:szCs w:val="18"/>
                <w:lang w:val="en-AU" w:eastAsia="en-AU"/>
              </w:rPr>
              <w:t xml:space="preserve"> </w:t>
            </w:r>
            <w:r w:rsidR="009150D8">
              <w:rPr>
                <w:rFonts w:eastAsia="Times New Roman" w:cs="Times New Roman"/>
                <w:b/>
                <w:color w:val="FFFFFF" w:themeColor="background1"/>
                <w:sz w:val="18"/>
                <w:szCs w:val="18"/>
                <w:lang w:val="en-AU" w:eastAsia="en-AU"/>
              </w:rPr>
              <w:t>D</w:t>
            </w:r>
            <w:r w:rsidRPr="005C4E27">
              <w:rPr>
                <w:rFonts w:eastAsia="Times New Roman" w:cs="Times New Roman"/>
                <w:b/>
                <w:color w:val="FFFFFF" w:themeColor="background1"/>
                <w:sz w:val="18"/>
                <w:szCs w:val="18"/>
                <w:lang w:val="en-AU" w:eastAsia="en-AU"/>
              </w:rPr>
              <w:t>uplex</w:t>
            </w:r>
            <w:r w:rsidR="009150D8">
              <w:rPr>
                <w:rFonts w:eastAsia="Times New Roman" w:cs="Times New Roman"/>
                <w:b/>
                <w:color w:val="FFFFFF" w:themeColor="background1"/>
                <w:sz w:val="18"/>
                <w:szCs w:val="18"/>
                <w:lang w:val="en-AU" w:eastAsia="en-AU"/>
              </w:rPr>
              <w:t xml:space="preserve"> / T</w:t>
            </w:r>
            <w:r w:rsidRPr="005C4E27">
              <w:rPr>
                <w:rFonts w:eastAsia="Times New Roman" w:cs="Times New Roman"/>
                <w:b/>
                <w:color w:val="FFFFFF" w:themeColor="background1"/>
                <w:sz w:val="18"/>
                <w:szCs w:val="18"/>
                <w:lang w:val="en-AU" w:eastAsia="en-AU"/>
              </w:rPr>
              <w:t>ownhouse</w:t>
            </w:r>
          </w:p>
        </w:tc>
        <w:tc>
          <w:tcPr>
            <w:tcW w:w="195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D46F03" w:rsidRPr="005C4E27" w:rsidRDefault="00D46F03">
            <w:pPr>
              <w:spacing w:after="0" w:line="240" w:lineRule="auto"/>
              <w:jc w:val="center"/>
              <w:rPr>
                <w:rFonts w:eastAsia="Times New Roman" w:cs="Times New Roman"/>
                <w:b/>
                <w:color w:val="FFFFFF" w:themeColor="background1"/>
                <w:sz w:val="18"/>
                <w:szCs w:val="18"/>
                <w:lang w:val="en-AU" w:eastAsia="en-AU"/>
              </w:rPr>
            </w:pPr>
            <w:r w:rsidRPr="005C4E27">
              <w:rPr>
                <w:rFonts w:eastAsia="Times New Roman" w:cs="Times New Roman"/>
                <w:b/>
                <w:color w:val="FFFFFF" w:themeColor="background1"/>
                <w:sz w:val="18"/>
                <w:szCs w:val="18"/>
                <w:lang w:val="en-AU" w:eastAsia="en-AU"/>
              </w:rPr>
              <w:t>House</w:t>
            </w:r>
          </w:p>
        </w:tc>
        <w:tc>
          <w:tcPr>
            <w:tcW w:w="2017" w:type="dxa"/>
            <w:gridSpan w:val="2"/>
            <w:tcBorders>
              <w:top w:val="single" w:sz="4" w:space="0" w:color="FFFFFF" w:themeColor="background1"/>
              <w:left w:val="single" w:sz="4" w:space="0" w:color="FFFFFF" w:themeColor="background1"/>
              <w:bottom w:val="single" w:sz="4" w:space="0" w:color="FFFFFF" w:themeColor="background1"/>
              <w:right w:val="single" w:sz="4" w:space="0" w:color="7030A0"/>
            </w:tcBorders>
            <w:shd w:val="clear" w:color="auto" w:fill="7030A0"/>
            <w:vAlign w:val="center"/>
          </w:tcPr>
          <w:p w:rsidR="00D46F03" w:rsidRPr="005C4E27" w:rsidRDefault="00D46F03" w:rsidP="006A72F1">
            <w:pPr>
              <w:spacing w:after="0" w:line="240" w:lineRule="auto"/>
              <w:jc w:val="center"/>
              <w:rPr>
                <w:rFonts w:eastAsia="Times New Roman" w:cs="Times New Roman"/>
                <w:b/>
                <w:color w:val="FFFFFF" w:themeColor="background1"/>
                <w:sz w:val="18"/>
                <w:szCs w:val="18"/>
                <w:lang w:val="en-AU" w:eastAsia="en-AU"/>
              </w:rPr>
            </w:pPr>
            <w:r w:rsidRPr="005C4E27">
              <w:rPr>
                <w:rFonts w:eastAsia="Times New Roman" w:cs="Times New Roman"/>
                <w:b/>
                <w:color w:val="FFFFFF" w:themeColor="background1"/>
                <w:sz w:val="18"/>
                <w:szCs w:val="18"/>
                <w:lang w:val="en-AU" w:eastAsia="en-AU"/>
              </w:rPr>
              <w:t xml:space="preserve">Group </w:t>
            </w:r>
            <w:r w:rsidR="009150D8">
              <w:rPr>
                <w:rFonts w:eastAsia="Times New Roman" w:cs="Times New Roman"/>
                <w:b/>
                <w:color w:val="FFFFFF" w:themeColor="background1"/>
                <w:sz w:val="18"/>
                <w:szCs w:val="18"/>
                <w:lang w:val="en-AU" w:eastAsia="en-AU"/>
              </w:rPr>
              <w:t>home</w:t>
            </w:r>
          </w:p>
        </w:tc>
      </w:tr>
      <w:tr w:rsidR="00D46F03" w:rsidRPr="005C4E27" w:rsidTr="009655D6">
        <w:trPr>
          <w:cantSplit/>
          <w:trHeight w:val="540"/>
          <w:tblHeader/>
        </w:trPr>
        <w:tc>
          <w:tcPr>
            <w:tcW w:w="3823" w:type="dxa"/>
            <w:vMerge/>
            <w:tcBorders>
              <w:left w:val="single" w:sz="4" w:space="0" w:color="7030A0"/>
              <w:bottom w:val="single" w:sz="4" w:space="0" w:color="FFFFFF" w:themeColor="background1"/>
              <w:right w:val="single" w:sz="4" w:space="0" w:color="FFFFFF" w:themeColor="background1"/>
            </w:tcBorders>
            <w:shd w:val="clear" w:color="auto" w:fill="7030A0"/>
            <w:noWrap/>
            <w:vAlign w:val="center"/>
            <w:hideMark/>
          </w:tcPr>
          <w:p w:rsidR="00D46F03" w:rsidRPr="005C4E27" w:rsidRDefault="00D46F03" w:rsidP="009655D6">
            <w:pPr>
              <w:spacing w:after="0" w:line="240" w:lineRule="auto"/>
              <w:rPr>
                <w:rFonts w:eastAsia="Times New Roman" w:cs="Times New Roman"/>
                <w:b/>
                <w:color w:val="FFFFFF" w:themeColor="background1"/>
                <w:sz w:val="20"/>
                <w:szCs w:val="20"/>
                <w:lang w:val="en-AU" w:eastAsia="en-AU"/>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D46F03" w:rsidRPr="005C4E27" w:rsidRDefault="00D46F03" w:rsidP="00AA44FB">
            <w:pPr>
              <w:spacing w:after="0" w:line="240" w:lineRule="auto"/>
              <w:jc w:val="center"/>
              <w:rPr>
                <w:rFonts w:eastAsia="Times New Roman" w:cs="Times New Roman"/>
                <w:b/>
                <w:color w:val="FFFFFF" w:themeColor="background1"/>
                <w:sz w:val="16"/>
                <w:szCs w:val="16"/>
                <w:lang w:val="en-AU" w:eastAsia="en-AU"/>
              </w:rPr>
            </w:pPr>
            <w:r w:rsidRPr="005C4E27">
              <w:rPr>
                <w:rFonts w:eastAsia="Times New Roman" w:cs="Times New Roman"/>
                <w:b/>
                <w:color w:val="FFFFFF" w:themeColor="background1"/>
                <w:sz w:val="16"/>
                <w:szCs w:val="16"/>
                <w:lang w:val="en-AU" w:eastAsia="en-AU"/>
              </w:rPr>
              <w:t>1 bedroom</w:t>
            </w:r>
          </w:p>
          <w:p w:rsidR="00D46F03" w:rsidRPr="005C4E27" w:rsidRDefault="00D46F03">
            <w:pPr>
              <w:spacing w:after="0" w:line="240" w:lineRule="auto"/>
              <w:jc w:val="center"/>
              <w:rPr>
                <w:rFonts w:eastAsia="Times New Roman" w:cs="Times New Roman"/>
                <w:b/>
                <w:color w:val="FFFFFF" w:themeColor="background1"/>
                <w:sz w:val="16"/>
                <w:szCs w:val="16"/>
                <w:lang w:val="en-AU" w:eastAsia="en-AU"/>
              </w:rPr>
            </w:pPr>
            <w:r w:rsidRPr="005C4E27">
              <w:rPr>
                <w:rFonts w:eastAsia="Times New Roman" w:cs="Times New Roman"/>
                <w:b/>
                <w:color w:val="FFFFFF" w:themeColor="background1"/>
                <w:sz w:val="16"/>
                <w:szCs w:val="16"/>
                <w:lang w:val="en-AU" w:eastAsia="en-AU"/>
              </w:rPr>
              <w:t>1 resident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D46F03" w:rsidRPr="005C4E27" w:rsidRDefault="00D46F03">
            <w:pPr>
              <w:spacing w:after="0" w:line="240" w:lineRule="auto"/>
              <w:jc w:val="center"/>
              <w:rPr>
                <w:rFonts w:eastAsia="Times New Roman" w:cs="Times New Roman"/>
                <w:b/>
                <w:color w:val="FFFFFF" w:themeColor="background1"/>
                <w:sz w:val="16"/>
                <w:szCs w:val="16"/>
                <w:lang w:val="en-AU" w:eastAsia="en-AU"/>
              </w:rPr>
            </w:pPr>
            <w:r w:rsidRPr="005C4E27">
              <w:rPr>
                <w:rFonts w:eastAsia="Times New Roman" w:cs="Times New Roman"/>
                <w:b/>
                <w:color w:val="FFFFFF" w:themeColor="background1"/>
                <w:sz w:val="16"/>
                <w:szCs w:val="16"/>
                <w:lang w:val="en-AU" w:eastAsia="en-AU"/>
              </w:rPr>
              <w:t>2 bedrooms</w:t>
            </w:r>
          </w:p>
          <w:p w:rsidR="00D46F03" w:rsidRPr="005C4E27" w:rsidRDefault="00D46F03">
            <w:pPr>
              <w:spacing w:after="0" w:line="240" w:lineRule="auto"/>
              <w:jc w:val="center"/>
              <w:rPr>
                <w:rFonts w:eastAsia="Times New Roman" w:cs="Times New Roman"/>
                <w:b/>
                <w:color w:val="FFFFFF" w:themeColor="background1"/>
                <w:sz w:val="16"/>
                <w:szCs w:val="16"/>
                <w:lang w:val="en-AU" w:eastAsia="en-AU"/>
              </w:rPr>
            </w:pPr>
            <w:r w:rsidRPr="005C4E27">
              <w:rPr>
                <w:rFonts w:eastAsia="Times New Roman" w:cs="Times New Roman"/>
                <w:b/>
                <w:color w:val="FFFFFF" w:themeColor="background1"/>
                <w:sz w:val="16"/>
                <w:szCs w:val="16"/>
                <w:lang w:val="en-AU" w:eastAsia="en-AU"/>
              </w:rPr>
              <w:t>1 resident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D46F03" w:rsidRPr="005C4E27" w:rsidRDefault="00D46F03">
            <w:pPr>
              <w:spacing w:after="0" w:line="240" w:lineRule="auto"/>
              <w:jc w:val="center"/>
              <w:rPr>
                <w:rFonts w:eastAsia="Times New Roman" w:cs="Times New Roman"/>
                <w:b/>
                <w:color w:val="FFFFFF" w:themeColor="background1"/>
                <w:sz w:val="16"/>
                <w:szCs w:val="16"/>
                <w:lang w:val="en-AU" w:eastAsia="en-AU"/>
              </w:rPr>
            </w:pPr>
            <w:r w:rsidRPr="005C4E27">
              <w:rPr>
                <w:rFonts w:eastAsia="Times New Roman" w:cs="Times New Roman"/>
                <w:b/>
                <w:color w:val="FFFFFF" w:themeColor="background1"/>
                <w:sz w:val="16"/>
                <w:szCs w:val="16"/>
                <w:lang w:val="en-AU" w:eastAsia="en-AU"/>
              </w:rPr>
              <w:t>3 bedrooms</w:t>
            </w:r>
          </w:p>
          <w:p w:rsidR="00D46F03" w:rsidRPr="005C4E27" w:rsidRDefault="00D46F03">
            <w:pPr>
              <w:spacing w:after="0" w:line="240" w:lineRule="auto"/>
              <w:jc w:val="center"/>
              <w:rPr>
                <w:rFonts w:eastAsia="Times New Roman" w:cs="Times New Roman"/>
                <w:b/>
                <w:color w:val="FFFFFF" w:themeColor="background1"/>
                <w:sz w:val="16"/>
                <w:szCs w:val="16"/>
                <w:lang w:val="en-AU" w:eastAsia="en-AU"/>
              </w:rPr>
            </w:pPr>
            <w:r w:rsidRPr="005C4E27">
              <w:rPr>
                <w:rFonts w:eastAsia="Times New Roman" w:cs="Times New Roman"/>
                <w:b/>
                <w:color w:val="FFFFFF" w:themeColor="background1"/>
                <w:sz w:val="16"/>
                <w:szCs w:val="16"/>
                <w:lang w:val="en-AU" w:eastAsia="en-AU"/>
              </w:rPr>
              <w:t>2 residents</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D46F03" w:rsidRPr="005C4E27" w:rsidRDefault="00D46F03">
            <w:pPr>
              <w:spacing w:after="0" w:line="240" w:lineRule="auto"/>
              <w:jc w:val="center"/>
              <w:rPr>
                <w:rFonts w:eastAsia="Times New Roman" w:cs="Times New Roman"/>
                <w:b/>
                <w:color w:val="FFFFFF" w:themeColor="background1"/>
                <w:sz w:val="16"/>
                <w:szCs w:val="16"/>
                <w:lang w:val="en-AU" w:eastAsia="en-AU"/>
              </w:rPr>
            </w:pPr>
            <w:r w:rsidRPr="005C4E27">
              <w:rPr>
                <w:rFonts w:eastAsia="Times New Roman" w:cs="Times New Roman"/>
                <w:b/>
                <w:color w:val="FFFFFF" w:themeColor="background1"/>
                <w:sz w:val="16"/>
                <w:szCs w:val="16"/>
                <w:lang w:val="en-AU" w:eastAsia="en-AU"/>
              </w:rPr>
              <w:t>1</w:t>
            </w:r>
          </w:p>
          <w:p w:rsidR="00D46F03" w:rsidRPr="005C4E27" w:rsidRDefault="00D46F03">
            <w:pPr>
              <w:spacing w:after="0" w:line="240" w:lineRule="auto"/>
              <w:jc w:val="center"/>
              <w:rPr>
                <w:rFonts w:eastAsia="Times New Roman" w:cs="Times New Roman"/>
                <w:b/>
                <w:color w:val="FFFFFF" w:themeColor="background1"/>
                <w:sz w:val="16"/>
                <w:szCs w:val="16"/>
                <w:lang w:val="en-AU" w:eastAsia="en-AU"/>
              </w:rPr>
            </w:pPr>
            <w:r w:rsidRPr="005C4E27">
              <w:rPr>
                <w:rFonts w:eastAsia="Times New Roman" w:cs="Times New Roman"/>
                <w:b/>
                <w:color w:val="FFFFFF" w:themeColor="background1"/>
                <w:sz w:val="16"/>
                <w:szCs w:val="16"/>
                <w:lang w:val="en-AU" w:eastAsia="en-AU"/>
              </w:rPr>
              <w:t>resident</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D46F03" w:rsidRPr="005C4E27" w:rsidRDefault="00D46F03">
            <w:pPr>
              <w:spacing w:after="0" w:line="240" w:lineRule="auto"/>
              <w:jc w:val="center"/>
              <w:rPr>
                <w:rFonts w:eastAsia="Times New Roman" w:cs="Times New Roman"/>
                <w:b/>
                <w:color w:val="FFFFFF" w:themeColor="background1"/>
                <w:sz w:val="16"/>
                <w:szCs w:val="16"/>
                <w:lang w:val="en-AU" w:eastAsia="en-AU"/>
              </w:rPr>
            </w:pPr>
            <w:r w:rsidRPr="005C4E27">
              <w:rPr>
                <w:rFonts w:eastAsia="Times New Roman" w:cs="Times New Roman"/>
                <w:b/>
                <w:color w:val="FFFFFF" w:themeColor="background1"/>
                <w:sz w:val="16"/>
                <w:szCs w:val="16"/>
                <w:lang w:val="en-AU" w:eastAsia="en-AU"/>
              </w:rPr>
              <w:t>2 residents</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D46F03" w:rsidRPr="005C4E27" w:rsidRDefault="00D46F03">
            <w:pPr>
              <w:spacing w:after="0" w:line="240" w:lineRule="auto"/>
              <w:jc w:val="center"/>
              <w:rPr>
                <w:rFonts w:eastAsia="Times New Roman" w:cs="Times New Roman"/>
                <w:b/>
                <w:color w:val="FFFFFF" w:themeColor="background1"/>
                <w:sz w:val="16"/>
                <w:szCs w:val="16"/>
                <w:lang w:val="en-AU" w:eastAsia="en-AU"/>
              </w:rPr>
            </w:pPr>
            <w:r w:rsidRPr="005C4E27">
              <w:rPr>
                <w:rFonts w:eastAsia="Times New Roman" w:cs="Times New Roman"/>
                <w:b/>
                <w:color w:val="FFFFFF" w:themeColor="background1"/>
                <w:sz w:val="16"/>
                <w:szCs w:val="16"/>
                <w:lang w:val="en-AU" w:eastAsia="en-AU"/>
              </w:rPr>
              <w:t>3 residents</w:t>
            </w:r>
          </w:p>
        </w:tc>
        <w:tc>
          <w:tcPr>
            <w:tcW w:w="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D46F03" w:rsidRPr="005C4E27" w:rsidRDefault="00D46F03">
            <w:pPr>
              <w:spacing w:after="0" w:line="240" w:lineRule="auto"/>
              <w:jc w:val="center"/>
              <w:rPr>
                <w:rFonts w:eastAsia="Times New Roman" w:cs="Times New Roman"/>
                <w:b/>
                <w:color w:val="FFFFFF" w:themeColor="background1"/>
                <w:sz w:val="16"/>
                <w:szCs w:val="16"/>
                <w:lang w:val="en-AU" w:eastAsia="en-AU"/>
              </w:rPr>
            </w:pPr>
            <w:r w:rsidRPr="005C4E27">
              <w:rPr>
                <w:rFonts w:eastAsia="Times New Roman" w:cs="Times New Roman"/>
                <w:b/>
                <w:color w:val="FFFFFF" w:themeColor="background1"/>
                <w:sz w:val="16"/>
                <w:szCs w:val="16"/>
                <w:lang w:val="en-AU" w:eastAsia="en-AU"/>
              </w:rPr>
              <w:t>2 residents</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D46F03" w:rsidRPr="005C4E27" w:rsidRDefault="00D46F03">
            <w:pPr>
              <w:spacing w:after="0" w:line="240" w:lineRule="auto"/>
              <w:jc w:val="center"/>
              <w:rPr>
                <w:rFonts w:eastAsia="Times New Roman" w:cs="Times New Roman"/>
                <w:b/>
                <w:color w:val="FFFFFF" w:themeColor="background1"/>
                <w:sz w:val="16"/>
                <w:szCs w:val="16"/>
                <w:lang w:val="en-AU" w:eastAsia="en-AU"/>
              </w:rPr>
            </w:pPr>
            <w:r w:rsidRPr="005C4E27">
              <w:rPr>
                <w:rFonts w:eastAsia="Times New Roman" w:cs="Times New Roman"/>
                <w:b/>
                <w:color w:val="FFFFFF" w:themeColor="background1"/>
                <w:sz w:val="16"/>
                <w:szCs w:val="16"/>
                <w:lang w:val="en-AU" w:eastAsia="en-AU"/>
              </w:rPr>
              <w:t>3 residents</w:t>
            </w:r>
          </w:p>
        </w:tc>
        <w:tc>
          <w:tcPr>
            <w:tcW w:w="10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30A0"/>
            <w:vAlign w:val="center"/>
          </w:tcPr>
          <w:p w:rsidR="00D46F03" w:rsidRPr="005C4E27" w:rsidRDefault="00D46F03">
            <w:pPr>
              <w:spacing w:after="0" w:line="240" w:lineRule="auto"/>
              <w:jc w:val="center"/>
              <w:rPr>
                <w:rFonts w:eastAsia="Times New Roman" w:cs="Times New Roman"/>
                <w:b/>
                <w:color w:val="FFFFFF" w:themeColor="background1"/>
                <w:sz w:val="16"/>
                <w:szCs w:val="16"/>
                <w:lang w:val="en-AU" w:eastAsia="en-AU"/>
              </w:rPr>
            </w:pPr>
            <w:r w:rsidRPr="005C4E27">
              <w:rPr>
                <w:rFonts w:eastAsia="Times New Roman" w:cs="Times New Roman"/>
                <w:b/>
                <w:color w:val="FFFFFF" w:themeColor="background1"/>
                <w:sz w:val="16"/>
                <w:szCs w:val="16"/>
                <w:lang w:val="en-AU" w:eastAsia="en-AU"/>
              </w:rPr>
              <w:t>4 residents</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7030A0"/>
            </w:tcBorders>
            <w:shd w:val="clear" w:color="auto" w:fill="7030A0"/>
            <w:vAlign w:val="center"/>
          </w:tcPr>
          <w:p w:rsidR="00D46F03" w:rsidRPr="005C4E27" w:rsidRDefault="00D46F03">
            <w:pPr>
              <w:spacing w:after="0" w:line="240" w:lineRule="auto"/>
              <w:jc w:val="center"/>
              <w:rPr>
                <w:rFonts w:eastAsia="Times New Roman" w:cs="Times New Roman"/>
                <w:b/>
                <w:color w:val="FFFFFF" w:themeColor="background1"/>
                <w:sz w:val="16"/>
                <w:szCs w:val="16"/>
                <w:lang w:val="en-AU" w:eastAsia="en-AU"/>
              </w:rPr>
            </w:pPr>
            <w:r w:rsidRPr="005C4E27">
              <w:rPr>
                <w:rFonts w:eastAsia="Times New Roman" w:cs="Times New Roman"/>
                <w:b/>
                <w:color w:val="FFFFFF" w:themeColor="background1"/>
                <w:sz w:val="16"/>
                <w:szCs w:val="16"/>
                <w:lang w:val="en-AU" w:eastAsia="en-AU"/>
              </w:rPr>
              <w:t>5 residents</w:t>
            </w:r>
          </w:p>
        </w:tc>
      </w:tr>
      <w:tr w:rsidR="00D46F03" w:rsidRPr="00E15AE7" w:rsidTr="009655D6">
        <w:trPr>
          <w:trHeight w:val="240"/>
        </w:trPr>
        <w:tc>
          <w:tcPr>
            <w:tcW w:w="3823" w:type="dxa"/>
            <w:tcBorders>
              <w:top w:val="single" w:sz="4" w:space="0" w:color="FFFFFF" w:themeColor="background1"/>
              <w:left w:val="single" w:sz="4" w:space="0" w:color="7030A0"/>
              <w:bottom w:val="single" w:sz="4" w:space="0" w:color="7030A0"/>
              <w:right w:val="single" w:sz="4" w:space="0" w:color="7030A0"/>
            </w:tcBorders>
            <w:shd w:val="clear" w:color="000000" w:fill="FFFFFF"/>
            <w:noWrap/>
            <w:vAlign w:val="bottom"/>
          </w:tcPr>
          <w:p w:rsidR="00D46F03" w:rsidRPr="00E15AE7" w:rsidRDefault="00D46F03" w:rsidP="00E00CCA">
            <w:pPr>
              <w:spacing w:before="20" w:after="20" w:line="240" w:lineRule="auto"/>
              <w:rPr>
                <w:rFonts w:eastAsia="Times New Roman" w:cs="Arial"/>
                <w:color w:val="000000"/>
                <w:sz w:val="18"/>
                <w:szCs w:val="18"/>
                <w:lang w:val="en-AU" w:eastAsia="en-AU"/>
              </w:rPr>
            </w:pPr>
            <w:r w:rsidRPr="00E15AE7">
              <w:rPr>
                <w:rFonts w:cs="Arial"/>
                <w:color w:val="000000"/>
                <w:sz w:val="18"/>
                <w:szCs w:val="18"/>
                <w:lang w:val="en-AU"/>
              </w:rPr>
              <w:t>Median capital city</w:t>
            </w:r>
          </w:p>
        </w:tc>
        <w:tc>
          <w:tcPr>
            <w:tcW w:w="1134"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D46F03" w:rsidRPr="00E15AE7" w:rsidRDefault="00D46F03" w:rsidP="00E00CCA">
            <w:pPr>
              <w:spacing w:before="20" w:after="20" w:line="240" w:lineRule="auto"/>
              <w:jc w:val="center"/>
              <w:rPr>
                <w:rFonts w:eastAsia="Times New Roman" w:cs="Arial"/>
                <w:color w:val="000000"/>
                <w:sz w:val="18"/>
                <w:szCs w:val="18"/>
                <w:lang w:val="en-AU" w:eastAsia="en-AU"/>
              </w:rPr>
            </w:pPr>
            <w:r w:rsidRPr="00E15AE7">
              <w:rPr>
                <w:rFonts w:cs="Arial"/>
                <w:color w:val="000000"/>
                <w:sz w:val="18"/>
                <w:szCs w:val="18"/>
                <w:lang w:val="en-AU"/>
              </w:rPr>
              <w:t xml:space="preserve">1.00 </w:t>
            </w:r>
          </w:p>
        </w:tc>
        <w:tc>
          <w:tcPr>
            <w:tcW w:w="1134"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D46F03" w:rsidRPr="00E15AE7" w:rsidRDefault="00D46F03" w:rsidP="00E00CCA">
            <w:pPr>
              <w:spacing w:before="20" w:after="20" w:line="240" w:lineRule="auto"/>
              <w:jc w:val="center"/>
              <w:rPr>
                <w:rFonts w:eastAsia="Times New Roman" w:cs="Arial"/>
                <w:color w:val="000000"/>
                <w:sz w:val="18"/>
                <w:szCs w:val="18"/>
                <w:lang w:val="en-AU" w:eastAsia="en-AU"/>
              </w:rPr>
            </w:pPr>
            <w:r w:rsidRPr="00E15AE7">
              <w:rPr>
                <w:rFonts w:cs="Arial"/>
                <w:color w:val="000000"/>
                <w:sz w:val="18"/>
                <w:szCs w:val="18"/>
                <w:lang w:val="en-AU"/>
              </w:rPr>
              <w:t xml:space="preserve">1.00 </w:t>
            </w:r>
          </w:p>
        </w:tc>
        <w:tc>
          <w:tcPr>
            <w:tcW w:w="1134" w:type="dxa"/>
            <w:tcBorders>
              <w:top w:val="single" w:sz="4" w:space="0" w:color="FFFFFF" w:themeColor="background1"/>
              <w:left w:val="single" w:sz="4" w:space="0" w:color="7030A0"/>
              <w:bottom w:val="single" w:sz="4" w:space="0" w:color="7030A0"/>
              <w:right w:val="single" w:sz="4" w:space="0" w:color="7030A0"/>
            </w:tcBorders>
            <w:vAlign w:val="bottom"/>
          </w:tcPr>
          <w:p w:rsidR="00D46F03" w:rsidRPr="00E15AE7" w:rsidRDefault="00D46F03" w:rsidP="00E00CCA">
            <w:pPr>
              <w:spacing w:before="20" w:after="20" w:line="240" w:lineRule="auto"/>
              <w:jc w:val="center"/>
              <w:rPr>
                <w:rFonts w:cs="Arial"/>
                <w:color w:val="000000"/>
                <w:sz w:val="18"/>
                <w:szCs w:val="18"/>
                <w:lang w:val="en-AU"/>
              </w:rPr>
            </w:pPr>
            <w:r w:rsidRPr="00E15AE7">
              <w:rPr>
                <w:rFonts w:cs="Arial"/>
                <w:color w:val="000000"/>
                <w:sz w:val="18"/>
                <w:szCs w:val="18"/>
                <w:lang w:val="en-AU"/>
              </w:rPr>
              <w:t xml:space="preserve">1.00 </w:t>
            </w:r>
          </w:p>
        </w:tc>
        <w:tc>
          <w:tcPr>
            <w:tcW w:w="992"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D46F03" w:rsidRPr="00E15AE7" w:rsidRDefault="00D46F03" w:rsidP="00E00CCA">
            <w:pPr>
              <w:spacing w:before="20" w:after="20" w:line="240" w:lineRule="auto"/>
              <w:jc w:val="center"/>
              <w:rPr>
                <w:rFonts w:eastAsia="Times New Roman" w:cs="Arial"/>
                <w:color w:val="000000"/>
                <w:sz w:val="18"/>
                <w:szCs w:val="18"/>
                <w:lang w:val="en-AU" w:eastAsia="en-AU"/>
              </w:rPr>
            </w:pPr>
            <w:r w:rsidRPr="00E15AE7">
              <w:rPr>
                <w:rFonts w:cs="Arial"/>
                <w:color w:val="000000"/>
                <w:sz w:val="18"/>
                <w:szCs w:val="18"/>
                <w:lang w:val="en-AU"/>
              </w:rPr>
              <w:t xml:space="preserve">1.00 </w:t>
            </w:r>
          </w:p>
        </w:tc>
        <w:tc>
          <w:tcPr>
            <w:tcW w:w="992"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D46F03" w:rsidRPr="00E15AE7" w:rsidRDefault="00D46F03" w:rsidP="00E00CCA">
            <w:pPr>
              <w:spacing w:before="20" w:after="20" w:line="240" w:lineRule="auto"/>
              <w:jc w:val="center"/>
              <w:rPr>
                <w:rFonts w:eastAsia="Times New Roman" w:cs="Arial"/>
                <w:color w:val="000000"/>
                <w:sz w:val="18"/>
                <w:szCs w:val="18"/>
                <w:lang w:val="en-AU" w:eastAsia="en-AU"/>
              </w:rPr>
            </w:pPr>
            <w:r w:rsidRPr="00E15AE7">
              <w:rPr>
                <w:rFonts w:cs="Arial"/>
                <w:color w:val="000000"/>
                <w:sz w:val="18"/>
                <w:szCs w:val="18"/>
                <w:lang w:val="en-AU"/>
              </w:rPr>
              <w:t xml:space="preserve">1.00 </w:t>
            </w:r>
          </w:p>
        </w:tc>
        <w:tc>
          <w:tcPr>
            <w:tcW w:w="992"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D46F03" w:rsidRPr="00E15AE7" w:rsidRDefault="00D46F03" w:rsidP="00E00CCA">
            <w:pPr>
              <w:spacing w:before="20" w:after="20" w:line="240" w:lineRule="auto"/>
              <w:jc w:val="center"/>
              <w:rPr>
                <w:rFonts w:eastAsia="Times New Roman" w:cs="Arial"/>
                <w:color w:val="000000"/>
                <w:sz w:val="18"/>
                <w:szCs w:val="18"/>
                <w:lang w:val="en-AU" w:eastAsia="en-AU"/>
              </w:rPr>
            </w:pPr>
            <w:r w:rsidRPr="00E15AE7">
              <w:rPr>
                <w:rFonts w:cs="Arial"/>
                <w:color w:val="000000"/>
                <w:sz w:val="18"/>
                <w:szCs w:val="18"/>
                <w:lang w:val="en-AU"/>
              </w:rPr>
              <w:t xml:space="preserve">1.00 </w:t>
            </w:r>
          </w:p>
        </w:tc>
        <w:tc>
          <w:tcPr>
            <w:tcW w:w="960" w:type="dxa"/>
            <w:tcBorders>
              <w:top w:val="single" w:sz="4" w:space="0" w:color="FFFFFF" w:themeColor="background1"/>
              <w:left w:val="single" w:sz="4" w:space="0" w:color="7030A0"/>
              <w:bottom w:val="single" w:sz="4" w:space="0" w:color="7030A0"/>
              <w:right w:val="single" w:sz="4" w:space="0" w:color="7030A0"/>
            </w:tcBorders>
            <w:vAlign w:val="bottom"/>
          </w:tcPr>
          <w:p w:rsidR="00D46F03" w:rsidRPr="00E15AE7" w:rsidRDefault="00D46F03" w:rsidP="00E00CCA">
            <w:pPr>
              <w:spacing w:before="20" w:after="20" w:line="240" w:lineRule="auto"/>
              <w:jc w:val="center"/>
              <w:rPr>
                <w:rFonts w:cs="Arial"/>
                <w:color w:val="000000"/>
                <w:sz w:val="18"/>
                <w:szCs w:val="18"/>
                <w:lang w:val="en-AU"/>
              </w:rPr>
            </w:pPr>
            <w:r w:rsidRPr="00E15AE7">
              <w:rPr>
                <w:rFonts w:cs="Arial"/>
                <w:color w:val="000000"/>
                <w:sz w:val="18"/>
                <w:szCs w:val="18"/>
                <w:lang w:val="en-AU"/>
              </w:rPr>
              <w:t xml:space="preserve">1.00 </w:t>
            </w:r>
          </w:p>
        </w:tc>
        <w:tc>
          <w:tcPr>
            <w:tcW w:w="992"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D46F03" w:rsidRPr="00E15AE7" w:rsidRDefault="00D46F03" w:rsidP="00E00CCA">
            <w:pPr>
              <w:spacing w:before="20" w:after="20" w:line="240" w:lineRule="auto"/>
              <w:jc w:val="center"/>
              <w:rPr>
                <w:rFonts w:eastAsia="Times New Roman" w:cs="Arial"/>
                <w:color w:val="000000"/>
                <w:sz w:val="18"/>
                <w:szCs w:val="18"/>
                <w:lang w:val="en-AU" w:eastAsia="en-AU"/>
              </w:rPr>
            </w:pPr>
            <w:r w:rsidRPr="00E15AE7">
              <w:rPr>
                <w:rFonts w:cs="Arial"/>
                <w:color w:val="000000"/>
                <w:sz w:val="18"/>
                <w:szCs w:val="18"/>
                <w:lang w:val="en-AU"/>
              </w:rPr>
              <w:t xml:space="preserve">1.00 </w:t>
            </w:r>
          </w:p>
        </w:tc>
        <w:tc>
          <w:tcPr>
            <w:tcW w:w="1025"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D46F03" w:rsidRPr="00E15AE7" w:rsidRDefault="00D46F03" w:rsidP="00E00CCA">
            <w:pPr>
              <w:spacing w:before="20" w:after="20" w:line="240" w:lineRule="auto"/>
              <w:jc w:val="center"/>
              <w:rPr>
                <w:rFonts w:eastAsia="Times New Roman" w:cs="Arial"/>
                <w:color w:val="000000"/>
                <w:sz w:val="18"/>
                <w:szCs w:val="18"/>
                <w:lang w:val="en-AU" w:eastAsia="en-AU"/>
              </w:rPr>
            </w:pPr>
            <w:r w:rsidRPr="00E15AE7">
              <w:rPr>
                <w:rFonts w:cs="Arial"/>
                <w:color w:val="000000"/>
                <w:sz w:val="18"/>
                <w:szCs w:val="18"/>
                <w:lang w:val="en-AU"/>
              </w:rPr>
              <w:t xml:space="preserve">1.00 </w:t>
            </w:r>
          </w:p>
        </w:tc>
        <w:tc>
          <w:tcPr>
            <w:tcW w:w="992" w:type="dxa"/>
            <w:tcBorders>
              <w:top w:val="single" w:sz="4" w:space="0" w:color="FFFFFF" w:themeColor="background1"/>
              <w:left w:val="single" w:sz="4" w:space="0" w:color="7030A0"/>
              <w:bottom w:val="single" w:sz="4" w:space="0" w:color="7030A0"/>
              <w:right w:val="single" w:sz="4" w:space="0" w:color="7030A0"/>
            </w:tcBorders>
            <w:shd w:val="clear" w:color="auto" w:fill="auto"/>
            <w:noWrap/>
            <w:vAlign w:val="bottom"/>
          </w:tcPr>
          <w:p w:rsidR="00D46F03" w:rsidRPr="00E15AE7" w:rsidRDefault="00D46F03" w:rsidP="00E00CCA">
            <w:pPr>
              <w:spacing w:before="20" w:after="20" w:line="240" w:lineRule="auto"/>
              <w:jc w:val="center"/>
              <w:rPr>
                <w:rFonts w:eastAsia="Times New Roman" w:cs="Arial"/>
                <w:color w:val="000000"/>
                <w:sz w:val="18"/>
                <w:szCs w:val="18"/>
                <w:lang w:val="en-AU" w:eastAsia="en-AU"/>
              </w:rPr>
            </w:pPr>
            <w:r w:rsidRPr="00E15AE7">
              <w:rPr>
                <w:rFonts w:cs="Arial"/>
                <w:color w:val="000000"/>
                <w:sz w:val="18"/>
                <w:szCs w:val="18"/>
                <w:lang w:val="en-AU"/>
              </w:rPr>
              <w:t xml:space="preserve">1.00 </w:t>
            </w:r>
          </w:p>
        </w:tc>
      </w:tr>
      <w:tr w:rsidR="00D46F03" w:rsidRPr="00E15AE7" w:rsidTr="009655D6">
        <w:trPr>
          <w:trHeight w:val="240"/>
        </w:trPr>
        <w:tc>
          <w:tcPr>
            <w:tcW w:w="3823" w:type="dxa"/>
            <w:tcBorders>
              <w:top w:val="single" w:sz="4" w:space="0" w:color="7030A0"/>
              <w:left w:val="single" w:sz="4" w:space="0" w:color="7030A0"/>
              <w:bottom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ACT - Australian Capital Territory</w:t>
            </w:r>
          </w:p>
        </w:tc>
        <w:tc>
          <w:tcPr>
            <w:tcW w:w="1134"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1.02</w:t>
            </w:r>
          </w:p>
        </w:tc>
        <w:tc>
          <w:tcPr>
            <w:tcW w:w="1134"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1.02</w:t>
            </w:r>
          </w:p>
        </w:tc>
        <w:tc>
          <w:tcPr>
            <w:tcW w:w="1134" w:type="dxa"/>
            <w:tcBorders>
              <w:top w:val="single" w:sz="4" w:space="0" w:color="7030A0"/>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1.02</w:t>
            </w:r>
          </w:p>
        </w:tc>
        <w:tc>
          <w:tcPr>
            <w:tcW w:w="992"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92"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0.96</w:t>
            </w:r>
          </w:p>
        </w:tc>
        <w:tc>
          <w:tcPr>
            <w:tcW w:w="992"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0.95</w:t>
            </w:r>
          </w:p>
        </w:tc>
        <w:tc>
          <w:tcPr>
            <w:tcW w:w="960" w:type="dxa"/>
            <w:tcBorders>
              <w:top w:val="single" w:sz="4" w:space="0" w:color="7030A0"/>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0.97</w:t>
            </w:r>
          </w:p>
        </w:tc>
        <w:tc>
          <w:tcPr>
            <w:tcW w:w="992"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1025"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0.96</w:t>
            </w:r>
          </w:p>
        </w:tc>
        <w:tc>
          <w:tcPr>
            <w:tcW w:w="992" w:type="dxa"/>
            <w:tcBorders>
              <w:top w:val="single" w:sz="4" w:space="0" w:color="7030A0"/>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0.95</w:t>
            </w:r>
          </w:p>
        </w:tc>
      </w:tr>
      <w:tr w:rsidR="00D46F03" w:rsidRPr="00E15AE7" w:rsidTr="009655D6">
        <w:trPr>
          <w:trHeight w:val="240"/>
        </w:trPr>
        <w:tc>
          <w:tcPr>
            <w:tcW w:w="3823" w:type="dxa"/>
            <w:tcBorders>
              <w:top w:val="single" w:sz="4" w:space="0" w:color="7030A0"/>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Capital Region</w:t>
            </w:r>
          </w:p>
        </w:tc>
        <w:tc>
          <w:tcPr>
            <w:tcW w:w="1134"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1134"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single" w:sz="4" w:space="0" w:color="7030A0"/>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1.09</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1.01</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0.96</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0.95</w:t>
            </w:r>
          </w:p>
        </w:tc>
        <w:tc>
          <w:tcPr>
            <w:tcW w:w="960" w:type="dxa"/>
            <w:tcBorders>
              <w:top w:val="single" w:sz="4" w:space="0" w:color="7030A0"/>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1025"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0.96</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0.95</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Central Coast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Central West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0.92</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0.94</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0.92</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Coffs Harbour - Grafton</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0.95</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0.95</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Far West and Orana</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1.16</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1.16</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1.01</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Hunter Valley exc Newcastle</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0.95</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0.95</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Illawarra</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1.09</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Mid North Coast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0.96</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0.98</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0.96</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Murray</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0.91</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0.94</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0.91</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New England and North West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0.91</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0.94</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0.91</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Newcastle and Lake Macquarie</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1.09</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Richmond - Tweed</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1.00</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Riverina</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0.91</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0.94</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0.92</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Southern Highlands and Shoalhaven</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0.96</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0.98</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0.96</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Sydney - Baulkham Hills and Hawkesbury</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1.13</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1.10</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1.13</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Sydney - Blacktown</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1.00</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1.00</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Sydney - City and Inner South</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1.14</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1.12</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1.76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2.25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2.53</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1.93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2.15</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2.31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2.53</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Sydney - Eastern Suburbs</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1.12</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1.10</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1.63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2.04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2.27</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1.78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1.96</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2.09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2.27</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Sydney - Inner South West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1.02</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1.29</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1.22</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1.29</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lastRenderedPageBreak/>
              <w:t>NSW - Sydney - Inner West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1.06</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1.59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1.71</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1.44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1.54</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1.61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1.72</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Sydney - North Sydney and Hornsby</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1.47</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1.29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1.36</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1.41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1.47</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Sydney - Northern Beaches</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1.36</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1.22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1.27</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1.36</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Sydney - Outer South West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1.00</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Sydney - Outer West and Blue Mountains</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Sydney - Parramatta</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1.02</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1.01</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1.16</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1.12</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1.16</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Sydney - Ryde</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1.35</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1.21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1.26</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1.35</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Sydney - South West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1.00</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1.00</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r>
      <w:tr w:rsidR="00D46F03" w:rsidRPr="00E15AE7" w:rsidTr="009655D6">
        <w:trPr>
          <w:trHeight w:val="240"/>
        </w:trPr>
        <w:tc>
          <w:tcPr>
            <w:tcW w:w="3823" w:type="dxa"/>
            <w:tcBorders>
              <w:top w:val="nil"/>
              <w:left w:val="single" w:sz="4" w:space="0" w:color="7030A0"/>
              <w:bottom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NSW - Sydney - Sutherland</w:t>
            </w:r>
          </w:p>
        </w:tc>
        <w:tc>
          <w:tcPr>
            <w:tcW w:w="1134"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1.02</w:t>
            </w:r>
          </w:p>
        </w:tc>
        <w:tc>
          <w:tcPr>
            <w:tcW w:w="1134"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1.02</w:t>
            </w:r>
          </w:p>
        </w:tc>
        <w:tc>
          <w:tcPr>
            <w:tcW w:w="1134" w:type="dxa"/>
            <w:tcBorders>
              <w:top w:val="nil"/>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1.02</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1.13</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1.22</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1.26</w:t>
            </w:r>
          </w:p>
        </w:tc>
        <w:tc>
          <w:tcPr>
            <w:tcW w:w="960" w:type="dxa"/>
            <w:tcBorders>
              <w:top w:val="nil"/>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1.16</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1.20</w:t>
            </w:r>
          </w:p>
        </w:tc>
        <w:tc>
          <w:tcPr>
            <w:tcW w:w="1025"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1.23</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1.26</w:t>
            </w:r>
          </w:p>
        </w:tc>
      </w:tr>
      <w:tr w:rsidR="00D46F03" w:rsidRPr="00E15AE7" w:rsidTr="009655D6">
        <w:trPr>
          <w:trHeight w:val="240"/>
        </w:trPr>
        <w:tc>
          <w:tcPr>
            <w:tcW w:w="3823" w:type="dxa"/>
            <w:tcBorders>
              <w:top w:val="single" w:sz="4" w:space="0" w:color="7030A0"/>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NT - Darwin</w:t>
            </w:r>
          </w:p>
        </w:tc>
        <w:tc>
          <w:tcPr>
            <w:tcW w:w="1134"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1.35</w:t>
            </w:r>
          </w:p>
        </w:tc>
        <w:tc>
          <w:tcPr>
            <w:tcW w:w="1134"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1.36</w:t>
            </w:r>
          </w:p>
        </w:tc>
        <w:tc>
          <w:tcPr>
            <w:tcW w:w="1134" w:type="dxa"/>
            <w:tcBorders>
              <w:top w:val="single" w:sz="4" w:space="0" w:color="7030A0"/>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1.41</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1.29</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1.26</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1.28</w:t>
            </w:r>
          </w:p>
        </w:tc>
        <w:tc>
          <w:tcPr>
            <w:tcW w:w="960" w:type="dxa"/>
            <w:tcBorders>
              <w:top w:val="single" w:sz="4" w:space="0" w:color="7030A0"/>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1.21</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1.24</w:t>
            </w:r>
          </w:p>
        </w:tc>
        <w:tc>
          <w:tcPr>
            <w:tcW w:w="1025"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1.27</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1.28</w:t>
            </w:r>
          </w:p>
        </w:tc>
      </w:tr>
      <w:tr w:rsidR="00D46F03" w:rsidRPr="00E15AE7" w:rsidTr="009655D6">
        <w:trPr>
          <w:trHeight w:val="240"/>
        </w:trPr>
        <w:tc>
          <w:tcPr>
            <w:tcW w:w="3823" w:type="dxa"/>
            <w:tcBorders>
              <w:top w:val="nil"/>
              <w:left w:val="single" w:sz="4" w:space="0" w:color="7030A0"/>
              <w:bottom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NT - Northern Territory - Outback</w:t>
            </w:r>
          </w:p>
        </w:tc>
        <w:tc>
          <w:tcPr>
            <w:tcW w:w="1134"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1.39</w:t>
            </w:r>
          </w:p>
        </w:tc>
        <w:tc>
          <w:tcPr>
            <w:tcW w:w="1134"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1.40</w:t>
            </w:r>
          </w:p>
        </w:tc>
        <w:tc>
          <w:tcPr>
            <w:tcW w:w="1134" w:type="dxa"/>
            <w:tcBorders>
              <w:top w:val="nil"/>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1.47</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1.29</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1.24</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1.24</w:t>
            </w:r>
          </w:p>
        </w:tc>
        <w:tc>
          <w:tcPr>
            <w:tcW w:w="960" w:type="dxa"/>
            <w:tcBorders>
              <w:top w:val="nil"/>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1.19</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1.22</w:t>
            </w:r>
          </w:p>
        </w:tc>
        <w:tc>
          <w:tcPr>
            <w:tcW w:w="1025"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1.24</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1.24</w:t>
            </w:r>
          </w:p>
        </w:tc>
      </w:tr>
      <w:tr w:rsidR="00D46F03" w:rsidRPr="00E15AE7" w:rsidTr="009655D6">
        <w:trPr>
          <w:trHeight w:val="240"/>
        </w:trPr>
        <w:tc>
          <w:tcPr>
            <w:tcW w:w="3823" w:type="dxa"/>
            <w:tcBorders>
              <w:top w:val="single" w:sz="4" w:space="0" w:color="7030A0"/>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Brisbane - East</w:t>
            </w:r>
          </w:p>
        </w:tc>
        <w:tc>
          <w:tcPr>
            <w:tcW w:w="1134" w:type="dxa"/>
            <w:tcBorders>
              <w:top w:val="single" w:sz="4" w:space="0" w:color="7030A0"/>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0.95</w:t>
            </w:r>
          </w:p>
        </w:tc>
        <w:tc>
          <w:tcPr>
            <w:tcW w:w="1134" w:type="dxa"/>
            <w:tcBorders>
              <w:top w:val="single" w:sz="4" w:space="0" w:color="7030A0"/>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0.95</w:t>
            </w:r>
          </w:p>
        </w:tc>
        <w:tc>
          <w:tcPr>
            <w:tcW w:w="1134" w:type="dxa"/>
            <w:tcBorders>
              <w:top w:val="single" w:sz="4" w:space="0" w:color="7030A0"/>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0.94</w:t>
            </w:r>
          </w:p>
        </w:tc>
        <w:tc>
          <w:tcPr>
            <w:tcW w:w="992" w:type="dxa"/>
            <w:tcBorders>
              <w:top w:val="single" w:sz="4" w:space="0" w:color="7030A0"/>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0.93</w:t>
            </w:r>
          </w:p>
        </w:tc>
        <w:tc>
          <w:tcPr>
            <w:tcW w:w="992" w:type="dxa"/>
            <w:tcBorders>
              <w:top w:val="single" w:sz="4" w:space="0" w:color="7030A0"/>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0.92</w:t>
            </w:r>
          </w:p>
        </w:tc>
        <w:tc>
          <w:tcPr>
            <w:tcW w:w="992" w:type="dxa"/>
            <w:tcBorders>
              <w:top w:val="single" w:sz="4" w:space="0" w:color="7030A0"/>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0.91</w:t>
            </w:r>
          </w:p>
        </w:tc>
        <w:tc>
          <w:tcPr>
            <w:tcW w:w="960" w:type="dxa"/>
            <w:tcBorders>
              <w:top w:val="single" w:sz="4" w:space="0" w:color="7030A0"/>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0.94</w:t>
            </w:r>
          </w:p>
        </w:tc>
        <w:tc>
          <w:tcPr>
            <w:tcW w:w="992" w:type="dxa"/>
            <w:tcBorders>
              <w:top w:val="single" w:sz="4" w:space="0" w:color="7030A0"/>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0.93</w:t>
            </w:r>
          </w:p>
        </w:tc>
        <w:tc>
          <w:tcPr>
            <w:tcW w:w="1025" w:type="dxa"/>
            <w:tcBorders>
              <w:top w:val="single" w:sz="4" w:space="0" w:color="7030A0"/>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0.92</w:t>
            </w:r>
          </w:p>
        </w:tc>
        <w:tc>
          <w:tcPr>
            <w:tcW w:w="992" w:type="dxa"/>
            <w:tcBorders>
              <w:top w:val="single" w:sz="4" w:space="0" w:color="7030A0"/>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0.91</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Brisbane - North</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0.95</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0.95</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0.94</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0.95</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0.95</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0.94</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0.96</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0.95</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0.95</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0.94</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Brisbane - South</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0.95</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0.95</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0.94</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0.97</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0.98</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0.98</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0.98</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0.98</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0.98</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Brisbane - West</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0.95</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0.95</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0.94</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0.99</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0.99</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0.99</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0.99</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0.99</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0.99</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Brisbane Inner City</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0.96</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0.96</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0.95</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1.02</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1.06</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1.08</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1.04</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1.06</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1.07</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1.08</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Cairns</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1.15</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1.16</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1.19</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1.08</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1.02</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1.03</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1.02</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Darling Downs - Maranoa</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1.01</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1.02</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1.02</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0.94</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0.88</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0.85</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0.91</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0.89</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0.87</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0.85</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Fitzroy</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1.15</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1.16</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1.19</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1.08</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1.01</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1.03</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1.02</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Gold Coast</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0.98</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0.98</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0.95</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0.92</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0.95</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0.94</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0.92</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Ipswich</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0.98</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0.98</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0.91</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0.86</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0.84</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0.90</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0.87</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0.86</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0.83</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Logan - Beaudesert</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0.98</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0.98</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0.89</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0.87</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0.92</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0.90</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0.89</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0.87</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Mackay</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1.15</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1.16</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1.19</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1.08</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1.04</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1.02</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1.03</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1.04</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1.03</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Moreton Bay - North</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0.98</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0.98</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0.94</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0.91</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0.89</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0.91</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0.90</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0.89</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Moreton Bay - South</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0.94</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0.91</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0.89</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0.91</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0.90</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0.89</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Queensland - Outback</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1.10</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1.10</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1.12</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1.02</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0.96</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0.94</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0.97</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0.96</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0.96</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0.94</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Sunshine Coast</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0.98</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0.98</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0.94</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0.91</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0.89</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0.91</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0.90</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0.89</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Toowoomba</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1.02</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1.02</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0.96</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0.91</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0.89</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0.92</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0.91</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0.89</w:t>
            </w:r>
          </w:p>
        </w:tc>
      </w:tr>
      <w:tr w:rsidR="00D46F03" w:rsidRPr="00E15AE7" w:rsidTr="009655D6">
        <w:trPr>
          <w:trHeight w:val="240"/>
        </w:trPr>
        <w:tc>
          <w:tcPr>
            <w:tcW w:w="3823" w:type="dxa"/>
            <w:tcBorders>
              <w:left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Townsville</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1.15</w:t>
            </w:r>
          </w:p>
        </w:tc>
        <w:tc>
          <w:tcPr>
            <w:tcW w:w="1134"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1.16</w:t>
            </w:r>
          </w:p>
        </w:tc>
        <w:tc>
          <w:tcPr>
            <w:tcW w:w="1134"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1.19</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1.08</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1.04</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1.02</w:t>
            </w:r>
          </w:p>
        </w:tc>
        <w:tc>
          <w:tcPr>
            <w:tcW w:w="960" w:type="dxa"/>
            <w:tcBorders>
              <w:left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1.03</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1.04</w:t>
            </w:r>
          </w:p>
        </w:tc>
        <w:tc>
          <w:tcPr>
            <w:tcW w:w="1025"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1.04</w:t>
            </w:r>
          </w:p>
        </w:tc>
        <w:tc>
          <w:tcPr>
            <w:tcW w:w="992" w:type="dxa"/>
            <w:tcBorders>
              <w:left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1.03</w:t>
            </w:r>
          </w:p>
        </w:tc>
      </w:tr>
      <w:tr w:rsidR="00D46F03" w:rsidRPr="00E15AE7" w:rsidTr="009655D6">
        <w:trPr>
          <w:trHeight w:val="240"/>
        </w:trPr>
        <w:tc>
          <w:tcPr>
            <w:tcW w:w="3823" w:type="dxa"/>
            <w:tcBorders>
              <w:left w:val="single" w:sz="4" w:space="0" w:color="7030A0"/>
              <w:bottom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QLD - Wide Bay</w:t>
            </w:r>
          </w:p>
        </w:tc>
        <w:tc>
          <w:tcPr>
            <w:tcW w:w="1134"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1.01</w:t>
            </w:r>
          </w:p>
        </w:tc>
        <w:tc>
          <w:tcPr>
            <w:tcW w:w="1134"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1.02</w:t>
            </w:r>
          </w:p>
        </w:tc>
        <w:tc>
          <w:tcPr>
            <w:tcW w:w="1134" w:type="dxa"/>
            <w:tcBorders>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1.02</w:t>
            </w:r>
          </w:p>
        </w:tc>
        <w:tc>
          <w:tcPr>
            <w:tcW w:w="992"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0.94</w:t>
            </w:r>
          </w:p>
        </w:tc>
        <w:tc>
          <w:tcPr>
            <w:tcW w:w="992"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0.89</w:t>
            </w:r>
          </w:p>
        </w:tc>
        <w:tc>
          <w:tcPr>
            <w:tcW w:w="992"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0.86</w:t>
            </w:r>
          </w:p>
        </w:tc>
        <w:tc>
          <w:tcPr>
            <w:tcW w:w="960" w:type="dxa"/>
            <w:tcBorders>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0.92</w:t>
            </w:r>
          </w:p>
        </w:tc>
        <w:tc>
          <w:tcPr>
            <w:tcW w:w="992"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0.89</w:t>
            </w:r>
          </w:p>
        </w:tc>
        <w:tc>
          <w:tcPr>
            <w:tcW w:w="1025"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0.88</w:t>
            </w:r>
          </w:p>
        </w:tc>
        <w:tc>
          <w:tcPr>
            <w:tcW w:w="992"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color w:val="000000"/>
                <w:sz w:val="18"/>
                <w:szCs w:val="18"/>
                <w:lang w:val="en-AU"/>
              </w:rPr>
              <w:t>0.86</w:t>
            </w:r>
          </w:p>
        </w:tc>
      </w:tr>
      <w:tr w:rsidR="00D46F03" w:rsidRPr="00E15AE7" w:rsidTr="009655D6">
        <w:trPr>
          <w:trHeight w:val="240"/>
        </w:trPr>
        <w:tc>
          <w:tcPr>
            <w:tcW w:w="3823" w:type="dxa"/>
            <w:tcBorders>
              <w:top w:val="single" w:sz="4" w:space="0" w:color="7030A0"/>
              <w:left w:val="single" w:sz="4" w:space="0" w:color="7030A0"/>
              <w:bottom w:val="nil"/>
              <w:right w:val="single" w:sz="4" w:space="0" w:color="7030A0"/>
            </w:tcBorders>
            <w:shd w:val="clear" w:color="000000" w:fill="FFFFFF"/>
            <w:noWrap/>
            <w:vAlign w:val="center"/>
          </w:tcPr>
          <w:p w:rsidR="00D46F03" w:rsidRPr="00E15AE7" w:rsidRDefault="00D46F03" w:rsidP="00E00CCA">
            <w:pPr>
              <w:keepNext/>
              <w:spacing w:before="20" w:after="20" w:line="240" w:lineRule="auto"/>
              <w:contextualSpacing/>
              <w:rPr>
                <w:rFonts w:cs="Arial"/>
                <w:color w:val="000000"/>
                <w:sz w:val="18"/>
                <w:szCs w:val="18"/>
                <w:lang w:val="en-AU"/>
              </w:rPr>
            </w:pPr>
            <w:r w:rsidRPr="00E15AE7">
              <w:rPr>
                <w:rFonts w:cs="Arial"/>
                <w:color w:val="000000"/>
                <w:sz w:val="18"/>
                <w:szCs w:val="18"/>
                <w:lang w:val="en-AU"/>
              </w:rPr>
              <w:lastRenderedPageBreak/>
              <w:t>SA - Adelaide - Central and Hills</w:t>
            </w:r>
          </w:p>
        </w:tc>
        <w:tc>
          <w:tcPr>
            <w:tcW w:w="1134"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1.00</w:t>
            </w:r>
          </w:p>
        </w:tc>
        <w:tc>
          <w:tcPr>
            <w:tcW w:w="1134"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0.99</w:t>
            </w:r>
          </w:p>
        </w:tc>
        <w:tc>
          <w:tcPr>
            <w:tcW w:w="1134" w:type="dxa"/>
            <w:tcBorders>
              <w:top w:val="single" w:sz="4" w:space="0" w:color="7030A0"/>
              <w:left w:val="single" w:sz="4" w:space="0" w:color="7030A0"/>
              <w:bottom w:val="nil"/>
              <w:right w:val="single" w:sz="4" w:space="0" w:color="7030A0"/>
            </w:tcBorders>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0.99</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1.01</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1.02</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1.03</w:t>
            </w:r>
          </w:p>
        </w:tc>
        <w:tc>
          <w:tcPr>
            <w:tcW w:w="960" w:type="dxa"/>
            <w:tcBorders>
              <w:top w:val="single" w:sz="4" w:space="0" w:color="7030A0"/>
              <w:left w:val="single" w:sz="4" w:space="0" w:color="7030A0"/>
              <w:bottom w:val="nil"/>
              <w:right w:val="single" w:sz="4" w:space="0" w:color="7030A0"/>
            </w:tcBorders>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1.02</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1.02</w:t>
            </w:r>
          </w:p>
        </w:tc>
        <w:tc>
          <w:tcPr>
            <w:tcW w:w="1025"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1.03</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1.03</w:t>
            </w:r>
          </w:p>
        </w:tc>
      </w:tr>
      <w:tr w:rsidR="00D46F03" w:rsidRPr="00E15AE7" w:rsidTr="009655D6">
        <w:trPr>
          <w:trHeight w:val="240"/>
        </w:trPr>
        <w:tc>
          <w:tcPr>
            <w:tcW w:w="3823" w:type="dxa"/>
            <w:tcBorders>
              <w:left w:val="single" w:sz="4" w:space="0" w:color="7030A0"/>
              <w:bottom w:val="nil"/>
              <w:right w:val="single" w:sz="4" w:space="0" w:color="7030A0"/>
            </w:tcBorders>
            <w:shd w:val="clear" w:color="000000" w:fill="FFFFFF"/>
            <w:noWrap/>
            <w:vAlign w:val="center"/>
          </w:tcPr>
          <w:p w:rsidR="00D46F03" w:rsidRPr="00E15AE7" w:rsidRDefault="00D46F03" w:rsidP="00E00CCA">
            <w:pPr>
              <w:keepNext/>
              <w:spacing w:before="20" w:after="20" w:line="240" w:lineRule="auto"/>
              <w:contextualSpacing/>
              <w:rPr>
                <w:rFonts w:cs="Arial"/>
                <w:color w:val="000000"/>
                <w:sz w:val="18"/>
                <w:szCs w:val="18"/>
                <w:lang w:val="en-AU"/>
              </w:rPr>
            </w:pPr>
            <w:r w:rsidRPr="00E15AE7">
              <w:rPr>
                <w:rFonts w:cs="Arial"/>
                <w:color w:val="000000"/>
                <w:sz w:val="18"/>
                <w:szCs w:val="18"/>
                <w:lang w:val="en-AU"/>
              </w:rPr>
              <w:t>SA - Adelaide - North</w:t>
            </w:r>
          </w:p>
        </w:tc>
        <w:tc>
          <w:tcPr>
            <w:tcW w:w="1134"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1.03</w:t>
            </w:r>
          </w:p>
        </w:tc>
        <w:tc>
          <w:tcPr>
            <w:tcW w:w="1134"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1.03</w:t>
            </w:r>
          </w:p>
        </w:tc>
        <w:tc>
          <w:tcPr>
            <w:tcW w:w="1134" w:type="dxa"/>
            <w:tcBorders>
              <w:left w:val="single" w:sz="4" w:space="0" w:color="7030A0"/>
              <w:bottom w:val="nil"/>
              <w:right w:val="single" w:sz="4" w:space="0" w:color="7030A0"/>
            </w:tcBorders>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1.03</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0.99</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0.96</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0.94</w:t>
            </w:r>
          </w:p>
        </w:tc>
        <w:tc>
          <w:tcPr>
            <w:tcW w:w="960" w:type="dxa"/>
            <w:tcBorders>
              <w:left w:val="single" w:sz="4" w:space="0" w:color="7030A0"/>
              <w:bottom w:val="nil"/>
              <w:right w:val="single" w:sz="4" w:space="0" w:color="7030A0"/>
            </w:tcBorders>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0.97</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0.96</w:t>
            </w:r>
          </w:p>
        </w:tc>
        <w:tc>
          <w:tcPr>
            <w:tcW w:w="1025"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0.96</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0.94</w:t>
            </w:r>
          </w:p>
        </w:tc>
      </w:tr>
      <w:tr w:rsidR="00D46F03" w:rsidRPr="00E15AE7" w:rsidTr="009655D6">
        <w:trPr>
          <w:trHeight w:val="240"/>
        </w:trPr>
        <w:tc>
          <w:tcPr>
            <w:tcW w:w="3823" w:type="dxa"/>
            <w:tcBorders>
              <w:left w:val="single" w:sz="4" w:space="0" w:color="7030A0"/>
              <w:bottom w:val="nil"/>
              <w:right w:val="single" w:sz="4" w:space="0" w:color="7030A0"/>
            </w:tcBorders>
            <w:shd w:val="clear" w:color="000000" w:fill="FFFFFF"/>
            <w:noWrap/>
            <w:vAlign w:val="center"/>
          </w:tcPr>
          <w:p w:rsidR="00D46F03" w:rsidRPr="00E15AE7" w:rsidRDefault="00D46F03" w:rsidP="00E00CCA">
            <w:pPr>
              <w:keepNext/>
              <w:spacing w:before="20" w:after="20" w:line="240" w:lineRule="auto"/>
              <w:contextualSpacing/>
              <w:rPr>
                <w:rFonts w:cs="Arial"/>
                <w:color w:val="000000"/>
                <w:sz w:val="18"/>
                <w:szCs w:val="18"/>
                <w:lang w:val="en-AU"/>
              </w:rPr>
            </w:pPr>
            <w:r w:rsidRPr="00E15AE7">
              <w:rPr>
                <w:rFonts w:cs="Arial"/>
                <w:color w:val="000000"/>
                <w:sz w:val="18"/>
                <w:szCs w:val="18"/>
                <w:lang w:val="en-AU"/>
              </w:rPr>
              <w:t>SA - Adelaide - South</w:t>
            </w:r>
          </w:p>
        </w:tc>
        <w:tc>
          <w:tcPr>
            <w:tcW w:w="1134"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0.99</w:t>
            </w:r>
          </w:p>
        </w:tc>
        <w:tc>
          <w:tcPr>
            <w:tcW w:w="1134"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0.99</w:t>
            </w:r>
          </w:p>
        </w:tc>
        <w:tc>
          <w:tcPr>
            <w:tcW w:w="1134" w:type="dxa"/>
            <w:tcBorders>
              <w:left w:val="single" w:sz="4" w:space="0" w:color="7030A0"/>
              <w:bottom w:val="nil"/>
              <w:right w:val="single" w:sz="4" w:space="0" w:color="7030A0"/>
            </w:tcBorders>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0.99</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0.96</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0.94</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0.93</w:t>
            </w:r>
          </w:p>
        </w:tc>
        <w:tc>
          <w:tcPr>
            <w:tcW w:w="960" w:type="dxa"/>
            <w:tcBorders>
              <w:left w:val="single" w:sz="4" w:space="0" w:color="7030A0"/>
              <w:bottom w:val="nil"/>
              <w:right w:val="single" w:sz="4" w:space="0" w:color="7030A0"/>
            </w:tcBorders>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0.95</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0.94</w:t>
            </w:r>
          </w:p>
        </w:tc>
        <w:tc>
          <w:tcPr>
            <w:tcW w:w="1025"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0.94</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keepNext/>
              <w:spacing w:before="20" w:after="20" w:line="240" w:lineRule="auto"/>
              <w:contextualSpacing/>
              <w:jc w:val="center"/>
              <w:rPr>
                <w:rFonts w:cs="Arial"/>
                <w:sz w:val="18"/>
                <w:szCs w:val="18"/>
                <w:lang w:val="en-AU"/>
              </w:rPr>
            </w:pPr>
            <w:r w:rsidRPr="00E15AE7">
              <w:rPr>
                <w:rFonts w:cs="Arial"/>
                <w:sz w:val="18"/>
                <w:szCs w:val="18"/>
                <w:lang w:val="en-AU"/>
              </w:rPr>
              <w:t>0.93</w:t>
            </w:r>
          </w:p>
        </w:tc>
      </w:tr>
      <w:tr w:rsidR="00D46F03" w:rsidRPr="00E15AE7" w:rsidTr="009655D6">
        <w:trPr>
          <w:trHeight w:val="240"/>
        </w:trPr>
        <w:tc>
          <w:tcPr>
            <w:tcW w:w="3823" w:type="dxa"/>
            <w:tcBorders>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SA - Adelaide - West</w:t>
            </w:r>
          </w:p>
        </w:tc>
        <w:tc>
          <w:tcPr>
            <w:tcW w:w="1134"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0.99</w:t>
            </w:r>
          </w:p>
        </w:tc>
        <w:tc>
          <w:tcPr>
            <w:tcW w:w="1134"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0.99</w:t>
            </w:r>
          </w:p>
        </w:tc>
        <w:tc>
          <w:tcPr>
            <w:tcW w:w="1134" w:type="dxa"/>
            <w:tcBorders>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0.99</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0.99</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0.99</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0.99</w:t>
            </w:r>
          </w:p>
        </w:tc>
        <w:tc>
          <w:tcPr>
            <w:tcW w:w="960" w:type="dxa"/>
            <w:tcBorders>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1.00</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0.99</w:t>
            </w:r>
          </w:p>
        </w:tc>
        <w:tc>
          <w:tcPr>
            <w:tcW w:w="1025"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0.99</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0.99</w:t>
            </w:r>
          </w:p>
        </w:tc>
      </w:tr>
      <w:tr w:rsidR="00D46F03" w:rsidRPr="00E15AE7" w:rsidTr="009655D6">
        <w:trPr>
          <w:trHeight w:val="240"/>
        </w:trPr>
        <w:tc>
          <w:tcPr>
            <w:tcW w:w="3823" w:type="dxa"/>
            <w:tcBorders>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SA - Barossa - Yorke - Mid North</w:t>
            </w:r>
          </w:p>
        </w:tc>
        <w:tc>
          <w:tcPr>
            <w:tcW w:w="1134"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1.02</w:t>
            </w:r>
          </w:p>
        </w:tc>
        <w:tc>
          <w:tcPr>
            <w:tcW w:w="1134"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1.02</w:t>
            </w:r>
          </w:p>
        </w:tc>
        <w:tc>
          <w:tcPr>
            <w:tcW w:w="1134" w:type="dxa"/>
            <w:tcBorders>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1.03</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0.94</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0.89</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0.86</w:t>
            </w:r>
          </w:p>
        </w:tc>
        <w:tc>
          <w:tcPr>
            <w:tcW w:w="960" w:type="dxa"/>
            <w:tcBorders>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0.92</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0.90</w:t>
            </w:r>
          </w:p>
        </w:tc>
        <w:tc>
          <w:tcPr>
            <w:tcW w:w="1025"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0.88</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0.86</w:t>
            </w:r>
          </w:p>
        </w:tc>
      </w:tr>
      <w:tr w:rsidR="00D46F03" w:rsidRPr="00E15AE7" w:rsidTr="009655D6">
        <w:trPr>
          <w:trHeight w:val="240"/>
        </w:trPr>
        <w:tc>
          <w:tcPr>
            <w:tcW w:w="3823" w:type="dxa"/>
            <w:tcBorders>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SA - South Australia - Outback</w:t>
            </w:r>
          </w:p>
        </w:tc>
        <w:tc>
          <w:tcPr>
            <w:tcW w:w="1134"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1.15</w:t>
            </w:r>
          </w:p>
        </w:tc>
        <w:tc>
          <w:tcPr>
            <w:tcW w:w="1134"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1.15</w:t>
            </w:r>
          </w:p>
        </w:tc>
        <w:tc>
          <w:tcPr>
            <w:tcW w:w="1134" w:type="dxa"/>
            <w:tcBorders>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1.18</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1.06</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1.01</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0.99</w:t>
            </w:r>
          </w:p>
        </w:tc>
        <w:tc>
          <w:tcPr>
            <w:tcW w:w="960" w:type="dxa"/>
            <w:tcBorders>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1.01</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1.01</w:t>
            </w:r>
          </w:p>
        </w:tc>
        <w:tc>
          <w:tcPr>
            <w:tcW w:w="1025"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1.01</w:t>
            </w:r>
          </w:p>
        </w:tc>
        <w:tc>
          <w:tcPr>
            <w:tcW w:w="992" w:type="dxa"/>
            <w:tcBorders>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0.99</w:t>
            </w:r>
          </w:p>
        </w:tc>
      </w:tr>
      <w:tr w:rsidR="00D46F03" w:rsidRPr="00E15AE7" w:rsidTr="009655D6">
        <w:trPr>
          <w:trHeight w:val="240"/>
        </w:trPr>
        <w:tc>
          <w:tcPr>
            <w:tcW w:w="3823" w:type="dxa"/>
            <w:tcBorders>
              <w:left w:val="single" w:sz="4" w:space="0" w:color="7030A0"/>
              <w:bottom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cs="Arial"/>
                <w:color w:val="000000"/>
                <w:sz w:val="18"/>
                <w:szCs w:val="18"/>
                <w:lang w:val="en-AU"/>
              </w:rPr>
            </w:pPr>
            <w:r w:rsidRPr="00E15AE7">
              <w:rPr>
                <w:rFonts w:cs="Arial"/>
                <w:color w:val="000000"/>
                <w:sz w:val="18"/>
                <w:szCs w:val="18"/>
                <w:lang w:val="en-AU"/>
              </w:rPr>
              <w:t>SA - South Australia - South East</w:t>
            </w:r>
          </w:p>
        </w:tc>
        <w:tc>
          <w:tcPr>
            <w:tcW w:w="1134"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1.02</w:t>
            </w:r>
          </w:p>
        </w:tc>
        <w:tc>
          <w:tcPr>
            <w:tcW w:w="1134"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1.02</w:t>
            </w:r>
          </w:p>
        </w:tc>
        <w:tc>
          <w:tcPr>
            <w:tcW w:w="1134" w:type="dxa"/>
            <w:tcBorders>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1.03</w:t>
            </w:r>
          </w:p>
        </w:tc>
        <w:tc>
          <w:tcPr>
            <w:tcW w:w="992"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0.94</w:t>
            </w:r>
          </w:p>
        </w:tc>
        <w:tc>
          <w:tcPr>
            <w:tcW w:w="992"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0.89</w:t>
            </w:r>
          </w:p>
        </w:tc>
        <w:tc>
          <w:tcPr>
            <w:tcW w:w="992"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0.86</w:t>
            </w:r>
          </w:p>
        </w:tc>
        <w:tc>
          <w:tcPr>
            <w:tcW w:w="960" w:type="dxa"/>
            <w:tcBorders>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0.92</w:t>
            </w:r>
          </w:p>
        </w:tc>
        <w:tc>
          <w:tcPr>
            <w:tcW w:w="992"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0.90</w:t>
            </w:r>
          </w:p>
        </w:tc>
        <w:tc>
          <w:tcPr>
            <w:tcW w:w="1025"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0.88</w:t>
            </w:r>
          </w:p>
        </w:tc>
        <w:tc>
          <w:tcPr>
            <w:tcW w:w="992" w:type="dxa"/>
            <w:tcBorders>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0.86</w:t>
            </w:r>
          </w:p>
        </w:tc>
      </w:tr>
      <w:tr w:rsidR="00D46F03" w:rsidRPr="00E15AE7" w:rsidTr="009655D6">
        <w:trPr>
          <w:trHeight w:val="240"/>
        </w:trPr>
        <w:tc>
          <w:tcPr>
            <w:tcW w:w="3823" w:type="dxa"/>
            <w:tcBorders>
              <w:top w:val="single" w:sz="4" w:space="0" w:color="7030A0"/>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TAS - Hobart</w:t>
            </w:r>
          </w:p>
        </w:tc>
        <w:tc>
          <w:tcPr>
            <w:tcW w:w="1134"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1.00</w:t>
            </w:r>
          </w:p>
        </w:tc>
        <w:tc>
          <w:tcPr>
            <w:tcW w:w="1134"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1.00</w:t>
            </w:r>
          </w:p>
        </w:tc>
        <w:tc>
          <w:tcPr>
            <w:tcW w:w="1134" w:type="dxa"/>
            <w:tcBorders>
              <w:top w:val="single" w:sz="4" w:space="0" w:color="7030A0"/>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1.00</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0.94</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0.90</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0.88</w:t>
            </w:r>
          </w:p>
        </w:tc>
        <w:tc>
          <w:tcPr>
            <w:tcW w:w="960" w:type="dxa"/>
            <w:tcBorders>
              <w:top w:val="single" w:sz="4" w:space="0" w:color="7030A0"/>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0.93</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0.91</w:t>
            </w:r>
          </w:p>
        </w:tc>
        <w:tc>
          <w:tcPr>
            <w:tcW w:w="1025"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0.90</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0.88</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TAS - Launceston and North East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1.08</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1.09</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1.10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0.93</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0.96</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0.93</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TAS - South East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1.08</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1.08</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1.10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0.91</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0.94</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0.92</w:t>
            </w:r>
          </w:p>
        </w:tc>
      </w:tr>
      <w:tr w:rsidR="00D46F03" w:rsidRPr="00E15AE7" w:rsidTr="009655D6">
        <w:trPr>
          <w:trHeight w:val="240"/>
        </w:trPr>
        <w:tc>
          <w:tcPr>
            <w:tcW w:w="3823" w:type="dxa"/>
            <w:tcBorders>
              <w:top w:val="nil"/>
              <w:left w:val="single" w:sz="4" w:space="0" w:color="7030A0"/>
              <w:bottom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TAS - West and North West</w:t>
            </w:r>
          </w:p>
        </w:tc>
        <w:tc>
          <w:tcPr>
            <w:tcW w:w="1134"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1.08</w:t>
            </w:r>
          </w:p>
        </w:tc>
        <w:tc>
          <w:tcPr>
            <w:tcW w:w="1134"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1.09</w:t>
            </w:r>
          </w:p>
        </w:tc>
        <w:tc>
          <w:tcPr>
            <w:tcW w:w="1134" w:type="dxa"/>
            <w:tcBorders>
              <w:top w:val="nil"/>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1.10</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1.00</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0.95</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0.92</w:t>
            </w:r>
          </w:p>
        </w:tc>
        <w:tc>
          <w:tcPr>
            <w:tcW w:w="960" w:type="dxa"/>
            <w:tcBorders>
              <w:top w:val="nil"/>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0.96</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0.95</w:t>
            </w:r>
          </w:p>
        </w:tc>
        <w:tc>
          <w:tcPr>
            <w:tcW w:w="1025"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0.94</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0.93</w:t>
            </w:r>
          </w:p>
        </w:tc>
      </w:tr>
      <w:tr w:rsidR="00D46F03" w:rsidRPr="00E15AE7" w:rsidTr="009655D6">
        <w:trPr>
          <w:trHeight w:val="240"/>
        </w:trPr>
        <w:tc>
          <w:tcPr>
            <w:tcW w:w="3823" w:type="dxa"/>
            <w:tcBorders>
              <w:top w:val="single" w:sz="4" w:space="0" w:color="7030A0"/>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Ballarat</w:t>
            </w:r>
          </w:p>
        </w:tc>
        <w:tc>
          <w:tcPr>
            <w:tcW w:w="1134"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1.04</w:t>
            </w:r>
          </w:p>
        </w:tc>
        <w:tc>
          <w:tcPr>
            <w:tcW w:w="1134"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1.05</w:t>
            </w:r>
          </w:p>
        </w:tc>
        <w:tc>
          <w:tcPr>
            <w:tcW w:w="1134" w:type="dxa"/>
            <w:tcBorders>
              <w:top w:val="single" w:sz="4" w:space="0" w:color="7030A0"/>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1.06</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0.98</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0.93</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0.91</w:t>
            </w:r>
          </w:p>
        </w:tc>
        <w:tc>
          <w:tcPr>
            <w:tcW w:w="960" w:type="dxa"/>
            <w:tcBorders>
              <w:top w:val="single" w:sz="4" w:space="0" w:color="7030A0"/>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0.95</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0.94</w:t>
            </w:r>
          </w:p>
        </w:tc>
        <w:tc>
          <w:tcPr>
            <w:tcW w:w="1025"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0.93</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0.91</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Bendigo</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1.05</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1.05</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0.91</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0.94</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0.91</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Geelong</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1.01</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1.01</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0.92</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0.94</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0.92</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Hume</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1.04</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1.05</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0.89</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0.93</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0.89</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Latrobe - Gippsland</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1.00</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1.01</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0.89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0.86</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0.89</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0.88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0.86</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Melbourne - Inner</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1.00</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1.00</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1.13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1.22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1.27</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1.16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1.20</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1.23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1.27</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Melbourne - Inner East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0.99</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0.99</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1.11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1.14</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1.10</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1.12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1.14</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Melbourne - Inner South</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0.99</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0.99</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1.13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1.16</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1.12</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1.14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1.16</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Melbourne - North East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0.97</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0.97</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0.94</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0.95</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0.94</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Melbourne - North West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1.01</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1.01</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0.91</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0.93</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0.91</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Melbourne - Outer East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0.97</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0.97</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0.90</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0.92</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0.90</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Melbourne - South East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1.01</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1.01</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1.02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1.00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0.98</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sz w:val="18"/>
                <w:szCs w:val="18"/>
                <w:lang w:val="en-AU"/>
              </w:rPr>
            </w:pPr>
            <w:r w:rsidRPr="00E15AE7">
              <w:rPr>
                <w:rFonts w:cs="Arial"/>
                <w:sz w:val="18"/>
                <w:szCs w:val="18"/>
                <w:lang w:val="en-AU"/>
              </w:rPr>
              <w:t>0.99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0.98</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sz w:val="18"/>
                <w:szCs w:val="18"/>
                <w:lang w:val="en-AU" w:eastAsia="en-AU"/>
              </w:rPr>
            </w:pPr>
            <w:r w:rsidRPr="00E15AE7">
              <w:rPr>
                <w:rFonts w:cs="Arial"/>
                <w:sz w:val="18"/>
                <w:szCs w:val="18"/>
                <w:lang w:val="en-AU"/>
              </w:rPr>
              <w:t>0.98</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Melbourne - West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0.91</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0.93</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0.91</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Mornington Peninsula</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0.89</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0.91</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0.89</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North West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0.88</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0.91</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0.88</w:t>
            </w:r>
          </w:p>
        </w:tc>
      </w:tr>
      <w:tr w:rsidR="00D46F03" w:rsidRPr="00E15AE7" w:rsidTr="009655D6">
        <w:trPr>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Shepparton</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0.89</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0.92</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0.89</w:t>
            </w:r>
          </w:p>
        </w:tc>
      </w:tr>
      <w:tr w:rsidR="00D46F03" w:rsidRPr="00E15AE7" w:rsidTr="009655D6">
        <w:trPr>
          <w:trHeight w:val="240"/>
        </w:trPr>
        <w:tc>
          <w:tcPr>
            <w:tcW w:w="3823" w:type="dxa"/>
            <w:tcBorders>
              <w:top w:val="nil"/>
              <w:left w:val="single" w:sz="4" w:space="0" w:color="7030A0"/>
              <w:bottom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VIC - Warrnambool and South West</w:t>
            </w:r>
          </w:p>
        </w:tc>
        <w:tc>
          <w:tcPr>
            <w:tcW w:w="1134"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1134"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c>
          <w:tcPr>
            <w:tcW w:w="1134" w:type="dxa"/>
            <w:tcBorders>
              <w:top w:val="nil"/>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1.06</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0.92</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0.89</w:t>
            </w:r>
          </w:p>
        </w:tc>
        <w:tc>
          <w:tcPr>
            <w:tcW w:w="960" w:type="dxa"/>
            <w:tcBorders>
              <w:top w:val="nil"/>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0.94</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0.93</w:t>
            </w:r>
          </w:p>
        </w:tc>
        <w:tc>
          <w:tcPr>
            <w:tcW w:w="1025"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0.92</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0.90</w:t>
            </w:r>
          </w:p>
        </w:tc>
      </w:tr>
      <w:tr w:rsidR="00D46F03" w:rsidRPr="00E15AE7" w:rsidTr="003C358D">
        <w:trPr>
          <w:cantSplit/>
          <w:trHeight w:val="240"/>
        </w:trPr>
        <w:tc>
          <w:tcPr>
            <w:tcW w:w="3823" w:type="dxa"/>
            <w:tcBorders>
              <w:top w:val="single" w:sz="4" w:space="0" w:color="7030A0"/>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WA - Bunbury</w:t>
            </w:r>
          </w:p>
        </w:tc>
        <w:tc>
          <w:tcPr>
            <w:tcW w:w="1134"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1.11</w:t>
            </w:r>
          </w:p>
        </w:tc>
        <w:tc>
          <w:tcPr>
            <w:tcW w:w="1134"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1.12</w:t>
            </w:r>
          </w:p>
        </w:tc>
        <w:tc>
          <w:tcPr>
            <w:tcW w:w="1134" w:type="dxa"/>
            <w:tcBorders>
              <w:top w:val="single" w:sz="4" w:space="0" w:color="7030A0"/>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1.14</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1.00</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60" w:type="dxa"/>
            <w:tcBorders>
              <w:top w:val="single" w:sz="4" w:space="0" w:color="7030A0"/>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1.01</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1.01</w:t>
            </w:r>
          </w:p>
        </w:tc>
        <w:tc>
          <w:tcPr>
            <w:tcW w:w="1025"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1.00</w:t>
            </w:r>
          </w:p>
        </w:tc>
        <w:tc>
          <w:tcPr>
            <w:tcW w:w="992" w:type="dxa"/>
            <w:tcBorders>
              <w:top w:val="single" w:sz="4" w:space="0" w:color="7030A0"/>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r>
      <w:tr w:rsidR="00D46F03" w:rsidRPr="00E15AE7" w:rsidTr="003C358D">
        <w:trPr>
          <w:cantSplit/>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WA - Mandurah</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0.96</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0.98</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0.96</w:t>
            </w:r>
          </w:p>
        </w:tc>
      </w:tr>
      <w:tr w:rsidR="00D46F03" w:rsidRPr="00E15AE7" w:rsidTr="003C358D">
        <w:trPr>
          <w:cantSplit/>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WA - Perth - Inner</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1.06</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1.42</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1.26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1.32</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1.36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1.42</w:t>
            </w:r>
          </w:p>
        </w:tc>
      </w:tr>
      <w:tr w:rsidR="00D46F03" w:rsidRPr="00E15AE7" w:rsidTr="003C358D">
        <w:trPr>
          <w:cantSplit/>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WA - Perth - North East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1.01</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1.00</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1.00</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0.99</w:t>
            </w:r>
          </w:p>
        </w:tc>
      </w:tr>
      <w:tr w:rsidR="00D46F03" w:rsidRPr="00E15AE7" w:rsidTr="003C358D">
        <w:trPr>
          <w:cantSplit/>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WA - Perth - North West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r>
      <w:tr w:rsidR="00D46F03" w:rsidRPr="00E15AE7" w:rsidTr="003C358D">
        <w:trPr>
          <w:cantSplit/>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lastRenderedPageBreak/>
              <w:t>WA - Perth - South East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1.08</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1.09</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1.06</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1.05</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1.06</w:t>
            </w:r>
          </w:p>
        </w:tc>
      </w:tr>
      <w:tr w:rsidR="00D46F03" w:rsidRPr="00E15AE7" w:rsidTr="003C358D">
        <w:trPr>
          <w:cantSplit/>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WA - Perth - South West</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1.02</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1.02</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1.02</w:t>
            </w:r>
          </w:p>
        </w:tc>
      </w:tr>
      <w:tr w:rsidR="00D46F03" w:rsidRPr="00E15AE7" w:rsidTr="003C358D">
        <w:trPr>
          <w:cantSplit/>
          <w:trHeight w:val="240"/>
        </w:trPr>
        <w:tc>
          <w:tcPr>
            <w:tcW w:w="3823" w:type="dxa"/>
            <w:tcBorders>
              <w:top w:val="nil"/>
              <w:left w:val="single" w:sz="4" w:space="0" w:color="7030A0"/>
              <w:bottom w:val="nil"/>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WA - Western Australia - Outback</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1.20</w:t>
            </w:r>
          </w:p>
        </w:tc>
        <w:tc>
          <w:tcPr>
            <w:tcW w:w="1134"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1.21</w:t>
            </w:r>
          </w:p>
        </w:tc>
        <w:tc>
          <w:tcPr>
            <w:tcW w:w="1134"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1.24</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1.12</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1.05</w:t>
            </w:r>
          </w:p>
        </w:tc>
        <w:tc>
          <w:tcPr>
            <w:tcW w:w="960" w:type="dxa"/>
            <w:tcBorders>
              <w:top w:val="nil"/>
              <w:left w:val="single" w:sz="4" w:space="0" w:color="7030A0"/>
              <w:bottom w:val="nil"/>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1.06</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1.06</w:t>
            </w:r>
          </w:p>
        </w:tc>
        <w:tc>
          <w:tcPr>
            <w:tcW w:w="1025"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1.07</w:t>
            </w:r>
          </w:p>
        </w:tc>
        <w:tc>
          <w:tcPr>
            <w:tcW w:w="992" w:type="dxa"/>
            <w:tcBorders>
              <w:top w:val="nil"/>
              <w:left w:val="single" w:sz="4" w:space="0" w:color="7030A0"/>
              <w:bottom w:val="nil"/>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1.06</w:t>
            </w:r>
          </w:p>
        </w:tc>
      </w:tr>
      <w:tr w:rsidR="00D46F03" w:rsidRPr="00E15AE7" w:rsidTr="003C358D">
        <w:trPr>
          <w:cantSplit/>
          <w:trHeight w:val="240"/>
        </w:trPr>
        <w:tc>
          <w:tcPr>
            <w:tcW w:w="3823" w:type="dxa"/>
            <w:tcBorders>
              <w:top w:val="nil"/>
              <w:left w:val="single" w:sz="4" w:space="0" w:color="7030A0"/>
              <w:bottom w:val="single" w:sz="4" w:space="0" w:color="7030A0"/>
              <w:right w:val="single" w:sz="4" w:space="0" w:color="7030A0"/>
            </w:tcBorders>
            <w:shd w:val="clear" w:color="000000" w:fill="FFFFFF"/>
            <w:noWrap/>
            <w:vAlign w:val="center"/>
          </w:tcPr>
          <w:p w:rsidR="00D46F03" w:rsidRPr="00E15AE7" w:rsidRDefault="00D46F03" w:rsidP="00E00CCA">
            <w:pPr>
              <w:spacing w:before="20" w:after="20" w:line="240" w:lineRule="auto"/>
              <w:contextualSpacing/>
              <w:rPr>
                <w:rFonts w:eastAsia="Times New Roman" w:cs="Arial"/>
                <w:color w:val="000000"/>
                <w:sz w:val="18"/>
                <w:szCs w:val="18"/>
                <w:lang w:val="en-AU" w:eastAsia="en-AU"/>
              </w:rPr>
            </w:pPr>
            <w:r w:rsidRPr="00E15AE7">
              <w:rPr>
                <w:rFonts w:cs="Arial"/>
                <w:color w:val="000000"/>
                <w:sz w:val="18"/>
                <w:szCs w:val="18"/>
                <w:lang w:val="en-AU"/>
              </w:rPr>
              <w:t>WA - Western Australia - Wheat Belt</w:t>
            </w:r>
          </w:p>
        </w:tc>
        <w:tc>
          <w:tcPr>
            <w:tcW w:w="1134"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1.11</w:t>
            </w:r>
          </w:p>
        </w:tc>
        <w:tc>
          <w:tcPr>
            <w:tcW w:w="1134"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1.11</w:t>
            </w:r>
          </w:p>
        </w:tc>
        <w:tc>
          <w:tcPr>
            <w:tcW w:w="1134" w:type="dxa"/>
            <w:tcBorders>
              <w:top w:val="nil"/>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1.13</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1.03</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0.95</w:t>
            </w:r>
          </w:p>
        </w:tc>
        <w:tc>
          <w:tcPr>
            <w:tcW w:w="960" w:type="dxa"/>
            <w:tcBorders>
              <w:top w:val="nil"/>
              <w:left w:val="single" w:sz="4" w:space="0" w:color="7030A0"/>
              <w:bottom w:val="single" w:sz="4" w:space="0" w:color="7030A0"/>
              <w:right w:val="single" w:sz="4" w:space="0" w:color="7030A0"/>
            </w:tcBorders>
            <w:vAlign w:val="center"/>
          </w:tcPr>
          <w:p w:rsidR="00D46F03" w:rsidRPr="00E15AE7" w:rsidRDefault="00D46F03" w:rsidP="00E00CCA">
            <w:pPr>
              <w:spacing w:before="20" w:after="20" w:line="240" w:lineRule="auto"/>
              <w:contextualSpacing/>
              <w:jc w:val="center"/>
              <w:rPr>
                <w:rFonts w:cs="Arial"/>
                <w:color w:val="000000"/>
                <w:sz w:val="18"/>
                <w:szCs w:val="18"/>
                <w:lang w:val="en-AU"/>
              </w:rPr>
            </w:pPr>
            <w:r w:rsidRPr="00E15AE7">
              <w:rPr>
                <w:rFonts w:cs="Arial"/>
                <w:color w:val="000000"/>
                <w:sz w:val="18"/>
                <w:szCs w:val="18"/>
                <w:lang w:val="en-AU"/>
              </w:rPr>
              <w:t>0.98</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1025"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0.97</w:t>
            </w:r>
          </w:p>
        </w:tc>
        <w:tc>
          <w:tcPr>
            <w:tcW w:w="992" w:type="dxa"/>
            <w:tcBorders>
              <w:top w:val="nil"/>
              <w:left w:val="single" w:sz="4" w:space="0" w:color="7030A0"/>
              <w:bottom w:val="single" w:sz="4" w:space="0" w:color="7030A0"/>
              <w:right w:val="single" w:sz="4" w:space="0" w:color="7030A0"/>
            </w:tcBorders>
            <w:shd w:val="clear" w:color="auto" w:fill="auto"/>
            <w:noWrap/>
            <w:vAlign w:val="center"/>
          </w:tcPr>
          <w:p w:rsidR="00D46F03" w:rsidRPr="00E15AE7" w:rsidRDefault="00D46F03" w:rsidP="00E00CCA">
            <w:pPr>
              <w:spacing w:before="20" w:after="20" w:line="240" w:lineRule="auto"/>
              <w:contextualSpacing/>
              <w:jc w:val="center"/>
              <w:rPr>
                <w:rFonts w:eastAsia="Times New Roman" w:cs="Arial"/>
                <w:color w:val="000000"/>
                <w:sz w:val="18"/>
                <w:szCs w:val="18"/>
                <w:lang w:val="en-AU" w:eastAsia="en-AU"/>
              </w:rPr>
            </w:pPr>
            <w:r w:rsidRPr="00E15AE7">
              <w:rPr>
                <w:rFonts w:cs="Arial"/>
                <w:color w:val="000000"/>
                <w:sz w:val="18"/>
                <w:szCs w:val="18"/>
                <w:lang w:val="en-AU"/>
              </w:rPr>
              <w:t>0.95</w:t>
            </w:r>
          </w:p>
        </w:tc>
      </w:tr>
      <w:bookmarkEnd w:id="2"/>
    </w:tbl>
    <w:p w:rsidR="002D6726" w:rsidRPr="003C358D" w:rsidRDefault="002D6726" w:rsidP="003C358D"/>
    <w:sectPr w:rsidR="002D6726" w:rsidRPr="003C358D" w:rsidSect="00FF5DE8">
      <w:headerReference w:type="even" r:id="rId39"/>
      <w:headerReference w:type="default" r:id="rId40"/>
      <w:footerReference w:type="default" r:id="rId41"/>
      <w:headerReference w:type="first" r:id="rId42"/>
      <w:footerReference w:type="first" r:id="rId43"/>
      <w:pgSz w:w="16838" w:h="11906" w:orient="landscape"/>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72F" w:rsidRDefault="000B672F" w:rsidP="007219F1">
      <w:pPr>
        <w:spacing w:after="0" w:line="240" w:lineRule="auto"/>
      </w:pPr>
      <w:r>
        <w:separator/>
      </w:r>
    </w:p>
    <w:p w:rsidR="000B672F" w:rsidRDefault="000B672F"/>
  </w:endnote>
  <w:endnote w:type="continuationSeparator" w:id="0">
    <w:p w:rsidR="000B672F" w:rsidRDefault="000B672F" w:rsidP="007219F1">
      <w:pPr>
        <w:spacing w:after="0" w:line="240" w:lineRule="auto"/>
      </w:pPr>
      <w:r>
        <w:continuationSeparator/>
      </w:r>
    </w:p>
    <w:p w:rsidR="000B672F" w:rsidRDefault="000B67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Helvetica Neue">
    <w:altName w:val="Myriad Pro"/>
    <w:charset w:val="00"/>
    <w:family w:val="auto"/>
    <w:pitch w:val="variable"/>
    <w:sig w:usb0="00000003" w:usb1="500079DB" w:usb2="00000010" w:usb3="00000000" w:csb0="00000001" w:csb1="00000000"/>
  </w:font>
  <w:font w:name="Corbel">
    <w:panose1 w:val="020B0503020204020204"/>
    <w:charset w:val="00"/>
    <w:family w:val="swiss"/>
    <w:pitch w:val="variable"/>
    <w:sig w:usb0="A00002EF" w:usb1="4000A44B" w:usb2="00000000" w:usb3="00000000" w:csb0="0000019F" w:csb1="00000000"/>
  </w:font>
  <w:font w:name="FS Me Light">
    <w:altName w:val="Times New Roman"/>
    <w:charset w:val="00"/>
    <w:family w:val="auto"/>
    <w:pitch w:val="variable"/>
    <w:sig w:usb0="00000001" w:usb1="4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rsidP="00732480">
    <w:pPr>
      <w:spacing w:after="600"/>
      <w:jc w:val="center"/>
    </w:pPr>
    <w:r>
      <w:rPr>
        <w:rFonts w:cs="Arial"/>
        <w:b/>
        <w:color w:val="5E2D73"/>
        <w:sz w:val="32"/>
        <w:szCs w:val="32"/>
      </w:rPr>
      <w:br/>
    </w:r>
    <w:r w:rsidRPr="00FB5514">
      <w:rPr>
        <w:rFonts w:cs="Arial"/>
        <w:b/>
        <w:color w:val="5E2D73"/>
        <w:sz w:val="32"/>
        <w:szCs w:val="32"/>
      </w:rPr>
      <w:t>ndis.gov.au</w:t>
    </w:r>
    <w:r>
      <w:tab/>
      <w:t xml:space="preserve">1 June 2016 </w:t>
    </w:r>
    <w:r w:rsidRPr="004D32B5">
      <w:t>|</w:t>
    </w:r>
    <w:r>
      <w:t xml:space="preserve"> Specialist Disability Accommodation Decision Paper</w:t>
    </w:r>
    <w:r w:rsidRPr="007219F1">
      <w:rPr>
        <w:rFonts w:ascii="FS Me Light" w:hAnsi="FS Me Light"/>
        <w:color w:val="5E2D73"/>
        <w:sz w:val="32"/>
        <w:szCs w:val="32"/>
      </w:rPr>
      <w:t xml:space="preserve"> </w:t>
    </w:r>
    <w:r>
      <w:rPr>
        <w:rFonts w:ascii="FS Me Light" w:hAnsi="FS Me Light"/>
        <w:color w:val="5E2D73"/>
        <w:sz w:val="32"/>
        <w:szCs w:val="32"/>
      </w:rPr>
      <w:br/>
    </w:r>
    <w:sdt>
      <w:sdtPr>
        <w:id w:val="14502832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1B2D">
          <w:rPr>
            <w:noProof/>
          </w:rPr>
          <w:t>12</w:t>
        </w:r>
        <w:r>
          <w:rPr>
            <w:noProof/>
          </w:rPr>
          <w:fldChar w:fldCharType="end"/>
        </w:r>
      </w:sdtContent>
    </w:sdt>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Pr="00BE2A81" w:rsidRDefault="00DF2001" w:rsidP="00BE2A81">
    <w:pPr>
      <w:spacing w:after="600"/>
      <w:jc w:val="center"/>
    </w:pPr>
    <w:r w:rsidRPr="00FB5514">
      <w:rPr>
        <w:rFonts w:cs="Arial"/>
        <w:b/>
        <w:color w:val="5E2D73"/>
        <w:sz w:val="32"/>
        <w:szCs w:val="32"/>
      </w:rPr>
      <w:t>ndis.gov.au</w:t>
    </w:r>
    <w:r>
      <w:tab/>
    </w:r>
    <w:r>
      <w:tab/>
    </w:r>
    <w:r>
      <w:tab/>
    </w:r>
    <w:r>
      <w:tab/>
    </w:r>
    <w:r>
      <w:tab/>
    </w:r>
    <w:r>
      <w:tab/>
    </w:r>
    <w:r>
      <w:tab/>
    </w:r>
    <w:r>
      <w:tab/>
      <w:t xml:space="preserve">1 June 2016 </w:t>
    </w:r>
    <w:r w:rsidRPr="004D32B5">
      <w:t>|</w:t>
    </w:r>
    <w:r>
      <w:t xml:space="preserve"> Specialist Disability Accommodation Decision Paper</w:t>
    </w:r>
    <w:r w:rsidRPr="007219F1">
      <w:rPr>
        <w:rFonts w:ascii="FS Me Light" w:hAnsi="FS Me Light"/>
        <w:color w:val="5E2D73"/>
        <w:sz w:val="32"/>
        <w:szCs w:val="32"/>
      </w:rPr>
      <w:t xml:space="preserve"> </w:t>
    </w:r>
    <w:r>
      <w:rPr>
        <w:rFonts w:ascii="FS Me Light" w:hAnsi="FS Me Light"/>
        <w:color w:val="5E2D73"/>
        <w:sz w:val="32"/>
        <w:szCs w:val="32"/>
      </w:rPr>
      <w:br/>
    </w:r>
    <w:sdt>
      <w:sdtPr>
        <w:id w:val="-57481990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1B2D">
          <w:rPr>
            <w:noProof/>
          </w:rPr>
          <w:t>25</w:t>
        </w:r>
        <w:r>
          <w:rPr>
            <w:noProof/>
          </w:rPr>
          <w:fldChar w:fldCharType="end"/>
        </w:r>
      </w:sdtContent>
    </w:sdt>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Pr="006B6D40" w:rsidRDefault="00DF2001" w:rsidP="006B6D40">
    <w:pPr>
      <w:spacing w:after="600"/>
      <w:jc w:val="center"/>
    </w:pPr>
    <w:r w:rsidRPr="00FB5514">
      <w:rPr>
        <w:rFonts w:cs="Arial"/>
        <w:b/>
        <w:color w:val="5E2D73"/>
        <w:sz w:val="32"/>
        <w:szCs w:val="32"/>
      </w:rPr>
      <w:t>ndis.gov.au</w:t>
    </w:r>
    <w:r>
      <w:tab/>
      <w:t xml:space="preserve">1 June 2016 </w:t>
    </w:r>
    <w:r w:rsidRPr="004D32B5">
      <w:t>|</w:t>
    </w:r>
    <w:r>
      <w:t xml:space="preserve"> Specialist Disability Accommodation Decision Paper</w:t>
    </w:r>
    <w:r w:rsidRPr="007219F1">
      <w:rPr>
        <w:rFonts w:ascii="FS Me Light" w:hAnsi="FS Me Light"/>
        <w:color w:val="5E2D73"/>
        <w:sz w:val="32"/>
        <w:szCs w:val="32"/>
      </w:rPr>
      <w:t xml:space="preserve"> </w:t>
    </w:r>
    <w:r>
      <w:rPr>
        <w:rFonts w:ascii="FS Me Light" w:hAnsi="FS Me Light"/>
        <w:color w:val="5E2D73"/>
        <w:sz w:val="32"/>
        <w:szCs w:val="32"/>
      </w:rPr>
      <w:br/>
    </w:r>
    <w:sdt>
      <w:sdtPr>
        <w:id w:val="124537755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1B2D">
          <w:rPr>
            <w:noProof/>
          </w:rPr>
          <w:t>42</w:t>
        </w:r>
        <w:r>
          <w:rPr>
            <w:noProof/>
          </w:rPr>
          <w:fldChar w:fldCharType="end"/>
        </w:r>
      </w:sdtContent>
    </w:sdt>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Pr="006B6D40" w:rsidRDefault="00DF2001" w:rsidP="006B6D40">
    <w:pPr>
      <w:spacing w:after="600"/>
      <w:jc w:val="center"/>
    </w:pPr>
    <w:r w:rsidRPr="00FB5514">
      <w:rPr>
        <w:rFonts w:cs="Arial"/>
        <w:b/>
        <w:color w:val="5E2D73"/>
        <w:sz w:val="32"/>
        <w:szCs w:val="32"/>
      </w:rPr>
      <w:t>ndis.gov.au</w:t>
    </w:r>
    <w:r>
      <w:tab/>
      <w:t xml:space="preserve">1 June 2016 </w:t>
    </w:r>
    <w:r w:rsidRPr="004D32B5">
      <w:t>|</w:t>
    </w:r>
    <w:r>
      <w:t xml:space="preserve"> Specialist Disability Accommodation Decision Paper</w:t>
    </w:r>
    <w:r w:rsidRPr="007219F1">
      <w:rPr>
        <w:rFonts w:ascii="FS Me Light" w:hAnsi="FS Me Light"/>
        <w:color w:val="5E2D73"/>
        <w:sz w:val="32"/>
        <w:szCs w:val="32"/>
      </w:rPr>
      <w:t xml:space="preserve"> </w:t>
    </w:r>
    <w:r>
      <w:rPr>
        <w:rFonts w:ascii="FS Me Light" w:hAnsi="FS Me Light"/>
        <w:color w:val="5E2D73"/>
        <w:sz w:val="32"/>
        <w:szCs w:val="32"/>
      </w:rPr>
      <w:br/>
    </w:r>
    <w:sdt>
      <w:sdtPr>
        <w:id w:val="930317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1B2D">
          <w:rPr>
            <w:noProof/>
          </w:rPr>
          <w:t>27</w:t>
        </w:r>
        <w:r>
          <w:rPr>
            <w:noProof/>
          </w:rPr>
          <w:fldChar w:fldCharType="end"/>
        </w:r>
      </w:sdtContent>
    </w:sdt>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Pr="006B6D40" w:rsidRDefault="00DF2001" w:rsidP="006B6D40">
    <w:pPr>
      <w:spacing w:after="600"/>
      <w:jc w:val="center"/>
    </w:pPr>
    <w:r w:rsidRPr="00FB5514">
      <w:rPr>
        <w:rFonts w:cs="Arial"/>
        <w:b/>
        <w:color w:val="5E2D73"/>
        <w:sz w:val="32"/>
        <w:szCs w:val="32"/>
      </w:rPr>
      <w:t>ndis.gov.au</w:t>
    </w:r>
    <w:r>
      <w:tab/>
    </w:r>
    <w:r>
      <w:tab/>
    </w:r>
    <w:r>
      <w:tab/>
    </w:r>
    <w:r>
      <w:tab/>
    </w:r>
    <w:r>
      <w:tab/>
    </w:r>
    <w:r>
      <w:tab/>
    </w:r>
    <w:r>
      <w:tab/>
    </w:r>
    <w:r>
      <w:tab/>
      <w:t xml:space="preserve">1 June 2016 </w:t>
    </w:r>
    <w:r w:rsidRPr="004D32B5">
      <w:t>|</w:t>
    </w:r>
    <w:r>
      <w:t xml:space="preserve"> Specialist Disability Accommodation Decision Paper</w:t>
    </w:r>
    <w:r w:rsidRPr="007219F1">
      <w:rPr>
        <w:rFonts w:ascii="FS Me Light" w:hAnsi="FS Me Light"/>
        <w:color w:val="5E2D73"/>
        <w:sz w:val="32"/>
        <w:szCs w:val="32"/>
      </w:rPr>
      <w:t xml:space="preserve"> </w:t>
    </w:r>
    <w:r>
      <w:rPr>
        <w:rFonts w:ascii="FS Me Light" w:hAnsi="FS Me Light"/>
        <w:color w:val="5E2D73"/>
        <w:sz w:val="32"/>
        <w:szCs w:val="32"/>
      </w:rPr>
      <w:br/>
    </w:r>
    <w:sdt>
      <w:sdtPr>
        <w:id w:val="-1489845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1B2D">
          <w:rPr>
            <w:noProof/>
          </w:rPr>
          <w:t>46</w:t>
        </w:r>
        <w:r>
          <w:rPr>
            <w:noProof/>
          </w:rPr>
          <w:fldChar w:fldCharType="end"/>
        </w:r>
      </w:sdtContent>
    </w:sdt>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Pr="006B6D40" w:rsidRDefault="00DF2001" w:rsidP="006B6D40">
    <w:pPr>
      <w:spacing w:after="600"/>
      <w:jc w:val="center"/>
    </w:pPr>
    <w:r w:rsidRPr="00FB5514">
      <w:rPr>
        <w:rFonts w:cs="Arial"/>
        <w:b/>
        <w:color w:val="5E2D73"/>
        <w:sz w:val="32"/>
        <w:szCs w:val="32"/>
      </w:rPr>
      <w:t>ndis.gov.au</w:t>
    </w:r>
    <w:r>
      <w:tab/>
    </w:r>
    <w:r>
      <w:tab/>
    </w:r>
    <w:r>
      <w:tab/>
    </w:r>
    <w:r>
      <w:tab/>
    </w:r>
    <w:r>
      <w:tab/>
    </w:r>
    <w:r>
      <w:tab/>
    </w:r>
    <w:r>
      <w:tab/>
    </w:r>
    <w:r>
      <w:tab/>
      <w:t xml:space="preserve">1 June 2016 </w:t>
    </w:r>
    <w:r w:rsidRPr="004D32B5">
      <w:t>|</w:t>
    </w:r>
    <w:r>
      <w:t xml:space="preserve"> Specialist Disability Accommodation Decision Paper</w:t>
    </w:r>
    <w:r w:rsidRPr="007219F1">
      <w:rPr>
        <w:rFonts w:ascii="FS Me Light" w:hAnsi="FS Me Light"/>
        <w:color w:val="5E2D73"/>
        <w:sz w:val="32"/>
        <w:szCs w:val="32"/>
      </w:rPr>
      <w:t xml:space="preserve"> </w:t>
    </w:r>
    <w:r>
      <w:rPr>
        <w:rFonts w:ascii="FS Me Light" w:hAnsi="FS Me Light"/>
        <w:color w:val="5E2D73"/>
        <w:sz w:val="32"/>
        <w:szCs w:val="32"/>
      </w:rPr>
      <w:br/>
    </w:r>
    <w:sdt>
      <w:sdtPr>
        <w:id w:val="63252544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1B2D">
          <w:rPr>
            <w:noProof/>
          </w:rPr>
          <w:t>43</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Pr="003D402C" w:rsidRDefault="00DF2001" w:rsidP="006709B9">
    <w:pPr>
      <w:tabs>
        <w:tab w:val="left" w:pos="5115"/>
      </w:tabs>
      <w:spacing w:after="600"/>
      <w:rPr>
        <w:sz w:val="20"/>
      </w:rPr>
    </w:pPr>
    <w:r w:rsidRPr="00FB5514">
      <w:rPr>
        <w:rFonts w:cs="Arial"/>
        <w:b/>
        <w:noProof/>
        <w:lang w:val="en-AU" w:eastAsia="en-AU"/>
      </w:rPr>
      <w:drawing>
        <wp:anchor distT="0" distB="0" distL="114300" distR="114300" simplePos="0" relativeHeight="251659264" behindDoc="1" locked="0" layoutInCell="1" allowOverlap="1" wp14:anchorId="078C2FFE" wp14:editId="2819CF68">
          <wp:simplePos x="0" y="0"/>
          <wp:positionH relativeFrom="page">
            <wp:posOffset>5671820</wp:posOffset>
          </wp:positionH>
          <wp:positionV relativeFrom="page">
            <wp:posOffset>9637395</wp:posOffset>
          </wp:positionV>
          <wp:extent cx="1536065" cy="798195"/>
          <wp:effectExtent l="0" t="0" r="6985" b="1905"/>
          <wp:wrapNone/>
          <wp:docPr id="7" name="Picture 7"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14:sizeRelH relativeFrom="page">
            <wp14:pctWidth>0</wp14:pctWidth>
          </wp14:sizeRelH>
          <wp14:sizeRelV relativeFrom="page">
            <wp14:pctHeight>0</wp14:pctHeight>
          </wp14:sizeRelV>
        </wp:anchor>
      </w:drawing>
    </w:r>
    <w:r w:rsidRPr="00FB5514">
      <w:rPr>
        <w:rFonts w:cs="Arial"/>
        <w:b/>
        <w:color w:val="5E2D73"/>
        <w:sz w:val="32"/>
        <w:szCs w:val="32"/>
      </w:rPr>
      <w:t>ndis.gov.au</w:t>
    </w:r>
    <w:r>
      <w:rPr>
        <w:rFonts w:cs="Arial"/>
        <w:b/>
        <w:color w:val="5E2D73"/>
        <w:sz w:val="32"/>
        <w:szCs w:val="32"/>
      </w:rPr>
      <w:t xml:space="preserve"> </w:t>
    </w:r>
    <w:r>
      <w:rPr>
        <w:rFonts w:cs="Arial"/>
        <w:b/>
        <w:color w:val="5E2D73"/>
        <w:sz w:val="32"/>
        <w:szCs w:val="3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rsidP="00732480">
    <w:pPr>
      <w:spacing w:after="600"/>
      <w:jc w:val="center"/>
    </w:pPr>
    <w:r w:rsidRPr="00FB5514">
      <w:rPr>
        <w:rFonts w:cs="Arial"/>
        <w:b/>
        <w:color w:val="5E2D73"/>
        <w:sz w:val="32"/>
        <w:szCs w:val="32"/>
      </w:rPr>
      <w:t>ndis.gov.au</w:t>
    </w:r>
    <w:r>
      <w:tab/>
    </w:r>
    <w:r>
      <w:tab/>
    </w:r>
    <w:r>
      <w:tab/>
    </w:r>
    <w:r>
      <w:tab/>
    </w:r>
    <w:r>
      <w:tab/>
    </w:r>
    <w:r>
      <w:tab/>
    </w:r>
    <w:r>
      <w:tab/>
      <w:t xml:space="preserve">1 June 2016 </w:t>
    </w:r>
    <w:r w:rsidRPr="004D32B5">
      <w:t>|</w:t>
    </w:r>
    <w:r>
      <w:t xml:space="preserve"> Specialist Disability Accommodation Decision Paper</w:t>
    </w:r>
    <w:r w:rsidRPr="007219F1">
      <w:rPr>
        <w:rFonts w:ascii="FS Me Light" w:hAnsi="FS Me Light"/>
        <w:color w:val="5E2D73"/>
        <w:sz w:val="32"/>
        <w:szCs w:val="32"/>
      </w:rPr>
      <w:t xml:space="preserve"> </w:t>
    </w:r>
    <w:r>
      <w:rPr>
        <w:rFonts w:ascii="FS Me Light" w:hAnsi="FS Me Light"/>
        <w:color w:val="5E2D73"/>
        <w:sz w:val="32"/>
        <w:szCs w:val="32"/>
      </w:rPr>
      <w:br/>
    </w:r>
    <w:sdt>
      <w:sdtPr>
        <w:id w:val="-17642928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1B2D">
          <w:rPr>
            <w:noProof/>
          </w:rPr>
          <w:t>15</w:t>
        </w:r>
        <w:r>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rsidP="00732480">
    <w:pPr>
      <w:spacing w:after="600"/>
      <w:jc w:val="center"/>
    </w:pPr>
    <w:r w:rsidRPr="00FB5514">
      <w:rPr>
        <w:rFonts w:cs="Arial"/>
        <w:b/>
        <w:color w:val="5E2D73"/>
        <w:sz w:val="32"/>
        <w:szCs w:val="32"/>
      </w:rPr>
      <w:t>ndis.gov.au</w:t>
    </w:r>
    <w:r>
      <w:tab/>
    </w:r>
    <w:r>
      <w:tab/>
    </w:r>
    <w:r>
      <w:tab/>
    </w:r>
    <w:r>
      <w:tab/>
    </w:r>
    <w:r>
      <w:tab/>
    </w:r>
    <w:r>
      <w:tab/>
    </w:r>
    <w:r>
      <w:tab/>
      <w:t xml:space="preserve">1 June 2016 </w:t>
    </w:r>
    <w:r w:rsidRPr="004D32B5">
      <w:t>|</w:t>
    </w:r>
    <w:r>
      <w:t xml:space="preserve"> Specialist Disability Accommodation Decision Paper</w:t>
    </w:r>
    <w:r w:rsidRPr="007219F1">
      <w:rPr>
        <w:rFonts w:ascii="FS Me Light" w:hAnsi="FS Me Light"/>
        <w:color w:val="5E2D73"/>
        <w:sz w:val="32"/>
        <w:szCs w:val="32"/>
      </w:rPr>
      <w:t xml:space="preserve"> </w:t>
    </w:r>
    <w:r>
      <w:rPr>
        <w:rFonts w:ascii="FS Me Light" w:hAnsi="FS Me Light"/>
        <w:color w:val="5E2D73"/>
        <w:sz w:val="32"/>
        <w:szCs w:val="32"/>
      </w:rPr>
      <w:br/>
    </w:r>
    <w:sdt>
      <w:sdtPr>
        <w:id w:val="1151085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1B2D">
          <w:rPr>
            <w:noProof/>
          </w:rPr>
          <w:t>13</w:t>
        </w:r>
        <w:r>
          <w:rPr>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Pr="001827B5" w:rsidRDefault="00DF2001" w:rsidP="001827B5">
    <w:pPr>
      <w:spacing w:after="600"/>
      <w:jc w:val="center"/>
    </w:pPr>
    <w:r w:rsidRPr="00FB5514">
      <w:rPr>
        <w:rFonts w:cs="Arial"/>
        <w:b/>
        <w:color w:val="5E2D73"/>
        <w:sz w:val="32"/>
        <w:szCs w:val="32"/>
      </w:rPr>
      <w:t>ndis.gov.au</w:t>
    </w:r>
    <w:r>
      <w:tab/>
      <w:t xml:space="preserve">1 June 2016 </w:t>
    </w:r>
    <w:r w:rsidRPr="004D32B5">
      <w:t>|</w:t>
    </w:r>
    <w:r>
      <w:t xml:space="preserve"> Specialist Disability Accommodation Decision Paper</w:t>
    </w:r>
    <w:r w:rsidRPr="007219F1">
      <w:rPr>
        <w:rFonts w:ascii="FS Me Light" w:hAnsi="FS Me Light"/>
        <w:color w:val="5E2D73"/>
        <w:sz w:val="32"/>
        <w:szCs w:val="32"/>
      </w:rPr>
      <w:t xml:space="preserve"> </w:t>
    </w:r>
    <w:r>
      <w:rPr>
        <w:rFonts w:ascii="FS Me Light" w:hAnsi="FS Me Light"/>
        <w:color w:val="5E2D73"/>
        <w:sz w:val="32"/>
        <w:szCs w:val="32"/>
      </w:rPr>
      <w:br/>
    </w:r>
    <w:sdt>
      <w:sdtPr>
        <w:id w:val="2194188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1B2D">
          <w:rPr>
            <w:noProof/>
          </w:rPr>
          <w:t>20</w:t>
        </w:r>
        <w:r>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Pr="00ED49C7" w:rsidRDefault="00DF2001" w:rsidP="00ED49C7">
    <w:pPr>
      <w:spacing w:after="600"/>
      <w:jc w:val="center"/>
    </w:pPr>
    <w:r w:rsidRPr="00FB5514">
      <w:rPr>
        <w:rFonts w:cs="Arial"/>
        <w:b/>
        <w:color w:val="5E2D73"/>
        <w:sz w:val="32"/>
        <w:szCs w:val="32"/>
      </w:rPr>
      <w:t>ndis.gov.au</w:t>
    </w:r>
    <w:r>
      <w:tab/>
      <w:t xml:space="preserve">1 June 2016 </w:t>
    </w:r>
    <w:r w:rsidRPr="004D32B5">
      <w:t>|</w:t>
    </w:r>
    <w:r>
      <w:t xml:space="preserve"> Specialist Disability Accommodation Decision Paper</w:t>
    </w:r>
    <w:r w:rsidRPr="007219F1">
      <w:rPr>
        <w:rFonts w:ascii="FS Me Light" w:hAnsi="FS Me Light"/>
        <w:color w:val="5E2D73"/>
        <w:sz w:val="32"/>
        <w:szCs w:val="32"/>
      </w:rPr>
      <w:t xml:space="preserve"> </w:t>
    </w:r>
    <w:r>
      <w:rPr>
        <w:rFonts w:ascii="FS Me Light" w:hAnsi="FS Me Light"/>
        <w:color w:val="5E2D73"/>
        <w:sz w:val="32"/>
        <w:szCs w:val="32"/>
      </w:rPr>
      <w:br/>
    </w:r>
    <w:sdt>
      <w:sdtPr>
        <w:id w:val="-142471815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1B2D">
          <w:rPr>
            <w:noProof/>
          </w:rPr>
          <w:t>16</w:t>
        </w:r>
        <w:r>
          <w:rPr>
            <w:noProof/>
          </w:rPr>
          <w:fldChar w:fldCharType="end"/>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Pr="00ED49C7" w:rsidRDefault="00DF2001" w:rsidP="00ED49C7">
    <w:pPr>
      <w:spacing w:after="600"/>
      <w:jc w:val="center"/>
    </w:pPr>
    <w:r w:rsidRPr="00FB5514">
      <w:rPr>
        <w:rFonts w:cs="Arial"/>
        <w:b/>
        <w:color w:val="5E2D73"/>
        <w:sz w:val="32"/>
        <w:szCs w:val="32"/>
      </w:rPr>
      <w:t>ndis.gov.au</w:t>
    </w:r>
    <w:r>
      <w:tab/>
    </w:r>
    <w:r>
      <w:tab/>
    </w:r>
    <w:r>
      <w:tab/>
    </w:r>
    <w:r>
      <w:tab/>
    </w:r>
    <w:r>
      <w:tab/>
    </w:r>
    <w:r>
      <w:tab/>
    </w:r>
    <w:r>
      <w:tab/>
    </w:r>
    <w:r>
      <w:tab/>
      <w:t xml:space="preserve">1 June 2016 </w:t>
    </w:r>
    <w:r w:rsidRPr="004D32B5">
      <w:t>|</w:t>
    </w:r>
    <w:r>
      <w:t xml:space="preserve"> Specialist Disability Accommodation Decision Paper</w:t>
    </w:r>
    <w:r w:rsidRPr="007219F1">
      <w:rPr>
        <w:rFonts w:ascii="FS Me Light" w:hAnsi="FS Me Light"/>
        <w:color w:val="5E2D73"/>
        <w:sz w:val="32"/>
        <w:szCs w:val="32"/>
      </w:rPr>
      <w:t xml:space="preserve"> </w:t>
    </w:r>
    <w:r>
      <w:rPr>
        <w:rFonts w:ascii="FS Me Light" w:hAnsi="FS Me Light"/>
        <w:color w:val="5E2D73"/>
        <w:sz w:val="32"/>
        <w:szCs w:val="32"/>
      </w:rPr>
      <w:br/>
    </w:r>
    <w:sdt>
      <w:sdtPr>
        <w:id w:val="-3555783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1B2D">
          <w:rPr>
            <w:noProof/>
          </w:rPr>
          <w:t>23</w:t>
        </w:r>
        <w:r>
          <w:rPr>
            <w:noProof/>
          </w:rPr>
          <w:fldChar w:fldCharType="end"/>
        </w:r>
      </w:sdtContent>
    </w:sdt>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rsidP="000A4F87">
    <w:pPr>
      <w:spacing w:after="600"/>
      <w:jc w:val="center"/>
    </w:pPr>
    <w:r w:rsidRPr="00FB5514">
      <w:rPr>
        <w:rFonts w:cs="Arial"/>
        <w:b/>
        <w:color w:val="5E2D73"/>
        <w:sz w:val="32"/>
        <w:szCs w:val="32"/>
      </w:rPr>
      <w:t>ndis.gov.au</w:t>
    </w:r>
    <w:r>
      <w:tab/>
    </w:r>
    <w:r>
      <w:tab/>
    </w:r>
    <w:r>
      <w:tab/>
    </w:r>
    <w:r>
      <w:tab/>
    </w:r>
    <w:r>
      <w:tab/>
    </w:r>
    <w:r>
      <w:tab/>
    </w:r>
    <w:r>
      <w:tab/>
    </w:r>
    <w:r>
      <w:tab/>
      <w:t xml:space="preserve">1 June 2016 </w:t>
    </w:r>
    <w:r w:rsidRPr="004D32B5">
      <w:t>|</w:t>
    </w:r>
    <w:r>
      <w:t xml:space="preserve"> Specialist Disability Accommodation Decision Paper</w:t>
    </w:r>
    <w:r w:rsidRPr="007219F1">
      <w:rPr>
        <w:rFonts w:ascii="FS Me Light" w:hAnsi="FS Me Light"/>
        <w:color w:val="5E2D73"/>
        <w:sz w:val="32"/>
        <w:szCs w:val="32"/>
      </w:rPr>
      <w:t xml:space="preserve"> </w:t>
    </w:r>
    <w:r>
      <w:rPr>
        <w:rFonts w:ascii="FS Me Light" w:hAnsi="FS Me Light"/>
        <w:color w:val="5E2D73"/>
        <w:sz w:val="32"/>
        <w:szCs w:val="32"/>
      </w:rPr>
      <w:br/>
    </w:r>
    <w:sdt>
      <w:sdtPr>
        <w:id w:val="-162268409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1B2D">
          <w:rPr>
            <w:noProof/>
          </w:rPr>
          <w:t>26</w:t>
        </w:r>
        <w:r>
          <w:rPr>
            <w:noProof/>
          </w:rPr>
          <w:fldChar w:fldCharType="end"/>
        </w:r>
      </w:sdtContent>
    </w:sdt>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Pr="00617F9F" w:rsidRDefault="00DF2001" w:rsidP="00617F9F">
    <w:pPr>
      <w:spacing w:after="600"/>
      <w:jc w:val="center"/>
    </w:pPr>
    <w:r w:rsidRPr="00FB5514">
      <w:rPr>
        <w:rFonts w:cs="Arial"/>
        <w:b/>
        <w:color w:val="5E2D73"/>
        <w:sz w:val="32"/>
        <w:szCs w:val="32"/>
      </w:rPr>
      <w:t>ndis.gov.au</w:t>
    </w:r>
    <w:r>
      <w:tab/>
      <w:t xml:space="preserve">1 June 2016 </w:t>
    </w:r>
    <w:r w:rsidRPr="004D32B5">
      <w:t>|</w:t>
    </w:r>
    <w:r>
      <w:t xml:space="preserve"> Specialist Disability Accommodation Decision Paper</w:t>
    </w:r>
    <w:r w:rsidRPr="007219F1">
      <w:rPr>
        <w:rFonts w:ascii="FS Me Light" w:hAnsi="FS Me Light"/>
        <w:color w:val="5E2D73"/>
        <w:sz w:val="32"/>
        <w:szCs w:val="32"/>
      </w:rPr>
      <w:t xml:space="preserve"> </w:t>
    </w:r>
    <w:r>
      <w:rPr>
        <w:rFonts w:ascii="FS Me Light" w:hAnsi="FS Me Light"/>
        <w:color w:val="5E2D73"/>
        <w:sz w:val="32"/>
        <w:szCs w:val="32"/>
      </w:rPr>
      <w:br/>
    </w:r>
    <w:sdt>
      <w:sdtPr>
        <w:id w:val="182762912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1B2D">
          <w:rPr>
            <w:noProof/>
          </w:rPr>
          <w:t>24</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72F" w:rsidRDefault="000B672F" w:rsidP="007219F1">
      <w:pPr>
        <w:spacing w:after="0" w:line="240" w:lineRule="auto"/>
      </w:pPr>
      <w:r>
        <w:separator/>
      </w:r>
    </w:p>
  </w:footnote>
  <w:footnote w:type="continuationSeparator" w:id="0">
    <w:p w:rsidR="000B672F" w:rsidRDefault="000B672F" w:rsidP="007219F1">
      <w:pPr>
        <w:spacing w:after="0" w:line="240" w:lineRule="auto"/>
      </w:pPr>
      <w:r>
        <w:continuationSeparator/>
      </w:r>
    </w:p>
  </w:footnote>
  <w:footnote w:type="continuationNotice" w:id="1">
    <w:p w:rsidR="000B672F" w:rsidRDefault="000B672F">
      <w:pPr>
        <w:spacing w:after="0" w:line="240" w:lineRule="auto"/>
      </w:pPr>
    </w:p>
  </w:footnote>
  <w:footnote w:id="2">
    <w:p w:rsidR="00DF2001" w:rsidRDefault="00DF2001" w:rsidP="00B01595">
      <w:pPr>
        <w:pStyle w:val="FootnoteText"/>
      </w:pPr>
      <w:r>
        <w:rPr>
          <w:rStyle w:val="FootnoteReference"/>
        </w:rPr>
        <w:footnoteRef/>
      </w:r>
      <w:r>
        <w:t xml:space="preserve"> A design assessment will generally be sufficient unless there has been a significant deviation from the design.</w:t>
      </w:r>
    </w:p>
  </w:footnote>
  <w:footnote w:id="3">
    <w:p w:rsidR="00DF2001" w:rsidRDefault="00DF2001" w:rsidP="00B01595">
      <w:pPr>
        <w:pStyle w:val="FootnoteText"/>
        <w:ind w:left="142" w:hanging="142"/>
      </w:pPr>
      <w:r>
        <w:rPr>
          <w:rStyle w:val="FootnoteReference"/>
        </w:rPr>
        <w:footnoteRef/>
      </w:r>
      <w:r>
        <w:t xml:space="preserve"> </w:t>
      </w:r>
      <w:r>
        <w:tab/>
        <w:t xml:space="preserve">Location factors were calculated by first determining the costs for a base location, using the median Australian capital city land value and costs in a single reference city. The base costs were then adjusted to reflect the median land value in each location (based on information supplied by State and Territory governments) and the construction cost index relevant to that location (based on “Rawlinsons Construction Handbook” 2016). These adjusted costs were included in the SDA pricing model to individually determine SDA Benchmark Prices for each location. </w:t>
      </w:r>
    </w:p>
  </w:footnote>
  <w:footnote w:id="4">
    <w:p w:rsidR="00DF2001" w:rsidRDefault="00DF2001" w:rsidP="002D6726">
      <w:pPr>
        <w:pStyle w:val="FootnoteText"/>
      </w:pPr>
      <w:r>
        <w:rPr>
          <w:rStyle w:val="FootnoteReference"/>
        </w:rPr>
        <w:footnoteRef/>
      </w:r>
      <w:r>
        <w:t xml:space="preserve"> </w:t>
      </w:r>
      <w:r w:rsidRPr="000B6F7C">
        <w:t xml:space="preserve">For more detail on these regions see ABS catalogue number 1270.0.55.001, or </w:t>
      </w:r>
      <w:hyperlink r:id="rId1" w:history="1">
        <w:r>
          <w:rPr>
            <w:rStyle w:val="Hyperlink"/>
          </w:rPr>
          <w:t>ABS hyperlink</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p w:rsidR="00DF2001" w:rsidRDefault="00DF200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p w:rsidR="00DF2001" w:rsidRDefault="00DF200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p w:rsidR="00DF2001" w:rsidRDefault="00DF2001"/>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p w:rsidR="00DF2001" w:rsidRDefault="00DF2001"/>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p w:rsidR="00DF2001" w:rsidRDefault="00DF200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p w:rsidR="00DF2001" w:rsidRDefault="00DF200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001" w:rsidRDefault="00DF20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D0AE6"/>
    <w:multiLevelType w:val="multilevel"/>
    <w:tmpl w:val="8B34D2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5A4425"/>
    <w:multiLevelType w:val="multilevel"/>
    <w:tmpl w:val="F050D7E0"/>
    <w:lvl w:ilvl="0">
      <w:start w:val="1"/>
      <w:numFmt w:val="decimal"/>
      <w:pStyle w:val="MJAheading1"/>
      <w:lvlText w:val="%1."/>
      <w:lvlJc w:val="left"/>
      <w:pPr>
        <w:ind w:left="2520" w:hanging="360"/>
      </w:pPr>
      <w:rPr>
        <w:rFonts w:hint="default"/>
      </w:rPr>
    </w:lvl>
    <w:lvl w:ilvl="1">
      <w:start w:val="1"/>
      <w:numFmt w:val="decimal"/>
      <w:pStyle w:val="MJAheading2"/>
      <w:lvlText w:val="%1.%2"/>
      <w:lvlJc w:val="left"/>
      <w:pPr>
        <w:ind w:left="2880" w:hanging="360"/>
      </w:pPr>
      <w:rPr>
        <w:rFonts w:hint="default"/>
      </w:rPr>
    </w:lvl>
    <w:lvl w:ilvl="2">
      <w:start w:val="1"/>
      <w:numFmt w:val="decimal"/>
      <w:pStyle w:val="MJAheading3"/>
      <w:lvlText w:val="%1.%2.%3"/>
      <w:lvlJc w:val="left"/>
      <w:pPr>
        <w:ind w:left="324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 w15:restartNumberingAfterBreak="0">
    <w:nsid w:val="08C51231"/>
    <w:multiLevelType w:val="hybridMultilevel"/>
    <w:tmpl w:val="081A0D18"/>
    <w:lvl w:ilvl="0" w:tplc="1E44863C">
      <w:start w:val="1"/>
      <w:numFmt w:val="bullet"/>
      <w:pStyle w:val="CVbullet"/>
      <w:lvlText w:val=""/>
      <w:lvlJc w:val="left"/>
      <w:pPr>
        <w:ind w:left="360" w:hanging="360"/>
      </w:pPr>
      <w:rPr>
        <w:rFonts w:ascii="Wingdings" w:hAnsi="Wingdings" w:hint="default"/>
        <w:color w:val="0093D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2A4FD7"/>
    <w:multiLevelType w:val="hybridMultilevel"/>
    <w:tmpl w:val="E2D6D18A"/>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0B2E211A"/>
    <w:multiLevelType w:val="hybridMultilevel"/>
    <w:tmpl w:val="B75481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804EE7"/>
    <w:multiLevelType w:val="hybridMultilevel"/>
    <w:tmpl w:val="9586BE92"/>
    <w:lvl w:ilvl="0" w:tplc="0C090017">
      <w:start w:val="1"/>
      <w:numFmt w:val="lowerLetter"/>
      <w:lvlText w:val="%1)"/>
      <w:lvlJc w:val="left"/>
      <w:pPr>
        <w:tabs>
          <w:tab w:val="num" w:pos="360"/>
        </w:tabs>
        <w:ind w:left="360" w:hanging="360"/>
      </w:pPr>
      <w:rPr>
        <w:rFonts w:hint="default"/>
      </w:rPr>
    </w:lvl>
    <w:lvl w:ilvl="1" w:tplc="63868920">
      <w:start w:val="1"/>
      <w:numFmt w:val="lowerLetter"/>
      <w:lvlText w:val="%2)"/>
      <w:lvlJc w:val="left"/>
      <w:pPr>
        <w:tabs>
          <w:tab w:val="num" w:pos="1080"/>
        </w:tabs>
        <w:ind w:left="1080" w:hanging="360"/>
      </w:pPr>
    </w:lvl>
    <w:lvl w:ilvl="2" w:tplc="27624282" w:tentative="1">
      <w:start w:val="1"/>
      <w:numFmt w:val="bullet"/>
      <w:lvlText w:val="•"/>
      <w:lvlJc w:val="left"/>
      <w:pPr>
        <w:tabs>
          <w:tab w:val="num" w:pos="1800"/>
        </w:tabs>
        <w:ind w:left="1800" w:hanging="360"/>
      </w:pPr>
      <w:rPr>
        <w:rFonts w:ascii="Arial" w:hAnsi="Arial" w:hint="default"/>
      </w:rPr>
    </w:lvl>
    <w:lvl w:ilvl="3" w:tplc="FFF86238" w:tentative="1">
      <w:start w:val="1"/>
      <w:numFmt w:val="bullet"/>
      <w:lvlText w:val="•"/>
      <w:lvlJc w:val="left"/>
      <w:pPr>
        <w:tabs>
          <w:tab w:val="num" w:pos="2520"/>
        </w:tabs>
        <w:ind w:left="2520" w:hanging="360"/>
      </w:pPr>
      <w:rPr>
        <w:rFonts w:ascii="Arial" w:hAnsi="Arial" w:hint="default"/>
      </w:rPr>
    </w:lvl>
    <w:lvl w:ilvl="4" w:tplc="546E8B68" w:tentative="1">
      <w:start w:val="1"/>
      <w:numFmt w:val="bullet"/>
      <w:lvlText w:val="•"/>
      <w:lvlJc w:val="left"/>
      <w:pPr>
        <w:tabs>
          <w:tab w:val="num" w:pos="3240"/>
        </w:tabs>
        <w:ind w:left="3240" w:hanging="360"/>
      </w:pPr>
      <w:rPr>
        <w:rFonts w:ascii="Arial" w:hAnsi="Arial" w:hint="default"/>
      </w:rPr>
    </w:lvl>
    <w:lvl w:ilvl="5" w:tplc="BB82E7C6" w:tentative="1">
      <w:start w:val="1"/>
      <w:numFmt w:val="bullet"/>
      <w:lvlText w:val="•"/>
      <w:lvlJc w:val="left"/>
      <w:pPr>
        <w:tabs>
          <w:tab w:val="num" w:pos="3960"/>
        </w:tabs>
        <w:ind w:left="3960" w:hanging="360"/>
      </w:pPr>
      <w:rPr>
        <w:rFonts w:ascii="Arial" w:hAnsi="Arial" w:hint="default"/>
      </w:rPr>
    </w:lvl>
    <w:lvl w:ilvl="6" w:tplc="57AA7C1C" w:tentative="1">
      <w:start w:val="1"/>
      <w:numFmt w:val="bullet"/>
      <w:lvlText w:val="•"/>
      <w:lvlJc w:val="left"/>
      <w:pPr>
        <w:tabs>
          <w:tab w:val="num" w:pos="4680"/>
        </w:tabs>
        <w:ind w:left="4680" w:hanging="360"/>
      </w:pPr>
      <w:rPr>
        <w:rFonts w:ascii="Arial" w:hAnsi="Arial" w:hint="default"/>
      </w:rPr>
    </w:lvl>
    <w:lvl w:ilvl="7" w:tplc="D1BC8F86" w:tentative="1">
      <w:start w:val="1"/>
      <w:numFmt w:val="bullet"/>
      <w:lvlText w:val="•"/>
      <w:lvlJc w:val="left"/>
      <w:pPr>
        <w:tabs>
          <w:tab w:val="num" w:pos="5400"/>
        </w:tabs>
        <w:ind w:left="5400" w:hanging="360"/>
      </w:pPr>
      <w:rPr>
        <w:rFonts w:ascii="Arial" w:hAnsi="Arial" w:hint="default"/>
      </w:rPr>
    </w:lvl>
    <w:lvl w:ilvl="8" w:tplc="7480E1C4"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13B2557"/>
    <w:multiLevelType w:val="hybridMultilevel"/>
    <w:tmpl w:val="81C4B4DC"/>
    <w:lvl w:ilvl="0" w:tplc="C060D178">
      <w:start w:val="4"/>
      <w:numFmt w:val="bulle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655728B"/>
    <w:multiLevelType w:val="hybridMultilevel"/>
    <w:tmpl w:val="FAE23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CF0C5D"/>
    <w:multiLevelType w:val="hybridMultilevel"/>
    <w:tmpl w:val="08CA72A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636E6B"/>
    <w:multiLevelType w:val="hybridMultilevel"/>
    <w:tmpl w:val="0464E786"/>
    <w:lvl w:ilvl="0" w:tplc="D4F209A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BD5188"/>
    <w:multiLevelType w:val="hybridMultilevel"/>
    <w:tmpl w:val="34D6809C"/>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705FB9"/>
    <w:multiLevelType w:val="hybridMultilevel"/>
    <w:tmpl w:val="B75481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1EA4725"/>
    <w:multiLevelType w:val="hybridMultilevel"/>
    <w:tmpl w:val="45AC492E"/>
    <w:lvl w:ilvl="0" w:tplc="F6106F4E">
      <w:start w:val="1"/>
      <w:numFmt w:val="decimal"/>
      <w:lvlText w:val="%1."/>
      <w:lvlJc w:val="left"/>
      <w:pPr>
        <w:tabs>
          <w:tab w:val="num" w:pos="720"/>
        </w:tabs>
        <w:ind w:left="720" w:hanging="360"/>
      </w:pPr>
    </w:lvl>
    <w:lvl w:ilvl="1" w:tplc="A1ACC36E" w:tentative="1">
      <w:start w:val="1"/>
      <w:numFmt w:val="decimal"/>
      <w:lvlText w:val="%2."/>
      <w:lvlJc w:val="left"/>
      <w:pPr>
        <w:tabs>
          <w:tab w:val="num" w:pos="1440"/>
        </w:tabs>
        <w:ind w:left="1440" w:hanging="360"/>
      </w:pPr>
    </w:lvl>
    <w:lvl w:ilvl="2" w:tplc="0D2EDFEE" w:tentative="1">
      <w:start w:val="1"/>
      <w:numFmt w:val="decimal"/>
      <w:lvlText w:val="%3."/>
      <w:lvlJc w:val="left"/>
      <w:pPr>
        <w:tabs>
          <w:tab w:val="num" w:pos="2160"/>
        </w:tabs>
        <w:ind w:left="2160" w:hanging="360"/>
      </w:pPr>
    </w:lvl>
    <w:lvl w:ilvl="3" w:tplc="6C60195C" w:tentative="1">
      <w:start w:val="1"/>
      <w:numFmt w:val="decimal"/>
      <w:lvlText w:val="%4."/>
      <w:lvlJc w:val="left"/>
      <w:pPr>
        <w:tabs>
          <w:tab w:val="num" w:pos="2880"/>
        </w:tabs>
        <w:ind w:left="2880" w:hanging="360"/>
      </w:pPr>
    </w:lvl>
    <w:lvl w:ilvl="4" w:tplc="5D006650" w:tentative="1">
      <w:start w:val="1"/>
      <w:numFmt w:val="decimal"/>
      <w:lvlText w:val="%5."/>
      <w:lvlJc w:val="left"/>
      <w:pPr>
        <w:tabs>
          <w:tab w:val="num" w:pos="3600"/>
        </w:tabs>
        <w:ind w:left="3600" w:hanging="360"/>
      </w:pPr>
    </w:lvl>
    <w:lvl w:ilvl="5" w:tplc="82F2EE3A" w:tentative="1">
      <w:start w:val="1"/>
      <w:numFmt w:val="decimal"/>
      <w:lvlText w:val="%6."/>
      <w:lvlJc w:val="left"/>
      <w:pPr>
        <w:tabs>
          <w:tab w:val="num" w:pos="4320"/>
        </w:tabs>
        <w:ind w:left="4320" w:hanging="360"/>
      </w:pPr>
    </w:lvl>
    <w:lvl w:ilvl="6" w:tplc="E7149C9A" w:tentative="1">
      <w:start w:val="1"/>
      <w:numFmt w:val="decimal"/>
      <w:lvlText w:val="%7."/>
      <w:lvlJc w:val="left"/>
      <w:pPr>
        <w:tabs>
          <w:tab w:val="num" w:pos="5040"/>
        </w:tabs>
        <w:ind w:left="5040" w:hanging="360"/>
      </w:pPr>
    </w:lvl>
    <w:lvl w:ilvl="7" w:tplc="29C8474C" w:tentative="1">
      <w:start w:val="1"/>
      <w:numFmt w:val="decimal"/>
      <w:lvlText w:val="%8."/>
      <w:lvlJc w:val="left"/>
      <w:pPr>
        <w:tabs>
          <w:tab w:val="num" w:pos="5760"/>
        </w:tabs>
        <w:ind w:left="5760" w:hanging="360"/>
      </w:pPr>
    </w:lvl>
    <w:lvl w:ilvl="8" w:tplc="845AD780" w:tentative="1">
      <w:start w:val="1"/>
      <w:numFmt w:val="decimal"/>
      <w:lvlText w:val="%9."/>
      <w:lvlJc w:val="left"/>
      <w:pPr>
        <w:tabs>
          <w:tab w:val="num" w:pos="6480"/>
        </w:tabs>
        <w:ind w:left="6480" w:hanging="360"/>
      </w:pPr>
    </w:lvl>
  </w:abstractNum>
  <w:abstractNum w:abstractNumId="14" w15:restartNumberingAfterBreak="0">
    <w:nsid w:val="21FF6FF3"/>
    <w:multiLevelType w:val="hybridMultilevel"/>
    <w:tmpl w:val="49C0B0B6"/>
    <w:lvl w:ilvl="0" w:tplc="A47A7B86">
      <w:start w:val="1"/>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1B0424"/>
    <w:multiLevelType w:val="hybridMultilevel"/>
    <w:tmpl w:val="2934214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C62E25"/>
    <w:multiLevelType w:val="hybridMultilevel"/>
    <w:tmpl w:val="FD2ABB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94276D4"/>
    <w:multiLevelType w:val="hybridMultilevel"/>
    <w:tmpl w:val="2FCE6738"/>
    <w:lvl w:ilvl="0" w:tplc="0C090001">
      <w:start w:val="1"/>
      <w:numFmt w:val="bullet"/>
      <w:lvlText w:val=""/>
      <w:lvlJc w:val="left"/>
      <w:pPr>
        <w:tabs>
          <w:tab w:val="num" w:pos="720"/>
        </w:tabs>
        <w:ind w:left="720" w:hanging="360"/>
      </w:pPr>
      <w:rPr>
        <w:rFonts w:ascii="Symbol" w:hAnsi="Symbol" w:hint="default"/>
      </w:rPr>
    </w:lvl>
    <w:lvl w:ilvl="1" w:tplc="6974EF2A" w:tentative="1">
      <w:start w:val="1"/>
      <w:numFmt w:val="bullet"/>
      <w:lvlText w:val="•"/>
      <w:lvlJc w:val="left"/>
      <w:pPr>
        <w:tabs>
          <w:tab w:val="num" w:pos="1440"/>
        </w:tabs>
        <w:ind w:left="1440" w:hanging="360"/>
      </w:pPr>
      <w:rPr>
        <w:rFonts w:ascii="Arial" w:hAnsi="Arial" w:hint="default"/>
      </w:rPr>
    </w:lvl>
    <w:lvl w:ilvl="2" w:tplc="AD66D4CC" w:tentative="1">
      <w:start w:val="1"/>
      <w:numFmt w:val="bullet"/>
      <w:lvlText w:val="•"/>
      <w:lvlJc w:val="left"/>
      <w:pPr>
        <w:tabs>
          <w:tab w:val="num" w:pos="2160"/>
        </w:tabs>
        <w:ind w:left="2160" w:hanging="360"/>
      </w:pPr>
      <w:rPr>
        <w:rFonts w:ascii="Arial" w:hAnsi="Arial" w:hint="default"/>
      </w:rPr>
    </w:lvl>
    <w:lvl w:ilvl="3" w:tplc="108ACAFA" w:tentative="1">
      <w:start w:val="1"/>
      <w:numFmt w:val="bullet"/>
      <w:lvlText w:val="•"/>
      <w:lvlJc w:val="left"/>
      <w:pPr>
        <w:tabs>
          <w:tab w:val="num" w:pos="2880"/>
        </w:tabs>
        <w:ind w:left="2880" w:hanging="360"/>
      </w:pPr>
      <w:rPr>
        <w:rFonts w:ascii="Arial" w:hAnsi="Arial" w:hint="default"/>
      </w:rPr>
    </w:lvl>
    <w:lvl w:ilvl="4" w:tplc="5596E9E0" w:tentative="1">
      <w:start w:val="1"/>
      <w:numFmt w:val="bullet"/>
      <w:lvlText w:val="•"/>
      <w:lvlJc w:val="left"/>
      <w:pPr>
        <w:tabs>
          <w:tab w:val="num" w:pos="3600"/>
        </w:tabs>
        <w:ind w:left="3600" w:hanging="360"/>
      </w:pPr>
      <w:rPr>
        <w:rFonts w:ascii="Arial" w:hAnsi="Arial" w:hint="default"/>
      </w:rPr>
    </w:lvl>
    <w:lvl w:ilvl="5" w:tplc="C2B89D22" w:tentative="1">
      <w:start w:val="1"/>
      <w:numFmt w:val="bullet"/>
      <w:lvlText w:val="•"/>
      <w:lvlJc w:val="left"/>
      <w:pPr>
        <w:tabs>
          <w:tab w:val="num" w:pos="4320"/>
        </w:tabs>
        <w:ind w:left="4320" w:hanging="360"/>
      </w:pPr>
      <w:rPr>
        <w:rFonts w:ascii="Arial" w:hAnsi="Arial" w:hint="default"/>
      </w:rPr>
    </w:lvl>
    <w:lvl w:ilvl="6" w:tplc="B3405388" w:tentative="1">
      <w:start w:val="1"/>
      <w:numFmt w:val="bullet"/>
      <w:lvlText w:val="•"/>
      <w:lvlJc w:val="left"/>
      <w:pPr>
        <w:tabs>
          <w:tab w:val="num" w:pos="5040"/>
        </w:tabs>
        <w:ind w:left="5040" w:hanging="360"/>
      </w:pPr>
      <w:rPr>
        <w:rFonts w:ascii="Arial" w:hAnsi="Arial" w:hint="default"/>
      </w:rPr>
    </w:lvl>
    <w:lvl w:ilvl="7" w:tplc="06007956" w:tentative="1">
      <w:start w:val="1"/>
      <w:numFmt w:val="bullet"/>
      <w:lvlText w:val="•"/>
      <w:lvlJc w:val="left"/>
      <w:pPr>
        <w:tabs>
          <w:tab w:val="num" w:pos="5760"/>
        </w:tabs>
        <w:ind w:left="5760" w:hanging="360"/>
      </w:pPr>
      <w:rPr>
        <w:rFonts w:ascii="Arial" w:hAnsi="Arial" w:hint="default"/>
      </w:rPr>
    </w:lvl>
    <w:lvl w:ilvl="8" w:tplc="5574D9B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94324D6"/>
    <w:multiLevelType w:val="hybridMultilevel"/>
    <w:tmpl w:val="DF3A5E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EA31D4"/>
    <w:multiLevelType w:val="hybridMultilevel"/>
    <w:tmpl w:val="AE2A2688"/>
    <w:lvl w:ilvl="0" w:tplc="44EEDB4C">
      <w:start w:val="1"/>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7531A3"/>
    <w:multiLevelType w:val="hybridMultilevel"/>
    <w:tmpl w:val="011E1482"/>
    <w:lvl w:ilvl="0" w:tplc="0C09000F">
      <w:start w:val="1"/>
      <w:numFmt w:val="decimal"/>
      <w:lvlText w:val="%1."/>
      <w:lvlJc w:val="left"/>
      <w:pPr>
        <w:tabs>
          <w:tab w:val="num" w:pos="720"/>
        </w:tabs>
        <w:ind w:left="720" w:hanging="360"/>
      </w:pPr>
      <w:rPr>
        <w:rFonts w:hint="default"/>
      </w:rPr>
    </w:lvl>
    <w:lvl w:ilvl="1" w:tplc="63868920">
      <w:start w:val="1"/>
      <w:numFmt w:val="lowerLetter"/>
      <w:lvlText w:val="%2)"/>
      <w:lvlJc w:val="left"/>
      <w:pPr>
        <w:tabs>
          <w:tab w:val="num" w:pos="1440"/>
        </w:tabs>
        <w:ind w:left="1440" w:hanging="360"/>
      </w:pPr>
    </w:lvl>
    <w:lvl w:ilvl="2" w:tplc="27624282" w:tentative="1">
      <w:start w:val="1"/>
      <w:numFmt w:val="bullet"/>
      <w:lvlText w:val="•"/>
      <w:lvlJc w:val="left"/>
      <w:pPr>
        <w:tabs>
          <w:tab w:val="num" w:pos="2160"/>
        </w:tabs>
        <w:ind w:left="2160" w:hanging="360"/>
      </w:pPr>
      <w:rPr>
        <w:rFonts w:ascii="Arial" w:hAnsi="Arial" w:hint="default"/>
      </w:rPr>
    </w:lvl>
    <w:lvl w:ilvl="3" w:tplc="FFF86238" w:tentative="1">
      <w:start w:val="1"/>
      <w:numFmt w:val="bullet"/>
      <w:lvlText w:val="•"/>
      <w:lvlJc w:val="left"/>
      <w:pPr>
        <w:tabs>
          <w:tab w:val="num" w:pos="2880"/>
        </w:tabs>
        <w:ind w:left="2880" w:hanging="360"/>
      </w:pPr>
      <w:rPr>
        <w:rFonts w:ascii="Arial" w:hAnsi="Arial" w:hint="default"/>
      </w:rPr>
    </w:lvl>
    <w:lvl w:ilvl="4" w:tplc="546E8B68" w:tentative="1">
      <w:start w:val="1"/>
      <w:numFmt w:val="bullet"/>
      <w:lvlText w:val="•"/>
      <w:lvlJc w:val="left"/>
      <w:pPr>
        <w:tabs>
          <w:tab w:val="num" w:pos="3600"/>
        </w:tabs>
        <w:ind w:left="3600" w:hanging="360"/>
      </w:pPr>
      <w:rPr>
        <w:rFonts w:ascii="Arial" w:hAnsi="Arial" w:hint="default"/>
      </w:rPr>
    </w:lvl>
    <w:lvl w:ilvl="5" w:tplc="BB82E7C6" w:tentative="1">
      <w:start w:val="1"/>
      <w:numFmt w:val="bullet"/>
      <w:lvlText w:val="•"/>
      <w:lvlJc w:val="left"/>
      <w:pPr>
        <w:tabs>
          <w:tab w:val="num" w:pos="4320"/>
        </w:tabs>
        <w:ind w:left="4320" w:hanging="360"/>
      </w:pPr>
      <w:rPr>
        <w:rFonts w:ascii="Arial" w:hAnsi="Arial" w:hint="default"/>
      </w:rPr>
    </w:lvl>
    <w:lvl w:ilvl="6" w:tplc="57AA7C1C" w:tentative="1">
      <w:start w:val="1"/>
      <w:numFmt w:val="bullet"/>
      <w:lvlText w:val="•"/>
      <w:lvlJc w:val="left"/>
      <w:pPr>
        <w:tabs>
          <w:tab w:val="num" w:pos="5040"/>
        </w:tabs>
        <w:ind w:left="5040" w:hanging="360"/>
      </w:pPr>
      <w:rPr>
        <w:rFonts w:ascii="Arial" w:hAnsi="Arial" w:hint="default"/>
      </w:rPr>
    </w:lvl>
    <w:lvl w:ilvl="7" w:tplc="D1BC8F86" w:tentative="1">
      <w:start w:val="1"/>
      <w:numFmt w:val="bullet"/>
      <w:lvlText w:val="•"/>
      <w:lvlJc w:val="left"/>
      <w:pPr>
        <w:tabs>
          <w:tab w:val="num" w:pos="5760"/>
        </w:tabs>
        <w:ind w:left="5760" w:hanging="360"/>
      </w:pPr>
      <w:rPr>
        <w:rFonts w:ascii="Arial" w:hAnsi="Arial" w:hint="default"/>
      </w:rPr>
    </w:lvl>
    <w:lvl w:ilvl="8" w:tplc="7480E1C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C1021E"/>
    <w:multiLevelType w:val="hybridMultilevel"/>
    <w:tmpl w:val="C5B8D3F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F690E0E"/>
    <w:multiLevelType w:val="hybridMultilevel"/>
    <w:tmpl w:val="A4DAAD22"/>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FB32ADA"/>
    <w:multiLevelType w:val="hybridMultilevel"/>
    <w:tmpl w:val="57F4BE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613240"/>
    <w:multiLevelType w:val="hybridMultilevel"/>
    <w:tmpl w:val="E204693E"/>
    <w:lvl w:ilvl="0" w:tplc="D4F209A6">
      <w:start w:val="1"/>
      <w:numFmt w:val="lowerLetter"/>
      <w:lvlText w:val="(%1)"/>
      <w:lvlJc w:val="left"/>
      <w:pPr>
        <w:tabs>
          <w:tab w:val="num" w:pos="720"/>
        </w:tabs>
        <w:ind w:left="720" w:hanging="360"/>
      </w:pPr>
      <w:rPr>
        <w:rFonts w:hint="default"/>
      </w:rPr>
    </w:lvl>
    <w:lvl w:ilvl="1" w:tplc="A1ACC36E" w:tentative="1">
      <w:start w:val="1"/>
      <w:numFmt w:val="decimal"/>
      <w:lvlText w:val="%2."/>
      <w:lvlJc w:val="left"/>
      <w:pPr>
        <w:tabs>
          <w:tab w:val="num" w:pos="1440"/>
        </w:tabs>
        <w:ind w:left="1440" w:hanging="360"/>
      </w:pPr>
    </w:lvl>
    <w:lvl w:ilvl="2" w:tplc="0D2EDFEE" w:tentative="1">
      <w:start w:val="1"/>
      <w:numFmt w:val="decimal"/>
      <w:lvlText w:val="%3."/>
      <w:lvlJc w:val="left"/>
      <w:pPr>
        <w:tabs>
          <w:tab w:val="num" w:pos="2160"/>
        </w:tabs>
        <w:ind w:left="2160" w:hanging="360"/>
      </w:pPr>
    </w:lvl>
    <w:lvl w:ilvl="3" w:tplc="6C60195C" w:tentative="1">
      <w:start w:val="1"/>
      <w:numFmt w:val="decimal"/>
      <w:lvlText w:val="%4."/>
      <w:lvlJc w:val="left"/>
      <w:pPr>
        <w:tabs>
          <w:tab w:val="num" w:pos="2880"/>
        </w:tabs>
        <w:ind w:left="2880" w:hanging="360"/>
      </w:pPr>
    </w:lvl>
    <w:lvl w:ilvl="4" w:tplc="5D006650" w:tentative="1">
      <w:start w:val="1"/>
      <w:numFmt w:val="decimal"/>
      <w:lvlText w:val="%5."/>
      <w:lvlJc w:val="left"/>
      <w:pPr>
        <w:tabs>
          <w:tab w:val="num" w:pos="3600"/>
        </w:tabs>
        <w:ind w:left="3600" w:hanging="360"/>
      </w:pPr>
    </w:lvl>
    <w:lvl w:ilvl="5" w:tplc="82F2EE3A" w:tentative="1">
      <w:start w:val="1"/>
      <w:numFmt w:val="decimal"/>
      <w:lvlText w:val="%6."/>
      <w:lvlJc w:val="left"/>
      <w:pPr>
        <w:tabs>
          <w:tab w:val="num" w:pos="4320"/>
        </w:tabs>
        <w:ind w:left="4320" w:hanging="360"/>
      </w:pPr>
    </w:lvl>
    <w:lvl w:ilvl="6" w:tplc="E7149C9A" w:tentative="1">
      <w:start w:val="1"/>
      <w:numFmt w:val="decimal"/>
      <w:lvlText w:val="%7."/>
      <w:lvlJc w:val="left"/>
      <w:pPr>
        <w:tabs>
          <w:tab w:val="num" w:pos="5040"/>
        </w:tabs>
        <w:ind w:left="5040" w:hanging="360"/>
      </w:pPr>
    </w:lvl>
    <w:lvl w:ilvl="7" w:tplc="29C8474C" w:tentative="1">
      <w:start w:val="1"/>
      <w:numFmt w:val="decimal"/>
      <w:lvlText w:val="%8."/>
      <w:lvlJc w:val="left"/>
      <w:pPr>
        <w:tabs>
          <w:tab w:val="num" w:pos="5760"/>
        </w:tabs>
        <w:ind w:left="5760" w:hanging="360"/>
      </w:pPr>
    </w:lvl>
    <w:lvl w:ilvl="8" w:tplc="845AD780" w:tentative="1">
      <w:start w:val="1"/>
      <w:numFmt w:val="decimal"/>
      <w:lvlText w:val="%9."/>
      <w:lvlJc w:val="left"/>
      <w:pPr>
        <w:tabs>
          <w:tab w:val="num" w:pos="6480"/>
        </w:tabs>
        <w:ind w:left="6480" w:hanging="360"/>
      </w:pPr>
    </w:lvl>
  </w:abstractNum>
  <w:abstractNum w:abstractNumId="25" w15:restartNumberingAfterBreak="0">
    <w:nsid w:val="34E6280E"/>
    <w:multiLevelType w:val="hybridMultilevel"/>
    <w:tmpl w:val="DA8E11AC"/>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6B56FF9"/>
    <w:multiLevelType w:val="hybridMultilevel"/>
    <w:tmpl w:val="CB10DF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7E17EDD"/>
    <w:multiLevelType w:val="multilevel"/>
    <w:tmpl w:val="6690195C"/>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9" w15:restartNumberingAfterBreak="0">
    <w:nsid w:val="38210B2F"/>
    <w:multiLevelType w:val="multilevel"/>
    <w:tmpl w:val="9326909A"/>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2705"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0" w15:restartNumberingAfterBreak="0">
    <w:nsid w:val="38FA17CC"/>
    <w:multiLevelType w:val="hybridMultilevel"/>
    <w:tmpl w:val="3DDEC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BEB5A04"/>
    <w:multiLevelType w:val="hybridMultilevel"/>
    <w:tmpl w:val="B75481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3DB16095"/>
    <w:multiLevelType w:val="hybridMultilevel"/>
    <w:tmpl w:val="FE9417E0"/>
    <w:lvl w:ilvl="0" w:tplc="0C090017">
      <w:start w:val="1"/>
      <w:numFmt w:val="lowerLetter"/>
      <w:lvlText w:val="%1)"/>
      <w:lvlJc w:val="left"/>
      <w:pPr>
        <w:tabs>
          <w:tab w:val="num" w:pos="720"/>
        </w:tabs>
        <w:ind w:left="720" w:hanging="360"/>
      </w:pPr>
      <w:rPr>
        <w:rFonts w:hint="default"/>
      </w:rPr>
    </w:lvl>
    <w:lvl w:ilvl="1" w:tplc="63868920">
      <w:start w:val="1"/>
      <w:numFmt w:val="lowerLetter"/>
      <w:lvlText w:val="%2)"/>
      <w:lvlJc w:val="left"/>
      <w:pPr>
        <w:tabs>
          <w:tab w:val="num" w:pos="1440"/>
        </w:tabs>
        <w:ind w:left="1440" w:hanging="360"/>
      </w:pPr>
    </w:lvl>
    <w:lvl w:ilvl="2" w:tplc="27624282" w:tentative="1">
      <w:start w:val="1"/>
      <w:numFmt w:val="bullet"/>
      <w:lvlText w:val="•"/>
      <w:lvlJc w:val="left"/>
      <w:pPr>
        <w:tabs>
          <w:tab w:val="num" w:pos="2160"/>
        </w:tabs>
        <w:ind w:left="2160" w:hanging="360"/>
      </w:pPr>
      <w:rPr>
        <w:rFonts w:ascii="Arial" w:hAnsi="Arial" w:hint="default"/>
      </w:rPr>
    </w:lvl>
    <w:lvl w:ilvl="3" w:tplc="FFF86238" w:tentative="1">
      <w:start w:val="1"/>
      <w:numFmt w:val="bullet"/>
      <w:lvlText w:val="•"/>
      <w:lvlJc w:val="left"/>
      <w:pPr>
        <w:tabs>
          <w:tab w:val="num" w:pos="2880"/>
        </w:tabs>
        <w:ind w:left="2880" w:hanging="360"/>
      </w:pPr>
      <w:rPr>
        <w:rFonts w:ascii="Arial" w:hAnsi="Arial" w:hint="default"/>
      </w:rPr>
    </w:lvl>
    <w:lvl w:ilvl="4" w:tplc="546E8B68" w:tentative="1">
      <w:start w:val="1"/>
      <w:numFmt w:val="bullet"/>
      <w:lvlText w:val="•"/>
      <w:lvlJc w:val="left"/>
      <w:pPr>
        <w:tabs>
          <w:tab w:val="num" w:pos="3600"/>
        </w:tabs>
        <w:ind w:left="3600" w:hanging="360"/>
      </w:pPr>
      <w:rPr>
        <w:rFonts w:ascii="Arial" w:hAnsi="Arial" w:hint="default"/>
      </w:rPr>
    </w:lvl>
    <w:lvl w:ilvl="5" w:tplc="BB82E7C6" w:tentative="1">
      <w:start w:val="1"/>
      <w:numFmt w:val="bullet"/>
      <w:lvlText w:val="•"/>
      <w:lvlJc w:val="left"/>
      <w:pPr>
        <w:tabs>
          <w:tab w:val="num" w:pos="4320"/>
        </w:tabs>
        <w:ind w:left="4320" w:hanging="360"/>
      </w:pPr>
      <w:rPr>
        <w:rFonts w:ascii="Arial" w:hAnsi="Arial" w:hint="default"/>
      </w:rPr>
    </w:lvl>
    <w:lvl w:ilvl="6" w:tplc="57AA7C1C" w:tentative="1">
      <w:start w:val="1"/>
      <w:numFmt w:val="bullet"/>
      <w:lvlText w:val="•"/>
      <w:lvlJc w:val="left"/>
      <w:pPr>
        <w:tabs>
          <w:tab w:val="num" w:pos="5040"/>
        </w:tabs>
        <w:ind w:left="5040" w:hanging="360"/>
      </w:pPr>
      <w:rPr>
        <w:rFonts w:ascii="Arial" w:hAnsi="Arial" w:hint="default"/>
      </w:rPr>
    </w:lvl>
    <w:lvl w:ilvl="7" w:tplc="D1BC8F86" w:tentative="1">
      <w:start w:val="1"/>
      <w:numFmt w:val="bullet"/>
      <w:lvlText w:val="•"/>
      <w:lvlJc w:val="left"/>
      <w:pPr>
        <w:tabs>
          <w:tab w:val="num" w:pos="5760"/>
        </w:tabs>
        <w:ind w:left="5760" w:hanging="360"/>
      </w:pPr>
      <w:rPr>
        <w:rFonts w:ascii="Arial" w:hAnsi="Arial" w:hint="default"/>
      </w:rPr>
    </w:lvl>
    <w:lvl w:ilvl="8" w:tplc="7480E1C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0F54756"/>
    <w:multiLevelType w:val="hybridMultilevel"/>
    <w:tmpl w:val="B75481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2167BC0"/>
    <w:multiLevelType w:val="hybridMultilevel"/>
    <w:tmpl w:val="E2BE1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33924D5"/>
    <w:multiLevelType w:val="hybridMultilevel"/>
    <w:tmpl w:val="7D28EA6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4CC3158C"/>
    <w:multiLevelType w:val="hybridMultilevel"/>
    <w:tmpl w:val="AFFA988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4DC24425"/>
    <w:multiLevelType w:val="hybridMultilevel"/>
    <w:tmpl w:val="7C74CC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E54293E"/>
    <w:multiLevelType w:val="hybridMultilevel"/>
    <w:tmpl w:val="C80C29FA"/>
    <w:lvl w:ilvl="0" w:tplc="0C090001">
      <w:start w:val="1"/>
      <w:numFmt w:val="bullet"/>
      <w:lvlText w:val=""/>
      <w:lvlJc w:val="left"/>
      <w:pPr>
        <w:tabs>
          <w:tab w:val="num" w:pos="360"/>
        </w:tabs>
        <w:ind w:left="360" w:hanging="360"/>
      </w:pPr>
      <w:rPr>
        <w:rFonts w:ascii="Symbol" w:hAnsi="Symbol" w:hint="default"/>
      </w:rPr>
    </w:lvl>
    <w:lvl w:ilvl="1" w:tplc="63868920">
      <w:start w:val="1"/>
      <w:numFmt w:val="lowerLetter"/>
      <w:lvlText w:val="%2)"/>
      <w:lvlJc w:val="left"/>
      <w:pPr>
        <w:tabs>
          <w:tab w:val="num" w:pos="1080"/>
        </w:tabs>
        <w:ind w:left="1080" w:hanging="360"/>
      </w:pPr>
    </w:lvl>
    <w:lvl w:ilvl="2" w:tplc="27624282" w:tentative="1">
      <w:start w:val="1"/>
      <w:numFmt w:val="bullet"/>
      <w:lvlText w:val="•"/>
      <w:lvlJc w:val="left"/>
      <w:pPr>
        <w:tabs>
          <w:tab w:val="num" w:pos="1800"/>
        </w:tabs>
        <w:ind w:left="1800" w:hanging="360"/>
      </w:pPr>
      <w:rPr>
        <w:rFonts w:ascii="Arial" w:hAnsi="Arial" w:hint="default"/>
      </w:rPr>
    </w:lvl>
    <w:lvl w:ilvl="3" w:tplc="FFF86238" w:tentative="1">
      <w:start w:val="1"/>
      <w:numFmt w:val="bullet"/>
      <w:lvlText w:val="•"/>
      <w:lvlJc w:val="left"/>
      <w:pPr>
        <w:tabs>
          <w:tab w:val="num" w:pos="2520"/>
        </w:tabs>
        <w:ind w:left="2520" w:hanging="360"/>
      </w:pPr>
      <w:rPr>
        <w:rFonts w:ascii="Arial" w:hAnsi="Arial" w:hint="default"/>
      </w:rPr>
    </w:lvl>
    <w:lvl w:ilvl="4" w:tplc="546E8B68" w:tentative="1">
      <w:start w:val="1"/>
      <w:numFmt w:val="bullet"/>
      <w:lvlText w:val="•"/>
      <w:lvlJc w:val="left"/>
      <w:pPr>
        <w:tabs>
          <w:tab w:val="num" w:pos="3240"/>
        </w:tabs>
        <w:ind w:left="3240" w:hanging="360"/>
      </w:pPr>
      <w:rPr>
        <w:rFonts w:ascii="Arial" w:hAnsi="Arial" w:hint="default"/>
      </w:rPr>
    </w:lvl>
    <w:lvl w:ilvl="5" w:tplc="BB82E7C6" w:tentative="1">
      <w:start w:val="1"/>
      <w:numFmt w:val="bullet"/>
      <w:lvlText w:val="•"/>
      <w:lvlJc w:val="left"/>
      <w:pPr>
        <w:tabs>
          <w:tab w:val="num" w:pos="3960"/>
        </w:tabs>
        <w:ind w:left="3960" w:hanging="360"/>
      </w:pPr>
      <w:rPr>
        <w:rFonts w:ascii="Arial" w:hAnsi="Arial" w:hint="default"/>
      </w:rPr>
    </w:lvl>
    <w:lvl w:ilvl="6" w:tplc="57AA7C1C" w:tentative="1">
      <w:start w:val="1"/>
      <w:numFmt w:val="bullet"/>
      <w:lvlText w:val="•"/>
      <w:lvlJc w:val="left"/>
      <w:pPr>
        <w:tabs>
          <w:tab w:val="num" w:pos="4680"/>
        </w:tabs>
        <w:ind w:left="4680" w:hanging="360"/>
      </w:pPr>
      <w:rPr>
        <w:rFonts w:ascii="Arial" w:hAnsi="Arial" w:hint="default"/>
      </w:rPr>
    </w:lvl>
    <w:lvl w:ilvl="7" w:tplc="D1BC8F86" w:tentative="1">
      <w:start w:val="1"/>
      <w:numFmt w:val="bullet"/>
      <w:lvlText w:val="•"/>
      <w:lvlJc w:val="left"/>
      <w:pPr>
        <w:tabs>
          <w:tab w:val="num" w:pos="5400"/>
        </w:tabs>
        <w:ind w:left="5400" w:hanging="360"/>
      </w:pPr>
      <w:rPr>
        <w:rFonts w:ascii="Arial" w:hAnsi="Arial" w:hint="default"/>
      </w:rPr>
    </w:lvl>
    <w:lvl w:ilvl="8" w:tplc="7480E1C4" w:tentative="1">
      <w:start w:val="1"/>
      <w:numFmt w:val="bullet"/>
      <w:lvlText w:val="•"/>
      <w:lvlJc w:val="left"/>
      <w:pPr>
        <w:tabs>
          <w:tab w:val="num" w:pos="6120"/>
        </w:tabs>
        <w:ind w:left="6120" w:hanging="360"/>
      </w:pPr>
      <w:rPr>
        <w:rFonts w:ascii="Arial" w:hAnsi="Arial" w:hint="default"/>
      </w:rPr>
    </w:lvl>
  </w:abstractNum>
  <w:abstractNum w:abstractNumId="39" w15:restartNumberingAfterBreak="0">
    <w:nsid w:val="4F430B7B"/>
    <w:multiLevelType w:val="hybridMultilevel"/>
    <w:tmpl w:val="49D86A44"/>
    <w:lvl w:ilvl="0" w:tplc="719E2518">
      <w:start w:val="1"/>
      <w:numFmt w:val="bullet"/>
      <w:lvlText w:val="•"/>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4D95F36"/>
    <w:multiLevelType w:val="multilevel"/>
    <w:tmpl w:val="8B34D2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C364982"/>
    <w:multiLevelType w:val="hybridMultilevel"/>
    <w:tmpl w:val="9C7843B2"/>
    <w:lvl w:ilvl="0" w:tplc="0C090011">
      <w:start w:val="1"/>
      <w:numFmt w:val="decimal"/>
      <w:lvlText w:val="%1)"/>
      <w:lvlJc w:val="left"/>
      <w:pPr>
        <w:tabs>
          <w:tab w:val="num" w:pos="720"/>
        </w:tabs>
        <w:ind w:left="720" w:hanging="360"/>
      </w:pPr>
    </w:lvl>
    <w:lvl w:ilvl="1" w:tplc="A1ACC36E" w:tentative="1">
      <w:start w:val="1"/>
      <w:numFmt w:val="decimal"/>
      <w:lvlText w:val="%2."/>
      <w:lvlJc w:val="left"/>
      <w:pPr>
        <w:tabs>
          <w:tab w:val="num" w:pos="1440"/>
        </w:tabs>
        <w:ind w:left="1440" w:hanging="360"/>
      </w:pPr>
    </w:lvl>
    <w:lvl w:ilvl="2" w:tplc="0D2EDFEE" w:tentative="1">
      <w:start w:val="1"/>
      <w:numFmt w:val="decimal"/>
      <w:lvlText w:val="%3."/>
      <w:lvlJc w:val="left"/>
      <w:pPr>
        <w:tabs>
          <w:tab w:val="num" w:pos="2160"/>
        </w:tabs>
        <w:ind w:left="2160" w:hanging="360"/>
      </w:pPr>
    </w:lvl>
    <w:lvl w:ilvl="3" w:tplc="6C60195C" w:tentative="1">
      <w:start w:val="1"/>
      <w:numFmt w:val="decimal"/>
      <w:lvlText w:val="%4."/>
      <w:lvlJc w:val="left"/>
      <w:pPr>
        <w:tabs>
          <w:tab w:val="num" w:pos="2880"/>
        </w:tabs>
        <w:ind w:left="2880" w:hanging="360"/>
      </w:pPr>
    </w:lvl>
    <w:lvl w:ilvl="4" w:tplc="5D006650" w:tentative="1">
      <w:start w:val="1"/>
      <w:numFmt w:val="decimal"/>
      <w:lvlText w:val="%5."/>
      <w:lvlJc w:val="left"/>
      <w:pPr>
        <w:tabs>
          <w:tab w:val="num" w:pos="3600"/>
        </w:tabs>
        <w:ind w:left="3600" w:hanging="360"/>
      </w:pPr>
    </w:lvl>
    <w:lvl w:ilvl="5" w:tplc="82F2EE3A" w:tentative="1">
      <w:start w:val="1"/>
      <w:numFmt w:val="decimal"/>
      <w:lvlText w:val="%6."/>
      <w:lvlJc w:val="left"/>
      <w:pPr>
        <w:tabs>
          <w:tab w:val="num" w:pos="4320"/>
        </w:tabs>
        <w:ind w:left="4320" w:hanging="360"/>
      </w:pPr>
    </w:lvl>
    <w:lvl w:ilvl="6" w:tplc="E7149C9A" w:tentative="1">
      <w:start w:val="1"/>
      <w:numFmt w:val="decimal"/>
      <w:lvlText w:val="%7."/>
      <w:lvlJc w:val="left"/>
      <w:pPr>
        <w:tabs>
          <w:tab w:val="num" w:pos="5040"/>
        </w:tabs>
        <w:ind w:left="5040" w:hanging="360"/>
      </w:pPr>
    </w:lvl>
    <w:lvl w:ilvl="7" w:tplc="29C8474C" w:tentative="1">
      <w:start w:val="1"/>
      <w:numFmt w:val="decimal"/>
      <w:lvlText w:val="%8."/>
      <w:lvlJc w:val="left"/>
      <w:pPr>
        <w:tabs>
          <w:tab w:val="num" w:pos="5760"/>
        </w:tabs>
        <w:ind w:left="5760" w:hanging="360"/>
      </w:pPr>
    </w:lvl>
    <w:lvl w:ilvl="8" w:tplc="845AD780" w:tentative="1">
      <w:start w:val="1"/>
      <w:numFmt w:val="decimal"/>
      <w:lvlText w:val="%9."/>
      <w:lvlJc w:val="left"/>
      <w:pPr>
        <w:tabs>
          <w:tab w:val="num" w:pos="6480"/>
        </w:tabs>
        <w:ind w:left="6480" w:hanging="360"/>
      </w:pPr>
    </w:lvl>
  </w:abstractNum>
  <w:abstractNum w:abstractNumId="42" w15:restartNumberingAfterBreak="0">
    <w:nsid w:val="5EB64782"/>
    <w:multiLevelType w:val="hybridMultilevel"/>
    <w:tmpl w:val="24507A8C"/>
    <w:lvl w:ilvl="0" w:tplc="0C090001">
      <w:start w:val="1"/>
      <w:numFmt w:val="bullet"/>
      <w:lvlText w:val=""/>
      <w:lvlJc w:val="left"/>
      <w:pPr>
        <w:tabs>
          <w:tab w:val="num" w:pos="720"/>
        </w:tabs>
        <w:ind w:left="720" w:hanging="360"/>
      </w:pPr>
      <w:rPr>
        <w:rFonts w:ascii="Symbol" w:hAnsi="Symbol" w:hint="default"/>
      </w:rPr>
    </w:lvl>
    <w:lvl w:ilvl="1" w:tplc="A1ACC36E" w:tentative="1">
      <w:start w:val="1"/>
      <w:numFmt w:val="decimal"/>
      <w:lvlText w:val="%2."/>
      <w:lvlJc w:val="left"/>
      <w:pPr>
        <w:tabs>
          <w:tab w:val="num" w:pos="1440"/>
        </w:tabs>
        <w:ind w:left="1440" w:hanging="360"/>
      </w:pPr>
    </w:lvl>
    <w:lvl w:ilvl="2" w:tplc="0D2EDFEE" w:tentative="1">
      <w:start w:val="1"/>
      <w:numFmt w:val="decimal"/>
      <w:lvlText w:val="%3."/>
      <w:lvlJc w:val="left"/>
      <w:pPr>
        <w:tabs>
          <w:tab w:val="num" w:pos="2160"/>
        </w:tabs>
        <w:ind w:left="2160" w:hanging="360"/>
      </w:pPr>
    </w:lvl>
    <w:lvl w:ilvl="3" w:tplc="6C60195C" w:tentative="1">
      <w:start w:val="1"/>
      <w:numFmt w:val="decimal"/>
      <w:lvlText w:val="%4."/>
      <w:lvlJc w:val="left"/>
      <w:pPr>
        <w:tabs>
          <w:tab w:val="num" w:pos="2880"/>
        </w:tabs>
        <w:ind w:left="2880" w:hanging="360"/>
      </w:pPr>
    </w:lvl>
    <w:lvl w:ilvl="4" w:tplc="5D006650" w:tentative="1">
      <w:start w:val="1"/>
      <w:numFmt w:val="decimal"/>
      <w:lvlText w:val="%5."/>
      <w:lvlJc w:val="left"/>
      <w:pPr>
        <w:tabs>
          <w:tab w:val="num" w:pos="3600"/>
        </w:tabs>
        <w:ind w:left="3600" w:hanging="360"/>
      </w:pPr>
    </w:lvl>
    <w:lvl w:ilvl="5" w:tplc="82F2EE3A" w:tentative="1">
      <w:start w:val="1"/>
      <w:numFmt w:val="decimal"/>
      <w:lvlText w:val="%6."/>
      <w:lvlJc w:val="left"/>
      <w:pPr>
        <w:tabs>
          <w:tab w:val="num" w:pos="4320"/>
        </w:tabs>
        <w:ind w:left="4320" w:hanging="360"/>
      </w:pPr>
    </w:lvl>
    <w:lvl w:ilvl="6" w:tplc="E7149C9A" w:tentative="1">
      <w:start w:val="1"/>
      <w:numFmt w:val="decimal"/>
      <w:lvlText w:val="%7."/>
      <w:lvlJc w:val="left"/>
      <w:pPr>
        <w:tabs>
          <w:tab w:val="num" w:pos="5040"/>
        </w:tabs>
        <w:ind w:left="5040" w:hanging="360"/>
      </w:pPr>
    </w:lvl>
    <w:lvl w:ilvl="7" w:tplc="29C8474C" w:tentative="1">
      <w:start w:val="1"/>
      <w:numFmt w:val="decimal"/>
      <w:lvlText w:val="%8."/>
      <w:lvlJc w:val="left"/>
      <w:pPr>
        <w:tabs>
          <w:tab w:val="num" w:pos="5760"/>
        </w:tabs>
        <w:ind w:left="5760" w:hanging="360"/>
      </w:pPr>
    </w:lvl>
    <w:lvl w:ilvl="8" w:tplc="845AD780" w:tentative="1">
      <w:start w:val="1"/>
      <w:numFmt w:val="decimal"/>
      <w:lvlText w:val="%9."/>
      <w:lvlJc w:val="left"/>
      <w:pPr>
        <w:tabs>
          <w:tab w:val="num" w:pos="6480"/>
        </w:tabs>
        <w:ind w:left="6480" w:hanging="360"/>
      </w:pPr>
    </w:lvl>
  </w:abstractNum>
  <w:abstractNum w:abstractNumId="43" w15:restartNumberingAfterBreak="0">
    <w:nsid w:val="60D22303"/>
    <w:multiLevelType w:val="hybridMultilevel"/>
    <w:tmpl w:val="C8D4EDA6"/>
    <w:lvl w:ilvl="0" w:tplc="0C090011">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15B3C7A"/>
    <w:multiLevelType w:val="hybridMultilevel"/>
    <w:tmpl w:val="AC3E5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7D05E50"/>
    <w:multiLevelType w:val="hybridMultilevel"/>
    <w:tmpl w:val="E53856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C1A6051"/>
    <w:multiLevelType w:val="hybridMultilevel"/>
    <w:tmpl w:val="B2CA659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47" w15:restartNumberingAfterBreak="0">
    <w:nsid w:val="6C235AB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DB86A60"/>
    <w:multiLevelType w:val="hybridMultilevel"/>
    <w:tmpl w:val="6D12B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15B71BE"/>
    <w:multiLevelType w:val="hybridMultilevel"/>
    <w:tmpl w:val="B75481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2394531"/>
    <w:multiLevelType w:val="multilevel"/>
    <w:tmpl w:val="760E5BA4"/>
    <w:lvl w:ilvl="0">
      <w:start w:val="1"/>
      <w:numFmt w:val="none"/>
      <w:suff w:val="nothing"/>
      <w:lvlText w:val=""/>
      <w:lvlJc w:val="left"/>
      <w:pPr>
        <w:ind w:left="0" w:firstLine="0"/>
      </w:pPr>
      <w:rPr>
        <w:b w:val="0"/>
        <w:i w:val="0"/>
        <w:sz w:val="24"/>
      </w:rPr>
    </w:lvl>
    <w:lvl w:ilvl="1">
      <w:start w:val="1"/>
      <w:numFmt w:val="decimal"/>
      <w:pStyle w:val="NDISPart"/>
      <w:lvlText w:val="Part %2"/>
      <w:lvlJc w:val="left"/>
      <w:pPr>
        <w:tabs>
          <w:tab w:val="num" w:pos="1134"/>
        </w:tabs>
        <w:ind w:left="1134" w:hanging="1134"/>
      </w:pPr>
      <w:rPr>
        <w:rFonts w:ascii="Arial Bold" w:hAnsi="Arial Bold" w:hint="default"/>
        <w:b/>
        <w:i w:val="0"/>
        <w:iCs w:val="0"/>
        <w:caps w:val="0"/>
        <w:strike w:val="0"/>
        <w:dstrike w:val="0"/>
        <w:outline w:val="0"/>
        <w:shadow w:val="0"/>
        <w:emboss w:val="0"/>
        <w:imprint w:val="0"/>
        <w:vanish w:val="0"/>
        <w:webHidden w:val="0"/>
        <w:spacing w:val="0"/>
        <w:kern w:val="0"/>
        <w:position w:val="0"/>
        <w:sz w:val="32"/>
        <w:u w:val="none"/>
        <w:effect w:val="none"/>
        <w:vertAlign w:val="baseline"/>
        <w:em w:val="none"/>
        <w:specVanish w:val="0"/>
      </w:rPr>
    </w:lvl>
    <w:lvl w:ilvl="2">
      <w:start w:val="1"/>
      <w:numFmt w:val="decimal"/>
      <w:pStyle w:val="NDISDivision"/>
      <w:lvlText w:val="Division %3"/>
      <w:lvlJc w:val="left"/>
      <w:pPr>
        <w:tabs>
          <w:tab w:val="num" w:pos="1134"/>
        </w:tabs>
        <w:ind w:left="1134" w:hanging="1134"/>
      </w:pPr>
      <w:rPr>
        <w:rFonts w:ascii="Arial Bold" w:hAnsi="Arial Bold" w:hint="default"/>
        <w:b/>
        <w:i w:val="0"/>
        <w:sz w:val="28"/>
      </w:rPr>
    </w:lvl>
    <w:lvl w:ilvl="3">
      <w:start w:val="1"/>
      <w:numFmt w:val="upperLetter"/>
      <w:lvlRestart w:val="2"/>
      <w:pStyle w:val="NDISSubdivision"/>
      <w:lvlText w:val="Subdivision %4"/>
      <w:lvlJc w:val="left"/>
      <w:pPr>
        <w:tabs>
          <w:tab w:val="num" w:pos="1701"/>
        </w:tabs>
        <w:ind w:left="1701" w:hanging="1701"/>
      </w:pPr>
      <w:rPr>
        <w:rFonts w:ascii="Arial Bold" w:hAnsi="Arial Bold" w:hint="default"/>
        <w:b/>
        <w:i w:val="0"/>
        <w:sz w:val="26"/>
      </w:rPr>
    </w:lvl>
    <w:lvl w:ilvl="4">
      <w:start w:val="1"/>
      <w:numFmt w:val="decimal"/>
      <w:lvlRestart w:val="2"/>
      <w:pStyle w:val="NDISSubsection"/>
      <w:lvlText w:val="%2.%5"/>
      <w:lvlJc w:val="left"/>
      <w:pPr>
        <w:tabs>
          <w:tab w:val="num" w:pos="567"/>
        </w:tabs>
        <w:ind w:left="567" w:hanging="567"/>
      </w:pPr>
      <w:rPr>
        <w:rFonts w:ascii="Arial" w:hAnsi="Arial" w:cs="Times New Roman" w:hint="default"/>
        <w:b w:val="0"/>
        <w:i w:val="0"/>
        <w:sz w:val="22"/>
      </w:rPr>
    </w:lvl>
    <w:lvl w:ilvl="5">
      <w:start w:val="1"/>
      <w:numFmt w:val="decimal"/>
      <w:pStyle w:val="NDISParagraph"/>
      <w:lvlText w:val="%6."/>
      <w:lvlJc w:val="left"/>
      <w:pPr>
        <w:tabs>
          <w:tab w:val="num" w:pos="1134"/>
        </w:tabs>
        <w:ind w:left="1134" w:hanging="567"/>
      </w:pPr>
      <w:rPr>
        <w:rFonts w:ascii="Arial" w:eastAsia="Times New Roman" w:hAnsi="Arial" w:cs="Arial"/>
        <w:b w:val="0"/>
        <w:sz w:val="22"/>
        <w:szCs w:val="22"/>
      </w:rPr>
    </w:lvl>
    <w:lvl w:ilvl="6">
      <w:start w:val="1"/>
      <w:numFmt w:val="lowerRoman"/>
      <w:pStyle w:val="NDISSubparagraph"/>
      <w:lvlText w:val="(%7)"/>
      <w:lvlJc w:val="left"/>
      <w:pPr>
        <w:tabs>
          <w:tab w:val="num" w:pos="1701"/>
        </w:tabs>
        <w:ind w:left="1701" w:hanging="567"/>
      </w:pPr>
      <w:rPr>
        <w:rFonts w:ascii="Arial" w:hAnsi="Arial" w:cs="Times New Roman" w:hint="default"/>
        <w:b w:val="0"/>
        <w:i w:val="0"/>
        <w:sz w:val="22"/>
      </w:rPr>
    </w:lvl>
    <w:lvl w:ilvl="7">
      <w:start w:val="1"/>
      <w:numFmt w:val="upperLetter"/>
      <w:pStyle w:val="NDISSubsubparagraph"/>
      <w:lvlText w:val="(%8)"/>
      <w:lvlJc w:val="left"/>
      <w:pPr>
        <w:tabs>
          <w:tab w:val="num" w:pos="2268"/>
        </w:tabs>
        <w:ind w:left="2268" w:hanging="567"/>
      </w:pPr>
      <w:rPr>
        <w:rFonts w:ascii="Arial" w:hAnsi="Arial" w:cs="Times New Roman" w:hint="default"/>
        <w:b w:val="0"/>
        <w:i w:val="0"/>
        <w:sz w:val="22"/>
      </w:rPr>
    </w:lvl>
    <w:lvl w:ilvl="8">
      <w:start w:val="1"/>
      <w:numFmt w:val="upperLetter"/>
      <w:lvlText w:val="(%9)"/>
      <w:lvlJc w:val="left"/>
      <w:pPr>
        <w:tabs>
          <w:tab w:val="num" w:pos="5955"/>
        </w:tabs>
        <w:ind w:left="5955" w:hanging="567"/>
      </w:pPr>
    </w:lvl>
  </w:abstractNum>
  <w:abstractNum w:abstractNumId="51" w15:restartNumberingAfterBreak="0">
    <w:nsid w:val="72515B14"/>
    <w:multiLevelType w:val="hybridMultilevel"/>
    <w:tmpl w:val="D47C4404"/>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729B7586"/>
    <w:multiLevelType w:val="hybridMultilevel"/>
    <w:tmpl w:val="D5EC3572"/>
    <w:lvl w:ilvl="0" w:tplc="0C090017">
      <w:start w:val="1"/>
      <w:numFmt w:val="lowerLetter"/>
      <w:lvlText w:val="%1)"/>
      <w:lvlJc w:val="left"/>
      <w:pPr>
        <w:ind w:left="6" w:hanging="360"/>
      </w:p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53" w15:restartNumberingAfterBreak="0">
    <w:nsid w:val="76BC5BDF"/>
    <w:multiLevelType w:val="hybridMultilevel"/>
    <w:tmpl w:val="94A27C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A7B051D"/>
    <w:multiLevelType w:val="hybridMultilevel"/>
    <w:tmpl w:val="AE1036C8"/>
    <w:lvl w:ilvl="0" w:tplc="0C090001">
      <w:start w:val="1"/>
      <w:numFmt w:val="bullet"/>
      <w:lvlText w:val=""/>
      <w:lvlJc w:val="left"/>
      <w:pPr>
        <w:tabs>
          <w:tab w:val="num" w:pos="720"/>
        </w:tabs>
        <w:ind w:left="720" w:hanging="360"/>
      </w:pPr>
      <w:rPr>
        <w:rFonts w:ascii="Symbol" w:hAnsi="Symbol" w:hint="default"/>
      </w:rPr>
    </w:lvl>
    <w:lvl w:ilvl="1" w:tplc="A1ACC36E" w:tentative="1">
      <w:start w:val="1"/>
      <w:numFmt w:val="decimal"/>
      <w:lvlText w:val="%2."/>
      <w:lvlJc w:val="left"/>
      <w:pPr>
        <w:tabs>
          <w:tab w:val="num" w:pos="1440"/>
        </w:tabs>
        <w:ind w:left="1440" w:hanging="360"/>
      </w:pPr>
    </w:lvl>
    <w:lvl w:ilvl="2" w:tplc="0D2EDFEE" w:tentative="1">
      <w:start w:val="1"/>
      <w:numFmt w:val="decimal"/>
      <w:lvlText w:val="%3."/>
      <w:lvlJc w:val="left"/>
      <w:pPr>
        <w:tabs>
          <w:tab w:val="num" w:pos="2160"/>
        </w:tabs>
        <w:ind w:left="2160" w:hanging="360"/>
      </w:pPr>
    </w:lvl>
    <w:lvl w:ilvl="3" w:tplc="6C60195C" w:tentative="1">
      <w:start w:val="1"/>
      <w:numFmt w:val="decimal"/>
      <w:lvlText w:val="%4."/>
      <w:lvlJc w:val="left"/>
      <w:pPr>
        <w:tabs>
          <w:tab w:val="num" w:pos="2880"/>
        </w:tabs>
        <w:ind w:left="2880" w:hanging="360"/>
      </w:pPr>
    </w:lvl>
    <w:lvl w:ilvl="4" w:tplc="5D006650" w:tentative="1">
      <w:start w:val="1"/>
      <w:numFmt w:val="decimal"/>
      <w:lvlText w:val="%5."/>
      <w:lvlJc w:val="left"/>
      <w:pPr>
        <w:tabs>
          <w:tab w:val="num" w:pos="3600"/>
        </w:tabs>
        <w:ind w:left="3600" w:hanging="360"/>
      </w:pPr>
    </w:lvl>
    <w:lvl w:ilvl="5" w:tplc="82F2EE3A" w:tentative="1">
      <w:start w:val="1"/>
      <w:numFmt w:val="decimal"/>
      <w:lvlText w:val="%6."/>
      <w:lvlJc w:val="left"/>
      <w:pPr>
        <w:tabs>
          <w:tab w:val="num" w:pos="4320"/>
        </w:tabs>
        <w:ind w:left="4320" w:hanging="360"/>
      </w:pPr>
    </w:lvl>
    <w:lvl w:ilvl="6" w:tplc="E7149C9A" w:tentative="1">
      <w:start w:val="1"/>
      <w:numFmt w:val="decimal"/>
      <w:lvlText w:val="%7."/>
      <w:lvlJc w:val="left"/>
      <w:pPr>
        <w:tabs>
          <w:tab w:val="num" w:pos="5040"/>
        </w:tabs>
        <w:ind w:left="5040" w:hanging="360"/>
      </w:pPr>
    </w:lvl>
    <w:lvl w:ilvl="7" w:tplc="29C8474C" w:tentative="1">
      <w:start w:val="1"/>
      <w:numFmt w:val="decimal"/>
      <w:lvlText w:val="%8."/>
      <w:lvlJc w:val="left"/>
      <w:pPr>
        <w:tabs>
          <w:tab w:val="num" w:pos="5760"/>
        </w:tabs>
        <w:ind w:left="5760" w:hanging="360"/>
      </w:pPr>
    </w:lvl>
    <w:lvl w:ilvl="8" w:tplc="845AD780" w:tentative="1">
      <w:start w:val="1"/>
      <w:numFmt w:val="decimal"/>
      <w:lvlText w:val="%9."/>
      <w:lvlJc w:val="left"/>
      <w:pPr>
        <w:tabs>
          <w:tab w:val="num" w:pos="6480"/>
        </w:tabs>
        <w:ind w:left="6480" w:hanging="360"/>
      </w:pPr>
    </w:lvl>
  </w:abstractNum>
  <w:abstractNum w:abstractNumId="55" w15:restartNumberingAfterBreak="0">
    <w:nsid w:val="7E5544C0"/>
    <w:multiLevelType w:val="multilevel"/>
    <w:tmpl w:val="8B34D2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E89242B"/>
    <w:multiLevelType w:val="hybridMultilevel"/>
    <w:tmpl w:val="F10E6F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F194940"/>
    <w:multiLevelType w:val="hybridMultilevel"/>
    <w:tmpl w:val="CDDC1838"/>
    <w:lvl w:ilvl="0" w:tplc="0C09000F">
      <w:start w:val="1"/>
      <w:numFmt w:val="decimal"/>
      <w:lvlText w:val="%1."/>
      <w:lvlJc w:val="left"/>
      <w:pPr>
        <w:tabs>
          <w:tab w:val="num" w:pos="720"/>
        </w:tabs>
        <w:ind w:left="720" w:hanging="360"/>
      </w:pPr>
      <w:rPr>
        <w:rFonts w:hint="default"/>
      </w:rPr>
    </w:lvl>
    <w:lvl w:ilvl="1" w:tplc="A1ACC36E" w:tentative="1">
      <w:start w:val="1"/>
      <w:numFmt w:val="decimal"/>
      <w:lvlText w:val="%2."/>
      <w:lvlJc w:val="left"/>
      <w:pPr>
        <w:tabs>
          <w:tab w:val="num" w:pos="1440"/>
        </w:tabs>
        <w:ind w:left="1440" w:hanging="360"/>
      </w:pPr>
    </w:lvl>
    <w:lvl w:ilvl="2" w:tplc="0D2EDFEE" w:tentative="1">
      <w:start w:val="1"/>
      <w:numFmt w:val="decimal"/>
      <w:lvlText w:val="%3."/>
      <w:lvlJc w:val="left"/>
      <w:pPr>
        <w:tabs>
          <w:tab w:val="num" w:pos="2160"/>
        </w:tabs>
        <w:ind w:left="2160" w:hanging="360"/>
      </w:pPr>
    </w:lvl>
    <w:lvl w:ilvl="3" w:tplc="6C60195C" w:tentative="1">
      <w:start w:val="1"/>
      <w:numFmt w:val="decimal"/>
      <w:lvlText w:val="%4."/>
      <w:lvlJc w:val="left"/>
      <w:pPr>
        <w:tabs>
          <w:tab w:val="num" w:pos="2880"/>
        </w:tabs>
        <w:ind w:left="2880" w:hanging="360"/>
      </w:pPr>
    </w:lvl>
    <w:lvl w:ilvl="4" w:tplc="5D006650" w:tentative="1">
      <w:start w:val="1"/>
      <w:numFmt w:val="decimal"/>
      <w:lvlText w:val="%5."/>
      <w:lvlJc w:val="left"/>
      <w:pPr>
        <w:tabs>
          <w:tab w:val="num" w:pos="3600"/>
        </w:tabs>
        <w:ind w:left="3600" w:hanging="360"/>
      </w:pPr>
    </w:lvl>
    <w:lvl w:ilvl="5" w:tplc="82F2EE3A" w:tentative="1">
      <w:start w:val="1"/>
      <w:numFmt w:val="decimal"/>
      <w:lvlText w:val="%6."/>
      <w:lvlJc w:val="left"/>
      <w:pPr>
        <w:tabs>
          <w:tab w:val="num" w:pos="4320"/>
        </w:tabs>
        <w:ind w:left="4320" w:hanging="360"/>
      </w:pPr>
    </w:lvl>
    <w:lvl w:ilvl="6" w:tplc="E7149C9A" w:tentative="1">
      <w:start w:val="1"/>
      <w:numFmt w:val="decimal"/>
      <w:lvlText w:val="%7."/>
      <w:lvlJc w:val="left"/>
      <w:pPr>
        <w:tabs>
          <w:tab w:val="num" w:pos="5040"/>
        </w:tabs>
        <w:ind w:left="5040" w:hanging="360"/>
      </w:pPr>
    </w:lvl>
    <w:lvl w:ilvl="7" w:tplc="29C8474C" w:tentative="1">
      <w:start w:val="1"/>
      <w:numFmt w:val="decimal"/>
      <w:lvlText w:val="%8."/>
      <w:lvlJc w:val="left"/>
      <w:pPr>
        <w:tabs>
          <w:tab w:val="num" w:pos="5760"/>
        </w:tabs>
        <w:ind w:left="5760" w:hanging="360"/>
      </w:pPr>
    </w:lvl>
    <w:lvl w:ilvl="8" w:tplc="845AD780" w:tentative="1">
      <w:start w:val="1"/>
      <w:numFmt w:val="decimal"/>
      <w:lvlText w:val="%9."/>
      <w:lvlJc w:val="left"/>
      <w:pPr>
        <w:tabs>
          <w:tab w:val="num" w:pos="6480"/>
        </w:tabs>
        <w:ind w:left="6480" w:hanging="360"/>
      </w:pPr>
    </w:lvl>
  </w:abstractNum>
  <w:num w:numId="1">
    <w:abstractNumId w:val="26"/>
  </w:num>
  <w:num w:numId="2">
    <w:abstractNumId w:val="29"/>
  </w:num>
  <w:num w:numId="3">
    <w:abstractNumId w:val="47"/>
  </w:num>
  <w:num w:numId="4">
    <w:abstractNumId w:val="19"/>
  </w:num>
  <w:num w:numId="5">
    <w:abstractNumId w:val="2"/>
  </w:num>
  <w:num w:numId="6">
    <w:abstractNumId w:val="0"/>
  </w:num>
  <w:num w:numId="7">
    <w:abstractNumId w:val="40"/>
  </w:num>
  <w:num w:numId="8">
    <w:abstractNumId w:val="55"/>
  </w:num>
  <w:num w:numId="9">
    <w:abstractNumId w:val="17"/>
  </w:num>
  <w:num w:numId="10">
    <w:abstractNumId w:val="44"/>
  </w:num>
  <w:num w:numId="11">
    <w:abstractNumId w:val="5"/>
  </w:num>
  <w:num w:numId="12">
    <w:abstractNumId w:val="46"/>
  </w:num>
  <w:num w:numId="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6"/>
  </w:num>
  <w:num w:numId="15">
    <w:abstractNumId w:val="30"/>
  </w:num>
  <w:num w:numId="16">
    <w:abstractNumId w:val="21"/>
  </w:num>
  <w:num w:numId="17">
    <w:abstractNumId w:val="23"/>
  </w:num>
  <w:num w:numId="18">
    <w:abstractNumId w:val="37"/>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49"/>
  </w:num>
  <w:num w:numId="22">
    <w:abstractNumId w:val="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num>
  <w:num w:numId="28">
    <w:abstractNumId w:val="34"/>
  </w:num>
  <w:num w:numId="29">
    <w:abstractNumId w:val="9"/>
  </w:num>
  <w:num w:numId="30">
    <w:abstractNumId w:val="28"/>
  </w:num>
  <w:num w:numId="3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11"/>
  </w:num>
  <w:num w:numId="34">
    <w:abstractNumId w:val="11"/>
    <w:lvlOverride w:ilvl="0">
      <w:startOverride w:val="1"/>
    </w:lvlOverride>
  </w:num>
  <w:num w:numId="35">
    <w:abstractNumId w:val="11"/>
    <w:lvlOverride w:ilvl="0">
      <w:startOverride w:val="1"/>
    </w:lvlOverride>
  </w:num>
  <w:num w:numId="36">
    <w:abstractNumId w:val="6"/>
  </w:num>
  <w:num w:numId="37">
    <w:abstractNumId w:val="29"/>
  </w:num>
  <w:num w:numId="38">
    <w:abstractNumId w:val="29"/>
  </w:num>
  <w:num w:numId="39">
    <w:abstractNumId w:val="3"/>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29"/>
  </w:num>
  <w:num w:numId="45">
    <w:abstractNumId w:val="29"/>
  </w:num>
  <w:num w:numId="46">
    <w:abstractNumId w:val="29"/>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29"/>
  </w:num>
  <w:num w:numId="51">
    <w:abstractNumId w:val="29"/>
  </w:num>
  <w:num w:numId="52">
    <w:abstractNumId w:val="29"/>
  </w:num>
  <w:num w:numId="53">
    <w:abstractNumId w:val="29"/>
  </w:num>
  <w:num w:numId="54">
    <w:abstractNumId w:val="29"/>
  </w:num>
  <w:num w:numId="55">
    <w:abstractNumId w:val="29"/>
  </w:num>
  <w:num w:numId="56">
    <w:abstractNumId w:val="29"/>
  </w:num>
  <w:num w:numId="57">
    <w:abstractNumId w:val="29"/>
  </w:num>
  <w:num w:numId="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num>
  <w:num w:numId="60">
    <w:abstractNumId w:val="29"/>
  </w:num>
  <w:num w:numId="61">
    <w:abstractNumId w:val="29"/>
  </w:num>
  <w:num w:numId="62">
    <w:abstractNumId w:val="14"/>
  </w:num>
  <w:num w:numId="63">
    <w:abstractNumId w:val="33"/>
  </w:num>
  <w:num w:numId="64">
    <w:abstractNumId w:val="31"/>
  </w:num>
  <w:num w:numId="65">
    <w:abstractNumId w:val="12"/>
  </w:num>
  <w:num w:numId="66">
    <w:abstractNumId w:val="29"/>
  </w:num>
  <w:num w:numId="67">
    <w:abstractNumId w:val="29"/>
  </w:num>
  <w:num w:numId="68">
    <w:abstractNumId w:val="29"/>
  </w:num>
  <w:num w:numId="69">
    <w:abstractNumId w:val="29"/>
  </w:num>
  <w:num w:numId="70">
    <w:abstractNumId w:val="29"/>
  </w:num>
  <w:num w:numId="71">
    <w:abstractNumId w:val="4"/>
  </w:num>
  <w:num w:numId="72">
    <w:abstractNumId w:val="13"/>
  </w:num>
  <w:num w:numId="73">
    <w:abstractNumId w:val="24"/>
  </w:num>
  <w:num w:numId="74">
    <w:abstractNumId w:val="42"/>
  </w:num>
  <w:num w:numId="75">
    <w:abstractNumId w:val="57"/>
  </w:num>
  <w:num w:numId="76">
    <w:abstractNumId w:val="7"/>
  </w:num>
  <w:num w:numId="77">
    <w:abstractNumId w:val="29"/>
  </w:num>
  <w:num w:numId="78">
    <w:abstractNumId w:val="29"/>
  </w:num>
  <w:num w:numId="79">
    <w:abstractNumId w:val="29"/>
  </w:num>
  <w:num w:numId="80">
    <w:abstractNumId w:val="29"/>
  </w:num>
  <w:num w:numId="81">
    <w:abstractNumId w:val="29"/>
  </w:num>
  <w:num w:numId="82">
    <w:abstractNumId w:val="29"/>
  </w:num>
  <w:num w:numId="83">
    <w:abstractNumId w:val="29"/>
  </w:num>
  <w:num w:numId="84">
    <w:abstractNumId w:val="29"/>
  </w:num>
  <w:num w:numId="85">
    <w:abstractNumId w:val="29"/>
  </w:num>
  <w:num w:numId="86">
    <w:abstractNumId w:val="29"/>
  </w:num>
  <w:num w:numId="87">
    <w:abstractNumId w:val="29"/>
  </w:num>
  <w:num w:numId="88">
    <w:abstractNumId w:val="29"/>
  </w:num>
  <w:num w:numId="89">
    <w:abstractNumId w:val="29"/>
  </w:num>
  <w:num w:numId="90">
    <w:abstractNumId w:val="29"/>
  </w:num>
  <w:num w:numId="91">
    <w:abstractNumId w:val="29"/>
  </w:num>
  <w:num w:numId="92">
    <w:abstractNumId w:val="29"/>
  </w:num>
  <w:num w:numId="93">
    <w:abstractNumId w:val="29"/>
  </w:num>
  <w:num w:numId="94">
    <w:abstractNumId w:val="29"/>
  </w:num>
  <w:num w:numId="95">
    <w:abstractNumId w:val="29"/>
  </w:num>
  <w:num w:numId="96">
    <w:abstractNumId w:val="29"/>
  </w:num>
  <w:num w:numId="97">
    <w:abstractNumId w:val="29"/>
  </w:num>
  <w:num w:numId="98">
    <w:abstractNumId w:val="29"/>
  </w:num>
  <w:num w:numId="99">
    <w:abstractNumId w:val="29"/>
  </w:num>
  <w:num w:numId="100">
    <w:abstractNumId w:val="29"/>
  </w:num>
  <w:num w:numId="101">
    <w:abstractNumId w:val="29"/>
  </w:num>
  <w:num w:numId="102">
    <w:abstractNumId w:val="29"/>
  </w:num>
  <w:num w:numId="103">
    <w:abstractNumId w:val="29"/>
  </w:num>
  <w:num w:numId="104">
    <w:abstractNumId w:val="29"/>
  </w:num>
  <w:num w:numId="105">
    <w:abstractNumId w:val="29"/>
  </w:num>
  <w:num w:numId="106">
    <w:abstractNumId w:val="29"/>
  </w:num>
  <w:num w:numId="107">
    <w:abstractNumId w:val="39"/>
  </w:num>
  <w:num w:numId="108">
    <w:abstractNumId w:val="15"/>
  </w:num>
  <w:num w:numId="109">
    <w:abstractNumId w:val="53"/>
  </w:num>
  <w:num w:numId="110">
    <w:abstractNumId w:val="22"/>
  </w:num>
  <w:num w:numId="111">
    <w:abstractNumId w:val="10"/>
  </w:num>
  <w:num w:numId="112">
    <w:abstractNumId w:val="41"/>
  </w:num>
  <w:num w:numId="113">
    <w:abstractNumId w:val="51"/>
  </w:num>
  <w:num w:numId="114">
    <w:abstractNumId w:val="35"/>
  </w:num>
  <w:num w:numId="115">
    <w:abstractNumId w:val="43"/>
  </w:num>
  <w:num w:numId="116">
    <w:abstractNumId w:val="54"/>
  </w:num>
  <w:num w:numId="117">
    <w:abstractNumId w:val="20"/>
  </w:num>
  <w:num w:numId="118">
    <w:abstractNumId w:val="27"/>
  </w:num>
  <w:num w:numId="119">
    <w:abstractNumId w:val="32"/>
  </w:num>
  <w:num w:numId="120">
    <w:abstractNumId w:val="25"/>
  </w:num>
  <w:num w:numId="121">
    <w:abstractNumId w:val="16"/>
  </w:num>
  <w:num w:numId="122">
    <w:abstractNumId w:val="29"/>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00212"/>
    <w:rsid w:val="00000601"/>
    <w:rsid w:val="00000D61"/>
    <w:rsid w:val="00000DB5"/>
    <w:rsid w:val="00001D8F"/>
    <w:rsid w:val="00010A90"/>
    <w:rsid w:val="00012494"/>
    <w:rsid w:val="0001481A"/>
    <w:rsid w:val="0001517A"/>
    <w:rsid w:val="000151EB"/>
    <w:rsid w:val="00020001"/>
    <w:rsid w:val="00021F8D"/>
    <w:rsid w:val="000226CB"/>
    <w:rsid w:val="00022F58"/>
    <w:rsid w:val="000230AE"/>
    <w:rsid w:val="000242A7"/>
    <w:rsid w:val="00024FCF"/>
    <w:rsid w:val="0002702A"/>
    <w:rsid w:val="00034276"/>
    <w:rsid w:val="000342C2"/>
    <w:rsid w:val="00035D99"/>
    <w:rsid w:val="00041ECD"/>
    <w:rsid w:val="00042BFB"/>
    <w:rsid w:val="00044C47"/>
    <w:rsid w:val="000462A3"/>
    <w:rsid w:val="00046544"/>
    <w:rsid w:val="00046739"/>
    <w:rsid w:val="00047CA1"/>
    <w:rsid w:val="0005539B"/>
    <w:rsid w:val="00057A10"/>
    <w:rsid w:val="00060232"/>
    <w:rsid w:val="00063095"/>
    <w:rsid w:val="0006755D"/>
    <w:rsid w:val="00067DAD"/>
    <w:rsid w:val="00067E22"/>
    <w:rsid w:val="00071612"/>
    <w:rsid w:val="0007186D"/>
    <w:rsid w:val="00071A6C"/>
    <w:rsid w:val="00072EA2"/>
    <w:rsid w:val="000734E4"/>
    <w:rsid w:val="0007479F"/>
    <w:rsid w:val="00075675"/>
    <w:rsid w:val="00077306"/>
    <w:rsid w:val="000775CE"/>
    <w:rsid w:val="000826FA"/>
    <w:rsid w:val="00082B7A"/>
    <w:rsid w:val="00083862"/>
    <w:rsid w:val="00083E86"/>
    <w:rsid w:val="0008796F"/>
    <w:rsid w:val="000902B0"/>
    <w:rsid w:val="00090F9E"/>
    <w:rsid w:val="000917E9"/>
    <w:rsid w:val="00092B64"/>
    <w:rsid w:val="00094AA7"/>
    <w:rsid w:val="00095E5A"/>
    <w:rsid w:val="00096BC7"/>
    <w:rsid w:val="000A100A"/>
    <w:rsid w:val="000A259A"/>
    <w:rsid w:val="000A3F11"/>
    <w:rsid w:val="000A4073"/>
    <w:rsid w:val="000A4F87"/>
    <w:rsid w:val="000A5A6C"/>
    <w:rsid w:val="000A732C"/>
    <w:rsid w:val="000B0E7C"/>
    <w:rsid w:val="000B13F2"/>
    <w:rsid w:val="000B490B"/>
    <w:rsid w:val="000B672F"/>
    <w:rsid w:val="000B7507"/>
    <w:rsid w:val="000B768D"/>
    <w:rsid w:val="000C1859"/>
    <w:rsid w:val="000C4E64"/>
    <w:rsid w:val="000C5F92"/>
    <w:rsid w:val="000C6639"/>
    <w:rsid w:val="000C7D24"/>
    <w:rsid w:val="000D0BA8"/>
    <w:rsid w:val="000D2566"/>
    <w:rsid w:val="000D3F79"/>
    <w:rsid w:val="000D459F"/>
    <w:rsid w:val="000D62BC"/>
    <w:rsid w:val="000E120E"/>
    <w:rsid w:val="000E46B6"/>
    <w:rsid w:val="000E4E22"/>
    <w:rsid w:val="000E59E0"/>
    <w:rsid w:val="000E6041"/>
    <w:rsid w:val="000E6218"/>
    <w:rsid w:val="000F2777"/>
    <w:rsid w:val="000F37B3"/>
    <w:rsid w:val="000F38E5"/>
    <w:rsid w:val="000F3FC4"/>
    <w:rsid w:val="000F451B"/>
    <w:rsid w:val="000F56FA"/>
    <w:rsid w:val="00100655"/>
    <w:rsid w:val="0010651A"/>
    <w:rsid w:val="001072A9"/>
    <w:rsid w:val="001075FA"/>
    <w:rsid w:val="00110931"/>
    <w:rsid w:val="0011147C"/>
    <w:rsid w:val="00112FB7"/>
    <w:rsid w:val="00113E4D"/>
    <w:rsid w:val="00115C3F"/>
    <w:rsid w:val="00115D32"/>
    <w:rsid w:val="00117A52"/>
    <w:rsid w:val="0012236D"/>
    <w:rsid w:val="001234C5"/>
    <w:rsid w:val="00123E2A"/>
    <w:rsid w:val="00124A77"/>
    <w:rsid w:val="00126C81"/>
    <w:rsid w:val="0012734F"/>
    <w:rsid w:val="00127EE2"/>
    <w:rsid w:val="001334A1"/>
    <w:rsid w:val="001336D2"/>
    <w:rsid w:val="00135A6B"/>
    <w:rsid w:val="00140335"/>
    <w:rsid w:val="001404FA"/>
    <w:rsid w:val="00140BD3"/>
    <w:rsid w:val="001435E1"/>
    <w:rsid w:val="001448C0"/>
    <w:rsid w:val="00147516"/>
    <w:rsid w:val="00150CB3"/>
    <w:rsid w:val="00151F6D"/>
    <w:rsid w:val="001522EE"/>
    <w:rsid w:val="00153073"/>
    <w:rsid w:val="00153780"/>
    <w:rsid w:val="00153806"/>
    <w:rsid w:val="001574DC"/>
    <w:rsid w:val="0015765A"/>
    <w:rsid w:val="00162221"/>
    <w:rsid w:val="0016265F"/>
    <w:rsid w:val="00162931"/>
    <w:rsid w:val="0016571A"/>
    <w:rsid w:val="00166625"/>
    <w:rsid w:val="00171215"/>
    <w:rsid w:val="00175BCC"/>
    <w:rsid w:val="00177778"/>
    <w:rsid w:val="0018062C"/>
    <w:rsid w:val="0018082F"/>
    <w:rsid w:val="0018127A"/>
    <w:rsid w:val="001827B5"/>
    <w:rsid w:val="00184F8D"/>
    <w:rsid w:val="00185501"/>
    <w:rsid w:val="00186AD0"/>
    <w:rsid w:val="00187AFC"/>
    <w:rsid w:val="0019364F"/>
    <w:rsid w:val="00194287"/>
    <w:rsid w:val="00196B9D"/>
    <w:rsid w:val="00196E27"/>
    <w:rsid w:val="00197D90"/>
    <w:rsid w:val="001A0EB0"/>
    <w:rsid w:val="001A4824"/>
    <w:rsid w:val="001A673D"/>
    <w:rsid w:val="001B00B3"/>
    <w:rsid w:val="001B2BBF"/>
    <w:rsid w:val="001B6CA9"/>
    <w:rsid w:val="001B7D68"/>
    <w:rsid w:val="001C000C"/>
    <w:rsid w:val="001C1732"/>
    <w:rsid w:val="001C2CBF"/>
    <w:rsid w:val="001C4544"/>
    <w:rsid w:val="001C4677"/>
    <w:rsid w:val="001C4721"/>
    <w:rsid w:val="001C5ECD"/>
    <w:rsid w:val="001C640D"/>
    <w:rsid w:val="001D1486"/>
    <w:rsid w:val="001D1744"/>
    <w:rsid w:val="001D32CD"/>
    <w:rsid w:val="001D4A47"/>
    <w:rsid w:val="001D5A6F"/>
    <w:rsid w:val="001E1402"/>
    <w:rsid w:val="001E1AC1"/>
    <w:rsid w:val="001E2475"/>
    <w:rsid w:val="001E3EFB"/>
    <w:rsid w:val="001E45E8"/>
    <w:rsid w:val="001E630D"/>
    <w:rsid w:val="001F0EF3"/>
    <w:rsid w:val="001F37A0"/>
    <w:rsid w:val="00200C9B"/>
    <w:rsid w:val="0020169D"/>
    <w:rsid w:val="00202CC3"/>
    <w:rsid w:val="002051D2"/>
    <w:rsid w:val="0020615C"/>
    <w:rsid w:val="00206384"/>
    <w:rsid w:val="00206850"/>
    <w:rsid w:val="00207205"/>
    <w:rsid w:val="00211715"/>
    <w:rsid w:val="00214ECA"/>
    <w:rsid w:val="00217A6C"/>
    <w:rsid w:val="002214CD"/>
    <w:rsid w:val="0022178E"/>
    <w:rsid w:val="00227196"/>
    <w:rsid w:val="0023005B"/>
    <w:rsid w:val="0023084A"/>
    <w:rsid w:val="002329F8"/>
    <w:rsid w:val="00232C2B"/>
    <w:rsid w:val="00232CFF"/>
    <w:rsid w:val="0023472C"/>
    <w:rsid w:val="0023484C"/>
    <w:rsid w:val="00234E0C"/>
    <w:rsid w:val="00236526"/>
    <w:rsid w:val="0023663B"/>
    <w:rsid w:val="00237463"/>
    <w:rsid w:val="00237DE3"/>
    <w:rsid w:val="0024000D"/>
    <w:rsid w:val="0024478F"/>
    <w:rsid w:val="00247B82"/>
    <w:rsid w:val="00255404"/>
    <w:rsid w:val="00255D89"/>
    <w:rsid w:val="0025620F"/>
    <w:rsid w:val="002564D7"/>
    <w:rsid w:val="00256BC0"/>
    <w:rsid w:val="00257271"/>
    <w:rsid w:val="00257310"/>
    <w:rsid w:val="00257516"/>
    <w:rsid w:val="002579B3"/>
    <w:rsid w:val="00257C52"/>
    <w:rsid w:val="00257DDB"/>
    <w:rsid w:val="002615BA"/>
    <w:rsid w:val="00261F16"/>
    <w:rsid w:val="00261F1E"/>
    <w:rsid w:val="0026266E"/>
    <w:rsid w:val="00263F63"/>
    <w:rsid w:val="00264296"/>
    <w:rsid w:val="002667BE"/>
    <w:rsid w:val="00266B5B"/>
    <w:rsid w:val="002671E3"/>
    <w:rsid w:val="0026729D"/>
    <w:rsid w:val="00270E0E"/>
    <w:rsid w:val="002753CA"/>
    <w:rsid w:val="00275B18"/>
    <w:rsid w:val="0027753F"/>
    <w:rsid w:val="00280C8C"/>
    <w:rsid w:val="00282941"/>
    <w:rsid w:val="0028716B"/>
    <w:rsid w:val="00292C23"/>
    <w:rsid w:val="00293048"/>
    <w:rsid w:val="00293724"/>
    <w:rsid w:val="00294EE7"/>
    <w:rsid w:val="00295DA1"/>
    <w:rsid w:val="00295F86"/>
    <w:rsid w:val="00296780"/>
    <w:rsid w:val="0029687B"/>
    <w:rsid w:val="0029701B"/>
    <w:rsid w:val="002972C5"/>
    <w:rsid w:val="002A7336"/>
    <w:rsid w:val="002A7566"/>
    <w:rsid w:val="002B1438"/>
    <w:rsid w:val="002B19B9"/>
    <w:rsid w:val="002B2305"/>
    <w:rsid w:val="002B274F"/>
    <w:rsid w:val="002B33AD"/>
    <w:rsid w:val="002B33D9"/>
    <w:rsid w:val="002B4E1E"/>
    <w:rsid w:val="002B59FB"/>
    <w:rsid w:val="002B5CF9"/>
    <w:rsid w:val="002B5FBD"/>
    <w:rsid w:val="002B6A80"/>
    <w:rsid w:val="002C0929"/>
    <w:rsid w:val="002C26BD"/>
    <w:rsid w:val="002C3FFA"/>
    <w:rsid w:val="002C6A08"/>
    <w:rsid w:val="002D1CB0"/>
    <w:rsid w:val="002D202E"/>
    <w:rsid w:val="002D27B7"/>
    <w:rsid w:val="002D2A60"/>
    <w:rsid w:val="002D46CE"/>
    <w:rsid w:val="002D6726"/>
    <w:rsid w:val="002D6B70"/>
    <w:rsid w:val="002D7B78"/>
    <w:rsid w:val="002E2E23"/>
    <w:rsid w:val="002E3377"/>
    <w:rsid w:val="002E3C50"/>
    <w:rsid w:val="002E44CF"/>
    <w:rsid w:val="002E5E4A"/>
    <w:rsid w:val="002E6C1C"/>
    <w:rsid w:val="002F0DDE"/>
    <w:rsid w:val="002F458C"/>
    <w:rsid w:val="002F46EE"/>
    <w:rsid w:val="003004C5"/>
    <w:rsid w:val="0030225B"/>
    <w:rsid w:val="00303F0A"/>
    <w:rsid w:val="00306369"/>
    <w:rsid w:val="003068B6"/>
    <w:rsid w:val="003131FE"/>
    <w:rsid w:val="00314EFD"/>
    <w:rsid w:val="00314FCD"/>
    <w:rsid w:val="00315A2B"/>
    <w:rsid w:val="003173D1"/>
    <w:rsid w:val="00322A48"/>
    <w:rsid w:val="00322C6B"/>
    <w:rsid w:val="00322C90"/>
    <w:rsid w:val="00323BB7"/>
    <w:rsid w:val="00324897"/>
    <w:rsid w:val="00324A75"/>
    <w:rsid w:val="0032500C"/>
    <w:rsid w:val="00327368"/>
    <w:rsid w:val="0032775F"/>
    <w:rsid w:val="003278B7"/>
    <w:rsid w:val="00330115"/>
    <w:rsid w:val="00331B2D"/>
    <w:rsid w:val="003323D0"/>
    <w:rsid w:val="00332400"/>
    <w:rsid w:val="00337CB5"/>
    <w:rsid w:val="00340C44"/>
    <w:rsid w:val="003432CB"/>
    <w:rsid w:val="0034722E"/>
    <w:rsid w:val="0035158E"/>
    <w:rsid w:val="00357B35"/>
    <w:rsid w:val="003601B1"/>
    <w:rsid w:val="00360A9A"/>
    <w:rsid w:val="003610C1"/>
    <w:rsid w:val="00362B58"/>
    <w:rsid w:val="00363299"/>
    <w:rsid w:val="00363506"/>
    <w:rsid w:val="00365AAB"/>
    <w:rsid w:val="003662DF"/>
    <w:rsid w:val="00367150"/>
    <w:rsid w:val="003702A8"/>
    <w:rsid w:val="0037155D"/>
    <w:rsid w:val="003721B8"/>
    <w:rsid w:val="0037238E"/>
    <w:rsid w:val="00372F30"/>
    <w:rsid w:val="00377433"/>
    <w:rsid w:val="003806FA"/>
    <w:rsid w:val="003818E6"/>
    <w:rsid w:val="003820EA"/>
    <w:rsid w:val="00384497"/>
    <w:rsid w:val="003850A5"/>
    <w:rsid w:val="003851D0"/>
    <w:rsid w:val="00385DD2"/>
    <w:rsid w:val="00390040"/>
    <w:rsid w:val="003922F5"/>
    <w:rsid w:val="00394FD0"/>
    <w:rsid w:val="00395456"/>
    <w:rsid w:val="00396876"/>
    <w:rsid w:val="00397058"/>
    <w:rsid w:val="003977ED"/>
    <w:rsid w:val="003A22C8"/>
    <w:rsid w:val="003A3E3C"/>
    <w:rsid w:val="003A7206"/>
    <w:rsid w:val="003B2398"/>
    <w:rsid w:val="003B2BB8"/>
    <w:rsid w:val="003B612A"/>
    <w:rsid w:val="003C193A"/>
    <w:rsid w:val="003C1F8F"/>
    <w:rsid w:val="003C297D"/>
    <w:rsid w:val="003C3328"/>
    <w:rsid w:val="003C358D"/>
    <w:rsid w:val="003C4988"/>
    <w:rsid w:val="003C4EDE"/>
    <w:rsid w:val="003C6489"/>
    <w:rsid w:val="003C7CEA"/>
    <w:rsid w:val="003C7EF3"/>
    <w:rsid w:val="003D13F3"/>
    <w:rsid w:val="003D247C"/>
    <w:rsid w:val="003D2FE2"/>
    <w:rsid w:val="003D34FF"/>
    <w:rsid w:val="003D402C"/>
    <w:rsid w:val="003D599A"/>
    <w:rsid w:val="003D6EC3"/>
    <w:rsid w:val="003D7B1D"/>
    <w:rsid w:val="003E0C09"/>
    <w:rsid w:val="003E1280"/>
    <w:rsid w:val="003E311F"/>
    <w:rsid w:val="003E36FA"/>
    <w:rsid w:val="003E6AF5"/>
    <w:rsid w:val="003E7199"/>
    <w:rsid w:val="003F352A"/>
    <w:rsid w:val="003F377F"/>
    <w:rsid w:val="003F43B2"/>
    <w:rsid w:val="003F7481"/>
    <w:rsid w:val="0040062A"/>
    <w:rsid w:val="00403F64"/>
    <w:rsid w:val="004070FB"/>
    <w:rsid w:val="00407E6B"/>
    <w:rsid w:val="00411B53"/>
    <w:rsid w:val="0041222F"/>
    <w:rsid w:val="004150D3"/>
    <w:rsid w:val="00415256"/>
    <w:rsid w:val="00415826"/>
    <w:rsid w:val="00415F9D"/>
    <w:rsid w:val="00417CD4"/>
    <w:rsid w:val="00422F97"/>
    <w:rsid w:val="0042406C"/>
    <w:rsid w:val="0042437D"/>
    <w:rsid w:val="0042636B"/>
    <w:rsid w:val="00426657"/>
    <w:rsid w:val="00431B4F"/>
    <w:rsid w:val="00432601"/>
    <w:rsid w:val="00432BCB"/>
    <w:rsid w:val="004342AC"/>
    <w:rsid w:val="00434795"/>
    <w:rsid w:val="00436D13"/>
    <w:rsid w:val="00437B3D"/>
    <w:rsid w:val="00441BB8"/>
    <w:rsid w:val="004422C8"/>
    <w:rsid w:val="0044383C"/>
    <w:rsid w:val="00443B2B"/>
    <w:rsid w:val="00443BE8"/>
    <w:rsid w:val="004445D4"/>
    <w:rsid w:val="0044516E"/>
    <w:rsid w:val="00447871"/>
    <w:rsid w:val="00450211"/>
    <w:rsid w:val="00450D16"/>
    <w:rsid w:val="00452344"/>
    <w:rsid w:val="00453DBD"/>
    <w:rsid w:val="00454580"/>
    <w:rsid w:val="00455136"/>
    <w:rsid w:val="00456B2C"/>
    <w:rsid w:val="00461E2F"/>
    <w:rsid w:val="004627AE"/>
    <w:rsid w:val="00466C95"/>
    <w:rsid w:val="00471DC8"/>
    <w:rsid w:val="0047459B"/>
    <w:rsid w:val="00475595"/>
    <w:rsid w:val="00475F2D"/>
    <w:rsid w:val="00481F94"/>
    <w:rsid w:val="004830AA"/>
    <w:rsid w:val="00484948"/>
    <w:rsid w:val="00492E9C"/>
    <w:rsid w:val="0049327F"/>
    <w:rsid w:val="00493DDB"/>
    <w:rsid w:val="004945D2"/>
    <w:rsid w:val="00494CEE"/>
    <w:rsid w:val="00494D81"/>
    <w:rsid w:val="00497ACD"/>
    <w:rsid w:val="004A0905"/>
    <w:rsid w:val="004A533E"/>
    <w:rsid w:val="004A7295"/>
    <w:rsid w:val="004B0A6C"/>
    <w:rsid w:val="004B42E4"/>
    <w:rsid w:val="004B53E1"/>
    <w:rsid w:val="004B54CA"/>
    <w:rsid w:val="004B6A1A"/>
    <w:rsid w:val="004C01F6"/>
    <w:rsid w:val="004C2D0A"/>
    <w:rsid w:val="004C58E0"/>
    <w:rsid w:val="004C6DCE"/>
    <w:rsid w:val="004C7C2D"/>
    <w:rsid w:val="004D135E"/>
    <w:rsid w:val="004D1E86"/>
    <w:rsid w:val="004D2241"/>
    <w:rsid w:val="004D27B0"/>
    <w:rsid w:val="004D32B5"/>
    <w:rsid w:val="004D37C4"/>
    <w:rsid w:val="004D4703"/>
    <w:rsid w:val="004D7A0D"/>
    <w:rsid w:val="004E00CF"/>
    <w:rsid w:val="004E0445"/>
    <w:rsid w:val="004E2881"/>
    <w:rsid w:val="004E3115"/>
    <w:rsid w:val="004E5CBF"/>
    <w:rsid w:val="004E63C3"/>
    <w:rsid w:val="004F0A10"/>
    <w:rsid w:val="004F1873"/>
    <w:rsid w:val="004F1C7F"/>
    <w:rsid w:val="004F349A"/>
    <w:rsid w:val="00500BFC"/>
    <w:rsid w:val="00502FA6"/>
    <w:rsid w:val="00503AE1"/>
    <w:rsid w:val="00505CD7"/>
    <w:rsid w:val="005066C9"/>
    <w:rsid w:val="00507334"/>
    <w:rsid w:val="00513812"/>
    <w:rsid w:val="005178FA"/>
    <w:rsid w:val="00520F82"/>
    <w:rsid w:val="00522122"/>
    <w:rsid w:val="00522380"/>
    <w:rsid w:val="00522C00"/>
    <w:rsid w:val="005266DF"/>
    <w:rsid w:val="005279A2"/>
    <w:rsid w:val="005324FA"/>
    <w:rsid w:val="005327DF"/>
    <w:rsid w:val="00534D3E"/>
    <w:rsid w:val="00534DA3"/>
    <w:rsid w:val="00535CE8"/>
    <w:rsid w:val="00542882"/>
    <w:rsid w:val="00542AD8"/>
    <w:rsid w:val="00542AE5"/>
    <w:rsid w:val="00543332"/>
    <w:rsid w:val="005466D9"/>
    <w:rsid w:val="00547A18"/>
    <w:rsid w:val="0055030E"/>
    <w:rsid w:val="00550FA8"/>
    <w:rsid w:val="00551586"/>
    <w:rsid w:val="00551F52"/>
    <w:rsid w:val="00552780"/>
    <w:rsid w:val="005548A6"/>
    <w:rsid w:val="00554D8F"/>
    <w:rsid w:val="00554E8C"/>
    <w:rsid w:val="00555536"/>
    <w:rsid w:val="0055665D"/>
    <w:rsid w:val="00557D08"/>
    <w:rsid w:val="005609AD"/>
    <w:rsid w:val="005612F2"/>
    <w:rsid w:val="0056405B"/>
    <w:rsid w:val="00564F10"/>
    <w:rsid w:val="0056686D"/>
    <w:rsid w:val="00567526"/>
    <w:rsid w:val="0056775E"/>
    <w:rsid w:val="00570109"/>
    <w:rsid w:val="00570323"/>
    <w:rsid w:val="00571D66"/>
    <w:rsid w:val="005776B5"/>
    <w:rsid w:val="00580BFD"/>
    <w:rsid w:val="00581AC4"/>
    <w:rsid w:val="00582B36"/>
    <w:rsid w:val="00587F56"/>
    <w:rsid w:val="00592377"/>
    <w:rsid w:val="005924E3"/>
    <w:rsid w:val="0059365D"/>
    <w:rsid w:val="00593CAF"/>
    <w:rsid w:val="00596926"/>
    <w:rsid w:val="00597A07"/>
    <w:rsid w:val="005A0C95"/>
    <w:rsid w:val="005A0FB1"/>
    <w:rsid w:val="005A1BE1"/>
    <w:rsid w:val="005A3DB0"/>
    <w:rsid w:val="005A56DD"/>
    <w:rsid w:val="005A7E9F"/>
    <w:rsid w:val="005B020B"/>
    <w:rsid w:val="005B1B19"/>
    <w:rsid w:val="005B2736"/>
    <w:rsid w:val="005B335A"/>
    <w:rsid w:val="005B403D"/>
    <w:rsid w:val="005B4973"/>
    <w:rsid w:val="005B4FBA"/>
    <w:rsid w:val="005B6956"/>
    <w:rsid w:val="005C0DCF"/>
    <w:rsid w:val="005C18B9"/>
    <w:rsid w:val="005C38D4"/>
    <w:rsid w:val="005C3AA9"/>
    <w:rsid w:val="005C3E37"/>
    <w:rsid w:val="005C4E27"/>
    <w:rsid w:val="005C51A4"/>
    <w:rsid w:val="005C6238"/>
    <w:rsid w:val="005D34B4"/>
    <w:rsid w:val="005D3602"/>
    <w:rsid w:val="005D5EFC"/>
    <w:rsid w:val="005E0D4B"/>
    <w:rsid w:val="005E112F"/>
    <w:rsid w:val="005E1400"/>
    <w:rsid w:val="005E1541"/>
    <w:rsid w:val="005E2494"/>
    <w:rsid w:val="005E29AC"/>
    <w:rsid w:val="005E2BC9"/>
    <w:rsid w:val="005E545F"/>
    <w:rsid w:val="005E6B66"/>
    <w:rsid w:val="005F2BCE"/>
    <w:rsid w:val="005F3FAB"/>
    <w:rsid w:val="005F4F06"/>
    <w:rsid w:val="005F50B3"/>
    <w:rsid w:val="005F6F6B"/>
    <w:rsid w:val="005F729E"/>
    <w:rsid w:val="005F756F"/>
    <w:rsid w:val="005F7FD7"/>
    <w:rsid w:val="005F7FDC"/>
    <w:rsid w:val="00600804"/>
    <w:rsid w:val="0060166B"/>
    <w:rsid w:val="00602F05"/>
    <w:rsid w:val="006101DC"/>
    <w:rsid w:val="006141A1"/>
    <w:rsid w:val="0061547E"/>
    <w:rsid w:val="0061565F"/>
    <w:rsid w:val="00617469"/>
    <w:rsid w:val="00617F9F"/>
    <w:rsid w:val="00620470"/>
    <w:rsid w:val="006211F3"/>
    <w:rsid w:val="00624357"/>
    <w:rsid w:val="00624FF2"/>
    <w:rsid w:val="00626E39"/>
    <w:rsid w:val="00631DA5"/>
    <w:rsid w:val="00631DC5"/>
    <w:rsid w:val="00634446"/>
    <w:rsid w:val="00636F02"/>
    <w:rsid w:val="006413BE"/>
    <w:rsid w:val="006422F2"/>
    <w:rsid w:val="00646C31"/>
    <w:rsid w:val="006506F8"/>
    <w:rsid w:val="006542AD"/>
    <w:rsid w:val="00660C83"/>
    <w:rsid w:val="00664B09"/>
    <w:rsid w:val="00665015"/>
    <w:rsid w:val="00665647"/>
    <w:rsid w:val="006662DB"/>
    <w:rsid w:val="0066656A"/>
    <w:rsid w:val="006671B3"/>
    <w:rsid w:val="00667FAD"/>
    <w:rsid w:val="006709B9"/>
    <w:rsid w:val="0067446C"/>
    <w:rsid w:val="00675D46"/>
    <w:rsid w:val="00680CCC"/>
    <w:rsid w:val="00681F5D"/>
    <w:rsid w:val="00682415"/>
    <w:rsid w:val="00682C64"/>
    <w:rsid w:val="00687A88"/>
    <w:rsid w:val="00690AD0"/>
    <w:rsid w:val="0069103E"/>
    <w:rsid w:val="006912E9"/>
    <w:rsid w:val="00692A36"/>
    <w:rsid w:val="006938F7"/>
    <w:rsid w:val="00693BEB"/>
    <w:rsid w:val="00695784"/>
    <w:rsid w:val="006971D3"/>
    <w:rsid w:val="006A0EEF"/>
    <w:rsid w:val="006A18D5"/>
    <w:rsid w:val="006A32C4"/>
    <w:rsid w:val="006A3951"/>
    <w:rsid w:val="006A4CE7"/>
    <w:rsid w:val="006A50C2"/>
    <w:rsid w:val="006A72F1"/>
    <w:rsid w:val="006B0424"/>
    <w:rsid w:val="006B07CA"/>
    <w:rsid w:val="006B11B4"/>
    <w:rsid w:val="006B21DB"/>
    <w:rsid w:val="006B330E"/>
    <w:rsid w:val="006B5B60"/>
    <w:rsid w:val="006B6212"/>
    <w:rsid w:val="006B6D40"/>
    <w:rsid w:val="006B70B6"/>
    <w:rsid w:val="006C1C06"/>
    <w:rsid w:val="006C440A"/>
    <w:rsid w:val="006C49C3"/>
    <w:rsid w:val="006C4ABE"/>
    <w:rsid w:val="006C6F0B"/>
    <w:rsid w:val="006C702C"/>
    <w:rsid w:val="006C704B"/>
    <w:rsid w:val="006C7501"/>
    <w:rsid w:val="006C7D21"/>
    <w:rsid w:val="006D020A"/>
    <w:rsid w:val="006D2B73"/>
    <w:rsid w:val="006D3EDF"/>
    <w:rsid w:val="006D4F07"/>
    <w:rsid w:val="006D761E"/>
    <w:rsid w:val="006E1715"/>
    <w:rsid w:val="006E4124"/>
    <w:rsid w:val="006E5950"/>
    <w:rsid w:val="006E5B52"/>
    <w:rsid w:val="006F2764"/>
    <w:rsid w:val="006F5756"/>
    <w:rsid w:val="006F6455"/>
    <w:rsid w:val="006F767C"/>
    <w:rsid w:val="00700345"/>
    <w:rsid w:val="00700410"/>
    <w:rsid w:val="00706C47"/>
    <w:rsid w:val="00710560"/>
    <w:rsid w:val="00711EA2"/>
    <w:rsid w:val="00717425"/>
    <w:rsid w:val="007200EE"/>
    <w:rsid w:val="007211E3"/>
    <w:rsid w:val="00721369"/>
    <w:rsid w:val="007219F1"/>
    <w:rsid w:val="00721AFD"/>
    <w:rsid w:val="00721D98"/>
    <w:rsid w:val="007238E1"/>
    <w:rsid w:val="007241FF"/>
    <w:rsid w:val="00724306"/>
    <w:rsid w:val="007273BA"/>
    <w:rsid w:val="00730EB6"/>
    <w:rsid w:val="0073191A"/>
    <w:rsid w:val="00732480"/>
    <w:rsid w:val="00732DFB"/>
    <w:rsid w:val="00732E77"/>
    <w:rsid w:val="00732F5E"/>
    <w:rsid w:val="007359E9"/>
    <w:rsid w:val="00736AC5"/>
    <w:rsid w:val="00736D92"/>
    <w:rsid w:val="00736FEA"/>
    <w:rsid w:val="00740FF5"/>
    <w:rsid w:val="00743E22"/>
    <w:rsid w:val="00744309"/>
    <w:rsid w:val="007446C8"/>
    <w:rsid w:val="00750CB5"/>
    <w:rsid w:val="00751242"/>
    <w:rsid w:val="00751AA2"/>
    <w:rsid w:val="007539F0"/>
    <w:rsid w:val="0075781C"/>
    <w:rsid w:val="00757874"/>
    <w:rsid w:val="00760145"/>
    <w:rsid w:val="0076180A"/>
    <w:rsid w:val="00763DD1"/>
    <w:rsid w:val="007663D1"/>
    <w:rsid w:val="00766635"/>
    <w:rsid w:val="00767924"/>
    <w:rsid w:val="00767B14"/>
    <w:rsid w:val="00771434"/>
    <w:rsid w:val="00772FCA"/>
    <w:rsid w:val="007747A1"/>
    <w:rsid w:val="00775AF0"/>
    <w:rsid w:val="00777418"/>
    <w:rsid w:val="00777654"/>
    <w:rsid w:val="00780393"/>
    <w:rsid w:val="00781459"/>
    <w:rsid w:val="00781BFA"/>
    <w:rsid w:val="00781FCF"/>
    <w:rsid w:val="00783196"/>
    <w:rsid w:val="00783C7B"/>
    <w:rsid w:val="00784C2F"/>
    <w:rsid w:val="00784FC9"/>
    <w:rsid w:val="00785261"/>
    <w:rsid w:val="0078619B"/>
    <w:rsid w:val="00786A09"/>
    <w:rsid w:val="00787BB0"/>
    <w:rsid w:val="00792135"/>
    <w:rsid w:val="00793AC3"/>
    <w:rsid w:val="00796390"/>
    <w:rsid w:val="007A34C6"/>
    <w:rsid w:val="007A4B09"/>
    <w:rsid w:val="007A5DCF"/>
    <w:rsid w:val="007A7B15"/>
    <w:rsid w:val="007A7BC4"/>
    <w:rsid w:val="007B0256"/>
    <w:rsid w:val="007B0EF0"/>
    <w:rsid w:val="007B404D"/>
    <w:rsid w:val="007B4A3C"/>
    <w:rsid w:val="007B5216"/>
    <w:rsid w:val="007B57AC"/>
    <w:rsid w:val="007B5E0C"/>
    <w:rsid w:val="007B6DFC"/>
    <w:rsid w:val="007B75B8"/>
    <w:rsid w:val="007B7D09"/>
    <w:rsid w:val="007C19D2"/>
    <w:rsid w:val="007C3817"/>
    <w:rsid w:val="007C3CB8"/>
    <w:rsid w:val="007C4BD7"/>
    <w:rsid w:val="007C6B49"/>
    <w:rsid w:val="007C74DF"/>
    <w:rsid w:val="007C7DE3"/>
    <w:rsid w:val="007D120F"/>
    <w:rsid w:val="007D146A"/>
    <w:rsid w:val="007D1617"/>
    <w:rsid w:val="007D1E28"/>
    <w:rsid w:val="007D30B2"/>
    <w:rsid w:val="007D5587"/>
    <w:rsid w:val="007D7157"/>
    <w:rsid w:val="007E069D"/>
    <w:rsid w:val="007E277D"/>
    <w:rsid w:val="007E38D5"/>
    <w:rsid w:val="007F04AD"/>
    <w:rsid w:val="007F0735"/>
    <w:rsid w:val="007F2BA6"/>
    <w:rsid w:val="007F56D7"/>
    <w:rsid w:val="007F7FD2"/>
    <w:rsid w:val="00800BBF"/>
    <w:rsid w:val="0080289D"/>
    <w:rsid w:val="00803534"/>
    <w:rsid w:val="00803CFF"/>
    <w:rsid w:val="008045C8"/>
    <w:rsid w:val="00806B77"/>
    <w:rsid w:val="00807CD3"/>
    <w:rsid w:val="00810310"/>
    <w:rsid w:val="00811759"/>
    <w:rsid w:val="00812015"/>
    <w:rsid w:val="00812272"/>
    <w:rsid w:val="00812720"/>
    <w:rsid w:val="00826382"/>
    <w:rsid w:val="00827B5C"/>
    <w:rsid w:val="008320D8"/>
    <w:rsid w:val="00832C36"/>
    <w:rsid w:val="00835367"/>
    <w:rsid w:val="00841513"/>
    <w:rsid w:val="00841FCC"/>
    <w:rsid w:val="00844BE5"/>
    <w:rsid w:val="008513E8"/>
    <w:rsid w:val="008546D7"/>
    <w:rsid w:val="00865370"/>
    <w:rsid w:val="008653D5"/>
    <w:rsid w:val="008655B6"/>
    <w:rsid w:val="00866079"/>
    <w:rsid w:val="00866D75"/>
    <w:rsid w:val="00871386"/>
    <w:rsid w:val="00873B16"/>
    <w:rsid w:val="008764C9"/>
    <w:rsid w:val="00876669"/>
    <w:rsid w:val="00880BD3"/>
    <w:rsid w:val="00886488"/>
    <w:rsid w:val="008949CF"/>
    <w:rsid w:val="00894ED9"/>
    <w:rsid w:val="0089654E"/>
    <w:rsid w:val="00897B27"/>
    <w:rsid w:val="008A38EB"/>
    <w:rsid w:val="008A43FD"/>
    <w:rsid w:val="008A4572"/>
    <w:rsid w:val="008B2317"/>
    <w:rsid w:val="008B438F"/>
    <w:rsid w:val="008B59D0"/>
    <w:rsid w:val="008B59DC"/>
    <w:rsid w:val="008B7587"/>
    <w:rsid w:val="008C0EE1"/>
    <w:rsid w:val="008C109D"/>
    <w:rsid w:val="008C43D5"/>
    <w:rsid w:val="008C4667"/>
    <w:rsid w:val="008C4D1A"/>
    <w:rsid w:val="008C4E6F"/>
    <w:rsid w:val="008C6A3E"/>
    <w:rsid w:val="008D068E"/>
    <w:rsid w:val="008D257E"/>
    <w:rsid w:val="008D4304"/>
    <w:rsid w:val="008D6F3E"/>
    <w:rsid w:val="008E1538"/>
    <w:rsid w:val="008E16CA"/>
    <w:rsid w:val="008E22B1"/>
    <w:rsid w:val="008E2575"/>
    <w:rsid w:val="008E2777"/>
    <w:rsid w:val="008E755E"/>
    <w:rsid w:val="008F5EA9"/>
    <w:rsid w:val="009030DE"/>
    <w:rsid w:val="009057E0"/>
    <w:rsid w:val="009073B0"/>
    <w:rsid w:val="00907A4B"/>
    <w:rsid w:val="00907C7E"/>
    <w:rsid w:val="00910C1B"/>
    <w:rsid w:val="0091142F"/>
    <w:rsid w:val="00912863"/>
    <w:rsid w:val="00912CE8"/>
    <w:rsid w:val="00913049"/>
    <w:rsid w:val="0091477F"/>
    <w:rsid w:val="00914CA4"/>
    <w:rsid w:val="009150D8"/>
    <w:rsid w:val="00921EF0"/>
    <w:rsid w:val="0092224B"/>
    <w:rsid w:val="009225F0"/>
    <w:rsid w:val="00923ED2"/>
    <w:rsid w:val="009247B1"/>
    <w:rsid w:val="009304A7"/>
    <w:rsid w:val="009312F7"/>
    <w:rsid w:val="00931BBE"/>
    <w:rsid w:val="00932AF9"/>
    <w:rsid w:val="009345B6"/>
    <w:rsid w:val="0093552F"/>
    <w:rsid w:val="0094041E"/>
    <w:rsid w:val="00941907"/>
    <w:rsid w:val="00942A8F"/>
    <w:rsid w:val="00945574"/>
    <w:rsid w:val="009462D3"/>
    <w:rsid w:val="00946909"/>
    <w:rsid w:val="00946A41"/>
    <w:rsid w:val="00950A70"/>
    <w:rsid w:val="009520B9"/>
    <w:rsid w:val="00952922"/>
    <w:rsid w:val="0095515B"/>
    <w:rsid w:val="0095656C"/>
    <w:rsid w:val="00957D49"/>
    <w:rsid w:val="00961338"/>
    <w:rsid w:val="00962CD0"/>
    <w:rsid w:val="00962E97"/>
    <w:rsid w:val="0096469B"/>
    <w:rsid w:val="009655D6"/>
    <w:rsid w:val="00972CB6"/>
    <w:rsid w:val="009738AA"/>
    <w:rsid w:val="00973C66"/>
    <w:rsid w:val="0097484B"/>
    <w:rsid w:val="00975A9C"/>
    <w:rsid w:val="009760EF"/>
    <w:rsid w:val="009777BA"/>
    <w:rsid w:val="00977D5A"/>
    <w:rsid w:val="00983783"/>
    <w:rsid w:val="00983912"/>
    <w:rsid w:val="00983DEC"/>
    <w:rsid w:val="009842AF"/>
    <w:rsid w:val="00986F36"/>
    <w:rsid w:val="00987F36"/>
    <w:rsid w:val="00990202"/>
    <w:rsid w:val="00990CBA"/>
    <w:rsid w:val="009A1888"/>
    <w:rsid w:val="009A1F0B"/>
    <w:rsid w:val="009A2EBD"/>
    <w:rsid w:val="009A5F07"/>
    <w:rsid w:val="009B219A"/>
    <w:rsid w:val="009B36FC"/>
    <w:rsid w:val="009B3F2F"/>
    <w:rsid w:val="009B4DFF"/>
    <w:rsid w:val="009B6234"/>
    <w:rsid w:val="009B6FEB"/>
    <w:rsid w:val="009C1AFB"/>
    <w:rsid w:val="009C37FA"/>
    <w:rsid w:val="009C3D08"/>
    <w:rsid w:val="009C4E19"/>
    <w:rsid w:val="009C51D5"/>
    <w:rsid w:val="009D02B3"/>
    <w:rsid w:val="009D0C66"/>
    <w:rsid w:val="009D0DB3"/>
    <w:rsid w:val="009D100A"/>
    <w:rsid w:val="009D1512"/>
    <w:rsid w:val="009D28B4"/>
    <w:rsid w:val="009D371B"/>
    <w:rsid w:val="009D3873"/>
    <w:rsid w:val="009E223C"/>
    <w:rsid w:val="009E3F40"/>
    <w:rsid w:val="009E5600"/>
    <w:rsid w:val="009E5F1F"/>
    <w:rsid w:val="009F049E"/>
    <w:rsid w:val="009F06CB"/>
    <w:rsid w:val="009F40DE"/>
    <w:rsid w:val="009F7A95"/>
    <w:rsid w:val="00A00CB8"/>
    <w:rsid w:val="00A01F44"/>
    <w:rsid w:val="00A02475"/>
    <w:rsid w:val="00A04E42"/>
    <w:rsid w:val="00A060CC"/>
    <w:rsid w:val="00A064D3"/>
    <w:rsid w:val="00A06632"/>
    <w:rsid w:val="00A06E1D"/>
    <w:rsid w:val="00A1727C"/>
    <w:rsid w:val="00A17AF1"/>
    <w:rsid w:val="00A22990"/>
    <w:rsid w:val="00A23622"/>
    <w:rsid w:val="00A237C8"/>
    <w:rsid w:val="00A23EB0"/>
    <w:rsid w:val="00A24D91"/>
    <w:rsid w:val="00A259A8"/>
    <w:rsid w:val="00A32087"/>
    <w:rsid w:val="00A328F3"/>
    <w:rsid w:val="00A41826"/>
    <w:rsid w:val="00A41A94"/>
    <w:rsid w:val="00A41DB0"/>
    <w:rsid w:val="00A42C47"/>
    <w:rsid w:val="00A44A2E"/>
    <w:rsid w:val="00A44AF9"/>
    <w:rsid w:val="00A455E6"/>
    <w:rsid w:val="00A47CBC"/>
    <w:rsid w:val="00A52B17"/>
    <w:rsid w:val="00A54E5E"/>
    <w:rsid w:val="00A56A68"/>
    <w:rsid w:val="00A56CE1"/>
    <w:rsid w:val="00A620E7"/>
    <w:rsid w:val="00A65EC3"/>
    <w:rsid w:val="00A65EF0"/>
    <w:rsid w:val="00A66029"/>
    <w:rsid w:val="00A6725A"/>
    <w:rsid w:val="00A676DB"/>
    <w:rsid w:val="00A71598"/>
    <w:rsid w:val="00A71BD2"/>
    <w:rsid w:val="00A7435B"/>
    <w:rsid w:val="00A74C31"/>
    <w:rsid w:val="00A74E87"/>
    <w:rsid w:val="00A81200"/>
    <w:rsid w:val="00A81B0E"/>
    <w:rsid w:val="00A86152"/>
    <w:rsid w:val="00A86DE0"/>
    <w:rsid w:val="00A87069"/>
    <w:rsid w:val="00A87D9C"/>
    <w:rsid w:val="00A90C99"/>
    <w:rsid w:val="00A91AD3"/>
    <w:rsid w:val="00A91FA7"/>
    <w:rsid w:val="00A9237D"/>
    <w:rsid w:val="00A92F56"/>
    <w:rsid w:val="00A931A9"/>
    <w:rsid w:val="00A933C9"/>
    <w:rsid w:val="00A93428"/>
    <w:rsid w:val="00A94446"/>
    <w:rsid w:val="00A94944"/>
    <w:rsid w:val="00A96331"/>
    <w:rsid w:val="00AA1876"/>
    <w:rsid w:val="00AA1CF1"/>
    <w:rsid w:val="00AA2248"/>
    <w:rsid w:val="00AA252F"/>
    <w:rsid w:val="00AA2E12"/>
    <w:rsid w:val="00AA2F3D"/>
    <w:rsid w:val="00AA44FB"/>
    <w:rsid w:val="00AA49CE"/>
    <w:rsid w:val="00AA4E2A"/>
    <w:rsid w:val="00AA69F9"/>
    <w:rsid w:val="00AA6ECF"/>
    <w:rsid w:val="00AB1B71"/>
    <w:rsid w:val="00AB4783"/>
    <w:rsid w:val="00AB7B65"/>
    <w:rsid w:val="00AC00EB"/>
    <w:rsid w:val="00AC13E1"/>
    <w:rsid w:val="00AC3FC8"/>
    <w:rsid w:val="00AC46AA"/>
    <w:rsid w:val="00AC50C6"/>
    <w:rsid w:val="00AC5ACA"/>
    <w:rsid w:val="00AC7002"/>
    <w:rsid w:val="00AC79AB"/>
    <w:rsid w:val="00AC7AC9"/>
    <w:rsid w:val="00AC7BE3"/>
    <w:rsid w:val="00AD0A43"/>
    <w:rsid w:val="00AD2C22"/>
    <w:rsid w:val="00AD2FC9"/>
    <w:rsid w:val="00AD61B6"/>
    <w:rsid w:val="00AD65FE"/>
    <w:rsid w:val="00AD67EE"/>
    <w:rsid w:val="00AD768C"/>
    <w:rsid w:val="00AE2282"/>
    <w:rsid w:val="00AE4A87"/>
    <w:rsid w:val="00AE5656"/>
    <w:rsid w:val="00AE75D2"/>
    <w:rsid w:val="00AF0296"/>
    <w:rsid w:val="00AF157A"/>
    <w:rsid w:val="00AF3CBD"/>
    <w:rsid w:val="00AF460A"/>
    <w:rsid w:val="00B01595"/>
    <w:rsid w:val="00B03E1A"/>
    <w:rsid w:val="00B03F47"/>
    <w:rsid w:val="00B04B6B"/>
    <w:rsid w:val="00B05A14"/>
    <w:rsid w:val="00B063B9"/>
    <w:rsid w:val="00B06490"/>
    <w:rsid w:val="00B067A0"/>
    <w:rsid w:val="00B1032D"/>
    <w:rsid w:val="00B11DA9"/>
    <w:rsid w:val="00B1295A"/>
    <w:rsid w:val="00B152E2"/>
    <w:rsid w:val="00B1601C"/>
    <w:rsid w:val="00B161DB"/>
    <w:rsid w:val="00B16394"/>
    <w:rsid w:val="00B16DFD"/>
    <w:rsid w:val="00B17187"/>
    <w:rsid w:val="00B21123"/>
    <w:rsid w:val="00B21770"/>
    <w:rsid w:val="00B22298"/>
    <w:rsid w:val="00B240BF"/>
    <w:rsid w:val="00B244D7"/>
    <w:rsid w:val="00B257B0"/>
    <w:rsid w:val="00B263DE"/>
    <w:rsid w:val="00B26649"/>
    <w:rsid w:val="00B30973"/>
    <w:rsid w:val="00B340FE"/>
    <w:rsid w:val="00B3664B"/>
    <w:rsid w:val="00B36CA8"/>
    <w:rsid w:val="00B47E90"/>
    <w:rsid w:val="00B51751"/>
    <w:rsid w:val="00B53AF0"/>
    <w:rsid w:val="00B54D7C"/>
    <w:rsid w:val="00B57DBB"/>
    <w:rsid w:val="00B60F96"/>
    <w:rsid w:val="00B615ED"/>
    <w:rsid w:val="00B63E04"/>
    <w:rsid w:val="00B63F16"/>
    <w:rsid w:val="00B6477C"/>
    <w:rsid w:val="00B648AF"/>
    <w:rsid w:val="00B65D72"/>
    <w:rsid w:val="00B70170"/>
    <w:rsid w:val="00B71188"/>
    <w:rsid w:val="00B728A6"/>
    <w:rsid w:val="00B74902"/>
    <w:rsid w:val="00B751F2"/>
    <w:rsid w:val="00B757C6"/>
    <w:rsid w:val="00B768CB"/>
    <w:rsid w:val="00B8043C"/>
    <w:rsid w:val="00B83F15"/>
    <w:rsid w:val="00B91943"/>
    <w:rsid w:val="00B91AA5"/>
    <w:rsid w:val="00B92E5C"/>
    <w:rsid w:val="00B94672"/>
    <w:rsid w:val="00B94C49"/>
    <w:rsid w:val="00B9506E"/>
    <w:rsid w:val="00B95ACC"/>
    <w:rsid w:val="00B97CDD"/>
    <w:rsid w:val="00B97FC6"/>
    <w:rsid w:val="00BA1E1B"/>
    <w:rsid w:val="00BA2DB9"/>
    <w:rsid w:val="00BA5524"/>
    <w:rsid w:val="00BA7A8B"/>
    <w:rsid w:val="00BB4F46"/>
    <w:rsid w:val="00BB72E0"/>
    <w:rsid w:val="00BB7C3E"/>
    <w:rsid w:val="00BC2AD2"/>
    <w:rsid w:val="00BC3EF9"/>
    <w:rsid w:val="00BC6955"/>
    <w:rsid w:val="00BD2607"/>
    <w:rsid w:val="00BD3EE3"/>
    <w:rsid w:val="00BD4175"/>
    <w:rsid w:val="00BD426C"/>
    <w:rsid w:val="00BE00A8"/>
    <w:rsid w:val="00BE0B4D"/>
    <w:rsid w:val="00BE2A81"/>
    <w:rsid w:val="00BE5592"/>
    <w:rsid w:val="00BE632A"/>
    <w:rsid w:val="00BE66DF"/>
    <w:rsid w:val="00BE7148"/>
    <w:rsid w:val="00BE749B"/>
    <w:rsid w:val="00BE7894"/>
    <w:rsid w:val="00BE7907"/>
    <w:rsid w:val="00BF1176"/>
    <w:rsid w:val="00BF2F3C"/>
    <w:rsid w:val="00BF3C5A"/>
    <w:rsid w:val="00BF3D38"/>
    <w:rsid w:val="00BF4085"/>
    <w:rsid w:val="00BF4836"/>
    <w:rsid w:val="00BF4BA3"/>
    <w:rsid w:val="00BF7982"/>
    <w:rsid w:val="00C0107E"/>
    <w:rsid w:val="00C024DD"/>
    <w:rsid w:val="00C02F7C"/>
    <w:rsid w:val="00C04944"/>
    <w:rsid w:val="00C066C4"/>
    <w:rsid w:val="00C075E5"/>
    <w:rsid w:val="00C10534"/>
    <w:rsid w:val="00C11EF0"/>
    <w:rsid w:val="00C1543D"/>
    <w:rsid w:val="00C20B33"/>
    <w:rsid w:val="00C213EA"/>
    <w:rsid w:val="00C22912"/>
    <w:rsid w:val="00C26626"/>
    <w:rsid w:val="00C275A8"/>
    <w:rsid w:val="00C275C1"/>
    <w:rsid w:val="00C302B3"/>
    <w:rsid w:val="00C335AB"/>
    <w:rsid w:val="00C34766"/>
    <w:rsid w:val="00C3501B"/>
    <w:rsid w:val="00C354E4"/>
    <w:rsid w:val="00C36026"/>
    <w:rsid w:val="00C36D8F"/>
    <w:rsid w:val="00C3700E"/>
    <w:rsid w:val="00C40ED8"/>
    <w:rsid w:val="00C43173"/>
    <w:rsid w:val="00C4439E"/>
    <w:rsid w:val="00C44A2E"/>
    <w:rsid w:val="00C46E73"/>
    <w:rsid w:val="00C53869"/>
    <w:rsid w:val="00C547F4"/>
    <w:rsid w:val="00C5486C"/>
    <w:rsid w:val="00C55053"/>
    <w:rsid w:val="00C551F7"/>
    <w:rsid w:val="00C55CDA"/>
    <w:rsid w:val="00C55D38"/>
    <w:rsid w:val="00C56C2D"/>
    <w:rsid w:val="00C57D2C"/>
    <w:rsid w:val="00C60255"/>
    <w:rsid w:val="00C62179"/>
    <w:rsid w:val="00C63CE9"/>
    <w:rsid w:val="00C6412F"/>
    <w:rsid w:val="00C72741"/>
    <w:rsid w:val="00C730D2"/>
    <w:rsid w:val="00C735D7"/>
    <w:rsid w:val="00C73D5F"/>
    <w:rsid w:val="00C73DC6"/>
    <w:rsid w:val="00C74EC7"/>
    <w:rsid w:val="00C7721A"/>
    <w:rsid w:val="00C77E74"/>
    <w:rsid w:val="00C818C3"/>
    <w:rsid w:val="00C8367E"/>
    <w:rsid w:val="00C84A76"/>
    <w:rsid w:val="00C85DEA"/>
    <w:rsid w:val="00C877B0"/>
    <w:rsid w:val="00C9094B"/>
    <w:rsid w:val="00C926D8"/>
    <w:rsid w:val="00C95C38"/>
    <w:rsid w:val="00C97111"/>
    <w:rsid w:val="00CA17CA"/>
    <w:rsid w:val="00CA3F9C"/>
    <w:rsid w:val="00CA750C"/>
    <w:rsid w:val="00CB006E"/>
    <w:rsid w:val="00CB0909"/>
    <w:rsid w:val="00CB2072"/>
    <w:rsid w:val="00CB4312"/>
    <w:rsid w:val="00CB4BE0"/>
    <w:rsid w:val="00CC4AC3"/>
    <w:rsid w:val="00CC601F"/>
    <w:rsid w:val="00CC6668"/>
    <w:rsid w:val="00CC728A"/>
    <w:rsid w:val="00CC7A22"/>
    <w:rsid w:val="00CD0FC5"/>
    <w:rsid w:val="00CD1511"/>
    <w:rsid w:val="00CD197F"/>
    <w:rsid w:val="00CD1DF2"/>
    <w:rsid w:val="00CD3569"/>
    <w:rsid w:val="00CD4060"/>
    <w:rsid w:val="00CD4522"/>
    <w:rsid w:val="00CD4D3E"/>
    <w:rsid w:val="00CD5552"/>
    <w:rsid w:val="00CE023D"/>
    <w:rsid w:val="00CE0F23"/>
    <w:rsid w:val="00CE0F6D"/>
    <w:rsid w:val="00CE3A41"/>
    <w:rsid w:val="00CE4FF9"/>
    <w:rsid w:val="00CE525C"/>
    <w:rsid w:val="00CE68B0"/>
    <w:rsid w:val="00CE7F16"/>
    <w:rsid w:val="00CF0C87"/>
    <w:rsid w:val="00CF0E6E"/>
    <w:rsid w:val="00CF2B1D"/>
    <w:rsid w:val="00CF4628"/>
    <w:rsid w:val="00CF478A"/>
    <w:rsid w:val="00CF6067"/>
    <w:rsid w:val="00CF63DF"/>
    <w:rsid w:val="00CF7483"/>
    <w:rsid w:val="00D00437"/>
    <w:rsid w:val="00D0133A"/>
    <w:rsid w:val="00D01B44"/>
    <w:rsid w:val="00D02946"/>
    <w:rsid w:val="00D02E68"/>
    <w:rsid w:val="00D042E1"/>
    <w:rsid w:val="00D04D65"/>
    <w:rsid w:val="00D05D55"/>
    <w:rsid w:val="00D06694"/>
    <w:rsid w:val="00D06CC6"/>
    <w:rsid w:val="00D07381"/>
    <w:rsid w:val="00D07931"/>
    <w:rsid w:val="00D07AF3"/>
    <w:rsid w:val="00D1176E"/>
    <w:rsid w:val="00D15414"/>
    <w:rsid w:val="00D165FB"/>
    <w:rsid w:val="00D21C3B"/>
    <w:rsid w:val="00D220DB"/>
    <w:rsid w:val="00D23D27"/>
    <w:rsid w:val="00D31782"/>
    <w:rsid w:val="00D333A8"/>
    <w:rsid w:val="00D35246"/>
    <w:rsid w:val="00D36A7C"/>
    <w:rsid w:val="00D374B2"/>
    <w:rsid w:val="00D37564"/>
    <w:rsid w:val="00D375ED"/>
    <w:rsid w:val="00D403B3"/>
    <w:rsid w:val="00D404DE"/>
    <w:rsid w:val="00D408E0"/>
    <w:rsid w:val="00D41351"/>
    <w:rsid w:val="00D42873"/>
    <w:rsid w:val="00D43151"/>
    <w:rsid w:val="00D45B57"/>
    <w:rsid w:val="00D46720"/>
    <w:rsid w:val="00D46F03"/>
    <w:rsid w:val="00D471CA"/>
    <w:rsid w:val="00D47ECB"/>
    <w:rsid w:val="00D512D9"/>
    <w:rsid w:val="00D54842"/>
    <w:rsid w:val="00D574C0"/>
    <w:rsid w:val="00D60B60"/>
    <w:rsid w:val="00D61844"/>
    <w:rsid w:val="00D61ED2"/>
    <w:rsid w:val="00D63491"/>
    <w:rsid w:val="00D66728"/>
    <w:rsid w:val="00D6708E"/>
    <w:rsid w:val="00D708F5"/>
    <w:rsid w:val="00D74664"/>
    <w:rsid w:val="00D74CFF"/>
    <w:rsid w:val="00D75293"/>
    <w:rsid w:val="00D7558A"/>
    <w:rsid w:val="00D755F1"/>
    <w:rsid w:val="00D76737"/>
    <w:rsid w:val="00D76CF6"/>
    <w:rsid w:val="00D778F1"/>
    <w:rsid w:val="00D77FFC"/>
    <w:rsid w:val="00D85CEE"/>
    <w:rsid w:val="00D866F3"/>
    <w:rsid w:val="00D941A3"/>
    <w:rsid w:val="00D951E6"/>
    <w:rsid w:val="00D95AC0"/>
    <w:rsid w:val="00D95BFF"/>
    <w:rsid w:val="00D971A4"/>
    <w:rsid w:val="00DA12AA"/>
    <w:rsid w:val="00DA1F62"/>
    <w:rsid w:val="00DA7E36"/>
    <w:rsid w:val="00DB3DDE"/>
    <w:rsid w:val="00DB4129"/>
    <w:rsid w:val="00DB61D9"/>
    <w:rsid w:val="00DB7098"/>
    <w:rsid w:val="00DB710E"/>
    <w:rsid w:val="00DC0084"/>
    <w:rsid w:val="00DC0FB2"/>
    <w:rsid w:val="00DC1418"/>
    <w:rsid w:val="00DC1A5F"/>
    <w:rsid w:val="00DC2F07"/>
    <w:rsid w:val="00DC32F9"/>
    <w:rsid w:val="00DC3707"/>
    <w:rsid w:val="00DC3C84"/>
    <w:rsid w:val="00DC3EC3"/>
    <w:rsid w:val="00DC5063"/>
    <w:rsid w:val="00DC60EE"/>
    <w:rsid w:val="00DC6DD3"/>
    <w:rsid w:val="00DD2395"/>
    <w:rsid w:val="00DE236A"/>
    <w:rsid w:val="00DE358B"/>
    <w:rsid w:val="00DE3B2A"/>
    <w:rsid w:val="00DE4DA5"/>
    <w:rsid w:val="00DE6CEE"/>
    <w:rsid w:val="00DF0748"/>
    <w:rsid w:val="00DF2001"/>
    <w:rsid w:val="00DF72AA"/>
    <w:rsid w:val="00E00CCA"/>
    <w:rsid w:val="00E0189A"/>
    <w:rsid w:val="00E027BB"/>
    <w:rsid w:val="00E04268"/>
    <w:rsid w:val="00E05B62"/>
    <w:rsid w:val="00E0658A"/>
    <w:rsid w:val="00E06EAD"/>
    <w:rsid w:val="00E10478"/>
    <w:rsid w:val="00E10BB1"/>
    <w:rsid w:val="00E1139F"/>
    <w:rsid w:val="00E1507B"/>
    <w:rsid w:val="00E15AE7"/>
    <w:rsid w:val="00E15F05"/>
    <w:rsid w:val="00E20201"/>
    <w:rsid w:val="00E229C3"/>
    <w:rsid w:val="00E22DE1"/>
    <w:rsid w:val="00E23F3A"/>
    <w:rsid w:val="00E252C9"/>
    <w:rsid w:val="00E2534B"/>
    <w:rsid w:val="00E27220"/>
    <w:rsid w:val="00E275DC"/>
    <w:rsid w:val="00E27807"/>
    <w:rsid w:val="00E30468"/>
    <w:rsid w:val="00E306D6"/>
    <w:rsid w:val="00E32435"/>
    <w:rsid w:val="00E3483C"/>
    <w:rsid w:val="00E35DD0"/>
    <w:rsid w:val="00E35F5A"/>
    <w:rsid w:val="00E409E2"/>
    <w:rsid w:val="00E41D22"/>
    <w:rsid w:val="00E43E79"/>
    <w:rsid w:val="00E45ADB"/>
    <w:rsid w:val="00E45E68"/>
    <w:rsid w:val="00E505FD"/>
    <w:rsid w:val="00E50A2D"/>
    <w:rsid w:val="00E5305D"/>
    <w:rsid w:val="00E53990"/>
    <w:rsid w:val="00E53BCA"/>
    <w:rsid w:val="00E554AD"/>
    <w:rsid w:val="00E5579E"/>
    <w:rsid w:val="00E654D1"/>
    <w:rsid w:val="00E6690D"/>
    <w:rsid w:val="00E6709A"/>
    <w:rsid w:val="00E67C5A"/>
    <w:rsid w:val="00E71FBE"/>
    <w:rsid w:val="00E7224E"/>
    <w:rsid w:val="00E77341"/>
    <w:rsid w:val="00E820E5"/>
    <w:rsid w:val="00E82597"/>
    <w:rsid w:val="00E830E7"/>
    <w:rsid w:val="00E8519E"/>
    <w:rsid w:val="00E851E5"/>
    <w:rsid w:val="00E92003"/>
    <w:rsid w:val="00E922D9"/>
    <w:rsid w:val="00E92602"/>
    <w:rsid w:val="00E92F86"/>
    <w:rsid w:val="00E9313B"/>
    <w:rsid w:val="00E93D6A"/>
    <w:rsid w:val="00E9680B"/>
    <w:rsid w:val="00E969DA"/>
    <w:rsid w:val="00E96B0A"/>
    <w:rsid w:val="00EA0B97"/>
    <w:rsid w:val="00EA1F04"/>
    <w:rsid w:val="00EA2481"/>
    <w:rsid w:val="00EA5A79"/>
    <w:rsid w:val="00EA5C49"/>
    <w:rsid w:val="00EA63B4"/>
    <w:rsid w:val="00EA7211"/>
    <w:rsid w:val="00EB34ED"/>
    <w:rsid w:val="00EB4460"/>
    <w:rsid w:val="00EB63DD"/>
    <w:rsid w:val="00EC00C1"/>
    <w:rsid w:val="00EC1A16"/>
    <w:rsid w:val="00EC5286"/>
    <w:rsid w:val="00EC726F"/>
    <w:rsid w:val="00EC771A"/>
    <w:rsid w:val="00EC7734"/>
    <w:rsid w:val="00ED49C7"/>
    <w:rsid w:val="00ED4EE8"/>
    <w:rsid w:val="00ED5E73"/>
    <w:rsid w:val="00ED6099"/>
    <w:rsid w:val="00ED659C"/>
    <w:rsid w:val="00EE085F"/>
    <w:rsid w:val="00EE20E7"/>
    <w:rsid w:val="00EE234A"/>
    <w:rsid w:val="00EE23F5"/>
    <w:rsid w:val="00EE405A"/>
    <w:rsid w:val="00EE4B63"/>
    <w:rsid w:val="00EE54E1"/>
    <w:rsid w:val="00EE7048"/>
    <w:rsid w:val="00EE7942"/>
    <w:rsid w:val="00EF62D3"/>
    <w:rsid w:val="00EF68DB"/>
    <w:rsid w:val="00EF7124"/>
    <w:rsid w:val="00F01101"/>
    <w:rsid w:val="00F02B4F"/>
    <w:rsid w:val="00F04FCF"/>
    <w:rsid w:val="00F07070"/>
    <w:rsid w:val="00F102FE"/>
    <w:rsid w:val="00F10ADE"/>
    <w:rsid w:val="00F110B3"/>
    <w:rsid w:val="00F11557"/>
    <w:rsid w:val="00F12308"/>
    <w:rsid w:val="00F12770"/>
    <w:rsid w:val="00F14077"/>
    <w:rsid w:val="00F1595B"/>
    <w:rsid w:val="00F15D81"/>
    <w:rsid w:val="00F2760C"/>
    <w:rsid w:val="00F27CC4"/>
    <w:rsid w:val="00F31549"/>
    <w:rsid w:val="00F3259D"/>
    <w:rsid w:val="00F329A9"/>
    <w:rsid w:val="00F3405C"/>
    <w:rsid w:val="00F42ABA"/>
    <w:rsid w:val="00F451CF"/>
    <w:rsid w:val="00F4561E"/>
    <w:rsid w:val="00F45F2F"/>
    <w:rsid w:val="00F460F5"/>
    <w:rsid w:val="00F471C7"/>
    <w:rsid w:val="00F471DF"/>
    <w:rsid w:val="00F50008"/>
    <w:rsid w:val="00F53A14"/>
    <w:rsid w:val="00F53FE6"/>
    <w:rsid w:val="00F5510C"/>
    <w:rsid w:val="00F567D4"/>
    <w:rsid w:val="00F579F3"/>
    <w:rsid w:val="00F57B26"/>
    <w:rsid w:val="00F57D44"/>
    <w:rsid w:val="00F63AC0"/>
    <w:rsid w:val="00F64932"/>
    <w:rsid w:val="00F649DB"/>
    <w:rsid w:val="00F65CDE"/>
    <w:rsid w:val="00F66B4A"/>
    <w:rsid w:val="00F6726F"/>
    <w:rsid w:val="00F67B4A"/>
    <w:rsid w:val="00F7427E"/>
    <w:rsid w:val="00F8218E"/>
    <w:rsid w:val="00F826D4"/>
    <w:rsid w:val="00F86A4F"/>
    <w:rsid w:val="00F86CA6"/>
    <w:rsid w:val="00F87B09"/>
    <w:rsid w:val="00F90E6E"/>
    <w:rsid w:val="00F92261"/>
    <w:rsid w:val="00F92AAC"/>
    <w:rsid w:val="00F948BF"/>
    <w:rsid w:val="00F9524D"/>
    <w:rsid w:val="00F95600"/>
    <w:rsid w:val="00F958F1"/>
    <w:rsid w:val="00F95B6F"/>
    <w:rsid w:val="00F965F3"/>
    <w:rsid w:val="00F96E1E"/>
    <w:rsid w:val="00F97AA2"/>
    <w:rsid w:val="00FA03A0"/>
    <w:rsid w:val="00FA1437"/>
    <w:rsid w:val="00FA20A3"/>
    <w:rsid w:val="00FA2E30"/>
    <w:rsid w:val="00FA4144"/>
    <w:rsid w:val="00FA5CA9"/>
    <w:rsid w:val="00FA61D7"/>
    <w:rsid w:val="00FA73EE"/>
    <w:rsid w:val="00FB02AD"/>
    <w:rsid w:val="00FB3E28"/>
    <w:rsid w:val="00FB4901"/>
    <w:rsid w:val="00FB5514"/>
    <w:rsid w:val="00FC27B6"/>
    <w:rsid w:val="00FC2DE2"/>
    <w:rsid w:val="00FC37CC"/>
    <w:rsid w:val="00FC4C15"/>
    <w:rsid w:val="00FC520E"/>
    <w:rsid w:val="00FC54BF"/>
    <w:rsid w:val="00FC5E27"/>
    <w:rsid w:val="00FD0303"/>
    <w:rsid w:val="00FD354A"/>
    <w:rsid w:val="00FD5331"/>
    <w:rsid w:val="00FE0315"/>
    <w:rsid w:val="00FE6310"/>
    <w:rsid w:val="00FE6368"/>
    <w:rsid w:val="00FE7C58"/>
    <w:rsid w:val="00FE7E84"/>
    <w:rsid w:val="00FF018D"/>
    <w:rsid w:val="00FF0194"/>
    <w:rsid w:val="00FF0A9B"/>
    <w:rsid w:val="00FF38F8"/>
    <w:rsid w:val="00FF3A7D"/>
    <w:rsid w:val="00FF4661"/>
    <w:rsid w:val="00FF470D"/>
    <w:rsid w:val="00FF4883"/>
    <w:rsid w:val="00FF5DE8"/>
    <w:rsid w:val="00FF62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F1"/>
    <w:pPr>
      <w:spacing w:line="288" w:lineRule="auto"/>
    </w:pPr>
    <w:rPr>
      <w:rFonts w:ascii="Arial" w:eastAsiaTheme="minorEastAsia" w:hAnsi="Arial"/>
      <w:szCs w:val="24"/>
      <w:lang w:val="en-US"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3E6AF5"/>
    <w:pPr>
      <w:numPr>
        <w:numId w:val="2"/>
      </w:numPr>
      <w:spacing w:before="200" w:after="240"/>
      <w:ind w:left="709" w:hanging="709"/>
      <w:outlineLvl w:val="1"/>
    </w:pPr>
    <w:rPr>
      <w:rFonts w:eastAsiaTheme="majorEastAsia" w:cstheme="majorBidi"/>
      <w:b/>
      <w:bCs/>
      <w:color w:val="6A2875"/>
      <w:sz w:val="44"/>
      <w:szCs w:val="26"/>
    </w:rPr>
  </w:style>
  <w:style w:type="paragraph" w:styleId="Heading3">
    <w:name w:val="heading 3"/>
    <w:basedOn w:val="Normal"/>
    <w:next w:val="Normal"/>
    <w:link w:val="Heading3Char"/>
    <w:uiPriority w:val="9"/>
    <w:unhideWhenUsed/>
    <w:qFormat/>
    <w:rsid w:val="0012734F"/>
    <w:pPr>
      <w:numPr>
        <w:ilvl w:val="1"/>
        <w:numId w:val="2"/>
      </w:numPr>
      <w:outlineLvl w:val="2"/>
    </w:pPr>
    <w:rPr>
      <w:b/>
      <w:color w:val="6A2875"/>
      <w:sz w:val="30"/>
      <w:szCs w:val="30"/>
      <w:lang w:val="en-AU"/>
    </w:rPr>
  </w:style>
  <w:style w:type="paragraph" w:styleId="Heading4">
    <w:name w:val="heading 4"/>
    <w:basedOn w:val="Normal"/>
    <w:next w:val="Normal"/>
    <w:link w:val="Heading4Char"/>
    <w:uiPriority w:val="9"/>
    <w:unhideWhenUsed/>
    <w:qFormat/>
    <w:rsid w:val="00E27220"/>
    <w:pPr>
      <w:numPr>
        <w:ilvl w:val="2"/>
        <w:numId w:val="2"/>
      </w:numPr>
      <w:spacing w:after="120"/>
      <w:outlineLvl w:val="3"/>
    </w:pPr>
    <w:rPr>
      <w:b/>
      <w:sz w:val="24"/>
    </w:rPr>
  </w:style>
  <w:style w:type="paragraph" w:styleId="Heading5">
    <w:name w:val="heading 5"/>
    <w:basedOn w:val="Normal"/>
    <w:next w:val="Normal"/>
    <w:link w:val="Heading5Char"/>
    <w:uiPriority w:val="9"/>
    <w:unhideWhenUsed/>
    <w:qFormat/>
    <w:rsid w:val="004D32B5"/>
    <w:pPr>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3E6AF5"/>
    <w:rPr>
      <w:rFonts w:ascii="Arial" w:eastAsiaTheme="majorEastAsia" w:hAnsi="Arial" w:cstheme="majorBidi"/>
      <w:b/>
      <w:bCs/>
      <w:color w:val="6A2875"/>
      <w:sz w:val="44"/>
      <w:szCs w:val="26"/>
      <w:lang w:val="en-US"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12734F"/>
    <w:rPr>
      <w:rFonts w:ascii="Arial" w:eastAsiaTheme="minorEastAsia" w:hAnsi="Arial"/>
      <w:b/>
      <w:color w:val="6A2875"/>
      <w:sz w:val="30"/>
      <w:szCs w:val="30"/>
      <w:lang w:eastAsia="ja-JP"/>
    </w:rPr>
  </w:style>
  <w:style w:type="character" w:customStyle="1" w:styleId="Heading4Char">
    <w:name w:val="Heading 4 Char"/>
    <w:basedOn w:val="DefaultParagraphFont"/>
    <w:link w:val="Heading4"/>
    <w:uiPriority w:val="9"/>
    <w:rsid w:val="00E27220"/>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1,List Paragraph11,Recommendation"/>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link w:val="CaptionChar"/>
    <w:unhideWhenUsed/>
    <w:qFormat/>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paragraph" w:customStyle="1" w:styleId="BodyText1">
    <w:name w:val="Body Text1"/>
    <w:basedOn w:val="Normal"/>
    <w:uiPriority w:val="99"/>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F95B6F"/>
    <w:pPr>
      <w:numPr>
        <w:numId w:val="33"/>
      </w:numPr>
      <w:pBdr>
        <w:top w:val="single" w:sz="4" w:space="1" w:color="auto"/>
        <w:left w:val="single" w:sz="4" w:space="1" w:color="auto"/>
        <w:bottom w:val="single" w:sz="4" w:space="1" w:color="auto"/>
        <w:right w:val="single" w:sz="4" w:space="1" w:color="auto"/>
      </w:pBdr>
      <w:shd w:val="clear" w:color="auto" w:fill="F2F2F2" w:themeFill="background1" w:themeFillShade="F2"/>
      <w:spacing w:before="120" w:line="240" w:lineRule="auto"/>
    </w:pPr>
    <w:rPr>
      <w:rFonts w:cs="Arial"/>
      <w:spacing w:val="-3"/>
      <w:kern w:val="1"/>
      <w:szCs w:val="20"/>
      <w:lang w:val="en-GB" w:eastAsia="en-US"/>
    </w:rPr>
  </w:style>
  <w:style w:type="paragraph" w:styleId="TOC1">
    <w:name w:val="toc 1"/>
    <w:basedOn w:val="Normal"/>
    <w:next w:val="Normal"/>
    <w:autoRedefine/>
    <w:uiPriority w:val="39"/>
    <w:unhideWhenUsed/>
    <w:qFormat/>
    <w:rsid w:val="0040062A"/>
    <w:pPr>
      <w:spacing w:after="100"/>
    </w:pPr>
  </w:style>
  <w:style w:type="paragraph" w:styleId="TOC2">
    <w:name w:val="toc 2"/>
    <w:basedOn w:val="Normal"/>
    <w:next w:val="Normal"/>
    <w:autoRedefine/>
    <w:uiPriority w:val="39"/>
    <w:unhideWhenUsed/>
    <w:qFormat/>
    <w:rsid w:val="0040062A"/>
    <w:pPr>
      <w:spacing w:after="100"/>
      <w:ind w:left="220"/>
    </w:pPr>
  </w:style>
  <w:style w:type="paragraph" w:styleId="TOC3">
    <w:name w:val="toc 3"/>
    <w:basedOn w:val="Normal"/>
    <w:next w:val="Normal"/>
    <w:autoRedefine/>
    <w:uiPriority w:val="39"/>
    <w:unhideWhenUsed/>
    <w:qFormat/>
    <w:rsid w:val="0040062A"/>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table" w:styleId="TableGrid">
    <w:name w:val="Table Grid"/>
    <w:basedOn w:val="TableNormal"/>
    <w:uiPriority w:val="39"/>
    <w:rsid w:val="00205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bullet">
    <w:name w:val="CV bullet"/>
    <w:basedOn w:val="Normal"/>
    <w:qFormat/>
    <w:rsid w:val="002051D2"/>
    <w:pPr>
      <w:numPr>
        <w:numId w:val="5"/>
      </w:numPr>
      <w:spacing w:before="120" w:after="60" w:line="240" w:lineRule="auto"/>
    </w:pPr>
    <w:rPr>
      <w:rFonts w:ascii="Calibri" w:hAnsi="Calibri"/>
      <w:sz w:val="20"/>
      <w:szCs w:val="22"/>
      <w:lang w:val="en-AU" w:eastAsia="en-AU"/>
    </w:rPr>
  </w:style>
  <w:style w:type="character" w:customStyle="1" w:styleId="CaptionChar">
    <w:name w:val="Caption Char"/>
    <w:basedOn w:val="DefaultParagraphFont"/>
    <w:link w:val="Caption"/>
    <w:rsid w:val="00DC2F07"/>
    <w:rPr>
      <w:rFonts w:ascii="Arial" w:eastAsiaTheme="minorEastAsia" w:hAnsi="Arial"/>
      <w:b/>
      <w:bCs/>
      <w:caps/>
      <w:sz w:val="16"/>
      <w:szCs w:val="18"/>
      <w:lang w:val="en-US" w:eastAsia="ja-JP"/>
    </w:rPr>
  </w:style>
  <w:style w:type="paragraph" w:styleId="FootnoteText">
    <w:name w:val="footnote text"/>
    <w:basedOn w:val="Normal"/>
    <w:link w:val="FootnoteTextChar"/>
    <w:uiPriority w:val="99"/>
    <w:semiHidden/>
    <w:unhideWhenUsed/>
    <w:rsid w:val="00665647"/>
    <w:pPr>
      <w:spacing w:after="0" w:line="240" w:lineRule="auto"/>
    </w:pPr>
    <w:rPr>
      <w:rFonts w:asciiTheme="minorHAnsi" w:eastAsia="Times New Roman" w:hAnsiTheme="minorHAnsi" w:cs="Times New Roman"/>
      <w:sz w:val="20"/>
      <w:szCs w:val="20"/>
      <w:lang w:val="en-AU" w:eastAsia="en-AU"/>
    </w:rPr>
  </w:style>
  <w:style w:type="character" w:customStyle="1" w:styleId="FootnoteTextChar">
    <w:name w:val="Footnote Text Char"/>
    <w:basedOn w:val="DefaultParagraphFont"/>
    <w:link w:val="FootnoteText"/>
    <w:uiPriority w:val="99"/>
    <w:semiHidden/>
    <w:rsid w:val="00665647"/>
    <w:rPr>
      <w:rFonts w:eastAsia="Times New Roman" w:cs="Times New Roman"/>
      <w:sz w:val="20"/>
      <w:szCs w:val="20"/>
      <w:lang w:eastAsia="en-AU"/>
    </w:rPr>
  </w:style>
  <w:style w:type="character" w:styleId="FootnoteReference">
    <w:name w:val="footnote reference"/>
    <w:basedOn w:val="DefaultParagraphFont"/>
    <w:uiPriority w:val="99"/>
    <w:semiHidden/>
    <w:unhideWhenUsed/>
    <w:rsid w:val="00665647"/>
    <w:rPr>
      <w:vertAlign w:val="superscript"/>
    </w:rPr>
  </w:style>
  <w:style w:type="character" w:styleId="CommentReference">
    <w:name w:val="annotation reference"/>
    <w:basedOn w:val="DefaultParagraphFont"/>
    <w:uiPriority w:val="99"/>
    <w:unhideWhenUsed/>
    <w:rsid w:val="00744309"/>
    <w:rPr>
      <w:sz w:val="18"/>
      <w:szCs w:val="18"/>
    </w:rPr>
  </w:style>
  <w:style w:type="paragraph" w:styleId="CommentText">
    <w:name w:val="annotation text"/>
    <w:basedOn w:val="Normal"/>
    <w:link w:val="CommentTextChar"/>
    <w:uiPriority w:val="99"/>
    <w:unhideWhenUsed/>
    <w:rsid w:val="00744309"/>
    <w:pPr>
      <w:spacing w:after="0" w:line="240" w:lineRule="auto"/>
    </w:pPr>
    <w:rPr>
      <w:rFonts w:ascii="Helvetica Neue" w:eastAsia="MS Mincho" w:hAnsi="Helvetica Neue" w:cs="Times New Roman"/>
      <w:sz w:val="24"/>
      <w:lang w:val="en-AU" w:eastAsia="en-US"/>
    </w:rPr>
  </w:style>
  <w:style w:type="character" w:customStyle="1" w:styleId="CommentTextChar">
    <w:name w:val="Comment Text Char"/>
    <w:basedOn w:val="DefaultParagraphFont"/>
    <w:link w:val="CommentText"/>
    <w:uiPriority w:val="99"/>
    <w:rsid w:val="00744309"/>
    <w:rPr>
      <w:rFonts w:ascii="Helvetica Neue" w:eastAsia="MS Mincho" w:hAnsi="Helvetica Neue" w:cs="Times New Roman"/>
      <w:sz w:val="24"/>
      <w:szCs w:val="24"/>
    </w:rPr>
  </w:style>
  <w:style w:type="paragraph" w:customStyle="1" w:styleId="NDISDivision">
    <w:name w:val="NDIS Division"/>
    <w:basedOn w:val="Heading3"/>
    <w:next w:val="NDISSubdivision"/>
    <w:rsid w:val="00257310"/>
    <w:pPr>
      <w:keepNext/>
      <w:keepLines/>
      <w:numPr>
        <w:ilvl w:val="2"/>
        <w:numId w:val="13"/>
      </w:numPr>
      <w:tabs>
        <w:tab w:val="clear" w:pos="1134"/>
        <w:tab w:val="num" w:pos="360"/>
      </w:tabs>
      <w:spacing w:before="480" w:after="0" w:line="280" w:lineRule="atLeast"/>
      <w:ind w:left="0" w:firstLine="0"/>
    </w:pPr>
    <w:rPr>
      <w:rFonts w:eastAsia="Times New Roman" w:cs="Arial"/>
      <w:bCs/>
      <w:color w:val="auto"/>
      <w:sz w:val="28"/>
      <w:szCs w:val="26"/>
      <w:lang w:eastAsia="en-AU"/>
    </w:rPr>
  </w:style>
  <w:style w:type="paragraph" w:customStyle="1" w:styleId="NDISPart">
    <w:name w:val="NDIS Part"/>
    <w:basedOn w:val="Heading2"/>
    <w:next w:val="NDISDivision"/>
    <w:rsid w:val="00257310"/>
    <w:pPr>
      <w:keepNext/>
      <w:keepLines/>
      <w:pageBreakBefore/>
      <w:numPr>
        <w:ilvl w:val="1"/>
        <w:numId w:val="13"/>
      </w:numPr>
      <w:tabs>
        <w:tab w:val="clear" w:pos="1134"/>
        <w:tab w:val="num" w:pos="360"/>
      </w:tabs>
      <w:spacing w:before="0" w:after="0" w:line="280" w:lineRule="atLeast"/>
      <w:ind w:left="0" w:firstLine="0"/>
    </w:pPr>
    <w:rPr>
      <w:rFonts w:eastAsia="Times New Roman" w:cs="Arial"/>
      <w:iCs/>
      <w:color w:val="auto"/>
      <w:sz w:val="32"/>
      <w:szCs w:val="28"/>
      <w:lang w:val="en-AU" w:eastAsia="en-AU"/>
    </w:rPr>
  </w:style>
  <w:style w:type="paragraph" w:customStyle="1" w:styleId="NDISSubdivision">
    <w:name w:val="NDIS Subdivision"/>
    <w:basedOn w:val="NDISDivision"/>
    <w:next w:val="NDISSubsection"/>
    <w:rsid w:val="00257310"/>
    <w:pPr>
      <w:numPr>
        <w:ilvl w:val="3"/>
      </w:numPr>
      <w:tabs>
        <w:tab w:val="clear" w:pos="1701"/>
        <w:tab w:val="num" w:pos="360"/>
      </w:tabs>
    </w:pPr>
    <w:rPr>
      <w:sz w:val="26"/>
    </w:rPr>
  </w:style>
  <w:style w:type="paragraph" w:customStyle="1" w:styleId="NDISSubsection">
    <w:name w:val="NDIS Subsection"/>
    <w:basedOn w:val="Normal"/>
    <w:rsid w:val="00257310"/>
    <w:pPr>
      <w:numPr>
        <w:ilvl w:val="4"/>
        <w:numId w:val="13"/>
      </w:numPr>
      <w:spacing w:before="240" w:after="40" w:line="280" w:lineRule="atLeast"/>
    </w:pPr>
    <w:rPr>
      <w:rFonts w:eastAsia="Times New Roman" w:cs="Arial"/>
      <w:szCs w:val="22"/>
      <w:lang w:val="en-AU" w:eastAsia="en-AU"/>
    </w:rPr>
  </w:style>
  <w:style w:type="paragraph" w:customStyle="1" w:styleId="NDISParagraph">
    <w:name w:val="NDIS Paragraph"/>
    <w:basedOn w:val="Normal"/>
    <w:rsid w:val="00257310"/>
    <w:pPr>
      <w:numPr>
        <w:ilvl w:val="5"/>
        <w:numId w:val="13"/>
      </w:numPr>
      <w:spacing w:before="80" w:after="40" w:line="280" w:lineRule="atLeast"/>
    </w:pPr>
    <w:rPr>
      <w:rFonts w:eastAsia="Times New Roman" w:cs="Arial"/>
      <w:szCs w:val="22"/>
      <w:lang w:val="en-AU" w:eastAsia="en-AU"/>
    </w:rPr>
  </w:style>
  <w:style w:type="paragraph" w:customStyle="1" w:styleId="NDISSubparagraph">
    <w:name w:val="NDIS Subparagraph"/>
    <w:basedOn w:val="NDISParagraph"/>
    <w:rsid w:val="00257310"/>
    <w:pPr>
      <w:numPr>
        <w:ilvl w:val="6"/>
      </w:numPr>
    </w:pPr>
  </w:style>
  <w:style w:type="paragraph" w:customStyle="1" w:styleId="NDISSubsubparagraph">
    <w:name w:val="NDIS Subsubparagraph"/>
    <w:basedOn w:val="NDISParagraph"/>
    <w:rsid w:val="00257310"/>
    <w:pPr>
      <w:numPr>
        <w:ilvl w:val="7"/>
      </w:numPr>
    </w:pPr>
  </w:style>
  <w:style w:type="paragraph" w:customStyle="1" w:styleId="NDISSandwich">
    <w:name w:val="NDIS Sandwich"/>
    <w:basedOn w:val="NDISSubsection"/>
    <w:next w:val="NDISSubsection"/>
    <w:rsid w:val="00096BC7"/>
    <w:pPr>
      <w:numPr>
        <w:ilvl w:val="0"/>
        <w:numId w:val="0"/>
      </w:numPr>
      <w:spacing w:before="80"/>
      <w:ind w:left="567"/>
    </w:pPr>
  </w:style>
  <w:style w:type="character" w:customStyle="1" w:styleId="ListParagraphChar">
    <w:name w:val="List Paragraph Char"/>
    <w:aliases w:val="List Paragraph1 Char,List Paragraph11 Char,Recommendation Char"/>
    <w:link w:val="ListParagraph"/>
    <w:uiPriority w:val="34"/>
    <w:locked/>
    <w:rsid w:val="0008796F"/>
    <w:rPr>
      <w:rFonts w:ascii="Arial" w:eastAsiaTheme="minorEastAsia" w:hAnsi="Arial"/>
      <w:szCs w:val="24"/>
      <w:lang w:val="en-US" w:eastAsia="ja-JP"/>
    </w:rPr>
  </w:style>
  <w:style w:type="paragraph" w:styleId="CommentSubject">
    <w:name w:val="annotation subject"/>
    <w:basedOn w:val="CommentText"/>
    <w:next w:val="CommentText"/>
    <w:link w:val="CommentSubjectChar"/>
    <w:uiPriority w:val="99"/>
    <w:semiHidden/>
    <w:unhideWhenUsed/>
    <w:rsid w:val="002D202E"/>
    <w:pPr>
      <w:spacing w:after="200"/>
    </w:pPr>
    <w:rPr>
      <w:rFonts w:ascii="Arial" w:eastAsiaTheme="minorEastAsia" w:hAnsi="Arial" w:cstheme="minorBidi"/>
      <w:b/>
      <w:bCs/>
      <w:sz w:val="20"/>
      <w:szCs w:val="20"/>
      <w:lang w:val="en-US" w:eastAsia="ja-JP"/>
    </w:rPr>
  </w:style>
  <w:style w:type="character" w:customStyle="1" w:styleId="CommentSubjectChar">
    <w:name w:val="Comment Subject Char"/>
    <w:basedOn w:val="CommentTextChar"/>
    <w:link w:val="CommentSubject"/>
    <w:uiPriority w:val="99"/>
    <w:semiHidden/>
    <w:rsid w:val="002D202E"/>
    <w:rPr>
      <w:rFonts w:ascii="Arial" w:eastAsiaTheme="minorEastAsia" w:hAnsi="Arial" w:cs="Times New Roman"/>
      <w:b/>
      <w:bCs/>
      <w:sz w:val="20"/>
      <w:szCs w:val="20"/>
      <w:lang w:val="en-US" w:eastAsia="ja-JP"/>
    </w:rPr>
  </w:style>
  <w:style w:type="paragraph" w:styleId="NormalWeb">
    <w:name w:val="Normal (Web)"/>
    <w:basedOn w:val="Normal"/>
    <w:uiPriority w:val="99"/>
    <w:semiHidden/>
    <w:unhideWhenUsed/>
    <w:rsid w:val="00534D3E"/>
    <w:pPr>
      <w:spacing w:before="100" w:beforeAutospacing="1" w:after="100" w:afterAutospacing="1" w:line="240" w:lineRule="auto"/>
    </w:pPr>
    <w:rPr>
      <w:rFonts w:ascii="Times New Roman" w:eastAsia="Times New Roman" w:hAnsi="Times New Roman" w:cs="Times New Roman"/>
      <w:sz w:val="24"/>
      <w:lang w:val="en-AU" w:eastAsia="en-AU"/>
    </w:rPr>
  </w:style>
  <w:style w:type="paragraph" w:customStyle="1" w:styleId="MJAheading1">
    <w:name w:val="MJA heading 1"/>
    <w:basedOn w:val="Normal"/>
    <w:next w:val="Normal"/>
    <w:uiPriority w:val="99"/>
    <w:qFormat/>
    <w:rsid w:val="00C075E5"/>
    <w:pPr>
      <w:keepNext/>
      <w:keepLines/>
      <w:numPr>
        <w:numId w:val="20"/>
      </w:numPr>
      <w:pBdr>
        <w:bottom w:val="single" w:sz="18" w:space="1" w:color="0093D0"/>
      </w:pBdr>
      <w:tabs>
        <w:tab w:val="num" w:pos="360"/>
        <w:tab w:val="left" w:pos="709"/>
      </w:tabs>
      <w:spacing w:after="360" w:line="240" w:lineRule="auto"/>
      <w:ind w:left="426" w:firstLine="0"/>
      <w:outlineLvl w:val="0"/>
    </w:pPr>
    <w:rPr>
      <w:rFonts w:ascii="Corbel" w:eastAsia="Times New Roman" w:hAnsi="Corbel" w:cs="Times New Roman"/>
      <w:color w:val="0093D0"/>
      <w:sz w:val="44"/>
      <w:szCs w:val="22"/>
      <w:lang w:val="en-AU" w:eastAsia="en-US"/>
    </w:rPr>
  </w:style>
  <w:style w:type="paragraph" w:customStyle="1" w:styleId="MJAheading2">
    <w:name w:val="MJA heading 2"/>
    <w:basedOn w:val="Normal"/>
    <w:next w:val="Normal"/>
    <w:qFormat/>
    <w:rsid w:val="00C075E5"/>
    <w:pPr>
      <w:keepNext/>
      <w:keepLines/>
      <w:numPr>
        <w:ilvl w:val="1"/>
        <w:numId w:val="20"/>
      </w:numPr>
      <w:tabs>
        <w:tab w:val="left" w:pos="709"/>
      </w:tabs>
      <w:spacing w:before="360" w:after="240" w:line="240" w:lineRule="auto"/>
      <w:ind w:left="709" w:hanging="709"/>
      <w:outlineLvl w:val="1"/>
    </w:pPr>
    <w:rPr>
      <w:rFonts w:ascii="Corbel" w:eastAsiaTheme="minorHAnsi" w:hAnsi="Corbel"/>
      <w:color w:val="0093D0"/>
      <w:sz w:val="32"/>
      <w:szCs w:val="22"/>
      <w:lang w:val="en-AU" w:eastAsia="en-US"/>
    </w:rPr>
  </w:style>
  <w:style w:type="paragraph" w:customStyle="1" w:styleId="MJAheading3">
    <w:name w:val="MJA heading 3"/>
    <w:basedOn w:val="Normal"/>
    <w:next w:val="Normal"/>
    <w:qFormat/>
    <w:rsid w:val="00C075E5"/>
    <w:pPr>
      <w:keepNext/>
      <w:numPr>
        <w:ilvl w:val="2"/>
        <w:numId w:val="20"/>
      </w:numPr>
      <w:tabs>
        <w:tab w:val="num" w:pos="360"/>
        <w:tab w:val="left" w:pos="709"/>
      </w:tabs>
      <w:spacing w:before="360" w:after="120" w:line="240" w:lineRule="auto"/>
      <w:ind w:left="426" w:firstLine="0"/>
      <w:outlineLvl w:val="2"/>
    </w:pPr>
    <w:rPr>
      <w:rFonts w:ascii="Corbel" w:eastAsia="Times New Roman" w:hAnsi="Corbel" w:cs="Times New Roman"/>
      <w:color w:val="0093D0"/>
      <w:sz w:val="24"/>
      <w:szCs w:val="22"/>
      <w:lang w:val="en-AU" w:eastAsia="en-US"/>
    </w:rPr>
  </w:style>
  <w:style w:type="paragraph" w:styleId="Revision">
    <w:name w:val="Revision"/>
    <w:hidden/>
    <w:uiPriority w:val="99"/>
    <w:semiHidden/>
    <w:rsid w:val="009F40DE"/>
    <w:pPr>
      <w:spacing w:after="0" w:line="240" w:lineRule="auto"/>
    </w:pPr>
    <w:rPr>
      <w:rFonts w:ascii="Arial" w:eastAsiaTheme="minorEastAsia" w:hAnsi="Arial"/>
      <w:szCs w:val="24"/>
      <w:lang w:val="en-US" w:eastAsia="ja-JP"/>
    </w:rPr>
  </w:style>
  <w:style w:type="character" w:styleId="FollowedHyperlink">
    <w:name w:val="FollowedHyperlink"/>
    <w:basedOn w:val="DefaultParagraphFont"/>
    <w:uiPriority w:val="99"/>
    <w:semiHidden/>
    <w:unhideWhenUsed/>
    <w:rsid w:val="00DF20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82327">
      <w:bodyDiv w:val="1"/>
      <w:marLeft w:val="0"/>
      <w:marRight w:val="0"/>
      <w:marTop w:val="0"/>
      <w:marBottom w:val="0"/>
      <w:divBdr>
        <w:top w:val="none" w:sz="0" w:space="0" w:color="auto"/>
        <w:left w:val="none" w:sz="0" w:space="0" w:color="auto"/>
        <w:bottom w:val="none" w:sz="0" w:space="0" w:color="auto"/>
        <w:right w:val="none" w:sz="0" w:space="0" w:color="auto"/>
      </w:divBdr>
    </w:div>
    <w:div w:id="409666541">
      <w:bodyDiv w:val="1"/>
      <w:marLeft w:val="0"/>
      <w:marRight w:val="0"/>
      <w:marTop w:val="0"/>
      <w:marBottom w:val="0"/>
      <w:divBdr>
        <w:top w:val="none" w:sz="0" w:space="0" w:color="auto"/>
        <w:left w:val="none" w:sz="0" w:space="0" w:color="auto"/>
        <w:bottom w:val="none" w:sz="0" w:space="0" w:color="auto"/>
        <w:right w:val="none" w:sz="0" w:space="0" w:color="auto"/>
      </w:divBdr>
    </w:div>
    <w:div w:id="431900296">
      <w:bodyDiv w:val="1"/>
      <w:marLeft w:val="0"/>
      <w:marRight w:val="0"/>
      <w:marTop w:val="0"/>
      <w:marBottom w:val="0"/>
      <w:divBdr>
        <w:top w:val="none" w:sz="0" w:space="0" w:color="auto"/>
        <w:left w:val="none" w:sz="0" w:space="0" w:color="auto"/>
        <w:bottom w:val="none" w:sz="0" w:space="0" w:color="auto"/>
        <w:right w:val="none" w:sz="0" w:space="0" w:color="auto"/>
      </w:divBdr>
    </w:div>
    <w:div w:id="435909077">
      <w:bodyDiv w:val="1"/>
      <w:marLeft w:val="0"/>
      <w:marRight w:val="0"/>
      <w:marTop w:val="0"/>
      <w:marBottom w:val="0"/>
      <w:divBdr>
        <w:top w:val="none" w:sz="0" w:space="0" w:color="auto"/>
        <w:left w:val="none" w:sz="0" w:space="0" w:color="auto"/>
        <w:bottom w:val="none" w:sz="0" w:space="0" w:color="auto"/>
        <w:right w:val="none" w:sz="0" w:space="0" w:color="auto"/>
      </w:divBdr>
      <w:divsChild>
        <w:div w:id="1137338122">
          <w:marLeft w:val="1166"/>
          <w:marRight w:val="0"/>
          <w:marTop w:val="120"/>
          <w:marBottom w:val="120"/>
          <w:divBdr>
            <w:top w:val="none" w:sz="0" w:space="0" w:color="auto"/>
            <w:left w:val="none" w:sz="0" w:space="0" w:color="auto"/>
            <w:bottom w:val="none" w:sz="0" w:space="0" w:color="auto"/>
            <w:right w:val="none" w:sz="0" w:space="0" w:color="auto"/>
          </w:divBdr>
        </w:div>
        <w:div w:id="873467648">
          <w:marLeft w:val="1800"/>
          <w:marRight w:val="0"/>
          <w:marTop w:val="120"/>
          <w:marBottom w:val="120"/>
          <w:divBdr>
            <w:top w:val="none" w:sz="0" w:space="0" w:color="auto"/>
            <w:left w:val="none" w:sz="0" w:space="0" w:color="auto"/>
            <w:bottom w:val="none" w:sz="0" w:space="0" w:color="auto"/>
            <w:right w:val="none" w:sz="0" w:space="0" w:color="auto"/>
          </w:divBdr>
        </w:div>
        <w:div w:id="333801298">
          <w:marLeft w:val="1166"/>
          <w:marRight w:val="0"/>
          <w:marTop w:val="120"/>
          <w:marBottom w:val="120"/>
          <w:divBdr>
            <w:top w:val="none" w:sz="0" w:space="0" w:color="auto"/>
            <w:left w:val="none" w:sz="0" w:space="0" w:color="auto"/>
            <w:bottom w:val="none" w:sz="0" w:space="0" w:color="auto"/>
            <w:right w:val="none" w:sz="0" w:space="0" w:color="auto"/>
          </w:divBdr>
        </w:div>
        <w:div w:id="907693659">
          <w:marLeft w:val="1166"/>
          <w:marRight w:val="0"/>
          <w:marTop w:val="120"/>
          <w:marBottom w:val="120"/>
          <w:divBdr>
            <w:top w:val="none" w:sz="0" w:space="0" w:color="auto"/>
            <w:left w:val="none" w:sz="0" w:space="0" w:color="auto"/>
            <w:bottom w:val="none" w:sz="0" w:space="0" w:color="auto"/>
            <w:right w:val="none" w:sz="0" w:space="0" w:color="auto"/>
          </w:divBdr>
        </w:div>
      </w:divsChild>
    </w:div>
    <w:div w:id="494416693">
      <w:bodyDiv w:val="1"/>
      <w:marLeft w:val="0"/>
      <w:marRight w:val="0"/>
      <w:marTop w:val="0"/>
      <w:marBottom w:val="0"/>
      <w:divBdr>
        <w:top w:val="none" w:sz="0" w:space="0" w:color="auto"/>
        <w:left w:val="none" w:sz="0" w:space="0" w:color="auto"/>
        <w:bottom w:val="none" w:sz="0" w:space="0" w:color="auto"/>
        <w:right w:val="none" w:sz="0" w:space="0" w:color="auto"/>
      </w:divBdr>
    </w:div>
    <w:div w:id="541795869">
      <w:bodyDiv w:val="1"/>
      <w:marLeft w:val="0"/>
      <w:marRight w:val="0"/>
      <w:marTop w:val="0"/>
      <w:marBottom w:val="0"/>
      <w:divBdr>
        <w:top w:val="none" w:sz="0" w:space="0" w:color="auto"/>
        <w:left w:val="none" w:sz="0" w:space="0" w:color="auto"/>
        <w:bottom w:val="none" w:sz="0" w:space="0" w:color="auto"/>
        <w:right w:val="none" w:sz="0" w:space="0" w:color="auto"/>
      </w:divBdr>
    </w:div>
    <w:div w:id="578634258">
      <w:bodyDiv w:val="1"/>
      <w:marLeft w:val="0"/>
      <w:marRight w:val="0"/>
      <w:marTop w:val="0"/>
      <w:marBottom w:val="0"/>
      <w:divBdr>
        <w:top w:val="none" w:sz="0" w:space="0" w:color="auto"/>
        <w:left w:val="none" w:sz="0" w:space="0" w:color="auto"/>
        <w:bottom w:val="none" w:sz="0" w:space="0" w:color="auto"/>
        <w:right w:val="none" w:sz="0" w:space="0" w:color="auto"/>
      </w:divBdr>
    </w:div>
    <w:div w:id="587203079">
      <w:bodyDiv w:val="1"/>
      <w:marLeft w:val="0"/>
      <w:marRight w:val="0"/>
      <w:marTop w:val="0"/>
      <w:marBottom w:val="0"/>
      <w:divBdr>
        <w:top w:val="none" w:sz="0" w:space="0" w:color="auto"/>
        <w:left w:val="none" w:sz="0" w:space="0" w:color="auto"/>
        <w:bottom w:val="none" w:sz="0" w:space="0" w:color="auto"/>
        <w:right w:val="none" w:sz="0" w:space="0" w:color="auto"/>
      </w:divBdr>
    </w:div>
    <w:div w:id="651637440">
      <w:bodyDiv w:val="1"/>
      <w:marLeft w:val="0"/>
      <w:marRight w:val="0"/>
      <w:marTop w:val="0"/>
      <w:marBottom w:val="0"/>
      <w:divBdr>
        <w:top w:val="none" w:sz="0" w:space="0" w:color="auto"/>
        <w:left w:val="none" w:sz="0" w:space="0" w:color="auto"/>
        <w:bottom w:val="none" w:sz="0" w:space="0" w:color="auto"/>
        <w:right w:val="none" w:sz="0" w:space="0" w:color="auto"/>
      </w:divBdr>
      <w:divsChild>
        <w:div w:id="1056663284">
          <w:marLeft w:val="547"/>
          <w:marRight w:val="0"/>
          <w:marTop w:val="86"/>
          <w:marBottom w:val="0"/>
          <w:divBdr>
            <w:top w:val="none" w:sz="0" w:space="0" w:color="auto"/>
            <w:left w:val="none" w:sz="0" w:space="0" w:color="auto"/>
            <w:bottom w:val="none" w:sz="0" w:space="0" w:color="auto"/>
            <w:right w:val="none" w:sz="0" w:space="0" w:color="auto"/>
          </w:divBdr>
        </w:div>
        <w:div w:id="244918811">
          <w:marLeft w:val="1267"/>
          <w:marRight w:val="0"/>
          <w:marTop w:val="86"/>
          <w:marBottom w:val="0"/>
          <w:divBdr>
            <w:top w:val="none" w:sz="0" w:space="0" w:color="auto"/>
            <w:left w:val="none" w:sz="0" w:space="0" w:color="auto"/>
            <w:bottom w:val="none" w:sz="0" w:space="0" w:color="auto"/>
            <w:right w:val="none" w:sz="0" w:space="0" w:color="auto"/>
          </w:divBdr>
        </w:div>
        <w:div w:id="2010020598">
          <w:marLeft w:val="1267"/>
          <w:marRight w:val="0"/>
          <w:marTop w:val="86"/>
          <w:marBottom w:val="0"/>
          <w:divBdr>
            <w:top w:val="none" w:sz="0" w:space="0" w:color="auto"/>
            <w:left w:val="none" w:sz="0" w:space="0" w:color="auto"/>
            <w:bottom w:val="none" w:sz="0" w:space="0" w:color="auto"/>
            <w:right w:val="none" w:sz="0" w:space="0" w:color="auto"/>
          </w:divBdr>
        </w:div>
        <w:div w:id="1047024094">
          <w:marLeft w:val="1267"/>
          <w:marRight w:val="0"/>
          <w:marTop w:val="86"/>
          <w:marBottom w:val="0"/>
          <w:divBdr>
            <w:top w:val="none" w:sz="0" w:space="0" w:color="auto"/>
            <w:left w:val="none" w:sz="0" w:space="0" w:color="auto"/>
            <w:bottom w:val="none" w:sz="0" w:space="0" w:color="auto"/>
            <w:right w:val="none" w:sz="0" w:space="0" w:color="auto"/>
          </w:divBdr>
        </w:div>
        <w:div w:id="679427190">
          <w:marLeft w:val="1267"/>
          <w:marRight w:val="0"/>
          <w:marTop w:val="86"/>
          <w:marBottom w:val="0"/>
          <w:divBdr>
            <w:top w:val="none" w:sz="0" w:space="0" w:color="auto"/>
            <w:left w:val="none" w:sz="0" w:space="0" w:color="auto"/>
            <w:bottom w:val="none" w:sz="0" w:space="0" w:color="auto"/>
            <w:right w:val="none" w:sz="0" w:space="0" w:color="auto"/>
          </w:divBdr>
        </w:div>
        <w:div w:id="936596056">
          <w:marLeft w:val="1267"/>
          <w:marRight w:val="0"/>
          <w:marTop w:val="86"/>
          <w:marBottom w:val="0"/>
          <w:divBdr>
            <w:top w:val="none" w:sz="0" w:space="0" w:color="auto"/>
            <w:left w:val="none" w:sz="0" w:space="0" w:color="auto"/>
            <w:bottom w:val="none" w:sz="0" w:space="0" w:color="auto"/>
            <w:right w:val="none" w:sz="0" w:space="0" w:color="auto"/>
          </w:divBdr>
        </w:div>
      </w:divsChild>
    </w:div>
    <w:div w:id="661468218">
      <w:bodyDiv w:val="1"/>
      <w:marLeft w:val="0"/>
      <w:marRight w:val="0"/>
      <w:marTop w:val="0"/>
      <w:marBottom w:val="0"/>
      <w:divBdr>
        <w:top w:val="none" w:sz="0" w:space="0" w:color="auto"/>
        <w:left w:val="none" w:sz="0" w:space="0" w:color="auto"/>
        <w:bottom w:val="none" w:sz="0" w:space="0" w:color="auto"/>
        <w:right w:val="none" w:sz="0" w:space="0" w:color="auto"/>
      </w:divBdr>
    </w:div>
    <w:div w:id="739518280">
      <w:bodyDiv w:val="1"/>
      <w:marLeft w:val="0"/>
      <w:marRight w:val="0"/>
      <w:marTop w:val="0"/>
      <w:marBottom w:val="0"/>
      <w:divBdr>
        <w:top w:val="none" w:sz="0" w:space="0" w:color="auto"/>
        <w:left w:val="none" w:sz="0" w:space="0" w:color="auto"/>
        <w:bottom w:val="none" w:sz="0" w:space="0" w:color="auto"/>
        <w:right w:val="none" w:sz="0" w:space="0" w:color="auto"/>
      </w:divBdr>
    </w:div>
    <w:div w:id="757949406">
      <w:bodyDiv w:val="1"/>
      <w:marLeft w:val="0"/>
      <w:marRight w:val="0"/>
      <w:marTop w:val="0"/>
      <w:marBottom w:val="0"/>
      <w:divBdr>
        <w:top w:val="none" w:sz="0" w:space="0" w:color="auto"/>
        <w:left w:val="none" w:sz="0" w:space="0" w:color="auto"/>
        <w:bottom w:val="none" w:sz="0" w:space="0" w:color="auto"/>
        <w:right w:val="none" w:sz="0" w:space="0" w:color="auto"/>
      </w:divBdr>
    </w:div>
    <w:div w:id="883298125">
      <w:bodyDiv w:val="1"/>
      <w:marLeft w:val="0"/>
      <w:marRight w:val="0"/>
      <w:marTop w:val="0"/>
      <w:marBottom w:val="0"/>
      <w:divBdr>
        <w:top w:val="none" w:sz="0" w:space="0" w:color="auto"/>
        <w:left w:val="none" w:sz="0" w:space="0" w:color="auto"/>
        <w:bottom w:val="none" w:sz="0" w:space="0" w:color="auto"/>
        <w:right w:val="none" w:sz="0" w:space="0" w:color="auto"/>
      </w:divBdr>
    </w:div>
    <w:div w:id="1062368209">
      <w:bodyDiv w:val="1"/>
      <w:marLeft w:val="0"/>
      <w:marRight w:val="0"/>
      <w:marTop w:val="0"/>
      <w:marBottom w:val="0"/>
      <w:divBdr>
        <w:top w:val="none" w:sz="0" w:space="0" w:color="auto"/>
        <w:left w:val="none" w:sz="0" w:space="0" w:color="auto"/>
        <w:bottom w:val="none" w:sz="0" w:space="0" w:color="auto"/>
        <w:right w:val="none" w:sz="0" w:space="0" w:color="auto"/>
      </w:divBdr>
      <w:divsChild>
        <w:div w:id="1156265191">
          <w:marLeft w:val="547"/>
          <w:marRight w:val="0"/>
          <w:marTop w:val="120"/>
          <w:marBottom w:val="120"/>
          <w:divBdr>
            <w:top w:val="none" w:sz="0" w:space="0" w:color="auto"/>
            <w:left w:val="none" w:sz="0" w:space="0" w:color="auto"/>
            <w:bottom w:val="none" w:sz="0" w:space="0" w:color="auto"/>
            <w:right w:val="none" w:sz="0" w:space="0" w:color="auto"/>
          </w:divBdr>
        </w:div>
        <w:div w:id="166021871">
          <w:marLeft w:val="547"/>
          <w:marRight w:val="0"/>
          <w:marTop w:val="120"/>
          <w:marBottom w:val="120"/>
          <w:divBdr>
            <w:top w:val="none" w:sz="0" w:space="0" w:color="auto"/>
            <w:left w:val="none" w:sz="0" w:space="0" w:color="auto"/>
            <w:bottom w:val="none" w:sz="0" w:space="0" w:color="auto"/>
            <w:right w:val="none" w:sz="0" w:space="0" w:color="auto"/>
          </w:divBdr>
        </w:div>
      </w:divsChild>
    </w:div>
    <w:div w:id="1094282635">
      <w:bodyDiv w:val="1"/>
      <w:marLeft w:val="0"/>
      <w:marRight w:val="0"/>
      <w:marTop w:val="0"/>
      <w:marBottom w:val="0"/>
      <w:divBdr>
        <w:top w:val="none" w:sz="0" w:space="0" w:color="auto"/>
        <w:left w:val="none" w:sz="0" w:space="0" w:color="auto"/>
        <w:bottom w:val="none" w:sz="0" w:space="0" w:color="auto"/>
        <w:right w:val="none" w:sz="0" w:space="0" w:color="auto"/>
      </w:divBdr>
      <w:divsChild>
        <w:div w:id="1683584175">
          <w:marLeft w:val="547"/>
          <w:marRight w:val="0"/>
          <w:marTop w:val="120"/>
          <w:marBottom w:val="120"/>
          <w:divBdr>
            <w:top w:val="none" w:sz="0" w:space="0" w:color="auto"/>
            <w:left w:val="none" w:sz="0" w:space="0" w:color="auto"/>
            <w:bottom w:val="none" w:sz="0" w:space="0" w:color="auto"/>
            <w:right w:val="none" w:sz="0" w:space="0" w:color="auto"/>
          </w:divBdr>
        </w:div>
        <w:div w:id="265314841">
          <w:marLeft w:val="547"/>
          <w:marRight w:val="0"/>
          <w:marTop w:val="120"/>
          <w:marBottom w:val="120"/>
          <w:divBdr>
            <w:top w:val="none" w:sz="0" w:space="0" w:color="auto"/>
            <w:left w:val="none" w:sz="0" w:space="0" w:color="auto"/>
            <w:bottom w:val="none" w:sz="0" w:space="0" w:color="auto"/>
            <w:right w:val="none" w:sz="0" w:space="0" w:color="auto"/>
          </w:divBdr>
        </w:div>
        <w:div w:id="342780180">
          <w:marLeft w:val="547"/>
          <w:marRight w:val="0"/>
          <w:marTop w:val="120"/>
          <w:marBottom w:val="120"/>
          <w:divBdr>
            <w:top w:val="none" w:sz="0" w:space="0" w:color="auto"/>
            <w:left w:val="none" w:sz="0" w:space="0" w:color="auto"/>
            <w:bottom w:val="none" w:sz="0" w:space="0" w:color="auto"/>
            <w:right w:val="none" w:sz="0" w:space="0" w:color="auto"/>
          </w:divBdr>
        </w:div>
        <w:div w:id="1696230298">
          <w:marLeft w:val="547"/>
          <w:marRight w:val="0"/>
          <w:marTop w:val="120"/>
          <w:marBottom w:val="120"/>
          <w:divBdr>
            <w:top w:val="none" w:sz="0" w:space="0" w:color="auto"/>
            <w:left w:val="none" w:sz="0" w:space="0" w:color="auto"/>
            <w:bottom w:val="none" w:sz="0" w:space="0" w:color="auto"/>
            <w:right w:val="none" w:sz="0" w:space="0" w:color="auto"/>
          </w:divBdr>
        </w:div>
        <w:div w:id="392237221">
          <w:marLeft w:val="547"/>
          <w:marRight w:val="0"/>
          <w:marTop w:val="120"/>
          <w:marBottom w:val="120"/>
          <w:divBdr>
            <w:top w:val="none" w:sz="0" w:space="0" w:color="auto"/>
            <w:left w:val="none" w:sz="0" w:space="0" w:color="auto"/>
            <w:bottom w:val="none" w:sz="0" w:space="0" w:color="auto"/>
            <w:right w:val="none" w:sz="0" w:space="0" w:color="auto"/>
          </w:divBdr>
        </w:div>
        <w:div w:id="1777363666">
          <w:marLeft w:val="1166"/>
          <w:marRight w:val="0"/>
          <w:marTop w:val="60"/>
          <w:marBottom w:val="60"/>
          <w:divBdr>
            <w:top w:val="none" w:sz="0" w:space="0" w:color="auto"/>
            <w:left w:val="none" w:sz="0" w:space="0" w:color="auto"/>
            <w:bottom w:val="none" w:sz="0" w:space="0" w:color="auto"/>
            <w:right w:val="none" w:sz="0" w:space="0" w:color="auto"/>
          </w:divBdr>
        </w:div>
        <w:div w:id="1139222334">
          <w:marLeft w:val="1800"/>
          <w:marRight w:val="0"/>
          <w:marTop w:val="60"/>
          <w:marBottom w:val="60"/>
          <w:divBdr>
            <w:top w:val="none" w:sz="0" w:space="0" w:color="auto"/>
            <w:left w:val="none" w:sz="0" w:space="0" w:color="auto"/>
            <w:bottom w:val="none" w:sz="0" w:space="0" w:color="auto"/>
            <w:right w:val="none" w:sz="0" w:space="0" w:color="auto"/>
          </w:divBdr>
        </w:div>
        <w:div w:id="708333517">
          <w:marLeft w:val="1800"/>
          <w:marRight w:val="0"/>
          <w:marTop w:val="60"/>
          <w:marBottom w:val="60"/>
          <w:divBdr>
            <w:top w:val="none" w:sz="0" w:space="0" w:color="auto"/>
            <w:left w:val="none" w:sz="0" w:space="0" w:color="auto"/>
            <w:bottom w:val="none" w:sz="0" w:space="0" w:color="auto"/>
            <w:right w:val="none" w:sz="0" w:space="0" w:color="auto"/>
          </w:divBdr>
        </w:div>
        <w:div w:id="1287586116">
          <w:marLeft w:val="1166"/>
          <w:marRight w:val="0"/>
          <w:marTop w:val="60"/>
          <w:marBottom w:val="60"/>
          <w:divBdr>
            <w:top w:val="none" w:sz="0" w:space="0" w:color="auto"/>
            <w:left w:val="none" w:sz="0" w:space="0" w:color="auto"/>
            <w:bottom w:val="none" w:sz="0" w:space="0" w:color="auto"/>
            <w:right w:val="none" w:sz="0" w:space="0" w:color="auto"/>
          </w:divBdr>
        </w:div>
        <w:div w:id="1920598194">
          <w:marLeft w:val="1166"/>
          <w:marRight w:val="0"/>
          <w:marTop w:val="60"/>
          <w:marBottom w:val="60"/>
          <w:divBdr>
            <w:top w:val="none" w:sz="0" w:space="0" w:color="auto"/>
            <w:left w:val="none" w:sz="0" w:space="0" w:color="auto"/>
            <w:bottom w:val="none" w:sz="0" w:space="0" w:color="auto"/>
            <w:right w:val="none" w:sz="0" w:space="0" w:color="auto"/>
          </w:divBdr>
        </w:div>
      </w:divsChild>
    </w:div>
    <w:div w:id="1100250423">
      <w:bodyDiv w:val="1"/>
      <w:marLeft w:val="0"/>
      <w:marRight w:val="0"/>
      <w:marTop w:val="0"/>
      <w:marBottom w:val="0"/>
      <w:divBdr>
        <w:top w:val="none" w:sz="0" w:space="0" w:color="auto"/>
        <w:left w:val="none" w:sz="0" w:space="0" w:color="auto"/>
        <w:bottom w:val="none" w:sz="0" w:space="0" w:color="auto"/>
        <w:right w:val="none" w:sz="0" w:space="0" w:color="auto"/>
      </w:divBdr>
    </w:div>
    <w:div w:id="1143812330">
      <w:bodyDiv w:val="1"/>
      <w:marLeft w:val="0"/>
      <w:marRight w:val="0"/>
      <w:marTop w:val="0"/>
      <w:marBottom w:val="0"/>
      <w:divBdr>
        <w:top w:val="none" w:sz="0" w:space="0" w:color="auto"/>
        <w:left w:val="none" w:sz="0" w:space="0" w:color="auto"/>
        <w:bottom w:val="none" w:sz="0" w:space="0" w:color="auto"/>
        <w:right w:val="none" w:sz="0" w:space="0" w:color="auto"/>
      </w:divBdr>
      <w:divsChild>
        <w:div w:id="501700699">
          <w:marLeft w:val="0"/>
          <w:marRight w:val="0"/>
          <w:marTop w:val="0"/>
          <w:marBottom w:val="0"/>
          <w:divBdr>
            <w:top w:val="none" w:sz="0" w:space="0" w:color="auto"/>
            <w:left w:val="none" w:sz="0" w:space="0" w:color="auto"/>
            <w:bottom w:val="none" w:sz="0" w:space="0" w:color="auto"/>
            <w:right w:val="none" w:sz="0" w:space="0" w:color="auto"/>
          </w:divBdr>
          <w:divsChild>
            <w:div w:id="2007852964">
              <w:marLeft w:val="0"/>
              <w:marRight w:val="0"/>
              <w:marTop w:val="0"/>
              <w:marBottom w:val="0"/>
              <w:divBdr>
                <w:top w:val="none" w:sz="0" w:space="0" w:color="auto"/>
                <w:left w:val="none" w:sz="0" w:space="0" w:color="auto"/>
                <w:bottom w:val="none" w:sz="0" w:space="0" w:color="auto"/>
                <w:right w:val="none" w:sz="0" w:space="0" w:color="auto"/>
              </w:divBdr>
              <w:divsChild>
                <w:div w:id="615868013">
                  <w:marLeft w:val="0"/>
                  <w:marRight w:val="0"/>
                  <w:marTop w:val="0"/>
                  <w:marBottom w:val="0"/>
                  <w:divBdr>
                    <w:top w:val="none" w:sz="0" w:space="0" w:color="auto"/>
                    <w:left w:val="none" w:sz="0" w:space="0" w:color="auto"/>
                    <w:bottom w:val="none" w:sz="0" w:space="0" w:color="auto"/>
                    <w:right w:val="none" w:sz="0" w:space="0" w:color="auto"/>
                  </w:divBdr>
                  <w:divsChild>
                    <w:div w:id="1746412284">
                      <w:marLeft w:val="0"/>
                      <w:marRight w:val="0"/>
                      <w:marTop w:val="0"/>
                      <w:marBottom w:val="0"/>
                      <w:divBdr>
                        <w:top w:val="none" w:sz="0" w:space="0" w:color="auto"/>
                        <w:left w:val="none" w:sz="0" w:space="0" w:color="auto"/>
                        <w:bottom w:val="none" w:sz="0" w:space="0" w:color="auto"/>
                        <w:right w:val="none" w:sz="0" w:space="0" w:color="auto"/>
                      </w:divBdr>
                      <w:divsChild>
                        <w:div w:id="2027557208">
                          <w:marLeft w:val="0"/>
                          <w:marRight w:val="0"/>
                          <w:marTop w:val="0"/>
                          <w:marBottom w:val="0"/>
                          <w:divBdr>
                            <w:top w:val="none" w:sz="0" w:space="0" w:color="auto"/>
                            <w:left w:val="none" w:sz="0" w:space="0" w:color="auto"/>
                            <w:bottom w:val="none" w:sz="0" w:space="0" w:color="auto"/>
                            <w:right w:val="none" w:sz="0" w:space="0" w:color="auto"/>
                          </w:divBdr>
                          <w:divsChild>
                            <w:div w:id="24063192">
                              <w:marLeft w:val="0"/>
                              <w:marRight w:val="0"/>
                              <w:marTop w:val="0"/>
                              <w:marBottom w:val="0"/>
                              <w:divBdr>
                                <w:top w:val="none" w:sz="0" w:space="0" w:color="auto"/>
                                <w:left w:val="none" w:sz="0" w:space="0" w:color="auto"/>
                                <w:bottom w:val="none" w:sz="0" w:space="0" w:color="auto"/>
                                <w:right w:val="none" w:sz="0" w:space="0" w:color="auto"/>
                              </w:divBdr>
                              <w:divsChild>
                                <w:div w:id="252707947">
                                  <w:marLeft w:val="0"/>
                                  <w:marRight w:val="0"/>
                                  <w:marTop w:val="0"/>
                                  <w:marBottom w:val="0"/>
                                  <w:divBdr>
                                    <w:top w:val="none" w:sz="0" w:space="0" w:color="auto"/>
                                    <w:left w:val="none" w:sz="0" w:space="0" w:color="auto"/>
                                    <w:bottom w:val="none" w:sz="0" w:space="0" w:color="auto"/>
                                    <w:right w:val="none" w:sz="0" w:space="0" w:color="auto"/>
                                  </w:divBdr>
                                  <w:divsChild>
                                    <w:div w:id="62168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334045">
      <w:bodyDiv w:val="1"/>
      <w:marLeft w:val="0"/>
      <w:marRight w:val="0"/>
      <w:marTop w:val="0"/>
      <w:marBottom w:val="0"/>
      <w:divBdr>
        <w:top w:val="none" w:sz="0" w:space="0" w:color="auto"/>
        <w:left w:val="none" w:sz="0" w:space="0" w:color="auto"/>
        <w:bottom w:val="none" w:sz="0" w:space="0" w:color="auto"/>
        <w:right w:val="none" w:sz="0" w:space="0" w:color="auto"/>
      </w:divBdr>
    </w:div>
    <w:div w:id="1243875946">
      <w:bodyDiv w:val="1"/>
      <w:marLeft w:val="0"/>
      <w:marRight w:val="0"/>
      <w:marTop w:val="0"/>
      <w:marBottom w:val="0"/>
      <w:divBdr>
        <w:top w:val="none" w:sz="0" w:space="0" w:color="auto"/>
        <w:left w:val="none" w:sz="0" w:space="0" w:color="auto"/>
        <w:bottom w:val="none" w:sz="0" w:space="0" w:color="auto"/>
        <w:right w:val="none" w:sz="0" w:space="0" w:color="auto"/>
      </w:divBdr>
    </w:div>
    <w:div w:id="1276864456">
      <w:bodyDiv w:val="1"/>
      <w:marLeft w:val="0"/>
      <w:marRight w:val="0"/>
      <w:marTop w:val="0"/>
      <w:marBottom w:val="0"/>
      <w:divBdr>
        <w:top w:val="none" w:sz="0" w:space="0" w:color="auto"/>
        <w:left w:val="none" w:sz="0" w:space="0" w:color="auto"/>
        <w:bottom w:val="none" w:sz="0" w:space="0" w:color="auto"/>
        <w:right w:val="none" w:sz="0" w:space="0" w:color="auto"/>
      </w:divBdr>
    </w:div>
    <w:div w:id="1353342029">
      <w:bodyDiv w:val="1"/>
      <w:marLeft w:val="0"/>
      <w:marRight w:val="0"/>
      <w:marTop w:val="0"/>
      <w:marBottom w:val="0"/>
      <w:divBdr>
        <w:top w:val="none" w:sz="0" w:space="0" w:color="auto"/>
        <w:left w:val="none" w:sz="0" w:space="0" w:color="auto"/>
        <w:bottom w:val="none" w:sz="0" w:space="0" w:color="auto"/>
        <w:right w:val="none" w:sz="0" w:space="0" w:color="auto"/>
      </w:divBdr>
    </w:div>
    <w:div w:id="1368605763">
      <w:bodyDiv w:val="1"/>
      <w:marLeft w:val="0"/>
      <w:marRight w:val="0"/>
      <w:marTop w:val="0"/>
      <w:marBottom w:val="0"/>
      <w:divBdr>
        <w:top w:val="none" w:sz="0" w:space="0" w:color="auto"/>
        <w:left w:val="none" w:sz="0" w:space="0" w:color="auto"/>
        <w:bottom w:val="none" w:sz="0" w:space="0" w:color="auto"/>
        <w:right w:val="none" w:sz="0" w:space="0" w:color="auto"/>
      </w:divBdr>
      <w:divsChild>
        <w:div w:id="562835689">
          <w:marLeft w:val="547"/>
          <w:marRight w:val="0"/>
          <w:marTop w:val="120"/>
          <w:marBottom w:val="120"/>
          <w:divBdr>
            <w:top w:val="none" w:sz="0" w:space="0" w:color="auto"/>
            <w:left w:val="none" w:sz="0" w:space="0" w:color="auto"/>
            <w:bottom w:val="none" w:sz="0" w:space="0" w:color="auto"/>
            <w:right w:val="none" w:sz="0" w:space="0" w:color="auto"/>
          </w:divBdr>
        </w:div>
        <w:div w:id="1035231024">
          <w:marLeft w:val="547"/>
          <w:marRight w:val="0"/>
          <w:marTop w:val="120"/>
          <w:marBottom w:val="120"/>
          <w:divBdr>
            <w:top w:val="none" w:sz="0" w:space="0" w:color="auto"/>
            <w:left w:val="none" w:sz="0" w:space="0" w:color="auto"/>
            <w:bottom w:val="none" w:sz="0" w:space="0" w:color="auto"/>
            <w:right w:val="none" w:sz="0" w:space="0" w:color="auto"/>
          </w:divBdr>
        </w:div>
        <w:div w:id="1627541173">
          <w:marLeft w:val="547"/>
          <w:marRight w:val="0"/>
          <w:marTop w:val="120"/>
          <w:marBottom w:val="120"/>
          <w:divBdr>
            <w:top w:val="none" w:sz="0" w:space="0" w:color="auto"/>
            <w:left w:val="none" w:sz="0" w:space="0" w:color="auto"/>
            <w:bottom w:val="none" w:sz="0" w:space="0" w:color="auto"/>
            <w:right w:val="none" w:sz="0" w:space="0" w:color="auto"/>
          </w:divBdr>
        </w:div>
        <w:div w:id="723330302">
          <w:marLeft w:val="547"/>
          <w:marRight w:val="0"/>
          <w:marTop w:val="120"/>
          <w:marBottom w:val="120"/>
          <w:divBdr>
            <w:top w:val="none" w:sz="0" w:space="0" w:color="auto"/>
            <w:left w:val="none" w:sz="0" w:space="0" w:color="auto"/>
            <w:bottom w:val="none" w:sz="0" w:space="0" w:color="auto"/>
            <w:right w:val="none" w:sz="0" w:space="0" w:color="auto"/>
          </w:divBdr>
        </w:div>
        <w:div w:id="886375049">
          <w:marLeft w:val="547"/>
          <w:marRight w:val="0"/>
          <w:marTop w:val="120"/>
          <w:marBottom w:val="120"/>
          <w:divBdr>
            <w:top w:val="none" w:sz="0" w:space="0" w:color="auto"/>
            <w:left w:val="none" w:sz="0" w:space="0" w:color="auto"/>
            <w:bottom w:val="none" w:sz="0" w:space="0" w:color="auto"/>
            <w:right w:val="none" w:sz="0" w:space="0" w:color="auto"/>
          </w:divBdr>
        </w:div>
      </w:divsChild>
    </w:div>
    <w:div w:id="1373534331">
      <w:bodyDiv w:val="1"/>
      <w:marLeft w:val="0"/>
      <w:marRight w:val="0"/>
      <w:marTop w:val="0"/>
      <w:marBottom w:val="0"/>
      <w:divBdr>
        <w:top w:val="none" w:sz="0" w:space="0" w:color="auto"/>
        <w:left w:val="none" w:sz="0" w:space="0" w:color="auto"/>
        <w:bottom w:val="none" w:sz="0" w:space="0" w:color="auto"/>
        <w:right w:val="none" w:sz="0" w:space="0" w:color="auto"/>
      </w:divBdr>
    </w:div>
    <w:div w:id="1475683082">
      <w:bodyDiv w:val="1"/>
      <w:marLeft w:val="0"/>
      <w:marRight w:val="0"/>
      <w:marTop w:val="0"/>
      <w:marBottom w:val="0"/>
      <w:divBdr>
        <w:top w:val="none" w:sz="0" w:space="0" w:color="auto"/>
        <w:left w:val="none" w:sz="0" w:space="0" w:color="auto"/>
        <w:bottom w:val="none" w:sz="0" w:space="0" w:color="auto"/>
        <w:right w:val="none" w:sz="0" w:space="0" w:color="auto"/>
      </w:divBdr>
    </w:div>
    <w:div w:id="1594893395">
      <w:bodyDiv w:val="1"/>
      <w:marLeft w:val="0"/>
      <w:marRight w:val="0"/>
      <w:marTop w:val="0"/>
      <w:marBottom w:val="0"/>
      <w:divBdr>
        <w:top w:val="none" w:sz="0" w:space="0" w:color="auto"/>
        <w:left w:val="none" w:sz="0" w:space="0" w:color="auto"/>
        <w:bottom w:val="none" w:sz="0" w:space="0" w:color="auto"/>
        <w:right w:val="none" w:sz="0" w:space="0" w:color="auto"/>
      </w:divBdr>
    </w:div>
    <w:div w:id="1598710075">
      <w:bodyDiv w:val="1"/>
      <w:marLeft w:val="0"/>
      <w:marRight w:val="0"/>
      <w:marTop w:val="0"/>
      <w:marBottom w:val="0"/>
      <w:divBdr>
        <w:top w:val="none" w:sz="0" w:space="0" w:color="auto"/>
        <w:left w:val="none" w:sz="0" w:space="0" w:color="auto"/>
        <w:bottom w:val="none" w:sz="0" w:space="0" w:color="auto"/>
        <w:right w:val="none" w:sz="0" w:space="0" w:color="auto"/>
      </w:divBdr>
    </w:div>
    <w:div w:id="1607226539">
      <w:bodyDiv w:val="1"/>
      <w:marLeft w:val="0"/>
      <w:marRight w:val="0"/>
      <w:marTop w:val="0"/>
      <w:marBottom w:val="0"/>
      <w:divBdr>
        <w:top w:val="none" w:sz="0" w:space="0" w:color="auto"/>
        <w:left w:val="none" w:sz="0" w:space="0" w:color="auto"/>
        <w:bottom w:val="none" w:sz="0" w:space="0" w:color="auto"/>
        <w:right w:val="none" w:sz="0" w:space="0" w:color="auto"/>
      </w:divBdr>
      <w:divsChild>
        <w:div w:id="1242982064">
          <w:marLeft w:val="547"/>
          <w:marRight w:val="0"/>
          <w:marTop w:val="60"/>
          <w:marBottom w:val="60"/>
          <w:divBdr>
            <w:top w:val="none" w:sz="0" w:space="0" w:color="auto"/>
            <w:left w:val="none" w:sz="0" w:space="0" w:color="auto"/>
            <w:bottom w:val="none" w:sz="0" w:space="0" w:color="auto"/>
            <w:right w:val="none" w:sz="0" w:space="0" w:color="auto"/>
          </w:divBdr>
        </w:div>
        <w:div w:id="1581790811">
          <w:marLeft w:val="547"/>
          <w:marRight w:val="0"/>
          <w:marTop w:val="60"/>
          <w:marBottom w:val="60"/>
          <w:divBdr>
            <w:top w:val="none" w:sz="0" w:space="0" w:color="auto"/>
            <w:left w:val="none" w:sz="0" w:space="0" w:color="auto"/>
            <w:bottom w:val="none" w:sz="0" w:space="0" w:color="auto"/>
            <w:right w:val="none" w:sz="0" w:space="0" w:color="auto"/>
          </w:divBdr>
        </w:div>
        <w:div w:id="1246959755">
          <w:marLeft w:val="547"/>
          <w:marRight w:val="0"/>
          <w:marTop w:val="60"/>
          <w:marBottom w:val="60"/>
          <w:divBdr>
            <w:top w:val="none" w:sz="0" w:space="0" w:color="auto"/>
            <w:left w:val="none" w:sz="0" w:space="0" w:color="auto"/>
            <w:bottom w:val="none" w:sz="0" w:space="0" w:color="auto"/>
            <w:right w:val="none" w:sz="0" w:space="0" w:color="auto"/>
          </w:divBdr>
        </w:div>
        <w:div w:id="1224176828">
          <w:marLeft w:val="1166"/>
          <w:marRight w:val="0"/>
          <w:marTop w:val="60"/>
          <w:marBottom w:val="60"/>
          <w:divBdr>
            <w:top w:val="none" w:sz="0" w:space="0" w:color="auto"/>
            <w:left w:val="none" w:sz="0" w:space="0" w:color="auto"/>
            <w:bottom w:val="none" w:sz="0" w:space="0" w:color="auto"/>
            <w:right w:val="none" w:sz="0" w:space="0" w:color="auto"/>
          </w:divBdr>
        </w:div>
        <w:div w:id="1154568097">
          <w:marLeft w:val="1166"/>
          <w:marRight w:val="0"/>
          <w:marTop w:val="60"/>
          <w:marBottom w:val="60"/>
          <w:divBdr>
            <w:top w:val="none" w:sz="0" w:space="0" w:color="auto"/>
            <w:left w:val="none" w:sz="0" w:space="0" w:color="auto"/>
            <w:bottom w:val="none" w:sz="0" w:space="0" w:color="auto"/>
            <w:right w:val="none" w:sz="0" w:space="0" w:color="auto"/>
          </w:divBdr>
        </w:div>
        <w:div w:id="2085176911">
          <w:marLeft w:val="547"/>
          <w:marRight w:val="0"/>
          <w:marTop w:val="60"/>
          <w:marBottom w:val="60"/>
          <w:divBdr>
            <w:top w:val="none" w:sz="0" w:space="0" w:color="auto"/>
            <w:left w:val="none" w:sz="0" w:space="0" w:color="auto"/>
            <w:bottom w:val="none" w:sz="0" w:space="0" w:color="auto"/>
            <w:right w:val="none" w:sz="0" w:space="0" w:color="auto"/>
          </w:divBdr>
        </w:div>
      </w:divsChild>
    </w:div>
    <w:div w:id="1612785944">
      <w:bodyDiv w:val="1"/>
      <w:marLeft w:val="0"/>
      <w:marRight w:val="0"/>
      <w:marTop w:val="0"/>
      <w:marBottom w:val="0"/>
      <w:divBdr>
        <w:top w:val="none" w:sz="0" w:space="0" w:color="auto"/>
        <w:left w:val="none" w:sz="0" w:space="0" w:color="auto"/>
        <w:bottom w:val="none" w:sz="0" w:space="0" w:color="auto"/>
        <w:right w:val="none" w:sz="0" w:space="0" w:color="auto"/>
      </w:divBdr>
    </w:div>
    <w:div w:id="1674137499">
      <w:bodyDiv w:val="1"/>
      <w:marLeft w:val="0"/>
      <w:marRight w:val="0"/>
      <w:marTop w:val="0"/>
      <w:marBottom w:val="0"/>
      <w:divBdr>
        <w:top w:val="none" w:sz="0" w:space="0" w:color="auto"/>
        <w:left w:val="none" w:sz="0" w:space="0" w:color="auto"/>
        <w:bottom w:val="none" w:sz="0" w:space="0" w:color="auto"/>
        <w:right w:val="none" w:sz="0" w:space="0" w:color="auto"/>
      </w:divBdr>
    </w:div>
    <w:div w:id="1729918451">
      <w:bodyDiv w:val="1"/>
      <w:marLeft w:val="0"/>
      <w:marRight w:val="0"/>
      <w:marTop w:val="0"/>
      <w:marBottom w:val="0"/>
      <w:divBdr>
        <w:top w:val="none" w:sz="0" w:space="0" w:color="auto"/>
        <w:left w:val="none" w:sz="0" w:space="0" w:color="auto"/>
        <w:bottom w:val="none" w:sz="0" w:space="0" w:color="auto"/>
        <w:right w:val="none" w:sz="0" w:space="0" w:color="auto"/>
      </w:divBdr>
    </w:div>
    <w:div w:id="1740519655">
      <w:bodyDiv w:val="1"/>
      <w:marLeft w:val="0"/>
      <w:marRight w:val="0"/>
      <w:marTop w:val="0"/>
      <w:marBottom w:val="0"/>
      <w:divBdr>
        <w:top w:val="none" w:sz="0" w:space="0" w:color="auto"/>
        <w:left w:val="none" w:sz="0" w:space="0" w:color="auto"/>
        <w:bottom w:val="none" w:sz="0" w:space="0" w:color="auto"/>
        <w:right w:val="none" w:sz="0" w:space="0" w:color="auto"/>
      </w:divBdr>
    </w:div>
    <w:div w:id="1759599866">
      <w:bodyDiv w:val="1"/>
      <w:marLeft w:val="0"/>
      <w:marRight w:val="0"/>
      <w:marTop w:val="0"/>
      <w:marBottom w:val="0"/>
      <w:divBdr>
        <w:top w:val="none" w:sz="0" w:space="0" w:color="auto"/>
        <w:left w:val="none" w:sz="0" w:space="0" w:color="auto"/>
        <w:bottom w:val="none" w:sz="0" w:space="0" w:color="auto"/>
        <w:right w:val="none" w:sz="0" w:space="0" w:color="auto"/>
      </w:divBdr>
    </w:div>
    <w:div w:id="1805582792">
      <w:bodyDiv w:val="1"/>
      <w:marLeft w:val="0"/>
      <w:marRight w:val="0"/>
      <w:marTop w:val="0"/>
      <w:marBottom w:val="0"/>
      <w:divBdr>
        <w:top w:val="none" w:sz="0" w:space="0" w:color="auto"/>
        <w:left w:val="none" w:sz="0" w:space="0" w:color="auto"/>
        <w:bottom w:val="none" w:sz="0" w:space="0" w:color="auto"/>
        <w:right w:val="none" w:sz="0" w:space="0" w:color="auto"/>
      </w:divBdr>
      <w:divsChild>
        <w:div w:id="223492650">
          <w:marLeft w:val="547"/>
          <w:marRight w:val="0"/>
          <w:marTop w:val="120"/>
          <w:marBottom w:val="120"/>
          <w:divBdr>
            <w:top w:val="none" w:sz="0" w:space="0" w:color="auto"/>
            <w:left w:val="none" w:sz="0" w:space="0" w:color="auto"/>
            <w:bottom w:val="none" w:sz="0" w:space="0" w:color="auto"/>
            <w:right w:val="none" w:sz="0" w:space="0" w:color="auto"/>
          </w:divBdr>
        </w:div>
        <w:div w:id="77941715">
          <w:marLeft w:val="547"/>
          <w:marRight w:val="0"/>
          <w:marTop w:val="120"/>
          <w:marBottom w:val="120"/>
          <w:divBdr>
            <w:top w:val="none" w:sz="0" w:space="0" w:color="auto"/>
            <w:left w:val="none" w:sz="0" w:space="0" w:color="auto"/>
            <w:bottom w:val="none" w:sz="0" w:space="0" w:color="auto"/>
            <w:right w:val="none" w:sz="0" w:space="0" w:color="auto"/>
          </w:divBdr>
        </w:div>
      </w:divsChild>
    </w:div>
    <w:div w:id="1851216425">
      <w:bodyDiv w:val="1"/>
      <w:marLeft w:val="0"/>
      <w:marRight w:val="0"/>
      <w:marTop w:val="0"/>
      <w:marBottom w:val="0"/>
      <w:divBdr>
        <w:top w:val="none" w:sz="0" w:space="0" w:color="auto"/>
        <w:left w:val="none" w:sz="0" w:space="0" w:color="auto"/>
        <w:bottom w:val="none" w:sz="0" w:space="0" w:color="auto"/>
        <w:right w:val="none" w:sz="0" w:space="0" w:color="auto"/>
      </w:divBdr>
    </w:div>
    <w:div w:id="2000886044">
      <w:bodyDiv w:val="1"/>
      <w:marLeft w:val="0"/>
      <w:marRight w:val="0"/>
      <w:marTop w:val="0"/>
      <w:marBottom w:val="0"/>
      <w:divBdr>
        <w:top w:val="none" w:sz="0" w:space="0" w:color="auto"/>
        <w:left w:val="none" w:sz="0" w:space="0" w:color="auto"/>
        <w:bottom w:val="none" w:sz="0" w:space="0" w:color="auto"/>
        <w:right w:val="none" w:sz="0" w:space="0" w:color="auto"/>
      </w:divBdr>
    </w:div>
    <w:div w:id="2013022475">
      <w:bodyDiv w:val="1"/>
      <w:marLeft w:val="0"/>
      <w:marRight w:val="0"/>
      <w:marTop w:val="0"/>
      <w:marBottom w:val="0"/>
      <w:divBdr>
        <w:top w:val="none" w:sz="0" w:space="0" w:color="auto"/>
        <w:left w:val="none" w:sz="0" w:space="0" w:color="auto"/>
        <w:bottom w:val="none" w:sz="0" w:space="0" w:color="auto"/>
        <w:right w:val="none" w:sz="0" w:space="0" w:color="auto"/>
      </w:divBdr>
    </w:div>
    <w:div w:id="2033073766">
      <w:bodyDiv w:val="1"/>
      <w:marLeft w:val="0"/>
      <w:marRight w:val="0"/>
      <w:marTop w:val="0"/>
      <w:marBottom w:val="0"/>
      <w:divBdr>
        <w:top w:val="none" w:sz="0" w:space="0" w:color="auto"/>
        <w:left w:val="none" w:sz="0" w:space="0" w:color="auto"/>
        <w:bottom w:val="none" w:sz="0" w:space="0" w:color="auto"/>
        <w:right w:val="none" w:sz="0" w:space="0" w:color="auto"/>
      </w:divBdr>
    </w:div>
    <w:div w:id="2133278300">
      <w:bodyDiv w:val="1"/>
      <w:marLeft w:val="0"/>
      <w:marRight w:val="0"/>
      <w:marTop w:val="0"/>
      <w:marBottom w:val="0"/>
      <w:divBdr>
        <w:top w:val="none" w:sz="0" w:space="0" w:color="auto"/>
        <w:left w:val="none" w:sz="0" w:space="0" w:color="auto"/>
        <w:bottom w:val="none" w:sz="0" w:space="0" w:color="auto"/>
        <w:right w:val="none" w:sz="0" w:space="0" w:color="auto"/>
      </w:divBdr>
    </w:div>
    <w:div w:id="21370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1.xml"/><Relationship Id="rId39" Type="http://schemas.openxmlformats.org/officeDocument/2006/relationships/header" Target="header19.xml"/><Relationship Id="rId21" Type="http://schemas.openxmlformats.org/officeDocument/2006/relationships/header" Target="header7.xml"/><Relationship Id="rId34" Type="http://schemas.openxmlformats.org/officeDocument/2006/relationships/header" Target="header16.xml"/><Relationship Id="rId42" Type="http://schemas.openxmlformats.org/officeDocument/2006/relationships/header" Target="header21.xml"/><Relationship Id="rId47"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header" Target="header15.xml"/><Relationship Id="rId37" Type="http://schemas.openxmlformats.org/officeDocument/2006/relationships/header" Target="header18.xml"/><Relationship Id="rId40" Type="http://schemas.openxmlformats.org/officeDocument/2006/relationships/header" Target="header20.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4.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header" Target="header13.xml"/><Relationship Id="rId35" Type="http://schemas.openxmlformats.org/officeDocument/2006/relationships/header" Target="header17.xml"/><Relationship Id="rId43" Type="http://schemas.openxmlformats.org/officeDocument/2006/relationships/footer" Target="footer14.xml"/><Relationship Id="rId48" Type="http://schemas.openxmlformats.org/officeDocument/2006/relationships/customXml" Target="../customXml/item4.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footer" Target="footer10.xml"/><Relationship Id="rId38" Type="http://schemas.openxmlformats.org/officeDocument/2006/relationships/footer" Target="footer12.xml"/><Relationship Id="rId46" Type="http://schemas.openxmlformats.org/officeDocument/2006/relationships/customXml" Target="../customXml/item2.xml"/><Relationship Id="rId20" Type="http://schemas.openxmlformats.org/officeDocument/2006/relationships/footer" Target="footer6.xml"/><Relationship Id="rId41"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www.abs.gov.au/ausstats/abs@.nsf/Latestproducts/B01A5912123E8D2BCA257801000C64F2?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586b857ece52d161859eecff1229151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9421b92c9e8816d069fb67c06e7623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8EB74374-F37B-4391-BBC0-4EEB8F6FCAC9}">
  <ds:schemaRefs>
    <ds:schemaRef ds:uri="http://schemas.openxmlformats.org/officeDocument/2006/bibliography"/>
  </ds:schemaRefs>
</ds:datastoreItem>
</file>

<file path=customXml/itemProps2.xml><?xml version="1.0" encoding="utf-8"?>
<ds:datastoreItem xmlns:ds="http://schemas.openxmlformats.org/officeDocument/2006/customXml" ds:itemID="{1D45A092-C392-4275-A6DD-C193374399C6}"/>
</file>

<file path=customXml/itemProps3.xml><?xml version="1.0" encoding="utf-8"?>
<ds:datastoreItem xmlns:ds="http://schemas.openxmlformats.org/officeDocument/2006/customXml" ds:itemID="{F7D93B53-E38E-4773-BDEA-E89765FD834E}"/>
</file>

<file path=customXml/itemProps4.xml><?xml version="1.0" encoding="utf-8"?>
<ds:datastoreItem xmlns:ds="http://schemas.openxmlformats.org/officeDocument/2006/customXml" ds:itemID="{3E19D695-7472-43AF-BD98-011A6B1270FD}"/>
</file>

<file path=docProps/app.xml><?xml version="1.0" encoding="utf-8"?>
<Properties xmlns="http://schemas.openxmlformats.org/officeDocument/2006/extended-properties" xmlns:vt="http://schemas.openxmlformats.org/officeDocument/2006/docPropsVTypes">
  <Template>Normal</Template>
  <TotalTime>0</TotalTime>
  <Pages>47</Pages>
  <Words>15323</Words>
  <Characters>87343</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Disability Accomodation Decision Paper on Pricing and Payments</dc:title>
  <dc:creator/>
  <cp:keywords/>
  <dc:description/>
  <cp:lastModifiedBy/>
  <cp:revision>1</cp:revision>
  <dcterms:created xsi:type="dcterms:W3CDTF">2016-06-01T04:13:00Z</dcterms:created>
  <dcterms:modified xsi:type="dcterms:W3CDTF">2016-06-01T04:14:00Z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ies>
</file>