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DDD2E" w14:textId="77777777" w:rsidR="005F1C33" w:rsidRPr="00087A9D" w:rsidRDefault="00995132" w:rsidP="001A3E36">
      <w:pPr>
        <w:rPr>
          <w:b/>
        </w:rPr>
      </w:pPr>
      <w:r w:rsidRPr="00087A9D">
        <w:rPr>
          <w:noProof/>
          <w:sz w:val="44"/>
          <w:lang w:eastAsia="en-AU"/>
        </w:rPr>
        <mc:AlternateContent>
          <mc:Choice Requires="wps">
            <w:drawing>
              <wp:inline distT="0" distB="0" distL="0" distR="0" wp14:anchorId="5ED1B3B2" wp14:editId="2DE79752">
                <wp:extent cx="5760000" cy="8100000"/>
                <wp:effectExtent l="0" t="0" r="12700" b="158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81000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6A7D5FCF" w14:textId="77777777" w:rsidR="00317C63" w:rsidRDefault="00317C63" w:rsidP="001A3E36">
                            <w:pPr>
                              <w:pStyle w:val="Headingcover"/>
                            </w:pPr>
                          </w:p>
                          <w:p w14:paraId="66D17E5C" w14:textId="77777777" w:rsidR="00317C63" w:rsidRDefault="00317C63" w:rsidP="001A3E36">
                            <w:pPr>
                              <w:pStyle w:val="Headingcover"/>
                            </w:pPr>
                          </w:p>
                          <w:p w14:paraId="0DE97A6C" w14:textId="77777777" w:rsidR="00317C63" w:rsidRPr="00713C8A" w:rsidRDefault="00317C63" w:rsidP="00713C8A">
                            <w:pPr>
                              <w:pStyle w:val="Headingcover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13C8A">
                              <w:rPr>
                                <w:sz w:val="48"/>
                                <w:szCs w:val="48"/>
                              </w:rPr>
                              <w:t>National Disability Insurance Scheme</w:t>
                            </w:r>
                          </w:p>
                          <w:p w14:paraId="510A4365" w14:textId="77777777" w:rsidR="00317C63" w:rsidRPr="00713C8A" w:rsidRDefault="00317C63" w:rsidP="00713C8A">
                            <w:pPr>
                              <w:pStyle w:val="Headingcover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11C86272" w14:textId="14B9FC8D" w:rsidR="00317C63" w:rsidRDefault="00317C63" w:rsidP="00852C9E">
                            <w:pPr>
                              <w:pStyle w:val="Headingcover"/>
                              <w:spacing w:after="6000"/>
                              <w:jc w:val="center"/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Cost Model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br/>
                              <w:t>for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br/>
                              <w:t>Disability Support Workers</w:t>
                            </w:r>
                          </w:p>
                          <w:p w14:paraId="4F756057" w14:textId="77777777" w:rsidR="00317C63" w:rsidRPr="00852C9E" w:rsidRDefault="00317C63" w:rsidP="007D5E61">
                            <w:pPr>
                              <w:pStyle w:val="Headingcover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June</w:t>
                            </w:r>
                            <w:r w:rsidRPr="00852C9E">
                              <w:rPr>
                                <w:sz w:val="48"/>
                                <w:szCs w:val="48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D1B3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3.55pt;height:63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" fillcolor="#6b2976 [3207]">
                <v:stroke joinstyle="round" endcap="round"/>
                <v:textbox>
                  <w:txbxContent>
                    <w:p w14:paraId="6A7D5FCF" w14:textId="77777777" w:rsidR="00317C63" w:rsidRDefault="00317C63" w:rsidP="001A3E36">
                      <w:pPr>
                        <w:pStyle w:val="Headingcover"/>
                      </w:pPr>
                    </w:p>
                    <w:p w14:paraId="66D17E5C" w14:textId="77777777" w:rsidR="00317C63" w:rsidRDefault="00317C63" w:rsidP="001A3E36">
                      <w:pPr>
                        <w:pStyle w:val="Headingcover"/>
                      </w:pPr>
                    </w:p>
                    <w:p w14:paraId="0DE97A6C" w14:textId="77777777" w:rsidR="00317C63" w:rsidRPr="00713C8A" w:rsidRDefault="00317C63" w:rsidP="00713C8A">
                      <w:pPr>
                        <w:pStyle w:val="Headingcover"/>
                        <w:jc w:val="center"/>
                        <w:rPr>
                          <w:sz w:val="48"/>
                          <w:szCs w:val="48"/>
                        </w:rPr>
                      </w:pPr>
                      <w:r w:rsidRPr="00713C8A">
                        <w:rPr>
                          <w:sz w:val="48"/>
                          <w:szCs w:val="48"/>
                        </w:rPr>
                        <w:t>National Disability Insurance Scheme</w:t>
                      </w:r>
                    </w:p>
                    <w:p w14:paraId="510A4365" w14:textId="77777777" w:rsidR="00317C63" w:rsidRPr="00713C8A" w:rsidRDefault="00317C63" w:rsidP="00713C8A">
                      <w:pPr>
                        <w:pStyle w:val="Headingcover"/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11C86272" w14:textId="14B9FC8D" w:rsidR="00317C63" w:rsidRDefault="00317C63" w:rsidP="00852C9E">
                      <w:pPr>
                        <w:pStyle w:val="Headingcover"/>
                        <w:spacing w:after="6000"/>
                        <w:jc w:val="center"/>
                      </w:pPr>
                      <w:r>
                        <w:rPr>
                          <w:sz w:val="48"/>
                          <w:szCs w:val="48"/>
                        </w:rPr>
                        <w:t>Cost Model</w:t>
                      </w:r>
                      <w:r>
                        <w:rPr>
                          <w:sz w:val="48"/>
                          <w:szCs w:val="48"/>
                        </w:rPr>
                        <w:br/>
                        <w:t>for</w:t>
                      </w:r>
                      <w:r>
                        <w:rPr>
                          <w:sz w:val="48"/>
                          <w:szCs w:val="48"/>
                        </w:rPr>
                        <w:br/>
                        <w:t>Disability Support Workers</w:t>
                      </w:r>
                    </w:p>
                    <w:p w14:paraId="4F756057" w14:textId="77777777" w:rsidR="00317C63" w:rsidRPr="00852C9E" w:rsidRDefault="00317C63" w:rsidP="007D5E61">
                      <w:pPr>
                        <w:pStyle w:val="Headingcover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June</w:t>
                      </w:r>
                      <w:r w:rsidRPr="00852C9E">
                        <w:rPr>
                          <w:sz w:val="48"/>
                          <w:szCs w:val="48"/>
                        </w:rPr>
                        <w:t xml:space="preserve"> 2019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F276E" w:rsidRPr="00087A9D">
        <w:br w:type="page"/>
      </w:r>
      <w:r w:rsidR="00CD599B" w:rsidRPr="00087A9D">
        <w:rPr>
          <w:b/>
        </w:rPr>
        <w:lastRenderedPageBreak/>
        <w:t>C</w:t>
      </w:r>
      <w:r w:rsidR="005F1C33" w:rsidRPr="00087A9D">
        <w:rPr>
          <w:b/>
        </w:rPr>
        <w:t>opyright</w:t>
      </w:r>
    </w:p>
    <w:p w14:paraId="44AAE801" w14:textId="77777777" w:rsidR="005F1C33" w:rsidRPr="00087A9D" w:rsidRDefault="005F1C33" w:rsidP="001A3E36">
      <w:r w:rsidRPr="00087A9D">
        <w:t xml:space="preserve">Copyright in the information contained </w:t>
      </w:r>
      <w:r w:rsidR="00775FAB">
        <w:t>i</w:t>
      </w:r>
      <w:r w:rsidRPr="00087A9D">
        <w:t xml:space="preserve">n this </w:t>
      </w:r>
      <w:r w:rsidR="008B0630">
        <w:t>Cost Model</w:t>
      </w:r>
      <w:r w:rsidR="00EC4C95" w:rsidRPr="00087A9D">
        <w:t xml:space="preserve"> </w:t>
      </w:r>
      <w:r w:rsidRPr="00087A9D">
        <w:t>is owned and protected by the National Disability Insurance Scheme Launch Transition Agency (National Disability Insurance Agency).</w:t>
      </w:r>
    </w:p>
    <w:p w14:paraId="6B935457" w14:textId="77777777" w:rsidR="005F1C33" w:rsidRPr="00087A9D" w:rsidRDefault="005F1C33" w:rsidP="001A3E36"/>
    <w:p w14:paraId="0E176F9D" w14:textId="77777777" w:rsidR="005F1C33" w:rsidRPr="00087A9D" w:rsidRDefault="005F1C33" w:rsidP="001A3E36">
      <w:pPr>
        <w:rPr>
          <w:b/>
        </w:rPr>
      </w:pPr>
      <w:r w:rsidRPr="00087A9D">
        <w:rPr>
          <w:b/>
        </w:rPr>
        <w:t>Use of National Disability Insurance Agency copyright material</w:t>
      </w:r>
    </w:p>
    <w:p w14:paraId="3421A3FE" w14:textId="77777777" w:rsidR="005F1C33" w:rsidRPr="00087A9D" w:rsidRDefault="005F1C33" w:rsidP="001A3E36">
      <w:r w:rsidRPr="00087A9D">
        <w:t xml:space="preserve">The material in this report with the exception of logos, </w:t>
      </w:r>
      <w:r w:rsidR="00CF2B90" w:rsidRPr="00087A9D">
        <w:t>trademarks</w:t>
      </w:r>
      <w:r w:rsidRPr="00087A9D">
        <w:t xml:space="preserve">, third party material and other content as specified is licensed under Creative Commons CC NC licence, version 3.0. With the exception of logos, </w:t>
      </w:r>
      <w:r w:rsidR="00CF2B90" w:rsidRPr="00087A9D">
        <w:t>trademarks</w:t>
      </w:r>
      <w:r w:rsidRPr="00087A9D">
        <w:t xml:space="preserve">, third party material and other content as specified, you may reproduce the material in this </w:t>
      </w:r>
      <w:r w:rsidR="008B0630">
        <w:t>Cost Model</w:t>
      </w:r>
      <w:r w:rsidRPr="00087A9D">
        <w:t>, provided you acknowledge the National Disability Insurance Agency as the owner of all intellectual property rights in the reproduced material by using ‘© National Disability Insurance Scheme Launch Transition Agency 2018’ and do not use the material for commercial purposes.</w:t>
      </w:r>
    </w:p>
    <w:p w14:paraId="099D0578" w14:textId="77777777" w:rsidR="005F1C33" w:rsidRPr="00087A9D" w:rsidRDefault="005F1C33" w:rsidP="001A3E36">
      <w:r w:rsidRPr="00087A9D">
        <w:t xml:space="preserve">Reproduction of any Creative Commons material in this </w:t>
      </w:r>
      <w:r w:rsidR="00CD7CF3">
        <w:t>document</w:t>
      </w:r>
      <w:r w:rsidRPr="00087A9D">
        <w:t xml:space="preserve"> is subject to the CC NC licence conditions available on the Creative Commons site, as is the full legal code for this material.</w:t>
      </w:r>
    </w:p>
    <w:p w14:paraId="67E776ED" w14:textId="77777777" w:rsidR="005F1C33" w:rsidRPr="00087A9D" w:rsidRDefault="005F1C33" w:rsidP="001A3E36"/>
    <w:p w14:paraId="35CA53FD" w14:textId="77777777" w:rsidR="008B4DE2" w:rsidRPr="00087A9D" w:rsidRDefault="008B4DE2" w:rsidP="001A3E36">
      <w:pPr>
        <w:rPr>
          <w:b/>
        </w:rPr>
      </w:pPr>
      <w:r w:rsidRPr="00087A9D">
        <w:rPr>
          <w:b/>
        </w:rPr>
        <w:t>Terms that we use</w:t>
      </w:r>
    </w:p>
    <w:tbl>
      <w:tblPr>
        <w:tblStyle w:val="PlainTable4"/>
        <w:tblW w:w="0" w:type="auto"/>
        <w:tblLook w:val="0600" w:firstRow="0" w:lastRow="0" w:firstColumn="0" w:lastColumn="0" w:noHBand="1" w:noVBand="1"/>
        <w:tblCaption w:val="Terms that we Use"/>
        <w:tblDescription w:val="Definitions of acronyms used throughout the document: NDIA is the acronym for National Disability Insurance Agency, NDIS is the acronym for National Disability Insurance Scheme, NDIS Q &amp; SC is the acronym for National Disability Insurance Scheme Quality and Safeguards Commission, OOA is the acronym for On-site Overnight Assistance, SDA is the acronym for Specialist Disability Accommodation"/>
      </w:tblPr>
      <w:tblGrid>
        <w:gridCol w:w="2122"/>
        <w:gridCol w:w="6894"/>
      </w:tblGrid>
      <w:tr w:rsidR="00CD7CF3" w:rsidRPr="00087A9D" w14:paraId="2B747861" w14:textId="77777777" w:rsidTr="009418DE">
        <w:trPr>
          <w:tblHeader/>
        </w:trPr>
        <w:tc>
          <w:tcPr>
            <w:tcW w:w="2122" w:type="dxa"/>
          </w:tcPr>
          <w:p w14:paraId="2E04EE59" w14:textId="77777777" w:rsidR="00CD7CF3" w:rsidRPr="00087A9D" w:rsidRDefault="00CD7CF3" w:rsidP="001A3E36">
            <w:r>
              <w:t>DSW</w:t>
            </w:r>
          </w:p>
        </w:tc>
        <w:tc>
          <w:tcPr>
            <w:tcW w:w="6894" w:type="dxa"/>
          </w:tcPr>
          <w:p w14:paraId="0E389338" w14:textId="77777777" w:rsidR="00CD7CF3" w:rsidRPr="00087A9D" w:rsidRDefault="00CD7CF3" w:rsidP="001A3E36">
            <w:r>
              <w:t>Disability Support Worker</w:t>
            </w:r>
          </w:p>
        </w:tc>
      </w:tr>
      <w:tr w:rsidR="00CD7CF3" w:rsidRPr="00087A9D" w14:paraId="75FAD443" w14:textId="77777777" w:rsidTr="009418DE">
        <w:trPr>
          <w:tblHeader/>
        </w:trPr>
        <w:tc>
          <w:tcPr>
            <w:tcW w:w="2122" w:type="dxa"/>
          </w:tcPr>
          <w:p w14:paraId="2E3ADB16" w14:textId="2CED932E" w:rsidR="00CD7CF3" w:rsidRPr="00087A9D" w:rsidRDefault="00CD7CF3" w:rsidP="001A3E36">
            <w:r>
              <w:t>CM</w:t>
            </w:r>
          </w:p>
        </w:tc>
        <w:tc>
          <w:tcPr>
            <w:tcW w:w="6894" w:type="dxa"/>
          </w:tcPr>
          <w:p w14:paraId="22F39729" w14:textId="1C60C43C" w:rsidR="00CD7CF3" w:rsidRPr="00087A9D" w:rsidRDefault="00CD7CF3" w:rsidP="001A3E36">
            <w:r>
              <w:t>Cost Model</w:t>
            </w:r>
          </w:p>
        </w:tc>
      </w:tr>
      <w:tr w:rsidR="008B4DE2" w:rsidRPr="00087A9D" w14:paraId="73625D57" w14:textId="77777777" w:rsidTr="009418DE">
        <w:trPr>
          <w:tblHeader/>
        </w:trPr>
        <w:tc>
          <w:tcPr>
            <w:tcW w:w="2122" w:type="dxa"/>
          </w:tcPr>
          <w:p w14:paraId="32ADFC69" w14:textId="77777777" w:rsidR="008B4DE2" w:rsidRPr="00087A9D" w:rsidRDefault="008B4DE2" w:rsidP="001A3E36">
            <w:r w:rsidRPr="00087A9D">
              <w:t>NDIA</w:t>
            </w:r>
          </w:p>
        </w:tc>
        <w:tc>
          <w:tcPr>
            <w:tcW w:w="6894" w:type="dxa"/>
          </w:tcPr>
          <w:p w14:paraId="57B91B8A" w14:textId="77777777" w:rsidR="008B4DE2" w:rsidRPr="00087A9D" w:rsidRDefault="008B4DE2" w:rsidP="001A3E36">
            <w:r w:rsidRPr="00087A9D">
              <w:t>National Disability Insurance Agency</w:t>
            </w:r>
          </w:p>
        </w:tc>
      </w:tr>
      <w:tr w:rsidR="008B4DE2" w:rsidRPr="00087A9D" w14:paraId="5E9FF791" w14:textId="77777777" w:rsidTr="008B4DE2">
        <w:tc>
          <w:tcPr>
            <w:tcW w:w="2122" w:type="dxa"/>
          </w:tcPr>
          <w:p w14:paraId="1FA3B523" w14:textId="77777777" w:rsidR="008B4DE2" w:rsidRPr="00087A9D" w:rsidRDefault="008B4DE2" w:rsidP="001A3E36">
            <w:r w:rsidRPr="00087A9D">
              <w:t>NDIS</w:t>
            </w:r>
          </w:p>
        </w:tc>
        <w:tc>
          <w:tcPr>
            <w:tcW w:w="6894" w:type="dxa"/>
          </w:tcPr>
          <w:p w14:paraId="6668D428" w14:textId="77777777" w:rsidR="008B4DE2" w:rsidRPr="00087A9D" w:rsidRDefault="008B4DE2" w:rsidP="001A3E36">
            <w:r w:rsidRPr="00087A9D">
              <w:t>National Disability Insurance Scheme</w:t>
            </w:r>
          </w:p>
        </w:tc>
      </w:tr>
      <w:tr w:rsidR="008B4DE2" w:rsidRPr="00087A9D" w14:paraId="56F97B0F" w14:textId="77777777" w:rsidTr="008B4DE2">
        <w:tc>
          <w:tcPr>
            <w:tcW w:w="2122" w:type="dxa"/>
          </w:tcPr>
          <w:p w14:paraId="39E96B3D" w14:textId="77777777" w:rsidR="008B4DE2" w:rsidRPr="00087A9D" w:rsidRDefault="008B4DE2" w:rsidP="001A3E36">
            <w:r w:rsidRPr="00087A9D">
              <w:t>NDIS Q&amp;SC</w:t>
            </w:r>
          </w:p>
        </w:tc>
        <w:tc>
          <w:tcPr>
            <w:tcW w:w="6894" w:type="dxa"/>
          </w:tcPr>
          <w:p w14:paraId="4AC3DCC6" w14:textId="77777777" w:rsidR="008B4DE2" w:rsidRPr="00087A9D" w:rsidRDefault="008B4DE2" w:rsidP="001A3E36">
            <w:r w:rsidRPr="00087A9D">
              <w:t>National Disability Insurance Scheme Quality and Safeguards Commission</w:t>
            </w:r>
          </w:p>
        </w:tc>
      </w:tr>
    </w:tbl>
    <w:p w14:paraId="3BF2D434" w14:textId="77777777" w:rsidR="008B4DE2" w:rsidRPr="00087A9D" w:rsidRDefault="008B4DE2" w:rsidP="001A3E36"/>
    <w:p w14:paraId="6DC39BFD" w14:textId="77777777" w:rsidR="005F1C33" w:rsidRPr="00087A9D" w:rsidRDefault="005F1C33" w:rsidP="001A3E36">
      <w:pPr>
        <w:rPr>
          <w:b/>
        </w:rPr>
      </w:pPr>
      <w:r w:rsidRPr="00087A9D">
        <w:rPr>
          <w:b/>
        </w:rPr>
        <w:t>Further information</w:t>
      </w:r>
    </w:p>
    <w:p w14:paraId="04443598" w14:textId="77777777" w:rsidR="00713C8A" w:rsidRPr="00087A9D" w:rsidRDefault="005F1C33" w:rsidP="001A3E36">
      <w:r w:rsidRPr="00087A9D">
        <w:t>Further information on pricing in the National Disability Insurance Scheme can be found at</w:t>
      </w:r>
      <w:r w:rsidR="00713C8A" w:rsidRPr="00087A9D">
        <w:t xml:space="preserve"> </w:t>
      </w:r>
      <w:r w:rsidR="00AA0DA9" w:rsidRPr="00087A9D">
        <w:t xml:space="preserve">the </w:t>
      </w:r>
      <w:hyperlink r:id="rId11" w:history="1">
        <w:r w:rsidR="00AA0DA9" w:rsidRPr="00087A9D">
          <w:rPr>
            <w:rStyle w:val="Hyperlink"/>
          </w:rPr>
          <w:t>NDIS website</w:t>
        </w:r>
      </w:hyperlink>
    </w:p>
    <w:p w14:paraId="47C8C549" w14:textId="77777777" w:rsidR="0040640D" w:rsidRPr="00087A9D" w:rsidRDefault="0040640D" w:rsidP="001A3E36">
      <w:pPr>
        <w:rPr>
          <w:color w:val="6B2976" w:themeColor="accent4"/>
          <w:sz w:val="32"/>
          <w:szCs w:val="32"/>
        </w:rPr>
      </w:pPr>
      <w:r w:rsidRPr="00087A9D">
        <w:br w:type="page"/>
      </w:r>
    </w:p>
    <w:p w14:paraId="7C455CC7" w14:textId="77777777" w:rsidR="007219F1" w:rsidRPr="00087A9D" w:rsidRDefault="007219F1" w:rsidP="00D6031F">
      <w:pPr>
        <w:pStyle w:val="TOCHeading"/>
        <w:numPr>
          <w:ilvl w:val="0"/>
          <w:numId w:val="0"/>
        </w:numPr>
        <w:ind w:left="567" w:hanging="567"/>
      </w:pPr>
      <w:r w:rsidRPr="00087A9D">
        <w:lastRenderedPageBreak/>
        <w:t>Contents</w:t>
      </w:r>
    </w:p>
    <w:bookmarkStart w:id="0" w:name="_GoBack"/>
    <w:bookmarkEnd w:id="0"/>
    <w:p w14:paraId="1F6511C3" w14:textId="03916274" w:rsidR="00D6473E" w:rsidRDefault="0040062A">
      <w:pPr>
        <w:pStyle w:val="TOC1"/>
        <w:rPr>
          <w:rFonts w:eastAsiaTheme="minorEastAsia"/>
          <w:b w:val="0"/>
          <w:noProof/>
          <w:lang w:eastAsia="en-AU"/>
        </w:rPr>
      </w:pPr>
      <w:r w:rsidRPr="00775FAB">
        <w:fldChar w:fldCharType="begin"/>
      </w:r>
      <w:r w:rsidR="008D296D" w:rsidRPr="00087A9D">
        <w:instrText xml:space="preserve"> TOC \o "1-3</w:instrText>
      </w:r>
      <w:r w:rsidRPr="00087A9D">
        <w:instrText xml:space="preserve">" \h \z \u </w:instrText>
      </w:r>
      <w:r w:rsidRPr="00775FAB">
        <w:fldChar w:fldCharType="separate"/>
      </w:r>
      <w:hyperlink w:anchor="_Toc21533542" w:history="1">
        <w:r w:rsidR="00D6473E" w:rsidRPr="00534BA3">
          <w:rPr>
            <w:rStyle w:val="Hyperlink"/>
            <w:noProof/>
          </w:rPr>
          <w:t>1</w:t>
        </w:r>
        <w:r w:rsidR="00D6473E">
          <w:rPr>
            <w:rFonts w:eastAsiaTheme="minorEastAsia"/>
            <w:b w:val="0"/>
            <w:noProof/>
            <w:lang w:eastAsia="en-AU"/>
          </w:rPr>
          <w:tab/>
        </w:r>
        <w:r w:rsidR="00D6473E" w:rsidRPr="00534BA3">
          <w:rPr>
            <w:rStyle w:val="Hyperlink"/>
            <w:noProof/>
          </w:rPr>
          <w:t>Introduction</w:t>
        </w:r>
        <w:r w:rsidR="00D6473E">
          <w:rPr>
            <w:noProof/>
            <w:webHidden/>
          </w:rPr>
          <w:tab/>
        </w:r>
        <w:r w:rsidR="00D6473E">
          <w:rPr>
            <w:noProof/>
            <w:webHidden/>
          </w:rPr>
          <w:fldChar w:fldCharType="begin"/>
        </w:r>
        <w:r w:rsidR="00D6473E">
          <w:rPr>
            <w:noProof/>
            <w:webHidden/>
          </w:rPr>
          <w:instrText xml:space="preserve"> PAGEREF _Toc21533542 \h </w:instrText>
        </w:r>
        <w:r w:rsidR="00D6473E">
          <w:rPr>
            <w:noProof/>
            <w:webHidden/>
          </w:rPr>
        </w:r>
        <w:r w:rsidR="00D6473E">
          <w:rPr>
            <w:noProof/>
            <w:webHidden/>
          </w:rPr>
          <w:fldChar w:fldCharType="separate"/>
        </w:r>
        <w:r w:rsidR="00D6473E">
          <w:rPr>
            <w:noProof/>
            <w:webHidden/>
          </w:rPr>
          <w:t>5</w:t>
        </w:r>
        <w:r w:rsidR="00D6473E">
          <w:rPr>
            <w:noProof/>
            <w:webHidden/>
          </w:rPr>
          <w:fldChar w:fldCharType="end"/>
        </w:r>
      </w:hyperlink>
    </w:p>
    <w:p w14:paraId="03673531" w14:textId="53CD81F3" w:rsidR="00D6473E" w:rsidRDefault="00D6473E">
      <w:pPr>
        <w:pStyle w:val="TOC1"/>
        <w:rPr>
          <w:rFonts w:eastAsiaTheme="minorEastAsia"/>
          <w:b w:val="0"/>
          <w:noProof/>
          <w:lang w:eastAsia="en-AU"/>
        </w:rPr>
      </w:pPr>
      <w:hyperlink w:anchor="_Toc21533543" w:history="1">
        <w:r w:rsidRPr="00534BA3">
          <w:rPr>
            <w:rStyle w:val="Hyperlink"/>
            <w:noProof/>
          </w:rPr>
          <w:t>2</w:t>
        </w:r>
        <w:r>
          <w:rPr>
            <w:rFonts w:eastAsiaTheme="minorEastAsia"/>
            <w:b w:val="0"/>
            <w:noProof/>
            <w:lang w:eastAsia="en-AU"/>
          </w:rPr>
          <w:tab/>
        </w:r>
        <w:r w:rsidRPr="00534BA3">
          <w:rPr>
            <w:rStyle w:val="Hyperlink"/>
            <w:noProof/>
          </w:rPr>
          <w:t>Disability Support Worker Cost Model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_Toc21533543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97059FD" w14:textId="30815E39" w:rsidR="00D6473E" w:rsidRDefault="00D6473E">
      <w:pPr>
        <w:pStyle w:val="TOC2"/>
        <w:tabs>
          <w:tab w:val="left" w:pos="1134"/>
          <w:tab w:val="right" w:leader="dot" w:pos="9016"/>
        </w:tabs>
        <w:rPr>
          <w:rFonts w:eastAsiaTheme="minorEastAsia"/>
          <w:noProof/>
          <w:lang w:eastAsia="en-AU"/>
        </w:rPr>
      </w:pPr>
      <w:hyperlink w:anchor="_Toc21533544" w:history="1">
        <w:r w:rsidRPr="00534BA3">
          <w:rPr>
            <w:rStyle w:val="Hyperlink"/>
            <w:noProof/>
          </w:rPr>
          <w:t>2.1</w:t>
        </w:r>
        <w:r>
          <w:rPr>
            <w:rFonts w:eastAsiaTheme="minorEastAsia"/>
            <w:noProof/>
            <w:lang w:eastAsia="en-AU"/>
          </w:rPr>
          <w:tab/>
        </w:r>
        <w:r w:rsidRPr="00534BA3">
          <w:rPr>
            <w:rStyle w:val="Hyperlink"/>
            <w:noProof/>
          </w:rPr>
          <w:t>Applicable Industrial Award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_Toc21533544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63919CC" w14:textId="48A2AB34" w:rsidR="00D6473E" w:rsidRDefault="00D6473E">
      <w:pPr>
        <w:pStyle w:val="TOC2"/>
        <w:tabs>
          <w:tab w:val="left" w:pos="1134"/>
          <w:tab w:val="right" w:leader="dot" w:pos="9016"/>
        </w:tabs>
        <w:rPr>
          <w:rFonts w:eastAsiaTheme="minorEastAsia"/>
          <w:noProof/>
          <w:lang w:eastAsia="en-AU"/>
        </w:rPr>
      </w:pPr>
      <w:hyperlink w:anchor="_Toc21533545" w:history="1">
        <w:r w:rsidRPr="00534BA3">
          <w:rPr>
            <w:rStyle w:val="Hyperlink"/>
            <w:noProof/>
          </w:rPr>
          <w:t>2.2</w:t>
        </w:r>
        <w:r>
          <w:rPr>
            <w:rFonts w:eastAsiaTheme="minorEastAsia"/>
            <w:noProof/>
            <w:lang w:eastAsia="en-AU"/>
          </w:rPr>
          <w:tab/>
        </w:r>
        <w:r w:rsidRPr="00534BA3">
          <w:rPr>
            <w:rStyle w:val="Hyperlink"/>
            <w:noProof/>
          </w:rPr>
          <w:t>Base Pay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_Toc21533545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79F8D9C" w14:textId="47FE0A96" w:rsidR="00D6473E" w:rsidRDefault="00D6473E">
      <w:pPr>
        <w:pStyle w:val="TOC2"/>
        <w:tabs>
          <w:tab w:val="left" w:pos="1134"/>
          <w:tab w:val="right" w:leader="dot" w:pos="9016"/>
        </w:tabs>
        <w:rPr>
          <w:rFonts w:eastAsiaTheme="minorEastAsia"/>
          <w:noProof/>
          <w:lang w:eastAsia="en-AU"/>
        </w:rPr>
      </w:pPr>
      <w:hyperlink w:anchor="_Toc21533546" w:history="1">
        <w:r w:rsidRPr="00534BA3">
          <w:rPr>
            <w:rStyle w:val="Hyperlink"/>
            <w:noProof/>
          </w:rPr>
          <w:t>2.3</w:t>
        </w:r>
        <w:r>
          <w:rPr>
            <w:rFonts w:eastAsiaTheme="minorEastAsia"/>
            <w:noProof/>
            <w:lang w:eastAsia="en-AU"/>
          </w:rPr>
          <w:tab/>
        </w:r>
        <w:r w:rsidRPr="00534BA3">
          <w:rPr>
            <w:rStyle w:val="Hyperlink"/>
            <w:noProof/>
          </w:rPr>
          <w:t>Shift Loadings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_Toc21533546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F088617" w14:textId="4876D296" w:rsidR="00D6473E" w:rsidRDefault="00D6473E">
      <w:pPr>
        <w:pStyle w:val="TOC2"/>
        <w:tabs>
          <w:tab w:val="left" w:pos="1134"/>
          <w:tab w:val="right" w:leader="dot" w:pos="9016"/>
        </w:tabs>
        <w:rPr>
          <w:rFonts w:eastAsiaTheme="minorEastAsia"/>
          <w:noProof/>
          <w:lang w:eastAsia="en-AU"/>
        </w:rPr>
      </w:pPr>
      <w:hyperlink w:anchor="_Toc21533547" w:history="1">
        <w:r w:rsidRPr="00534BA3">
          <w:rPr>
            <w:rStyle w:val="Hyperlink"/>
            <w:noProof/>
          </w:rPr>
          <w:t>2.4</w:t>
        </w:r>
        <w:r>
          <w:rPr>
            <w:rFonts w:eastAsiaTheme="minorEastAsia"/>
            <w:noProof/>
            <w:lang w:eastAsia="en-AU"/>
          </w:rPr>
          <w:tab/>
        </w:r>
        <w:r w:rsidRPr="00534BA3">
          <w:rPr>
            <w:rStyle w:val="Hyperlink"/>
            <w:noProof/>
          </w:rPr>
          <w:t>Days Worked Versus Days Paid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_Toc21533547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50D1A31" w14:textId="1EDDD076" w:rsidR="00D6473E" w:rsidRDefault="00D6473E">
      <w:pPr>
        <w:pStyle w:val="TOC2"/>
        <w:tabs>
          <w:tab w:val="left" w:pos="1134"/>
          <w:tab w:val="right" w:leader="dot" w:pos="9016"/>
        </w:tabs>
        <w:rPr>
          <w:rFonts w:eastAsiaTheme="minorEastAsia"/>
          <w:noProof/>
          <w:lang w:eastAsia="en-AU"/>
        </w:rPr>
      </w:pPr>
      <w:hyperlink w:anchor="_Toc21533548" w:history="1">
        <w:r w:rsidRPr="00534BA3">
          <w:rPr>
            <w:rStyle w:val="Hyperlink"/>
            <w:noProof/>
          </w:rPr>
          <w:t>2.5</w:t>
        </w:r>
        <w:r>
          <w:rPr>
            <w:rFonts w:eastAsiaTheme="minorEastAsia"/>
            <w:noProof/>
            <w:lang w:eastAsia="en-AU"/>
          </w:rPr>
          <w:tab/>
        </w:r>
        <w:r w:rsidRPr="00534BA3">
          <w:rPr>
            <w:rStyle w:val="Hyperlink"/>
            <w:noProof/>
          </w:rPr>
          <w:t>Salary On-costs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_Toc21533548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2B28AC3" w14:textId="69BD4CBA" w:rsidR="00D6473E" w:rsidRDefault="00D6473E">
      <w:pPr>
        <w:pStyle w:val="TOC2"/>
        <w:tabs>
          <w:tab w:val="left" w:pos="1134"/>
          <w:tab w:val="right" w:leader="dot" w:pos="9016"/>
        </w:tabs>
        <w:rPr>
          <w:rFonts w:eastAsiaTheme="minorEastAsia"/>
          <w:noProof/>
          <w:lang w:eastAsia="en-AU"/>
        </w:rPr>
      </w:pPr>
      <w:hyperlink w:anchor="_Toc21533549" w:history="1">
        <w:r w:rsidRPr="00534BA3">
          <w:rPr>
            <w:rStyle w:val="Hyperlink"/>
            <w:noProof/>
          </w:rPr>
          <w:t>2.6</w:t>
        </w:r>
        <w:r>
          <w:rPr>
            <w:rFonts w:eastAsiaTheme="minorEastAsia"/>
            <w:noProof/>
            <w:lang w:eastAsia="en-AU"/>
          </w:rPr>
          <w:tab/>
        </w:r>
        <w:r w:rsidRPr="00534BA3">
          <w:rPr>
            <w:rStyle w:val="Hyperlink"/>
            <w:noProof/>
          </w:rPr>
          <w:t>Supervision costs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_Toc21533549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6824730" w14:textId="7DE0C712" w:rsidR="00D6473E" w:rsidRDefault="00D6473E">
      <w:pPr>
        <w:pStyle w:val="TOC2"/>
        <w:tabs>
          <w:tab w:val="left" w:pos="1134"/>
          <w:tab w:val="right" w:leader="dot" w:pos="9016"/>
        </w:tabs>
        <w:rPr>
          <w:rFonts w:eastAsiaTheme="minorEastAsia"/>
          <w:noProof/>
          <w:lang w:eastAsia="en-AU"/>
        </w:rPr>
      </w:pPr>
      <w:hyperlink w:anchor="_Toc21533550" w:history="1">
        <w:r w:rsidRPr="00534BA3">
          <w:rPr>
            <w:rStyle w:val="Hyperlink"/>
            <w:noProof/>
          </w:rPr>
          <w:t>2.7</w:t>
        </w:r>
        <w:r>
          <w:rPr>
            <w:rFonts w:eastAsiaTheme="minorEastAsia"/>
            <w:noProof/>
            <w:lang w:eastAsia="en-AU"/>
          </w:rPr>
          <w:tab/>
        </w:r>
        <w:r w:rsidRPr="00534BA3">
          <w:rPr>
            <w:rStyle w:val="Hyperlink"/>
            <w:noProof/>
          </w:rPr>
          <w:t>Permanent v Casual Workers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_Toc21533550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EF1C8F0" w14:textId="1F7BBE63" w:rsidR="00D6473E" w:rsidRDefault="00D6473E">
      <w:pPr>
        <w:pStyle w:val="TOC2"/>
        <w:tabs>
          <w:tab w:val="left" w:pos="1134"/>
          <w:tab w:val="right" w:leader="dot" w:pos="9016"/>
        </w:tabs>
        <w:rPr>
          <w:rFonts w:eastAsiaTheme="minorEastAsia"/>
          <w:noProof/>
          <w:lang w:eastAsia="en-AU"/>
        </w:rPr>
      </w:pPr>
      <w:hyperlink w:anchor="_Toc21533551" w:history="1">
        <w:r w:rsidRPr="00534BA3">
          <w:rPr>
            <w:rStyle w:val="Hyperlink"/>
            <w:noProof/>
          </w:rPr>
          <w:t>2.8</w:t>
        </w:r>
        <w:r>
          <w:rPr>
            <w:rFonts w:eastAsiaTheme="minorEastAsia"/>
            <w:noProof/>
            <w:lang w:eastAsia="en-AU"/>
          </w:rPr>
          <w:tab/>
        </w:r>
        <w:r w:rsidRPr="00534BA3">
          <w:rPr>
            <w:rStyle w:val="Hyperlink"/>
            <w:noProof/>
          </w:rPr>
          <w:t>Utilisation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_Toc21533551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CB68A7C" w14:textId="7F960E8E" w:rsidR="00D6473E" w:rsidRDefault="00D6473E">
      <w:pPr>
        <w:pStyle w:val="TOC2"/>
        <w:tabs>
          <w:tab w:val="left" w:pos="1134"/>
          <w:tab w:val="right" w:leader="dot" w:pos="9016"/>
        </w:tabs>
        <w:rPr>
          <w:rFonts w:eastAsiaTheme="minorEastAsia"/>
          <w:noProof/>
          <w:lang w:eastAsia="en-AU"/>
        </w:rPr>
      </w:pPr>
      <w:hyperlink w:anchor="_Toc21533552" w:history="1">
        <w:r w:rsidRPr="00534BA3">
          <w:rPr>
            <w:rStyle w:val="Hyperlink"/>
            <w:noProof/>
          </w:rPr>
          <w:t>2.9</w:t>
        </w:r>
        <w:r>
          <w:rPr>
            <w:rFonts w:eastAsiaTheme="minorEastAsia"/>
            <w:noProof/>
            <w:lang w:eastAsia="en-AU"/>
          </w:rPr>
          <w:tab/>
        </w:r>
        <w:r w:rsidRPr="00534BA3">
          <w:rPr>
            <w:rStyle w:val="Hyperlink"/>
            <w:noProof/>
          </w:rPr>
          <w:t>Overheads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_Toc21533552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1EB9516" w14:textId="1EB1254C" w:rsidR="00D6473E" w:rsidRDefault="00D6473E">
      <w:pPr>
        <w:pStyle w:val="TOC2"/>
        <w:tabs>
          <w:tab w:val="left" w:pos="1320"/>
          <w:tab w:val="right" w:leader="dot" w:pos="9016"/>
        </w:tabs>
        <w:rPr>
          <w:rFonts w:eastAsiaTheme="minorEastAsia"/>
          <w:noProof/>
          <w:lang w:eastAsia="en-AU"/>
        </w:rPr>
      </w:pPr>
      <w:hyperlink w:anchor="_Toc21533553" w:history="1">
        <w:r w:rsidRPr="00534BA3">
          <w:rPr>
            <w:rStyle w:val="Hyperlink"/>
            <w:noProof/>
          </w:rPr>
          <w:t>2.10</w:t>
        </w:r>
        <w:r>
          <w:rPr>
            <w:rFonts w:eastAsiaTheme="minorEastAsia"/>
            <w:noProof/>
            <w:lang w:eastAsia="en-AU"/>
          </w:rPr>
          <w:tab/>
        </w:r>
        <w:r w:rsidRPr="00534BA3">
          <w:rPr>
            <w:rStyle w:val="Hyperlink"/>
            <w:noProof/>
          </w:rPr>
          <w:t>Margins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_Toc21533553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5C31EE6" w14:textId="04435759" w:rsidR="00D6473E" w:rsidRDefault="00D6473E">
      <w:pPr>
        <w:pStyle w:val="TOC1"/>
        <w:rPr>
          <w:rFonts w:eastAsiaTheme="minorEastAsia"/>
          <w:b w:val="0"/>
          <w:noProof/>
          <w:lang w:eastAsia="en-AU"/>
        </w:rPr>
      </w:pPr>
      <w:hyperlink w:anchor="_Toc21533554" w:history="1">
        <w:r w:rsidRPr="00534BA3">
          <w:rPr>
            <w:rStyle w:val="Hyperlink"/>
            <w:noProof/>
          </w:rPr>
          <w:t>3</w:t>
        </w:r>
        <w:r>
          <w:rPr>
            <w:rFonts w:eastAsiaTheme="minorEastAsia"/>
            <w:b w:val="0"/>
            <w:noProof/>
            <w:lang w:eastAsia="en-AU"/>
          </w:rPr>
          <w:tab/>
        </w:r>
        <w:r w:rsidRPr="00534BA3">
          <w:rPr>
            <w:rStyle w:val="Hyperlink"/>
            <w:noProof/>
          </w:rPr>
          <w:t>Pricing Model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_Toc21533554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C061203" w14:textId="72B8320D" w:rsidR="00EE5246" w:rsidRPr="00087A9D" w:rsidRDefault="0040062A" w:rsidP="001A3E36">
      <w:r w:rsidRPr="00775FAB">
        <w:fldChar w:fldCharType="end"/>
      </w:r>
    </w:p>
    <w:p w14:paraId="0FEDFBF2" w14:textId="77777777" w:rsidR="00CD7CF3" w:rsidRDefault="00CD7CF3" w:rsidP="0027277B">
      <w:pPr>
        <w:pStyle w:val="Heading1"/>
        <w:sectPr w:rsidR="00CD7CF3" w:rsidSect="00E3168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oddPage"/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  <w:bookmarkStart w:id="1" w:name="_Toc2341423"/>
    </w:p>
    <w:p w14:paraId="37E73A52" w14:textId="77777777" w:rsidR="004D32B5" w:rsidRPr="00087A9D" w:rsidRDefault="003F4435" w:rsidP="0027277B">
      <w:pPr>
        <w:pStyle w:val="Heading1"/>
      </w:pPr>
      <w:bookmarkStart w:id="2" w:name="_Toc21533542"/>
      <w:r w:rsidRPr="00087A9D">
        <w:lastRenderedPageBreak/>
        <w:t>Introduction</w:t>
      </w:r>
      <w:bookmarkEnd w:id="1"/>
      <w:bookmarkEnd w:id="2"/>
    </w:p>
    <w:p w14:paraId="3CB5399A" w14:textId="77777777" w:rsidR="007836CD" w:rsidRPr="00087A9D" w:rsidRDefault="007836CD" w:rsidP="007836CD">
      <w:r w:rsidRPr="00087A9D">
        <w:t>One of the principal object</w:t>
      </w:r>
      <w:r w:rsidR="007D5116">
        <w:t>ives</w:t>
      </w:r>
      <w:r w:rsidRPr="00087A9D">
        <w:t xml:space="preserve"> of the </w:t>
      </w:r>
      <w:r w:rsidR="00CD7CF3">
        <w:t>National Disability Insurance Scheme (</w:t>
      </w:r>
      <w:r w:rsidRPr="00087A9D">
        <w:t>NDIS</w:t>
      </w:r>
      <w:r w:rsidR="00CD7CF3">
        <w:t>)</w:t>
      </w:r>
      <w:r w:rsidRPr="00087A9D">
        <w:t xml:space="preserve"> is </w:t>
      </w:r>
      <w:r w:rsidR="007D5116">
        <w:t>for</w:t>
      </w:r>
      <w:r w:rsidR="007D5116" w:rsidRPr="00087A9D">
        <w:t xml:space="preserve"> </w:t>
      </w:r>
      <w:r w:rsidR="00FB0CD9" w:rsidRPr="00087A9D">
        <w:t xml:space="preserve">people with </w:t>
      </w:r>
      <w:r w:rsidR="007D5116" w:rsidRPr="00087A9D">
        <w:t>disabilit</w:t>
      </w:r>
      <w:r w:rsidR="007D5116">
        <w:t>y</w:t>
      </w:r>
      <w:r w:rsidR="007D5116" w:rsidRPr="00087A9D">
        <w:t xml:space="preserve"> </w:t>
      </w:r>
      <w:r w:rsidR="007D5116">
        <w:t>to exercise</w:t>
      </w:r>
      <w:r w:rsidRPr="00087A9D">
        <w:t xml:space="preserve"> choice and control over how, and with which providers, they spend their available budgets. The role of </w:t>
      </w:r>
      <w:r w:rsidR="007D5116" w:rsidRPr="00087A9D">
        <w:t>pric</w:t>
      </w:r>
      <w:r w:rsidR="007D5116">
        <w:t>ing</w:t>
      </w:r>
      <w:r w:rsidR="007D5116" w:rsidRPr="00087A9D">
        <w:t xml:space="preserve"> </w:t>
      </w:r>
      <w:r w:rsidRPr="00087A9D">
        <w:t xml:space="preserve">in the NDIS is therefore very </w:t>
      </w:r>
      <w:r w:rsidR="007D5116">
        <w:t>important</w:t>
      </w:r>
      <w:r w:rsidRPr="00087A9D">
        <w:t xml:space="preserve">. Prices, or more precisely participants’ choices in response to </w:t>
      </w:r>
      <w:r w:rsidR="00B207E8" w:rsidRPr="00087A9D">
        <w:t xml:space="preserve">the </w:t>
      </w:r>
      <w:r w:rsidRPr="00087A9D">
        <w:t>prices</w:t>
      </w:r>
      <w:r w:rsidR="00B207E8" w:rsidRPr="00087A9D">
        <w:t xml:space="preserve"> they face in the market</w:t>
      </w:r>
      <w:r w:rsidRPr="00087A9D">
        <w:t>, reflect the preferences and relative value</w:t>
      </w:r>
      <w:r w:rsidR="00B207E8" w:rsidRPr="00087A9D">
        <w:t>s</w:t>
      </w:r>
      <w:r w:rsidRPr="00087A9D">
        <w:t xml:space="preserve"> that different participants place on different types of supports. The aggregation of these individual responses in turn signals to </w:t>
      </w:r>
      <w:r w:rsidR="00EA1761">
        <w:t>providers</w:t>
      </w:r>
      <w:r w:rsidR="00EA1761" w:rsidRPr="00087A9D">
        <w:t xml:space="preserve"> </w:t>
      </w:r>
      <w:r w:rsidRPr="00087A9D">
        <w:t>the quantity and mix of supports to supply. Prices also affect the purchasing power of participants. Higher prices reduce the supports participants can purchase within</w:t>
      </w:r>
      <w:r w:rsidR="006A4FBA" w:rsidRPr="00087A9D">
        <w:t xml:space="preserve"> a given </w:t>
      </w:r>
      <w:r w:rsidR="007D5116">
        <w:t>support</w:t>
      </w:r>
      <w:r w:rsidR="007D5116" w:rsidRPr="00087A9D">
        <w:t xml:space="preserve"> </w:t>
      </w:r>
      <w:r w:rsidR="006A4FBA" w:rsidRPr="00087A9D">
        <w:t>budget. P</w:t>
      </w:r>
      <w:r w:rsidRPr="00087A9D">
        <w:t xml:space="preserve">rices </w:t>
      </w:r>
      <w:r w:rsidR="006A4FBA" w:rsidRPr="00087A9D">
        <w:t xml:space="preserve">also </w:t>
      </w:r>
      <w:r w:rsidRPr="00087A9D">
        <w:t>affect the total costs of the NDIS and therefore its financial sustainability, and the allocation of resources to the NDIS (and therefore possible production), relative to other sectors.</w:t>
      </w:r>
      <w:r w:rsidR="006064CE" w:rsidRPr="00087A9D">
        <w:t xml:space="preserve"> </w:t>
      </w:r>
      <w:r w:rsidRPr="00087A9D">
        <w:t>Pricing can also</w:t>
      </w:r>
      <w:r w:rsidR="006064CE" w:rsidRPr="00087A9D">
        <w:t xml:space="preserve"> </w:t>
      </w:r>
      <w:r w:rsidRPr="00087A9D">
        <w:t>affect providers’</w:t>
      </w:r>
      <w:r w:rsidR="001C69AA" w:rsidRPr="00087A9D">
        <w:t xml:space="preserve"> choices, </w:t>
      </w:r>
      <w:r w:rsidRPr="00087A9D">
        <w:t xml:space="preserve">including by providing incentives: </w:t>
      </w:r>
      <w:r w:rsidR="00E37CD4" w:rsidRPr="00087A9D">
        <w:t xml:space="preserve">for entering the market; </w:t>
      </w:r>
      <w:r w:rsidRPr="00087A9D">
        <w:t xml:space="preserve">for upskilling and right-skilling; for innovation; </w:t>
      </w:r>
      <w:r w:rsidR="001C69AA" w:rsidRPr="00087A9D">
        <w:t xml:space="preserve">and </w:t>
      </w:r>
      <w:r w:rsidRPr="00087A9D">
        <w:t>for improvement</w:t>
      </w:r>
      <w:r w:rsidR="007D5116">
        <w:t>s</w:t>
      </w:r>
      <w:r w:rsidRPr="00087A9D">
        <w:t xml:space="preserve"> in service quality and outcomes. </w:t>
      </w:r>
    </w:p>
    <w:p w14:paraId="0F6F8C4F" w14:textId="77777777" w:rsidR="00B409D1" w:rsidRPr="00087A9D" w:rsidRDefault="006A4FBA" w:rsidP="00B409D1">
      <w:r w:rsidRPr="00087A9D">
        <w:t xml:space="preserve">As the markets for disability goods and services develop and operate more effectively, </w:t>
      </w:r>
      <w:r w:rsidR="00FB0CD9" w:rsidRPr="00087A9D">
        <w:t>it is ex</w:t>
      </w:r>
      <w:r w:rsidRPr="00087A9D">
        <w:t xml:space="preserve">pected that the </w:t>
      </w:r>
      <w:r w:rsidR="00CD7CF3">
        <w:t>National Disability Insurance Agency (</w:t>
      </w:r>
      <w:r w:rsidRPr="00087A9D">
        <w:t>NDIA</w:t>
      </w:r>
      <w:r w:rsidR="00CD7CF3">
        <w:t>), as market steward for the NDIS,</w:t>
      </w:r>
      <w:r w:rsidRPr="00087A9D">
        <w:t xml:space="preserve"> will </w:t>
      </w:r>
      <w:r w:rsidR="007D5116">
        <w:t>be</w:t>
      </w:r>
      <w:r w:rsidRPr="00087A9D">
        <w:t xml:space="preserve"> less intervention</w:t>
      </w:r>
      <w:r w:rsidR="007D5116">
        <w:t>al</w:t>
      </w:r>
      <w:r w:rsidRPr="00087A9D">
        <w:t xml:space="preserve">. However, deregulation will necessarily occur at different points in time </w:t>
      </w:r>
      <w:r w:rsidR="00E37CD4" w:rsidRPr="00087A9D">
        <w:t xml:space="preserve">for different markets </w:t>
      </w:r>
      <w:r w:rsidRPr="00087A9D">
        <w:t xml:space="preserve">and may not be feasible in some cases. Currently, </w:t>
      </w:r>
      <w:r w:rsidR="00B409D1" w:rsidRPr="00087A9D">
        <w:t>the NDIA varies its approach to the regulation of prices</w:t>
      </w:r>
      <w:r w:rsidRPr="00087A9D">
        <w:t xml:space="preserve"> </w:t>
      </w:r>
      <w:r w:rsidR="00B409D1" w:rsidRPr="00087A9D">
        <w:t>between:</w:t>
      </w:r>
    </w:p>
    <w:p w14:paraId="4566717D" w14:textId="77777777" w:rsidR="00B409D1" w:rsidRPr="00087A9D" w:rsidRDefault="00B409D1" w:rsidP="00D57227">
      <w:pPr>
        <w:pStyle w:val="ListParagraph"/>
      </w:pPr>
      <w:r w:rsidRPr="00087A9D">
        <w:rPr>
          <w:b/>
        </w:rPr>
        <w:t>No regulation</w:t>
      </w:r>
      <w:r w:rsidRPr="00087A9D">
        <w:t xml:space="preserve"> (deregulated markets): this is typically used in cases where markets are highly competitive – for example, transport.</w:t>
      </w:r>
    </w:p>
    <w:p w14:paraId="061CAA7F" w14:textId="77777777" w:rsidR="00B409D1" w:rsidRPr="00087A9D" w:rsidRDefault="00B409D1" w:rsidP="00D57227">
      <w:pPr>
        <w:pStyle w:val="ListParagraph"/>
      </w:pPr>
      <w:r w:rsidRPr="00087A9D">
        <w:rPr>
          <w:b/>
        </w:rPr>
        <w:t xml:space="preserve">The imposition of </w:t>
      </w:r>
      <w:r w:rsidR="006A299A">
        <w:rPr>
          <w:b/>
        </w:rPr>
        <w:t>price limit</w:t>
      </w:r>
      <w:r w:rsidRPr="00087A9D">
        <w:rPr>
          <w:b/>
        </w:rPr>
        <w:t>s</w:t>
      </w:r>
      <w:r w:rsidRPr="00087A9D">
        <w:t>: these represent a maximum allowable price payable by participants for types of supports. This approach is used in a significant number of markets, which are still developing and growing, such as those for attendant care.</w:t>
      </w:r>
    </w:p>
    <w:p w14:paraId="14C574B3" w14:textId="77777777" w:rsidR="006064CE" w:rsidRPr="00087A9D" w:rsidRDefault="006064CE" w:rsidP="00D57227">
      <w:pPr>
        <w:pStyle w:val="ListParagraph"/>
      </w:pPr>
      <w:r w:rsidRPr="00087A9D">
        <w:rPr>
          <w:b/>
        </w:rPr>
        <w:t>Quotable supports</w:t>
      </w:r>
      <w:r w:rsidRPr="00087A9D">
        <w:t xml:space="preserve">: in which participants are expected to obtain quotations from suppliers to provide to the NDIA </w:t>
      </w:r>
      <w:r w:rsidR="0035629B">
        <w:t>as part of</w:t>
      </w:r>
      <w:r w:rsidRPr="00087A9D">
        <w:t xml:space="preserve"> verify</w:t>
      </w:r>
      <w:r w:rsidR="0035629B">
        <w:t>ing</w:t>
      </w:r>
      <w:r w:rsidRPr="00087A9D">
        <w:t xml:space="preserve"> that prices are fair and reasonable. This approach is typically used in the case of highly specialised, differentiated supports that may not h</w:t>
      </w:r>
      <w:r w:rsidR="001C69AA" w:rsidRPr="00087A9D">
        <w:t>ave a high level of competition</w:t>
      </w:r>
      <w:r w:rsidR="006A4FBA" w:rsidRPr="00087A9D">
        <w:t xml:space="preserve"> </w:t>
      </w:r>
      <w:r w:rsidR="006A4FBA" w:rsidRPr="00087A9D">
        <w:softHyphen/>
        <w:t>– for example,</w:t>
      </w:r>
      <w:r w:rsidRPr="00087A9D">
        <w:t xml:space="preserve"> assistive technology</w:t>
      </w:r>
      <w:r w:rsidR="001C69AA" w:rsidRPr="00087A9D">
        <w:t xml:space="preserve">. </w:t>
      </w:r>
      <w:r w:rsidRPr="00087A9D">
        <w:t>They are also used in cases, such as supported independent living, where a bundle</w:t>
      </w:r>
      <w:r w:rsidR="001C69AA" w:rsidRPr="00087A9D">
        <w:t xml:space="preserve"> of supports or quasi-outcome is </w:t>
      </w:r>
      <w:r w:rsidRPr="00087A9D">
        <w:t>being purchased.</w:t>
      </w:r>
      <w:r w:rsidR="001C69AA" w:rsidRPr="00087A9D">
        <w:t xml:space="preserve"> In these situations, providers have greater flexibility to adjust how they achieve the required outcomes in response to the input costs they face.</w:t>
      </w:r>
    </w:p>
    <w:p w14:paraId="761AB118" w14:textId="4E54B330" w:rsidR="00CD7CF3" w:rsidRDefault="006064CE" w:rsidP="003F5987">
      <w:r w:rsidRPr="00087A9D">
        <w:t xml:space="preserve">The purpose of this document is to </w:t>
      </w:r>
      <w:r w:rsidR="00E37CD4" w:rsidRPr="00087A9D">
        <w:t xml:space="preserve">set out the </w:t>
      </w:r>
      <w:r w:rsidR="00D6473E">
        <w:t>C</w:t>
      </w:r>
      <w:r w:rsidR="006A299A">
        <w:t xml:space="preserve">ost Model </w:t>
      </w:r>
      <w:r w:rsidR="00D6473E">
        <w:t>(</w:t>
      </w:r>
      <w:r w:rsidR="00CD7CF3">
        <w:t>CM) that the NDIA uses</w:t>
      </w:r>
      <w:r w:rsidR="006A299A">
        <w:t xml:space="preserve"> to inform its pricing decisions</w:t>
      </w:r>
      <w:r w:rsidR="00CD7CF3">
        <w:t xml:space="preserve"> for those supports delivered by Disability Support Workers (DSWs) on which it imposes price limits</w:t>
      </w:r>
      <w:r w:rsidR="006A299A">
        <w:t>.</w:t>
      </w:r>
      <w:r w:rsidR="00CD7CF3">
        <w:t xml:space="preserve"> </w:t>
      </w:r>
    </w:p>
    <w:p w14:paraId="7908DD27" w14:textId="77777777" w:rsidR="006A299A" w:rsidRDefault="00CD7CF3" w:rsidP="003F5987">
      <w:r>
        <w:t xml:space="preserve">The methodology used to inform the NDIA’s pricing decisions for those supports delivered by therapists on which it imposes price limits are set out in the </w:t>
      </w:r>
      <w:r w:rsidRPr="00CD7CF3">
        <w:rPr>
          <w:i/>
        </w:rPr>
        <w:t>Review of Therapy Pricing Arrangements</w:t>
      </w:r>
      <w:r>
        <w:t>.</w:t>
      </w:r>
    </w:p>
    <w:p w14:paraId="64190FAF" w14:textId="77777777" w:rsidR="009E1BAE" w:rsidRPr="00087A9D" w:rsidRDefault="009E1BAE" w:rsidP="00A22306">
      <w:pPr>
        <w:jc w:val="left"/>
        <w:sectPr w:rsidR="009E1BAE" w:rsidRPr="00087A9D" w:rsidSect="00E31682">
          <w:type w:val="oddPage"/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307BA9C8" w14:textId="018302C2" w:rsidR="00B227D9" w:rsidRDefault="00FF6030" w:rsidP="00B227D9">
      <w:pPr>
        <w:pStyle w:val="Heading1"/>
      </w:pPr>
      <w:bookmarkStart w:id="3" w:name="_Toc21533543"/>
      <w:r>
        <w:lastRenderedPageBreak/>
        <w:t>Disability Support Worker</w:t>
      </w:r>
      <w:r w:rsidR="00F61CF7">
        <w:t xml:space="preserve"> </w:t>
      </w:r>
      <w:r w:rsidR="00A22306">
        <w:t>Cost Model</w:t>
      </w:r>
      <w:bookmarkEnd w:id="3"/>
      <w:r w:rsidR="00A22306">
        <w:t xml:space="preserve"> </w:t>
      </w:r>
    </w:p>
    <w:p w14:paraId="132D2524" w14:textId="40F510B6" w:rsidR="00AF4F1F" w:rsidRPr="00F61CF7" w:rsidRDefault="0001758C" w:rsidP="0001758C">
      <w:r>
        <w:t>This Chapter sets out the assumptions and methodo</w:t>
      </w:r>
      <w:r w:rsidR="00D6473E">
        <w:t>logy of the Cost Model (</w:t>
      </w:r>
      <w:r>
        <w:t xml:space="preserve">CM) that the NDIA uses to estimate the costs </w:t>
      </w:r>
      <w:r w:rsidR="00FF6030">
        <w:t xml:space="preserve">to disability service providers </w:t>
      </w:r>
      <w:r>
        <w:t xml:space="preserve">of </w:t>
      </w:r>
      <w:r w:rsidR="00FF6030">
        <w:t>employing Disability Support Workers (DSWs)</w:t>
      </w:r>
      <w:r>
        <w:t xml:space="preserve"> </w:t>
      </w:r>
      <w:r w:rsidR="00FF6030">
        <w:t xml:space="preserve">to deliver </w:t>
      </w:r>
      <w:r>
        <w:t xml:space="preserve">supports </w:t>
      </w:r>
      <w:r w:rsidR="00FF6030">
        <w:t>through the NDIS</w:t>
      </w:r>
      <w:r w:rsidR="00D6473E">
        <w:t xml:space="preserve">. The </w:t>
      </w:r>
      <w:r>
        <w:t>CM est</w:t>
      </w:r>
      <w:r w:rsidR="00FF6030">
        <w:t>imates the cost of delivering a billable</w:t>
      </w:r>
      <w:r>
        <w:t xml:space="preserve"> hour of support taking into account all of the costs associated with every billable hour, including</w:t>
      </w:r>
      <w:r w:rsidR="00FF6030">
        <w:t>:</w:t>
      </w:r>
      <w:r>
        <w:t xml:space="preserve"> base pay; shift loadings; holiday pay; salary on costs; supervision costs; utilisation</w:t>
      </w:r>
      <w:r w:rsidR="00FF6030">
        <w:t xml:space="preserve"> (non-billable activities)</w:t>
      </w:r>
      <w:r>
        <w:t>; corporate overheads and margin.</w:t>
      </w:r>
    </w:p>
    <w:p w14:paraId="45F6947E" w14:textId="77777777" w:rsidR="00AF4F1F" w:rsidRDefault="0001758C" w:rsidP="00F61CF7">
      <w:r>
        <w:t xml:space="preserve">The NDIA recognises that providers have to employ </w:t>
      </w:r>
      <w:r w:rsidR="00CD7CF3">
        <w:t>DSWs</w:t>
      </w:r>
      <w:r>
        <w:t xml:space="preserve"> with different skill levels and levels of experience to meet the different needs of participants. It therefore has different sets of cost assumptions for</w:t>
      </w:r>
      <w:r w:rsidR="00FF6030">
        <w:t xml:space="preserve"> three types of workers, referred to as</w:t>
      </w:r>
      <w:r>
        <w:t>:</w:t>
      </w:r>
    </w:p>
    <w:p w14:paraId="1FAB8B61" w14:textId="77777777" w:rsidR="0001758C" w:rsidRDefault="00FF6030" w:rsidP="00BA3CDC">
      <w:pPr>
        <w:pStyle w:val="ListParagraph"/>
        <w:numPr>
          <w:ilvl w:val="0"/>
          <w:numId w:val="12"/>
        </w:numPr>
      </w:pPr>
      <w:r>
        <w:t>Standard or Level 1</w:t>
      </w:r>
      <w:r w:rsidR="0001758C">
        <w:t xml:space="preserve"> DSWs;</w:t>
      </w:r>
    </w:p>
    <w:p w14:paraId="130EC768" w14:textId="77777777" w:rsidR="0001758C" w:rsidRDefault="0001758C" w:rsidP="00BA3CDC">
      <w:pPr>
        <w:pStyle w:val="ListParagraph"/>
        <w:numPr>
          <w:ilvl w:val="0"/>
          <w:numId w:val="12"/>
        </w:numPr>
      </w:pPr>
      <w:r>
        <w:t xml:space="preserve">High Intensity </w:t>
      </w:r>
      <w:r w:rsidR="00FF6030">
        <w:t xml:space="preserve">or Level 2 </w:t>
      </w:r>
      <w:r>
        <w:t>DSWs; and</w:t>
      </w:r>
    </w:p>
    <w:p w14:paraId="390498FA" w14:textId="77777777" w:rsidR="0001758C" w:rsidRDefault="0001758C" w:rsidP="00BA3CDC">
      <w:pPr>
        <w:pStyle w:val="ListParagraph"/>
        <w:numPr>
          <w:ilvl w:val="0"/>
          <w:numId w:val="12"/>
        </w:numPr>
      </w:pPr>
      <w:r>
        <w:t xml:space="preserve">Very High intensity </w:t>
      </w:r>
      <w:r w:rsidR="00FF6030">
        <w:t xml:space="preserve">or Level 3 </w:t>
      </w:r>
      <w:r>
        <w:t>DSWs.</w:t>
      </w:r>
    </w:p>
    <w:p w14:paraId="006D9181" w14:textId="77777777" w:rsidR="001D5AE6" w:rsidRDefault="0001758C" w:rsidP="0001758C">
      <w:pPr>
        <w:pStyle w:val="Heading2"/>
      </w:pPr>
      <w:bookmarkStart w:id="4" w:name="_Toc21533544"/>
      <w:r>
        <w:t>Applicable Industrial Award</w:t>
      </w:r>
      <w:bookmarkEnd w:id="4"/>
    </w:p>
    <w:p w14:paraId="0673BDCF" w14:textId="6B35BBA2" w:rsidR="0001758C" w:rsidRDefault="0001758C" w:rsidP="0001758C">
      <w:r>
        <w:t xml:space="preserve">The national award for DSWs is the </w:t>
      </w:r>
      <w:bookmarkStart w:id="5" w:name="_Ref18506169"/>
      <w:r w:rsidRPr="0001758C">
        <w:rPr>
          <w:i/>
        </w:rPr>
        <w:t>Social, Community, Home Care and Disability Services Industry Award 2010</w:t>
      </w:r>
      <w:r>
        <w:t>.</w:t>
      </w:r>
      <w:r>
        <w:rPr>
          <w:rStyle w:val="FootnoteReference"/>
        </w:rPr>
        <w:footnoteReference w:id="2"/>
      </w:r>
      <w:r>
        <w:t xml:space="preserve"> The NDIA recognises that some DSWs are employed under Enterprise Bargaining Agreements (EBAs). However, these EBAs have to leave the worker no worse off overall than </w:t>
      </w:r>
      <w:r w:rsidR="00294FA5">
        <w:t xml:space="preserve">they would be under </w:t>
      </w:r>
      <w:r>
        <w:t>the relevan</w:t>
      </w:r>
      <w:r w:rsidR="00294FA5">
        <w:t xml:space="preserve">t Award and, in general, any additional benefits offered by EBAs over the Award have been voluntarily agreed to by providers and </w:t>
      </w:r>
      <w:r w:rsidR="00E41E33">
        <w:t xml:space="preserve">are </w:t>
      </w:r>
      <w:r w:rsidR="00294FA5">
        <w:t xml:space="preserve">often offset by productivity gains. The </w:t>
      </w:r>
      <w:r w:rsidR="00FF6030">
        <w:t xml:space="preserve">NDIA therefore considers the conditions set out in the </w:t>
      </w:r>
      <w:r w:rsidR="00294FA5">
        <w:t xml:space="preserve">SCHADS Award </w:t>
      </w:r>
      <w:r w:rsidR="00FF6030">
        <w:t xml:space="preserve">to be the appropriate foundation for the </w:t>
      </w:r>
      <w:r w:rsidR="00294FA5">
        <w:t>CM.</w:t>
      </w:r>
    </w:p>
    <w:p w14:paraId="21456DAB" w14:textId="3C654D71" w:rsidR="00FF6030" w:rsidRPr="00FF6030" w:rsidRDefault="00FF6030" w:rsidP="0001758C">
      <w:pPr>
        <w:rPr>
          <w:b/>
        </w:rPr>
      </w:pPr>
      <w:r w:rsidRPr="00FF6030">
        <w:rPr>
          <w:b/>
        </w:rPr>
        <w:t>Note: the nomenclature of Level 1 DSW, Level 2 DSW and</w:t>
      </w:r>
      <w:r w:rsidR="00D6473E">
        <w:rPr>
          <w:b/>
        </w:rPr>
        <w:t xml:space="preserve"> Level 3 DSW used in the </w:t>
      </w:r>
      <w:r w:rsidRPr="00FF6030">
        <w:rPr>
          <w:b/>
        </w:rPr>
        <w:t>CM should not be confused with the classification of workers under the SCHADS Award.</w:t>
      </w:r>
    </w:p>
    <w:p w14:paraId="7F8CF252" w14:textId="77777777" w:rsidR="00F61CF7" w:rsidRDefault="00F61CF7" w:rsidP="00294FA5">
      <w:pPr>
        <w:pStyle w:val="Heading2"/>
      </w:pPr>
      <w:bookmarkStart w:id="6" w:name="_Toc21533545"/>
      <w:r>
        <w:t>Base Pay</w:t>
      </w:r>
      <w:bookmarkEnd w:id="5"/>
      <w:bookmarkEnd w:id="6"/>
    </w:p>
    <w:p w14:paraId="5D39335A" w14:textId="11295EB7" w:rsidR="00BB06ED" w:rsidRDefault="00BB06ED" w:rsidP="00294FA5">
      <w:r>
        <w:fldChar w:fldCharType="begin"/>
      </w:r>
      <w:r>
        <w:instrText xml:space="preserve"> REF _Ref16507557 \h </w:instrText>
      </w:r>
      <w:r>
        <w:fldChar w:fldCharType="separate"/>
      </w:r>
      <w:r w:rsidR="00B658AF" w:rsidRPr="00975FC4">
        <w:t xml:space="preserve">Table </w:t>
      </w:r>
      <w:r w:rsidR="00B658AF">
        <w:rPr>
          <w:noProof/>
        </w:rPr>
        <w:t>1</w:t>
      </w:r>
      <w:r>
        <w:fldChar w:fldCharType="end"/>
      </w:r>
      <w:r w:rsidR="00D6473E">
        <w:t xml:space="preserve"> sets out the </w:t>
      </w:r>
      <w:r w:rsidR="00294FA5">
        <w:t>CMs assumptions with respect to the base pay of DSWs.</w:t>
      </w:r>
      <w:r w:rsidR="00294FA5">
        <w:rPr>
          <w:rStyle w:val="FootnoteReference"/>
        </w:rPr>
        <w:footnoteReference w:id="3"/>
      </w:r>
    </w:p>
    <w:p w14:paraId="7673FA27" w14:textId="77777777" w:rsidR="009172F1" w:rsidRPr="00975FC4" w:rsidRDefault="009172F1" w:rsidP="00BB06ED">
      <w:pPr>
        <w:pStyle w:val="Caption"/>
      </w:pPr>
      <w:bookmarkStart w:id="7" w:name="_Ref16507557"/>
      <w:bookmarkStart w:id="8" w:name="_Toc17059298"/>
      <w:r w:rsidRPr="00975FC4">
        <w:t xml:space="preserve">Table </w:t>
      </w:r>
      <w:r w:rsidR="00D6473E">
        <w:fldChar w:fldCharType="begin"/>
      </w:r>
      <w:r w:rsidR="00D6473E">
        <w:instrText xml:space="preserve"> SEQ Table \* ARABIC </w:instrText>
      </w:r>
      <w:r w:rsidR="00D6473E">
        <w:fldChar w:fldCharType="separate"/>
      </w:r>
      <w:r w:rsidR="00B658AF">
        <w:rPr>
          <w:noProof/>
        </w:rPr>
        <w:t>1</w:t>
      </w:r>
      <w:r w:rsidR="00D6473E">
        <w:rPr>
          <w:noProof/>
        </w:rPr>
        <w:fldChar w:fldCharType="end"/>
      </w:r>
      <w:bookmarkEnd w:id="7"/>
      <w:r w:rsidRPr="00975FC4">
        <w:t xml:space="preserve">: </w:t>
      </w:r>
      <w:bookmarkEnd w:id="8"/>
      <w:r>
        <w:t>NDIS DSW Level</w:t>
      </w:r>
      <w:r w:rsidR="00E765CA">
        <w:t xml:space="preserve">s, </w:t>
      </w:r>
      <w:r w:rsidR="00227122">
        <w:t>Assumed</w:t>
      </w:r>
      <w:r>
        <w:t xml:space="preserve"> SCHADS </w:t>
      </w:r>
      <w:r w:rsidR="001A1BE7">
        <w:t>Classifications and Pay R</w:t>
      </w:r>
      <w:r w:rsidR="00CD7CF3">
        <w:t>ates</w:t>
      </w:r>
    </w:p>
    <w:tbl>
      <w:tblPr>
        <w:tblStyle w:val="GridTable4-Accent4"/>
        <w:tblW w:w="5000" w:type="pct"/>
        <w:tblLook w:val="04A0" w:firstRow="1" w:lastRow="0" w:firstColumn="1" w:lastColumn="0" w:noHBand="0" w:noVBand="1"/>
      </w:tblPr>
      <w:tblGrid>
        <w:gridCol w:w="3606"/>
        <w:gridCol w:w="2705"/>
        <w:gridCol w:w="2705"/>
      </w:tblGrid>
      <w:tr w:rsidR="00BD4CDE" w:rsidRPr="003A3C03" w14:paraId="24AFA981" w14:textId="77777777" w:rsidTr="00FF6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pct"/>
            <w:hideMark/>
          </w:tcPr>
          <w:p w14:paraId="5A50B10A" w14:textId="77777777" w:rsidR="00BD4CDE" w:rsidRPr="00294FA5" w:rsidRDefault="00BD4CDE" w:rsidP="00BB06ED">
            <w:pPr>
              <w:spacing w:before="40" w:after="40" w:line="24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00" w:type="pct"/>
            <w:hideMark/>
          </w:tcPr>
          <w:p w14:paraId="64A4A4AC" w14:textId="77777777" w:rsidR="00BD4CDE" w:rsidRPr="00294FA5" w:rsidRDefault="00227122" w:rsidP="00BB06ED">
            <w:pPr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Assumed</w:t>
            </w:r>
            <w:r w:rsidR="00294FA5">
              <w:rPr>
                <w:sz w:val="18"/>
                <w:szCs w:val="18"/>
              </w:rPr>
              <w:t xml:space="preserve"> </w:t>
            </w:r>
            <w:r w:rsidR="00BD4CDE" w:rsidRPr="00294FA5">
              <w:rPr>
                <w:sz w:val="18"/>
                <w:szCs w:val="18"/>
              </w:rPr>
              <w:t>SCHADS Classification</w:t>
            </w:r>
          </w:p>
        </w:tc>
        <w:tc>
          <w:tcPr>
            <w:tcW w:w="1500" w:type="pct"/>
          </w:tcPr>
          <w:p w14:paraId="1B4E44BC" w14:textId="77777777" w:rsidR="00CD7CF3" w:rsidRPr="00294FA5" w:rsidRDefault="00294FA5" w:rsidP="007751F4">
            <w:pPr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</w:rPr>
              <w:t>Award pay</w:t>
            </w:r>
            <w:r>
              <w:rPr>
                <w:sz w:val="18"/>
                <w:szCs w:val="18"/>
              </w:rPr>
              <w:br/>
            </w:r>
            <w:r w:rsidR="00CD7CF3">
              <w:rPr>
                <w:sz w:val="18"/>
                <w:szCs w:val="18"/>
              </w:rPr>
              <w:t>1 December 2018</w:t>
            </w:r>
          </w:p>
        </w:tc>
      </w:tr>
      <w:tr w:rsidR="00BD4CDE" w14:paraId="2614AD5C" w14:textId="77777777" w:rsidTr="00FF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pct"/>
            <w:hideMark/>
          </w:tcPr>
          <w:p w14:paraId="02067F1A" w14:textId="77777777" w:rsidR="00BD4CDE" w:rsidRPr="00294FA5" w:rsidRDefault="00FF6030" w:rsidP="00BB06ED">
            <w:pPr>
              <w:spacing w:before="40" w:after="4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Level 1 (Standard)</w:t>
            </w:r>
            <w:r w:rsidR="00294FA5">
              <w:rPr>
                <w:sz w:val="18"/>
                <w:szCs w:val="18"/>
              </w:rPr>
              <w:t xml:space="preserve"> DSW</w:t>
            </w:r>
          </w:p>
        </w:tc>
        <w:tc>
          <w:tcPr>
            <w:tcW w:w="1500" w:type="pct"/>
            <w:noWrap/>
            <w:hideMark/>
          </w:tcPr>
          <w:p w14:paraId="4E46B5A0" w14:textId="77777777" w:rsidR="00BD4CDE" w:rsidRPr="00294FA5" w:rsidRDefault="00BD4CDE" w:rsidP="00BB06ED">
            <w:pPr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94FA5">
              <w:rPr>
                <w:sz w:val="18"/>
                <w:szCs w:val="18"/>
              </w:rPr>
              <w:t>2.3</w:t>
            </w:r>
          </w:p>
        </w:tc>
        <w:tc>
          <w:tcPr>
            <w:tcW w:w="1500" w:type="pct"/>
          </w:tcPr>
          <w:p w14:paraId="09B2A947" w14:textId="77777777" w:rsidR="00BD4CDE" w:rsidRPr="00294FA5" w:rsidRDefault="00BD4CDE" w:rsidP="00BB06ED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18"/>
                <w:szCs w:val="18"/>
                <w:lang w:eastAsia="en-AU"/>
              </w:rPr>
            </w:pPr>
            <w:r w:rsidRPr="00294FA5">
              <w:rPr>
                <w:sz w:val="18"/>
                <w:szCs w:val="18"/>
              </w:rPr>
              <w:t>$2</w:t>
            </w:r>
            <w:r w:rsidR="00E534E3" w:rsidRPr="00294FA5">
              <w:rPr>
                <w:sz w:val="18"/>
                <w:szCs w:val="18"/>
              </w:rPr>
              <w:t>7.61</w:t>
            </w:r>
          </w:p>
        </w:tc>
      </w:tr>
      <w:tr w:rsidR="00BD4CDE" w14:paraId="0B1A729B" w14:textId="77777777" w:rsidTr="00FF60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pct"/>
            <w:hideMark/>
          </w:tcPr>
          <w:p w14:paraId="024B6E7A" w14:textId="77777777" w:rsidR="00BD4CDE" w:rsidRPr="00294FA5" w:rsidRDefault="00FF6030" w:rsidP="00BB06ED">
            <w:pPr>
              <w:spacing w:before="40" w:after="4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Level 2 (</w:t>
            </w:r>
            <w:r w:rsidR="00294FA5">
              <w:rPr>
                <w:sz w:val="18"/>
                <w:szCs w:val="18"/>
              </w:rPr>
              <w:t>High Intensity</w:t>
            </w:r>
            <w:r>
              <w:rPr>
                <w:sz w:val="18"/>
                <w:szCs w:val="18"/>
              </w:rPr>
              <w:t>)</w:t>
            </w:r>
            <w:r w:rsidR="00294FA5">
              <w:rPr>
                <w:sz w:val="18"/>
                <w:szCs w:val="18"/>
              </w:rPr>
              <w:t xml:space="preserve"> DSW</w:t>
            </w:r>
          </w:p>
        </w:tc>
        <w:tc>
          <w:tcPr>
            <w:tcW w:w="1500" w:type="pct"/>
            <w:noWrap/>
            <w:hideMark/>
          </w:tcPr>
          <w:p w14:paraId="22D9FFCF" w14:textId="77777777" w:rsidR="00BD4CDE" w:rsidRPr="00294FA5" w:rsidRDefault="00BD4CDE" w:rsidP="00BB06ED">
            <w:pPr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94FA5">
              <w:rPr>
                <w:sz w:val="18"/>
                <w:szCs w:val="18"/>
              </w:rPr>
              <w:t>2.4/3.1</w:t>
            </w:r>
          </w:p>
        </w:tc>
        <w:tc>
          <w:tcPr>
            <w:tcW w:w="1500" w:type="pct"/>
          </w:tcPr>
          <w:p w14:paraId="2037789A" w14:textId="77777777" w:rsidR="00BD4CDE" w:rsidRPr="00294FA5" w:rsidRDefault="00BD4CDE" w:rsidP="00BB06ED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8"/>
                <w:szCs w:val="18"/>
                <w:lang w:eastAsia="en-AU"/>
              </w:rPr>
            </w:pPr>
            <w:r w:rsidRPr="00294FA5">
              <w:rPr>
                <w:sz w:val="18"/>
                <w:szCs w:val="18"/>
              </w:rPr>
              <w:t>$2</w:t>
            </w:r>
            <w:r w:rsidR="00E534E3" w:rsidRPr="00294FA5">
              <w:rPr>
                <w:sz w:val="18"/>
                <w:szCs w:val="18"/>
              </w:rPr>
              <w:t>8.63</w:t>
            </w:r>
          </w:p>
        </w:tc>
      </w:tr>
      <w:tr w:rsidR="00BD4CDE" w14:paraId="31980855" w14:textId="77777777" w:rsidTr="00FF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pct"/>
            <w:hideMark/>
          </w:tcPr>
          <w:p w14:paraId="10AB62CD" w14:textId="77777777" w:rsidR="00BD4CDE" w:rsidRPr="00294FA5" w:rsidRDefault="00FF6030" w:rsidP="00BB06ED">
            <w:pPr>
              <w:spacing w:before="40" w:after="4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Level 4 (</w:t>
            </w:r>
            <w:r w:rsidR="00294FA5">
              <w:rPr>
                <w:sz w:val="18"/>
                <w:szCs w:val="18"/>
              </w:rPr>
              <w:t>Very High Intensity</w:t>
            </w:r>
            <w:r>
              <w:rPr>
                <w:sz w:val="18"/>
                <w:szCs w:val="18"/>
              </w:rPr>
              <w:t>)</w:t>
            </w:r>
            <w:r w:rsidR="00294FA5">
              <w:rPr>
                <w:sz w:val="18"/>
                <w:szCs w:val="18"/>
              </w:rPr>
              <w:t xml:space="preserve"> DSW</w:t>
            </w:r>
          </w:p>
        </w:tc>
        <w:tc>
          <w:tcPr>
            <w:tcW w:w="1500" w:type="pct"/>
            <w:noWrap/>
            <w:hideMark/>
          </w:tcPr>
          <w:p w14:paraId="19FA18AF" w14:textId="77777777" w:rsidR="00BD4CDE" w:rsidRPr="00294FA5" w:rsidRDefault="00BD4CDE" w:rsidP="00BB06ED">
            <w:pPr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94FA5">
              <w:rPr>
                <w:sz w:val="18"/>
                <w:szCs w:val="18"/>
              </w:rPr>
              <w:t>3.2</w:t>
            </w:r>
          </w:p>
        </w:tc>
        <w:tc>
          <w:tcPr>
            <w:tcW w:w="1500" w:type="pct"/>
          </w:tcPr>
          <w:p w14:paraId="2A91AC9F" w14:textId="77777777" w:rsidR="00BD4CDE" w:rsidRPr="00294FA5" w:rsidRDefault="00BD4CDE" w:rsidP="00BB06ED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18"/>
                <w:szCs w:val="18"/>
                <w:lang w:eastAsia="en-AU"/>
              </w:rPr>
            </w:pPr>
            <w:r w:rsidRPr="00294FA5">
              <w:rPr>
                <w:sz w:val="18"/>
                <w:szCs w:val="18"/>
              </w:rPr>
              <w:t>$</w:t>
            </w:r>
            <w:r w:rsidR="00E534E3" w:rsidRPr="00294FA5">
              <w:rPr>
                <w:sz w:val="18"/>
                <w:szCs w:val="18"/>
              </w:rPr>
              <w:t>29.74</w:t>
            </w:r>
          </w:p>
        </w:tc>
      </w:tr>
    </w:tbl>
    <w:p w14:paraId="3084840A" w14:textId="77777777" w:rsidR="00F61CF7" w:rsidRDefault="00F61CF7" w:rsidP="00F61CF7">
      <w:pPr>
        <w:pStyle w:val="Heading2"/>
      </w:pPr>
      <w:bookmarkStart w:id="9" w:name="_Toc21533546"/>
      <w:r>
        <w:lastRenderedPageBreak/>
        <w:t>Shift Loadings</w:t>
      </w:r>
      <w:bookmarkEnd w:id="9"/>
    </w:p>
    <w:p w14:paraId="66CA4155" w14:textId="26B1A621" w:rsidR="007751F4" w:rsidRDefault="001A1BE7" w:rsidP="00B658AF">
      <w:r>
        <w:fldChar w:fldCharType="begin"/>
      </w:r>
      <w:r>
        <w:instrText xml:space="preserve"> REF _Ref19024282 \h </w:instrText>
      </w:r>
      <w:r w:rsidR="00B658AF">
        <w:instrText xml:space="preserve"> \* MERGEFORMAT </w:instrText>
      </w:r>
      <w:r>
        <w:fldChar w:fldCharType="separate"/>
      </w:r>
      <w:r w:rsidR="00B658AF" w:rsidRPr="00975FC4">
        <w:t xml:space="preserve">Table </w:t>
      </w:r>
      <w:r w:rsidR="00B658AF">
        <w:rPr>
          <w:noProof/>
        </w:rPr>
        <w:t>2</w:t>
      </w:r>
      <w:r>
        <w:fldChar w:fldCharType="end"/>
      </w:r>
      <w:r w:rsidR="00D6473E">
        <w:t xml:space="preserve"> sets out the </w:t>
      </w:r>
      <w:r>
        <w:t>CM’s assumptions with respect to shift loadings. These assumptions are in line with the SCHAD</w:t>
      </w:r>
      <w:r w:rsidR="00E41E33">
        <w:t>S</w:t>
      </w:r>
      <w:r>
        <w:t xml:space="preserve"> Award and are </w:t>
      </w:r>
      <w:r w:rsidR="003C3A52">
        <w:t xml:space="preserve">applied </w:t>
      </w:r>
      <w:r>
        <w:t>to all DSWs and supervisors</w:t>
      </w:r>
      <w:r w:rsidR="00D6473E">
        <w:t xml:space="preserve"> in the </w:t>
      </w:r>
      <w:r w:rsidR="003C3A52">
        <w:t>CM</w:t>
      </w:r>
      <w:r>
        <w:t>.</w:t>
      </w:r>
      <w:r w:rsidR="00B658AF">
        <w:t xml:space="preserve"> In line with SCHADS A</w:t>
      </w:r>
      <w:r w:rsidR="00D6473E">
        <w:t xml:space="preserve">ward, the </w:t>
      </w:r>
      <w:r w:rsidR="00B658AF">
        <w:t>CM also provides a 17.5% loading for annual leave to compensate workers for the shifts they would have otherwise taken.</w:t>
      </w:r>
      <w:r w:rsidR="00D6473E">
        <w:t xml:space="preserve"> The </w:t>
      </w:r>
      <w:r w:rsidR="007751F4">
        <w:t>CM does not provide for any other allowances payable to DSWs.</w:t>
      </w:r>
    </w:p>
    <w:p w14:paraId="78394194" w14:textId="77777777" w:rsidR="00BB06ED" w:rsidRPr="00975FC4" w:rsidRDefault="00BB06ED" w:rsidP="00BB06ED">
      <w:pPr>
        <w:pStyle w:val="Caption"/>
      </w:pPr>
      <w:bookmarkStart w:id="10" w:name="_Ref19024282"/>
      <w:r w:rsidRPr="00975FC4">
        <w:t xml:space="preserve">Table </w:t>
      </w:r>
      <w:r w:rsidR="00D6473E">
        <w:fldChar w:fldCharType="begin"/>
      </w:r>
      <w:r w:rsidR="00D6473E">
        <w:instrText xml:space="preserve"> SEQ Table \* ARABIC </w:instrText>
      </w:r>
      <w:r w:rsidR="00D6473E">
        <w:fldChar w:fldCharType="separate"/>
      </w:r>
      <w:r w:rsidR="00B658AF">
        <w:rPr>
          <w:noProof/>
        </w:rPr>
        <w:t>2</w:t>
      </w:r>
      <w:r w:rsidR="00D6473E">
        <w:rPr>
          <w:noProof/>
        </w:rPr>
        <w:fldChar w:fldCharType="end"/>
      </w:r>
      <w:bookmarkEnd w:id="10"/>
      <w:r w:rsidRPr="00975FC4">
        <w:t xml:space="preserve">: </w:t>
      </w:r>
      <w:bookmarkStart w:id="11" w:name="_Ref19024272"/>
      <w:r w:rsidR="00A52707">
        <w:t>SCHADS Shift Loadings</w:t>
      </w:r>
      <w:bookmarkEnd w:id="11"/>
    </w:p>
    <w:tbl>
      <w:tblPr>
        <w:tblStyle w:val="GridTable4-Accent4"/>
        <w:tblW w:w="5000" w:type="pct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B06ED" w:rsidRPr="003A3C03" w14:paraId="608EA03E" w14:textId="77777777" w:rsidTr="001A1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4795B397" w14:textId="77777777" w:rsidR="00BB06ED" w:rsidRPr="001A1BE7" w:rsidRDefault="00BB06ED" w:rsidP="00BB06ED">
            <w:pPr>
              <w:spacing w:before="40" w:after="40" w:line="240" w:lineRule="atLeast"/>
              <w:rPr>
                <w:rFonts w:ascii="Calibri" w:hAnsi="Calibri" w:cs="Calibri"/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Shift</w:t>
            </w:r>
          </w:p>
        </w:tc>
        <w:tc>
          <w:tcPr>
            <w:tcW w:w="1250" w:type="pct"/>
            <w:hideMark/>
          </w:tcPr>
          <w:p w14:paraId="55178630" w14:textId="77777777" w:rsidR="00BB06ED" w:rsidRPr="001A1BE7" w:rsidRDefault="00BB06ED" w:rsidP="00BB06ED">
            <w:pPr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 xml:space="preserve"> Permanent Loading </w:t>
            </w:r>
          </w:p>
        </w:tc>
        <w:tc>
          <w:tcPr>
            <w:tcW w:w="1250" w:type="pct"/>
          </w:tcPr>
          <w:p w14:paraId="0283D395" w14:textId="77777777" w:rsidR="00BB06ED" w:rsidRPr="001A1BE7" w:rsidRDefault="00BB06ED" w:rsidP="00BB06ED">
            <w:pPr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eastAsia="en-AU"/>
              </w:rPr>
            </w:pPr>
            <w:r w:rsidRPr="001A1BE7">
              <w:rPr>
                <w:sz w:val="18"/>
                <w:szCs w:val="18"/>
              </w:rPr>
              <w:t xml:space="preserve">Casual Loading </w:t>
            </w:r>
          </w:p>
        </w:tc>
        <w:tc>
          <w:tcPr>
            <w:tcW w:w="1250" w:type="pct"/>
          </w:tcPr>
          <w:p w14:paraId="16589D13" w14:textId="77777777" w:rsidR="00BB06ED" w:rsidRPr="001A1BE7" w:rsidRDefault="00BB06ED" w:rsidP="00BB06ED">
            <w:pPr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Difference</w:t>
            </w:r>
          </w:p>
        </w:tc>
      </w:tr>
      <w:tr w:rsidR="00BB06ED" w14:paraId="14CBA786" w14:textId="77777777" w:rsidTr="001A1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5AA66029" w14:textId="77777777" w:rsidR="00BB06ED" w:rsidRPr="001A1BE7" w:rsidRDefault="00BB06ED" w:rsidP="00BB06ED">
            <w:pPr>
              <w:spacing w:before="40" w:after="40" w:line="240" w:lineRule="atLeast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Weekday</w:t>
            </w:r>
          </w:p>
        </w:tc>
        <w:tc>
          <w:tcPr>
            <w:tcW w:w="1250" w:type="pct"/>
            <w:noWrap/>
            <w:hideMark/>
          </w:tcPr>
          <w:p w14:paraId="3BC3E57A" w14:textId="77777777" w:rsidR="00BB06ED" w:rsidRPr="001A1BE7" w:rsidRDefault="00BB06ED" w:rsidP="00BB06ED">
            <w:pPr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0.0%</w:t>
            </w:r>
          </w:p>
        </w:tc>
        <w:tc>
          <w:tcPr>
            <w:tcW w:w="1250" w:type="pct"/>
          </w:tcPr>
          <w:p w14:paraId="65475854" w14:textId="77777777" w:rsidR="00BB06ED" w:rsidRPr="001A1BE7" w:rsidRDefault="00BB06ED" w:rsidP="00BB06ED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18"/>
                <w:szCs w:val="18"/>
                <w:lang w:eastAsia="en-AU"/>
              </w:rPr>
            </w:pPr>
            <w:r w:rsidRPr="001A1BE7">
              <w:rPr>
                <w:sz w:val="18"/>
                <w:szCs w:val="18"/>
              </w:rPr>
              <w:t>25.0%</w:t>
            </w:r>
          </w:p>
        </w:tc>
        <w:tc>
          <w:tcPr>
            <w:tcW w:w="1250" w:type="pct"/>
          </w:tcPr>
          <w:p w14:paraId="7D1474A4" w14:textId="77777777" w:rsidR="00BB06ED" w:rsidRPr="001A1BE7" w:rsidRDefault="00BB06ED" w:rsidP="00BB06ED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25.0%</w:t>
            </w:r>
          </w:p>
        </w:tc>
      </w:tr>
      <w:tr w:rsidR="00BB06ED" w14:paraId="196EF134" w14:textId="77777777" w:rsidTr="001A1B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63E6818A" w14:textId="77777777" w:rsidR="00BB06ED" w:rsidRPr="001A1BE7" w:rsidRDefault="00BB06ED" w:rsidP="00BB06ED">
            <w:pPr>
              <w:spacing w:before="40" w:after="40" w:line="240" w:lineRule="atLeast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Saturday</w:t>
            </w:r>
          </w:p>
        </w:tc>
        <w:tc>
          <w:tcPr>
            <w:tcW w:w="1250" w:type="pct"/>
            <w:noWrap/>
            <w:hideMark/>
          </w:tcPr>
          <w:p w14:paraId="1D047E60" w14:textId="77777777" w:rsidR="00BB06ED" w:rsidRPr="001A1BE7" w:rsidRDefault="00BB06ED" w:rsidP="00BB06ED">
            <w:pPr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50.0%</w:t>
            </w:r>
          </w:p>
        </w:tc>
        <w:tc>
          <w:tcPr>
            <w:tcW w:w="1250" w:type="pct"/>
          </w:tcPr>
          <w:p w14:paraId="5070EA49" w14:textId="77777777" w:rsidR="00BB06ED" w:rsidRPr="001A1BE7" w:rsidRDefault="00BB06ED" w:rsidP="00BB06ED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8"/>
                <w:szCs w:val="18"/>
                <w:lang w:eastAsia="en-AU"/>
              </w:rPr>
            </w:pPr>
            <w:r w:rsidRPr="001A1BE7">
              <w:rPr>
                <w:sz w:val="18"/>
                <w:szCs w:val="18"/>
              </w:rPr>
              <w:t>50.0%</w:t>
            </w:r>
          </w:p>
        </w:tc>
        <w:tc>
          <w:tcPr>
            <w:tcW w:w="1250" w:type="pct"/>
          </w:tcPr>
          <w:p w14:paraId="16D8E251" w14:textId="77777777" w:rsidR="00BB06ED" w:rsidRPr="001A1BE7" w:rsidRDefault="00BB06ED" w:rsidP="00BB06ED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0.0%</w:t>
            </w:r>
          </w:p>
        </w:tc>
      </w:tr>
      <w:tr w:rsidR="00BB06ED" w14:paraId="6795AA8F" w14:textId="77777777" w:rsidTr="001A1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hideMark/>
          </w:tcPr>
          <w:p w14:paraId="50281F12" w14:textId="77777777" w:rsidR="00BB06ED" w:rsidRPr="001A1BE7" w:rsidRDefault="00BB06ED" w:rsidP="00BB06ED">
            <w:pPr>
              <w:spacing w:before="40" w:after="40" w:line="240" w:lineRule="atLeast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Sunday</w:t>
            </w:r>
          </w:p>
        </w:tc>
        <w:tc>
          <w:tcPr>
            <w:tcW w:w="1250" w:type="pct"/>
            <w:noWrap/>
            <w:hideMark/>
          </w:tcPr>
          <w:p w14:paraId="2E3CE4CF" w14:textId="77777777" w:rsidR="00BB06ED" w:rsidRPr="001A1BE7" w:rsidRDefault="00BB06ED" w:rsidP="00BB06ED">
            <w:pPr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100.0%</w:t>
            </w:r>
          </w:p>
        </w:tc>
        <w:tc>
          <w:tcPr>
            <w:tcW w:w="1250" w:type="pct"/>
          </w:tcPr>
          <w:p w14:paraId="7122A8EC" w14:textId="77777777" w:rsidR="00BB06ED" w:rsidRPr="001A1BE7" w:rsidRDefault="00BB06ED" w:rsidP="00BB06ED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18"/>
                <w:szCs w:val="18"/>
                <w:lang w:eastAsia="en-AU"/>
              </w:rPr>
            </w:pPr>
            <w:r w:rsidRPr="001A1BE7">
              <w:rPr>
                <w:sz w:val="18"/>
                <w:szCs w:val="18"/>
              </w:rPr>
              <w:t>100.0%</w:t>
            </w:r>
          </w:p>
        </w:tc>
        <w:tc>
          <w:tcPr>
            <w:tcW w:w="1250" w:type="pct"/>
          </w:tcPr>
          <w:p w14:paraId="59B749C3" w14:textId="77777777" w:rsidR="00BB06ED" w:rsidRPr="001A1BE7" w:rsidRDefault="00BB06ED" w:rsidP="00BB06ED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0.0%</w:t>
            </w:r>
          </w:p>
        </w:tc>
      </w:tr>
      <w:tr w:rsidR="00BB06ED" w14:paraId="17716F68" w14:textId="77777777" w:rsidTr="001A1B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3BD1F4A" w14:textId="77777777" w:rsidR="00BB06ED" w:rsidRPr="001A1BE7" w:rsidRDefault="00BB06ED" w:rsidP="00BB06ED">
            <w:pPr>
              <w:spacing w:before="40" w:after="40" w:line="240" w:lineRule="atLeast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Public Holiday</w:t>
            </w:r>
          </w:p>
        </w:tc>
        <w:tc>
          <w:tcPr>
            <w:tcW w:w="1250" w:type="pct"/>
            <w:noWrap/>
          </w:tcPr>
          <w:p w14:paraId="396656F0" w14:textId="77777777" w:rsidR="00BB06ED" w:rsidRPr="001A1BE7" w:rsidRDefault="00BB06ED" w:rsidP="00BB06ED">
            <w:pPr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150.0%</w:t>
            </w:r>
          </w:p>
        </w:tc>
        <w:tc>
          <w:tcPr>
            <w:tcW w:w="1250" w:type="pct"/>
          </w:tcPr>
          <w:p w14:paraId="2622152C" w14:textId="77777777" w:rsidR="00BB06ED" w:rsidRPr="001A1BE7" w:rsidRDefault="00BB06ED" w:rsidP="00BB06ED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175.0%</w:t>
            </w:r>
          </w:p>
        </w:tc>
        <w:tc>
          <w:tcPr>
            <w:tcW w:w="1250" w:type="pct"/>
          </w:tcPr>
          <w:p w14:paraId="0493069D" w14:textId="77777777" w:rsidR="00BB06ED" w:rsidRPr="001A1BE7" w:rsidRDefault="00BB06ED" w:rsidP="00BB06ED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25.0%</w:t>
            </w:r>
          </w:p>
        </w:tc>
      </w:tr>
      <w:tr w:rsidR="00BB06ED" w14:paraId="192A5F91" w14:textId="77777777" w:rsidTr="001A1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5CBAF5C" w14:textId="77777777" w:rsidR="00BB06ED" w:rsidRPr="001A1BE7" w:rsidRDefault="00BB06ED" w:rsidP="00BB06ED">
            <w:pPr>
              <w:spacing w:before="40" w:after="40" w:line="240" w:lineRule="atLeast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Afternoon Shift</w:t>
            </w:r>
          </w:p>
        </w:tc>
        <w:tc>
          <w:tcPr>
            <w:tcW w:w="1250" w:type="pct"/>
            <w:noWrap/>
          </w:tcPr>
          <w:p w14:paraId="221360AC" w14:textId="77777777" w:rsidR="00BB06ED" w:rsidRPr="001A1BE7" w:rsidRDefault="00BB06ED" w:rsidP="00BB06ED">
            <w:pPr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12.5%</w:t>
            </w:r>
          </w:p>
        </w:tc>
        <w:tc>
          <w:tcPr>
            <w:tcW w:w="1250" w:type="pct"/>
          </w:tcPr>
          <w:p w14:paraId="5C7070E3" w14:textId="77777777" w:rsidR="00BB06ED" w:rsidRPr="001A1BE7" w:rsidRDefault="00BB06ED" w:rsidP="00BB06ED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37.5%</w:t>
            </w:r>
          </w:p>
        </w:tc>
        <w:tc>
          <w:tcPr>
            <w:tcW w:w="1250" w:type="pct"/>
          </w:tcPr>
          <w:p w14:paraId="60A79C77" w14:textId="77777777" w:rsidR="00BB06ED" w:rsidRPr="001A1BE7" w:rsidRDefault="00BB06ED" w:rsidP="00BB06ED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25.0%</w:t>
            </w:r>
          </w:p>
        </w:tc>
      </w:tr>
      <w:tr w:rsidR="00BB06ED" w14:paraId="34A7420F" w14:textId="77777777" w:rsidTr="001A1B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9A10B74" w14:textId="77777777" w:rsidR="00BB06ED" w:rsidRPr="001A1BE7" w:rsidRDefault="00BB06ED" w:rsidP="00BB06ED">
            <w:pPr>
              <w:spacing w:before="40" w:after="40" w:line="240" w:lineRule="atLeast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Night Shift</w:t>
            </w:r>
          </w:p>
        </w:tc>
        <w:tc>
          <w:tcPr>
            <w:tcW w:w="1250" w:type="pct"/>
            <w:noWrap/>
          </w:tcPr>
          <w:p w14:paraId="02412973" w14:textId="77777777" w:rsidR="00BB06ED" w:rsidRPr="001A1BE7" w:rsidRDefault="00BB06ED" w:rsidP="00BB06ED">
            <w:pPr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15.0%</w:t>
            </w:r>
          </w:p>
        </w:tc>
        <w:tc>
          <w:tcPr>
            <w:tcW w:w="1250" w:type="pct"/>
          </w:tcPr>
          <w:p w14:paraId="18DFDF1F" w14:textId="77777777" w:rsidR="00BB06ED" w:rsidRPr="001A1BE7" w:rsidRDefault="00BB06ED" w:rsidP="00BB06ED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40.0%</w:t>
            </w:r>
          </w:p>
        </w:tc>
        <w:tc>
          <w:tcPr>
            <w:tcW w:w="1250" w:type="pct"/>
          </w:tcPr>
          <w:p w14:paraId="5F7F6089" w14:textId="77777777" w:rsidR="00BB06ED" w:rsidRPr="001A1BE7" w:rsidRDefault="00BB06ED" w:rsidP="00BB06ED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A1BE7">
              <w:rPr>
                <w:sz w:val="18"/>
                <w:szCs w:val="18"/>
              </w:rPr>
              <w:t>25.0%</w:t>
            </w:r>
          </w:p>
        </w:tc>
      </w:tr>
    </w:tbl>
    <w:p w14:paraId="0F9E0E92" w14:textId="77777777" w:rsidR="00B227D9" w:rsidRDefault="007751F4" w:rsidP="00B227D9">
      <w:pPr>
        <w:pStyle w:val="Heading2"/>
      </w:pPr>
      <w:bookmarkStart w:id="12" w:name="_Toc21533547"/>
      <w:r>
        <w:t>Days W</w:t>
      </w:r>
      <w:r w:rsidR="001A1BE7">
        <w:t>orked V</w:t>
      </w:r>
      <w:r w:rsidR="00A52707">
        <w:t>ersu</w:t>
      </w:r>
      <w:r w:rsidR="001A1BE7">
        <w:t>s Days P</w:t>
      </w:r>
      <w:r w:rsidR="00B227D9">
        <w:t>aid</w:t>
      </w:r>
      <w:bookmarkEnd w:id="12"/>
    </w:p>
    <w:p w14:paraId="3DA1B7B4" w14:textId="0BD4ADE6" w:rsidR="00A52707" w:rsidRDefault="00D6473E" w:rsidP="00A52707">
      <w:r>
        <w:t xml:space="preserve">The </w:t>
      </w:r>
      <w:r w:rsidR="001A1BE7">
        <w:t>CM recognises that a permanent worker works on 220 days a year, but is also paid for:</w:t>
      </w:r>
    </w:p>
    <w:p w14:paraId="001144DE" w14:textId="77777777" w:rsidR="00A52707" w:rsidRDefault="00A52707" w:rsidP="007751F4">
      <w:pPr>
        <w:pStyle w:val="ListParagraph"/>
        <w:numPr>
          <w:ilvl w:val="0"/>
          <w:numId w:val="12"/>
        </w:numPr>
      </w:pPr>
      <w:r>
        <w:t>20 days of annual leave</w:t>
      </w:r>
      <w:r w:rsidR="007751F4">
        <w:t xml:space="preserve"> and 10 days of public holidays</w:t>
      </w:r>
      <w:r>
        <w:t>;</w:t>
      </w:r>
    </w:p>
    <w:p w14:paraId="318BAF46" w14:textId="186225B8" w:rsidR="003C3A52" w:rsidRDefault="001A1BE7" w:rsidP="003C3A52">
      <w:pPr>
        <w:pStyle w:val="ListParagraph"/>
        <w:numPr>
          <w:ilvl w:val="0"/>
          <w:numId w:val="13"/>
        </w:numPr>
      </w:pPr>
      <w:r>
        <w:t xml:space="preserve">Up to </w:t>
      </w:r>
      <w:r w:rsidR="00A52707">
        <w:t>10 days of personal leave</w:t>
      </w:r>
      <w:r w:rsidR="00D6473E">
        <w:t xml:space="preserve"> – the </w:t>
      </w:r>
      <w:r w:rsidR="003C3A52">
        <w:t>CM assumes all workers utilise all of their personal leave entitlement each year;</w:t>
      </w:r>
    </w:p>
    <w:p w14:paraId="56CFD3DE" w14:textId="3A2A3C99" w:rsidR="001A1BE7" w:rsidRDefault="00A52707" w:rsidP="007751F4">
      <w:pPr>
        <w:pStyle w:val="ListParagraph"/>
        <w:numPr>
          <w:ilvl w:val="0"/>
          <w:numId w:val="13"/>
        </w:numPr>
      </w:pPr>
      <w:r>
        <w:t>4</w:t>
      </w:r>
      <w:r w:rsidRPr="003C3A52">
        <w:rPr>
          <w:rFonts w:cstheme="minorHAnsi"/>
        </w:rPr>
        <w:t>⅓</w:t>
      </w:r>
      <w:r>
        <w:t xml:space="preserve"> days of long service leave</w:t>
      </w:r>
      <w:r w:rsidR="001A1BE7">
        <w:t xml:space="preserve"> (if they have qualifying service)</w:t>
      </w:r>
      <w:r w:rsidR="00D6473E">
        <w:t xml:space="preserve"> – the </w:t>
      </w:r>
      <w:r w:rsidR="003C3A52">
        <w:t>CM assumes 1</w:t>
      </w:r>
      <w:r w:rsidR="001C17C6">
        <w:t>8% of permanent workers</w:t>
      </w:r>
      <w:r w:rsidR="001A1BE7">
        <w:t xml:space="preserve"> </w:t>
      </w:r>
      <w:r w:rsidR="003C3A52">
        <w:t xml:space="preserve">and </w:t>
      </w:r>
      <w:r w:rsidR="00BA3CDC">
        <w:t>10</w:t>
      </w:r>
      <w:r w:rsidR="001A1BE7">
        <w:t>% of casual workers qualify for long service leave.</w:t>
      </w:r>
      <w:r w:rsidR="00B658AF" w:rsidRPr="00B658AF">
        <w:rPr>
          <w:rStyle w:val="FootnoteReference"/>
          <w:rFonts w:cstheme="minorHAnsi"/>
          <w:b/>
          <w:sz w:val="18"/>
          <w:szCs w:val="18"/>
        </w:rPr>
        <w:t xml:space="preserve"> </w:t>
      </w:r>
      <w:r w:rsidR="00B658AF">
        <w:rPr>
          <w:rStyle w:val="FootnoteReference"/>
          <w:rFonts w:cstheme="minorHAnsi"/>
          <w:b/>
          <w:sz w:val="18"/>
          <w:szCs w:val="18"/>
        </w:rPr>
        <w:footnoteReference w:id="4"/>
      </w:r>
    </w:p>
    <w:p w14:paraId="7DFFBF0A" w14:textId="77777777" w:rsidR="00F61CF7" w:rsidRDefault="001A1BE7" w:rsidP="00F61CF7">
      <w:r>
        <w:t xml:space="preserve">As </w:t>
      </w:r>
      <w:r>
        <w:fldChar w:fldCharType="begin"/>
      </w:r>
      <w:r>
        <w:instrText xml:space="preserve"> REF _Ref19024580 \h </w:instrText>
      </w:r>
      <w:r>
        <w:fldChar w:fldCharType="separate"/>
      </w:r>
      <w:r w:rsidR="00B658AF" w:rsidRPr="00975FC4">
        <w:t xml:space="preserve">Table </w:t>
      </w:r>
      <w:r w:rsidR="00B658AF">
        <w:rPr>
          <w:noProof/>
        </w:rPr>
        <w:t>3</w:t>
      </w:r>
      <w:r>
        <w:fldChar w:fldCharType="end"/>
      </w:r>
      <w:r w:rsidR="00BA3CDC">
        <w:t xml:space="preserve"> </w:t>
      </w:r>
      <w:r w:rsidR="007751F4">
        <w:t>shows</w:t>
      </w:r>
      <w:r w:rsidR="00436E11">
        <w:t xml:space="preserve">, </w:t>
      </w:r>
      <w:r>
        <w:t>leave costs</w:t>
      </w:r>
      <w:r w:rsidR="00436E11">
        <w:t xml:space="preserve"> </w:t>
      </w:r>
      <w:r w:rsidR="00BA3CDC">
        <w:t xml:space="preserve">increase </w:t>
      </w:r>
      <w:r w:rsidR="00436E11">
        <w:t xml:space="preserve">the costs </w:t>
      </w:r>
      <w:r w:rsidR="006A50F1">
        <w:t xml:space="preserve">per billable hour </w:t>
      </w:r>
      <w:r w:rsidR="00436E11">
        <w:t xml:space="preserve">of a </w:t>
      </w:r>
      <w:r>
        <w:t>permanent DSW</w:t>
      </w:r>
      <w:r w:rsidR="00436E11">
        <w:t xml:space="preserve"> on </w:t>
      </w:r>
      <w:r>
        <w:t>a weekday</w:t>
      </w:r>
      <w:r w:rsidR="00436E11">
        <w:t xml:space="preserve"> </w:t>
      </w:r>
      <w:r w:rsidR="00BA3CDC">
        <w:t>by</w:t>
      </w:r>
      <w:r w:rsidR="00436E11">
        <w:t xml:space="preserve"> 20.1%</w:t>
      </w:r>
      <w:r w:rsidR="00216517">
        <w:t xml:space="preserve"> over the base salary rate</w:t>
      </w:r>
      <w:r w:rsidR="00436E11">
        <w:t>.</w:t>
      </w:r>
    </w:p>
    <w:p w14:paraId="5750E934" w14:textId="77777777" w:rsidR="00436E11" w:rsidRPr="00975FC4" w:rsidRDefault="00436E11" w:rsidP="00E41E33">
      <w:pPr>
        <w:pStyle w:val="Caption"/>
      </w:pPr>
      <w:bookmarkStart w:id="13" w:name="_Ref19024580"/>
      <w:r w:rsidRPr="00975FC4">
        <w:t xml:space="preserve">Table </w:t>
      </w:r>
      <w:r w:rsidR="00D6473E">
        <w:fldChar w:fldCharType="begin"/>
      </w:r>
      <w:r w:rsidR="00D6473E">
        <w:instrText xml:space="preserve"> SEQ Table \* ARABIC </w:instrText>
      </w:r>
      <w:r w:rsidR="00D6473E">
        <w:fldChar w:fldCharType="separate"/>
      </w:r>
      <w:r w:rsidR="00B658AF">
        <w:rPr>
          <w:noProof/>
        </w:rPr>
        <w:t>3</w:t>
      </w:r>
      <w:r w:rsidR="00D6473E">
        <w:rPr>
          <w:noProof/>
        </w:rPr>
        <w:fldChar w:fldCharType="end"/>
      </w:r>
      <w:bookmarkEnd w:id="13"/>
      <w:r w:rsidRPr="00975FC4">
        <w:t xml:space="preserve">: </w:t>
      </w:r>
      <w:r w:rsidR="00216517">
        <w:t>Impact of L</w:t>
      </w:r>
      <w:r>
        <w:t xml:space="preserve">eave on </w:t>
      </w:r>
      <w:r w:rsidR="00216517">
        <w:t>the Cost per Billable Hour of a Permanent DSW</w:t>
      </w:r>
    </w:p>
    <w:tbl>
      <w:tblPr>
        <w:tblStyle w:val="GridTable4-Accent4"/>
        <w:tblW w:w="5000" w:type="pct"/>
        <w:tblLook w:val="04A0" w:firstRow="1" w:lastRow="0" w:firstColumn="1" w:lastColumn="0" w:noHBand="0" w:noVBand="1"/>
      </w:tblPr>
      <w:tblGrid>
        <w:gridCol w:w="5103"/>
        <w:gridCol w:w="1479"/>
        <w:gridCol w:w="1217"/>
        <w:gridCol w:w="1217"/>
      </w:tblGrid>
      <w:tr w:rsidR="001A1BE7" w:rsidRPr="003A3C03" w14:paraId="273B542C" w14:textId="77777777" w:rsidTr="00227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hideMark/>
          </w:tcPr>
          <w:p w14:paraId="560F526C" w14:textId="77777777" w:rsidR="001A1BE7" w:rsidRPr="001A1BE7" w:rsidRDefault="001A1BE7" w:rsidP="00E41E33">
            <w:pPr>
              <w:keepNext/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0" w:type="pct"/>
            <w:hideMark/>
          </w:tcPr>
          <w:p w14:paraId="24D9CD9B" w14:textId="77777777" w:rsidR="001A1BE7" w:rsidRPr="001A1BE7" w:rsidRDefault="00B658AF" w:rsidP="00E41E33">
            <w:pPr>
              <w:keepNext/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Level 1</w:t>
            </w:r>
            <w:r w:rsidR="001A1BE7">
              <w:rPr>
                <w:rFonts w:cstheme="minorHAnsi"/>
                <w:sz w:val="18"/>
                <w:szCs w:val="18"/>
              </w:rPr>
              <w:br/>
              <w:t>DSW</w:t>
            </w:r>
          </w:p>
        </w:tc>
        <w:tc>
          <w:tcPr>
            <w:tcW w:w="675" w:type="pct"/>
          </w:tcPr>
          <w:p w14:paraId="52B17B04" w14:textId="77777777" w:rsidR="001A1BE7" w:rsidRPr="001A1BE7" w:rsidRDefault="00B658AF" w:rsidP="00E41E33">
            <w:pPr>
              <w:keepNext/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  <w:lang w:eastAsia="en-AU"/>
              </w:rPr>
            </w:pPr>
            <w:r>
              <w:rPr>
                <w:rFonts w:cstheme="minorHAnsi"/>
                <w:sz w:val="18"/>
                <w:szCs w:val="18"/>
              </w:rPr>
              <w:t>Level 2</w:t>
            </w:r>
            <w:r w:rsidR="001A1BE7">
              <w:rPr>
                <w:rFonts w:cstheme="minorHAnsi"/>
                <w:sz w:val="18"/>
                <w:szCs w:val="18"/>
              </w:rPr>
              <w:t xml:space="preserve"> DSW</w:t>
            </w:r>
          </w:p>
        </w:tc>
        <w:tc>
          <w:tcPr>
            <w:tcW w:w="675" w:type="pct"/>
          </w:tcPr>
          <w:p w14:paraId="7DC91BC5" w14:textId="77777777" w:rsidR="001A1BE7" w:rsidRPr="001A1BE7" w:rsidRDefault="00B658AF" w:rsidP="00E41E33">
            <w:pPr>
              <w:keepNext/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Level 3</w:t>
            </w:r>
            <w:r w:rsidR="001A1BE7">
              <w:rPr>
                <w:rFonts w:cstheme="minorHAnsi"/>
                <w:sz w:val="18"/>
                <w:szCs w:val="18"/>
              </w:rPr>
              <w:t xml:space="preserve"> DSW</w:t>
            </w:r>
          </w:p>
        </w:tc>
      </w:tr>
      <w:tr w:rsidR="001A1BE7" w14:paraId="27DEDB81" w14:textId="77777777" w:rsidTr="001A1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hideMark/>
          </w:tcPr>
          <w:p w14:paraId="2A18DC59" w14:textId="77777777" w:rsidR="001A1BE7" w:rsidRPr="001A1BE7" w:rsidRDefault="001A1BE7" w:rsidP="00436E11">
            <w:pPr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Standard Hourly Rate</w:t>
            </w:r>
          </w:p>
        </w:tc>
        <w:tc>
          <w:tcPr>
            <w:tcW w:w="820" w:type="pct"/>
            <w:noWrap/>
            <w:hideMark/>
          </w:tcPr>
          <w:p w14:paraId="16CA1D4C" w14:textId="77777777" w:rsidR="001A1BE7" w:rsidRPr="001A1BE7" w:rsidRDefault="001A1BE7" w:rsidP="00436E11">
            <w:pPr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1A1BE7">
              <w:rPr>
                <w:rFonts w:cstheme="minorHAnsi"/>
                <w:b/>
                <w:sz w:val="18"/>
                <w:szCs w:val="18"/>
              </w:rPr>
              <w:t>$27.61</w:t>
            </w:r>
          </w:p>
        </w:tc>
        <w:tc>
          <w:tcPr>
            <w:tcW w:w="675" w:type="pct"/>
          </w:tcPr>
          <w:p w14:paraId="62D2B3B7" w14:textId="77777777" w:rsidR="001A1BE7" w:rsidRPr="001A1BE7" w:rsidRDefault="001A1BE7" w:rsidP="001A1BE7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A1BE7">
              <w:rPr>
                <w:rFonts w:cstheme="minorHAnsi"/>
                <w:b/>
                <w:sz w:val="18"/>
                <w:szCs w:val="18"/>
              </w:rPr>
              <w:t xml:space="preserve"> $</w:t>
            </w:r>
            <w:r>
              <w:rPr>
                <w:rFonts w:cstheme="minorHAnsi"/>
                <w:b/>
                <w:sz w:val="18"/>
                <w:szCs w:val="18"/>
              </w:rPr>
              <w:t>28.63</w:t>
            </w:r>
            <w:r w:rsidRPr="001A1BE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75" w:type="pct"/>
          </w:tcPr>
          <w:p w14:paraId="48455BC8" w14:textId="77777777" w:rsidR="001A1BE7" w:rsidRPr="001A1BE7" w:rsidRDefault="001A1BE7" w:rsidP="00436E11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$29.74</w:t>
            </w:r>
          </w:p>
        </w:tc>
      </w:tr>
      <w:tr w:rsidR="001A1BE7" w14:paraId="57A91310" w14:textId="77777777" w:rsidTr="001A1B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hideMark/>
          </w:tcPr>
          <w:p w14:paraId="2B97A128" w14:textId="77777777" w:rsidR="001A1BE7" w:rsidRPr="001A1BE7" w:rsidRDefault="001A1BE7" w:rsidP="00436E11">
            <w:pPr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A</w:t>
            </w:r>
            <w:r w:rsidR="00B658AF">
              <w:rPr>
                <w:rFonts w:cstheme="minorHAnsi"/>
                <w:sz w:val="18"/>
                <w:szCs w:val="18"/>
              </w:rPr>
              <w:t>llowance for Annual leave</w:t>
            </w:r>
          </w:p>
        </w:tc>
        <w:tc>
          <w:tcPr>
            <w:tcW w:w="820" w:type="pct"/>
            <w:noWrap/>
            <w:hideMark/>
          </w:tcPr>
          <w:p w14:paraId="730E4555" w14:textId="77777777" w:rsidR="001A1BE7" w:rsidRPr="001A1BE7" w:rsidRDefault="001A1BE7" w:rsidP="00436E11">
            <w:pPr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14:paraId="0586CADD" w14:textId="77777777" w:rsidR="001A1BE7" w:rsidRPr="001A1BE7" w:rsidRDefault="001A1BE7" w:rsidP="001566A0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75" w:type="pct"/>
          </w:tcPr>
          <w:p w14:paraId="1F2132DD" w14:textId="77777777" w:rsidR="001A1BE7" w:rsidRPr="001A1BE7" w:rsidRDefault="001A1BE7" w:rsidP="00436E11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566A0" w14:paraId="33758470" w14:textId="77777777" w:rsidTr="001A1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hideMark/>
          </w:tcPr>
          <w:p w14:paraId="0C4D314B" w14:textId="77777777" w:rsidR="001566A0" w:rsidRPr="001A1BE7" w:rsidRDefault="001566A0" w:rsidP="001566A0">
            <w:pPr>
              <w:spacing w:before="40" w:after="40" w:line="240" w:lineRule="atLeast"/>
              <w:ind w:left="593"/>
              <w:rPr>
                <w:rFonts w:cstheme="minorHAnsi"/>
                <w:b w:val="0"/>
                <w:sz w:val="18"/>
                <w:szCs w:val="18"/>
              </w:rPr>
            </w:pPr>
            <w:r w:rsidRPr="001A1BE7">
              <w:rPr>
                <w:rFonts w:cstheme="minorHAnsi"/>
                <w:b w:val="0"/>
                <w:sz w:val="18"/>
                <w:szCs w:val="18"/>
              </w:rPr>
              <w:t>a. No. hours leave in a year (hrs/</w:t>
            </w:r>
            <w:proofErr w:type="spellStart"/>
            <w:r w:rsidRPr="001A1BE7">
              <w:rPr>
                <w:rFonts w:cstheme="minorHAnsi"/>
                <w:b w:val="0"/>
                <w:sz w:val="18"/>
                <w:szCs w:val="18"/>
              </w:rPr>
              <w:t>yr</w:t>
            </w:r>
            <w:proofErr w:type="spellEnd"/>
            <w:r w:rsidRPr="001A1BE7">
              <w:rPr>
                <w:rFonts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820" w:type="pct"/>
            <w:noWrap/>
            <w:hideMark/>
          </w:tcPr>
          <w:p w14:paraId="0868D3FB" w14:textId="77777777" w:rsidR="001566A0" w:rsidRPr="001A1BE7" w:rsidRDefault="001566A0" w:rsidP="001566A0">
            <w:pPr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152</w:t>
            </w:r>
          </w:p>
        </w:tc>
        <w:tc>
          <w:tcPr>
            <w:tcW w:w="675" w:type="pct"/>
          </w:tcPr>
          <w:p w14:paraId="3898ED78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eastAsia="en-AU"/>
              </w:rPr>
            </w:pPr>
            <w:r w:rsidRPr="001A1BE7">
              <w:rPr>
                <w:rFonts w:cstheme="minorHAnsi"/>
                <w:sz w:val="18"/>
                <w:szCs w:val="18"/>
              </w:rPr>
              <w:t>152</w:t>
            </w:r>
          </w:p>
        </w:tc>
        <w:tc>
          <w:tcPr>
            <w:tcW w:w="675" w:type="pct"/>
          </w:tcPr>
          <w:p w14:paraId="5DDAF1A7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eastAsia="en-AU"/>
              </w:rPr>
            </w:pPr>
            <w:r w:rsidRPr="001A1BE7">
              <w:rPr>
                <w:rFonts w:cstheme="minorHAnsi"/>
                <w:sz w:val="18"/>
                <w:szCs w:val="18"/>
              </w:rPr>
              <w:t>152</w:t>
            </w:r>
          </w:p>
        </w:tc>
      </w:tr>
      <w:tr w:rsidR="001566A0" w14:paraId="381B8778" w14:textId="77777777" w:rsidTr="001A1B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</w:tcPr>
          <w:p w14:paraId="3E667E53" w14:textId="77777777" w:rsidR="001566A0" w:rsidRPr="001A1BE7" w:rsidRDefault="001566A0" w:rsidP="001566A0">
            <w:pPr>
              <w:spacing w:before="40" w:after="40" w:line="240" w:lineRule="atLeast"/>
              <w:ind w:left="593"/>
              <w:rPr>
                <w:rFonts w:cstheme="minorHAnsi"/>
                <w:b w:val="0"/>
                <w:sz w:val="18"/>
                <w:szCs w:val="18"/>
              </w:rPr>
            </w:pPr>
            <w:r w:rsidRPr="001A1BE7">
              <w:rPr>
                <w:rFonts w:cstheme="minorHAnsi"/>
                <w:b w:val="0"/>
                <w:sz w:val="18"/>
                <w:szCs w:val="18"/>
              </w:rPr>
              <w:t>b. Loading</w:t>
            </w:r>
          </w:p>
        </w:tc>
        <w:tc>
          <w:tcPr>
            <w:tcW w:w="820" w:type="pct"/>
            <w:noWrap/>
          </w:tcPr>
          <w:p w14:paraId="7D09147C" w14:textId="77777777" w:rsidR="001566A0" w:rsidRPr="001A1BE7" w:rsidRDefault="001566A0" w:rsidP="001566A0">
            <w:pPr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17.5%</w:t>
            </w:r>
          </w:p>
        </w:tc>
        <w:tc>
          <w:tcPr>
            <w:tcW w:w="675" w:type="pct"/>
          </w:tcPr>
          <w:p w14:paraId="6063CD2F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17.5%</w:t>
            </w:r>
          </w:p>
        </w:tc>
        <w:tc>
          <w:tcPr>
            <w:tcW w:w="675" w:type="pct"/>
          </w:tcPr>
          <w:p w14:paraId="6FC372E4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17.5%</w:t>
            </w:r>
          </w:p>
        </w:tc>
      </w:tr>
      <w:tr w:rsidR="001566A0" w14:paraId="40BB2E15" w14:textId="77777777" w:rsidTr="001A1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</w:tcPr>
          <w:p w14:paraId="1328DD24" w14:textId="77777777" w:rsidR="001566A0" w:rsidRPr="001A1BE7" w:rsidRDefault="001566A0" w:rsidP="001566A0">
            <w:pPr>
              <w:spacing w:before="40" w:after="40" w:line="240" w:lineRule="atLeast"/>
              <w:ind w:left="593"/>
              <w:rPr>
                <w:rFonts w:cstheme="minorHAnsi"/>
                <w:b w:val="0"/>
                <w:sz w:val="18"/>
                <w:szCs w:val="18"/>
              </w:rPr>
            </w:pPr>
            <w:r w:rsidRPr="001A1BE7">
              <w:rPr>
                <w:rFonts w:cstheme="minorHAnsi"/>
                <w:b w:val="0"/>
                <w:sz w:val="18"/>
                <w:szCs w:val="18"/>
              </w:rPr>
              <w:t>c. Proportion of leave taken</w:t>
            </w:r>
          </w:p>
        </w:tc>
        <w:tc>
          <w:tcPr>
            <w:tcW w:w="820" w:type="pct"/>
            <w:noWrap/>
          </w:tcPr>
          <w:p w14:paraId="21B859B0" w14:textId="77777777" w:rsidR="001566A0" w:rsidRPr="001A1BE7" w:rsidRDefault="001566A0" w:rsidP="001566A0">
            <w:pPr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100.0%</w:t>
            </w:r>
          </w:p>
        </w:tc>
        <w:tc>
          <w:tcPr>
            <w:tcW w:w="675" w:type="pct"/>
          </w:tcPr>
          <w:p w14:paraId="385583D6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100.0%</w:t>
            </w:r>
          </w:p>
        </w:tc>
        <w:tc>
          <w:tcPr>
            <w:tcW w:w="675" w:type="pct"/>
          </w:tcPr>
          <w:p w14:paraId="43AF8CD9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100.0%</w:t>
            </w:r>
          </w:p>
        </w:tc>
      </w:tr>
      <w:tr w:rsidR="001566A0" w14:paraId="5393ADF5" w14:textId="77777777" w:rsidTr="001A1B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</w:tcPr>
          <w:p w14:paraId="67E3BFE1" w14:textId="77777777" w:rsidR="001566A0" w:rsidRPr="001A1BE7" w:rsidRDefault="001566A0" w:rsidP="001566A0">
            <w:pPr>
              <w:spacing w:before="40" w:after="40" w:line="240" w:lineRule="atLeast"/>
              <w:ind w:left="59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Cost</w:t>
            </w:r>
          </w:p>
        </w:tc>
        <w:tc>
          <w:tcPr>
            <w:tcW w:w="820" w:type="pct"/>
            <w:noWrap/>
          </w:tcPr>
          <w:p w14:paraId="27451C4B" w14:textId="77777777" w:rsidR="001566A0" w:rsidRPr="001566A0" w:rsidRDefault="001566A0" w:rsidP="001566A0">
            <w:pPr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$2.95</w:t>
            </w:r>
          </w:p>
        </w:tc>
        <w:tc>
          <w:tcPr>
            <w:tcW w:w="675" w:type="pct"/>
          </w:tcPr>
          <w:p w14:paraId="215B1EE6" w14:textId="77777777" w:rsidR="001566A0" w:rsidRPr="001566A0" w:rsidRDefault="001566A0" w:rsidP="001566A0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$3.06</w:t>
            </w:r>
          </w:p>
        </w:tc>
        <w:tc>
          <w:tcPr>
            <w:tcW w:w="675" w:type="pct"/>
          </w:tcPr>
          <w:p w14:paraId="3FBD1321" w14:textId="77777777" w:rsidR="001566A0" w:rsidRPr="001566A0" w:rsidRDefault="001566A0" w:rsidP="001566A0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$3.18</w:t>
            </w:r>
          </w:p>
        </w:tc>
      </w:tr>
      <w:tr w:rsidR="001566A0" w14:paraId="328D365A" w14:textId="77777777" w:rsidTr="001A1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</w:tcPr>
          <w:p w14:paraId="63856918" w14:textId="77777777" w:rsidR="001566A0" w:rsidRPr="001A1BE7" w:rsidRDefault="001566A0" w:rsidP="00B658AF">
            <w:pPr>
              <w:keepNext/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All</w:t>
            </w:r>
            <w:r w:rsidR="00B658AF">
              <w:rPr>
                <w:rFonts w:cstheme="minorHAnsi"/>
                <w:sz w:val="18"/>
                <w:szCs w:val="18"/>
              </w:rPr>
              <w:t>owance for Personal leave</w:t>
            </w:r>
          </w:p>
        </w:tc>
        <w:tc>
          <w:tcPr>
            <w:tcW w:w="820" w:type="pct"/>
            <w:noWrap/>
          </w:tcPr>
          <w:p w14:paraId="101D9670" w14:textId="77777777" w:rsidR="001566A0" w:rsidRPr="001566A0" w:rsidRDefault="001566A0" w:rsidP="00B658AF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5" w:type="pct"/>
          </w:tcPr>
          <w:p w14:paraId="5A20FC8F" w14:textId="77777777" w:rsidR="001566A0" w:rsidRPr="001566A0" w:rsidRDefault="001566A0" w:rsidP="00B658AF">
            <w:pPr>
              <w:keepNext/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5" w:type="pct"/>
          </w:tcPr>
          <w:p w14:paraId="3E85EACB" w14:textId="77777777" w:rsidR="001566A0" w:rsidRPr="001566A0" w:rsidRDefault="001566A0" w:rsidP="00B658AF">
            <w:pPr>
              <w:keepNext/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566A0" w14:paraId="0B13B049" w14:textId="77777777" w:rsidTr="001A1B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</w:tcPr>
          <w:p w14:paraId="6E6AF4E8" w14:textId="77777777" w:rsidR="001566A0" w:rsidRPr="001A1BE7" w:rsidRDefault="001566A0" w:rsidP="00B658AF">
            <w:pPr>
              <w:keepNext/>
              <w:spacing w:before="40" w:after="40" w:line="240" w:lineRule="atLeast"/>
              <w:ind w:left="593"/>
              <w:rPr>
                <w:rFonts w:cstheme="minorHAnsi"/>
                <w:b w:val="0"/>
                <w:sz w:val="18"/>
                <w:szCs w:val="18"/>
              </w:rPr>
            </w:pPr>
            <w:r w:rsidRPr="001A1BE7">
              <w:rPr>
                <w:rFonts w:cstheme="minorHAnsi"/>
                <w:b w:val="0"/>
                <w:sz w:val="18"/>
                <w:szCs w:val="18"/>
              </w:rPr>
              <w:t>a. No. hours leave in a year (hrs/</w:t>
            </w:r>
            <w:proofErr w:type="spellStart"/>
            <w:r w:rsidRPr="001A1BE7">
              <w:rPr>
                <w:rFonts w:cstheme="minorHAnsi"/>
                <w:b w:val="0"/>
                <w:sz w:val="18"/>
                <w:szCs w:val="18"/>
              </w:rPr>
              <w:t>yr</w:t>
            </w:r>
            <w:proofErr w:type="spellEnd"/>
            <w:r w:rsidRPr="001A1BE7">
              <w:rPr>
                <w:rFonts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820" w:type="pct"/>
            <w:noWrap/>
          </w:tcPr>
          <w:p w14:paraId="18425CCC" w14:textId="77777777" w:rsidR="001566A0" w:rsidRPr="001A1BE7" w:rsidRDefault="001566A0" w:rsidP="00B658AF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76</w:t>
            </w:r>
          </w:p>
        </w:tc>
        <w:tc>
          <w:tcPr>
            <w:tcW w:w="675" w:type="pct"/>
          </w:tcPr>
          <w:p w14:paraId="44EEC2F8" w14:textId="77777777" w:rsidR="001566A0" w:rsidRPr="001A1BE7" w:rsidRDefault="001566A0" w:rsidP="00B658AF">
            <w:pPr>
              <w:keepNext/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76</w:t>
            </w:r>
          </w:p>
        </w:tc>
        <w:tc>
          <w:tcPr>
            <w:tcW w:w="675" w:type="pct"/>
          </w:tcPr>
          <w:p w14:paraId="16BA7B2A" w14:textId="77777777" w:rsidR="001566A0" w:rsidRPr="001A1BE7" w:rsidRDefault="001566A0" w:rsidP="00B658AF">
            <w:pPr>
              <w:keepNext/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76</w:t>
            </w:r>
          </w:p>
        </w:tc>
      </w:tr>
      <w:tr w:rsidR="001566A0" w14:paraId="0186CD43" w14:textId="77777777" w:rsidTr="001A1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</w:tcPr>
          <w:p w14:paraId="0D5E9293" w14:textId="77777777" w:rsidR="001566A0" w:rsidRPr="001A1BE7" w:rsidRDefault="001566A0" w:rsidP="001566A0">
            <w:pPr>
              <w:spacing w:before="40" w:after="40" w:line="240" w:lineRule="atLeast"/>
              <w:ind w:left="593"/>
              <w:rPr>
                <w:rFonts w:cstheme="minorHAnsi"/>
                <w:b w:val="0"/>
                <w:sz w:val="18"/>
                <w:szCs w:val="18"/>
              </w:rPr>
            </w:pPr>
            <w:r w:rsidRPr="001A1BE7">
              <w:rPr>
                <w:rFonts w:cstheme="minorHAnsi"/>
                <w:b w:val="0"/>
                <w:sz w:val="18"/>
                <w:szCs w:val="18"/>
              </w:rPr>
              <w:t>b. Loading</w:t>
            </w:r>
          </w:p>
        </w:tc>
        <w:tc>
          <w:tcPr>
            <w:tcW w:w="820" w:type="pct"/>
            <w:noWrap/>
          </w:tcPr>
          <w:p w14:paraId="0029D1C5" w14:textId="77777777" w:rsidR="001566A0" w:rsidRPr="001A1BE7" w:rsidRDefault="001566A0" w:rsidP="001566A0">
            <w:pPr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0.0%</w:t>
            </w:r>
          </w:p>
        </w:tc>
        <w:tc>
          <w:tcPr>
            <w:tcW w:w="675" w:type="pct"/>
          </w:tcPr>
          <w:p w14:paraId="5F61272A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0.0%</w:t>
            </w:r>
          </w:p>
        </w:tc>
        <w:tc>
          <w:tcPr>
            <w:tcW w:w="675" w:type="pct"/>
          </w:tcPr>
          <w:p w14:paraId="2D2863BB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0.0%</w:t>
            </w:r>
          </w:p>
        </w:tc>
      </w:tr>
      <w:tr w:rsidR="001566A0" w14:paraId="41FFCF37" w14:textId="77777777" w:rsidTr="001A1B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</w:tcPr>
          <w:p w14:paraId="2B7D2C07" w14:textId="77777777" w:rsidR="001566A0" w:rsidRPr="001A1BE7" w:rsidRDefault="001566A0" w:rsidP="001566A0">
            <w:pPr>
              <w:spacing w:before="40" w:after="40" w:line="240" w:lineRule="atLeast"/>
              <w:ind w:left="593"/>
              <w:rPr>
                <w:rFonts w:cstheme="minorHAnsi"/>
                <w:b w:val="0"/>
                <w:sz w:val="18"/>
                <w:szCs w:val="18"/>
              </w:rPr>
            </w:pPr>
            <w:r w:rsidRPr="001A1BE7">
              <w:rPr>
                <w:rFonts w:cstheme="minorHAnsi"/>
                <w:b w:val="0"/>
                <w:sz w:val="18"/>
                <w:szCs w:val="18"/>
              </w:rPr>
              <w:t>c. Proportion of leave taken</w:t>
            </w:r>
          </w:p>
        </w:tc>
        <w:tc>
          <w:tcPr>
            <w:tcW w:w="820" w:type="pct"/>
            <w:noWrap/>
          </w:tcPr>
          <w:p w14:paraId="7C0ED438" w14:textId="77777777" w:rsidR="001566A0" w:rsidRPr="001A1BE7" w:rsidRDefault="001566A0" w:rsidP="001566A0">
            <w:pPr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100.0%</w:t>
            </w:r>
          </w:p>
        </w:tc>
        <w:tc>
          <w:tcPr>
            <w:tcW w:w="675" w:type="pct"/>
          </w:tcPr>
          <w:p w14:paraId="5FF05F37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100.0%</w:t>
            </w:r>
          </w:p>
        </w:tc>
        <w:tc>
          <w:tcPr>
            <w:tcW w:w="675" w:type="pct"/>
          </w:tcPr>
          <w:p w14:paraId="2381B4BF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100.0%</w:t>
            </w:r>
          </w:p>
        </w:tc>
      </w:tr>
      <w:tr w:rsidR="001566A0" w14:paraId="126B7C33" w14:textId="77777777" w:rsidTr="001A1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</w:tcPr>
          <w:p w14:paraId="0DBD43EE" w14:textId="77777777" w:rsidR="001566A0" w:rsidRPr="001A1BE7" w:rsidRDefault="001566A0" w:rsidP="001566A0">
            <w:pPr>
              <w:spacing w:before="40" w:after="40" w:line="240" w:lineRule="atLeast"/>
              <w:ind w:left="59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Cost</w:t>
            </w:r>
          </w:p>
        </w:tc>
        <w:tc>
          <w:tcPr>
            <w:tcW w:w="820" w:type="pct"/>
            <w:noWrap/>
          </w:tcPr>
          <w:p w14:paraId="30E3B7DC" w14:textId="77777777" w:rsidR="001566A0" w:rsidRPr="001A1BE7" w:rsidRDefault="001566A0" w:rsidP="001566A0">
            <w:pPr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$</w:t>
            </w:r>
            <w:r w:rsidRPr="001566A0">
              <w:rPr>
                <w:rFonts w:cstheme="minorHAnsi"/>
                <w:b/>
                <w:sz w:val="18"/>
                <w:szCs w:val="18"/>
              </w:rPr>
              <w:t>1.26</w:t>
            </w:r>
          </w:p>
        </w:tc>
        <w:tc>
          <w:tcPr>
            <w:tcW w:w="675" w:type="pct"/>
          </w:tcPr>
          <w:p w14:paraId="2B1147D1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$1.30</w:t>
            </w:r>
          </w:p>
        </w:tc>
        <w:tc>
          <w:tcPr>
            <w:tcW w:w="675" w:type="pct"/>
          </w:tcPr>
          <w:p w14:paraId="50FCEF0C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$1.35</w:t>
            </w:r>
          </w:p>
        </w:tc>
      </w:tr>
      <w:tr w:rsidR="001566A0" w14:paraId="7B81118C" w14:textId="77777777" w:rsidTr="001A1B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</w:tcPr>
          <w:p w14:paraId="40886607" w14:textId="77777777" w:rsidR="001566A0" w:rsidRPr="001A1BE7" w:rsidRDefault="001566A0" w:rsidP="00B658AF">
            <w:pPr>
              <w:keepNext/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lastRenderedPageBreak/>
              <w:t>All</w:t>
            </w:r>
            <w:r w:rsidR="00B658AF">
              <w:rPr>
                <w:rFonts w:cstheme="minorHAnsi"/>
                <w:sz w:val="18"/>
                <w:szCs w:val="18"/>
              </w:rPr>
              <w:t>owance for Public Holiday leave</w:t>
            </w:r>
          </w:p>
        </w:tc>
        <w:tc>
          <w:tcPr>
            <w:tcW w:w="820" w:type="pct"/>
            <w:noWrap/>
          </w:tcPr>
          <w:p w14:paraId="4BBEE88B" w14:textId="77777777" w:rsidR="001566A0" w:rsidRPr="001A1BE7" w:rsidRDefault="001566A0" w:rsidP="003C3A52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14:paraId="75EBF9B4" w14:textId="77777777" w:rsidR="001566A0" w:rsidRPr="001A1BE7" w:rsidRDefault="001566A0" w:rsidP="003C3A52">
            <w:pPr>
              <w:keepNext/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5" w:type="pct"/>
          </w:tcPr>
          <w:p w14:paraId="78D76D17" w14:textId="77777777" w:rsidR="001566A0" w:rsidRPr="001A1BE7" w:rsidRDefault="001566A0" w:rsidP="003C3A52">
            <w:pPr>
              <w:keepNext/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566A0" w14:paraId="4C6A7C38" w14:textId="77777777" w:rsidTr="001A1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</w:tcPr>
          <w:p w14:paraId="218B345A" w14:textId="77777777" w:rsidR="001566A0" w:rsidRPr="001A1BE7" w:rsidRDefault="001566A0" w:rsidP="001566A0">
            <w:pPr>
              <w:spacing w:before="40" w:after="40" w:line="240" w:lineRule="atLeast"/>
              <w:ind w:left="593"/>
              <w:rPr>
                <w:rFonts w:cstheme="minorHAnsi"/>
                <w:b w:val="0"/>
                <w:sz w:val="18"/>
                <w:szCs w:val="18"/>
              </w:rPr>
            </w:pPr>
            <w:r w:rsidRPr="001A1BE7">
              <w:rPr>
                <w:rFonts w:cstheme="minorHAnsi"/>
                <w:b w:val="0"/>
                <w:sz w:val="18"/>
                <w:szCs w:val="18"/>
              </w:rPr>
              <w:t>a. No. hours leave in a year (hrs/</w:t>
            </w:r>
            <w:proofErr w:type="spellStart"/>
            <w:r w:rsidRPr="001A1BE7">
              <w:rPr>
                <w:rFonts w:cstheme="minorHAnsi"/>
                <w:b w:val="0"/>
                <w:sz w:val="18"/>
                <w:szCs w:val="18"/>
              </w:rPr>
              <w:t>yr</w:t>
            </w:r>
            <w:proofErr w:type="spellEnd"/>
            <w:r w:rsidRPr="001A1BE7">
              <w:rPr>
                <w:rFonts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820" w:type="pct"/>
            <w:noWrap/>
          </w:tcPr>
          <w:p w14:paraId="74642A59" w14:textId="77777777" w:rsidR="001566A0" w:rsidRPr="001A1BE7" w:rsidRDefault="001566A0" w:rsidP="001566A0">
            <w:pPr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76</w:t>
            </w:r>
          </w:p>
        </w:tc>
        <w:tc>
          <w:tcPr>
            <w:tcW w:w="675" w:type="pct"/>
          </w:tcPr>
          <w:p w14:paraId="41B98760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76</w:t>
            </w:r>
          </w:p>
        </w:tc>
        <w:tc>
          <w:tcPr>
            <w:tcW w:w="675" w:type="pct"/>
          </w:tcPr>
          <w:p w14:paraId="058B4F36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76</w:t>
            </w:r>
          </w:p>
        </w:tc>
      </w:tr>
      <w:tr w:rsidR="001566A0" w14:paraId="0ADFC891" w14:textId="77777777" w:rsidTr="001A1B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</w:tcPr>
          <w:p w14:paraId="2C2C53A0" w14:textId="77777777" w:rsidR="001566A0" w:rsidRPr="001A1BE7" w:rsidRDefault="001566A0" w:rsidP="001566A0">
            <w:pPr>
              <w:spacing w:before="40" w:after="40" w:line="240" w:lineRule="atLeast"/>
              <w:ind w:left="593"/>
              <w:rPr>
                <w:rFonts w:cstheme="minorHAnsi"/>
                <w:b w:val="0"/>
                <w:sz w:val="18"/>
                <w:szCs w:val="18"/>
              </w:rPr>
            </w:pPr>
            <w:r w:rsidRPr="001A1BE7">
              <w:rPr>
                <w:rFonts w:cstheme="minorHAnsi"/>
                <w:b w:val="0"/>
                <w:sz w:val="18"/>
                <w:szCs w:val="18"/>
              </w:rPr>
              <w:t>b. Loading</w:t>
            </w:r>
          </w:p>
        </w:tc>
        <w:tc>
          <w:tcPr>
            <w:tcW w:w="820" w:type="pct"/>
            <w:noWrap/>
          </w:tcPr>
          <w:p w14:paraId="3B90EE74" w14:textId="77777777" w:rsidR="001566A0" w:rsidRPr="001A1BE7" w:rsidRDefault="001566A0" w:rsidP="001566A0">
            <w:pPr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0.0%</w:t>
            </w:r>
          </w:p>
        </w:tc>
        <w:tc>
          <w:tcPr>
            <w:tcW w:w="675" w:type="pct"/>
          </w:tcPr>
          <w:p w14:paraId="42189D00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0.0%</w:t>
            </w:r>
          </w:p>
        </w:tc>
        <w:tc>
          <w:tcPr>
            <w:tcW w:w="675" w:type="pct"/>
          </w:tcPr>
          <w:p w14:paraId="454BE011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0.0%</w:t>
            </w:r>
          </w:p>
        </w:tc>
      </w:tr>
      <w:tr w:rsidR="001566A0" w14:paraId="7C3E1986" w14:textId="77777777" w:rsidTr="001A1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</w:tcPr>
          <w:p w14:paraId="461E14BA" w14:textId="77777777" w:rsidR="001566A0" w:rsidRPr="001A1BE7" w:rsidRDefault="001566A0" w:rsidP="001566A0">
            <w:pPr>
              <w:spacing w:before="40" w:after="40" w:line="240" w:lineRule="atLeast"/>
              <w:ind w:left="593"/>
              <w:rPr>
                <w:rFonts w:cstheme="minorHAnsi"/>
                <w:b w:val="0"/>
                <w:sz w:val="18"/>
                <w:szCs w:val="18"/>
              </w:rPr>
            </w:pPr>
            <w:r w:rsidRPr="001A1BE7">
              <w:rPr>
                <w:rFonts w:cstheme="minorHAnsi"/>
                <w:b w:val="0"/>
                <w:sz w:val="18"/>
                <w:szCs w:val="18"/>
              </w:rPr>
              <w:t>c. Proportion of leave taken</w:t>
            </w:r>
          </w:p>
        </w:tc>
        <w:tc>
          <w:tcPr>
            <w:tcW w:w="820" w:type="pct"/>
            <w:noWrap/>
          </w:tcPr>
          <w:p w14:paraId="0B0E0A4D" w14:textId="77777777" w:rsidR="001566A0" w:rsidRPr="001A1BE7" w:rsidRDefault="001566A0" w:rsidP="001566A0">
            <w:pPr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100.0%</w:t>
            </w:r>
          </w:p>
        </w:tc>
        <w:tc>
          <w:tcPr>
            <w:tcW w:w="675" w:type="pct"/>
          </w:tcPr>
          <w:p w14:paraId="34ADE093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100.0%</w:t>
            </w:r>
          </w:p>
        </w:tc>
        <w:tc>
          <w:tcPr>
            <w:tcW w:w="675" w:type="pct"/>
          </w:tcPr>
          <w:p w14:paraId="0D8D2E83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100.0%</w:t>
            </w:r>
          </w:p>
        </w:tc>
      </w:tr>
      <w:tr w:rsidR="001566A0" w14:paraId="5025DAC7" w14:textId="77777777" w:rsidTr="001A1B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</w:tcPr>
          <w:p w14:paraId="756623E3" w14:textId="77777777" w:rsidR="001566A0" w:rsidRPr="001A1BE7" w:rsidRDefault="001566A0" w:rsidP="001566A0">
            <w:pPr>
              <w:spacing w:before="40" w:after="40" w:line="240" w:lineRule="atLeast"/>
              <w:ind w:left="59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Cost</w:t>
            </w:r>
          </w:p>
        </w:tc>
        <w:tc>
          <w:tcPr>
            <w:tcW w:w="820" w:type="pct"/>
            <w:noWrap/>
          </w:tcPr>
          <w:p w14:paraId="6A7B9F31" w14:textId="77777777" w:rsidR="001566A0" w:rsidRPr="001A1BE7" w:rsidRDefault="001566A0" w:rsidP="001566A0">
            <w:pPr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$</w:t>
            </w:r>
            <w:r w:rsidRPr="001566A0">
              <w:rPr>
                <w:rFonts w:cstheme="minorHAnsi"/>
                <w:b/>
                <w:sz w:val="18"/>
                <w:szCs w:val="18"/>
              </w:rPr>
              <w:t>1.26</w:t>
            </w:r>
          </w:p>
        </w:tc>
        <w:tc>
          <w:tcPr>
            <w:tcW w:w="675" w:type="pct"/>
          </w:tcPr>
          <w:p w14:paraId="23971204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$1.30</w:t>
            </w:r>
          </w:p>
        </w:tc>
        <w:tc>
          <w:tcPr>
            <w:tcW w:w="675" w:type="pct"/>
          </w:tcPr>
          <w:p w14:paraId="759AD68D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$1.35</w:t>
            </w:r>
          </w:p>
        </w:tc>
      </w:tr>
      <w:tr w:rsidR="001566A0" w14:paraId="67727C15" w14:textId="77777777" w:rsidTr="001A1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</w:tcPr>
          <w:p w14:paraId="5746F25D" w14:textId="77777777" w:rsidR="001566A0" w:rsidRPr="001A1BE7" w:rsidRDefault="001566A0" w:rsidP="001566A0">
            <w:pPr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Allowan</w:t>
            </w:r>
            <w:r w:rsidR="00B658AF">
              <w:rPr>
                <w:rFonts w:cstheme="minorHAnsi"/>
                <w:sz w:val="18"/>
                <w:szCs w:val="18"/>
              </w:rPr>
              <w:t>ce for Long Service leave</w:t>
            </w:r>
          </w:p>
        </w:tc>
        <w:tc>
          <w:tcPr>
            <w:tcW w:w="820" w:type="pct"/>
            <w:noWrap/>
          </w:tcPr>
          <w:p w14:paraId="57CCAD1B" w14:textId="77777777" w:rsidR="001566A0" w:rsidRPr="001A1BE7" w:rsidRDefault="001566A0" w:rsidP="001566A0">
            <w:pPr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14:paraId="6219BE0C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5" w:type="pct"/>
          </w:tcPr>
          <w:p w14:paraId="109CB904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566A0" w14:paraId="6864A3A3" w14:textId="77777777" w:rsidTr="001A1B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</w:tcPr>
          <w:p w14:paraId="2E0F2339" w14:textId="77777777" w:rsidR="001566A0" w:rsidRPr="001A1BE7" w:rsidRDefault="001566A0" w:rsidP="001566A0">
            <w:pPr>
              <w:spacing w:before="40" w:after="40" w:line="240" w:lineRule="atLeast"/>
              <w:ind w:left="593"/>
              <w:rPr>
                <w:rFonts w:cstheme="minorHAnsi"/>
                <w:b w:val="0"/>
                <w:sz w:val="18"/>
                <w:szCs w:val="18"/>
              </w:rPr>
            </w:pPr>
            <w:r w:rsidRPr="001A1BE7">
              <w:rPr>
                <w:rFonts w:cstheme="minorHAnsi"/>
                <w:b w:val="0"/>
                <w:sz w:val="18"/>
                <w:szCs w:val="18"/>
              </w:rPr>
              <w:t>a. No. hours leave in a year (hrs/</w:t>
            </w:r>
            <w:proofErr w:type="spellStart"/>
            <w:r w:rsidRPr="001A1BE7">
              <w:rPr>
                <w:rFonts w:cstheme="minorHAnsi"/>
                <w:b w:val="0"/>
                <w:sz w:val="18"/>
                <w:szCs w:val="18"/>
              </w:rPr>
              <w:t>yr</w:t>
            </w:r>
            <w:proofErr w:type="spellEnd"/>
            <w:r w:rsidRPr="001A1BE7">
              <w:rPr>
                <w:rFonts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820" w:type="pct"/>
            <w:noWrap/>
          </w:tcPr>
          <w:p w14:paraId="15C70346" w14:textId="77777777" w:rsidR="001566A0" w:rsidRPr="001A1BE7" w:rsidRDefault="001566A0" w:rsidP="001566A0">
            <w:pPr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32.93</w:t>
            </w:r>
          </w:p>
        </w:tc>
        <w:tc>
          <w:tcPr>
            <w:tcW w:w="675" w:type="pct"/>
          </w:tcPr>
          <w:p w14:paraId="0ED54570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32.93</w:t>
            </w:r>
          </w:p>
        </w:tc>
        <w:tc>
          <w:tcPr>
            <w:tcW w:w="675" w:type="pct"/>
          </w:tcPr>
          <w:p w14:paraId="26D58539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32.93</w:t>
            </w:r>
          </w:p>
        </w:tc>
      </w:tr>
      <w:tr w:rsidR="001566A0" w14:paraId="2E2734C2" w14:textId="77777777" w:rsidTr="001A1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</w:tcPr>
          <w:p w14:paraId="77E68C70" w14:textId="77777777" w:rsidR="001566A0" w:rsidRPr="001A1BE7" w:rsidRDefault="001566A0" w:rsidP="001566A0">
            <w:pPr>
              <w:spacing w:before="40" w:after="40" w:line="240" w:lineRule="atLeast"/>
              <w:ind w:left="593"/>
              <w:rPr>
                <w:rFonts w:cstheme="minorHAnsi"/>
                <w:b w:val="0"/>
                <w:sz w:val="18"/>
                <w:szCs w:val="18"/>
              </w:rPr>
            </w:pPr>
            <w:r w:rsidRPr="001A1BE7">
              <w:rPr>
                <w:rFonts w:cstheme="minorHAnsi"/>
                <w:b w:val="0"/>
                <w:sz w:val="18"/>
                <w:szCs w:val="18"/>
              </w:rPr>
              <w:t>b. Loading</w:t>
            </w:r>
          </w:p>
        </w:tc>
        <w:tc>
          <w:tcPr>
            <w:tcW w:w="820" w:type="pct"/>
            <w:noWrap/>
          </w:tcPr>
          <w:p w14:paraId="62A697ED" w14:textId="77777777" w:rsidR="001566A0" w:rsidRPr="001A1BE7" w:rsidRDefault="001566A0" w:rsidP="001566A0">
            <w:pPr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0.0%</w:t>
            </w:r>
          </w:p>
        </w:tc>
        <w:tc>
          <w:tcPr>
            <w:tcW w:w="675" w:type="pct"/>
          </w:tcPr>
          <w:p w14:paraId="2C1F4706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0.0%</w:t>
            </w:r>
          </w:p>
        </w:tc>
        <w:tc>
          <w:tcPr>
            <w:tcW w:w="675" w:type="pct"/>
          </w:tcPr>
          <w:p w14:paraId="46F4888C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0.0%</w:t>
            </w:r>
          </w:p>
        </w:tc>
      </w:tr>
      <w:tr w:rsidR="001566A0" w14:paraId="2294E6B7" w14:textId="77777777" w:rsidTr="001A1B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</w:tcPr>
          <w:p w14:paraId="311FBE69" w14:textId="77777777" w:rsidR="001566A0" w:rsidRPr="001A1BE7" w:rsidRDefault="001566A0" w:rsidP="00B658AF">
            <w:pPr>
              <w:spacing w:before="40" w:after="40" w:line="240" w:lineRule="atLeast"/>
              <w:ind w:left="593"/>
              <w:rPr>
                <w:rFonts w:cstheme="minorHAnsi"/>
                <w:b w:val="0"/>
                <w:sz w:val="18"/>
                <w:szCs w:val="18"/>
              </w:rPr>
            </w:pPr>
            <w:r w:rsidRPr="001A1BE7">
              <w:rPr>
                <w:rFonts w:cstheme="minorHAnsi"/>
                <w:b w:val="0"/>
                <w:sz w:val="18"/>
                <w:szCs w:val="18"/>
              </w:rPr>
              <w:t>c. Proportion of leave taken</w:t>
            </w:r>
          </w:p>
        </w:tc>
        <w:tc>
          <w:tcPr>
            <w:tcW w:w="820" w:type="pct"/>
            <w:noWrap/>
          </w:tcPr>
          <w:p w14:paraId="29D88402" w14:textId="77777777" w:rsidR="001566A0" w:rsidRPr="001A1BE7" w:rsidRDefault="001566A0" w:rsidP="001566A0">
            <w:pPr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18.0%</w:t>
            </w:r>
          </w:p>
        </w:tc>
        <w:tc>
          <w:tcPr>
            <w:tcW w:w="675" w:type="pct"/>
          </w:tcPr>
          <w:p w14:paraId="724D0D9A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18.0%</w:t>
            </w:r>
          </w:p>
        </w:tc>
        <w:tc>
          <w:tcPr>
            <w:tcW w:w="675" w:type="pct"/>
          </w:tcPr>
          <w:p w14:paraId="110FB4B9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18.0%</w:t>
            </w:r>
          </w:p>
        </w:tc>
      </w:tr>
      <w:tr w:rsidR="001566A0" w14:paraId="15C48183" w14:textId="77777777" w:rsidTr="001A1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</w:tcPr>
          <w:p w14:paraId="4563B539" w14:textId="77777777" w:rsidR="001566A0" w:rsidRPr="001A1BE7" w:rsidRDefault="001566A0" w:rsidP="001566A0">
            <w:pPr>
              <w:spacing w:before="40" w:after="40" w:line="240" w:lineRule="atLeast"/>
              <w:ind w:left="59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Cost</w:t>
            </w:r>
          </w:p>
        </w:tc>
        <w:tc>
          <w:tcPr>
            <w:tcW w:w="820" w:type="pct"/>
            <w:noWrap/>
          </w:tcPr>
          <w:p w14:paraId="1D2C3522" w14:textId="77777777" w:rsidR="001566A0" w:rsidRPr="001A1BE7" w:rsidRDefault="001566A0" w:rsidP="001566A0">
            <w:pPr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b/>
                <w:sz w:val="18"/>
                <w:szCs w:val="18"/>
              </w:rPr>
              <w:t>$0.10</w:t>
            </w:r>
          </w:p>
        </w:tc>
        <w:tc>
          <w:tcPr>
            <w:tcW w:w="675" w:type="pct"/>
          </w:tcPr>
          <w:p w14:paraId="43FF22A2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1A1BE7">
              <w:rPr>
                <w:rFonts w:cstheme="minorHAnsi"/>
                <w:b/>
                <w:sz w:val="18"/>
                <w:szCs w:val="18"/>
              </w:rPr>
              <w:t>$0.10</w:t>
            </w:r>
          </w:p>
        </w:tc>
        <w:tc>
          <w:tcPr>
            <w:tcW w:w="675" w:type="pct"/>
          </w:tcPr>
          <w:p w14:paraId="2DE06D0E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1A1BE7">
              <w:rPr>
                <w:rFonts w:cstheme="minorHAnsi"/>
                <w:b/>
                <w:sz w:val="18"/>
                <w:szCs w:val="18"/>
              </w:rPr>
              <w:t>$0.10</w:t>
            </w:r>
          </w:p>
        </w:tc>
      </w:tr>
      <w:tr w:rsidR="001566A0" w14:paraId="53A3376B" w14:textId="77777777" w:rsidTr="001A1B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</w:tcPr>
          <w:p w14:paraId="2EA946BF" w14:textId="77777777" w:rsidR="001566A0" w:rsidRPr="001A1BE7" w:rsidRDefault="001566A0" w:rsidP="001566A0">
            <w:pPr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Cumulative cost per hour</w:t>
            </w:r>
            <w:r w:rsidRPr="001A1BE7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t>after</w:t>
            </w:r>
            <w:r w:rsidRPr="001A1BE7">
              <w:rPr>
                <w:rFonts w:cstheme="minorHAnsi"/>
                <w:sz w:val="18"/>
                <w:szCs w:val="18"/>
              </w:rPr>
              <w:t xml:space="preserve"> leave</w:t>
            </w:r>
            <w:r>
              <w:rPr>
                <w:rFonts w:cstheme="minorHAnsi"/>
                <w:sz w:val="18"/>
                <w:szCs w:val="18"/>
              </w:rPr>
              <w:t xml:space="preserve"> costs</w:t>
            </w:r>
          </w:p>
        </w:tc>
        <w:tc>
          <w:tcPr>
            <w:tcW w:w="820" w:type="pct"/>
            <w:noWrap/>
          </w:tcPr>
          <w:p w14:paraId="2F0BE428" w14:textId="77777777" w:rsidR="001566A0" w:rsidRPr="001566A0" w:rsidRDefault="001566A0" w:rsidP="001566A0">
            <w:pPr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1566A0">
              <w:rPr>
                <w:rFonts w:cstheme="minorHAnsi"/>
                <w:b/>
                <w:sz w:val="18"/>
                <w:szCs w:val="18"/>
              </w:rPr>
              <w:t>$33.17</w:t>
            </w:r>
          </w:p>
        </w:tc>
        <w:tc>
          <w:tcPr>
            <w:tcW w:w="675" w:type="pct"/>
          </w:tcPr>
          <w:p w14:paraId="763C930B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1A1BE7">
              <w:rPr>
                <w:rFonts w:cstheme="minorHAnsi"/>
                <w:b/>
                <w:sz w:val="18"/>
                <w:szCs w:val="18"/>
              </w:rPr>
              <w:t xml:space="preserve"> $</w:t>
            </w:r>
            <w:r>
              <w:rPr>
                <w:rFonts w:cstheme="minorHAnsi"/>
                <w:b/>
                <w:sz w:val="18"/>
                <w:szCs w:val="18"/>
              </w:rPr>
              <w:t>34.39</w:t>
            </w:r>
            <w:r w:rsidRPr="001A1BE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75" w:type="pct"/>
          </w:tcPr>
          <w:p w14:paraId="0CE1F5E6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$35.73</w:t>
            </w:r>
          </w:p>
        </w:tc>
      </w:tr>
      <w:tr w:rsidR="001566A0" w:rsidRPr="006258AE" w14:paraId="11E95231" w14:textId="77777777" w:rsidTr="001A1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</w:tcPr>
          <w:p w14:paraId="3791ECEC" w14:textId="77777777" w:rsidR="001566A0" w:rsidRPr="001A1BE7" w:rsidRDefault="001566A0" w:rsidP="00CD68BE">
            <w:pPr>
              <w:spacing w:before="40" w:after="40" w:line="240" w:lineRule="atLeast"/>
              <w:rPr>
                <w:rFonts w:cstheme="minorHAnsi"/>
                <w:b w:val="0"/>
                <w:sz w:val="18"/>
                <w:szCs w:val="18"/>
              </w:rPr>
            </w:pPr>
            <w:r w:rsidRPr="001A1BE7">
              <w:rPr>
                <w:rFonts w:cstheme="minorHAnsi"/>
                <w:b w:val="0"/>
                <w:sz w:val="18"/>
                <w:szCs w:val="18"/>
              </w:rPr>
              <w:t xml:space="preserve">Increase from </w:t>
            </w:r>
            <w:r w:rsidR="00CD68BE">
              <w:rPr>
                <w:rFonts w:cstheme="minorHAnsi"/>
                <w:b w:val="0"/>
                <w:sz w:val="18"/>
                <w:szCs w:val="18"/>
              </w:rPr>
              <w:t>permanent standard hourly rate</w:t>
            </w:r>
          </w:p>
        </w:tc>
        <w:tc>
          <w:tcPr>
            <w:tcW w:w="820" w:type="pct"/>
            <w:noWrap/>
          </w:tcPr>
          <w:p w14:paraId="743AE688" w14:textId="77777777" w:rsidR="001566A0" w:rsidRPr="001A1BE7" w:rsidRDefault="00BA3CDC" w:rsidP="001566A0">
            <w:pPr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20.1%</w:t>
            </w:r>
          </w:p>
        </w:tc>
        <w:tc>
          <w:tcPr>
            <w:tcW w:w="675" w:type="pct"/>
          </w:tcPr>
          <w:p w14:paraId="12AAF694" w14:textId="77777777" w:rsidR="001566A0" w:rsidRPr="001A1BE7" w:rsidRDefault="001566A0" w:rsidP="001566A0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A1BE7">
              <w:rPr>
                <w:rFonts w:cstheme="minorHAnsi"/>
                <w:sz w:val="18"/>
                <w:szCs w:val="18"/>
              </w:rPr>
              <w:t>20.1%</w:t>
            </w:r>
          </w:p>
        </w:tc>
        <w:tc>
          <w:tcPr>
            <w:tcW w:w="675" w:type="pct"/>
          </w:tcPr>
          <w:p w14:paraId="43C25951" w14:textId="77777777" w:rsidR="001566A0" w:rsidRPr="001A1BE7" w:rsidRDefault="00BA3CDC" w:rsidP="001566A0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20.1%</w:t>
            </w:r>
          </w:p>
        </w:tc>
      </w:tr>
    </w:tbl>
    <w:p w14:paraId="3F02EC81" w14:textId="77777777" w:rsidR="0060676C" w:rsidRPr="0060676C" w:rsidRDefault="0060676C" w:rsidP="0060676C">
      <w:pPr>
        <w:spacing w:before="40" w:after="40" w:line="240" w:lineRule="atLeast"/>
        <w:rPr>
          <w:rFonts w:cstheme="minorHAnsi"/>
          <w:bCs/>
          <w:sz w:val="18"/>
          <w:szCs w:val="18"/>
        </w:rPr>
      </w:pPr>
      <w:r w:rsidRPr="0060676C">
        <w:rPr>
          <w:rFonts w:cstheme="minorHAnsi"/>
          <w:bCs/>
          <w:sz w:val="18"/>
          <w:szCs w:val="18"/>
        </w:rPr>
        <w:t xml:space="preserve">Note: </w:t>
      </w:r>
      <w:r>
        <w:rPr>
          <w:rFonts w:cstheme="minorHAnsi"/>
          <w:bCs/>
          <w:sz w:val="18"/>
          <w:szCs w:val="18"/>
        </w:rPr>
        <w:t>Columns may not sum due to rounding.</w:t>
      </w:r>
    </w:p>
    <w:p w14:paraId="6E37EE5F" w14:textId="77777777" w:rsidR="000D2455" w:rsidRDefault="00BA3CDC" w:rsidP="00B76D59">
      <w:pPr>
        <w:pStyle w:val="Heading2"/>
      </w:pPr>
      <w:bookmarkStart w:id="14" w:name="_Toc21533548"/>
      <w:r>
        <w:t xml:space="preserve">Salary </w:t>
      </w:r>
      <w:r w:rsidR="00B76D59">
        <w:t>On-costs</w:t>
      </w:r>
      <w:bookmarkEnd w:id="14"/>
    </w:p>
    <w:p w14:paraId="72C0A6B9" w14:textId="67577623" w:rsidR="00735F60" w:rsidRDefault="00D6473E" w:rsidP="00B76D59">
      <w:r>
        <w:t xml:space="preserve">The </w:t>
      </w:r>
      <w:r w:rsidR="00BA3CDC">
        <w:t>CM recognises that providers incur othe</w:t>
      </w:r>
      <w:r w:rsidR="007751F4">
        <w:t xml:space="preserve">r costs related to the salaries, </w:t>
      </w:r>
      <w:r w:rsidR="00BA3CDC">
        <w:t>including:</w:t>
      </w:r>
    </w:p>
    <w:p w14:paraId="63C8FCEB" w14:textId="77777777" w:rsidR="005C08A0" w:rsidRDefault="00BA3CDC" w:rsidP="00BA3CDC">
      <w:pPr>
        <w:pStyle w:val="ListParagraph"/>
        <w:numPr>
          <w:ilvl w:val="0"/>
          <w:numId w:val="12"/>
        </w:numPr>
      </w:pPr>
      <w:r>
        <w:t>Superannuation at the statutory</w:t>
      </w:r>
      <w:r w:rsidR="005C08A0">
        <w:t xml:space="preserve"> 9.5% of </w:t>
      </w:r>
      <w:r>
        <w:t>base salary, including leave;</w:t>
      </w:r>
      <w:r w:rsidR="005C08A0">
        <w:rPr>
          <w:rStyle w:val="FootnoteReference"/>
        </w:rPr>
        <w:footnoteReference w:id="5"/>
      </w:r>
      <w:r>
        <w:t xml:space="preserve"> and</w:t>
      </w:r>
    </w:p>
    <w:p w14:paraId="309BAB00" w14:textId="77777777" w:rsidR="00B76D59" w:rsidRDefault="00BA3CDC" w:rsidP="00BA3CDC">
      <w:pPr>
        <w:pStyle w:val="ListParagraph"/>
        <w:numPr>
          <w:ilvl w:val="0"/>
          <w:numId w:val="12"/>
        </w:numPr>
      </w:pPr>
      <w:r>
        <w:t xml:space="preserve">Workers compensation insurance at 3% of base salary, including leave, which is </w:t>
      </w:r>
      <w:r w:rsidR="001A252A">
        <w:t>higher than the national average for the Health and Community Ser</w:t>
      </w:r>
      <w:r w:rsidR="00231185">
        <w:t>vices Sector of 1.5%</w:t>
      </w:r>
      <w:r w:rsidR="00231185">
        <w:rPr>
          <w:rStyle w:val="FootnoteReference"/>
        </w:rPr>
        <w:footnoteReference w:id="6"/>
      </w:r>
      <w:r>
        <w:t>.</w:t>
      </w:r>
    </w:p>
    <w:p w14:paraId="5EFBDA7E" w14:textId="33318E14" w:rsidR="007751F4" w:rsidRDefault="00D6473E" w:rsidP="007751F4">
      <w:r>
        <w:t xml:space="preserve">The </w:t>
      </w:r>
      <w:r w:rsidR="007751F4">
        <w:t>CM does not provide for payroll tax as most jurisdictions exempt not for profit and smaller organisations from payroll tax.</w:t>
      </w:r>
      <w:r w:rsidR="007751F4" w:rsidRPr="00E41E33">
        <w:t xml:space="preserve"> </w:t>
      </w:r>
    </w:p>
    <w:p w14:paraId="7EF9F627" w14:textId="77777777" w:rsidR="00231185" w:rsidRDefault="00E41E33" w:rsidP="00B227D9">
      <w:r>
        <w:t xml:space="preserve">As </w:t>
      </w:r>
      <w:r>
        <w:fldChar w:fldCharType="begin"/>
      </w:r>
      <w:r>
        <w:instrText xml:space="preserve"> REF _Ref19026849 \h </w:instrText>
      </w:r>
      <w:r>
        <w:fldChar w:fldCharType="separate"/>
      </w:r>
      <w:r w:rsidR="00B658AF" w:rsidRPr="00975FC4">
        <w:t xml:space="preserve">Table </w:t>
      </w:r>
      <w:r w:rsidR="00B658AF">
        <w:rPr>
          <w:noProof/>
        </w:rPr>
        <w:t>4</w:t>
      </w:r>
      <w:r>
        <w:fldChar w:fldCharType="end"/>
      </w:r>
      <w:r>
        <w:t xml:space="preserve"> </w:t>
      </w:r>
      <w:r w:rsidR="007751F4">
        <w:t>shows</w:t>
      </w:r>
      <w:r>
        <w:t xml:space="preserve">, salary on-costs and the costs </w:t>
      </w:r>
      <w:r w:rsidR="007751F4">
        <w:t xml:space="preserve">discussed </w:t>
      </w:r>
      <w:r>
        <w:t xml:space="preserve">above increase the costs </w:t>
      </w:r>
      <w:r w:rsidR="006A50F1">
        <w:t xml:space="preserve">per billable hour </w:t>
      </w:r>
      <w:r w:rsidR="007751F4">
        <w:t xml:space="preserve">of a permanent DSW on a weekday </w:t>
      </w:r>
      <w:r>
        <w:t>by 35.1% over the base salary rate.</w:t>
      </w:r>
    </w:p>
    <w:p w14:paraId="566522F6" w14:textId="77777777" w:rsidR="000C7183" w:rsidRDefault="000C7183" w:rsidP="003C3A52">
      <w:pPr>
        <w:pStyle w:val="Caption"/>
      </w:pPr>
      <w:bookmarkStart w:id="15" w:name="_Ref19026849"/>
      <w:r w:rsidRPr="00975FC4">
        <w:t xml:space="preserve">Table </w:t>
      </w:r>
      <w:r w:rsidR="00D6473E">
        <w:fldChar w:fldCharType="begin"/>
      </w:r>
      <w:r w:rsidR="00D6473E">
        <w:instrText xml:space="preserve"> SEQ Table \* ARABIC </w:instrText>
      </w:r>
      <w:r w:rsidR="00D6473E">
        <w:fldChar w:fldCharType="separate"/>
      </w:r>
      <w:r w:rsidR="00B658AF">
        <w:rPr>
          <w:noProof/>
        </w:rPr>
        <w:t>4</w:t>
      </w:r>
      <w:r w:rsidR="00D6473E">
        <w:rPr>
          <w:noProof/>
        </w:rPr>
        <w:fldChar w:fldCharType="end"/>
      </w:r>
      <w:bookmarkEnd w:id="15"/>
      <w:r w:rsidRPr="00975FC4">
        <w:t xml:space="preserve">: </w:t>
      </w:r>
      <w:r>
        <w:t>Impact o</w:t>
      </w:r>
      <w:r w:rsidR="00BA3CDC">
        <w:t>f Salary O</w:t>
      </w:r>
      <w:r>
        <w:t xml:space="preserve">n-costs on </w:t>
      </w:r>
      <w:r w:rsidR="00BA3CDC">
        <w:t xml:space="preserve">the </w:t>
      </w:r>
      <w:r w:rsidR="00216517">
        <w:t>Cost per Billable Hour</w:t>
      </w:r>
      <w:r w:rsidR="00BA3CDC">
        <w:t xml:space="preserve"> of </w:t>
      </w:r>
      <w:r w:rsidR="00216517">
        <w:t xml:space="preserve">a </w:t>
      </w:r>
      <w:r w:rsidR="00BA3CDC">
        <w:t>Permanent DSW</w:t>
      </w:r>
    </w:p>
    <w:tbl>
      <w:tblPr>
        <w:tblStyle w:val="GridTable4-Accent4"/>
        <w:tblW w:w="5000" w:type="pct"/>
        <w:tblLook w:val="04A0" w:firstRow="1" w:lastRow="0" w:firstColumn="1" w:lastColumn="0" w:noHBand="0" w:noVBand="1"/>
      </w:tblPr>
      <w:tblGrid>
        <w:gridCol w:w="5103"/>
        <w:gridCol w:w="1479"/>
        <w:gridCol w:w="1217"/>
        <w:gridCol w:w="1217"/>
      </w:tblGrid>
      <w:tr w:rsidR="00B658AF" w:rsidRPr="003A3C03" w14:paraId="02D12A67" w14:textId="77777777" w:rsidTr="00606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hideMark/>
          </w:tcPr>
          <w:p w14:paraId="00FB2DAF" w14:textId="77777777" w:rsidR="00B658AF" w:rsidRPr="001A1BE7" w:rsidRDefault="00B658AF" w:rsidP="00B658AF">
            <w:pPr>
              <w:keepNext/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0" w:type="pct"/>
            <w:hideMark/>
          </w:tcPr>
          <w:p w14:paraId="3F143EC8" w14:textId="77777777" w:rsidR="00B658AF" w:rsidRPr="001A1BE7" w:rsidRDefault="00B658AF" w:rsidP="00B658AF">
            <w:pPr>
              <w:keepNext/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Level 1</w:t>
            </w:r>
            <w:r>
              <w:rPr>
                <w:rFonts w:cstheme="minorHAnsi"/>
                <w:sz w:val="18"/>
                <w:szCs w:val="18"/>
              </w:rPr>
              <w:br/>
              <w:t>DSW</w:t>
            </w:r>
          </w:p>
        </w:tc>
        <w:tc>
          <w:tcPr>
            <w:tcW w:w="675" w:type="pct"/>
          </w:tcPr>
          <w:p w14:paraId="06B95EF2" w14:textId="77777777" w:rsidR="00B658AF" w:rsidRPr="001A1BE7" w:rsidRDefault="00B658AF" w:rsidP="00B658AF">
            <w:pPr>
              <w:keepNext/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  <w:lang w:eastAsia="en-AU"/>
              </w:rPr>
            </w:pPr>
            <w:r>
              <w:rPr>
                <w:rFonts w:cstheme="minorHAnsi"/>
                <w:sz w:val="18"/>
                <w:szCs w:val="18"/>
              </w:rPr>
              <w:t>Level 2 DSW</w:t>
            </w:r>
          </w:p>
        </w:tc>
        <w:tc>
          <w:tcPr>
            <w:tcW w:w="675" w:type="pct"/>
          </w:tcPr>
          <w:p w14:paraId="107C1227" w14:textId="77777777" w:rsidR="00B658AF" w:rsidRPr="001A1BE7" w:rsidRDefault="00B658AF" w:rsidP="00B658AF">
            <w:pPr>
              <w:keepNext/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Level 3 DSW</w:t>
            </w:r>
          </w:p>
        </w:tc>
      </w:tr>
      <w:tr w:rsidR="00B658AF" w14:paraId="350F8C47" w14:textId="77777777" w:rsidTr="00606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  <w:hideMark/>
          </w:tcPr>
          <w:p w14:paraId="2D5468CB" w14:textId="77777777" w:rsidR="00B658AF" w:rsidRPr="001A1BE7" w:rsidRDefault="00B658AF" w:rsidP="00B658AF">
            <w:pPr>
              <w:keepNext/>
              <w:spacing w:before="40" w:after="40" w:line="240" w:lineRule="atLeast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Cumu</w:t>
            </w:r>
            <w:r w:rsidR="007751F4">
              <w:rPr>
                <w:rFonts w:cstheme="minorHAnsi"/>
                <w:sz w:val="18"/>
                <w:szCs w:val="18"/>
              </w:rPr>
              <w:t>lative cost per hour, before on-</w:t>
            </w:r>
            <w:r>
              <w:rPr>
                <w:rFonts w:cstheme="minorHAnsi"/>
                <w:sz w:val="18"/>
                <w:szCs w:val="18"/>
              </w:rPr>
              <w:t>costs</w:t>
            </w:r>
          </w:p>
        </w:tc>
        <w:tc>
          <w:tcPr>
            <w:tcW w:w="820" w:type="pct"/>
            <w:noWrap/>
            <w:vAlign w:val="center"/>
            <w:hideMark/>
          </w:tcPr>
          <w:p w14:paraId="1A44F025" w14:textId="77777777" w:rsidR="00B658AF" w:rsidRPr="001A1BE7" w:rsidRDefault="00B658AF" w:rsidP="00B658AF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1A1BE7">
              <w:rPr>
                <w:rFonts w:cstheme="minorHAnsi"/>
                <w:b/>
                <w:sz w:val="18"/>
                <w:szCs w:val="18"/>
              </w:rPr>
              <w:t>$</w:t>
            </w:r>
            <w:r>
              <w:rPr>
                <w:rFonts w:cstheme="minorHAnsi"/>
                <w:b/>
                <w:sz w:val="18"/>
                <w:szCs w:val="18"/>
              </w:rPr>
              <w:t>33.17</w:t>
            </w:r>
          </w:p>
        </w:tc>
        <w:tc>
          <w:tcPr>
            <w:tcW w:w="675" w:type="pct"/>
            <w:vAlign w:val="center"/>
          </w:tcPr>
          <w:p w14:paraId="61BD6EFE" w14:textId="77777777" w:rsidR="00B658AF" w:rsidRPr="001A1BE7" w:rsidRDefault="00B658AF" w:rsidP="00B658AF">
            <w:pPr>
              <w:keepNext/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A1BE7">
              <w:rPr>
                <w:rFonts w:cstheme="minorHAnsi"/>
                <w:b/>
                <w:sz w:val="18"/>
                <w:szCs w:val="18"/>
              </w:rPr>
              <w:t>$</w:t>
            </w:r>
            <w:r>
              <w:rPr>
                <w:rFonts w:cstheme="minorHAnsi"/>
                <w:b/>
                <w:sz w:val="18"/>
                <w:szCs w:val="18"/>
              </w:rPr>
              <w:t>34.39</w:t>
            </w:r>
          </w:p>
        </w:tc>
        <w:tc>
          <w:tcPr>
            <w:tcW w:w="675" w:type="pct"/>
            <w:vAlign w:val="center"/>
          </w:tcPr>
          <w:p w14:paraId="3B57DEEA" w14:textId="77777777" w:rsidR="00B658AF" w:rsidRPr="001A1BE7" w:rsidRDefault="00B658AF" w:rsidP="00B658AF">
            <w:pPr>
              <w:keepNext/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$35.73</w:t>
            </w:r>
          </w:p>
        </w:tc>
      </w:tr>
      <w:tr w:rsidR="00B658AF" w14:paraId="3744789B" w14:textId="77777777" w:rsidTr="006067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  <w:hideMark/>
          </w:tcPr>
          <w:p w14:paraId="30854E65" w14:textId="77777777" w:rsidR="00B658AF" w:rsidRPr="001A1BE7" w:rsidRDefault="00B658AF" w:rsidP="00B658AF">
            <w:pPr>
              <w:spacing w:before="40" w:after="40" w:line="240" w:lineRule="atLeast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Superannuation</w:t>
            </w:r>
          </w:p>
        </w:tc>
        <w:tc>
          <w:tcPr>
            <w:tcW w:w="820" w:type="pct"/>
            <w:noWrap/>
            <w:vAlign w:val="center"/>
            <w:hideMark/>
          </w:tcPr>
          <w:p w14:paraId="051D40ED" w14:textId="77777777" w:rsidR="00B658AF" w:rsidRPr="001A1BE7" w:rsidRDefault="00B658AF" w:rsidP="00B658AF">
            <w:pPr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Align w:val="center"/>
          </w:tcPr>
          <w:p w14:paraId="4E507B78" w14:textId="77777777" w:rsidR="00B658AF" w:rsidRPr="001A1BE7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675" w:type="pct"/>
            <w:vAlign w:val="center"/>
          </w:tcPr>
          <w:p w14:paraId="009D8D5A" w14:textId="77777777" w:rsidR="00B658AF" w:rsidRPr="001A1BE7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658AF" w14:paraId="27BB687E" w14:textId="77777777" w:rsidTr="00606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58D3B404" w14:textId="77777777" w:rsidR="00B658AF" w:rsidRPr="005C6DDE" w:rsidRDefault="00B658AF" w:rsidP="00B658AF">
            <w:pPr>
              <w:spacing w:before="40" w:after="40" w:line="240" w:lineRule="atLeast"/>
              <w:ind w:left="593"/>
              <w:jc w:val="left"/>
              <w:rPr>
                <w:rFonts w:cstheme="minorHAnsi"/>
                <w:b w:val="0"/>
                <w:sz w:val="18"/>
                <w:szCs w:val="18"/>
              </w:rPr>
            </w:pPr>
            <w:r w:rsidRPr="005C6DDE">
              <w:rPr>
                <w:rFonts w:cstheme="minorHAnsi"/>
                <w:b w:val="0"/>
                <w:sz w:val="18"/>
                <w:szCs w:val="18"/>
              </w:rPr>
              <w:t>Superannuation Rate (%)</w:t>
            </w:r>
          </w:p>
        </w:tc>
        <w:tc>
          <w:tcPr>
            <w:tcW w:w="820" w:type="pct"/>
            <w:noWrap/>
            <w:vAlign w:val="center"/>
          </w:tcPr>
          <w:p w14:paraId="4CADDD5C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9.5%</w:t>
            </w:r>
          </w:p>
        </w:tc>
        <w:tc>
          <w:tcPr>
            <w:tcW w:w="675" w:type="pct"/>
            <w:vAlign w:val="center"/>
          </w:tcPr>
          <w:p w14:paraId="4511FF71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9.5%</w:t>
            </w:r>
          </w:p>
        </w:tc>
        <w:tc>
          <w:tcPr>
            <w:tcW w:w="675" w:type="pct"/>
            <w:vAlign w:val="center"/>
          </w:tcPr>
          <w:p w14:paraId="5E8176E7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9.5%</w:t>
            </w:r>
          </w:p>
        </w:tc>
      </w:tr>
      <w:tr w:rsidR="00B658AF" w14:paraId="787E284A" w14:textId="77777777" w:rsidTr="006067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5BA464D1" w14:textId="77777777" w:rsidR="00B658AF" w:rsidRPr="005C6DDE" w:rsidRDefault="00B658AF" w:rsidP="00B658AF">
            <w:pPr>
              <w:spacing w:before="40" w:after="40" w:line="240" w:lineRule="atLeast"/>
              <w:ind w:left="593"/>
              <w:jc w:val="left"/>
              <w:rPr>
                <w:rFonts w:cstheme="minorHAnsi"/>
                <w:b w:val="0"/>
                <w:sz w:val="18"/>
                <w:szCs w:val="18"/>
              </w:rPr>
            </w:pPr>
            <w:r w:rsidRPr="005C6DDE">
              <w:rPr>
                <w:rFonts w:cstheme="minorHAnsi"/>
                <w:b w:val="0"/>
                <w:sz w:val="18"/>
                <w:szCs w:val="18"/>
              </w:rPr>
              <w:t>Superannuation ($)</w:t>
            </w:r>
          </w:p>
        </w:tc>
        <w:tc>
          <w:tcPr>
            <w:tcW w:w="820" w:type="pct"/>
            <w:noWrap/>
            <w:vAlign w:val="center"/>
          </w:tcPr>
          <w:p w14:paraId="4CBC84DC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$3.15</w:t>
            </w:r>
          </w:p>
        </w:tc>
        <w:tc>
          <w:tcPr>
            <w:tcW w:w="675" w:type="pct"/>
            <w:vAlign w:val="center"/>
          </w:tcPr>
          <w:p w14:paraId="7741CB14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$3.27</w:t>
            </w:r>
          </w:p>
        </w:tc>
        <w:tc>
          <w:tcPr>
            <w:tcW w:w="675" w:type="pct"/>
            <w:vAlign w:val="center"/>
          </w:tcPr>
          <w:p w14:paraId="3218B255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$3.39</w:t>
            </w:r>
          </w:p>
        </w:tc>
      </w:tr>
      <w:tr w:rsidR="00B658AF" w14:paraId="249BCBDA" w14:textId="77777777" w:rsidTr="00606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1ADC8EAE" w14:textId="77777777" w:rsidR="00B658AF" w:rsidRPr="005C6DDE" w:rsidRDefault="00B658AF" w:rsidP="00B658AF">
            <w:pPr>
              <w:spacing w:before="40" w:after="40" w:line="240" w:lineRule="atLeast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Workers Compensation</w:t>
            </w:r>
          </w:p>
        </w:tc>
        <w:tc>
          <w:tcPr>
            <w:tcW w:w="820" w:type="pct"/>
            <w:noWrap/>
            <w:vAlign w:val="center"/>
          </w:tcPr>
          <w:p w14:paraId="1A5A5CFD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Align w:val="center"/>
          </w:tcPr>
          <w:p w14:paraId="17AE1D18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Align w:val="center"/>
          </w:tcPr>
          <w:p w14:paraId="0D9EEAA1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B658AF" w14:paraId="29BA0640" w14:textId="77777777" w:rsidTr="006067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07E827DD" w14:textId="77777777" w:rsidR="00B658AF" w:rsidRPr="005C6DDE" w:rsidRDefault="00B658AF" w:rsidP="00B658AF">
            <w:pPr>
              <w:spacing w:before="40" w:after="40" w:line="240" w:lineRule="atLeast"/>
              <w:ind w:left="593"/>
              <w:jc w:val="left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 xml:space="preserve">Premium </w:t>
            </w:r>
            <w:r w:rsidRPr="005C6DDE">
              <w:rPr>
                <w:rFonts w:cstheme="minorHAnsi"/>
                <w:b w:val="0"/>
                <w:sz w:val="18"/>
                <w:szCs w:val="18"/>
              </w:rPr>
              <w:t>Rate (%)</w:t>
            </w:r>
          </w:p>
        </w:tc>
        <w:tc>
          <w:tcPr>
            <w:tcW w:w="820" w:type="pct"/>
            <w:noWrap/>
            <w:vAlign w:val="center"/>
          </w:tcPr>
          <w:p w14:paraId="704E0F91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3.0%</w:t>
            </w:r>
          </w:p>
        </w:tc>
        <w:tc>
          <w:tcPr>
            <w:tcW w:w="675" w:type="pct"/>
            <w:vAlign w:val="center"/>
          </w:tcPr>
          <w:p w14:paraId="7DB8160C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3.0%</w:t>
            </w:r>
          </w:p>
        </w:tc>
        <w:tc>
          <w:tcPr>
            <w:tcW w:w="675" w:type="pct"/>
            <w:vAlign w:val="center"/>
          </w:tcPr>
          <w:p w14:paraId="1A32CB9D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3.0%</w:t>
            </w:r>
          </w:p>
        </w:tc>
      </w:tr>
      <w:tr w:rsidR="00B658AF" w14:paraId="7FB69573" w14:textId="77777777" w:rsidTr="00606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608E9246" w14:textId="77777777" w:rsidR="00B658AF" w:rsidRPr="005C6DDE" w:rsidRDefault="00B658AF" w:rsidP="00B658AF">
            <w:pPr>
              <w:spacing w:before="40" w:after="40" w:line="240" w:lineRule="atLeast"/>
              <w:ind w:left="593"/>
              <w:jc w:val="left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Premium Cost</w:t>
            </w:r>
            <w:r w:rsidRPr="005C6DDE">
              <w:rPr>
                <w:rFonts w:cstheme="minorHAnsi"/>
                <w:b w:val="0"/>
                <w:sz w:val="18"/>
                <w:szCs w:val="18"/>
              </w:rPr>
              <w:t xml:space="preserve"> ($)</w:t>
            </w:r>
          </w:p>
        </w:tc>
        <w:tc>
          <w:tcPr>
            <w:tcW w:w="820" w:type="pct"/>
            <w:noWrap/>
            <w:vAlign w:val="center"/>
          </w:tcPr>
          <w:p w14:paraId="588E7D24" w14:textId="77777777" w:rsidR="00B658AF" w:rsidRPr="005C6DDE" w:rsidRDefault="00B658AF" w:rsidP="00B658AF">
            <w:pPr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$1.00</w:t>
            </w:r>
          </w:p>
        </w:tc>
        <w:tc>
          <w:tcPr>
            <w:tcW w:w="675" w:type="pct"/>
            <w:vAlign w:val="center"/>
          </w:tcPr>
          <w:p w14:paraId="6D63B5A0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$1.03</w:t>
            </w:r>
          </w:p>
        </w:tc>
        <w:tc>
          <w:tcPr>
            <w:tcW w:w="675" w:type="pct"/>
            <w:vAlign w:val="center"/>
          </w:tcPr>
          <w:p w14:paraId="253BBC61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$1.07</w:t>
            </w:r>
          </w:p>
        </w:tc>
      </w:tr>
      <w:tr w:rsidR="00B658AF" w:rsidRPr="005C6DDE" w14:paraId="1D095885" w14:textId="77777777" w:rsidTr="006067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1A90502B" w14:textId="77777777" w:rsidR="00B658AF" w:rsidRPr="005C6DDE" w:rsidRDefault="00B658AF" w:rsidP="00B658AF">
            <w:pPr>
              <w:spacing w:before="40" w:after="40" w:line="240" w:lineRule="atLeast"/>
              <w:jc w:val="left"/>
              <w:rPr>
                <w:rFonts w:cstheme="minorHAnsi"/>
                <w:sz w:val="18"/>
                <w:szCs w:val="18"/>
              </w:rPr>
            </w:pPr>
            <w:r w:rsidRPr="005C6DDE">
              <w:rPr>
                <w:rFonts w:cstheme="minorHAnsi"/>
                <w:sz w:val="18"/>
                <w:szCs w:val="18"/>
              </w:rPr>
              <w:t>Cumulative cost per hour, after on-costs</w:t>
            </w:r>
          </w:p>
        </w:tc>
        <w:tc>
          <w:tcPr>
            <w:tcW w:w="820" w:type="pct"/>
            <w:noWrap/>
            <w:vAlign w:val="center"/>
          </w:tcPr>
          <w:p w14:paraId="2D6050F9" w14:textId="77777777" w:rsidR="00B658AF" w:rsidRPr="005C6DDE" w:rsidRDefault="00B658AF" w:rsidP="00B658AF">
            <w:pPr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$37.31</w:t>
            </w:r>
          </w:p>
        </w:tc>
        <w:tc>
          <w:tcPr>
            <w:tcW w:w="675" w:type="pct"/>
            <w:vAlign w:val="center"/>
          </w:tcPr>
          <w:p w14:paraId="630F21A5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$38.69</w:t>
            </w:r>
          </w:p>
        </w:tc>
        <w:tc>
          <w:tcPr>
            <w:tcW w:w="675" w:type="pct"/>
            <w:vAlign w:val="center"/>
          </w:tcPr>
          <w:p w14:paraId="568A91D4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$40.19</w:t>
            </w:r>
          </w:p>
        </w:tc>
      </w:tr>
      <w:tr w:rsidR="00B658AF" w14:paraId="08082DF1" w14:textId="77777777" w:rsidTr="00606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0A95AC61" w14:textId="77777777" w:rsidR="00B658AF" w:rsidRPr="005C6DDE" w:rsidRDefault="00B658AF" w:rsidP="00B658AF">
            <w:pPr>
              <w:spacing w:before="40" w:after="40" w:line="240" w:lineRule="atLeast"/>
              <w:jc w:val="left"/>
              <w:rPr>
                <w:rFonts w:cstheme="minorHAnsi"/>
                <w:b w:val="0"/>
                <w:sz w:val="18"/>
                <w:szCs w:val="18"/>
              </w:rPr>
            </w:pPr>
            <w:r w:rsidRPr="005C6DDE">
              <w:rPr>
                <w:rFonts w:cstheme="minorHAnsi"/>
                <w:b w:val="0"/>
                <w:sz w:val="18"/>
                <w:szCs w:val="18"/>
              </w:rPr>
              <w:t xml:space="preserve">Cumulative </w:t>
            </w:r>
            <w:r>
              <w:rPr>
                <w:rFonts w:cstheme="minorHAnsi"/>
                <w:b w:val="0"/>
                <w:sz w:val="18"/>
                <w:szCs w:val="18"/>
              </w:rPr>
              <w:t>i</w:t>
            </w:r>
            <w:r w:rsidRPr="001A1BE7">
              <w:rPr>
                <w:rFonts w:cstheme="minorHAnsi"/>
                <w:b w:val="0"/>
                <w:sz w:val="18"/>
                <w:szCs w:val="18"/>
              </w:rPr>
              <w:t xml:space="preserve">ncrease from </w:t>
            </w:r>
            <w:r>
              <w:rPr>
                <w:rFonts w:cstheme="minorHAnsi"/>
                <w:b w:val="0"/>
                <w:sz w:val="18"/>
                <w:szCs w:val="18"/>
              </w:rPr>
              <w:t>permanent standard hourly rate</w:t>
            </w:r>
          </w:p>
        </w:tc>
        <w:tc>
          <w:tcPr>
            <w:tcW w:w="820" w:type="pct"/>
            <w:noWrap/>
            <w:vAlign w:val="center"/>
          </w:tcPr>
          <w:p w14:paraId="2B02B259" w14:textId="77777777" w:rsidR="00B658AF" w:rsidRPr="005C6DDE" w:rsidRDefault="00B658AF" w:rsidP="00B658AF">
            <w:pPr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35.1%</w:t>
            </w:r>
          </w:p>
        </w:tc>
        <w:tc>
          <w:tcPr>
            <w:tcW w:w="675" w:type="pct"/>
            <w:vAlign w:val="center"/>
          </w:tcPr>
          <w:p w14:paraId="2180C126" w14:textId="042DD046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35.</w:t>
            </w:r>
            <w:r w:rsidR="00317C63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675" w:type="pct"/>
            <w:vAlign w:val="center"/>
          </w:tcPr>
          <w:p w14:paraId="637E86D9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35.1%</w:t>
            </w:r>
          </w:p>
        </w:tc>
      </w:tr>
    </w:tbl>
    <w:p w14:paraId="3CD73ABC" w14:textId="77777777" w:rsidR="00CD54AF" w:rsidRDefault="00CD54AF" w:rsidP="00CD54AF">
      <w:pPr>
        <w:pStyle w:val="Heading2"/>
      </w:pPr>
      <w:bookmarkStart w:id="16" w:name="_Ref18506181"/>
      <w:bookmarkStart w:id="17" w:name="_Toc21533549"/>
      <w:r>
        <w:lastRenderedPageBreak/>
        <w:t>Supervision costs</w:t>
      </w:r>
      <w:bookmarkEnd w:id="16"/>
      <w:bookmarkEnd w:id="17"/>
    </w:p>
    <w:p w14:paraId="27F52360" w14:textId="45113EE7" w:rsidR="004D014C" w:rsidRDefault="00D6473E" w:rsidP="00B227D9">
      <w:r>
        <w:t xml:space="preserve">The </w:t>
      </w:r>
      <w:r w:rsidR="007E0EA7">
        <w:t>CM recognises that DSWs require support and supervision</w:t>
      </w:r>
      <w:r w:rsidR="00B658AF">
        <w:t xml:space="preserve"> and assumes</w:t>
      </w:r>
      <w:r w:rsidR="007E0EA7">
        <w:t xml:space="preserve"> that supervisors have the same shift loadings, leave entitlements and salary on-costs as the workers they manage, and that higher skilled workers require higher skilled supervisors. T</w:t>
      </w:r>
      <w:r w:rsidR="008E3AF9">
        <w:t xml:space="preserve">he </w:t>
      </w:r>
      <w:r w:rsidR="007E0EA7">
        <w:t>CM</w:t>
      </w:r>
      <w:r w:rsidR="008E3AF9">
        <w:t xml:space="preserve"> </w:t>
      </w:r>
      <w:r w:rsidR="007751F4">
        <w:t xml:space="preserve">also </w:t>
      </w:r>
      <w:r w:rsidR="008E3AF9">
        <w:t xml:space="preserve">assumes a </w:t>
      </w:r>
      <w:r w:rsidR="007751F4">
        <w:t xml:space="preserve">span of control (ratio of </w:t>
      </w:r>
      <w:r w:rsidR="008E3AF9">
        <w:t xml:space="preserve">workers </w:t>
      </w:r>
      <w:r w:rsidR="00216517">
        <w:t xml:space="preserve">per </w:t>
      </w:r>
      <w:r w:rsidR="008E3AF9">
        <w:t>supervisor</w:t>
      </w:r>
      <w:r w:rsidR="007751F4">
        <w:t>) of 11 to 1</w:t>
      </w:r>
      <w:r w:rsidR="008E3AF9">
        <w:t>.</w:t>
      </w:r>
      <w:r w:rsidR="007E0EA7">
        <w:t xml:space="preserve"> </w:t>
      </w:r>
      <w:r w:rsidR="007751F4">
        <w:t>The</w:t>
      </w:r>
      <w:r w:rsidR="004D014C">
        <w:t xml:space="preserve"> average for the sector </w:t>
      </w:r>
      <w:r w:rsidR="007751F4">
        <w:t>is</w:t>
      </w:r>
      <w:r w:rsidR="004D014C">
        <w:t xml:space="preserve"> </w:t>
      </w:r>
      <w:r w:rsidR="007E0EA7">
        <w:t xml:space="preserve">reported in the most recent </w:t>
      </w:r>
      <w:proofErr w:type="spellStart"/>
      <w:r w:rsidR="004D014C">
        <w:t>AbleInsight</w:t>
      </w:r>
      <w:proofErr w:type="spellEnd"/>
      <w:r w:rsidR="007E0EA7">
        <w:t xml:space="preserve"> Benchmarking Survey</w:t>
      </w:r>
      <w:r w:rsidR="007751F4">
        <w:t xml:space="preserve"> as 9.5 to 1</w:t>
      </w:r>
      <w:r w:rsidR="004D014C">
        <w:t>.</w:t>
      </w:r>
      <w:r w:rsidR="007E0EA7" w:rsidRPr="007E0EA7">
        <w:rPr>
          <w:rStyle w:val="FootnoteReference"/>
        </w:rPr>
        <w:t xml:space="preserve"> </w:t>
      </w:r>
      <w:r w:rsidR="007E0EA7">
        <w:rPr>
          <w:rStyle w:val="FootnoteReference"/>
        </w:rPr>
        <w:footnoteReference w:id="7"/>
      </w:r>
    </w:p>
    <w:p w14:paraId="025AF4FE" w14:textId="02777A25" w:rsidR="00985170" w:rsidRDefault="00216517" w:rsidP="00B227D9">
      <w:r>
        <w:t xml:space="preserve">As </w:t>
      </w:r>
      <w:r>
        <w:fldChar w:fldCharType="begin"/>
      </w:r>
      <w:r>
        <w:instrText xml:space="preserve"> REF _Ref19026960 \h </w:instrText>
      </w:r>
      <w:r>
        <w:fldChar w:fldCharType="separate"/>
      </w:r>
      <w:r w:rsidR="00B658AF" w:rsidRPr="00975FC4">
        <w:t xml:space="preserve">Table </w:t>
      </w:r>
      <w:r w:rsidR="00B658AF">
        <w:rPr>
          <w:noProof/>
        </w:rPr>
        <w:t>5</w:t>
      </w:r>
      <w:r>
        <w:fldChar w:fldCharType="end"/>
      </w:r>
      <w:r>
        <w:t xml:space="preserve"> illustrates, supervision costs together with the costs discussed above increase the costs </w:t>
      </w:r>
      <w:r w:rsidR="006A50F1">
        <w:t xml:space="preserve">per billable hour </w:t>
      </w:r>
      <w:r>
        <w:t>of a perma</w:t>
      </w:r>
      <w:r w:rsidR="003C074F">
        <w:t xml:space="preserve">nent Standard </w:t>
      </w:r>
      <w:r w:rsidR="00317C63">
        <w:t xml:space="preserve">(Level 1) </w:t>
      </w:r>
      <w:r w:rsidR="003C074F">
        <w:t xml:space="preserve">DSW on a weekday </w:t>
      </w:r>
      <w:r>
        <w:t xml:space="preserve">by </w:t>
      </w:r>
      <w:r w:rsidR="00CD68BE">
        <w:t>48.</w:t>
      </w:r>
      <w:r w:rsidR="00317C63">
        <w:t>4</w:t>
      </w:r>
      <w:r>
        <w:t>%</w:t>
      </w:r>
      <w:r w:rsidR="00227122">
        <w:t xml:space="preserve"> over the base salary rate</w:t>
      </w:r>
      <w:r>
        <w:t>.</w:t>
      </w:r>
    </w:p>
    <w:p w14:paraId="767562F3" w14:textId="77777777" w:rsidR="000C7183" w:rsidRDefault="000C7183" w:rsidP="00227122">
      <w:pPr>
        <w:pStyle w:val="Caption"/>
      </w:pPr>
      <w:bookmarkStart w:id="18" w:name="_Ref19026960"/>
      <w:r w:rsidRPr="00975FC4">
        <w:t xml:space="preserve">Table </w:t>
      </w:r>
      <w:r w:rsidR="00D6473E">
        <w:fldChar w:fldCharType="begin"/>
      </w:r>
      <w:r w:rsidR="00D6473E">
        <w:instrText xml:space="preserve"> SEQ Table \* ARABIC </w:instrText>
      </w:r>
      <w:r w:rsidR="00D6473E">
        <w:fldChar w:fldCharType="separate"/>
      </w:r>
      <w:r w:rsidR="00B658AF">
        <w:rPr>
          <w:noProof/>
        </w:rPr>
        <w:t>5</w:t>
      </w:r>
      <w:r w:rsidR="00D6473E">
        <w:rPr>
          <w:noProof/>
        </w:rPr>
        <w:fldChar w:fldCharType="end"/>
      </w:r>
      <w:bookmarkEnd w:id="18"/>
      <w:r w:rsidRPr="00975FC4">
        <w:t xml:space="preserve">: </w:t>
      </w:r>
      <w:r w:rsidR="00216517">
        <w:t>Impact of S</w:t>
      </w:r>
      <w:r>
        <w:t xml:space="preserve">upervision on </w:t>
      </w:r>
      <w:r w:rsidR="00216517">
        <w:t xml:space="preserve">Cost per </w:t>
      </w:r>
      <w:r w:rsidR="00CD68BE">
        <w:t xml:space="preserve">Billable </w:t>
      </w:r>
      <w:r w:rsidR="00216517">
        <w:t>Hour of a Permanent DSW</w:t>
      </w:r>
    </w:p>
    <w:tbl>
      <w:tblPr>
        <w:tblStyle w:val="GridTable4-Accent4"/>
        <w:tblW w:w="5000" w:type="pct"/>
        <w:tblLook w:val="04A0" w:firstRow="1" w:lastRow="0" w:firstColumn="1" w:lastColumn="0" w:noHBand="0" w:noVBand="1"/>
      </w:tblPr>
      <w:tblGrid>
        <w:gridCol w:w="5103"/>
        <w:gridCol w:w="1479"/>
        <w:gridCol w:w="1217"/>
        <w:gridCol w:w="1217"/>
      </w:tblGrid>
      <w:tr w:rsidR="00B658AF" w:rsidRPr="003A3C03" w14:paraId="62FDC631" w14:textId="77777777" w:rsidTr="00134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hideMark/>
          </w:tcPr>
          <w:p w14:paraId="10620AB4" w14:textId="77777777" w:rsidR="00B658AF" w:rsidRPr="001A1BE7" w:rsidRDefault="00B658AF" w:rsidP="00B658AF">
            <w:pPr>
              <w:keepNext/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0" w:type="pct"/>
            <w:hideMark/>
          </w:tcPr>
          <w:p w14:paraId="1C4160B4" w14:textId="77777777" w:rsidR="00B658AF" w:rsidRPr="001A1BE7" w:rsidRDefault="00B658AF" w:rsidP="00B658AF">
            <w:pPr>
              <w:keepNext/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Level 1</w:t>
            </w:r>
            <w:r>
              <w:rPr>
                <w:rFonts w:cstheme="minorHAnsi"/>
                <w:sz w:val="18"/>
                <w:szCs w:val="18"/>
              </w:rPr>
              <w:br/>
              <w:t>DSW</w:t>
            </w:r>
          </w:p>
        </w:tc>
        <w:tc>
          <w:tcPr>
            <w:tcW w:w="675" w:type="pct"/>
          </w:tcPr>
          <w:p w14:paraId="13278D8B" w14:textId="77777777" w:rsidR="00B658AF" w:rsidRPr="001A1BE7" w:rsidRDefault="00B658AF" w:rsidP="00B658AF">
            <w:pPr>
              <w:keepNext/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  <w:lang w:eastAsia="en-AU"/>
              </w:rPr>
            </w:pPr>
            <w:r>
              <w:rPr>
                <w:rFonts w:cstheme="minorHAnsi"/>
                <w:sz w:val="18"/>
                <w:szCs w:val="18"/>
              </w:rPr>
              <w:t>Level 2 DSW</w:t>
            </w:r>
          </w:p>
        </w:tc>
        <w:tc>
          <w:tcPr>
            <w:tcW w:w="675" w:type="pct"/>
          </w:tcPr>
          <w:p w14:paraId="6F6DD127" w14:textId="77777777" w:rsidR="00B658AF" w:rsidRPr="001A1BE7" w:rsidRDefault="00B658AF" w:rsidP="00B658AF">
            <w:pPr>
              <w:keepNext/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Level 3 DSW</w:t>
            </w:r>
          </w:p>
        </w:tc>
      </w:tr>
      <w:tr w:rsidR="00B658AF" w14:paraId="4E7600AA" w14:textId="77777777" w:rsidTr="0075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hideMark/>
          </w:tcPr>
          <w:p w14:paraId="3CA93DE9" w14:textId="77777777" w:rsidR="00B658AF" w:rsidRPr="001A1BE7" w:rsidRDefault="00B658AF" w:rsidP="00B658AF">
            <w:pPr>
              <w:keepNext/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Cumulative cost per hour, before supervision</w:t>
            </w:r>
          </w:p>
        </w:tc>
        <w:tc>
          <w:tcPr>
            <w:tcW w:w="820" w:type="pct"/>
            <w:noWrap/>
            <w:vAlign w:val="center"/>
            <w:hideMark/>
          </w:tcPr>
          <w:p w14:paraId="43B8F401" w14:textId="77777777" w:rsidR="00B658AF" w:rsidRPr="007519CD" w:rsidRDefault="00B658AF" w:rsidP="00B658AF">
            <w:pPr>
              <w:keepNext/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$37.31</w:t>
            </w:r>
          </w:p>
        </w:tc>
        <w:tc>
          <w:tcPr>
            <w:tcW w:w="675" w:type="pct"/>
            <w:vAlign w:val="center"/>
          </w:tcPr>
          <w:p w14:paraId="29759478" w14:textId="77777777" w:rsidR="00B658AF" w:rsidRPr="007519CD" w:rsidRDefault="00B658AF" w:rsidP="00B658AF">
            <w:pPr>
              <w:keepNext/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$38.69</w:t>
            </w:r>
          </w:p>
        </w:tc>
        <w:tc>
          <w:tcPr>
            <w:tcW w:w="675" w:type="pct"/>
            <w:vAlign w:val="center"/>
          </w:tcPr>
          <w:p w14:paraId="1ECD8BB9" w14:textId="77777777" w:rsidR="00B658AF" w:rsidRPr="007519CD" w:rsidRDefault="00B658AF" w:rsidP="00B658AF">
            <w:pPr>
              <w:keepNext/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$40.19</w:t>
            </w:r>
          </w:p>
        </w:tc>
      </w:tr>
      <w:tr w:rsidR="00B658AF" w14:paraId="6966D7D1" w14:textId="77777777" w:rsidTr="00C508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hideMark/>
          </w:tcPr>
          <w:p w14:paraId="20044609" w14:textId="77777777" w:rsidR="00B658AF" w:rsidRPr="001A1BE7" w:rsidRDefault="00B658AF" w:rsidP="00B658AF">
            <w:pPr>
              <w:keepNext/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Supervisor</w:t>
            </w:r>
          </w:p>
        </w:tc>
        <w:tc>
          <w:tcPr>
            <w:tcW w:w="820" w:type="pct"/>
            <w:noWrap/>
            <w:vAlign w:val="center"/>
          </w:tcPr>
          <w:p w14:paraId="5EFF9DA9" w14:textId="77777777" w:rsidR="00B658AF" w:rsidRPr="001A1BE7" w:rsidRDefault="00B658AF" w:rsidP="00B658AF">
            <w:pPr>
              <w:keepNext/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Align w:val="center"/>
          </w:tcPr>
          <w:p w14:paraId="0F5046CC" w14:textId="77777777" w:rsidR="00B658AF" w:rsidRPr="007519CD" w:rsidRDefault="00B658AF" w:rsidP="00B658AF">
            <w:pPr>
              <w:keepNext/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Align w:val="center"/>
          </w:tcPr>
          <w:p w14:paraId="15B8B0E4" w14:textId="77777777" w:rsidR="00B658AF" w:rsidRPr="007519CD" w:rsidRDefault="00B658AF" w:rsidP="00B658AF">
            <w:pPr>
              <w:keepNext/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B658AF" w14:paraId="62C96C55" w14:textId="77777777" w:rsidTr="0075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29726796" w14:textId="77777777" w:rsidR="00B658AF" w:rsidRPr="005C6DDE" w:rsidRDefault="00B658AF" w:rsidP="00B658AF">
            <w:pPr>
              <w:keepNext/>
              <w:spacing w:before="40" w:after="40" w:line="240" w:lineRule="atLeast"/>
              <w:ind w:left="593"/>
              <w:jc w:val="left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Level of supervisor (SCHADS Equivalent)</w:t>
            </w:r>
          </w:p>
        </w:tc>
        <w:tc>
          <w:tcPr>
            <w:tcW w:w="820" w:type="pct"/>
            <w:noWrap/>
            <w:vAlign w:val="center"/>
          </w:tcPr>
          <w:p w14:paraId="24FCA63B" w14:textId="77777777" w:rsidR="00B658AF" w:rsidRPr="005C6DDE" w:rsidRDefault="00B658AF" w:rsidP="00B658AF">
            <w:pPr>
              <w:keepNext/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3.2</w:t>
            </w:r>
          </w:p>
        </w:tc>
        <w:tc>
          <w:tcPr>
            <w:tcW w:w="675" w:type="pct"/>
            <w:vAlign w:val="center"/>
          </w:tcPr>
          <w:p w14:paraId="0B81FCE1" w14:textId="77777777" w:rsidR="00B658AF" w:rsidRPr="005C6DDE" w:rsidRDefault="00DF26B5" w:rsidP="00B658AF">
            <w:pPr>
              <w:keepNext/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="00B658AF">
              <w:rPr>
                <w:rFonts w:cstheme="minorHAnsi"/>
                <w:sz w:val="18"/>
                <w:szCs w:val="18"/>
              </w:rPr>
              <w:t>.2</w:t>
            </w:r>
          </w:p>
        </w:tc>
        <w:tc>
          <w:tcPr>
            <w:tcW w:w="675" w:type="pct"/>
            <w:vAlign w:val="center"/>
          </w:tcPr>
          <w:p w14:paraId="14CEF63E" w14:textId="77777777" w:rsidR="00B658AF" w:rsidRPr="005C6DDE" w:rsidRDefault="00B658AF" w:rsidP="00B658AF">
            <w:pPr>
              <w:keepNext/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4.2</w:t>
            </w:r>
          </w:p>
        </w:tc>
      </w:tr>
      <w:tr w:rsidR="00DF26B5" w14:paraId="606B1A9B" w14:textId="77777777" w:rsidTr="007519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644DE17A" w14:textId="77777777" w:rsidR="00DF26B5" w:rsidRPr="005C6DDE" w:rsidRDefault="00DF26B5" w:rsidP="00DF26B5">
            <w:pPr>
              <w:spacing w:before="40" w:after="40" w:line="240" w:lineRule="atLeast"/>
              <w:ind w:left="593"/>
              <w:jc w:val="left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Base Salary</w:t>
            </w:r>
          </w:p>
        </w:tc>
        <w:tc>
          <w:tcPr>
            <w:tcW w:w="820" w:type="pct"/>
            <w:noWrap/>
            <w:vAlign w:val="center"/>
          </w:tcPr>
          <w:p w14:paraId="1ACFF50A" w14:textId="77777777" w:rsidR="00DF26B5" w:rsidRPr="005C6DDE" w:rsidRDefault="00DF26B5" w:rsidP="00DF26B5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$29.74</w:t>
            </w:r>
          </w:p>
        </w:tc>
        <w:tc>
          <w:tcPr>
            <w:tcW w:w="675" w:type="pct"/>
            <w:vAlign w:val="center"/>
          </w:tcPr>
          <w:p w14:paraId="36F853CE" w14:textId="77777777" w:rsidR="00DF26B5" w:rsidRPr="005C6DDE" w:rsidRDefault="00DF26B5" w:rsidP="00DF26B5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$33.92</w:t>
            </w:r>
          </w:p>
        </w:tc>
        <w:tc>
          <w:tcPr>
            <w:tcW w:w="675" w:type="pct"/>
            <w:vAlign w:val="center"/>
          </w:tcPr>
          <w:p w14:paraId="6FB3D123" w14:textId="77777777" w:rsidR="00DF26B5" w:rsidRPr="005C6DDE" w:rsidRDefault="00DF26B5" w:rsidP="00DF26B5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$33.92</w:t>
            </w:r>
          </w:p>
        </w:tc>
      </w:tr>
      <w:tr w:rsidR="00DF26B5" w14:paraId="0547E92F" w14:textId="77777777" w:rsidTr="0075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07E8A5EC" w14:textId="77777777" w:rsidR="00DF26B5" w:rsidRPr="005C6DDE" w:rsidRDefault="00DF26B5" w:rsidP="00DF26B5">
            <w:pPr>
              <w:spacing w:before="40" w:after="40" w:line="240" w:lineRule="atLeast"/>
              <w:ind w:left="593"/>
              <w:jc w:val="left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Leave costs</w:t>
            </w:r>
          </w:p>
        </w:tc>
        <w:tc>
          <w:tcPr>
            <w:tcW w:w="820" w:type="pct"/>
            <w:noWrap/>
            <w:vAlign w:val="center"/>
          </w:tcPr>
          <w:p w14:paraId="0331FAA5" w14:textId="77777777" w:rsidR="00DF26B5" w:rsidRPr="005C6DDE" w:rsidRDefault="00DF26B5" w:rsidP="00DF26B5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$5.99</w:t>
            </w:r>
          </w:p>
        </w:tc>
        <w:tc>
          <w:tcPr>
            <w:tcW w:w="675" w:type="pct"/>
            <w:vAlign w:val="center"/>
          </w:tcPr>
          <w:p w14:paraId="2F69505A" w14:textId="77777777" w:rsidR="00DF26B5" w:rsidRPr="005C6DDE" w:rsidRDefault="00DF26B5" w:rsidP="00DF26B5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$6.83</w:t>
            </w:r>
          </w:p>
        </w:tc>
        <w:tc>
          <w:tcPr>
            <w:tcW w:w="675" w:type="pct"/>
            <w:vAlign w:val="center"/>
          </w:tcPr>
          <w:p w14:paraId="763C6051" w14:textId="77777777" w:rsidR="00DF26B5" w:rsidRPr="005C6DDE" w:rsidRDefault="00DF26B5" w:rsidP="00DF26B5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$6.83</w:t>
            </w:r>
          </w:p>
        </w:tc>
      </w:tr>
      <w:tr w:rsidR="00DF26B5" w14:paraId="3461D9B1" w14:textId="77777777" w:rsidTr="007519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32C956F7" w14:textId="77777777" w:rsidR="00DF26B5" w:rsidRPr="005C6DDE" w:rsidRDefault="00DF26B5" w:rsidP="00DF26B5">
            <w:pPr>
              <w:spacing w:before="40" w:after="40" w:line="240" w:lineRule="atLeast"/>
              <w:ind w:left="593"/>
              <w:jc w:val="left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Salary-on costs</w:t>
            </w:r>
          </w:p>
        </w:tc>
        <w:tc>
          <w:tcPr>
            <w:tcW w:w="820" w:type="pct"/>
            <w:noWrap/>
            <w:vAlign w:val="center"/>
          </w:tcPr>
          <w:p w14:paraId="7119FF9E" w14:textId="77777777" w:rsidR="00DF26B5" w:rsidRPr="005C6DDE" w:rsidRDefault="00DF26B5" w:rsidP="00DF26B5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$4.47</w:t>
            </w:r>
          </w:p>
        </w:tc>
        <w:tc>
          <w:tcPr>
            <w:tcW w:w="675" w:type="pct"/>
            <w:vAlign w:val="center"/>
          </w:tcPr>
          <w:p w14:paraId="0D7051F4" w14:textId="77777777" w:rsidR="00DF26B5" w:rsidRPr="005C6DDE" w:rsidRDefault="00DF26B5" w:rsidP="00DF26B5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$5.09</w:t>
            </w:r>
          </w:p>
        </w:tc>
        <w:tc>
          <w:tcPr>
            <w:tcW w:w="675" w:type="pct"/>
            <w:vAlign w:val="center"/>
          </w:tcPr>
          <w:p w14:paraId="2904B35E" w14:textId="77777777" w:rsidR="00DF26B5" w:rsidRPr="005C6DDE" w:rsidRDefault="00DF26B5" w:rsidP="00DF26B5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$5.09</w:t>
            </w:r>
          </w:p>
        </w:tc>
      </w:tr>
      <w:tr w:rsidR="00DF26B5" w14:paraId="563538CF" w14:textId="77777777" w:rsidTr="0075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28E92C26" w14:textId="77777777" w:rsidR="00DF26B5" w:rsidRPr="005C6DDE" w:rsidRDefault="00DF26B5" w:rsidP="00DF26B5">
            <w:pPr>
              <w:spacing w:before="40" w:after="40" w:line="240" w:lineRule="atLeast"/>
              <w:rPr>
                <w:rFonts w:cstheme="minorHAnsi"/>
                <w:b w:val="0"/>
                <w:sz w:val="18"/>
                <w:szCs w:val="18"/>
              </w:rPr>
            </w:pPr>
            <w:r w:rsidRPr="007519CD">
              <w:rPr>
                <w:rFonts w:cstheme="minorHAnsi"/>
                <w:sz w:val="18"/>
                <w:szCs w:val="18"/>
              </w:rPr>
              <w:t>Span of control</w:t>
            </w:r>
          </w:p>
        </w:tc>
        <w:tc>
          <w:tcPr>
            <w:tcW w:w="820" w:type="pct"/>
            <w:noWrap/>
            <w:vAlign w:val="center"/>
          </w:tcPr>
          <w:p w14:paraId="144F8746" w14:textId="77777777" w:rsidR="00DF26B5" w:rsidRPr="005C6DDE" w:rsidRDefault="00DF26B5" w:rsidP="00DF26B5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Align w:val="center"/>
          </w:tcPr>
          <w:p w14:paraId="4A053742" w14:textId="77777777" w:rsidR="00DF26B5" w:rsidRPr="005C6DDE" w:rsidRDefault="00DF26B5" w:rsidP="00DF26B5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vAlign w:val="center"/>
          </w:tcPr>
          <w:p w14:paraId="4525CCF9" w14:textId="77777777" w:rsidR="00DF26B5" w:rsidRPr="005C6DDE" w:rsidRDefault="00DF26B5" w:rsidP="00DF26B5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F26B5" w14:paraId="780ECE34" w14:textId="77777777" w:rsidTr="007519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52D13A8F" w14:textId="77777777" w:rsidR="00DF26B5" w:rsidRPr="005C6DDE" w:rsidRDefault="00DF26B5" w:rsidP="00DF26B5">
            <w:pPr>
              <w:spacing w:before="40" w:after="40" w:line="240" w:lineRule="atLeast"/>
              <w:ind w:left="593"/>
              <w:jc w:val="left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Span of control</w:t>
            </w:r>
          </w:p>
        </w:tc>
        <w:tc>
          <w:tcPr>
            <w:tcW w:w="820" w:type="pct"/>
            <w:noWrap/>
            <w:vAlign w:val="center"/>
          </w:tcPr>
          <w:p w14:paraId="3FC0663A" w14:textId="77777777" w:rsidR="00DF26B5" w:rsidRPr="005C6DDE" w:rsidRDefault="00DF26B5" w:rsidP="00DF26B5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675" w:type="pct"/>
            <w:vAlign w:val="center"/>
          </w:tcPr>
          <w:p w14:paraId="531E9696" w14:textId="77777777" w:rsidR="00DF26B5" w:rsidRPr="005C6DDE" w:rsidRDefault="00DF26B5" w:rsidP="00DF26B5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675" w:type="pct"/>
            <w:vAlign w:val="center"/>
          </w:tcPr>
          <w:p w14:paraId="5783D853" w14:textId="77777777" w:rsidR="00DF26B5" w:rsidRPr="005C6DDE" w:rsidRDefault="00DF26B5" w:rsidP="00DF26B5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DF26B5" w14:paraId="3CCF68FF" w14:textId="77777777" w:rsidTr="0075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6B0989DD" w14:textId="77777777" w:rsidR="00DF26B5" w:rsidRPr="005C6DDE" w:rsidRDefault="00DF26B5" w:rsidP="00DF26B5">
            <w:pPr>
              <w:spacing w:before="40" w:after="40" w:line="240" w:lineRule="atLeast"/>
              <w:ind w:left="593"/>
              <w:jc w:val="left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 xml:space="preserve">Cost of supervision </w:t>
            </w:r>
            <w:r w:rsidRPr="005C6DDE">
              <w:rPr>
                <w:rFonts w:cstheme="minorHAnsi"/>
                <w:b w:val="0"/>
                <w:sz w:val="18"/>
                <w:szCs w:val="18"/>
              </w:rPr>
              <w:t>($)</w:t>
            </w:r>
          </w:p>
        </w:tc>
        <w:tc>
          <w:tcPr>
            <w:tcW w:w="820" w:type="pct"/>
            <w:noWrap/>
            <w:vAlign w:val="center"/>
          </w:tcPr>
          <w:p w14:paraId="67FACF8E" w14:textId="77777777" w:rsidR="00DF26B5" w:rsidRPr="005C6DDE" w:rsidRDefault="00DF26B5" w:rsidP="00DF26B5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$3.65</w:t>
            </w:r>
          </w:p>
        </w:tc>
        <w:tc>
          <w:tcPr>
            <w:tcW w:w="675" w:type="pct"/>
            <w:vAlign w:val="center"/>
          </w:tcPr>
          <w:p w14:paraId="1BF9668F" w14:textId="77777777" w:rsidR="00DF26B5" w:rsidRPr="005C6DDE" w:rsidRDefault="00DF26B5" w:rsidP="00DF26B5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$4.17</w:t>
            </w:r>
          </w:p>
        </w:tc>
        <w:tc>
          <w:tcPr>
            <w:tcW w:w="675" w:type="pct"/>
            <w:vAlign w:val="center"/>
          </w:tcPr>
          <w:p w14:paraId="49E04BF9" w14:textId="77777777" w:rsidR="00DF26B5" w:rsidRPr="005C6DDE" w:rsidRDefault="00DF26B5" w:rsidP="00DF26B5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$4.17</w:t>
            </w:r>
          </w:p>
        </w:tc>
      </w:tr>
      <w:tr w:rsidR="00DF26B5" w:rsidRPr="00227122" w14:paraId="25099EA2" w14:textId="77777777" w:rsidTr="007519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7BFBDACC" w14:textId="77777777" w:rsidR="00DF26B5" w:rsidRPr="00227122" w:rsidRDefault="00DF26B5" w:rsidP="00DF26B5">
            <w:pPr>
              <w:spacing w:before="40" w:after="40" w:line="240" w:lineRule="atLeast"/>
              <w:jc w:val="left"/>
              <w:rPr>
                <w:rFonts w:cstheme="minorHAnsi"/>
                <w:sz w:val="18"/>
                <w:szCs w:val="18"/>
              </w:rPr>
            </w:pPr>
            <w:r w:rsidRPr="00227122">
              <w:rPr>
                <w:rFonts w:cstheme="minorHAnsi"/>
                <w:sz w:val="18"/>
                <w:szCs w:val="18"/>
              </w:rPr>
              <w:t>Cumulative cost per hour, after supervision</w:t>
            </w:r>
          </w:p>
        </w:tc>
        <w:tc>
          <w:tcPr>
            <w:tcW w:w="820" w:type="pct"/>
            <w:noWrap/>
            <w:vAlign w:val="center"/>
          </w:tcPr>
          <w:p w14:paraId="0805ADFD" w14:textId="77777777" w:rsidR="00DF26B5" w:rsidRPr="00227122" w:rsidRDefault="00DF26B5" w:rsidP="00DF26B5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227122">
              <w:rPr>
                <w:rFonts w:cstheme="minorHAnsi"/>
                <w:b/>
                <w:sz w:val="18"/>
                <w:szCs w:val="18"/>
              </w:rPr>
              <w:t>$40.97</w:t>
            </w:r>
          </w:p>
        </w:tc>
        <w:tc>
          <w:tcPr>
            <w:tcW w:w="675" w:type="pct"/>
            <w:vAlign w:val="center"/>
          </w:tcPr>
          <w:p w14:paraId="5CF06959" w14:textId="77777777" w:rsidR="00DF26B5" w:rsidRPr="00227122" w:rsidRDefault="00DF26B5" w:rsidP="00DF26B5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227122">
              <w:rPr>
                <w:rFonts w:cstheme="minorHAnsi"/>
                <w:b/>
                <w:sz w:val="18"/>
                <w:szCs w:val="18"/>
              </w:rPr>
              <w:t>$42.</w:t>
            </w:r>
            <w:r>
              <w:rPr>
                <w:rFonts w:cstheme="minorHAnsi"/>
                <w:b/>
                <w:sz w:val="18"/>
                <w:szCs w:val="18"/>
              </w:rPr>
              <w:t>86</w:t>
            </w:r>
          </w:p>
        </w:tc>
        <w:tc>
          <w:tcPr>
            <w:tcW w:w="675" w:type="pct"/>
            <w:vAlign w:val="center"/>
          </w:tcPr>
          <w:p w14:paraId="0E065C25" w14:textId="77777777" w:rsidR="00DF26B5" w:rsidRPr="00227122" w:rsidRDefault="00DF26B5" w:rsidP="00DF26B5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227122">
              <w:rPr>
                <w:rFonts w:cstheme="minorHAnsi"/>
                <w:b/>
                <w:sz w:val="18"/>
                <w:szCs w:val="18"/>
              </w:rPr>
              <w:t>$44.36</w:t>
            </w:r>
          </w:p>
        </w:tc>
      </w:tr>
      <w:tr w:rsidR="00DF26B5" w14:paraId="245151CD" w14:textId="77777777" w:rsidTr="00751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7D176040" w14:textId="77777777" w:rsidR="00DF26B5" w:rsidRPr="005C6DDE" w:rsidRDefault="00DF26B5" w:rsidP="00DF26B5">
            <w:pPr>
              <w:spacing w:before="40" w:after="40" w:line="240" w:lineRule="atLeast"/>
              <w:jc w:val="left"/>
              <w:rPr>
                <w:rFonts w:cstheme="minorHAnsi"/>
                <w:b w:val="0"/>
                <w:sz w:val="18"/>
                <w:szCs w:val="18"/>
              </w:rPr>
            </w:pPr>
            <w:r w:rsidRPr="005C6DDE">
              <w:rPr>
                <w:rFonts w:cstheme="minorHAnsi"/>
                <w:b w:val="0"/>
                <w:sz w:val="18"/>
                <w:szCs w:val="18"/>
              </w:rPr>
              <w:t xml:space="preserve">Cumulative </w:t>
            </w:r>
            <w:r>
              <w:rPr>
                <w:rFonts w:cstheme="minorHAnsi"/>
                <w:b w:val="0"/>
                <w:sz w:val="18"/>
                <w:szCs w:val="18"/>
              </w:rPr>
              <w:t>i</w:t>
            </w:r>
            <w:r w:rsidRPr="001A1BE7">
              <w:rPr>
                <w:rFonts w:cstheme="minorHAnsi"/>
                <w:b w:val="0"/>
                <w:sz w:val="18"/>
                <w:szCs w:val="18"/>
              </w:rPr>
              <w:t xml:space="preserve">ncrease from </w:t>
            </w:r>
            <w:r>
              <w:rPr>
                <w:rFonts w:cstheme="minorHAnsi"/>
                <w:b w:val="0"/>
                <w:sz w:val="18"/>
                <w:szCs w:val="18"/>
              </w:rPr>
              <w:t>permanent standard hourly rate</w:t>
            </w:r>
          </w:p>
        </w:tc>
        <w:tc>
          <w:tcPr>
            <w:tcW w:w="820" w:type="pct"/>
            <w:noWrap/>
            <w:vAlign w:val="center"/>
          </w:tcPr>
          <w:p w14:paraId="04D46852" w14:textId="77777777" w:rsidR="00DF26B5" w:rsidRPr="005C6DDE" w:rsidRDefault="00DF26B5" w:rsidP="00DF26B5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48.4%</w:t>
            </w:r>
          </w:p>
        </w:tc>
        <w:tc>
          <w:tcPr>
            <w:tcW w:w="675" w:type="pct"/>
            <w:vAlign w:val="center"/>
          </w:tcPr>
          <w:p w14:paraId="63B2C902" w14:textId="77777777" w:rsidR="00DF26B5" w:rsidRPr="005C6DDE" w:rsidRDefault="00DF26B5" w:rsidP="00DF26B5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49.7%</w:t>
            </w:r>
          </w:p>
        </w:tc>
        <w:tc>
          <w:tcPr>
            <w:tcW w:w="675" w:type="pct"/>
            <w:vAlign w:val="center"/>
          </w:tcPr>
          <w:p w14:paraId="5CD64CE8" w14:textId="77777777" w:rsidR="00DF26B5" w:rsidRPr="005C6DDE" w:rsidRDefault="00DF26B5" w:rsidP="00DF26B5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49.2%</w:t>
            </w:r>
          </w:p>
        </w:tc>
      </w:tr>
    </w:tbl>
    <w:p w14:paraId="5EBBE011" w14:textId="77777777" w:rsidR="00227122" w:rsidRPr="0060676C" w:rsidRDefault="00227122" w:rsidP="00227122">
      <w:pPr>
        <w:spacing w:before="40" w:after="40" w:line="240" w:lineRule="atLeast"/>
        <w:rPr>
          <w:rFonts w:cstheme="minorHAnsi"/>
          <w:bCs/>
          <w:sz w:val="18"/>
          <w:szCs w:val="18"/>
        </w:rPr>
      </w:pPr>
      <w:r w:rsidRPr="0060676C">
        <w:rPr>
          <w:rFonts w:cstheme="minorHAnsi"/>
          <w:bCs/>
          <w:sz w:val="18"/>
          <w:szCs w:val="18"/>
        </w:rPr>
        <w:t xml:space="preserve">Note: </w:t>
      </w:r>
      <w:r>
        <w:rPr>
          <w:rFonts w:cstheme="minorHAnsi"/>
          <w:bCs/>
          <w:sz w:val="18"/>
          <w:szCs w:val="18"/>
        </w:rPr>
        <w:t>Columns may not sum due to rounding.</w:t>
      </w:r>
    </w:p>
    <w:p w14:paraId="688FC7A9" w14:textId="77777777" w:rsidR="007519CD" w:rsidRDefault="007519CD" w:rsidP="007519CD">
      <w:pPr>
        <w:pStyle w:val="Heading2"/>
      </w:pPr>
      <w:bookmarkStart w:id="19" w:name="_Toc21533550"/>
      <w:r>
        <w:t>Permanent v Casual Workers</w:t>
      </w:r>
      <w:bookmarkEnd w:id="19"/>
    </w:p>
    <w:p w14:paraId="6EEB9647" w14:textId="6F3FBA3D" w:rsidR="007519CD" w:rsidRDefault="00D6473E" w:rsidP="007519CD">
      <w:r>
        <w:t xml:space="preserve">The </w:t>
      </w:r>
      <w:r w:rsidR="007519CD">
        <w:t xml:space="preserve">CM assumes that 80% of the DSW workforce is permanently employed. As </w:t>
      </w:r>
      <w:r w:rsidR="007519CD">
        <w:fldChar w:fldCharType="begin"/>
      </w:r>
      <w:r w:rsidR="007519CD">
        <w:instrText xml:space="preserve"> REF _Ref19027201 \h </w:instrText>
      </w:r>
      <w:r w:rsidR="007519CD">
        <w:fldChar w:fldCharType="separate"/>
      </w:r>
      <w:r w:rsidR="00B658AF" w:rsidRPr="00975FC4">
        <w:t xml:space="preserve">Table </w:t>
      </w:r>
      <w:r w:rsidR="00B658AF">
        <w:rPr>
          <w:noProof/>
        </w:rPr>
        <w:t>6</w:t>
      </w:r>
      <w:r w:rsidR="007519CD">
        <w:fldChar w:fldCharType="end"/>
      </w:r>
      <w:r w:rsidR="007519CD">
        <w:t xml:space="preserve"> illustrates, casual loadings and the other costs discussed above increase the costs </w:t>
      </w:r>
      <w:r w:rsidR="006A50F1">
        <w:t xml:space="preserve">per billable hour </w:t>
      </w:r>
      <w:r w:rsidR="007519CD">
        <w:t>of employing</w:t>
      </w:r>
      <w:r w:rsidR="003C074F">
        <w:t xml:space="preserve"> a Standard DSW on a weekday </w:t>
      </w:r>
      <w:r w:rsidR="007519CD">
        <w:t xml:space="preserve">by </w:t>
      </w:r>
      <w:r w:rsidR="00CD68BE">
        <w:t>49.5</w:t>
      </w:r>
      <w:r w:rsidR="007519CD">
        <w:t>% over the base salary rate.</w:t>
      </w:r>
      <w:r w:rsidR="006A50F1">
        <w:t xml:space="preserve"> The impact is slightly higher</w:t>
      </w:r>
      <w:r w:rsidR="00317C63">
        <w:t xml:space="preserve"> for a Level 2 (High Intensity) DSW at 50.9% and</w:t>
      </w:r>
      <w:r w:rsidR="006A50F1">
        <w:t xml:space="preserve"> for a Level </w:t>
      </w:r>
      <w:r w:rsidR="00317C63">
        <w:t>3</w:t>
      </w:r>
      <w:r w:rsidR="006A50F1">
        <w:t xml:space="preserve"> (Very high Intensity) DSW</w:t>
      </w:r>
      <w:r w:rsidR="00317C63">
        <w:t xml:space="preserve"> at 50.3%</w:t>
      </w:r>
      <w:r w:rsidR="006A50F1">
        <w:t>.</w:t>
      </w:r>
    </w:p>
    <w:p w14:paraId="5EF1139C" w14:textId="77777777" w:rsidR="007519CD" w:rsidRDefault="007519CD" w:rsidP="007519CD">
      <w:pPr>
        <w:pStyle w:val="Caption"/>
      </w:pPr>
      <w:bookmarkStart w:id="20" w:name="_Ref19027201"/>
      <w:r w:rsidRPr="00975FC4">
        <w:t xml:space="preserve">Table </w:t>
      </w:r>
      <w:r w:rsidR="00D6473E">
        <w:fldChar w:fldCharType="begin"/>
      </w:r>
      <w:r w:rsidR="00D6473E">
        <w:instrText xml:space="preserve"> SEQ Table \* ARABIC </w:instrText>
      </w:r>
      <w:r w:rsidR="00D6473E">
        <w:fldChar w:fldCharType="separate"/>
      </w:r>
      <w:r w:rsidR="00B658AF">
        <w:rPr>
          <w:noProof/>
        </w:rPr>
        <w:t>6</w:t>
      </w:r>
      <w:r w:rsidR="00D6473E">
        <w:rPr>
          <w:noProof/>
        </w:rPr>
        <w:fldChar w:fldCharType="end"/>
      </w:r>
      <w:bookmarkEnd w:id="20"/>
      <w:r w:rsidRPr="00975FC4">
        <w:t xml:space="preserve">: </w:t>
      </w:r>
      <w:r>
        <w:t>Impact of Casual Loading on the Cost per Billable Hour of a DSW</w:t>
      </w:r>
    </w:p>
    <w:tbl>
      <w:tblPr>
        <w:tblStyle w:val="GridTable4-Accent4"/>
        <w:tblW w:w="5000" w:type="pct"/>
        <w:tblLook w:val="04A0" w:firstRow="1" w:lastRow="0" w:firstColumn="1" w:lastColumn="0" w:noHBand="0" w:noVBand="1"/>
      </w:tblPr>
      <w:tblGrid>
        <w:gridCol w:w="5103"/>
        <w:gridCol w:w="1479"/>
        <w:gridCol w:w="1217"/>
        <w:gridCol w:w="1217"/>
      </w:tblGrid>
      <w:tr w:rsidR="00B658AF" w:rsidRPr="003A3C03" w14:paraId="6BD05B69" w14:textId="77777777" w:rsidTr="00134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hideMark/>
          </w:tcPr>
          <w:p w14:paraId="618A1E36" w14:textId="77777777" w:rsidR="00B658AF" w:rsidRPr="001A1BE7" w:rsidRDefault="00B658AF" w:rsidP="00B658AF">
            <w:pPr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0" w:type="pct"/>
            <w:hideMark/>
          </w:tcPr>
          <w:p w14:paraId="0AB5F5F5" w14:textId="77777777" w:rsidR="00B658AF" w:rsidRPr="001A1BE7" w:rsidRDefault="00B658AF" w:rsidP="00B658AF">
            <w:pPr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Level 1</w:t>
            </w:r>
            <w:r>
              <w:rPr>
                <w:rFonts w:cstheme="minorHAnsi"/>
                <w:sz w:val="18"/>
                <w:szCs w:val="18"/>
              </w:rPr>
              <w:br/>
              <w:t>DSW</w:t>
            </w:r>
          </w:p>
        </w:tc>
        <w:tc>
          <w:tcPr>
            <w:tcW w:w="675" w:type="pct"/>
          </w:tcPr>
          <w:p w14:paraId="01A9608B" w14:textId="77777777" w:rsidR="00B658AF" w:rsidRPr="001A1BE7" w:rsidRDefault="00B658AF" w:rsidP="00B658AF">
            <w:pPr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  <w:lang w:eastAsia="en-AU"/>
              </w:rPr>
            </w:pPr>
            <w:r>
              <w:rPr>
                <w:rFonts w:cstheme="minorHAnsi"/>
                <w:sz w:val="18"/>
                <w:szCs w:val="18"/>
              </w:rPr>
              <w:t>Level 2 DSW</w:t>
            </w:r>
          </w:p>
        </w:tc>
        <w:tc>
          <w:tcPr>
            <w:tcW w:w="675" w:type="pct"/>
          </w:tcPr>
          <w:p w14:paraId="59E9723C" w14:textId="77777777" w:rsidR="00B658AF" w:rsidRPr="001A1BE7" w:rsidRDefault="00B658AF" w:rsidP="00B658AF">
            <w:pPr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Level 3 DSW</w:t>
            </w:r>
          </w:p>
        </w:tc>
      </w:tr>
      <w:tr w:rsidR="00B658AF" w14:paraId="5FFD5C61" w14:textId="77777777" w:rsidTr="0013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hideMark/>
          </w:tcPr>
          <w:p w14:paraId="334FBADD" w14:textId="77777777" w:rsidR="00B658AF" w:rsidRPr="001A1BE7" w:rsidRDefault="00B658AF" w:rsidP="00B658AF">
            <w:pPr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Cumulative cost per hour, at 100% permanent</w:t>
            </w:r>
          </w:p>
        </w:tc>
        <w:tc>
          <w:tcPr>
            <w:tcW w:w="820" w:type="pct"/>
            <w:noWrap/>
            <w:vAlign w:val="center"/>
            <w:hideMark/>
          </w:tcPr>
          <w:p w14:paraId="14C08389" w14:textId="77777777" w:rsidR="00B658AF" w:rsidRPr="00CD68BE" w:rsidRDefault="00B658AF" w:rsidP="00B658AF">
            <w:pPr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CD68BE">
              <w:rPr>
                <w:rFonts w:cstheme="minorHAnsi"/>
                <w:b/>
                <w:sz w:val="18"/>
                <w:szCs w:val="18"/>
              </w:rPr>
              <w:t>$40.97</w:t>
            </w:r>
          </w:p>
        </w:tc>
        <w:tc>
          <w:tcPr>
            <w:tcW w:w="675" w:type="pct"/>
            <w:vAlign w:val="center"/>
          </w:tcPr>
          <w:p w14:paraId="3882CAAE" w14:textId="77777777" w:rsidR="00B658AF" w:rsidRPr="00CD68BE" w:rsidRDefault="00B658AF" w:rsidP="00DF26B5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D68BE">
              <w:rPr>
                <w:rFonts w:cstheme="minorHAnsi"/>
                <w:b/>
                <w:sz w:val="18"/>
                <w:szCs w:val="18"/>
              </w:rPr>
              <w:t>$42.</w:t>
            </w:r>
            <w:r w:rsidR="00DF26B5">
              <w:rPr>
                <w:rFonts w:cstheme="minorHAnsi"/>
                <w:b/>
                <w:sz w:val="18"/>
                <w:szCs w:val="18"/>
              </w:rPr>
              <w:t>86</w:t>
            </w:r>
          </w:p>
        </w:tc>
        <w:tc>
          <w:tcPr>
            <w:tcW w:w="675" w:type="pct"/>
            <w:vAlign w:val="center"/>
          </w:tcPr>
          <w:p w14:paraId="0CA639A0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CD68BE">
              <w:rPr>
                <w:rFonts w:cstheme="minorHAnsi"/>
                <w:b/>
                <w:sz w:val="18"/>
                <w:szCs w:val="18"/>
              </w:rPr>
              <w:t>$44.36</w:t>
            </w:r>
          </w:p>
        </w:tc>
      </w:tr>
      <w:tr w:rsidR="00B658AF" w:rsidRPr="00CD68BE" w14:paraId="74DDA456" w14:textId="77777777" w:rsidTr="00134E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hideMark/>
          </w:tcPr>
          <w:p w14:paraId="15CDEA5B" w14:textId="77777777" w:rsidR="00B658AF" w:rsidRPr="00CD68BE" w:rsidRDefault="00B658AF" w:rsidP="00B658AF">
            <w:pPr>
              <w:spacing w:before="40" w:after="40" w:line="240" w:lineRule="atLeast"/>
              <w:rPr>
                <w:rFonts w:cstheme="minorHAnsi"/>
                <w:b w:val="0"/>
                <w:sz w:val="18"/>
                <w:szCs w:val="18"/>
              </w:rPr>
            </w:pPr>
            <w:r w:rsidRPr="00CD68BE">
              <w:rPr>
                <w:rFonts w:cstheme="minorHAnsi"/>
                <w:b w:val="0"/>
                <w:sz w:val="18"/>
                <w:szCs w:val="18"/>
              </w:rPr>
              <w:t>Cumulative cost per hour, at 80% permanent</w:t>
            </w:r>
          </w:p>
        </w:tc>
        <w:tc>
          <w:tcPr>
            <w:tcW w:w="820" w:type="pct"/>
            <w:noWrap/>
            <w:hideMark/>
          </w:tcPr>
          <w:p w14:paraId="17A454DE" w14:textId="77777777" w:rsidR="00B658AF" w:rsidRPr="00CD68BE" w:rsidRDefault="00B658AF" w:rsidP="00B658AF">
            <w:pPr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D68BE">
              <w:rPr>
                <w:rFonts w:cstheme="minorHAnsi"/>
                <w:sz w:val="18"/>
                <w:szCs w:val="18"/>
              </w:rPr>
              <w:t>$41.28</w:t>
            </w:r>
          </w:p>
        </w:tc>
        <w:tc>
          <w:tcPr>
            <w:tcW w:w="675" w:type="pct"/>
          </w:tcPr>
          <w:p w14:paraId="165877C8" w14:textId="77777777" w:rsidR="00B658AF" w:rsidRPr="00CD68BE" w:rsidRDefault="00DF26B5" w:rsidP="00DF26B5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  <w:lang w:eastAsia="en-AU"/>
              </w:rPr>
              <w:t>$43.19</w:t>
            </w:r>
          </w:p>
        </w:tc>
        <w:tc>
          <w:tcPr>
            <w:tcW w:w="675" w:type="pct"/>
          </w:tcPr>
          <w:p w14:paraId="5AF7F0CC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D68BE">
              <w:rPr>
                <w:rFonts w:cstheme="minorHAnsi"/>
                <w:sz w:val="18"/>
                <w:szCs w:val="18"/>
              </w:rPr>
              <w:t>$44.70</w:t>
            </w:r>
          </w:p>
        </w:tc>
      </w:tr>
      <w:tr w:rsidR="00B658AF" w:rsidRPr="00CD68BE" w14:paraId="20D218CA" w14:textId="77777777" w:rsidTr="0013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75F67C76" w14:textId="77777777" w:rsidR="00B658AF" w:rsidRPr="00CD68BE" w:rsidRDefault="00B658AF" w:rsidP="00B658AF">
            <w:pPr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Effect of casual loading</w:t>
            </w:r>
          </w:p>
        </w:tc>
        <w:tc>
          <w:tcPr>
            <w:tcW w:w="820" w:type="pct"/>
            <w:noWrap/>
            <w:vAlign w:val="center"/>
          </w:tcPr>
          <w:p w14:paraId="0C11B993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CD68BE">
              <w:rPr>
                <w:rFonts w:cstheme="minorHAnsi"/>
                <w:b/>
                <w:sz w:val="18"/>
                <w:szCs w:val="18"/>
              </w:rPr>
              <w:t>0.8%</w:t>
            </w:r>
          </w:p>
        </w:tc>
        <w:tc>
          <w:tcPr>
            <w:tcW w:w="675" w:type="pct"/>
            <w:vAlign w:val="center"/>
          </w:tcPr>
          <w:p w14:paraId="1F08F5E0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CD68BE">
              <w:rPr>
                <w:rFonts w:cstheme="minorHAnsi"/>
                <w:b/>
                <w:sz w:val="18"/>
                <w:szCs w:val="18"/>
              </w:rPr>
              <w:t>0.8%</w:t>
            </w:r>
          </w:p>
        </w:tc>
        <w:tc>
          <w:tcPr>
            <w:tcW w:w="675" w:type="pct"/>
            <w:vAlign w:val="center"/>
          </w:tcPr>
          <w:p w14:paraId="35CD5211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CD68BE">
              <w:rPr>
                <w:rFonts w:cstheme="minorHAnsi"/>
                <w:b/>
                <w:sz w:val="18"/>
                <w:szCs w:val="18"/>
              </w:rPr>
              <w:t>0.8%</w:t>
            </w:r>
          </w:p>
        </w:tc>
      </w:tr>
      <w:tr w:rsidR="00B658AF" w14:paraId="161853CA" w14:textId="77777777" w:rsidTr="00134E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370DC338" w14:textId="77777777" w:rsidR="00B658AF" w:rsidRPr="005C6DDE" w:rsidRDefault="00B658AF" w:rsidP="00B658AF">
            <w:pPr>
              <w:spacing w:before="40" w:after="40" w:line="240" w:lineRule="atLeast"/>
              <w:rPr>
                <w:rFonts w:cstheme="minorHAnsi"/>
                <w:b w:val="0"/>
                <w:sz w:val="18"/>
                <w:szCs w:val="18"/>
              </w:rPr>
            </w:pPr>
            <w:r w:rsidRPr="005C6DDE">
              <w:rPr>
                <w:rFonts w:cstheme="minorHAnsi"/>
                <w:b w:val="0"/>
                <w:sz w:val="18"/>
                <w:szCs w:val="18"/>
              </w:rPr>
              <w:t xml:space="preserve">Cumulative </w:t>
            </w:r>
            <w:r>
              <w:rPr>
                <w:rFonts w:cstheme="minorHAnsi"/>
                <w:b w:val="0"/>
                <w:sz w:val="18"/>
                <w:szCs w:val="18"/>
              </w:rPr>
              <w:t>i</w:t>
            </w:r>
            <w:r w:rsidRPr="001A1BE7">
              <w:rPr>
                <w:rFonts w:cstheme="minorHAnsi"/>
                <w:b w:val="0"/>
                <w:sz w:val="18"/>
                <w:szCs w:val="18"/>
              </w:rPr>
              <w:t xml:space="preserve">ncrease from </w:t>
            </w:r>
            <w:r>
              <w:rPr>
                <w:rFonts w:cstheme="minorHAnsi"/>
                <w:b w:val="0"/>
                <w:sz w:val="18"/>
                <w:szCs w:val="18"/>
              </w:rPr>
              <w:t>permanent standard hourly rate</w:t>
            </w:r>
          </w:p>
        </w:tc>
        <w:tc>
          <w:tcPr>
            <w:tcW w:w="820" w:type="pct"/>
            <w:noWrap/>
            <w:vAlign w:val="center"/>
          </w:tcPr>
          <w:p w14:paraId="2606F9E9" w14:textId="77777777" w:rsidR="00B658AF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49.5%</w:t>
            </w:r>
          </w:p>
        </w:tc>
        <w:tc>
          <w:tcPr>
            <w:tcW w:w="675" w:type="pct"/>
            <w:vAlign w:val="center"/>
          </w:tcPr>
          <w:p w14:paraId="74AE2CD1" w14:textId="7F9702A3" w:rsidR="00B658AF" w:rsidRDefault="00DF26B5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50.</w:t>
            </w:r>
            <w:r w:rsidR="00317C63">
              <w:rPr>
                <w:rFonts w:cstheme="minorHAnsi"/>
                <w:sz w:val="18"/>
                <w:szCs w:val="18"/>
              </w:rPr>
              <w:t>9</w:t>
            </w:r>
            <w:r w:rsidR="00B658A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675" w:type="pct"/>
            <w:vAlign w:val="center"/>
          </w:tcPr>
          <w:p w14:paraId="58FA5193" w14:textId="77777777" w:rsidR="00B658AF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50.3%</w:t>
            </w:r>
          </w:p>
        </w:tc>
      </w:tr>
    </w:tbl>
    <w:p w14:paraId="3E5328A0" w14:textId="77777777" w:rsidR="00F52078" w:rsidRDefault="00F52078" w:rsidP="00F52078">
      <w:pPr>
        <w:pStyle w:val="Heading2"/>
      </w:pPr>
      <w:bookmarkStart w:id="21" w:name="_Toc21533551"/>
      <w:r>
        <w:lastRenderedPageBreak/>
        <w:t>Utilisation</w:t>
      </w:r>
      <w:bookmarkEnd w:id="21"/>
    </w:p>
    <w:p w14:paraId="174A5D77" w14:textId="18CA37D6" w:rsidR="00F52078" w:rsidRDefault="00227122" w:rsidP="00227122">
      <w:r>
        <w:t>The</w:t>
      </w:r>
      <w:r w:rsidR="00D6473E">
        <w:t xml:space="preserve"> </w:t>
      </w:r>
      <w:r>
        <w:t>CM recognises that not all working hours are billable. For example, the SCHADS Award provides that a DSW should have a ten minute paid break from work every four hours. DSWs also need to undertake training and attend to other issues.</w:t>
      </w:r>
      <w:r w:rsidR="00134E17">
        <w:t xml:space="preserve"> </w:t>
      </w:r>
      <w:r w:rsidR="00D6473E">
        <w:t xml:space="preserve">The </w:t>
      </w:r>
      <w:r w:rsidR="00CD7CF3">
        <w:t>CM assumes that higher skilled workers with more responsibilities may require more non-billable hours, to maintain their skills and deal with other issues.</w:t>
      </w:r>
    </w:p>
    <w:p w14:paraId="1AF061D2" w14:textId="7394511B" w:rsidR="00CD7CF3" w:rsidRDefault="00D6473E" w:rsidP="00227122">
      <w:r>
        <w:t xml:space="preserve">The </w:t>
      </w:r>
      <w:r w:rsidR="00CD7CF3">
        <w:t xml:space="preserve">CM assumes that supervisors have the same rate of non-billable hours as </w:t>
      </w:r>
      <w:r w:rsidR="006A50F1">
        <w:t>DSWs.</w:t>
      </w:r>
    </w:p>
    <w:p w14:paraId="12E562A0" w14:textId="01E8DBBA" w:rsidR="006A50F1" w:rsidRDefault="006A50F1" w:rsidP="00227122">
      <w:r>
        <w:t xml:space="preserve">As </w:t>
      </w:r>
      <w:r>
        <w:fldChar w:fldCharType="begin"/>
      </w:r>
      <w:r>
        <w:instrText xml:space="preserve"> REF _Ref19044855 \h </w:instrText>
      </w:r>
      <w:r>
        <w:fldChar w:fldCharType="separate"/>
      </w:r>
      <w:r w:rsidR="00B658AF" w:rsidRPr="00975FC4">
        <w:t xml:space="preserve">Table </w:t>
      </w:r>
      <w:r w:rsidR="00B658AF">
        <w:rPr>
          <w:noProof/>
        </w:rPr>
        <w:t>7</w:t>
      </w:r>
      <w:r>
        <w:fldChar w:fldCharType="end"/>
      </w:r>
      <w:r>
        <w:t xml:space="preserve"> illustrates, utilisation costs together with the costs discussed above increase the costs of employing a permane</w:t>
      </w:r>
      <w:r w:rsidR="003C074F">
        <w:t xml:space="preserve">nt Standard DSW on a weekday </w:t>
      </w:r>
      <w:r>
        <w:t xml:space="preserve">by 62.5% over the base salary rate. The impact is higher for a </w:t>
      </w:r>
      <w:r w:rsidR="0043700C">
        <w:t>Level 2 (High Intensity) DSW at 69.5% and for a L</w:t>
      </w:r>
      <w:r>
        <w:t xml:space="preserve">evel </w:t>
      </w:r>
      <w:r w:rsidR="0043700C">
        <w:t>3</w:t>
      </w:r>
      <w:r>
        <w:t xml:space="preserve"> (Very </w:t>
      </w:r>
      <w:r w:rsidR="0043700C">
        <w:t>H</w:t>
      </w:r>
      <w:r>
        <w:t>igh Intensity) DSW</w:t>
      </w:r>
      <w:r w:rsidR="0043700C">
        <w:t xml:space="preserve"> at 71.4%</w:t>
      </w:r>
      <w:r>
        <w:t>.</w:t>
      </w:r>
    </w:p>
    <w:p w14:paraId="0505437C" w14:textId="77777777" w:rsidR="00CD68BE" w:rsidRDefault="00F52078" w:rsidP="00CD68BE">
      <w:pPr>
        <w:pStyle w:val="Caption"/>
      </w:pPr>
      <w:bookmarkStart w:id="22" w:name="_Ref19044855"/>
      <w:r w:rsidRPr="00975FC4">
        <w:t xml:space="preserve">Table </w:t>
      </w:r>
      <w:r w:rsidR="00D6473E">
        <w:fldChar w:fldCharType="begin"/>
      </w:r>
      <w:r w:rsidR="00D6473E">
        <w:instrText xml:space="preserve"> SEQ Table \* ARABIC </w:instrText>
      </w:r>
      <w:r w:rsidR="00D6473E">
        <w:fldChar w:fldCharType="separate"/>
      </w:r>
      <w:r w:rsidR="00B658AF">
        <w:rPr>
          <w:noProof/>
        </w:rPr>
        <w:t>7</w:t>
      </w:r>
      <w:r w:rsidR="00D6473E">
        <w:rPr>
          <w:noProof/>
        </w:rPr>
        <w:fldChar w:fldCharType="end"/>
      </w:r>
      <w:bookmarkEnd w:id="22"/>
      <w:r w:rsidRPr="00975FC4">
        <w:t xml:space="preserve">: </w:t>
      </w:r>
      <w:r w:rsidR="00CD68BE">
        <w:t>Impact of U</w:t>
      </w:r>
      <w:r>
        <w:t xml:space="preserve">tilisation on </w:t>
      </w:r>
      <w:r w:rsidR="00CD68BE">
        <w:t>the Cost per Billable Hour of a DSW</w:t>
      </w:r>
    </w:p>
    <w:tbl>
      <w:tblPr>
        <w:tblStyle w:val="GridTable4-Accent4"/>
        <w:tblW w:w="5000" w:type="pct"/>
        <w:tblLook w:val="04A0" w:firstRow="1" w:lastRow="0" w:firstColumn="1" w:lastColumn="0" w:noHBand="0" w:noVBand="1"/>
      </w:tblPr>
      <w:tblGrid>
        <w:gridCol w:w="5103"/>
        <w:gridCol w:w="1479"/>
        <w:gridCol w:w="1217"/>
        <w:gridCol w:w="1217"/>
      </w:tblGrid>
      <w:tr w:rsidR="00B658AF" w:rsidRPr="003A3C03" w14:paraId="1A87F6B9" w14:textId="77777777" w:rsidTr="00134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hideMark/>
          </w:tcPr>
          <w:p w14:paraId="35FA97BB" w14:textId="77777777" w:rsidR="00B658AF" w:rsidRPr="001A1BE7" w:rsidRDefault="00B658AF" w:rsidP="00B658AF">
            <w:pPr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0" w:type="pct"/>
            <w:hideMark/>
          </w:tcPr>
          <w:p w14:paraId="699BB6CD" w14:textId="77777777" w:rsidR="00B658AF" w:rsidRPr="001A1BE7" w:rsidRDefault="00B658AF" w:rsidP="00B658AF">
            <w:pPr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Level 1</w:t>
            </w:r>
            <w:r>
              <w:rPr>
                <w:rFonts w:cstheme="minorHAnsi"/>
                <w:sz w:val="18"/>
                <w:szCs w:val="18"/>
              </w:rPr>
              <w:br/>
              <w:t>DSW</w:t>
            </w:r>
          </w:p>
        </w:tc>
        <w:tc>
          <w:tcPr>
            <w:tcW w:w="675" w:type="pct"/>
          </w:tcPr>
          <w:p w14:paraId="15C0B675" w14:textId="77777777" w:rsidR="00B658AF" w:rsidRPr="001A1BE7" w:rsidRDefault="00B658AF" w:rsidP="00B658AF">
            <w:pPr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  <w:lang w:eastAsia="en-AU"/>
              </w:rPr>
            </w:pPr>
            <w:r>
              <w:rPr>
                <w:rFonts w:cstheme="minorHAnsi"/>
                <w:sz w:val="18"/>
                <w:szCs w:val="18"/>
              </w:rPr>
              <w:t>Level 2 DSW</w:t>
            </w:r>
          </w:p>
        </w:tc>
        <w:tc>
          <w:tcPr>
            <w:tcW w:w="675" w:type="pct"/>
          </w:tcPr>
          <w:p w14:paraId="1D247422" w14:textId="77777777" w:rsidR="00B658AF" w:rsidRPr="001A1BE7" w:rsidRDefault="00B658AF" w:rsidP="00B658AF">
            <w:pPr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Level 3 DSW</w:t>
            </w:r>
          </w:p>
        </w:tc>
      </w:tr>
      <w:tr w:rsidR="00B658AF" w14:paraId="0A73218F" w14:textId="77777777" w:rsidTr="0013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hideMark/>
          </w:tcPr>
          <w:p w14:paraId="6D10DDC9" w14:textId="77777777" w:rsidR="00B658AF" w:rsidRPr="001A1BE7" w:rsidRDefault="00B658AF" w:rsidP="00B658AF">
            <w:pPr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Cumulative cost per hour, before utilisation adjustment</w:t>
            </w:r>
          </w:p>
        </w:tc>
        <w:tc>
          <w:tcPr>
            <w:tcW w:w="820" w:type="pct"/>
            <w:noWrap/>
            <w:hideMark/>
          </w:tcPr>
          <w:p w14:paraId="3B196C45" w14:textId="77777777" w:rsidR="00B658AF" w:rsidRPr="00384F8D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384F8D">
              <w:rPr>
                <w:rFonts w:cstheme="minorHAnsi"/>
                <w:b/>
                <w:sz w:val="18"/>
                <w:szCs w:val="18"/>
              </w:rPr>
              <w:t>$41.28</w:t>
            </w:r>
          </w:p>
        </w:tc>
        <w:tc>
          <w:tcPr>
            <w:tcW w:w="675" w:type="pct"/>
          </w:tcPr>
          <w:p w14:paraId="595B5D78" w14:textId="77777777" w:rsidR="00B658AF" w:rsidRPr="00384F8D" w:rsidRDefault="00B658AF" w:rsidP="00DF26B5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384F8D">
              <w:rPr>
                <w:rFonts w:cstheme="minorHAnsi"/>
                <w:b/>
                <w:sz w:val="18"/>
                <w:szCs w:val="18"/>
              </w:rPr>
              <w:t>$4</w:t>
            </w:r>
            <w:r w:rsidR="00DF26B5">
              <w:rPr>
                <w:rFonts w:cstheme="minorHAnsi"/>
                <w:b/>
                <w:sz w:val="18"/>
                <w:szCs w:val="18"/>
              </w:rPr>
              <w:t>3.19</w:t>
            </w:r>
          </w:p>
        </w:tc>
        <w:tc>
          <w:tcPr>
            <w:tcW w:w="675" w:type="pct"/>
          </w:tcPr>
          <w:p w14:paraId="211DAC99" w14:textId="77777777" w:rsidR="00B658AF" w:rsidRPr="00384F8D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384F8D">
              <w:rPr>
                <w:rFonts w:cstheme="minorHAnsi"/>
                <w:b/>
                <w:sz w:val="18"/>
                <w:szCs w:val="18"/>
              </w:rPr>
              <w:t>$44.70</w:t>
            </w:r>
          </w:p>
        </w:tc>
      </w:tr>
      <w:tr w:rsidR="00B658AF" w:rsidRPr="00CD68BE" w14:paraId="08B4F82C" w14:textId="77777777" w:rsidTr="00134E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hideMark/>
          </w:tcPr>
          <w:p w14:paraId="7DDB125C" w14:textId="77777777" w:rsidR="00B658AF" w:rsidRPr="00CD68BE" w:rsidRDefault="00B658AF" w:rsidP="00B658AF">
            <w:pPr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  <w:r w:rsidRPr="00CD68BE">
              <w:rPr>
                <w:rFonts w:cstheme="minorHAnsi"/>
                <w:sz w:val="18"/>
                <w:szCs w:val="18"/>
              </w:rPr>
              <w:t>Util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Pr="00CD68BE">
              <w:rPr>
                <w:rFonts w:cstheme="minorHAnsi"/>
                <w:sz w:val="18"/>
                <w:szCs w:val="18"/>
              </w:rPr>
              <w:t>sation rates</w:t>
            </w:r>
          </w:p>
        </w:tc>
        <w:tc>
          <w:tcPr>
            <w:tcW w:w="820" w:type="pct"/>
            <w:noWrap/>
          </w:tcPr>
          <w:p w14:paraId="585C4217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14:paraId="66605122" w14:textId="77777777" w:rsidR="00B658AF" w:rsidRPr="00384F8D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14:paraId="18156AF5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B658AF" w:rsidRPr="00CD68BE" w14:paraId="5F6FFC47" w14:textId="77777777" w:rsidTr="0013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21A1682F" w14:textId="77777777" w:rsidR="00B658AF" w:rsidRPr="00CD68BE" w:rsidRDefault="00B658AF" w:rsidP="00B658AF">
            <w:pPr>
              <w:spacing w:before="40" w:after="40" w:line="240" w:lineRule="atLeast"/>
              <w:ind w:left="593"/>
              <w:jc w:val="left"/>
              <w:rPr>
                <w:rFonts w:cstheme="minorHAnsi"/>
                <w:b w:val="0"/>
                <w:sz w:val="18"/>
                <w:szCs w:val="18"/>
              </w:rPr>
            </w:pPr>
            <w:r w:rsidRPr="00CD68BE">
              <w:rPr>
                <w:rFonts w:cstheme="minorHAnsi"/>
                <w:b w:val="0"/>
                <w:sz w:val="18"/>
                <w:szCs w:val="18"/>
              </w:rPr>
              <w:t>Breaks</w:t>
            </w:r>
          </w:p>
        </w:tc>
        <w:tc>
          <w:tcPr>
            <w:tcW w:w="820" w:type="pct"/>
            <w:noWrap/>
            <w:vAlign w:val="center"/>
          </w:tcPr>
          <w:p w14:paraId="48268F64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CD68BE">
              <w:rPr>
                <w:rFonts w:cstheme="minorHAnsi"/>
                <w:sz w:val="18"/>
                <w:szCs w:val="18"/>
              </w:rPr>
              <w:t>4.17%</w:t>
            </w:r>
          </w:p>
        </w:tc>
        <w:tc>
          <w:tcPr>
            <w:tcW w:w="675" w:type="pct"/>
            <w:vAlign w:val="center"/>
          </w:tcPr>
          <w:p w14:paraId="0A57D1A3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4.17%</w:t>
            </w:r>
          </w:p>
        </w:tc>
        <w:tc>
          <w:tcPr>
            <w:tcW w:w="675" w:type="pct"/>
            <w:vAlign w:val="center"/>
          </w:tcPr>
          <w:p w14:paraId="661219AD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4.17%</w:t>
            </w:r>
          </w:p>
        </w:tc>
      </w:tr>
      <w:tr w:rsidR="00B658AF" w:rsidRPr="00CD68BE" w14:paraId="64A3473E" w14:textId="77777777" w:rsidTr="00134E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662E285A" w14:textId="77777777" w:rsidR="00B658AF" w:rsidRPr="00CD68BE" w:rsidRDefault="00B658AF" w:rsidP="00B658AF">
            <w:pPr>
              <w:spacing w:before="40" w:after="40" w:line="240" w:lineRule="atLeast"/>
              <w:ind w:left="593"/>
              <w:jc w:val="left"/>
              <w:rPr>
                <w:rFonts w:cstheme="minorHAnsi"/>
                <w:b w:val="0"/>
                <w:sz w:val="18"/>
                <w:szCs w:val="18"/>
              </w:rPr>
            </w:pPr>
            <w:r>
              <w:rPr>
                <w:rFonts w:cstheme="minorHAnsi"/>
                <w:b w:val="0"/>
                <w:sz w:val="18"/>
                <w:szCs w:val="18"/>
              </w:rPr>
              <w:t>Training</w:t>
            </w:r>
          </w:p>
        </w:tc>
        <w:tc>
          <w:tcPr>
            <w:tcW w:w="820" w:type="pct"/>
            <w:noWrap/>
            <w:vAlign w:val="center"/>
          </w:tcPr>
          <w:p w14:paraId="13CEE881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3.29%</w:t>
            </w:r>
          </w:p>
        </w:tc>
        <w:tc>
          <w:tcPr>
            <w:tcW w:w="675" w:type="pct"/>
            <w:vAlign w:val="center"/>
          </w:tcPr>
          <w:p w14:paraId="03BA4E3F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6.58%</w:t>
            </w:r>
          </w:p>
        </w:tc>
        <w:tc>
          <w:tcPr>
            <w:tcW w:w="675" w:type="pct"/>
            <w:vAlign w:val="center"/>
          </w:tcPr>
          <w:p w14:paraId="1D586EE7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7.89%</w:t>
            </w:r>
          </w:p>
        </w:tc>
      </w:tr>
      <w:tr w:rsidR="00B658AF" w:rsidRPr="00CD68BE" w14:paraId="0BCCB3C6" w14:textId="77777777" w:rsidTr="0013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66F0FF9F" w14:textId="77777777" w:rsidR="00B658AF" w:rsidRPr="00CD68BE" w:rsidRDefault="00B658AF" w:rsidP="00B658AF">
            <w:pPr>
              <w:spacing w:before="40" w:after="40" w:line="240" w:lineRule="atLeast"/>
              <w:ind w:left="593"/>
              <w:jc w:val="left"/>
              <w:rPr>
                <w:rFonts w:cstheme="minorHAnsi"/>
                <w:b w:val="0"/>
                <w:sz w:val="18"/>
                <w:szCs w:val="18"/>
              </w:rPr>
            </w:pPr>
            <w:r w:rsidRPr="00CD68BE">
              <w:rPr>
                <w:rFonts w:cstheme="minorHAnsi"/>
                <w:b w:val="0"/>
                <w:sz w:val="18"/>
                <w:szCs w:val="18"/>
              </w:rPr>
              <w:t>Other</w:t>
            </w:r>
          </w:p>
        </w:tc>
        <w:tc>
          <w:tcPr>
            <w:tcW w:w="820" w:type="pct"/>
            <w:noWrap/>
            <w:vAlign w:val="center"/>
          </w:tcPr>
          <w:p w14:paraId="468B5865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0.54%</w:t>
            </w:r>
          </w:p>
        </w:tc>
        <w:tc>
          <w:tcPr>
            <w:tcW w:w="675" w:type="pct"/>
            <w:vAlign w:val="center"/>
          </w:tcPr>
          <w:p w14:paraId="6ACAE82A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0.25%</w:t>
            </w:r>
          </w:p>
        </w:tc>
        <w:tc>
          <w:tcPr>
            <w:tcW w:w="675" w:type="pct"/>
            <w:vAlign w:val="center"/>
          </w:tcPr>
          <w:p w14:paraId="05398C6C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0.24%</w:t>
            </w:r>
          </w:p>
        </w:tc>
      </w:tr>
      <w:tr w:rsidR="00B658AF" w:rsidRPr="00CD68BE" w14:paraId="31580328" w14:textId="77777777" w:rsidTr="00134E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471970AC" w14:textId="77777777" w:rsidR="00B658AF" w:rsidRPr="00CD68BE" w:rsidRDefault="00B658AF" w:rsidP="00B658AF">
            <w:pPr>
              <w:spacing w:before="40" w:after="40" w:line="240" w:lineRule="atLeast"/>
              <w:ind w:left="593"/>
              <w:jc w:val="left"/>
              <w:rPr>
                <w:rFonts w:cstheme="minorHAnsi"/>
                <w:sz w:val="18"/>
                <w:szCs w:val="18"/>
              </w:rPr>
            </w:pPr>
            <w:r w:rsidRPr="00CD68BE">
              <w:rPr>
                <w:rFonts w:cstheme="minorHAnsi"/>
                <w:sz w:val="18"/>
                <w:szCs w:val="18"/>
              </w:rPr>
              <w:t>Total Utilisation</w:t>
            </w:r>
            <w:r>
              <w:rPr>
                <w:rFonts w:cstheme="minorHAnsi"/>
                <w:sz w:val="18"/>
                <w:szCs w:val="18"/>
              </w:rPr>
              <w:t xml:space="preserve"> (%)</w:t>
            </w:r>
          </w:p>
        </w:tc>
        <w:tc>
          <w:tcPr>
            <w:tcW w:w="820" w:type="pct"/>
            <w:noWrap/>
            <w:vAlign w:val="center"/>
          </w:tcPr>
          <w:p w14:paraId="360443BD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92.0%</w:t>
            </w:r>
          </w:p>
        </w:tc>
        <w:tc>
          <w:tcPr>
            <w:tcW w:w="675" w:type="pct"/>
            <w:vAlign w:val="center"/>
          </w:tcPr>
          <w:p w14:paraId="5CA7678D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89.0%</w:t>
            </w:r>
          </w:p>
        </w:tc>
        <w:tc>
          <w:tcPr>
            <w:tcW w:w="675" w:type="pct"/>
            <w:vAlign w:val="center"/>
          </w:tcPr>
          <w:p w14:paraId="1D3C676A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87.7%</w:t>
            </w:r>
          </w:p>
        </w:tc>
      </w:tr>
      <w:tr w:rsidR="00B658AF" w14:paraId="076B8298" w14:textId="77777777" w:rsidTr="0013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187DF179" w14:textId="77777777" w:rsidR="00B658AF" w:rsidRPr="00CD68BE" w:rsidRDefault="00B658AF" w:rsidP="00B658AF">
            <w:pPr>
              <w:spacing w:before="40" w:after="40" w:line="240" w:lineRule="atLeast"/>
              <w:ind w:left="593"/>
              <w:jc w:val="left"/>
              <w:rPr>
                <w:rFonts w:cstheme="minorHAnsi"/>
                <w:sz w:val="18"/>
                <w:szCs w:val="18"/>
              </w:rPr>
            </w:pPr>
            <w:r w:rsidRPr="00CD68BE">
              <w:rPr>
                <w:rFonts w:cstheme="minorHAnsi"/>
                <w:sz w:val="18"/>
                <w:szCs w:val="18"/>
              </w:rPr>
              <w:t xml:space="preserve">Cost of </w:t>
            </w:r>
            <w:r>
              <w:rPr>
                <w:rFonts w:cstheme="minorHAnsi"/>
                <w:sz w:val="18"/>
                <w:szCs w:val="18"/>
              </w:rPr>
              <w:t xml:space="preserve">utilisation </w:t>
            </w:r>
            <w:r w:rsidRPr="00CD68BE">
              <w:rPr>
                <w:rFonts w:cstheme="minorHAnsi"/>
                <w:sz w:val="18"/>
                <w:szCs w:val="18"/>
              </w:rPr>
              <w:t>($)</w:t>
            </w:r>
          </w:p>
        </w:tc>
        <w:tc>
          <w:tcPr>
            <w:tcW w:w="820" w:type="pct"/>
            <w:noWrap/>
            <w:vAlign w:val="center"/>
          </w:tcPr>
          <w:p w14:paraId="32A55D90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$3.59</w:t>
            </w:r>
          </w:p>
        </w:tc>
        <w:tc>
          <w:tcPr>
            <w:tcW w:w="675" w:type="pct"/>
            <w:vAlign w:val="center"/>
          </w:tcPr>
          <w:p w14:paraId="0D033668" w14:textId="77777777" w:rsidR="00B658AF" w:rsidRPr="005C6DDE" w:rsidRDefault="00B658AF" w:rsidP="00DF26B5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$5.</w:t>
            </w:r>
            <w:r w:rsidR="00DF26B5">
              <w:rPr>
                <w:rFonts w:cstheme="minorHAnsi"/>
                <w:sz w:val="18"/>
                <w:szCs w:val="18"/>
              </w:rPr>
              <w:t>34</w:t>
            </w:r>
          </w:p>
        </w:tc>
        <w:tc>
          <w:tcPr>
            <w:tcW w:w="675" w:type="pct"/>
            <w:vAlign w:val="center"/>
          </w:tcPr>
          <w:p w14:paraId="4F4AE622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$6.27</w:t>
            </w:r>
          </w:p>
        </w:tc>
      </w:tr>
      <w:tr w:rsidR="00B658AF" w:rsidRPr="005C6DDE" w14:paraId="4D1BFB60" w14:textId="77777777" w:rsidTr="00134E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427DA556" w14:textId="77777777" w:rsidR="00B658AF" w:rsidRPr="005C6DDE" w:rsidRDefault="00B658AF" w:rsidP="00B658AF">
            <w:pPr>
              <w:spacing w:before="40" w:after="40" w:line="240" w:lineRule="atLeast"/>
              <w:jc w:val="left"/>
              <w:rPr>
                <w:rFonts w:cstheme="minorHAnsi"/>
                <w:sz w:val="18"/>
                <w:szCs w:val="18"/>
              </w:rPr>
            </w:pPr>
            <w:r w:rsidRPr="005C6DDE">
              <w:rPr>
                <w:rFonts w:cstheme="minorHAnsi"/>
                <w:sz w:val="18"/>
                <w:szCs w:val="18"/>
              </w:rPr>
              <w:t xml:space="preserve">Cumulative cost per hour, after </w:t>
            </w:r>
            <w:r>
              <w:rPr>
                <w:rFonts w:cstheme="minorHAnsi"/>
                <w:sz w:val="18"/>
                <w:szCs w:val="18"/>
              </w:rPr>
              <w:t>utilisation</w:t>
            </w:r>
          </w:p>
        </w:tc>
        <w:tc>
          <w:tcPr>
            <w:tcW w:w="820" w:type="pct"/>
            <w:noWrap/>
            <w:vAlign w:val="center"/>
          </w:tcPr>
          <w:p w14:paraId="693C9CD8" w14:textId="77777777" w:rsidR="00B658AF" w:rsidRPr="006A50F1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6A50F1">
              <w:rPr>
                <w:rFonts w:cstheme="minorHAnsi"/>
                <w:b/>
                <w:sz w:val="18"/>
                <w:szCs w:val="18"/>
              </w:rPr>
              <w:t>$44.87</w:t>
            </w:r>
          </w:p>
        </w:tc>
        <w:tc>
          <w:tcPr>
            <w:tcW w:w="675" w:type="pct"/>
            <w:vAlign w:val="center"/>
          </w:tcPr>
          <w:p w14:paraId="555A0B0B" w14:textId="77777777" w:rsidR="00B658AF" w:rsidRPr="006A50F1" w:rsidRDefault="00B658AF" w:rsidP="00DF26B5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6A50F1">
              <w:rPr>
                <w:rFonts w:cstheme="minorHAnsi"/>
                <w:b/>
                <w:sz w:val="18"/>
                <w:szCs w:val="18"/>
              </w:rPr>
              <w:t>$</w:t>
            </w:r>
            <w:r w:rsidR="00DF26B5">
              <w:rPr>
                <w:rFonts w:cstheme="minorHAnsi"/>
                <w:b/>
                <w:sz w:val="18"/>
                <w:szCs w:val="18"/>
              </w:rPr>
              <w:t>48.53</w:t>
            </w:r>
          </w:p>
        </w:tc>
        <w:tc>
          <w:tcPr>
            <w:tcW w:w="675" w:type="pct"/>
            <w:vAlign w:val="center"/>
          </w:tcPr>
          <w:p w14:paraId="7A669982" w14:textId="77777777" w:rsidR="00B658AF" w:rsidRPr="006A50F1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6A50F1">
              <w:rPr>
                <w:rFonts w:cstheme="minorHAnsi"/>
                <w:b/>
                <w:sz w:val="18"/>
                <w:szCs w:val="18"/>
              </w:rPr>
              <w:t>$50.97</w:t>
            </w:r>
          </w:p>
        </w:tc>
      </w:tr>
      <w:tr w:rsidR="00B658AF" w14:paraId="0A3110BE" w14:textId="77777777" w:rsidTr="00134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45876220" w14:textId="77777777" w:rsidR="00B658AF" w:rsidRPr="005C6DDE" w:rsidRDefault="00B658AF" w:rsidP="00B658AF">
            <w:pPr>
              <w:spacing w:before="40" w:after="40" w:line="240" w:lineRule="atLeast"/>
              <w:jc w:val="left"/>
              <w:rPr>
                <w:rFonts w:cstheme="minorHAnsi"/>
                <w:b w:val="0"/>
                <w:sz w:val="18"/>
                <w:szCs w:val="18"/>
              </w:rPr>
            </w:pPr>
            <w:r w:rsidRPr="005C6DDE">
              <w:rPr>
                <w:rFonts w:cstheme="minorHAnsi"/>
                <w:b w:val="0"/>
                <w:sz w:val="18"/>
                <w:szCs w:val="18"/>
              </w:rPr>
              <w:t xml:space="preserve">Cumulative </w:t>
            </w:r>
            <w:r>
              <w:rPr>
                <w:rFonts w:cstheme="minorHAnsi"/>
                <w:b w:val="0"/>
                <w:sz w:val="18"/>
                <w:szCs w:val="18"/>
              </w:rPr>
              <w:t>i</w:t>
            </w:r>
            <w:r w:rsidRPr="001A1BE7">
              <w:rPr>
                <w:rFonts w:cstheme="minorHAnsi"/>
                <w:b w:val="0"/>
                <w:sz w:val="18"/>
                <w:szCs w:val="18"/>
              </w:rPr>
              <w:t xml:space="preserve">ncrease from </w:t>
            </w:r>
            <w:r>
              <w:rPr>
                <w:rFonts w:cstheme="minorHAnsi"/>
                <w:b w:val="0"/>
                <w:sz w:val="18"/>
                <w:szCs w:val="18"/>
              </w:rPr>
              <w:t>permanent standard hourly rate</w:t>
            </w:r>
          </w:p>
        </w:tc>
        <w:tc>
          <w:tcPr>
            <w:tcW w:w="820" w:type="pct"/>
            <w:noWrap/>
            <w:vAlign w:val="center"/>
          </w:tcPr>
          <w:p w14:paraId="75CC2DB4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62.5%</w:t>
            </w:r>
          </w:p>
        </w:tc>
        <w:tc>
          <w:tcPr>
            <w:tcW w:w="675" w:type="pct"/>
            <w:vAlign w:val="center"/>
          </w:tcPr>
          <w:p w14:paraId="3502488E" w14:textId="77777777" w:rsidR="00B658AF" w:rsidRPr="005C6DDE" w:rsidRDefault="00DF26B5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69.5</w:t>
            </w:r>
            <w:r w:rsidR="00B658A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675" w:type="pct"/>
            <w:vAlign w:val="center"/>
          </w:tcPr>
          <w:p w14:paraId="33A6344C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71.4%</w:t>
            </w:r>
          </w:p>
        </w:tc>
      </w:tr>
    </w:tbl>
    <w:p w14:paraId="175C074B" w14:textId="77777777" w:rsidR="006A50F1" w:rsidRPr="0060676C" w:rsidRDefault="006A50F1" w:rsidP="006A50F1">
      <w:pPr>
        <w:spacing w:before="40" w:after="40" w:line="240" w:lineRule="atLeast"/>
        <w:rPr>
          <w:rFonts w:cstheme="minorHAnsi"/>
          <w:bCs/>
          <w:sz w:val="18"/>
          <w:szCs w:val="18"/>
        </w:rPr>
      </w:pPr>
      <w:r w:rsidRPr="0060676C">
        <w:rPr>
          <w:rFonts w:cstheme="minorHAnsi"/>
          <w:bCs/>
          <w:sz w:val="18"/>
          <w:szCs w:val="18"/>
        </w:rPr>
        <w:t xml:space="preserve">Note: </w:t>
      </w:r>
      <w:r>
        <w:rPr>
          <w:rFonts w:cstheme="minorHAnsi"/>
          <w:bCs/>
          <w:sz w:val="18"/>
          <w:szCs w:val="18"/>
        </w:rPr>
        <w:t>Columns may not sum due to rounding.</w:t>
      </w:r>
    </w:p>
    <w:p w14:paraId="4090798D" w14:textId="77777777" w:rsidR="00B76D59" w:rsidRDefault="00840413" w:rsidP="00840413">
      <w:pPr>
        <w:pStyle w:val="Heading2"/>
      </w:pPr>
      <w:bookmarkStart w:id="23" w:name="_Toc21533552"/>
      <w:r>
        <w:t>Overheads</w:t>
      </w:r>
      <w:bookmarkEnd w:id="23"/>
    </w:p>
    <w:p w14:paraId="0193DDA2" w14:textId="665AD80E" w:rsidR="006A50F1" w:rsidRDefault="00D65E52" w:rsidP="008B748E">
      <w:r>
        <w:t xml:space="preserve">The </w:t>
      </w:r>
      <w:r w:rsidR="006A50F1">
        <w:t>CM</w:t>
      </w:r>
      <w:r>
        <w:t xml:space="preserve"> assumes that </w:t>
      </w:r>
      <w:r w:rsidR="006A50F1">
        <w:t xml:space="preserve">corporate </w:t>
      </w:r>
      <w:r>
        <w:t xml:space="preserve">overheads are 10.5% of direct costs (all those </w:t>
      </w:r>
      <w:r w:rsidR="006A50F1">
        <w:t>above).</w:t>
      </w:r>
      <w:r w:rsidR="00B658AF">
        <w:t xml:space="preserve"> </w:t>
      </w:r>
    </w:p>
    <w:p w14:paraId="20AA474D" w14:textId="4F6D3EC2" w:rsidR="006A50F1" w:rsidRDefault="006A50F1" w:rsidP="008B748E">
      <w:r>
        <w:t xml:space="preserve">As </w:t>
      </w:r>
      <w:r>
        <w:fldChar w:fldCharType="begin"/>
      </w:r>
      <w:r>
        <w:instrText xml:space="preserve"> REF _Ref19045240 \h </w:instrText>
      </w:r>
      <w:r>
        <w:fldChar w:fldCharType="separate"/>
      </w:r>
      <w:r w:rsidR="00B658AF" w:rsidRPr="00975FC4">
        <w:t xml:space="preserve">Table </w:t>
      </w:r>
      <w:r w:rsidR="00B658AF">
        <w:rPr>
          <w:noProof/>
        </w:rPr>
        <w:t>8</w:t>
      </w:r>
      <w:r>
        <w:fldChar w:fldCharType="end"/>
      </w:r>
      <w:r>
        <w:t xml:space="preserve"> illustrates, overhead costs together with the costs discussed above increase the costs of employing a permanent Standard DSW on a weekday by 79.6% over the base salary rate. The impact is higher </w:t>
      </w:r>
      <w:r w:rsidR="0043700C">
        <w:t>for a Level 2 (High Intensity) DSW at 87.3% and f</w:t>
      </w:r>
      <w:r>
        <w:t xml:space="preserve">or a Level </w:t>
      </w:r>
      <w:r w:rsidR="0043700C">
        <w:t xml:space="preserve">3 </w:t>
      </w:r>
      <w:r>
        <w:t xml:space="preserve">(Very </w:t>
      </w:r>
      <w:r w:rsidR="0043700C">
        <w:t>H</w:t>
      </w:r>
      <w:r>
        <w:t>igh Intensity) DSW</w:t>
      </w:r>
      <w:r w:rsidR="0043700C">
        <w:t xml:space="preserve"> at 89.4%</w:t>
      </w:r>
      <w:r>
        <w:t>.</w:t>
      </w:r>
    </w:p>
    <w:p w14:paraId="3F7E1856" w14:textId="77777777" w:rsidR="000C7183" w:rsidRDefault="000C7183" w:rsidP="006A50F1">
      <w:pPr>
        <w:pStyle w:val="Caption"/>
      </w:pPr>
      <w:bookmarkStart w:id="24" w:name="_Ref19045240"/>
      <w:r w:rsidRPr="00975FC4">
        <w:t xml:space="preserve">Table </w:t>
      </w:r>
      <w:r w:rsidR="00D6473E">
        <w:fldChar w:fldCharType="begin"/>
      </w:r>
      <w:r w:rsidR="00D6473E">
        <w:instrText xml:space="preserve"> SEQ Table \* ARABIC </w:instrText>
      </w:r>
      <w:r w:rsidR="00D6473E">
        <w:fldChar w:fldCharType="separate"/>
      </w:r>
      <w:r w:rsidR="00B658AF">
        <w:rPr>
          <w:noProof/>
        </w:rPr>
        <w:t>8</w:t>
      </w:r>
      <w:r w:rsidR="00D6473E">
        <w:rPr>
          <w:noProof/>
        </w:rPr>
        <w:fldChar w:fldCharType="end"/>
      </w:r>
      <w:bookmarkEnd w:id="24"/>
      <w:r w:rsidRPr="00975FC4">
        <w:t xml:space="preserve">: </w:t>
      </w:r>
      <w:r>
        <w:t xml:space="preserve">Impact of </w:t>
      </w:r>
      <w:r w:rsidR="006A50F1">
        <w:t>O</w:t>
      </w:r>
      <w:r>
        <w:t xml:space="preserve">verheads </w:t>
      </w:r>
      <w:r w:rsidR="006A50F1">
        <w:t>on the Cost per Billable Hour of a DSW</w:t>
      </w:r>
    </w:p>
    <w:tbl>
      <w:tblPr>
        <w:tblStyle w:val="GridTable4-Accent4"/>
        <w:tblW w:w="5000" w:type="pct"/>
        <w:tblLook w:val="04A0" w:firstRow="1" w:lastRow="0" w:firstColumn="1" w:lastColumn="0" w:noHBand="0" w:noVBand="1"/>
      </w:tblPr>
      <w:tblGrid>
        <w:gridCol w:w="5103"/>
        <w:gridCol w:w="1479"/>
        <w:gridCol w:w="1217"/>
        <w:gridCol w:w="1217"/>
      </w:tblGrid>
      <w:tr w:rsidR="00B658AF" w:rsidRPr="003A3C03" w14:paraId="50E29EAC" w14:textId="77777777" w:rsidTr="00775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hideMark/>
          </w:tcPr>
          <w:p w14:paraId="63786588" w14:textId="77777777" w:rsidR="00B658AF" w:rsidRPr="001A1BE7" w:rsidRDefault="00B658AF" w:rsidP="00B658AF">
            <w:pPr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0" w:type="pct"/>
            <w:hideMark/>
          </w:tcPr>
          <w:p w14:paraId="1CDC031A" w14:textId="77777777" w:rsidR="00B658AF" w:rsidRPr="001A1BE7" w:rsidRDefault="00B658AF" w:rsidP="00B658AF">
            <w:pPr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Level 1</w:t>
            </w:r>
            <w:r>
              <w:rPr>
                <w:rFonts w:cstheme="minorHAnsi"/>
                <w:sz w:val="18"/>
                <w:szCs w:val="18"/>
              </w:rPr>
              <w:br/>
              <w:t>DSW</w:t>
            </w:r>
          </w:p>
        </w:tc>
        <w:tc>
          <w:tcPr>
            <w:tcW w:w="675" w:type="pct"/>
          </w:tcPr>
          <w:p w14:paraId="3F6FB71D" w14:textId="77777777" w:rsidR="00B658AF" w:rsidRPr="001A1BE7" w:rsidRDefault="00B658AF" w:rsidP="00B658AF">
            <w:pPr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  <w:lang w:eastAsia="en-AU"/>
              </w:rPr>
            </w:pPr>
            <w:r>
              <w:rPr>
                <w:rFonts w:cstheme="minorHAnsi"/>
                <w:sz w:val="18"/>
                <w:szCs w:val="18"/>
              </w:rPr>
              <w:t>Level 2 DSW</w:t>
            </w:r>
          </w:p>
        </w:tc>
        <w:tc>
          <w:tcPr>
            <w:tcW w:w="675" w:type="pct"/>
          </w:tcPr>
          <w:p w14:paraId="3BD0B5FE" w14:textId="77777777" w:rsidR="00B658AF" w:rsidRPr="001A1BE7" w:rsidRDefault="00B658AF" w:rsidP="00B658AF">
            <w:pPr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Level 3 DSW</w:t>
            </w:r>
          </w:p>
        </w:tc>
      </w:tr>
      <w:tr w:rsidR="00B658AF" w14:paraId="6D444861" w14:textId="77777777" w:rsidTr="00775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hideMark/>
          </w:tcPr>
          <w:p w14:paraId="20EE1EAD" w14:textId="77777777" w:rsidR="00B658AF" w:rsidRPr="001A1BE7" w:rsidRDefault="00B658AF" w:rsidP="00B658AF">
            <w:pPr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Cumulative cost per hour, before overheads</w:t>
            </w:r>
          </w:p>
        </w:tc>
        <w:tc>
          <w:tcPr>
            <w:tcW w:w="820" w:type="pct"/>
            <w:noWrap/>
            <w:vAlign w:val="center"/>
            <w:hideMark/>
          </w:tcPr>
          <w:p w14:paraId="6A1BA5CB" w14:textId="77777777" w:rsidR="00B658AF" w:rsidRPr="00384F8D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6A50F1">
              <w:rPr>
                <w:rFonts w:cstheme="minorHAnsi"/>
                <w:b/>
                <w:sz w:val="18"/>
                <w:szCs w:val="18"/>
              </w:rPr>
              <w:t>$44.87</w:t>
            </w:r>
          </w:p>
        </w:tc>
        <w:tc>
          <w:tcPr>
            <w:tcW w:w="675" w:type="pct"/>
            <w:vAlign w:val="center"/>
          </w:tcPr>
          <w:p w14:paraId="41B43982" w14:textId="77777777" w:rsidR="00B658AF" w:rsidRPr="00384F8D" w:rsidRDefault="00B658AF" w:rsidP="00DF26B5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6A50F1">
              <w:rPr>
                <w:rFonts w:cstheme="minorHAnsi"/>
                <w:b/>
                <w:sz w:val="18"/>
                <w:szCs w:val="18"/>
              </w:rPr>
              <w:t>$</w:t>
            </w:r>
            <w:r w:rsidR="00DF26B5">
              <w:rPr>
                <w:rFonts w:cstheme="minorHAnsi"/>
                <w:b/>
                <w:sz w:val="18"/>
                <w:szCs w:val="18"/>
              </w:rPr>
              <w:t>48.53</w:t>
            </w:r>
          </w:p>
        </w:tc>
        <w:tc>
          <w:tcPr>
            <w:tcW w:w="675" w:type="pct"/>
            <w:vAlign w:val="center"/>
          </w:tcPr>
          <w:p w14:paraId="3A0F051F" w14:textId="77777777" w:rsidR="00B658AF" w:rsidRPr="00384F8D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6A50F1">
              <w:rPr>
                <w:rFonts w:cstheme="minorHAnsi"/>
                <w:b/>
                <w:sz w:val="18"/>
                <w:szCs w:val="18"/>
              </w:rPr>
              <w:t>$50.97</w:t>
            </w:r>
          </w:p>
        </w:tc>
      </w:tr>
      <w:tr w:rsidR="00B658AF" w:rsidRPr="00CD68BE" w14:paraId="0C89E3AE" w14:textId="77777777" w:rsidTr="007751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hideMark/>
          </w:tcPr>
          <w:p w14:paraId="6F99B46F" w14:textId="77777777" w:rsidR="00B658AF" w:rsidRPr="00CD68BE" w:rsidRDefault="00B658AF" w:rsidP="00B658AF">
            <w:pPr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Overhead</w:t>
            </w:r>
          </w:p>
        </w:tc>
        <w:tc>
          <w:tcPr>
            <w:tcW w:w="820" w:type="pct"/>
            <w:noWrap/>
          </w:tcPr>
          <w:p w14:paraId="76AC089F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14:paraId="40D3B72B" w14:textId="77777777" w:rsidR="00B658AF" w:rsidRPr="00384F8D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14:paraId="1526CCC2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B658AF" w:rsidRPr="00CD68BE" w14:paraId="43F956BE" w14:textId="77777777" w:rsidTr="00775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20F03C57" w14:textId="77777777" w:rsidR="00B658AF" w:rsidRPr="00CD68BE" w:rsidRDefault="00B658AF" w:rsidP="00B658AF">
            <w:pPr>
              <w:spacing w:before="40" w:after="40" w:line="240" w:lineRule="atLeast"/>
              <w:ind w:left="593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Overheads as a share of direct costs (%)</w:t>
            </w:r>
          </w:p>
        </w:tc>
        <w:tc>
          <w:tcPr>
            <w:tcW w:w="820" w:type="pct"/>
            <w:noWrap/>
            <w:vAlign w:val="center"/>
          </w:tcPr>
          <w:p w14:paraId="3B479CF0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10.5%</w:t>
            </w:r>
          </w:p>
        </w:tc>
        <w:tc>
          <w:tcPr>
            <w:tcW w:w="675" w:type="pct"/>
            <w:vAlign w:val="center"/>
          </w:tcPr>
          <w:p w14:paraId="455C7A08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10.5%</w:t>
            </w:r>
          </w:p>
        </w:tc>
        <w:tc>
          <w:tcPr>
            <w:tcW w:w="675" w:type="pct"/>
            <w:vAlign w:val="center"/>
          </w:tcPr>
          <w:p w14:paraId="07C24C64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10.5%</w:t>
            </w:r>
          </w:p>
        </w:tc>
      </w:tr>
      <w:tr w:rsidR="00B658AF" w14:paraId="7D289321" w14:textId="77777777" w:rsidTr="007751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4F819CA0" w14:textId="77777777" w:rsidR="00B658AF" w:rsidRPr="00CD68BE" w:rsidRDefault="00B658AF" w:rsidP="00B658AF">
            <w:pPr>
              <w:spacing w:before="40" w:after="40" w:line="240" w:lineRule="atLeast"/>
              <w:ind w:left="593"/>
              <w:jc w:val="left"/>
              <w:rPr>
                <w:rFonts w:cstheme="minorHAnsi"/>
                <w:sz w:val="18"/>
                <w:szCs w:val="18"/>
              </w:rPr>
            </w:pPr>
            <w:r w:rsidRPr="00CD68BE">
              <w:rPr>
                <w:rFonts w:cstheme="minorHAnsi"/>
                <w:sz w:val="18"/>
                <w:szCs w:val="18"/>
              </w:rPr>
              <w:t xml:space="preserve">Cost of </w:t>
            </w:r>
            <w:r>
              <w:rPr>
                <w:rFonts w:cstheme="minorHAnsi"/>
                <w:sz w:val="18"/>
                <w:szCs w:val="18"/>
              </w:rPr>
              <w:t xml:space="preserve">overheads </w:t>
            </w:r>
            <w:r w:rsidRPr="00CD68BE">
              <w:rPr>
                <w:rFonts w:cstheme="minorHAnsi"/>
                <w:sz w:val="18"/>
                <w:szCs w:val="18"/>
              </w:rPr>
              <w:t>($)</w:t>
            </w:r>
          </w:p>
        </w:tc>
        <w:tc>
          <w:tcPr>
            <w:tcW w:w="820" w:type="pct"/>
            <w:noWrap/>
            <w:vAlign w:val="center"/>
          </w:tcPr>
          <w:p w14:paraId="3A628BA7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$4.71</w:t>
            </w:r>
          </w:p>
        </w:tc>
        <w:tc>
          <w:tcPr>
            <w:tcW w:w="675" w:type="pct"/>
            <w:vAlign w:val="center"/>
          </w:tcPr>
          <w:p w14:paraId="7194643A" w14:textId="77777777" w:rsidR="00B658AF" w:rsidRPr="005C6DDE" w:rsidRDefault="00B658AF" w:rsidP="00DF26B5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$5.0</w:t>
            </w:r>
            <w:r w:rsidR="00DF26B5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675" w:type="pct"/>
            <w:vAlign w:val="center"/>
          </w:tcPr>
          <w:p w14:paraId="64D5E7C0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$5.35</w:t>
            </w:r>
          </w:p>
        </w:tc>
      </w:tr>
      <w:tr w:rsidR="00B658AF" w:rsidRPr="006A50F1" w14:paraId="48DCB1DF" w14:textId="77777777" w:rsidTr="00775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18A145C9" w14:textId="77777777" w:rsidR="00B658AF" w:rsidRPr="006A50F1" w:rsidRDefault="00B658AF" w:rsidP="00B658AF">
            <w:pPr>
              <w:spacing w:before="40" w:after="40" w:line="240" w:lineRule="atLeast"/>
              <w:jc w:val="left"/>
              <w:rPr>
                <w:rFonts w:cstheme="minorHAnsi"/>
                <w:sz w:val="18"/>
                <w:szCs w:val="18"/>
              </w:rPr>
            </w:pPr>
            <w:r w:rsidRPr="006A50F1">
              <w:rPr>
                <w:rFonts w:cstheme="minorHAnsi"/>
                <w:sz w:val="18"/>
                <w:szCs w:val="18"/>
              </w:rPr>
              <w:t>Cumulative cost per hour, after overheads</w:t>
            </w:r>
          </w:p>
        </w:tc>
        <w:tc>
          <w:tcPr>
            <w:tcW w:w="820" w:type="pct"/>
            <w:noWrap/>
            <w:vAlign w:val="center"/>
          </w:tcPr>
          <w:p w14:paraId="7DFEFFF7" w14:textId="77777777" w:rsidR="00B658AF" w:rsidRPr="006A50F1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6A50F1">
              <w:rPr>
                <w:rFonts w:cstheme="minorHAnsi"/>
                <w:b/>
                <w:sz w:val="18"/>
                <w:szCs w:val="18"/>
              </w:rPr>
              <w:t>$49.58</w:t>
            </w:r>
          </w:p>
        </w:tc>
        <w:tc>
          <w:tcPr>
            <w:tcW w:w="675" w:type="pct"/>
            <w:vAlign w:val="center"/>
          </w:tcPr>
          <w:p w14:paraId="3AAE9FAA" w14:textId="77777777" w:rsidR="00B658AF" w:rsidRPr="006A50F1" w:rsidRDefault="00DF26B5" w:rsidP="00DF26B5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$53.62</w:t>
            </w:r>
          </w:p>
        </w:tc>
        <w:tc>
          <w:tcPr>
            <w:tcW w:w="675" w:type="pct"/>
            <w:vAlign w:val="center"/>
          </w:tcPr>
          <w:p w14:paraId="58301D30" w14:textId="77777777" w:rsidR="00B658AF" w:rsidRPr="006A50F1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6A50F1">
              <w:rPr>
                <w:rFonts w:cstheme="minorHAnsi"/>
                <w:b/>
                <w:sz w:val="18"/>
                <w:szCs w:val="18"/>
              </w:rPr>
              <w:t>$56.32</w:t>
            </w:r>
          </w:p>
        </w:tc>
      </w:tr>
      <w:tr w:rsidR="00B658AF" w14:paraId="53809AC7" w14:textId="77777777" w:rsidTr="007751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55A0A661" w14:textId="77777777" w:rsidR="00B658AF" w:rsidRPr="005C6DDE" w:rsidRDefault="00B658AF" w:rsidP="00B658AF">
            <w:pPr>
              <w:spacing w:before="40" w:after="40" w:line="240" w:lineRule="atLeast"/>
              <w:jc w:val="left"/>
              <w:rPr>
                <w:rFonts w:cstheme="minorHAnsi"/>
                <w:b w:val="0"/>
                <w:sz w:val="18"/>
                <w:szCs w:val="18"/>
              </w:rPr>
            </w:pPr>
            <w:r w:rsidRPr="005C6DDE">
              <w:rPr>
                <w:rFonts w:cstheme="minorHAnsi"/>
                <w:b w:val="0"/>
                <w:sz w:val="18"/>
                <w:szCs w:val="18"/>
              </w:rPr>
              <w:t xml:space="preserve">Cumulative </w:t>
            </w:r>
            <w:r>
              <w:rPr>
                <w:rFonts w:cstheme="minorHAnsi"/>
                <w:b w:val="0"/>
                <w:sz w:val="18"/>
                <w:szCs w:val="18"/>
              </w:rPr>
              <w:t>i</w:t>
            </w:r>
            <w:r w:rsidRPr="001A1BE7">
              <w:rPr>
                <w:rFonts w:cstheme="minorHAnsi"/>
                <w:b w:val="0"/>
                <w:sz w:val="18"/>
                <w:szCs w:val="18"/>
              </w:rPr>
              <w:t xml:space="preserve">ncrease from </w:t>
            </w:r>
            <w:r>
              <w:rPr>
                <w:rFonts w:cstheme="minorHAnsi"/>
                <w:b w:val="0"/>
                <w:sz w:val="18"/>
                <w:szCs w:val="18"/>
              </w:rPr>
              <w:t>permanent standard hourly rate</w:t>
            </w:r>
          </w:p>
        </w:tc>
        <w:tc>
          <w:tcPr>
            <w:tcW w:w="820" w:type="pct"/>
            <w:noWrap/>
            <w:vAlign w:val="center"/>
          </w:tcPr>
          <w:p w14:paraId="0F1BC66F" w14:textId="77777777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79.6%</w:t>
            </w:r>
          </w:p>
        </w:tc>
        <w:tc>
          <w:tcPr>
            <w:tcW w:w="675" w:type="pct"/>
            <w:vAlign w:val="center"/>
          </w:tcPr>
          <w:p w14:paraId="37985915" w14:textId="77777777" w:rsidR="00B658AF" w:rsidRPr="005C6DDE" w:rsidRDefault="00B658AF" w:rsidP="00DF26B5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DF26B5">
              <w:rPr>
                <w:rFonts w:cstheme="minorHAnsi"/>
                <w:sz w:val="18"/>
                <w:szCs w:val="18"/>
              </w:rPr>
              <w:t>7.3</w:t>
            </w:r>
            <w:r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675" w:type="pct"/>
            <w:vAlign w:val="center"/>
          </w:tcPr>
          <w:p w14:paraId="6A9E3C6A" w14:textId="2D0D691A" w:rsidR="00B658AF" w:rsidRPr="005C6DD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89.</w:t>
            </w:r>
            <w:r w:rsidR="0043700C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>%</w:t>
            </w:r>
          </w:p>
        </w:tc>
      </w:tr>
    </w:tbl>
    <w:p w14:paraId="07BEB032" w14:textId="77777777" w:rsidR="006A50F1" w:rsidRPr="0060676C" w:rsidRDefault="006A50F1" w:rsidP="006A50F1">
      <w:pPr>
        <w:spacing w:before="40" w:after="40" w:line="240" w:lineRule="atLeast"/>
        <w:rPr>
          <w:rFonts w:cstheme="minorHAnsi"/>
          <w:bCs/>
          <w:sz w:val="18"/>
          <w:szCs w:val="18"/>
        </w:rPr>
      </w:pPr>
      <w:r w:rsidRPr="0060676C">
        <w:rPr>
          <w:rFonts w:cstheme="minorHAnsi"/>
          <w:bCs/>
          <w:sz w:val="18"/>
          <w:szCs w:val="18"/>
        </w:rPr>
        <w:t xml:space="preserve">Note: </w:t>
      </w:r>
      <w:r>
        <w:rPr>
          <w:rFonts w:cstheme="minorHAnsi"/>
          <w:bCs/>
          <w:sz w:val="18"/>
          <w:szCs w:val="18"/>
        </w:rPr>
        <w:t>Columns may not sum due to rounding.</w:t>
      </w:r>
    </w:p>
    <w:p w14:paraId="397A10DB" w14:textId="77777777" w:rsidR="00840413" w:rsidRDefault="00BA539B" w:rsidP="00BA539B">
      <w:pPr>
        <w:pStyle w:val="Heading2"/>
      </w:pPr>
      <w:bookmarkStart w:id="25" w:name="_Toc21533553"/>
      <w:r>
        <w:lastRenderedPageBreak/>
        <w:t>Margin</w:t>
      </w:r>
      <w:r w:rsidR="00211A14">
        <w:t>s</w:t>
      </w:r>
      <w:bookmarkEnd w:id="25"/>
    </w:p>
    <w:p w14:paraId="1AE57F39" w14:textId="1BB028BD" w:rsidR="008B748E" w:rsidRDefault="00373C5D" w:rsidP="00B227D9">
      <w:r>
        <w:t xml:space="preserve">The </w:t>
      </w:r>
      <w:r w:rsidR="00E41E33">
        <w:t>CM</w:t>
      </w:r>
      <w:r>
        <w:t xml:space="preserve"> currently assumes a 2% </w:t>
      </w:r>
      <w:r w:rsidR="00E41E33">
        <w:t xml:space="preserve">margin on other costs. This equates to </w:t>
      </w:r>
      <w:r>
        <w:t xml:space="preserve">a rate of return of 8% against </w:t>
      </w:r>
      <w:r w:rsidR="00E41E33">
        <w:t>working capital equivalent to three month’s</w:t>
      </w:r>
      <w:r>
        <w:t xml:space="preserve"> wages</w:t>
      </w:r>
      <w:r w:rsidR="00E41E33">
        <w:t xml:space="preserve"> and entitlements</w:t>
      </w:r>
      <w:r>
        <w:t>.</w:t>
      </w:r>
      <w:r w:rsidR="009C5501">
        <w:t xml:space="preserve"> </w:t>
      </w:r>
    </w:p>
    <w:p w14:paraId="714E6321" w14:textId="2CAB7F2F" w:rsidR="003C074F" w:rsidRDefault="003C074F" w:rsidP="00B227D9">
      <w:r>
        <w:t xml:space="preserve">As </w:t>
      </w:r>
      <w:r>
        <w:fldChar w:fldCharType="begin"/>
      </w:r>
      <w:r>
        <w:instrText xml:space="preserve"> REF _Ref19047348 \h </w:instrText>
      </w:r>
      <w:r>
        <w:fldChar w:fldCharType="separate"/>
      </w:r>
      <w:r w:rsidRPr="00975FC4">
        <w:t xml:space="preserve">Table </w:t>
      </w:r>
      <w:r>
        <w:rPr>
          <w:noProof/>
        </w:rPr>
        <w:t>9</w:t>
      </w:r>
      <w:r>
        <w:fldChar w:fldCharType="end"/>
      </w:r>
      <w:r>
        <w:t xml:space="preserve"> illustrates, margin costs together with the costs discussed above increase the costs of employing a permanent Standard DSW on a weekday by 83.2% over the base salary rate. The impact is higher </w:t>
      </w:r>
      <w:r w:rsidR="0043700C">
        <w:t>for a Level 2 (High Intensity) DSW at 91.0% and f</w:t>
      </w:r>
      <w:r>
        <w:t xml:space="preserve">or a Level </w:t>
      </w:r>
      <w:r w:rsidR="0043700C">
        <w:t>3</w:t>
      </w:r>
      <w:r>
        <w:t xml:space="preserve"> (Very </w:t>
      </w:r>
      <w:r w:rsidR="0043700C">
        <w:t>H</w:t>
      </w:r>
      <w:r>
        <w:t>igh Intensity) DSW</w:t>
      </w:r>
      <w:r w:rsidR="0043700C">
        <w:t xml:space="preserve"> at 93.2%</w:t>
      </w:r>
      <w:r>
        <w:t>.</w:t>
      </w:r>
    </w:p>
    <w:p w14:paraId="673DD662" w14:textId="77777777" w:rsidR="00B658AF" w:rsidRDefault="000C7183" w:rsidP="00B658AF">
      <w:pPr>
        <w:pStyle w:val="Caption"/>
      </w:pPr>
      <w:bookmarkStart w:id="26" w:name="_Ref19047348"/>
      <w:r w:rsidRPr="00975FC4">
        <w:t xml:space="preserve">Table </w:t>
      </w:r>
      <w:r w:rsidR="00D6473E">
        <w:fldChar w:fldCharType="begin"/>
      </w:r>
      <w:r w:rsidR="00D6473E">
        <w:instrText xml:space="preserve"> SEQ Table \* A</w:instrText>
      </w:r>
      <w:r w:rsidR="00D6473E">
        <w:instrText xml:space="preserve">RABIC </w:instrText>
      </w:r>
      <w:r w:rsidR="00D6473E">
        <w:fldChar w:fldCharType="separate"/>
      </w:r>
      <w:r w:rsidR="00B658AF">
        <w:rPr>
          <w:noProof/>
        </w:rPr>
        <w:t>9</w:t>
      </w:r>
      <w:r w:rsidR="00D6473E">
        <w:rPr>
          <w:noProof/>
        </w:rPr>
        <w:fldChar w:fldCharType="end"/>
      </w:r>
      <w:bookmarkEnd w:id="26"/>
      <w:r w:rsidRPr="00975FC4">
        <w:t xml:space="preserve">: </w:t>
      </w:r>
      <w:r w:rsidR="00B658AF">
        <w:t>Impact of M</w:t>
      </w:r>
      <w:r>
        <w:t xml:space="preserve">argins </w:t>
      </w:r>
      <w:r w:rsidR="00B658AF">
        <w:t>on the Cost per Billable Hour of a DSW</w:t>
      </w:r>
    </w:p>
    <w:tbl>
      <w:tblPr>
        <w:tblStyle w:val="GridTable4-Accent4"/>
        <w:tblW w:w="5000" w:type="pct"/>
        <w:tblLook w:val="04A0" w:firstRow="1" w:lastRow="0" w:firstColumn="1" w:lastColumn="0" w:noHBand="0" w:noVBand="1"/>
      </w:tblPr>
      <w:tblGrid>
        <w:gridCol w:w="5103"/>
        <w:gridCol w:w="1479"/>
        <w:gridCol w:w="1217"/>
        <w:gridCol w:w="1217"/>
      </w:tblGrid>
      <w:tr w:rsidR="00B658AF" w:rsidRPr="003A3C03" w14:paraId="5CFA19CC" w14:textId="77777777" w:rsidTr="00775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hideMark/>
          </w:tcPr>
          <w:p w14:paraId="4A564EEF" w14:textId="77777777" w:rsidR="00B658AF" w:rsidRPr="001A1BE7" w:rsidRDefault="00B658AF" w:rsidP="00B658AF">
            <w:pPr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0" w:type="pct"/>
            <w:hideMark/>
          </w:tcPr>
          <w:p w14:paraId="6C1EFECA" w14:textId="77777777" w:rsidR="00B658AF" w:rsidRPr="001A1BE7" w:rsidRDefault="00B658AF" w:rsidP="00B658AF">
            <w:pPr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Level 1</w:t>
            </w:r>
            <w:r>
              <w:rPr>
                <w:rFonts w:cstheme="minorHAnsi"/>
                <w:sz w:val="18"/>
                <w:szCs w:val="18"/>
              </w:rPr>
              <w:br/>
              <w:t>DSW</w:t>
            </w:r>
          </w:p>
        </w:tc>
        <w:tc>
          <w:tcPr>
            <w:tcW w:w="675" w:type="pct"/>
          </w:tcPr>
          <w:p w14:paraId="7C216EA9" w14:textId="77777777" w:rsidR="00B658AF" w:rsidRPr="001A1BE7" w:rsidRDefault="00B658AF" w:rsidP="00B658AF">
            <w:pPr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  <w:lang w:eastAsia="en-AU"/>
              </w:rPr>
            </w:pPr>
            <w:r>
              <w:rPr>
                <w:rFonts w:cstheme="minorHAnsi"/>
                <w:sz w:val="18"/>
                <w:szCs w:val="18"/>
              </w:rPr>
              <w:t>Level 2 DSW</w:t>
            </w:r>
          </w:p>
        </w:tc>
        <w:tc>
          <w:tcPr>
            <w:tcW w:w="675" w:type="pct"/>
          </w:tcPr>
          <w:p w14:paraId="299F3D29" w14:textId="77777777" w:rsidR="00B658AF" w:rsidRPr="001A1BE7" w:rsidRDefault="00B658AF" w:rsidP="00B658AF">
            <w:pPr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Level 3 DSW</w:t>
            </w:r>
          </w:p>
        </w:tc>
      </w:tr>
      <w:tr w:rsidR="00B658AF" w14:paraId="4D0EA9C0" w14:textId="77777777" w:rsidTr="00775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hideMark/>
          </w:tcPr>
          <w:p w14:paraId="01BC8107" w14:textId="77777777" w:rsidR="00B658AF" w:rsidRPr="001A1BE7" w:rsidRDefault="00B658AF" w:rsidP="00B658AF">
            <w:pPr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Cumulative cost per hour, before margin</w:t>
            </w:r>
          </w:p>
        </w:tc>
        <w:tc>
          <w:tcPr>
            <w:tcW w:w="820" w:type="pct"/>
            <w:noWrap/>
            <w:vAlign w:val="center"/>
            <w:hideMark/>
          </w:tcPr>
          <w:p w14:paraId="37AE9BD2" w14:textId="77777777" w:rsidR="00B658AF" w:rsidRPr="00384F8D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6A50F1">
              <w:rPr>
                <w:rFonts w:cstheme="minorHAnsi"/>
                <w:b/>
                <w:sz w:val="18"/>
                <w:szCs w:val="18"/>
              </w:rPr>
              <w:t>$49.58</w:t>
            </w:r>
          </w:p>
        </w:tc>
        <w:tc>
          <w:tcPr>
            <w:tcW w:w="675" w:type="pct"/>
            <w:vAlign w:val="center"/>
          </w:tcPr>
          <w:p w14:paraId="409C9C8F" w14:textId="77777777" w:rsidR="00B658AF" w:rsidRPr="00384F8D" w:rsidRDefault="00B658AF" w:rsidP="002975F5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6A50F1">
              <w:rPr>
                <w:rFonts w:cstheme="minorHAnsi"/>
                <w:b/>
                <w:sz w:val="18"/>
                <w:szCs w:val="18"/>
              </w:rPr>
              <w:t>$5</w:t>
            </w:r>
            <w:r w:rsidR="002975F5">
              <w:rPr>
                <w:rFonts w:cstheme="minorHAnsi"/>
                <w:b/>
                <w:sz w:val="18"/>
                <w:szCs w:val="18"/>
              </w:rPr>
              <w:t>3.62</w:t>
            </w:r>
          </w:p>
        </w:tc>
        <w:tc>
          <w:tcPr>
            <w:tcW w:w="675" w:type="pct"/>
            <w:vAlign w:val="center"/>
          </w:tcPr>
          <w:p w14:paraId="532EFF8D" w14:textId="77777777" w:rsidR="00B658AF" w:rsidRPr="00384F8D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6A50F1">
              <w:rPr>
                <w:rFonts w:cstheme="minorHAnsi"/>
                <w:b/>
                <w:sz w:val="18"/>
                <w:szCs w:val="18"/>
              </w:rPr>
              <w:t>$56.32</w:t>
            </w:r>
          </w:p>
        </w:tc>
      </w:tr>
      <w:tr w:rsidR="00B658AF" w:rsidRPr="00CD68BE" w14:paraId="0D28CF3A" w14:textId="77777777" w:rsidTr="007751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hideMark/>
          </w:tcPr>
          <w:p w14:paraId="4693094F" w14:textId="77777777" w:rsidR="00B658AF" w:rsidRPr="00CD68BE" w:rsidRDefault="00B658AF" w:rsidP="00B658AF">
            <w:pPr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Margin</w:t>
            </w:r>
          </w:p>
        </w:tc>
        <w:tc>
          <w:tcPr>
            <w:tcW w:w="820" w:type="pct"/>
            <w:noWrap/>
          </w:tcPr>
          <w:p w14:paraId="11D8FE62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14:paraId="4CA3B18B" w14:textId="77777777" w:rsidR="00B658AF" w:rsidRPr="00384F8D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</w:tcPr>
          <w:p w14:paraId="3EDF0753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B658AF" w:rsidRPr="00CD68BE" w14:paraId="04758C83" w14:textId="77777777" w:rsidTr="00775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71A28FE7" w14:textId="77777777" w:rsidR="00B658AF" w:rsidRPr="00CD68BE" w:rsidRDefault="00B658AF" w:rsidP="00B658AF">
            <w:pPr>
              <w:spacing w:before="40" w:after="40" w:line="240" w:lineRule="atLeast"/>
              <w:ind w:left="593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Margin as a share of other costs (%)</w:t>
            </w:r>
          </w:p>
        </w:tc>
        <w:tc>
          <w:tcPr>
            <w:tcW w:w="820" w:type="pct"/>
            <w:noWrap/>
            <w:vAlign w:val="center"/>
          </w:tcPr>
          <w:p w14:paraId="047774BA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2.0%</w:t>
            </w:r>
          </w:p>
        </w:tc>
        <w:tc>
          <w:tcPr>
            <w:tcW w:w="675" w:type="pct"/>
            <w:vAlign w:val="center"/>
          </w:tcPr>
          <w:p w14:paraId="75C5B4F2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2.0%</w:t>
            </w:r>
          </w:p>
        </w:tc>
        <w:tc>
          <w:tcPr>
            <w:tcW w:w="675" w:type="pct"/>
            <w:vAlign w:val="center"/>
          </w:tcPr>
          <w:p w14:paraId="3CBB9CA7" w14:textId="77777777" w:rsidR="00B658AF" w:rsidRPr="00CD68BE" w:rsidRDefault="00B658AF" w:rsidP="00B658A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2.0%</w:t>
            </w:r>
          </w:p>
        </w:tc>
      </w:tr>
      <w:tr w:rsidR="00B658AF" w14:paraId="53BA815B" w14:textId="77777777" w:rsidTr="007751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2C9C28E6" w14:textId="77777777" w:rsidR="00B658AF" w:rsidRPr="00CD68BE" w:rsidRDefault="00B658AF" w:rsidP="00B658AF">
            <w:pPr>
              <w:spacing w:before="40" w:after="40" w:line="240" w:lineRule="atLeast"/>
              <w:ind w:left="593"/>
              <w:jc w:val="left"/>
              <w:rPr>
                <w:rFonts w:cstheme="minorHAnsi"/>
                <w:sz w:val="18"/>
                <w:szCs w:val="18"/>
              </w:rPr>
            </w:pPr>
            <w:r w:rsidRPr="00CD68BE">
              <w:rPr>
                <w:rFonts w:cstheme="minorHAnsi"/>
                <w:sz w:val="18"/>
                <w:szCs w:val="18"/>
              </w:rPr>
              <w:t xml:space="preserve">Cost of </w:t>
            </w:r>
            <w:r>
              <w:rPr>
                <w:rFonts w:cstheme="minorHAnsi"/>
                <w:sz w:val="18"/>
                <w:szCs w:val="18"/>
              </w:rPr>
              <w:t xml:space="preserve">margin </w:t>
            </w:r>
            <w:r w:rsidRPr="00CD68BE">
              <w:rPr>
                <w:rFonts w:cstheme="minorHAnsi"/>
                <w:sz w:val="18"/>
                <w:szCs w:val="18"/>
              </w:rPr>
              <w:t>($)</w:t>
            </w:r>
          </w:p>
        </w:tc>
        <w:tc>
          <w:tcPr>
            <w:tcW w:w="820" w:type="pct"/>
            <w:noWrap/>
            <w:vAlign w:val="center"/>
          </w:tcPr>
          <w:p w14:paraId="7DD9D8F1" w14:textId="77777777" w:rsidR="00B658AF" w:rsidRPr="005C6DDE" w:rsidRDefault="00B658AF" w:rsidP="003C074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</w:t>
            </w:r>
            <w:r w:rsidR="003C074F">
              <w:rPr>
                <w:rFonts w:cstheme="minorHAnsi"/>
                <w:sz w:val="18"/>
                <w:szCs w:val="18"/>
              </w:rPr>
              <w:t>0.99</w:t>
            </w:r>
          </w:p>
        </w:tc>
        <w:tc>
          <w:tcPr>
            <w:tcW w:w="675" w:type="pct"/>
            <w:vAlign w:val="center"/>
          </w:tcPr>
          <w:p w14:paraId="29648A24" w14:textId="77777777" w:rsidR="00B658AF" w:rsidRPr="005C6DDE" w:rsidRDefault="00B658AF" w:rsidP="003C074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</w:t>
            </w:r>
            <w:r w:rsidR="002975F5">
              <w:rPr>
                <w:rFonts w:cstheme="minorHAnsi"/>
                <w:sz w:val="18"/>
                <w:szCs w:val="18"/>
              </w:rPr>
              <w:t>1.07</w:t>
            </w:r>
          </w:p>
        </w:tc>
        <w:tc>
          <w:tcPr>
            <w:tcW w:w="675" w:type="pct"/>
            <w:vAlign w:val="center"/>
          </w:tcPr>
          <w:p w14:paraId="111452D5" w14:textId="77777777" w:rsidR="00B658AF" w:rsidRPr="005C6DDE" w:rsidRDefault="00B658AF" w:rsidP="003C074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$</w:t>
            </w:r>
            <w:r w:rsidR="003C074F">
              <w:rPr>
                <w:rFonts w:cstheme="minorHAnsi"/>
                <w:sz w:val="18"/>
                <w:szCs w:val="18"/>
              </w:rPr>
              <w:t>1.13</w:t>
            </w:r>
          </w:p>
        </w:tc>
      </w:tr>
      <w:tr w:rsidR="00B658AF" w:rsidRPr="006A50F1" w14:paraId="20695229" w14:textId="77777777" w:rsidTr="007751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350160F1" w14:textId="77777777" w:rsidR="00B658AF" w:rsidRPr="006A50F1" w:rsidRDefault="00B658AF" w:rsidP="00B658AF">
            <w:pPr>
              <w:spacing w:before="40" w:after="40" w:line="240" w:lineRule="atLeast"/>
              <w:jc w:val="left"/>
              <w:rPr>
                <w:rFonts w:cstheme="minorHAnsi"/>
                <w:sz w:val="18"/>
                <w:szCs w:val="18"/>
              </w:rPr>
            </w:pPr>
            <w:r w:rsidRPr="006A50F1">
              <w:rPr>
                <w:rFonts w:cstheme="minorHAnsi"/>
                <w:sz w:val="18"/>
                <w:szCs w:val="18"/>
              </w:rPr>
              <w:t xml:space="preserve">Cumulative cost per hour, after </w:t>
            </w:r>
            <w:r>
              <w:rPr>
                <w:rFonts w:cstheme="minorHAnsi"/>
                <w:sz w:val="18"/>
                <w:szCs w:val="18"/>
              </w:rPr>
              <w:t>margin</w:t>
            </w:r>
          </w:p>
        </w:tc>
        <w:tc>
          <w:tcPr>
            <w:tcW w:w="820" w:type="pct"/>
            <w:noWrap/>
            <w:vAlign w:val="center"/>
          </w:tcPr>
          <w:p w14:paraId="10F0D213" w14:textId="77777777" w:rsidR="00B658AF" w:rsidRPr="006A50F1" w:rsidRDefault="00B658AF" w:rsidP="003C074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6A50F1">
              <w:rPr>
                <w:rFonts w:cstheme="minorHAnsi"/>
                <w:b/>
                <w:sz w:val="18"/>
                <w:szCs w:val="18"/>
              </w:rPr>
              <w:t>$</w:t>
            </w:r>
            <w:r w:rsidR="003C074F">
              <w:rPr>
                <w:rFonts w:cstheme="minorHAnsi"/>
                <w:b/>
                <w:sz w:val="18"/>
                <w:szCs w:val="18"/>
              </w:rPr>
              <w:t>50.57</w:t>
            </w:r>
          </w:p>
        </w:tc>
        <w:tc>
          <w:tcPr>
            <w:tcW w:w="675" w:type="pct"/>
            <w:vAlign w:val="center"/>
          </w:tcPr>
          <w:p w14:paraId="01B7D230" w14:textId="77777777" w:rsidR="00B658AF" w:rsidRPr="006A50F1" w:rsidRDefault="00B658AF" w:rsidP="002975F5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6A50F1">
              <w:rPr>
                <w:rFonts w:cstheme="minorHAnsi"/>
                <w:b/>
                <w:sz w:val="18"/>
                <w:szCs w:val="18"/>
              </w:rPr>
              <w:t>$</w:t>
            </w:r>
            <w:r w:rsidR="003C074F">
              <w:rPr>
                <w:rFonts w:cstheme="minorHAnsi"/>
                <w:b/>
                <w:sz w:val="18"/>
                <w:szCs w:val="18"/>
              </w:rPr>
              <w:t>54.</w:t>
            </w:r>
            <w:r w:rsidR="002975F5">
              <w:rPr>
                <w:rFonts w:cstheme="minorHAnsi"/>
                <w:b/>
                <w:sz w:val="18"/>
                <w:szCs w:val="18"/>
              </w:rPr>
              <w:t>69</w:t>
            </w:r>
          </w:p>
        </w:tc>
        <w:tc>
          <w:tcPr>
            <w:tcW w:w="675" w:type="pct"/>
            <w:vAlign w:val="center"/>
          </w:tcPr>
          <w:p w14:paraId="04072028" w14:textId="77777777" w:rsidR="00B658AF" w:rsidRPr="006A50F1" w:rsidRDefault="00B658AF" w:rsidP="003C074F">
            <w:pPr>
              <w:spacing w:before="40" w:after="40" w:line="240" w:lineRule="atLeast"/>
              <w:ind w:right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 w:rsidRPr="006A50F1">
              <w:rPr>
                <w:rFonts w:cstheme="minorHAnsi"/>
                <w:b/>
                <w:sz w:val="18"/>
                <w:szCs w:val="18"/>
              </w:rPr>
              <w:t>$</w:t>
            </w:r>
            <w:r w:rsidR="003C074F">
              <w:rPr>
                <w:rFonts w:cstheme="minorHAnsi"/>
                <w:b/>
                <w:sz w:val="18"/>
                <w:szCs w:val="18"/>
              </w:rPr>
              <w:t>57.45</w:t>
            </w:r>
          </w:p>
        </w:tc>
      </w:tr>
      <w:tr w:rsidR="00B658AF" w14:paraId="69B6940E" w14:textId="77777777" w:rsidTr="007751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pct"/>
            <w:vAlign w:val="center"/>
          </w:tcPr>
          <w:p w14:paraId="0381BF23" w14:textId="77777777" w:rsidR="00B658AF" w:rsidRPr="005C6DDE" w:rsidRDefault="00B658AF" w:rsidP="00B658AF">
            <w:pPr>
              <w:spacing w:before="40" w:after="40" w:line="240" w:lineRule="atLeast"/>
              <w:jc w:val="left"/>
              <w:rPr>
                <w:rFonts w:cstheme="minorHAnsi"/>
                <w:b w:val="0"/>
                <w:sz w:val="18"/>
                <w:szCs w:val="18"/>
              </w:rPr>
            </w:pPr>
            <w:r w:rsidRPr="005C6DDE">
              <w:rPr>
                <w:rFonts w:cstheme="minorHAnsi"/>
                <w:b w:val="0"/>
                <w:sz w:val="18"/>
                <w:szCs w:val="18"/>
              </w:rPr>
              <w:t xml:space="preserve">Cumulative </w:t>
            </w:r>
            <w:r>
              <w:rPr>
                <w:rFonts w:cstheme="minorHAnsi"/>
                <w:b w:val="0"/>
                <w:sz w:val="18"/>
                <w:szCs w:val="18"/>
              </w:rPr>
              <w:t>i</w:t>
            </w:r>
            <w:r w:rsidRPr="001A1BE7">
              <w:rPr>
                <w:rFonts w:cstheme="minorHAnsi"/>
                <w:b w:val="0"/>
                <w:sz w:val="18"/>
                <w:szCs w:val="18"/>
              </w:rPr>
              <w:t xml:space="preserve">ncrease from </w:t>
            </w:r>
            <w:r>
              <w:rPr>
                <w:rFonts w:cstheme="minorHAnsi"/>
                <w:b w:val="0"/>
                <w:sz w:val="18"/>
                <w:szCs w:val="18"/>
              </w:rPr>
              <w:t>permanent standard hourly rate</w:t>
            </w:r>
          </w:p>
        </w:tc>
        <w:tc>
          <w:tcPr>
            <w:tcW w:w="820" w:type="pct"/>
            <w:noWrap/>
            <w:vAlign w:val="center"/>
          </w:tcPr>
          <w:p w14:paraId="238E5A8D" w14:textId="77777777" w:rsidR="00B658AF" w:rsidRPr="005C6DDE" w:rsidRDefault="003C074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83.2</w:t>
            </w:r>
            <w:r w:rsidR="00B658A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675" w:type="pct"/>
            <w:vAlign w:val="center"/>
          </w:tcPr>
          <w:p w14:paraId="2734913A" w14:textId="77777777" w:rsidR="00B658AF" w:rsidRPr="005C6DDE" w:rsidRDefault="002975F5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91.0</w:t>
            </w:r>
            <w:r w:rsidR="00B658A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675" w:type="pct"/>
            <w:vAlign w:val="center"/>
          </w:tcPr>
          <w:p w14:paraId="26B43088" w14:textId="77777777" w:rsidR="00B658AF" w:rsidRPr="005C6DDE" w:rsidRDefault="003C074F" w:rsidP="00B658AF">
            <w:pPr>
              <w:spacing w:before="40" w:after="40" w:line="240" w:lineRule="atLeast"/>
              <w:ind w:right="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93.2</w:t>
            </w:r>
            <w:r w:rsidR="00B658AF">
              <w:rPr>
                <w:rFonts w:cstheme="minorHAnsi"/>
                <w:sz w:val="18"/>
                <w:szCs w:val="18"/>
              </w:rPr>
              <w:t>%</w:t>
            </w:r>
          </w:p>
        </w:tc>
      </w:tr>
    </w:tbl>
    <w:p w14:paraId="1C5AB996" w14:textId="77777777" w:rsidR="000C7183" w:rsidRDefault="000C7183" w:rsidP="000C7183">
      <w:pPr>
        <w:pStyle w:val="Caption"/>
      </w:pPr>
    </w:p>
    <w:p w14:paraId="5F8E7F37" w14:textId="77777777" w:rsidR="00BD65F4" w:rsidRDefault="00BD65F4" w:rsidP="00F52078">
      <w:pPr>
        <w:pStyle w:val="Heading1"/>
        <w:sectPr w:rsidR="00BD65F4" w:rsidSect="00D82084"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  <w:bookmarkStart w:id="27" w:name="_Ref18918229"/>
      <w:bookmarkStart w:id="28" w:name="_Ref17906354"/>
    </w:p>
    <w:p w14:paraId="78B34502" w14:textId="77777777" w:rsidR="00F52078" w:rsidRDefault="00F52078" w:rsidP="00F52078">
      <w:pPr>
        <w:pStyle w:val="Heading1"/>
      </w:pPr>
      <w:bookmarkStart w:id="29" w:name="_Toc21533554"/>
      <w:r>
        <w:lastRenderedPageBreak/>
        <w:t>Pricing Model</w:t>
      </w:r>
      <w:bookmarkEnd w:id="27"/>
      <w:bookmarkEnd w:id="29"/>
    </w:p>
    <w:p w14:paraId="106B4A60" w14:textId="27F0E98F" w:rsidR="006D494E" w:rsidRDefault="00CA5762" w:rsidP="00CA5762">
      <w:r>
        <w:t>In order to set price limits for 2019-20, the NDIA inde</w:t>
      </w:r>
      <w:r w:rsidR="00D6473E">
        <w:t xml:space="preserve">xed the results of the </w:t>
      </w:r>
      <w:r>
        <w:t xml:space="preserve">Cost Model for </w:t>
      </w:r>
      <w:r w:rsidR="00DF26B5">
        <w:t>costs on 30 June 2019</w:t>
      </w:r>
      <w:r>
        <w:t xml:space="preserve"> for the expected results of wage inflation </w:t>
      </w:r>
      <w:r w:rsidR="00DF26B5">
        <w:t>over</w:t>
      </w:r>
      <w:r>
        <w:t xml:space="preserve"> 2019-20.</w:t>
      </w:r>
    </w:p>
    <w:p w14:paraId="7F110708" w14:textId="77777777" w:rsidR="00C06AAE" w:rsidRDefault="00CA5762" w:rsidP="006D494E">
      <w:r>
        <w:t xml:space="preserve">The assumptions underpinning this indexation are set out in </w:t>
      </w:r>
      <w:r>
        <w:fldChar w:fldCharType="begin"/>
      </w:r>
      <w:r>
        <w:instrText xml:space="preserve"> REF _Ref19047732 \h </w:instrText>
      </w:r>
      <w:r>
        <w:fldChar w:fldCharType="separate"/>
      </w:r>
      <w:r w:rsidRPr="00975FC4">
        <w:t xml:space="preserve">Table </w:t>
      </w:r>
      <w:r>
        <w:rPr>
          <w:noProof/>
        </w:rPr>
        <w:t>10</w:t>
      </w:r>
      <w:r>
        <w:fldChar w:fldCharType="end"/>
      </w:r>
      <w:r>
        <w:t>.</w:t>
      </w:r>
    </w:p>
    <w:p w14:paraId="4B47CD05" w14:textId="77777777" w:rsidR="006D494E" w:rsidRPr="00975FC4" w:rsidRDefault="006D494E" w:rsidP="003A1FE8">
      <w:pPr>
        <w:pStyle w:val="Caption"/>
      </w:pPr>
      <w:bookmarkStart w:id="30" w:name="_Ref19047732"/>
      <w:r w:rsidRPr="00975FC4">
        <w:t xml:space="preserve">Table </w:t>
      </w:r>
      <w:r w:rsidR="00D6473E">
        <w:fldChar w:fldCharType="begin"/>
      </w:r>
      <w:r w:rsidR="00D6473E">
        <w:instrText xml:space="preserve"> SEQ Table \* ARABIC </w:instrText>
      </w:r>
      <w:r w:rsidR="00D6473E">
        <w:fldChar w:fldCharType="separate"/>
      </w:r>
      <w:r w:rsidR="003C074F">
        <w:rPr>
          <w:noProof/>
        </w:rPr>
        <w:t>10</w:t>
      </w:r>
      <w:r w:rsidR="00D6473E">
        <w:rPr>
          <w:noProof/>
        </w:rPr>
        <w:fldChar w:fldCharType="end"/>
      </w:r>
      <w:bookmarkEnd w:id="30"/>
      <w:r w:rsidRPr="00975FC4">
        <w:t xml:space="preserve">: </w:t>
      </w:r>
      <w:r>
        <w:t>Indexation arrangements</w:t>
      </w:r>
    </w:p>
    <w:tbl>
      <w:tblPr>
        <w:tblStyle w:val="GridTable4-Accent4"/>
        <w:tblW w:w="5000" w:type="pct"/>
        <w:tblLook w:val="04A0" w:firstRow="1" w:lastRow="0" w:firstColumn="1" w:lastColumn="0" w:noHBand="0" w:noVBand="1"/>
      </w:tblPr>
      <w:tblGrid>
        <w:gridCol w:w="6311"/>
        <w:gridCol w:w="2705"/>
      </w:tblGrid>
      <w:tr w:rsidR="00CA5762" w:rsidRPr="00CA5762" w14:paraId="490CFE47" w14:textId="77777777" w:rsidTr="00CA5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pct"/>
            <w:hideMark/>
          </w:tcPr>
          <w:p w14:paraId="1C911043" w14:textId="77777777" w:rsidR="00CA5762" w:rsidRPr="00CA5762" w:rsidRDefault="00CA5762" w:rsidP="003A1FE8">
            <w:pPr>
              <w:keepNext/>
              <w:spacing w:before="40" w:after="40" w:line="240" w:lineRule="atLeast"/>
              <w:rPr>
                <w:rFonts w:ascii="Calibri" w:hAnsi="Calibri" w:cs="Calibri"/>
                <w:sz w:val="18"/>
                <w:szCs w:val="18"/>
              </w:rPr>
            </w:pPr>
            <w:r w:rsidRPr="00CA5762">
              <w:rPr>
                <w:sz w:val="18"/>
                <w:szCs w:val="18"/>
              </w:rPr>
              <w:t>Component</w:t>
            </w:r>
          </w:p>
        </w:tc>
        <w:tc>
          <w:tcPr>
            <w:tcW w:w="1500" w:type="pct"/>
            <w:hideMark/>
          </w:tcPr>
          <w:p w14:paraId="04298CD8" w14:textId="77777777" w:rsidR="00CA5762" w:rsidRPr="00CA5762" w:rsidRDefault="00CA5762" w:rsidP="003A1FE8">
            <w:pPr>
              <w:keepNext/>
              <w:spacing w:before="40" w:after="40"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A5762">
              <w:rPr>
                <w:sz w:val="18"/>
                <w:szCs w:val="18"/>
              </w:rPr>
              <w:t>Value</w:t>
            </w:r>
          </w:p>
        </w:tc>
      </w:tr>
      <w:tr w:rsidR="00CA5762" w:rsidRPr="00CA5762" w14:paraId="22C53D88" w14:textId="77777777" w:rsidTr="00CA5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pct"/>
          </w:tcPr>
          <w:p w14:paraId="1283D265" w14:textId="77777777" w:rsidR="00CA5762" w:rsidRPr="00CA5762" w:rsidRDefault="00CA5762" w:rsidP="003A1FE8">
            <w:pPr>
              <w:keepNext/>
              <w:spacing w:before="40" w:after="40" w:line="240" w:lineRule="atLeast"/>
              <w:rPr>
                <w:sz w:val="18"/>
                <w:szCs w:val="18"/>
              </w:rPr>
            </w:pPr>
            <w:r w:rsidRPr="00CA5762">
              <w:rPr>
                <w:sz w:val="18"/>
                <w:szCs w:val="18"/>
              </w:rPr>
              <w:t>Labour costs</w:t>
            </w:r>
          </w:p>
        </w:tc>
        <w:tc>
          <w:tcPr>
            <w:tcW w:w="1500" w:type="pct"/>
            <w:noWrap/>
          </w:tcPr>
          <w:p w14:paraId="662B360B" w14:textId="77777777" w:rsidR="00CA5762" w:rsidRPr="00CA5762" w:rsidRDefault="00CA5762" w:rsidP="003A1FE8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A5762" w:rsidRPr="00CA5762" w14:paraId="15D0868E" w14:textId="77777777" w:rsidTr="00CA57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pct"/>
            <w:hideMark/>
          </w:tcPr>
          <w:p w14:paraId="03D655B7" w14:textId="77777777" w:rsidR="00CA5762" w:rsidRPr="00CA5762" w:rsidRDefault="00CA5762" w:rsidP="00CA5762">
            <w:pPr>
              <w:keepNext/>
              <w:spacing w:before="40" w:after="40" w:line="240" w:lineRule="atLeast"/>
              <w:ind w:left="600"/>
              <w:rPr>
                <w:b w:val="0"/>
                <w:sz w:val="18"/>
                <w:szCs w:val="18"/>
              </w:rPr>
            </w:pPr>
            <w:r w:rsidRPr="00CA5762">
              <w:rPr>
                <w:b w:val="0"/>
                <w:sz w:val="18"/>
                <w:szCs w:val="18"/>
              </w:rPr>
              <w:t>Fair Work Commission Increase to Minimum Wage</w:t>
            </w:r>
            <w:r w:rsidR="00DF26B5">
              <w:rPr>
                <w:b w:val="0"/>
                <w:sz w:val="18"/>
                <w:szCs w:val="18"/>
              </w:rPr>
              <w:t xml:space="preserve"> (1 July 2019)</w:t>
            </w:r>
          </w:p>
        </w:tc>
        <w:tc>
          <w:tcPr>
            <w:tcW w:w="1500" w:type="pct"/>
            <w:noWrap/>
            <w:hideMark/>
          </w:tcPr>
          <w:p w14:paraId="50A2EFA6" w14:textId="77777777" w:rsidR="00CA5762" w:rsidRPr="00CA5762" w:rsidRDefault="00CA5762" w:rsidP="003A1FE8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A5762">
              <w:rPr>
                <w:sz w:val="18"/>
                <w:szCs w:val="18"/>
              </w:rPr>
              <w:t>3.0%</w:t>
            </w:r>
          </w:p>
        </w:tc>
      </w:tr>
      <w:tr w:rsidR="00CA5762" w:rsidRPr="00CA5762" w14:paraId="20C8538E" w14:textId="77777777" w:rsidTr="00CA5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pct"/>
            <w:hideMark/>
          </w:tcPr>
          <w:p w14:paraId="7BC6A17E" w14:textId="77777777" w:rsidR="00CA5762" w:rsidRPr="00CA5762" w:rsidRDefault="00CA5762" w:rsidP="00DF26B5">
            <w:pPr>
              <w:keepNext/>
              <w:spacing w:before="40" w:after="40" w:line="240" w:lineRule="atLeast"/>
              <w:ind w:left="600"/>
              <w:rPr>
                <w:b w:val="0"/>
                <w:sz w:val="18"/>
                <w:szCs w:val="18"/>
              </w:rPr>
            </w:pPr>
            <w:r w:rsidRPr="00CA5762">
              <w:rPr>
                <w:b w:val="0"/>
                <w:sz w:val="18"/>
                <w:szCs w:val="18"/>
              </w:rPr>
              <w:t>Equal Remuneration Order</w:t>
            </w:r>
            <w:r w:rsidR="00DF26B5">
              <w:rPr>
                <w:b w:val="0"/>
                <w:sz w:val="18"/>
                <w:szCs w:val="18"/>
              </w:rPr>
              <w:t xml:space="preserve"> (1 December 2019)</w:t>
            </w:r>
          </w:p>
        </w:tc>
        <w:tc>
          <w:tcPr>
            <w:tcW w:w="1500" w:type="pct"/>
            <w:noWrap/>
            <w:hideMark/>
          </w:tcPr>
          <w:p w14:paraId="0E2E498D" w14:textId="77777777" w:rsidR="00CA5762" w:rsidRPr="00CA5762" w:rsidRDefault="00CA5762" w:rsidP="003A1FE8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A5762">
              <w:rPr>
                <w:sz w:val="18"/>
                <w:szCs w:val="18"/>
              </w:rPr>
              <w:t>2.2%</w:t>
            </w:r>
          </w:p>
        </w:tc>
      </w:tr>
      <w:tr w:rsidR="00CA5762" w:rsidRPr="00CA5762" w14:paraId="44422378" w14:textId="77777777" w:rsidTr="00CA57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pct"/>
            <w:hideMark/>
          </w:tcPr>
          <w:p w14:paraId="403A444E" w14:textId="77777777" w:rsidR="00CA5762" w:rsidRPr="00CA5762" w:rsidRDefault="00CA5762" w:rsidP="00CA5762">
            <w:pPr>
              <w:keepNext/>
              <w:spacing w:before="40" w:after="40" w:line="240" w:lineRule="atLeast"/>
              <w:ind w:left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expected i</w:t>
            </w:r>
            <w:r w:rsidRPr="00CA5762">
              <w:rPr>
                <w:sz w:val="18"/>
                <w:szCs w:val="18"/>
              </w:rPr>
              <w:t>ncrease to labour costs</w:t>
            </w:r>
          </w:p>
        </w:tc>
        <w:tc>
          <w:tcPr>
            <w:tcW w:w="1500" w:type="pct"/>
            <w:noWrap/>
            <w:hideMark/>
          </w:tcPr>
          <w:p w14:paraId="165B3663" w14:textId="77777777" w:rsidR="00CA5762" w:rsidRPr="00CA5762" w:rsidRDefault="00CA5762" w:rsidP="003A1FE8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A5762">
              <w:rPr>
                <w:b/>
                <w:sz w:val="18"/>
                <w:szCs w:val="18"/>
              </w:rPr>
              <w:t>5.3%</w:t>
            </w:r>
          </w:p>
        </w:tc>
      </w:tr>
      <w:tr w:rsidR="00CA5762" w:rsidRPr="00CA5762" w14:paraId="799EAE0F" w14:textId="77777777" w:rsidTr="00CA5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pct"/>
          </w:tcPr>
          <w:p w14:paraId="38579294" w14:textId="77777777" w:rsidR="00CA5762" w:rsidRPr="00CA5762" w:rsidRDefault="00DF26B5" w:rsidP="003A1FE8">
            <w:pPr>
              <w:keepNext/>
              <w:spacing w:before="40" w:after="4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Capital costs </w:t>
            </w:r>
          </w:p>
        </w:tc>
        <w:tc>
          <w:tcPr>
            <w:tcW w:w="1500" w:type="pct"/>
            <w:noWrap/>
          </w:tcPr>
          <w:p w14:paraId="129F0565" w14:textId="77777777" w:rsidR="00CA5762" w:rsidRPr="00CA5762" w:rsidRDefault="00CA5762" w:rsidP="003A1FE8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DF26B5" w:rsidRPr="00CA5762" w14:paraId="24C3A9D6" w14:textId="77777777" w:rsidTr="00317C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pct"/>
          </w:tcPr>
          <w:p w14:paraId="57886265" w14:textId="77777777" w:rsidR="00DF26B5" w:rsidRPr="00CA5762" w:rsidRDefault="00DF26B5" w:rsidP="00DF26B5">
            <w:pPr>
              <w:keepNext/>
              <w:spacing w:before="40" w:after="40" w:line="240" w:lineRule="atLeast"/>
              <w:ind w:left="60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CPI</w:t>
            </w:r>
          </w:p>
        </w:tc>
        <w:tc>
          <w:tcPr>
            <w:tcW w:w="1500" w:type="pct"/>
            <w:noWrap/>
          </w:tcPr>
          <w:p w14:paraId="26339ABA" w14:textId="77777777" w:rsidR="00DF26B5" w:rsidRPr="00CA5762" w:rsidRDefault="00DF26B5" w:rsidP="00317C63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1.3%</w:t>
            </w:r>
          </w:p>
        </w:tc>
      </w:tr>
      <w:tr w:rsidR="00CA5762" w:rsidRPr="00B15256" w14:paraId="5A320865" w14:textId="77777777" w:rsidTr="00317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pct"/>
          </w:tcPr>
          <w:p w14:paraId="01574F89" w14:textId="77777777" w:rsidR="00CA5762" w:rsidRPr="00B15256" w:rsidRDefault="00B15256" w:rsidP="00317C63">
            <w:pPr>
              <w:keepNext/>
              <w:spacing w:before="40" w:after="40" w:line="240" w:lineRule="atLeast"/>
              <w:rPr>
                <w:sz w:val="18"/>
                <w:szCs w:val="18"/>
              </w:rPr>
            </w:pPr>
            <w:r w:rsidRPr="00B15256">
              <w:rPr>
                <w:sz w:val="18"/>
                <w:szCs w:val="18"/>
              </w:rPr>
              <w:t xml:space="preserve">Labour </w:t>
            </w:r>
            <w:r w:rsidR="00DF26B5" w:rsidRPr="00B15256">
              <w:rPr>
                <w:sz w:val="18"/>
                <w:szCs w:val="18"/>
              </w:rPr>
              <w:t>Share of costs</w:t>
            </w:r>
          </w:p>
        </w:tc>
        <w:tc>
          <w:tcPr>
            <w:tcW w:w="1500" w:type="pct"/>
            <w:noWrap/>
          </w:tcPr>
          <w:p w14:paraId="0D92F79D" w14:textId="77777777" w:rsidR="00CA5762" w:rsidRPr="00B15256" w:rsidRDefault="00B15256" w:rsidP="00317C63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15256">
              <w:rPr>
                <w:b/>
                <w:sz w:val="18"/>
                <w:szCs w:val="18"/>
              </w:rPr>
              <w:t>80%</w:t>
            </w:r>
          </w:p>
        </w:tc>
      </w:tr>
      <w:tr w:rsidR="00CA5762" w:rsidRPr="00CA5762" w14:paraId="7E446089" w14:textId="77777777" w:rsidTr="00CA57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pct"/>
          </w:tcPr>
          <w:p w14:paraId="4C78DF2C" w14:textId="77777777" w:rsidR="00CA5762" w:rsidRPr="00CA5762" w:rsidRDefault="00CA5762" w:rsidP="003A1FE8">
            <w:pPr>
              <w:keepNext/>
              <w:spacing w:before="40" w:after="40" w:line="240" w:lineRule="atLeast"/>
              <w:rPr>
                <w:sz w:val="18"/>
                <w:szCs w:val="18"/>
              </w:rPr>
            </w:pPr>
            <w:r w:rsidRPr="00CA5762">
              <w:rPr>
                <w:sz w:val="18"/>
                <w:szCs w:val="18"/>
              </w:rPr>
              <w:t>Total indexation</w:t>
            </w:r>
            <w:r w:rsidR="00B15256">
              <w:rPr>
                <w:sz w:val="18"/>
                <w:szCs w:val="18"/>
              </w:rPr>
              <w:t xml:space="preserve"> (weighted average)</w:t>
            </w:r>
          </w:p>
        </w:tc>
        <w:tc>
          <w:tcPr>
            <w:tcW w:w="1500" w:type="pct"/>
            <w:noWrap/>
          </w:tcPr>
          <w:p w14:paraId="54168049" w14:textId="77777777" w:rsidR="00CA5762" w:rsidRPr="00CA5762" w:rsidRDefault="00CA5762" w:rsidP="003A1FE8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A5762">
              <w:rPr>
                <w:b/>
                <w:sz w:val="18"/>
                <w:szCs w:val="18"/>
              </w:rPr>
              <w:t>4.5%</w:t>
            </w:r>
          </w:p>
        </w:tc>
      </w:tr>
    </w:tbl>
    <w:bookmarkEnd w:id="28"/>
    <w:p w14:paraId="203856D1" w14:textId="09E9B15A" w:rsidR="00B45937" w:rsidRDefault="00B15256" w:rsidP="005F512C">
      <w:r>
        <w:fldChar w:fldCharType="begin"/>
      </w:r>
      <w:r>
        <w:instrText xml:space="preserve"> REF _Ref19049768 \h </w:instrText>
      </w:r>
      <w:r>
        <w:fldChar w:fldCharType="separate"/>
      </w:r>
      <w:r w:rsidRPr="00975FC4">
        <w:t xml:space="preserve">Table </w:t>
      </w:r>
      <w:r>
        <w:rPr>
          <w:noProof/>
        </w:rPr>
        <w:t>11</w:t>
      </w:r>
      <w:r>
        <w:fldChar w:fldCharType="end"/>
      </w:r>
      <w:r w:rsidR="00D6473E">
        <w:t xml:space="preserve"> shows the </w:t>
      </w:r>
      <w:r>
        <w:t>CM results for the cost of supports by each DSW level and shift, and the indexed price limits for 2019-20 (without the Temporary Transformation Payment).</w:t>
      </w:r>
    </w:p>
    <w:p w14:paraId="2C674AE5" w14:textId="77777777" w:rsidR="00B15256" w:rsidRPr="00975FC4" w:rsidRDefault="00B15256" w:rsidP="00B15256">
      <w:pPr>
        <w:pStyle w:val="Caption"/>
      </w:pPr>
      <w:bookmarkStart w:id="31" w:name="_Ref19049768"/>
      <w:r w:rsidRPr="00975FC4">
        <w:t xml:space="preserve">Table </w:t>
      </w:r>
      <w:r w:rsidR="00D6473E">
        <w:fldChar w:fldCharType="begin"/>
      </w:r>
      <w:r w:rsidR="00D6473E">
        <w:instrText xml:space="preserve"> SEQ Table \* ARABIC </w:instrText>
      </w:r>
      <w:r w:rsidR="00D6473E">
        <w:fldChar w:fldCharType="separate"/>
      </w:r>
      <w:r>
        <w:rPr>
          <w:noProof/>
        </w:rPr>
        <w:t>11</w:t>
      </w:r>
      <w:r w:rsidR="00D6473E">
        <w:rPr>
          <w:noProof/>
        </w:rPr>
        <w:fldChar w:fldCharType="end"/>
      </w:r>
      <w:bookmarkEnd w:id="31"/>
      <w:r w:rsidRPr="00975FC4">
        <w:t xml:space="preserve">: </w:t>
      </w:r>
      <w:r>
        <w:t>Indexed Price Limits</w:t>
      </w:r>
    </w:p>
    <w:tbl>
      <w:tblPr>
        <w:tblStyle w:val="GridTable4-Accent4"/>
        <w:tblW w:w="5000" w:type="pct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15256" w:rsidRPr="00B15256" w14:paraId="0D692202" w14:textId="77777777" w:rsidTr="00B1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11B10B29" w14:textId="77777777" w:rsidR="00B15256" w:rsidRPr="00B15256" w:rsidRDefault="00B15256" w:rsidP="00B15256">
            <w:pPr>
              <w:keepNext/>
              <w:spacing w:before="40" w:after="40" w:line="240" w:lineRule="atLeast"/>
              <w:rPr>
                <w:rFonts w:cstheme="minorHAnsi"/>
                <w:sz w:val="18"/>
                <w:szCs w:val="18"/>
              </w:rPr>
            </w:pPr>
            <w:r w:rsidRPr="005F512C">
              <w:rPr>
                <w:rFonts w:eastAsia="Times New Roman" w:cstheme="minorHAnsi"/>
                <w:sz w:val="18"/>
                <w:szCs w:val="18"/>
                <w:lang w:eastAsia="en-AU"/>
              </w:rPr>
              <w:t>Shift</w:t>
            </w:r>
          </w:p>
        </w:tc>
        <w:tc>
          <w:tcPr>
            <w:tcW w:w="1250" w:type="pct"/>
            <w:vAlign w:val="center"/>
          </w:tcPr>
          <w:p w14:paraId="5005E0D0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5F512C">
              <w:rPr>
                <w:rFonts w:eastAsia="Times New Roman" w:cstheme="minorHAnsi"/>
                <w:sz w:val="18"/>
                <w:szCs w:val="18"/>
                <w:lang w:eastAsia="en-AU"/>
              </w:rPr>
              <w:t>DSW Level</w:t>
            </w:r>
          </w:p>
        </w:tc>
        <w:tc>
          <w:tcPr>
            <w:tcW w:w="1250" w:type="pct"/>
            <w:vAlign w:val="center"/>
          </w:tcPr>
          <w:p w14:paraId="0C8E58E4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5F512C">
              <w:rPr>
                <w:rFonts w:eastAsia="Times New Roman" w:cstheme="minorHAnsi"/>
                <w:sz w:val="18"/>
                <w:szCs w:val="18"/>
                <w:lang w:eastAsia="en-AU"/>
              </w:rPr>
              <w:t xml:space="preserve">Efficient Cost </w:t>
            </w:r>
            <w:r w:rsidRPr="005F512C">
              <w:rPr>
                <w:rFonts w:eastAsia="Times New Roman" w:cstheme="minorHAnsi"/>
                <w:sz w:val="18"/>
                <w:szCs w:val="18"/>
                <w:lang w:eastAsia="en-AU"/>
              </w:rPr>
              <w:br/>
              <w:t>2018-19</w:t>
            </w:r>
          </w:p>
        </w:tc>
        <w:tc>
          <w:tcPr>
            <w:tcW w:w="1250" w:type="pct"/>
            <w:vAlign w:val="center"/>
          </w:tcPr>
          <w:p w14:paraId="4BF4E7B0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5F512C">
              <w:rPr>
                <w:rFonts w:eastAsia="Times New Roman" w:cstheme="minorHAnsi"/>
                <w:sz w:val="18"/>
                <w:szCs w:val="18"/>
                <w:lang w:eastAsia="en-AU"/>
              </w:rPr>
              <w:t>Indexed Base Price</w:t>
            </w:r>
            <w:r>
              <w:rPr>
                <w:rFonts w:eastAsia="Times New Roman" w:cstheme="minorHAnsi"/>
                <w:sz w:val="18"/>
                <w:szCs w:val="18"/>
                <w:lang w:eastAsia="en-AU"/>
              </w:rPr>
              <w:t xml:space="preserve"> Limit</w:t>
            </w:r>
            <w:r w:rsidRPr="005F512C">
              <w:rPr>
                <w:rFonts w:eastAsia="Times New Roman" w:cstheme="minorHAnsi"/>
                <w:sz w:val="18"/>
                <w:szCs w:val="18"/>
                <w:lang w:eastAsia="en-AU"/>
              </w:rPr>
              <w:br/>
              <w:t>2019-20</w:t>
            </w:r>
          </w:p>
        </w:tc>
      </w:tr>
      <w:tr w:rsidR="00B15256" w:rsidRPr="00B15256" w14:paraId="0E2F79B3" w14:textId="77777777" w:rsidTr="00B15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154A5CC1" w14:textId="77777777" w:rsidR="00B15256" w:rsidRPr="00B15256" w:rsidRDefault="00B15256" w:rsidP="00B15256">
            <w:pPr>
              <w:keepNext/>
              <w:spacing w:before="40" w:after="40" w:line="240" w:lineRule="atLeast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  <w:t>Weekday</w:t>
            </w:r>
          </w:p>
        </w:tc>
        <w:tc>
          <w:tcPr>
            <w:tcW w:w="1250" w:type="pct"/>
            <w:vAlign w:val="center"/>
          </w:tcPr>
          <w:p w14:paraId="60D50A2A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Level 1</w:t>
            </w:r>
          </w:p>
        </w:tc>
        <w:tc>
          <w:tcPr>
            <w:tcW w:w="1250" w:type="pct"/>
            <w:vAlign w:val="center"/>
          </w:tcPr>
          <w:p w14:paraId="67F3D3FB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$50.57</w:t>
            </w:r>
          </w:p>
        </w:tc>
        <w:tc>
          <w:tcPr>
            <w:tcW w:w="1250" w:type="pct"/>
            <w:vAlign w:val="center"/>
          </w:tcPr>
          <w:p w14:paraId="10184583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$52.85</w:t>
            </w:r>
          </w:p>
        </w:tc>
      </w:tr>
      <w:tr w:rsidR="00B15256" w:rsidRPr="00B15256" w14:paraId="1768684F" w14:textId="77777777" w:rsidTr="00B152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4E5C89F7" w14:textId="77777777" w:rsidR="00B15256" w:rsidRPr="00B15256" w:rsidRDefault="00B15256" w:rsidP="00B15256">
            <w:pPr>
              <w:keepNext/>
              <w:spacing w:before="40" w:after="40" w:line="240" w:lineRule="atLeast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  <w:t>Saturday</w:t>
            </w:r>
          </w:p>
        </w:tc>
        <w:tc>
          <w:tcPr>
            <w:tcW w:w="1250" w:type="pct"/>
            <w:vAlign w:val="center"/>
          </w:tcPr>
          <w:p w14:paraId="4F259C93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Level 1</w:t>
            </w:r>
          </w:p>
        </w:tc>
        <w:tc>
          <w:tcPr>
            <w:tcW w:w="1250" w:type="pct"/>
            <w:vAlign w:val="center"/>
          </w:tcPr>
          <w:p w14:paraId="70F4970E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$69.56</w:t>
            </w:r>
          </w:p>
        </w:tc>
        <w:tc>
          <w:tcPr>
            <w:tcW w:w="1250" w:type="pct"/>
            <w:vAlign w:val="center"/>
          </w:tcPr>
          <w:p w14:paraId="7253E440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$72.69</w:t>
            </w:r>
          </w:p>
        </w:tc>
      </w:tr>
      <w:tr w:rsidR="00B15256" w:rsidRPr="00B15256" w14:paraId="5AA27CB1" w14:textId="77777777" w:rsidTr="00B15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1B765852" w14:textId="77777777" w:rsidR="00B15256" w:rsidRPr="00B15256" w:rsidRDefault="00B15256" w:rsidP="00B15256">
            <w:pPr>
              <w:keepNext/>
              <w:spacing w:before="40" w:after="40" w:line="240" w:lineRule="atLeast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  <w:t>Sunday</w:t>
            </w:r>
          </w:p>
        </w:tc>
        <w:tc>
          <w:tcPr>
            <w:tcW w:w="1250" w:type="pct"/>
            <w:vAlign w:val="center"/>
          </w:tcPr>
          <w:p w14:paraId="26270F6B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Level 1</w:t>
            </w:r>
          </w:p>
        </w:tc>
        <w:tc>
          <w:tcPr>
            <w:tcW w:w="1250" w:type="pct"/>
            <w:vAlign w:val="center"/>
          </w:tcPr>
          <w:p w14:paraId="4387363E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$90.45</w:t>
            </w:r>
          </w:p>
        </w:tc>
        <w:tc>
          <w:tcPr>
            <w:tcW w:w="1250" w:type="pct"/>
            <w:vAlign w:val="center"/>
          </w:tcPr>
          <w:p w14:paraId="3538AF1B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$94.52</w:t>
            </w:r>
          </w:p>
        </w:tc>
      </w:tr>
      <w:tr w:rsidR="00B15256" w:rsidRPr="00B15256" w14:paraId="02CB6B74" w14:textId="77777777" w:rsidTr="00B152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269682FF" w14:textId="77777777" w:rsidR="00B15256" w:rsidRPr="00B15256" w:rsidRDefault="00B15256" w:rsidP="00B15256">
            <w:pPr>
              <w:keepNext/>
              <w:spacing w:before="40" w:after="40" w:line="240" w:lineRule="atLeast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  <w:t>Public Holiday</w:t>
            </w:r>
          </w:p>
        </w:tc>
        <w:tc>
          <w:tcPr>
            <w:tcW w:w="1250" w:type="pct"/>
            <w:vAlign w:val="center"/>
          </w:tcPr>
          <w:p w14:paraId="772C2B4D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Level 1</w:t>
            </w:r>
          </w:p>
        </w:tc>
        <w:tc>
          <w:tcPr>
            <w:tcW w:w="1250" w:type="pct"/>
            <w:vAlign w:val="center"/>
          </w:tcPr>
          <w:p w14:paraId="748631CA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$113.24</w:t>
            </w:r>
          </w:p>
        </w:tc>
        <w:tc>
          <w:tcPr>
            <w:tcW w:w="1250" w:type="pct"/>
            <w:vAlign w:val="center"/>
          </w:tcPr>
          <w:p w14:paraId="5B31064C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$118.34</w:t>
            </w:r>
          </w:p>
        </w:tc>
      </w:tr>
      <w:tr w:rsidR="00B15256" w:rsidRPr="00B15256" w14:paraId="5031DEE7" w14:textId="77777777" w:rsidTr="00B15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50E5EC73" w14:textId="77777777" w:rsidR="00B15256" w:rsidRPr="00B15256" w:rsidRDefault="00B15256" w:rsidP="00B15256">
            <w:pPr>
              <w:keepNext/>
              <w:spacing w:before="40" w:after="40" w:line="240" w:lineRule="atLeast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  <w:t>Afternoon Shift</w:t>
            </w:r>
          </w:p>
        </w:tc>
        <w:tc>
          <w:tcPr>
            <w:tcW w:w="1250" w:type="pct"/>
            <w:vAlign w:val="center"/>
          </w:tcPr>
          <w:p w14:paraId="1FACD12C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Level 1</w:t>
            </w:r>
          </w:p>
        </w:tc>
        <w:tc>
          <w:tcPr>
            <w:tcW w:w="1250" w:type="pct"/>
            <w:vAlign w:val="center"/>
          </w:tcPr>
          <w:p w14:paraId="43E143D9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$55.80</w:t>
            </w:r>
          </w:p>
        </w:tc>
        <w:tc>
          <w:tcPr>
            <w:tcW w:w="1250" w:type="pct"/>
            <w:vAlign w:val="center"/>
          </w:tcPr>
          <w:p w14:paraId="33F4C4E2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$58.31</w:t>
            </w:r>
          </w:p>
        </w:tc>
      </w:tr>
      <w:tr w:rsidR="00B15256" w:rsidRPr="00B15256" w14:paraId="1E2AA537" w14:textId="77777777" w:rsidTr="00B152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244124BA" w14:textId="77777777" w:rsidR="00B15256" w:rsidRPr="00B15256" w:rsidRDefault="00B15256" w:rsidP="00B15256">
            <w:pPr>
              <w:keepNext/>
              <w:spacing w:before="40" w:after="40" w:line="240" w:lineRule="atLeast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  <w:t>Night Shift</w:t>
            </w:r>
          </w:p>
        </w:tc>
        <w:tc>
          <w:tcPr>
            <w:tcW w:w="1250" w:type="pct"/>
            <w:vAlign w:val="center"/>
          </w:tcPr>
          <w:p w14:paraId="722AC11E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Level 1</w:t>
            </w:r>
          </w:p>
        </w:tc>
        <w:tc>
          <w:tcPr>
            <w:tcW w:w="1250" w:type="pct"/>
            <w:vAlign w:val="center"/>
          </w:tcPr>
          <w:p w14:paraId="6D3F9C06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$56.84</w:t>
            </w:r>
          </w:p>
        </w:tc>
        <w:tc>
          <w:tcPr>
            <w:tcW w:w="1250" w:type="pct"/>
            <w:vAlign w:val="center"/>
          </w:tcPr>
          <w:p w14:paraId="3C518366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$59.40</w:t>
            </w:r>
          </w:p>
        </w:tc>
      </w:tr>
      <w:tr w:rsidR="00B15256" w:rsidRPr="00B15256" w14:paraId="1BD417D5" w14:textId="77777777" w:rsidTr="00B15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6510FB8E" w14:textId="77777777" w:rsidR="00B15256" w:rsidRPr="00B15256" w:rsidRDefault="00B15256" w:rsidP="00B15256">
            <w:pPr>
              <w:keepNext/>
              <w:spacing w:before="40" w:after="40" w:line="240" w:lineRule="atLeast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  <w:t>Weekday</w:t>
            </w:r>
          </w:p>
        </w:tc>
        <w:tc>
          <w:tcPr>
            <w:tcW w:w="1250" w:type="pct"/>
            <w:vAlign w:val="center"/>
          </w:tcPr>
          <w:p w14:paraId="578F68DA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Level 2</w:t>
            </w:r>
          </w:p>
        </w:tc>
        <w:tc>
          <w:tcPr>
            <w:tcW w:w="1250" w:type="pct"/>
            <w:vAlign w:val="center"/>
          </w:tcPr>
          <w:p w14:paraId="33B64D1C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$54.69</w:t>
            </w:r>
          </w:p>
        </w:tc>
        <w:tc>
          <w:tcPr>
            <w:tcW w:w="1250" w:type="pct"/>
            <w:vAlign w:val="center"/>
          </w:tcPr>
          <w:p w14:paraId="73B903CF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$57.15</w:t>
            </w:r>
          </w:p>
        </w:tc>
      </w:tr>
      <w:tr w:rsidR="00B15256" w:rsidRPr="00B15256" w14:paraId="277BA1CF" w14:textId="77777777" w:rsidTr="00B152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32A31521" w14:textId="77777777" w:rsidR="00B15256" w:rsidRPr="00B15256" w:rsidRDefault="00B15256" w:rsidP="00B15256">
            <w:pPr>
              <w:keepNext/>
              <w:spacing w:before="40" w:after="40" w:line="240" w:lineRule="atLeast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  <w:t>Saturday</w:t>
            </w:r>
          </w:p>
        </w:tc>
        <w:tc>
          <w:tcPr>
            <w:tcW w:w="1250" w:type="pct"/>
            <w:vAlign w:val="center"/>
          </w:tcPr>
          <w:p w14:paraId="356E6928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Level 2</w:t>
            </w:r>
          </w:p>
        </w:tc>
        <w:tc>
          <w:tcPr>
            <w:tcW w:w="1250" w:type="pct"/>
            <w:vAlign w:val="center"/>
          </w:tcPr>
          <w:p w14:paraId="67C4F906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$75.24</w:t>
            </w:r>
          </w:p>
        </w:tc>
        <w:tc>
          <w:tcPr>
            <w:tcW w:w="1250" w:type="pct"/>
            <w:vAlign w:val="center"/>
          </w:tcPr>
          <w:p w14:paraId="0A923EB0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$78.63</w:t>
            </w:r>
          </w:p>
        </w:tc>
      </w:tr>
      <w:tr w:rsidR="00B15256" w:rsidRPr="00B15256" w14:paraId="0C3C19AA" w14:textId="77777777" w:rsidTr="00B15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4CFB3AB2" w14:textId="77777777" w:rsidR="00B15256" w:rsidRPr="00B15256" w:rsidRDefault="00B15256" w:rsidP="00B15256">
            <w:pPr>
              <w:keepNext/>
              <w:spacing w:before="40" w:after="40" w:line="240" w:lineRule="atLeast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  <w:t>Sunday</w:t>
            </w:r>
          </w:p>
        </w:tc>
        <w:tc>
          <w:tcPr>
            <w:tcW w:w="1250" w:type="pct"/>
            <w:vAlign w:val="center"/>
          </w:tcPr>
          <w:p w14:paraId="5D0796DA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Level 2</w:t>
            </w:r>
          </w:p>
        </w:tc>
        <w:tc>
          <w:tcPr>
            <w:tcW w:w="1250" w:type="pct"/>
            <w:vAlign w:val="center"/>
          </w:tcPr>
          <w:p w14:paraId="07332162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$97.83</w:t>
            </w:r>
          </w:p>
        </w:tc>
        <w:tc>
          <w:tcPr>
            <w:tcW w:w="1250" w:type="pct"/>
            <w:vAlign w:val="center"/>
          </w:tcPr>
          <w:p w14:paraId="4F946D90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$102.24</w:t>
            </w:r>
          </w:p>
        </w:tc>
      </w:tr>
      <w:tr w:rsidR="00B15256" w:rsidRPr="00B15256" w14:paraId="645BC600" w14:textId="77777777" w:rsidTr="00B152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78B134E5" w14:textId="77777777" w:rsidR="00B15256" w:rsidRPr="00B15256" w:rsidRDefault="00B15256" w:rsidP="00B15256">
            <w:pPr>
              <w:keepNext/>
              <w:spacing w:before="40" w:after="40" w:line="240" w:lineRule="atLeast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  <w:t>Public Holiday</w:t>
            </w:r>
          </w:p>
        </w:tc>
        <w:tc>
          <w:tcPr>
            <w:tcW w:w="1250" w:type="pct"/>
            <w:vAlign w:val="center"/>
          </w:tcPr>
          <w:p w14:paraId="4147207D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Level 2</w:t>
            </w:r>
          </w:p>
        </w:tc>
        <w:tc>
          <w:tcPr>
            <w:tcW w:w="1250" w:type="pct"/>
            <w:vAlign w:val="center"/>
          </w:tcPr>
          <w:p w14:paraId="60B63972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$122.46</w:t>
            </w:r>
          </w:p>
        </w:tc>
        <w:tc>
          <w:tcPr>
            <w:tcW w:w="1250" w:type="pct"/>
            <w:vAlign w:val="center"/>
          </w:tcPr>
          <w:p w14:paraId="49C6A2AE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$127.97</w:t>
            </w:r>
          </w:p>
        </w:tc>
      </w:tr>
      <w:tr w:rsidR="00B15256" w:rsidRPr="00B15256" w14:paraId="4EBF1F6D" w14:textId="77777777" w:rsidTr="00B15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2FC7D135" w14:textId="77777777" w:rsidR="00B15256" w:rsidRPr="00B15256" w:rsidRDefault="00B15256" w:rsidP="00B15256">
            <w:pPr>
              <w:keepNext/>
              <w:spacing w:before="40" w:after="40" w:line="240" w:lineRule="atLeast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  <w:t>Afternoon Shift</w:t>
            </w:r>
          </w:p>
        </w:tc>
        <w:tc>
          <w:tcPr>
            <w:tcW w:w="1250" w:type="pct"/>
            <w:vAlign w:val="center"/>
          </w:tcPr>
          <w:p w14:paraId="1FB1A49D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Level 2</w:t>
            </w:r>
          </w:p>
        </w:tc>
        <w:tc>
          <w:tcPr>
            <w:tcW w:w="1250" w:type="pct"/>
            <w:vAlign w:val="center"/>
          </w:tcPr>
          <w:p w14:paraId="7D04E403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$60.34</w:t>
            </w:r>
          </w:p>
        </w:tc>
        <w:tc>
          <w:tcPr>
            <w:tcW w:w="1250" w:type="pct"/>
            <w:vAlign w:val="center"/>
          </w:tcPr>
          <w:p w14:paraId="3FAC4425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$63.06</w:t>
            </w:r>
          </w:p>
        </w:tc>
      </w:tr>
      <w:tr w:rsidR="00B15256" w:rsidRPr="00B15256" w14:paraId="4288AB10" w14:textId="77777777" w:rsidTr="00B152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1525663A" w14:textId="77777777" w:rsidR="00B15256" w:rsidRPr="00B15256" w:rsidRDefault="00B15256" w:rsidP="00B15256">
            <w:pPr>
              <w:keepNext/>
              <w:spacing w:before="40" w:after="40" w:line="240" w:lineRule="atLeast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  <w:t>Night Shift</w:t>
            </w:r>
          </w:p>
        </w:tc>
        <w:tc>
          <w:tcPr>
            <w:tcW w:w="1250" w:type="pct"/>
            <w:vAlign w:val="center"/>
          </w:tcPr>
          <w:p w14:paraId="56CF7970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Level 2</w:t>
            </w:r>
          </w:p>
        </w:tc>
        <w:tc>
          <w:tcPr>
            <w:tcW w:w="1250" w:type="pct"/>
            <w:vAlign w:val="center"/>
          </w:tcPr>
          <w:p w14:paraId="7072AAA1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$61.47</w:t>
            </w:r>
          </w:p>
        </w:tc>
        <w:tc>
          <w:tcPr>
            <w:tcW w:w="1250" w:type="pct"/>
            <w:vAlign w:val="center"/>
          </w:tcPr>
          <w:p w14:paraId="7A08E6BC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$64.24</w:t>
            </w:r>
          </w:p>
        </w:tc>
      </w:tr>
      <w:tr w:rsidR="00B15256" w:rsidRPr="00B15256" w14:paraId="66407E17" w14:textId="77777777" w:rsidTr="00B15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10176CE4" w14:textId="77777777" w:rsidR="00B15256" w:rsidRPr="00B15256" w:rsidRDefault="00B15256" w:rsidP="00B15256">
            <w:pPr>
              <w:keepNext/>
              <w:spacing w:before="40" w:after="40" w:line="240" w:lineRule="atLeast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  <w:t>Weekday</w:t>
            </w:r>
          </w:p>
        </w:tc>
        <w:tc>
          <w:tcPr>
            <w:tcW w:w="1250" w:type="pct"/>
            <w:vAlign w:val="center"/>
          </w:tcPr>
          <w:p w14:paraId="6DB925C4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Level 3</w:t>
            </w:r>
          </w:p>
        </w:tc>
        <w:tc>
          <w:tcPr>
            <w:tcW w:w="1250" w:type="pct"/>
            <w:vAlign w:val="center"/>
          </w:tcPr>
          <w:p w14:paraId="72EAC038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$57.45</w:t>
            </w:r>
          </w:p>
        </w:tc>
        <w:tc>
          <w:tcPr>
            <w:tcW w:w="1250" w:type="pct"/>
            <w:vAlign w:val="center"/>
          </w:tcPr>
          <w:p w14:paraId="32DD1377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$60.04</w:t>
            </w:r>
          </w:p>
        </w:tc>
      </w:tr>
      <w:tr w:rsidR="00B15256" w:rsidRPr="00B15256" w14:paraId="07C4799D" w14:textId="77777777" w:rsidTr="00B152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53322B98" w14:textId="77777777" w:rsidR="00B15256" w:rsidRPr="00B15256" w:rsidRDefault="00B15256" w:rsidP="00B15256">
            <w:pPr>
              <w:keepNext/>
              <w:spacing w:before="40" w:after="40" w:line="240" w:lineRule="atLeast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  <w:t>Saturday</w:t>
            </w:r>
          </w:p>
        </w:tc>
        <w:tc>
          <w:tcPr>
            <w:tcW w:w="1250" w:type="pct"/>
            <w:vAlign w:val="center"/>
          </w:tcPr>
          <w:p w14:paraId="46BF4DFF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Level 3</w:t>
            </w:r>
          </w:p>
        </w:tc>
        <w:tc>
          <w:tcPr>
            <w:tcW w:w="1250" w:type="pct"/>
            <w:vAlign w:val="center"/>
          </w:tcPr>
          <w:p w14:paraId="341FF911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$79.02</w:t>
            </w:r>
          </w:p>
        </w:tc>
        <w:tc>
          <w:tcPr>
            <w:tcW w:w="1250" w:type="pct"/>
            <w:vAlign w:val="center"/>
          </w:tcPr>
          <w:p w14:paraId="49A2DB50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$82.58</w:t>
            </w:r>
          </w:p>
        </w:tc>
      </w:tr>
      <w:tr w:rsidR="00B15256" w:rsidRPr="00B15256" w14:paraId="1414AC42" w14:textId="77777777" w:rsidTr="00B15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177A1E94" w14:textId="77777777" w:rsidR="00B15256" w:rsidRPr="00B15256" w:rsidRDefault="00B15256" w:rsidP="00B15256">
            <w:pPr>
              <w:keepNext/>
              <w:spacing w:before="40" w:after="40" w:line="240" w:lineRule="atLeast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  <w:t>Sunday</w:t>
            </w:r>
          </w:p>
        </w:tc>
        <w:tc>
          <w:tcPr>
            <w:tcW w:w="1250" w:type="pct"/>
            <w:vAlign w:val="center"/>
          </w:tcPr>
          <w:p w14:paraId="42F3E37D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Level 3</w:t>
            </w:r>
          </w:p>
        </w:tc>
        <w:tc>
          <w:tcPr>
            <w:tcW w:w="1250" w:type="pct"/>
            <w:vAlign w:val="center"/>
          </w:tcPr>
          <w:p w14:paraId="216B1671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$102.75</w:t>
            </w:r>
          </w:p>
        </w:tc>
        <w:tc>
          <w:tcPr>
            <w:tcW w:w="1250" w:type="pct"/>
            <w:vAlign w:val="center"/>
          </w:tcPr>
          <w:p w14:paraId="2448B356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$107.37</w:t>
            </w:r>
          </w:p>
        </w:tc>
      </w:tr>
      <w:tr w:rsidR="00B15256" w:rsidRPr="00B15256" w14:paraId="4F1A363D" w14:textId="77777777" w:rsidTr="00B152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7821146C" w14:textId="77777777" w:rsidR="00B15256" w:rsidRPr="00B15256" w:rsidRDefault="00B15256" w:rsidP="00B15256">
            <w:pPr>
              <w:keepNext/>
              <w:spacing w:before="40" w:after="40" w:line="240" w:lineRule="atLeast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  <w:t>Public Holiday</w:t>
            </w:r>
          </w:p>
        </w:tc>
        <w:tc>
          <w:tcPr>
            <w:tcW w:w="1250" w:type="pct"/>
            <w:vAlign w:val="center"/>
          </w:tcPr>
          <w:p w14:paraId="28197922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Level 3</w:t>
            </w:r>
          </w:p>
        </w:tc>
        <w:tc>
          <w:tcPr>
            <w:tcW w:w="1250" w:type="pct"/>
            <w:vAlign w:val="center"/>
          </w:tcPr>
          <w:p w14:paraId="7448D79A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$128.63</w:t>
            </w:r>
          </w:p>
        </w:tc>
        <w:tc>
          <w:tcPr>
            <w:tcW w:w="1250" w:type="pct"/>
            <w:vAlign w:val="center"/>
          </w:tcPr>
          <w:p w14:paraId="29842F60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$134.42</w:t>
            </w:r>
          </w:p>
        </w:tc>
      </w:tr>
      <w:tr w:rsidR="00B15256" w:rsidRPr="00B15256" w14:paraId="68D3493B" w14:textId="77777777" w:rsidTr="00B15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3B9F9D20" w14:textId="77777777" w:rsidR="00B15256" w:rsidRPr="00B15256" w:rsidRDefault="00B15256" w:rsidP="00B15256">
            <w:pPr>
              <w:keepNext/>
              <w:spacing w:before="40" w:after="40" w:line="240" w:lineRule="atLeast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  <w:t>Afternoon Shift</w:t>
            </w:r>
          </w:p>
        </w:tc>
        <w:tc>
          <w:tcPr>
            <w:tcW w:w="1250" w:type="pct"/>
            <w:vAlign w:val="center"/>
          </w:tcPr>
          <w:p w14:paraId="755B9BBB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Level 3</w:t>
            </w:r>
          </w:p>
        </w:tc>
        <w:tc>
          <w:tcPr>
            <w:tcW w:w="1250" w:type="pct"/>
            <w:vAlign w:val="center"/>
          </w:tcPr>
          <w:p w14:paraId="56723D3C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$63.38</w:t>
            </w:r>
          </w:p>
        </w:tc>
        <w:tc>
          <w:tcPr>
            <w:tcW w:w="1250" w:type="pct"/>
            <w:vAlign w:val="center"/>
          </w:tcPr>
          <w:p w14:paraId="77A3FAA3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$66.23</w:t>
            </w:r>
          </w:p>
        </w:tc>
      </w:tr>
      <w:tr w:rsidR="00B15256" w:rsidRPr="00B15256" w14:paraId="6AD30A6A" w14:textId="77777777" w:rsidTr="00B152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0CAD4CC1" w14:textId="77777777" w:rsidR="00B15256" w:rsidRPr="00B15256" w:rsidRDefault="00B15256" w:rsidP="00B15256">
            <w:pPr>
              <w:keepNext/>
              <w:spacing w:before="40" w:after="40" w:line="240" w:lineRule="atLeast"/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b w:val="0"/>
                <w:color w:val="000000"/>
                <w:sz w:val="18"/>
                <w:szCs w:val="18"/>
                <w:lang w:eastAsia="en-AU"/>
              </w:rPr>
              <w:t>Night Shift</w:t>
            </w:r>
          </w:p>
        </w:tc>
        <w:tc>
          <w:tcPr>
            <w:tcW w:w="1250" w:type="pct"/>
            <w:vAlign w:val="center"/>
          </w:tcPr>
          <w:p w14:paraId="6F66464D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Level 3</w:t>
            </w:r>
          </w:p>
        </w:tc>
        <w:tc>
          <w:tcPr>
            <w:tcW w:w="1250" w:type="pct"/>
            <w:vAlign w:val="center"/>
          </w:tcPr>
          <w:p w14:paraId="41A3EF09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$64.56</w:t>
            </w:r>
          </w:p>
        </w:tc>
        <w:tc>
          <w:tcPr>
            <w:tcW w:w="1250" w:type="pct"/>
            <w:vAlign w:val="center"/>
          </w:tcPr>
          <w:p w14:paraId="4915F7DF" w14:textId="77777777" w:rsidR="00B15256" w:rsidRPr="00B15256" w:rsidRDefault="00B15256" w:rsidP="00B15256">
            <w:pPr>
              <w:keepNext/>
              <w:spacing w:before="40" w:after="4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  <w:r w:rsidRPr="005F512C"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  <w:t>$67.47</w:t>
            </w:r>
          </w:p>
        </w:tc>
      </w:tr>
    </w:tbl>
    <w:p w14:paraId="3D436DA2" w14:textId="77777777" w:rsidR="005F512C" w:rsidRDefault="005F512C" w:rsidP="00B15256"/>
    <w:sectPr w:rsidR="005F512C" w:rsidSect="00D82084"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BFD68" w14:textId="77777777" w:rsidR="00280F3A" w:rsidRDefault="00280F3A" w:rsidP="001A3E36">
      <w:r>
        <w:separator/>
      </w:r>
    </w:p>
    <w:p w14:paraId="08852FCA" w14:textId="77777777" w:rsidR="00280F3A" w:rsidRDefault="00280F3A" w:rsidP="001A3E36"/>
  </w:endnote>
  <w:endnote w:type="continuationSeparator" w:id="0">
    <w:p w14:paraId="6EAE164D" w14:textId="77777777" w:rsidR="00280F3A" w:rsidRDefault="00280F3A" w:rsidP="001A3E36">
      <w:r>
        <w:continuationSeparator/>
      </w:r>
    </w:p>
    <w:p w14:paraId="279A7033" w14:textId="77777777" w:rsidR="00280F3A" w:rsidRDefault="00280F3A" w:rsidP="001A3E36"/>
  </w:endnote>
  <w:endnote w:type="continuationNotice" w:id="1">
    <w:p w14:paraId="27443411" w14:textId="77777777" w:rsidR="00280F3A" w:rsidRDefault="00280F3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F73FF" w14:textId="77777777" w:rsidR="00317C63" w:rsidRDefault="00317C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620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EF574D" w14:textId="5219693C" w:rsidR="00317C63" w:rsidRDefault="00317C63" w:rsidP="00B658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473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18741" w14:textId="3DF8878D" w:rsidR="00317C63" w:rsidRPr="00D6031F" w:rsidRDefault="00317C63" w:rsidP="00D6031F">
    <w:pPr>
      <w:pStyle w:val="Footer"/>
      <w:tabs>
        <w:tab w:val="clear" w:pos="4513"/>
        <w:tab w:val="clear" w:pos="9026"/>
        <w:tab w:val="left" w:pos="3863"/>
      </w:tabs>
      <w:jc w:val="center"/>
    </w:pPr>
    <w:r w:rsidRPr="007C1E38">
      <w:rPr>
        <w:caps/>
      </w:rPr>
      <w:fldChar w:fldCharType="begin"/>
    </w:r>
    <w:r w:rsidRPr="007C1E38">
      <w:rPr>
        <w:caps/>
      </w:rPr>
      <w:instrText xml:space="preserve"> PAGE   \* MERGEFORMAT </w:instrText>
    </w:r>
    <w:r w:rsidRPr="007C1E38">
      <w:rPr>
        <w:caps/>
      </w:rPr>
      <w:fldChar w:fldCharType="separate"/>
    </w:r>
    <w:r w:rsidR="00D6473E">
      <w:rPr>
        <w:caps/>
        <w:noProof/>
      </w:rPr>
      <w:t>12</w:t>
    </w:r>
    <w:r w:rsidRPr="007C1E38">
      <w:rPr>
        <w:cap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778EC" w14:textId="77777777" w:rsidR="00280F3A" w:rsidRDefault="00280F3A" w:rsidP="001A3E36">
      <w:r>
        <w:separator/>
      </w:r>
    </w:p>
  </w:footnote>
  <w:footnote w:type="continuationSeparator" w:id="0">
    <w:p w14:paraId="712E6F9F" w14:textId="77777777" w:rsidR="00280F3A" w:rsidRDefault="00280F3A" w:rsidP="001A3E36">
      <w:r>
        <w:continuationSeparator/>
      </w:r>
    </w:p>
  </w:footnote>
  <w:footnote w:type="continuationNotice" w:id="1">
    <w:p w14:paraId="61980E27" w14:textId="77777777" w:rsidR="00280F3A" w:rsidRDefault="00280F3A">
      <w:pPr>
        <w:spacing w:before="0" w:after="0" w:line="240" w:lineRule="auto"/>
      </w:pPr>
    </w:p>
  </w:footnote>
  <w:footnote w:id="2">
    <w:p w14:paraId="22B4763A" w14:textId="77777777" w:rsidR="00317C63" w:rsidRDefault="00317C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" w:history="1">
        <w:r w:rsidRPr="000F6F17">
          <w:rPr>
            <w:rStyle w:val="Hyperlink"/>
          </w:rPr>
          <w:t>http://awardviewer.fwo.gov.au/award/show/MA000100</w:t>
        </w:r>
      </w:hyperlink>
      <w:r>
        <w:t xml:space="preserve"> </w:t>
      </w:r>
    </w:p>
  </w:footnote>
  <w:footnote w:id="3">
    <w:p w14:paraId="00285A4D" w14:textId="77777777" w:rsidR="00317C63" w:rsidRDefault="00317C63" w:rsidP="00294FA5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2" w:history="1">
        <w:r w:rsidRPr="000F6F17">
          <w:rPr>
            <w:rStyle w:val="Hyperlink"/>
          </w:rPr>
          <w:t>https://www.fairwork.gov.au/ArticleDocuments/872/social-community-home-care-and-disability-services-industry-award-ma000100-pay-guide.pdf.aspx</w:t>
        </w:r>
      </w:hyperlink>
      <w:r>
        <w:t xml:space="preserve"> </w:t>
      </w:r>
    </w:p>
  </w:footnote>
  <w:footnote w:id="4">
    <w:p w14:paraId="271CFD89" w14:textId="77777777" w:rsidR="00317C63" w:rsidRDefault="00317C63" w:rsidP="00B658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Australian Bureau of Statistics. (2019). </w:t>
      </w:r>
      <w:r w:rsidRPr="00B658AF">
        <w:rPr>
          <w:i/>
        </w:rPr>
        <w:t xml:space="preserve">Participation, Job Search and Mobility, Australia, Feb 2019. </w:t>
      </w:r>
    </w:p>
  </w:footnote>
  <w:footnote w:id="5">
    <w:p w14:paraId="1E374824" w14:textId="77777777" w:rsidR="00317C63" w:rsidRDefault="00317C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3" w:history="1">
        <w:r w:rsidRPr="000F6F17">
          <w:rPr>
            <w:rStyle w:val="Hyperlink"/>
          </w:rPr>
          <w:t>https://www.ato.gov.au/Business/Super-for-employers/How-much-to-pay/</w:t>
        </w:r>
      </w:hyperlink>
      <w:r>
        <w:t xml:space="preserve">  </w:t>
      </w:r>
    </w:p>
  </w:footnote>
  <w:footnote w:id="6">
    <w:p w14:paraId="49D746FF" w14:textId="77777777" w:rsidR="00317C63" w:rsidRDefault="00317C63">
      <w:pPr>
        <w:pStyle w:val="FootnoteText"/>
      </w:pPr>
      <w:r>
        <w:rPr>
          <w:rStyle w:val="FootnoteReference"/>
        </w:rPr>
        <w:footnoteRef/>
      </w:r>
      <w:r>
        <w:t xml:space="preserve"> Safe Work Australia: </w:t>
      </w:r>
      <w:hyperlink r:id="rId4" w:history="1">
        <w:r w:rsidRPr="006B4301">
          <w:rPr>
            <w:rStyle w:val="Hyperlink"/>
          </w:rPr>
          <w:t>www.safeworkaustralia.gov.au/workers-compensation/comparing-workers-compensation-scheme-performance</w:t>
        </w:r>
      </w:hyperlink>
    </w:p>
  </w:footnote>
  <w:footnote w:id="7">
    <w:p w14:paraId="62CB8E22" w14:textId="77777777" w:rsidR="00317C63" w:rsidRDefault="00317C63" w:rsidP="00E41E33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spellStart"/>
      <w:r>
        <w:t>AbleInsight</w:t>
      </w:r>
      <w:proofErr w:type="spellEnd"/>
      <w:r>
        <w:t xml:space="preserve">. (2019). </w:t>
      </w:r>
      <w:r w:rsidRPr="00E005E0">
        <w:rPr>
          <w:i/>
        </w:rPr>
        <w:t>Sector Summary Report: National Disability Service Providers Benchmarking Survey – Collection 3 (2017/18).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27986" w14:textId="77777777" w:rsidR="00317C63" w:rsidRDefault="00D6473E">
    <w:pPr>
      <w:pStyle w:val="Header"/>
    </w:pPr>
    <w:r>
      <w:rPr>
        <w:noProof/>
      </w:rPr>
      <w:pict w14:anchorId="42498B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387360" o:spid="_x0000_s2050" type="#_x0000_t136" style="position:absolute;left:0;text-align:left;margin-left:0;margin-top:0;width:530.25pt;height:106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MBAR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30D8C" w14:textId="77777777" w:rsidR="00317C63" w:rsidRDefault="00D6473E">
    <w:pPr>
      <w:pStyle w:val="Header"/>
    </w:pPr>
    <w:r>
      <w:rPr>
        <w:noProof/>
      </w:rPr>
      <w:pict w14:anchorId="1A8A29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387361" o:spid="_x0000_s2051" type="#_x0000_t136" style="position:absolute;left:0;text-align:left;margin-left:0;margin-top:0;width:530.25pt;height:106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MBAR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D31DA" w14:textId="77777777" w:rsidR="00317C63" w:rsidRDefault="00D6473E">
    <w:pPr>
      <w:pStyle w:val="Header"/>
    </w:pPr>
    <w:r>
      <w:rPr>
        <w:noProof/>
      </w:rPr>
      <w:pict w14:anchorId="415631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387359" o:spid="_x0000_s2049" type="#_x0000_t136" style="position:absolute;left:0;text-align:left;margin-left:0;margin-top:0;width:530.25pt;height:106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MBAR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4E8"/>
    <w:multiLevelType w:val="hybridMultilevel"/>
    <w:tmpl w:val="8A184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87B"/>
    <w:multiLevelType w:val="multilevel"/>
    <w:tmpl w:val="8BD290C2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  <w:color w:val="6A2875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Heading5"/>
      <w:suff w:val="space"/>
      <w:lvlText w:val="Recommendation %5 – 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0EA052D"/>
    <w:multiLevelType w:val="hybridMultilevel"/>
    <w:tmpl w:val="A2C00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64362"/>
    <w:multiLevelType w:val="hybridMultilevel"/>
    <w:tmpl w:val="AE6A94A0"/>
    <w:lvl w:ilvl="0" w:tplc="371C758C">
      <w:start w:val="1"/>
      <w:numFmt w:val="decimal"/>
      <w:pStyle w:val="ListBulle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146B2"/>
    <w:multiLevelType w:val="hybridMultilevel"/>
    <w:tmpl w:val="9E549A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665D1"/>
    <w:multiLevelType w:val="hybridMultilevel"/>
    <w:tmpl w:val="A5D43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34A6B"/>
    <w:multiLevelType w:val="multilevel"/>
    <w:tmpl w:val="8034DBC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1">
      <w:start w:val="1"/>
      <w:numFmt w:val="bullet"/>
      <w:pStyle w:val="Do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abstractNum w:abstractNumId="7" w15:restartNumberingAfterBreak="0">
    <w:nsid w:val="2E291239"/>
    <w:multiLevelType w:val="hybridMultilevel"/>
    <w:tmpl w:val="C62AC0AE"/>
    <w:lvl w:ilvl="0" w:tplc="A776DF44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4C59DE">
      <w:numFmt w:val="bullet"/>
      <w:lvlText w:val="•"/>
      <w:lvlJc w:val="left"/>
      <w:pPr>
        <w:ind w:left="2520" w:hanging="720"/>
      </w:pPr>
      <w:rPr>
        <w:rFonts w:ascii="Arial" w:eastAsiaTheme="minorHAnsi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B02A2"/>
    <w:multiLevelType w:val="multilevel"/>
    <w:tmpl w:val="D7BABA64"/>
    <w:lvl w:ilvl="0">
      <w:start w:val="1"/>
      <w:numFmt w:val="decimal"/>
      <w:lvlText w:val="%1)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D203662"/>
    <w:multiLevelType w:val="hybridMultilevel"/>
    <w:tmpl w:val="D242A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D01D2"/>
    <w:multiLevelType w:val="multilevel"/>
    <w:tmpl w:val="D2C2036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7" w:hanging="1247"/>
      </w:pPr>
      <w:rPr>
        <w:rFonts w:hint="default"/>
      </w:rPr>
    </w:lvl>
    <w:lvl w:ilvl="6">
      <w:start w:val="1"/>
      <w:numFmt w:val="decimal"/>
      <w:lvlRestart w:val="1"/>
      <w:pStyle w:val="CaptionTable"/>
      <w:suff w:val="nothing"/>
      <w:lvlText w:val="Table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CaptionChart"/>
      <w:suff w:val="nothing"/>
      <w:lvlText w:val="Chart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1"/>
      <w:pStyle w:val="CaptionFigure"/>
      <w:suff w:val="nothing"/>
      <w:lvlText w:val="Figure %1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1872258"/>
    <w:multiLevelType w:val="hybridMultilevel"/>
    <w:tmpl w:val="993634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C1006"/>
    <w:multiLevelType w:val="multilevel"/>
    <w:tmpl w:val="A6466258"/>
    <w:lvl w:ilvl="0">
      <w:start w:val="1"/>
      <w:numFmt w:val="decimal"/>
      <w:pStyle w:val="CEOBrief-Heading1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pStyle w:val="CEOBrief-Paragraph2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E42705"/>
    <w:multiLevelType w:val="hybridMultilevel"/>
    <w:tmpl w:val="028E7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A27B8"/>
    <w:multiLevelType w:val="hybridMultilevel"/>
    <w:tmpl w:val="F3A6D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42104"/>
    <w:multiLevelType w:val="hybridMultilevel"/>
    <w:tmpl w:val="77962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3768A"/>
    <w:multiLevelType w:val="multilevel"/>
    <w:tmpl w:val="8A7E8CD4"/>
    <w:styleLink w:val="Style1"/>
    <w:lvl w:ilvl="0">
      <w:start w:val="1"/>
      <w:numFmt w:val="decimal"/>
      <w:suff w:val="space"/>
      <w:lvlText w:val="Recommendation %1 – "/>
      <w:lvlJc w:val="left"/>
      <w:pPr>
        <w:ind w:left="0" w:firstLine="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7" w15:restartNumberingAfterBreak="0">
    <w:nsid w:val="69C20946"/>
    <w:multiLevelType w:val="multilevel"/>
    <w:tmpl w:val="D7BABA64"/>
    <w:lvl w:ilvl="0">
      <w:start w:val="1"/>
      <w:numFmt w:val="decimal"/>
      <w:lvlText w:val="%1)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AD95B67"/>
    <w:multiLevelType w:val="hybridMultilevel"/>
    <w:tmpl w:val="92A2C4A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7">
      <w:start w:val="1"/>
      <w:numFmt w:val="lowerLetter"/>
      <w:lvlText w:val="%5)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679B7"/>
    <w:multiLevelType w:val="hybridMultilevel"/>
    <w:tmpl w:val="8C4E2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F7766"/>
    <w:multiLevelType w:val="hybridMultilevel"/>
    <w:tmpl w:val="CD303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"/>
  </w:num>
  <w:num w:numId="5">
    <w:abstractNumId w:val="10"/>
  </w:num>
  <w:num w:numId="6">
    <w:abstractNumId w:val="7"/>
  </w:num>
  <w:num w:numId="7">
    <w:abstractNumId w:val="16"/>
  </w:num>
  <w:num w:numId="8">
    <w:abstractNumId w:val="18"/>
  </w:num>
  <w:num w:numId="9">
    <w:abstractNumId w:val="9"/>
  </w:num>
  <w:num w:numId="10">
    <w:abstractNumId w:val="0"/>
  </w:num>
  <w:num w:numId="11">
    <w:abstractNumId w:val="15"/>
  </w:num>
  <w:num w:numId="12">
    <w:abstractNumId w:val="20"/>
  </w:num>
  <w:num w:numId="13">
    <w:abstractNumId w:val="11"/>
  </w:num>
  <w:num w:numId="14">
    <w:abstractNumId w:val="19"/>
  </w:num>
  <w:num w:numId="15">
    <w:abstractNumId w:val="13"/>
  </w:num>
  <w:num w:numId="16">
    <w:abstractNumId w:val="4"/>
  </w:num>
  <w:num w:numId="17">
    <w:abstractNumId w:val="5"/>
  </w:num>
  <w:num w:numId="18">
    <w:abstractNumId w:val="14"/>
  </w:num>
  <w:num w:numId="19">
    <w:abstractNumId w:val="2"/>
  </w:num>
  <w:num w:numId="20">
    <w:abstractNumId w:val="17"/>
  </w:num>
  <w:num w:numId="21">
    <w:abstractNumId w:val="8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F1"/>
    <w:rsid w:val="00000890"/>
    <w:rsid w:val="000053F1"/>
    <w:rsid w:val="00005BD6"/>
    <w:rsid w:val="000115F5"/>
    <w:rsid w:val="0001758C"/>
    <w:rsid w:val="00017D16"/>
    <w:rsid w:val="0002143F"/>
    <w:rsid w:val="00024FCC"/>
    <w:rsid w:val="00025C84"/>
    <w:rsid w:val="00030A07"/>
    <w:rsid w:val="00037BA3"/>
    <w:rsid w:val="00042DC8"/>
    <w:rsid w:val="0004301D"/>
    <w:rsid w:val="00043493"/>
    <w:rsid w:val="00045E36"/>
    <w:rsid w:val="00053180"/>
    <w:rsid w:val="00057FD1"/>
    <w:rsid w:val="00060CE3"/>
    <w:rsid w:val="000656A0"/>
    <w:rsid w:val="00070702"/>
    <w:rsid w:val="000715A4"/>
    <w:rsid w:val="00087A9D"/>
    <w:rsid w:val="000902E3"/>
    <w:rsid w:val="000A2366"/>
    <w:rsid w:val="000A6CAE"/>
    <w:rsid w:val="000A7431"/>
    <w:rsid w:val="000C087B"/>
    <w:rsid w:val="000C3D04"/>
    <w:rsid w:val="000C7183"/>
    <w:rsid w:val="000D2455"/>
    <w:rsid w:val="000D3BCB"/>
    <w:rsid w:val="000D50DB"/>
    <w:rsid w:val="000D57C3"/>
    <w:rsid w:val="000E2409"/>
    <w:rsid w:val="001043F0"/>
    <w:rsid w:val="00105AD9"/>
    <w:rsid w:val="0012098A"/>
    <w:rsid w:val="0012324E"/>
    <w:rsid w:val="00126873"/>
    <w:rsid w:val="001275EE"/>
    <w:rsid w:val="00132831"/>
    <w:rsid w:val="00134D8A"/>
    <w:rsid w:val="00134E17"/>
    <w:rsid w:val="0013780B"/>
    <w:rsid w:val="00151262"/>
    <w:rsid w:val="001566A0"/>
    <w:rsid w:val="00173163"/>
    <w:rsid w:val="0017700A"/>
    <w:rsid w:val="001811C7"/>
    <w:rsid w:val="0018225A"/>
    <w:rsid w:val="00182AC5"/>
    <w:rsid w:val="001868F2"/>
    <w:rsid w:val="00194075"/>
    <w:rsid w:val="001940E8"/>
    <w:rsid w:val="00194796"/>
    <w:rsid w:val="001A0ACB"/>
    <w:rsid w:val="001A1BE7"/>
    <w:rsid w:val="001A1E01"/>
    <w:rsid w:val="001A252A"/>
    <w:rsid w:val="001A3E36"/>
    <w:rsid w:val="001B5415"/>
    <w:rsid w:val="001C0A85"/>
    <w:rsid w:val="001C17C6"/>
    <w:rsid w:val="001C3DFD"/>
    <w:rsid w:val="001C69AA"/>
    <w:rsid w:val="001D1F32"/>
    <w:rsid w:val="001D5AE6"/>
    <w:rsid w:val="001D74BD"/>
    <w:rsid w:val="001E16EB"/>
    <w:rsid w:val="001E3C31"/>
    <w:rsid w:val="001E630D"/>
    <w:rsid w:val="001F0BEB"/>
    <w:rsid w:val="001F1C0B"/>
    <w:rsid w:val="001F344D"/>
    <w:rsid w:val="001F4FEC"/>
    <w:rsid w:val="00211A14"/>
    <w:rsid w:val="002123D5"/>
    <w:rsid w:val="00213FA8"/>
    <w:rsid w:val="0021541D"/>
    <w:rsid w:val="00216517"/>
    <w:rsid w:val="00222C61"/>
    <w:rsid w:val="002249AA"/>
    <w:rsid w:val="0022690C"/>
    <w:rsid w:val="00227122"/>
    <w:rsid w:val="00231185"/>
    <w:rsid w:val="002325B2"/>
    <w:rsid w:val="00235C06"/>
    <w:rsid w:val="00242EFF"/>
    <w:rsid w:val="002528F4"/>
    <w:rsid w:val="00252C50"/>
    <w:rsid w:val="002538B3"/>
    <w:rsid w:val="00256D49"/>
    <w:rsid w:val="0027277B"/>
    <w:rsid w:val="00280F3A"/>
    <w:rsid w:val="00281341"/>
    <w:rsid w:val="00281379"/>
    <w:rsid w:val="00281D98"/>
    <w:rsid w:val="00282305"/>
    <w:rsid w:val="00284467"/>
    <w:rsid w:val="0029456A"/>
    <w:rsid w:val="00294FA5"/>
    <w:rsid w:val="00295F84"/>
    <w:rsid w:val="002975F5"/>
    <w:rsid w:val="002A43D6"/>
    <w:rsid w:val="002B2BFA"/>
    <w:rsid w:val="002B3572"/>
    <w:rsid w:val="002C4FBF"/>
    <w:rsid w:val="003016CC"/>
    <w:rsid w:val="00311E0C"/>
    <w:rsid w:val="00316044"/>
    <w:rsid w:val="003165B5"/>
    <w:rsid w:val="00317C63"/>
    <w:rsid w:val="00323BB7"/>
    <w:rsid w:val="00330F3A"/>
    <w:rsid w:val="00331660"/>
    <w:rsid w:val="00333DB2"/>
    <w:rsid w:val="00334E56"/>
    <w:rsid w:val="00335336"/>
    <w:rsid w:val="00341C67"/>
    <w:rsid w:val="00346819"/>
    <w:rsid w:val="00350B2B"/>
    <w:rsid w:val="003515E4"/>
    <w:rsid w:val="0035218F"/>
    <w:rsid w:val="003526B1"/>
    <w:rsid w:val="0035629B"/>
    <w:rsid w:val="0035693D"/>
    <w:rsid w:val="00360725"/>
    <w:rsid w:val="00361869"/>
    <w:rsid w:val="003634E2"/>
    <w:rsid w:val="003659CD"/>
    <w:rsid w:val="00373C5D"/>
    <w:rsid w:val="003803FB"/>
    <w:rsid w:val="00384F8D"/>
    <w:rsid w:val="003861C4"/>
    <w:rsid w:val="00392D78"/>
    <w:rsid w:val="003948A4"/>
    <w:rsid w:val="003A07DB"/>
    <w:rsid w:val="003A1FE8"/>
    <w:rsid w:val="003A3C03"/>
    <w:rsid w:val="003A4350"/>
    <w:rsid w:val="003A6AB7"/>
    <w:rsid w:val="003B0D64"/>
    <w:rsid w:val="003B1D58"/>
    <w:rsid w:val="003B2BB8"/>
    <w:rsid w:val="003B4DED"/>
    <w:rsid w:val="003B7F9D"/>
    <w:rsid w:val="003C074F"/>
    <w:rsid w:val="003C1155"/>
    <w:rsid w:val="003C1502"/>
    <w:rsid w:val="003C1B62"/>
    <w:rsid w:val="003C3A52"/>
    <w:rsid w:val="003C7AD9"/>
    <w:rsid w:val="003D34FF"/>
    <w:rsid w:val="003D50AF"/>
    <w:rsid w:val="003E391A"/>
    <w:rsid w:val="003F093B"/>
    <w:rsid w:val="003F4435"/>
    <w:rsid w:val="003F5987"/>
    <w:rsid w:val="0040062A"/>
    <w:rsid w:val="00402219"/>
    <w:rsid w:val="00404D70"/>
    <w:rsid w:val="0040640D"/>
    <w:rsid w:val="00412F59"/>
    <w:rsid w:val="0041520E"/>
    <w:rsid w:val="0041594E"/>
    <w:rsid w:val="00415CA1"/>
    <w:rsid w:val="004207CF"/>
    <w:rsid w:val="004211F3"/>
    <w:rsid w:val="00422B5A"/>
    <w:rsid w:val="00436E11"/>
    <w:rsid w:val="0043700C"/>
    <w:rsid w:val="00440FC6"/>
    <w:rsid w:val="0044141A"/>
    <w:rsid w:val="00444AB2"/>
    <w:rsid w:val="004562FC"/>
    <w:rsid w:val="00457C4B"/>
    <w:rsid w:val="00461B64"/>
    <w:rsid w:val="004652EF"/>
    <w:rsid w:val="00467E1D"/>
    <w:rsid w:val="00473792"/>
    <w:rsid w:val="00476DC4"/>
    <w:rsid w:val="00480499"/>
    <w:rsid w:val="00487391"/>
    <w:rsid w:val="00492831"/>
    <w:rsid w:val="004A3801"/>
    <w:rsid w:val="004A3CCE"/>
    <w:rsid w:val="004A6DDD"/>
    <w:rsid w:val="004B1849"/>
    <w:rsid w:val="004B1917"/>
    <w:rsid w:val="004B54CA"/>
    <w:rsid w:val="004B650B"/>
    <w:rsid w:val="004C3FE8"/>
    <w:rsid w:val="004C6B51"/>
    <w:rsid w:val="004D014C"/>
    <w:rsid w:val="004D32B5"/>
    <w:rsid w:val="004E5923"/>
    <w:rsid w:val="004E5CBF"/>
    <w:rsid w:val="004F4B63"/>
    <w:rsid w:val="0051301A"/>
    <w:rsid w:val="005155E4"/>
    <w:rsid w:val="0051601C"/>
    <w:rsid w:val="00522F35"/>
    <w:rsid w:val="00526E03"/>
    <w:rsid w:val="005304DC"/>
    <w:rsid w:val="005353A6"/>
    <w:rsid w:val="005359C6"/>
    <w:rsid w:val="00536B85"/>
    <w:rsid w:val="0056347E"/>
    <w:rsid w:val="005711FA"/>
    <w:rsid w:val="00574035"/>
    <w:rsid w:val="005759A6"/>
    <w:rsid w:val="00583ABF"/>
    <w:rsid w:val="00586A54"/>
    <w:rsid w:val="005961A7"/>
    <w:rsid w:val="005A5AF2"/>
    <w:rsid w:val="005A6E9A"/>
    <w:rsid w:val="005B1583"/>
    <w:rsid w:val="005B2AF1"/>
    <w:rsid w:val="005C08A0"/>
    <w:rsid w:val="005C3AA9"/>
    <w:rsid w:val="005C6DDE"/>
    <w:rsid w:val="005E02DF"/>
    <w:rsid w:val="005E1614"/>
    <w:rsid w:val="005E3643"/>
    <w:rsid w:val="005E535E"/>
    <w:rsid w:val="005F02F1"/>
    <w:rsid w:val="005F03F4"/>
    <w:rsid w:val="005F0E44"/>
    <w:rsid w:val="005F1C33"/>
    <w:rsid w:val="005F512C"/>
    <w:rsid w:val="006064CE"/>
    <w:rsid w:val="0060676C"/>
    <w:rsid w:val="006140AB"/>
    <w:rsid w:val="00616A10"/>
    <w:rsid w:val="0061762C"/>
    <w:rsid w:val="006258AE"/>
    <w:rsid w:val="006369F5"/>
    <w:rsid w:val="00643B2E"/>
    <w:rsid w:val="0065258B"/>
    <w:rsid w:val="00663892"/>
    <w:rsid w:val="00664AB5"/>
    <w:rsid w:val="00671C19"/>
    <w:rsid w:val="006727E9"/>
    <w:rsid w:val="006738C5"/>
    <w:rsid w:val="00674CF4"/>
    <w:rsid w:val="006763C1"/>
    <w:rsid w:val="00682083"/>
    <w:rsid w:val="006922DA"/>
    <w:rsid w:val="00696BEE"/>
    <w:rsid w:val="006A299A"/>
    <w:rsid w:val="006A4CE7"/>
    <w:rsid w:val="006A4FBA"/>
    <w:rsid w:val="006A50F1"/>
    <w:rsid w:val="006C0F1A"/>
    <w:rsid w:val="006C2233"/>
    <w:rsid w:val="006C5E10"/>
    <w:rsid w:val="006D08AA"/>
    <w:rsid w:val="006D2056"/>
    <w:rsid w:val="006D494E"/>
    <w:rsid w:val="006E5B49"/>
    <w:rsid w:val="006F5D46"/>
    <w:rsid w:val="007030B4"/>
    <w:rsid w:val="00707064"/>
    <w:rsid w:val="00713C8A"/>
    <w:rsid w:val="00716124"/>
    <w:rsid w:val="007177A6"/>
    <w:rsid w:val="007219F1"/>
    <w:rsid w:val="0072468E"/>
    <w:rsid w:val="00733AB1"/>
    <w:rsid w:val="00735F60"/>
    <w:rsid w:val="00736E3A"/>
    <w:rsid w:val="007519CD"/>
    <w:rsid w:val="00752925"/>
    <w:rsid w:val="00760104"/>
    <w:rsid w:val="00762248"/>
    <w:rsid w:val="007664EC"/>
    <w:rsid w:val="0077226D"/>
    <w:rsid w:val="007722C2"/>
    <w:rsid w:val="007751F4"/>
    <w:rsid w:val="00775931"/>
    <w:rsid w:val="00775FAB"/>
    <w:rsid w:val="00777F1F"/>
    <w:rsid w:val="007836CD"/>
    <w:rsid w:val="00784C2F"/>
    <w:rsid w:val="00785261"/>
    <w:rsid w:val="00787593"/>
    <w:rsid w:val="00795B27"/>
    <w:rsid w:val="00796EE2"/>
    <w:rsid w:val="007A2B17"/>
    <w:rsid w:val="007B0256"/>
    <w:rsid w:val="007B1436"/>
    <w:rsid w:val="007B6388"/>
    <w:rsid w:val="007B6FB3"/>
    <w:rsid w:val="007C1E38"/>
    <w:rsid w:val="007C3C7E"/>
    <w:rsid w:val="007D256C"/>
    <w:rsid w:val="007D5116"/>
    <w:rsid w:val="007D5E61"/>
    <w:rsid w:val="007E04D7"/>
    <w:rsid w:val="007E0EA7"/>
    <w:rsid w:val="007E66CD"/>
    <w:rsid w:val="007E7F0F"/>
    <w:rsid w:val="007F13EC"/>
    <w:rsid w:val="007F1A90"/>
    <w:rsid w:val="007F6999"/>
    <w:rsid w:val="0080684F"/>
    <w:rsid w:val="008116B5"/>
    <w:rsid w:val="0081558B"/>
    <w:rsid w:val="008207E4"/>
    <w:rsid w:val="0083089B"/>
    <w:rsid w:val="00832454"/>
    <w:rsid w:val="0083786F"/>
    <w:rsid w:val="00840413"/>
    <w:rsid w:val="0085147C"/>
    <w:rsid w:val="008515A3"/>
    <w:rsid w:val="008521EA"/>
    <w:rsid w:val="00852C9E"/>
    <w:rsid w:val="00854115"/>
    <w:rsid w:val="00857733"/>
    <w:rsid w:val="008600AD"/>
    <w:rsid w:val="008619DF"/>
    <w:rsid w:val="00865696"/>
    <w:rsid w:val="00866164"/>
    <w:rsid w:val="008667A8"/>
    <w:rsid w:val="00880FC2"/>
    <w:rsid w:val="00881230"/>
    <w:rsid w:val="00883BA0"/>
    <w:rsid w:val="00886EBF"/>
    <w:rsid w:val="0089169C"/>
    <w:rsid w:val="00893BBD"/>
    <w:rsid w:val="00895A37"/>
    <w:rsid w:val="008A2409"/>
    <w:rsid w:val="008A4BDC"/>
    <w:rsid w:val="008A7999"/>
    <w:rsid w:val="008B0630"/>
    <w:rsid w:val="008B1B73"/>
    <w:rsid w:val="008B4CA6"/>
    <w:rsid w:val="008B4DE2"/>
    <w:rsid w:val="008B55CD"/>
    <w:rsid w:val="008B63A2"/>
    <w:rsid w:val="008B748E"/>
    <w:rsid w:val="008B7F34"/>
    <w:rsid w:val="008C6143"/>
    <w:rsid w:val="008C7CCB"/>
    <w:rsid w:val="008D296D"/>
    <w:rsid w:val="008E3AF9"/>
    <w:rsid w:val="008F505D"/>
    <w:rsid w:val="008F7E21"/>
    <w:rsid w:val="00901EAF"/>
    <w:rsid w:val="00913052"/>
    <w:rsid w:val="009138DE"/>
    <w:rsid w:val="00916198"/>
    <w:rsid w:val="0091676E"/>
    <w:rsid w:val="009172F1"/>
    <w:rsid w:val="009225F0"/>
    <w:rsid w:val="00923ED2"/>
    <w:rsid w:val="00926131"/>
    <w:rsid w:val="009347F7"/>
    <w:rsid w:val="009373F4"/>
    <w:rsid w:val="009418DE"/>
    <w:rsid w:val="00943693"/>
    <w:rsid w:val="009454BA"/>
    <w:rsid w:val="00950BE4"/>
    <w:rsid w:val="00954A6C"/>
    <w:rsid w:val="009611E3"/>
    <w:rsid w:val="009653A4"/>
    <w:rsid w:val="0096619B"/>
    <w:rsid w:val="00967482"/>
    <w:rsid w:val="00972037"/>
    <w:rsid w:val="009735C1"/>
    <w:rsid w:val="00977591"/>
    <w:rsid w:val="00982450"/>
    <w:rsid w:val="00985170"/>
    <w:rsid w:val="00987111"/>
    <w:rsid w:val="009875F6"/>
    <w:rsid w:val="00991574"/>
    <w:rsid w:val="00995132"/>
    <w:rsid w:val="00995909"/>
    <w:rsid w:val="00996CB3"/>
    <w:rsid w:val="009A213F"/>
    <w:rsid w:val="009A3891"/>
    <w:rsid w:val="009A7C26"/>
    <w:rsid w:val="009B1FCB"/>
    <w:rsid w:val="009B51E7"/>
    <w:rsid w:val="009C5501"/>
    <w:rsid w:val="009C7856"/>
    <w:rsid w:val="009E0E63"/>
    <w:rsid w:val="009E12C1"/>
    <w:rsid w:val="009E1BAE"/>
    <w:rsid w:val="009E3A97"/>
    <w:rsid w:val="009E6165"/>
    <w:rsid w:val="009E72FA"/>
    <w:rsid w:val="00A019C3"/>
    <w:rsid w:val="00A04B50"/>
    <w:rsid w:val="00A1065E"/>
    <w:rsid w:val="00A15DA9"/>
    <w:rsid w:val="00A22306"/>
    <w:rsid w:val="00A2635B"/>
    <w:rsid w:val="00A33386"/>
    <w:rsid w:val="00A354E3"/>
    <w:rsid w:val="00A40B96"/>
    <w:rsid w:val="00A4644E"/>
    <w:rsid w:val="00A52707"/>
    <w:rsid w:val="00A545B2"/>
    <w:rsid w:val="00A57254"/>
    <w:rsid w:val="00A65F00"/>
    <w:rsid w:val="00A73534"/>
    <w:rsid w:val="00A75A64"/>
    <w:rsid w:val="00A83409"/>
    <w:rsid w:val="00A8436C"/>
    <w:rsid w:val="00A9435F"/>
    <w:rsid w:val="00AA09D9"/>
    <w:rsid w:val="00AA0DA9"/>
    <w:rsid w:val="00AA47C1"/>
    <w:rsid w:val="00AB6B14"/>
    <w:rsid w:val="00AB6C8A"/>
    <w:rsid w:val="00AD0B03"/>
    <w:rsid w:val="00AD1B31"/>
    <w:rsid w:val="00AE32E8"/>
    <w:rsid w:val="00AF4F1F"/>
    <w:rsid w:val="00AF6A46"/>
    <w:rsid w:val="00B00557"/>
    <w:rsid w:val="00B02EC7"/>
    <w:rsid w:val="00B04EF2"/>
    <w:rsid w:val="00B05805"/>
    <w:rsid w:val="00B117EC"/>
    <w:rsid w:val="00B1295A"/>
    <w:rsid w:val="00B15256"/>
    <w:rsid w:val="00B15D71"/>
    <w:rsid w:val="00B207E8"/>
    <w:rsid w:val="00B227D9"/>
    <w:rsid w:val="00B34EF6"/>
    <w:rsid w:val="00B4053F"/>
    <w:rsid w:val="00B409D1"/>
    <w:rsid w:val="00B45937"/>
    <w:rsid w:val="00B52B19"/>
    <w:rsid w:val="00B56A4A"/>
    <w:rsid w:val="00B60D62"/>
    <w:rsid w:val="00B62B34"/>
    <w:rsid w:val="00B658AF"/>
    <w:rsid w:val="00B76D59"/>
    <w:rsid w:val="00B77024"/>
    <w:rsid w:val="00B81D49"/>
    <w:rsid w:val="00B837CB"/>
    <w:rsid w:val="00B854D9"/>
    <w:rsid w:val="00B86D70"/>
    <w:rsid w:val="00B9274C"/>
    <w:rsid w:val="00BA2DB9"/>
    <w:rsid w:val="00BA3CDC"/>
    <w:rsid w:val="00BA4AFC"/>
    <w:rsid w:val="00BA539B"/>
    <w:rsid w:val="00BB06ED"/>
    <w:rsid w:val="00BB383A"/>
    <w:rsid w:val="00BC24CF"/>
    <w:rsid w:val="00BC569E"/>
    <w:rsid w:val="00BC5E88"/>
    <w:rsid w:val="00BC66C0"/>
    <w:rsid w:val="00BD2A96"/>
    <w:rsid w:val="00BD4024"/>
    <w:rsid w:val="00BD4CDE"/>
    <w:rsid w:val="00BD50C8"/>
    <w:rsid w:val="00BD604F"/>
    <w:rsid w:val="00BD65F4"/>
    <w:rsid w:val="00BE4C7C"/>
    <w:rsid w:val="00BE632A"/>
    <w:rsid w:val="00BE7148"/>
    <w:rsid w:val="00BF276E"/>
    <w:rsid w:val="00C06AAE"/>
    <w:rsid w:val="00C163B9"/>
    <w:rsid w:val="00C233D3"/>
    <w:rsid w:val="00C234BD"/>
    <w:rsid w:val="00C3454D"/>
    <w:rsid w:val="00C359BC"/>
    <w:rsid w:val="00C41EB6"/>
    <w:rsid w:val="00C44433"/>
    <w:rsid w:val="00C500AD"/>
    <w:rsid w:val="00C508D7"/>
    <w:rsid w:val="00C537BB"/>
    <w:rsid w:val="00C66E70"/>
    <w:rsid w:val="00C70E87"/>
    <w:rsid w:val="00C73823"/>
    <w:rsid w:val="00C74DA8"/>
    <w:rsid w:val="00C763E0"/>
    <w:rsid w:val="00C819A0"/>
    <w:rsid w:val="00C8311A"/>
    <w:rsid w:val="00C834CE"/>
    <w:rsid w:val="00C85193"/>
    <w:rsid w:val="00C85C60"/>
    <w:rsid w:val="00C9399E"/>
    <w:rsid w:val="00C968E0"/>
    <w:rsid w:val="00C97ED6"/>
    <w:rsid w:val="00CA5762"/>
    <w:rsid w:val="00CA6061"/>
    <w:rsid w:val="00CB0568"/>
    <w:rsid w:val="00CB108F"/>
    <w:rsid w:val="00CB2AB6"/>
    <w:rsid w:val="00CD0CCE"/>
    <w:rsid w:val="00CD1CEB"/>
    <w:rsid w:val="00CD54AF"/>
    <w:rsid w:val="00CD599B"/>
    <w:rsid w:val="00CD68BE"/>
    <w:rsid w:val="00CD7CF3"/>
    <w:rsid w:val="00CE408D"/>
    <w:rsid w:val="00CE64D6"/>
    <w:rsid w:val="00CF2B90"/>
    <w:rsid w:val="00CF6E13"/>
    <w:rsid w:val="00D011D4"/>
    <w:rsid w:val="00D07ABF"/>
    <w:rsid w:val="00D12ED1"/>
    <w:rsid w:val="00D15CA9"/>
    <w:rsid w:val="00D3056F"/>
    <w:rsid w:val="00D31648"/>
    <w:rsid w:val="00D33A88"/>
    <w:rsid w:val="00D43363"/>
    <w:rsid w:val="00D45420"/>
    <w:rsid w:val="00D52B3E"/>
    <w:rsid w:val="00D52D8F"/>
    <w:rsid w:val="00D57227"/>
    <w:rsid w:val="00D57524"/>
    <w:rsid w:val="00D6031F"/>
    <w:rsid w:val="00D6473E"/>
    <w:rsid w:val="00D65E52"/>
    <w:rsid w:val="00D706A3"/>
    <w:rsid w:val="00D70E6F"/>
    <w:rsid w:val="00D7499B"/>
    <w:rsid w:val="00D76395"/>
    <w:rsid w:val="00D82084"/>
    <w:rsid w:val="00D82214"/>
    <w:rsid w:val="00D83C9E"/>
    <w:rsid w:val="00D85B9F"/>
    <w:rsid w:val="00D86795"/>
    <w:rsid w:val="00D94018"/>
    <w:rsid w:val="00D963F1"/>
    <w:rsid w:val="00DA236F"/>
    <w:rsid w:val="00DA6432"/>
    <w:rsid w:val="00DB42DF"/>
    <w:rsid w:val="00DB4B44"/>
    <w:rsid w:val="00DC24DC"/>
    <w:rsid w:val="00DC5FF9"/>
    <w:rsid w:val="00DD1AF7"/>
    <w:rsid w:val="00DD2EBF"/>
    <w:rsid w:val="00DD344D"/>
    <w:rsid w:val="00DD38DC"/>
    <w:rsid w:val="00DD716D"/>
    <w:rsid w:val="00DD7E17"/>
    <w:rsid w:val="00DE0B9A"/>
    <w:rsid w:val="00DE5213"/>
    <w:rsid w:val="00DE6F51"/>
    <w:rsid w:val="00DF26B5"/>
    <w:rsid w:val="00DF5CCB"/>
    <w:rsid w:val="00DF5E3B"/>
    <w:rsid w:val="00DF71B3"/>
    <w:rsid w:val="00E005E0"/>
    <w:rsid w:val="00E10E99"/>
    <w:rsid w:val="00E12870"/>
    <w:rsid w:val="00E202A2"/>
    <w:rsid w:val="00E205E9"/>
    <w:rsid w:val="00E30E98"/>
    <w:rsid w:val="00E31682"/>
    <w:rsid w:val="00E323D2"/>
    <w:rsid w:val="00E32470"/>
    <w:rsid w:val="00E37CD4"/>
    <w:rsid w:val="00E41E33"/>
    <w:rsid w:val="00E42952"/>
    <w:rsid w:val="00E43C71"/>
    <w:rsid w:val="00E459B7"/>
    <w:rsid w:val="00E4734B"/>
    <w:rsid w:val="00E534E3"/>
    <w:rsid w:val="00E57965"/>
    <w:rsid w:val="00E6459D"/>
    <w:rsid w:val="00E74A10"/>
    <w:rsid w:val="00E765CA"/>
    <w:rsid w:val="00E82F46"/>
    <w:rsid w:val="00E970CA"/>
    <w:rsid w:val="00EA1761"/>
    <w:rsid w:val="00EA5B42"/>
    <w:rsid w:val="00EA621C"/>
    <w:rsid w:val="00EB28F6"/>
    <w:rsid w:val="00EB2E64"/>
    <w:rsid w:val="00EB47F3"/>
    <w:rsid w:val="00EB4E23"/>
    <w:rsid w:val="00EB62DC"/>
    <w:rsid w:val="00EC0AA2"/>
    <w:rsid w:val="00EC37B2"/>
    <w:rsid w:val="00EC46C5"/>
    <w:rsid w:val="00EC4C95"/>
    <w:rsid w:val="00EC66D4"/>
    <w:rsid w:val="00ED3665"/>
    <w:rsid w:val="00ED46E2"/>
    <w:rsid w:val="00EE3D25"/>
    <w:rsid w:val="00EE5246"/>
    <w:rsid w:val="00EE54E1"/>
    <w:rsid w:val="00EE6B80"/>
    <w:rsid w:val="00F016CD"/>
    <w:rsid w:val="00F04074"/>
    <w:rsid w:val="00F16609"/>
    <w:rsid w:val="00F23353"/>
    <w:rsid w:val="00F24910"/>
    <w:rsid w:val="00F24A28"/>
    <w:rsid w:val="00F31CD4"/>
    <w:rsid w:val="00F3275E"/>
    <w:rsid w:val="00F424E1"/>
    <w:rsid w:val="00F52078"/>
    <w:rsid w:val="00F61CF7"/>
    <w:rsid w:val="00F7086A"/>
    <w:rsid w:val="00F7256A"/>
    <w:rsid w:val="00F770C9"/>
    <w:rsid w:val="00F850E4"/>
    <w:rsid w:val="00F910F6"/>
    <w:rsid w:val="00F91AE0"/>
    <w:rsid w:val="00F91E23"/>
    <w:rsid w:val="00FA5BDC"/>
    <w:rsid w:val="00FA6146"/>
    <w:rsid w:val="00FA6A23"/>
    <w:rsid w:val="00FA7850"/>
    <w:rsid w:val="00FB0CD9"/>
    <w:rsid w:val="00FB0CE5"/>
    <w:rsid w:val="00FB1060"/>
    <w:rsid w:val="00FB2BB6"/>
    <w:rsid w:val="00FB5514"/>
    <w:rsid w:val="00FC6116"/>
    <w:rsid w:val="00FD7CA1"/>
    <w:rsid w:val="00FE4605"/>
    <w:rsid w:val="00FE67D3"/>
    <w:rsid w:val="00FE78C4"/>
    <w:rsid w:val="00FE7F34"/>
    <w:rsid w:val="00FF366E"/>
    <w:rsid w:val="00FF6030"/>
    <w:rsid w:val="00FF6DD1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98E5BA8"/>
  <w15:docId w15:val="{6097BB8F-44B3-407D-BD0C-BABDB6E5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00" w:after="100"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3" w:uiPriority="43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E36"/>
    <w:pPr>
      <w:jc w:val="both"/>
    </w:pPr>
  </w:style>
  <w:style w:type="paragraph" w:styleId="Heading1">
    <w:name w:val="heading 1"/>
    <w:basedOn w:val="Heading2"/>
    <w:next w:val="Normal"/>
    <w:link w:val="Heading1Char"/>
    <w:uiPriority w:val="9"/>
    <w:qFormat/>
    <w:rsid w:val="0040640D"/>
    <w:pPr>
      <w:numPr>
        <w:ilvl w:val="0"/>
      </w:numPr>
      <w:spacing w:before="480" w:after="240"/>
      <w:outlineLvl w:val="0"/>
    </w:pPr>
    <w:rPr>
      <w:sz w:val="32"/>
      <w:szCs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27277B"/>
    <w:pPr>
      <w:numPr>
        <w:ilvl w:val="1"/>
      </w:numPr>
      <w:spacing w:before="300"/>
      <w:outlineLvl w:val="1"/>
    </w:pPr>
    <w:rPr>
      <w:color w:val="6B2976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6B80"/>
    <w:pPr>
      <w:keepNext/>
      <w:numPr>
        <w:ilvl w:val="2"/>
        <w:numId w:val="4"/>
      </w:numPr>
      <w:spacing w:before="20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6B80"/>
    <w:pPr>
      <w:keepNext/>
      <w:spacing w:before="200"/>
      <w:ind w:left="862" w:hanging="86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26B1"/>
    <w:pPr>
      <w:numPr>
        <w:ilvl w:val="4"/>
        <w:numId w:val="4"/>
      </w:numPr>
      <w:spacing w:before="200" w:line="240" w:lineRule="auto"/>
      <w:ind w:left="1009" w:hanging="1009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B54CA"/>
    <w:pPr>
      <w:numPr>
        <w:ilvl w:val="5"/>
        <w:numId w:val="4"/>
      </w:num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numPr>
        <w:ilvl w:val="6"/>
        <w:numId w:val="4"/>
      </w:num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numPr>
        <w:ilvl w:val="7"/>
        <w:numId w:val="4"/>
      </w:num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numPr>
        <w:ilvl w:val="8"/>
        <w:numId w:val="4"/>
      </w:num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6B80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27277B"/>
    <w:rPr>
      <w:b/>
      <w:color w:val="6B2976" w:themeColor="accent4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0640D"/>
    <w:rPr>
      <w:b/>
      <w:color w:val="6B2976" w:themeColor="accent4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E6B8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526B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eastAsiaTheme="majorEastAsia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eastAsiaTheme="majorEastAsia" w:cstheme="majorBidi"/>
      <w:i/>
      <w:iCs/>
      <w:spacing w:val="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9130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13052"/>
    <w:rPr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ListParagraph">
    <w:name w:val="List Paragraph"/>
    <w:aliases w:val="Recommendation,List Paragraph1,List Paragraph11,L,Bullet point,NFP GP Bulleted List,2nd Bullet point,#List Paragraph,Figure_name,Bullet- First level,Listenabsatz1,Number,List Paragraph111,F5 List Paragraph,Dot pt,CV text,Table text"/>
    <w:basedOn w:val="Normal"/>
    <w:link w:val="ListParagraphChar"/>
    <w:uiPriority w:val="34"/>
    <w:qFormat/>
    <w:rsid w:val="00D57227"/>
    <w:pPr>
      <w:numPr>
        <w:numId w:val="6"/>
      </w:numPr>
    </w:pPr>
  </w:style>
  <w:style w:type="character" w:customStyle="1" w:styleId="ListParagraphChar">
    <w:name w:val="List Paragraph Char"/>
    <w:aliases w:val="Recommendation Char,List Paragraph1 Char,List Paragraph11 Char,L Char,Bullet point Char,NFP GP Bulleted List Char,2nd Bullet point Char,#List Paragraph Char,Figure_name Char,Bullet- First level Char,Listenabsatz1 Char,Number Char"/>
    <w:link w:val="ListParagraph"/>
    <w:uiPriority w:val="34"/>
    <w:qFormat/>
    <w:locked/>
    <w:rsid w:val="00D57227"/>
  </w:style>
  <w:style w:type="paragraph" w:styleId="Caption">
    <w:name w:val="caption"/>
    <w:basedOn w:val="Normal"/>
    <w:next w:val="Normal"/>
    <w:link w:val="CaptionChar"/>
    <w:uiPriority w:val="3"/>
    <w:unhideWhenUsed/>
    <w:qFormat/>
    <w:rsid w:val="00182AC5"/>
    <w:pPr>
      <w:keepNext/>
      <w:spacing w:before="240" w:after="0"/>
      <w:jc w:val="center"/>
    </w:pPr>
    <w:rPr>
      <w:b/>
      <w:bCs/>
      <w:i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02EC7"/>
    <w:pPr>
      <w:outlineLvl w:val="9"/>
    </w:pPr>
  </w:style>
  <w:style w:type="paragraph" w:customStyle="1" w:styleId="Headingcover">
    <w:name w:val="Heading cover"/>
    <w:basedOn w:val="Normal"/>
    <w:qFormat/>
    <w:rsid w:val="007219F1"/>
    <w:rPr>
      <w:rFonts w:cs="Arial"/>
      <w:b/>
      <w:color w:val="FFFFFF" w:themeColor="background1"/>
      <w:sz w:val="96"/>
      <w:szCs w:val="96"/>
    </w:rPr>
  </w:style>
  <w:style w:type="paragraph" w:styleId="Header">
    <w:name w:val="header"/>
    <w:basedOn w:val="Normal"/>
    <w:link w:val="HeaderChar"/>
    <w:uiPriority w:val="99"/>
    <w:unhideWhenUsed/>
    <w:qFormat/>
    <w:rsid w:val="00EE5246"/>
    <w:pPr>
      <w:pBdr>
        <w:bottom w:val="single" w:sz="18" w:space="1" w:color="6B2976" w:themeColor="accent4"/>
      </w:pBdr>
      <w:tabs>
        <w:tab w:val="center" w:pos="4513"/>
        <w:tab w:val="right" w:pos="9026"/>
      </w:tabs>
      <w:spacing w:after="0" w:line="240" w:lineRule="auto"/>
      <w:jc w:val="center"/>
    </w:pPr>
    <w:rPr>
      <w:i/>
      <w:color w:val="6B2976" w:themeColor="accent4"/>
    </w:rPr>
  </w:style>
  <w:style w:type="character" w:customStyle="1" w:styleId="HeaderChar">
    <w:name w:val="Header Char"/>
    <w:basedOn w:val="DefaultParagraphFont"/>
    <w:link w:val="Header"/>
    <w:uiPriority w:val="99"/>
    <w:rsid w:val="00EE5246"/>
    <w:rPr>
      <w:i/>
      <w:color w:val="6B2976" w:themeColor="accent4"/>
    </w:rPr>
  </w:style>
  <w:style w:type="paragraph" w:styleId="Footer">
    <w:name w:val="footer"/>
    <w:basedOn w:val="Normal"/>
    <w:link w:val="FooterChar"/>
    <w:uiPriority w:val="99"/>
    <w:unhideWhenUsed/>
    <w:rsid w:val="00EE5246"/>
    <w:pPr>
      <w:pBdr>
        <w:top w:val="single" w:sz="18" w:space="1" w:color="auto"/>
      </w:pBd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246"/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table" w:styleId="LightShading-Accent4">
    <w:name w:val="Light Shading Accent 4"/>
    <w:basedOn w:val="TableNormal"/>
    <w:uiPriority w:val="60"/>
    <w:rsid w:val="004D32B5"/>
    <w:pPr>
      <w:keepLines/>
      <w:spacing w:after="80" w:line="240" w:lineRule="auto"/>
      <w:ind w:left="113" w:right="113"/>
    </w:pPr>
    <w:rPr>
      <w:rFonts w:ascii="Arial" w:eastAsiaTheme="minorEastAsia" w:hAnsi="Arial"/>
      <w:lang w:val="en-US" w:eastAsia="ja-JP"/>
    </w:rPr>
    <w:tblPr>
      <w:tblStyleRowBandSize w:val="1"/>
      <w:tblStyleColBandSize w:val="1"/>
      <w:tblBorders>
        <w:top w:val="single" w:sz="8" w:space="0" w:color="6B2976" w:themeColor="accent4"/>
        <w:bottom w:val="single" w:sz="8" w:space="0" w:color="6B2976" w:themeColor="accent4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FFFFF" w:themeColor="background1"/>
        <w:sz w:val="22"/>
      </w:rPr>
      <w:tblPr/>
      <w:tcPr>
        <w:shd w:val="clear" w:color="auto" w:fill="6600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976" w:themeColor="accent4"/>
          <w:left w:val="nil"/>
          <w:bottom w:val="single" w:sz="8" w:space="0" w:color="6B297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E2BEE8" w:themeFill="accent4" w:themeFillTint="3F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TOC1">
    <w:name w:val="toc 1"/>
    <w:basedOn w:val="Normal"/>
    <w:next w:val="Normal"/>
    <w:autoRedefine/>
    <w:uiPriority w:val="39"/>
    <w:unhideWhenUsed/>
    <w:qFormat/>
    <w:rsid w:val="008521EA"/>
    <w:pPr>
      <w:tabs>
        <w:tab w:val="left" w:pos="567"/>
        <w:tab w:val="right" w:leader="dot" w:pos="9016"/>
      </w:tabs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521EA"/>
    <w:pPr>
      <w:ind w:left="567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331660"/>
    <w:pPr>
      <w:ind w:left="1134"/>
    </w:pPr>
  </w:style>
  <w:style w:type="character" w:styleId="Hyperlink">
    <w:name w:val="Hyperlink"/>
    <w:basedOn w:val="DefaultParagraphFont"/>
    <w:uiPriority w:val="99"/>
    <w:unhideWhenUsed/>
    <w:rsid w:val="0040062A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40062A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40062A"/>
    <w:pPr>
      <w:ind w:left="880"/>
    </w:pPr>
  </w:style>
  <w:style w:type="character" w:styleId="FootnoteReference">
    <w:name w:val="footnote reference"/>
    <w:basedOn w:val="DefaultParagraphFont"/>
    <w:uiPriority w:val="99"/>
    <w:unhideWhenUsed/>
    <w:rsid w:val="00070702"/>
    <w:rPr>
      <w:vertAlign w:val="superscript"/>
    </w:rPr>
  </w:style>
  <w:style w:type="table" w:styleId="TableGrid">
    <w:name w:val="Table Grid"/>
    <w:basedOn w:val="TableNormal"/>
    <w:uiPriority w:val="39"/>
    <w:rsid w:val="00913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DISDivision">
    <w:name w:val="NDIS Division"/>
    <w:basedOn w:val="Heading3"/>
    <w:next w:val="NDISSubdivision"/>
    <w:rsid w:val="006140AB"/>
    <w:pPr>
      <w:keepLines/>
      <w:spacing w:before="480" w:after="0"/>
    </w:pPr>
    <w:rPr>
      <w:rFonts w:eastAsia="Times New Roman" w:cs="Arial"/>
      <w:bCs/>
      <w:sz w:val="28"/>
      <w:szCs w:val="26"/>
      <w:lang w:eastAsia="en-AU"/>
    </w:rPr>
  </w:style>
  <w:style w:type="paragraph" w:customStyle="1" w:styleId="NDISPart">
    <w:name w:val="NDIS Part"/>
    <w:basedOn w:val="Heading2"/>
    <w:next w:val="NDISDivision"/>
    <w:rsid w:val="006140AB"/>
    <w:pPr>
      <w:keepLines/>
      <w:pageBreakBefore/>
      <w:spacing w:before="0" w:after="0"/>
    </w:pPr>
    <w:rPr>
      <w:rFonts w:eastAsia="Times New Roman" w:cs="Arial"/>
      <w:bCs/>
      <w:iCs/>
      <w:color w:val="7030A0"/>
      <w:sz w:val="32"/>
      <w:szCs w:val="28"/>
      <w:lang w:eastAsia="en-AU"/>
    </w:rPr>
  </w:style>
  <w:style w:type="paragraph" w:customStyle="1" w:styleId="NDISSubdivision">
    <w:name w:val="NDIS Subdivision"/>
    <w:basedOn w:val="NDISDivision"/>
    <w:next w:val="NDISSubsection"/>
    <w:rsid w:val="006140AB"/>
    <w:pPr>
      <w:numPr>
        <w:ilvl w:val="0"/>
        <w:numId w:val="0"/>
      </w:numPr>
      <w:ind w:left="864" w:hanging="864"/>
    </w:pPr>
    <w:rPr>
      <w:sz w:val="26"/>
    </w:rPr>
  </w:style>
  <w:style w:type="paragraph" w:customStyle="1" w:styleId="NDISSubsection">
    <w:name w:val="NDIS Subsection"/>
    <w:basedOn w:val="Normal"/>
    <w:rsid w:val="006140AB"/>
    <w:pPr>
      <w:spacing w:before="240" w:after="40"/>
    </w:pPr>
    <w:rPr>
      <w:rFonts w:eastAsia="Times New Roman" w:cs="Arial"/>
      <w:lang w:eastAsia="en-AU"/>
    </w:rPr>
  </w:style>
  <w:style w:type="paragraph" w:customStyle="1" w:styleId="NDISParagraph">
    <w:name w:val="NDIS Paragraph"/>
    <w:basedOn w:val="Normal"/>
    <w:rsid w:val="006140AB"/>
    <w:pPr>
      <w:spacing w:before="80" w:after="40"/>
    </w:pPr>
    <w:rPr>
      <w:rFonts w:eastAsia="Times New Roman" w:cs="Arial"/>
      <w:lang w:eastAsia="en-AU"/>
    </w:rPr>
  </w:style>
  <w:style w:type="paragraph" w:customStyle="1" w:styleId="NDISSubparagraph">
    <w:name w:val="NDIS Subparagraph"/>
    <w:basedOn w:val="NDISParagraph"/>
    <w:rsid w:val="006140AB"/>
    <w:pPr>
      <w:numPr>
        <w:ilvl w:val="6"/>
      </w:numPr>
    </w:pPr>
  </w:style>
  <w:style w:type="paragraph" w:customStyle="1" w:styleId="NDISSubsubparagraph">
    <w:name w:val="NDIS Subsubparagraph"/>
    <w:basedOn w:val="NDISParagraph"/>
    <w:rsid w:val="006140AB"/>
    <w:pPr>
      <w:numPr>
        <w:ilvl w:val="7"/>
      </w:numPr>
    </w:pPr>
  </w:style>
  <w:style w:type="paragraph" w:styleId="NoSpacing">
    <w:name w:val="No Spacing"/>
    <w:basedOn w:val="Normal"/>
    <w:link w:val="NoSpacingChar"/>
    <w:uiPriority w:val="1"/>
    <w:qFormat/>
    <w:rsid w:val="00DC24D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C24DC"/>
  </w:style>
  <w:style w:type="paragraph" w:styleId="Subtitle">
    <w:name w:val="Subtitle"/>
    <w:basedOn w:val="Normal"/>
    <w:next w:val="Normal"/>
    <w:link w:val="SubtitleChar"/>
    <w:uiPriority w:val="11"/>
    <w:qFormat/>
    <w:rsid w:val="00DC24DC"/>
    <w:pPr>
      <w:spacing w:after="600"/>
    </w:pPr>
    <w:rPr>
      <w:rFonts w:eastAsiaTheme="majorEastAsia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DC24DC"/>
    <w:rPr>
      <w:rFonts w:eastAsiaTheme="majorEastAsia" w:cstheme="majorBidi"/>
      <w:i/>
      <w:iCs/>
      <w:spacing w:val="13"/>
    </w:rPr>
  </w:style>
  <w:style w:type="character" w:styleId="SubtleEmphasis">
    <w:name w:val="Subtle Emphasis"/>
    <w:uiPriority w:val="19"/>
    <w:qFormat/>
    <w:rsid w:val="00DC24DC"/>
    <w:rPr>
      <w:i/>
      <w:iCs/>
    </w:rPr>
  </w:style>
  <w:style w:type="character" w:styleId="Strong">
    <w:name w:val="Strong"/>
    <w:uiPriority w:val="22"/>
    <w:qFormat/>
    <w:rsid w:val="00DC24DC"/>
    <w:rPr>
      <w:b/>
      <w:bCs/>
    </w:rPr>
  </w:style>
  <w:style w:type="character" w:styleId="Emphasis">
    <w:name w:val="Emphasis"/>
    <w:uiPriority w:val="20"/>
    <w:qFormat/>
    <w:rsid w:val="00DC24D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DC24DC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4D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4DC"/>
    <w:rPr>
      <w:b/>
      <w:bCs/>
      <w:i/>
      <w:iCs/>
    </w:rPr>
  </w:style>
  <w:style w:type="character" w:styleId="SubtleReference">
    <w:name w:val="Subtle Reference"/>
    <w:uiPriority w:val="31"/>
    <w:qFormat/>
    <w:rsid w:val="00DC24DC"/>
    <w:rPr>
      <w:smallCaps/>
    </w:rPr>
  </w:style>
  <w:style w:type="character" w:styleId="IntenseReference">
    <w:name w:val="Intense Reference"/>
    <w:uiPriority w:val="32"/>
    <w:qFormat/>
    <w:rsid w:val="00DC24DC"/>
    <w:rPr>
      <w:smallCaps/>
      <w:spacing w:val="5"/>
      <w:u w:val="single"/>
    </w:rPr>
  </w:style>
  <w:style w:type="character" w:styleId="BookTitle">
    <w:name w:val="Book Title"/>
    <w:uiPriority w:val="33"/>
    <w:qFormat/>
    <w:rsid w:val="00DC24DC"/>
    <w:rPr>
      <w:color w:val="652F76"/>
      <w:sz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4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C24DC"/>
    <w:pPr>
      <w:spacing w:before="240" w:line="36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GridTable1Light-Accent41">
    <w:name w:val="Grid Table 1 Light - Accent 41"/>
    <w:basedOn w:val="TableNormal"/>
    <w:uiPriority w:val="46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D096DA" w:themeColor="accent4" w:themeTint="66"/>
        <w:left w:val="single" w:sz="4" w:space="0" w:color="D096DA" w:themeColor="accent4" w:themeTint="66"/>
        <w:bottom w:val="single" w:sz="4" w:space="0" w:color="D096DA" w:themeColor="accent4" w:themeTint="66"/>
        <w:right w:val="single" w:sz="4" w:space="0" w:color="D096DA" w:themeColor="accent4" w:themeTint="66"/>
        <w:insideH w:val="single" w:sz="4" w:space="0" w:color="D096DA" w:themeColor="accent4" w:themeTint="66"/>
        <w:insideV w:val="single" w:sz="4" w:space="0" w:color="D09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962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62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unhideWhenUsed/>
    <w:rsid w:val="00DC2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4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4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4DC"/>
    <w:rPr>
      <w:b/>
      <w:bCs/>
      <w:sz w:val="20"/>
      <w:szCs w:val="20"/>
    </w:rPr>
  </w:style>
  <w:style w:type="paragraph" w:customStyle="1" w:styleId="Default">
    <w:name w:val="Default"/>
    <w:rsid w:val="00DC2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Revision">
    <w:name w:val="Revision"/>
    <w:hidden/>
    <w:uiPriority w:val="99"/>
    <w:semiHidden/>
    <w:rsid w:val="00DC24DC"/>
    <w:pPr>
      <w:spacing w:after="0" w:line="240" w:lineRule="auto"/>
    </w:pPr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B0D64"/>
    <w:pPr>
      <w:spacing w:line="240" w:lineRule="atLeast"/>
      <w:ind w:left="284" w:hanging="284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B0D64"/>
    <w:rPr>
      <w:sz w:val="20"/>
      <w:szCs w:val="20"/>
    </w:rPr>
  </w:style>
  <w:style w:type="character" w:customStyle="1" w:styleId="tgc">
    <w:name w:val="_tgc"/>
    <w:basedOn w:val="DefaultParagraphFont"/>
    <w:rsid w:val="00DC24DC"/>
  </w:style>
  <w:style w:type="table" w:styleId="GridTable6Colorful-Accent1">
    <w:name w:val="Grid Table 6 Colorful Accent 1"/>
    <w:basedOn w:val="TableNormal"/>
    <w:uiPriority w:val="51"/>
    <w:rsid w:val="00DC24D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numbering" w:customStyle="1" w:styleId="NoList1">
    <w:name w:val="No List1"/>
    <w:next w:val="NoList"/>
    <w:uiPriority w:val="99"/>
    <w:semiHidden/>
    <w:unhideWhenUsed/>
    <w:rsid w:val="00DC24DC"/>
  </w:style>
  <w:style w:type="table" w:customStyle="1" w:styleId="TableGrid1">
    <w:name w:val="Table Grid1"/>
    <w:basedOn w:val="TableNormal"/>
    <w:next w:val="TableGrid"/>
    <w:uiPriority w:val="39"/>
    <w:rsid w:val="00DC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DC24D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4DC"/>
    <w:pPr>
      <w:spacing w:after="0" w:line="240" w:lineRule="auto"/>
      <w:ind w:left="440" w:hanging="220"/>
    </w:pPr>
  </w:style>
  <w:style w:type="table" w:customStyle="1" w:styleId="GridTable4-Accent52">
    <w:name w:val="Grid Table 4 - Accent 52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3">
    <w:name w:val="Grid Table 4 - Accent 53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4">
    <w:name w:val="Grid Table 4 - Accent 54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5">
    <w:name w:val="Grid Table 4 - Accent 55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6">
    <w:name w:val="Grid Table 4 - Accent 56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7">
    <w:name w:val="Grid Table 4 - Accent 57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8">
    <w:name w:val="Grid Table 4 - Accent 58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9">
    <w:name w:val="Grid Table 4 - Accent 59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10">
    <w:name w:val="Grid Table 4 - Accent 510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11">
    <w:name w:val="Grid Table 4 - Accent 511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12">
    <w:name w:val="Grid Table 4 - Accent 512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13">
    <w:name w:val="Grid Table 4 - Accent 513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14">
    <w:name w:val="Grid Table 4 - Accent 514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15">
    <w:name w:val="Grid Table 4 - Accent 515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16">
    <w:name w:val="Grid Table 4 - Accent 516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17">
    <w:name w:val="Grid Table 4 - Accent 517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18">
    <w:name w:val="Grid Table 4 - Accent 518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19">
    <w:name w:val="Grid Table 4 - Accent 519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20">
    <w:name w:val="Grid Table 4 - Accent 520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21">
    <w:name w:val="Grid Table 4 - Accent 521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22">
    <w:name w:val="Grid Table 4 - Accent 522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23">
    <w:name w:val="Grid Table 4 - Accent 523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24">
    <w:name w:val="Grid Table 4 - Accent 524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25">
    <w:name w:val="Grid Table 4 - Accent 525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26">
    <w:name w:val="Grid Table 4 - Accent 526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27">
    <w:name w:val="Grid Table 4 - Accent 527"/>
    <w:basedOn w:val="TableNormal"/>
    <w:next w:val="GridTable4-Accent5"/>
    <w:uiPriority w:val="49"/>
    <w:rsid w:val="00DC24D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DC24D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4D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C24D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C24DC"/>
    <w:rPr>
      <w:color w:val="800080" w:themeColor="followedHyperlink"/>
      <w:u w:val="single"/>
    </w:rPr>
  </w:style>
  <w:style w:type="character" w:customStyle="1" w:styleId="CaptionChar">
    <w:name w:val="Caption Char"/>
    <w:basedOn w:val="DefaultParagraphFont"/>
    <w:link w:val="Caption"/>
    <w:rsid w:val="00182AC5"/>
    <w:rPr>
      <w:b/>
      <w:bCs/>
      <w:i/>
      <w:sz w:val="20"/>
      <w:szCs w:val="20"/>
    </w:rPr>
  </w:style>
  <w:style w:type="paragraph" w:customStyle="1" w:styleId="Source">
    <w:name w:val="Source"/>
    <w:basedOn w:val="Normal"/>
    <w:uiPriority w:val="6"/>
    <w:rsid w:val="00DC24DC"/>
    <w:rPr>
      <w:i/>
      <w:sz w:val="18"/>
    </w:rPr>
  </w:style>
  <w:style w:type="paragraph" w:customStyle="1" w:styleId="tablelistbullet">
    <w:name w:val="table list bullet"/>
    <w:basedOn w:val="ListParagraph"/>
    <w:qFormat/>
    <w:rsid w:val="00DC24DC"/>
    <w:pPr>
      <w:tabs>
        <w:tab w:val="num" w:pos="360"/>
      </w:tabs>
      <w:spacing w:before="0" w:line="240" w:lineRule="auto"/>
      <w:ind w:left="720"/>
      <w:contextualSpacing/>
    </w:pPr>
    <w:rPr>
      <w:rFonts w:eastAsia="MS Mincho" w:cs="FSMe-Bold"/>
      <w:spacing w:val="-2"/>
      <w:sz w:val="20"/>
      <w:szCs w:val="20"/>
      <w:lang w:val="en-US"/>
    </w:rPr>
  </w:style>
  <w:style w:type="paragraph" w:customStyle="1" w:styleId="BodyText1">
    <w:name w:val="Body Text1"/>
    <w:basedOn w:val="Normal"/>
    <w:uiPriority w:val="99"/>
    <w:qFormat/>
    <w:rsid w:val="00DC24DC"/>
    <w:pPr>
      <w:spacing w:before="0" w:line="240" w:lineRule="auto"/>
    </w:pPr>
    <w:rPr>
      <w:rFonts w:eastAsia="MS Mincho" w:cs="FSMe-Bold"/>
      <w:spacing w:val="-2"/>
      <w:sz w:val="20"/>
      <w:szCs w:val="20"/>
      <w:lang w:val="en-US"/>
    </w:rPr>
  </w:style>
  <w:style w:type="paragraph" w:customStyle="1" w:styleId="Eventbodycopy">
    <w:name w:val="Event body copy"/>
    <w:basedOn w:val="Normal"/>
    <w:qFormat/>
    <w:rsid w:val="00DC24DC"/>
    <w:pPr>
      <w:widowControl w:val="0"/>
      <w:suppressAutoHyphens/>
      <w:autoSpaceDE w:val="0"/>
      <w:autoSpaceDN w:val="0"/>
      <w:adjustRightInd w:val="0"/>
      <w:spacing w:before="0" w:after="200" w:line="24" w:lineRule="atLeast"/>
      <w:textAlignment w:val="center"/>
    </w:pPr>
    <w:rPr>
      <w:rFonts w:eastAsiaTheme="minorEastAsia" w:cs="Arial"/>
      <w:color w:val="000000"/>
      <w:lang w:val="en-US" w:eastAsia="ja-JP"/>
    </w:rPr>
  </w:style>
  <w:style w:type="paragraph" w:styleId="ListBullet">
    <w:name w:val="List Bullet"/>
    <w:basedOn w:val="Normal"/>
    <w:autoRedefine/>
    <w:uiPriority w:val="99"/>
    <w:unhideWhenUsed/>
    <w:qFormat/>
    <w:rsid w:val="00DC24DC"/>
    <w:pPr>
      <w:numPr>
        <w:numId w:val="1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F2F2F2" w:themeFill="background1" w:themeFillShade="F2"/>
      <w:spacing w:after="200" w:line="240" w:lineRule="auto"/>
    </w:pPr>
    <w:rPr>
      <w:rFonts w:eastAsiaTheme="minorEastAsia" w:cs="Arial"/>
      <w:spacing w:val="-3"/>
      <w:kern w:val="1"/>
      <w:szCs w:val="20"/>
      <w:lang w:val="en-GB"/>
    </w:rPr>
  </w:style>
  <w:style w:type="paragraph" w:customStyle="1" w:styleId="NDISSandwich">
    <w:name w:val="NDIS Sandwich"/>
    <w:basedOn w:val="NDISSubsection"/>
    <w:next w:val="NDISSubsection"/>
    <w:rsid w:val="00DC24DC"/>
    <w:pPr>
      <w:spacing w:before="80"/>
      <w:ind w:left="567"/>
    </w:pPr>
  </w:style>
  <w:style w:type="character" w:styleId="PlaceholderText">
    <w:name w:val="Placeholder Text"/>
    <w:basedOn w:val="DefaultParagraphFont"/>
    <w:uiPriority w:val="99"/>
    <w:semiHidden/>
    <w:rsid w:val="00DC24DC"/>
    <w:rPr>
      <w:color w:val="808080"/>
    </w:rPr>
  </w:style>
  <w:style w:type="paragraph" w:customStyle="1" w:styleId="PlainParagraph">
    <w:name w:val="Plain Paragraph"/>
    <w:aliases w:val="PP"/>
    <w:basedOn w:val="Normal"/>
    <w:link w:val="PlainParagraphChar"/>
    <w:rsid w:val="00DC24DC"/>
    <w:pPr>
      <w:spacing w:before="140" w:after="140"/>
    </w:pPr>
    <w:rPr>
      <w:rFonts w:eastAsia="Times New Roman" w:cs="Arial"/>
      <w:lang w:eastAsia="en-AU"/>
    </w:rPr>
  </w:style>
  <w:style w:type="character" w:customStyle="1" w:styleId="PlainParagraphChar">
    <w:name w:val="Plain Paragraph Char"/>
    <w:aliases w:val="PP Char"/>
    <w:basedOn w:val="DefaultParagraphFont"/>
    <w:link w:val="PlainParagraph"/>
    <w:rsid w:val="00DC24DC"/>
    <w:rPr>
      <w:rFonts w:eastAsia="Times New Roman" w:cs="Arial"/>
      <w:sz w:val="22"/>
      <w:lang w:eastAsia="en-AU"/>
    </w:rPr>
  </w:style>
  <w:style w:type="paragraph" w:customStyle="1" w:styleId="Dot1">
    <w:name w:val="Dot1"/>
    <w:aliases w:val="DOT"/>
    <w:basedOn w:val="Normal"/>
    <w:link w:val="Dot1Char"/>
    <w:uiPriority w:val="2"/>
    <w:qFormat/>
    <w:rsid w:val="00DC24DC"/>
    <w:pPr>
      <w:numPr>
        <w:ilvl w:val="1"/>
        <w:numId w:val="2"/>
      </w:numPr>
      <w:spacing w:before="0" w:after="140"/>
    </w:pPr>
    <w:rPr>
      <w:rFonts w:eastAsia="Times New Roman" w:cs="Arial"/>
      <w:lang w:eastAsia="en-AU"/>
    </w:rPr>
  </w:style>
  <w:style w:type="character" w:customStyle="1" w:styleId="Dot1Char">
    <w:name w:val="Dot1 Char"/>
    <w:aliases w:val="DOT Char"/>
    <w:basedOn w:val="DefaultParagraphFont"/>
    <w:link w:val="Dot1"/>
    <w:uiPriority w:val="2"/>
    <w:rsid w:val="00DC24DC"/>
    <w:rPr>
      <w:rFonts w:eastAsia="Times New Roman" w:cs="Arial"/>
      <w:lang w:eastAsia="en-AU"/>
    </w:rPr>
  </w:style>
  <w:style w:type="paragraph" w:customStyle="1" w:styleId="CEOBrief-Heading1">
    <w:name w:val="CEO Brief - Heading 1"/>
    <w:basedOn w:val="ListParagraph"/>
    <w:rsid w:val="00DC24DC"/>
    <w:pPr>
      <w:numPr>
        <w:numId w:val="3"/>
      </w:numPr>
      <w:spacing w:line="240" w:lineRule="auto"/>
    </w:pPr>
    <w:rPr>
      <w:rFonts w:eastAsia="Times New Roman" w:cs="Arial"/>
      <w:b/>
      <w:color w:val="6B2F76"/>
    </w:rPr>
  </w:style>
  <w:style w:type="paragraph" w:customStyle="1" w:styleId="CEOBrief-Paragraph1">
    <w:name w:val="CEO Brief - Paragraph 1"/>
    <w:basedOn w:val="ListParagraph"/>
    <w:link w:val="CEOBrief-Paragraph1Char"/>
    <w:rsid w:val="00DC24DC"/>
    <w:pPr>
      <w:spacing w:line="240" w:lineRule="auto"/>
    </w:pPr>
    <w:rPr>
      <w:rFonts w:eastAsia="Times New Roman" w:cs="Arial"/>
    </w:rPr>
  </w:style>
  <w:style w:type="paragraph" w:customStyle="1" w:styleId="CEOBrief-Paragraph2">
    <w:name w:val="CEO Brief - Paragraph 2"/>
    <w:basedOn w:val="CEOBrief-Paragraph1"/>
    <w:rsid w:val="00DC24DC"/>
    <w:pPr>
      <w:numPr>
        <w:ilvl w:val="2"/>
        <w:numId w:val="3"/>
      </w:numPr>
      <w:ind w:left="2160" w:hanging="360"/>
    </w:pPr>
  </w:style>
  <w:style w:type="character" w:customStyle="1" w:styleId="CEOBrief-Paragraph1Char">
    <w:name w:val="CEO Brief - Paragraph 1 Char"/>
    <w:basedOn w:val="ListParagraphChar"/>
    <w:link w:val="CEOBrief-Paragraph1"/>
    <w:rsid w:val="00DC24DC"/>
    <w:rPr>
      <w:rFonts w:eastAsia="Times New Roman" w:cs="Arial"/>
    </w:rPr>
  </w:style>
  <w:style w:type="table" w:styleId="GridTable4-Accent4">
    <w:name w:val="Grid Table 4 Accent 4"/>
    <w:basedOn w:val="TableNormal"/>
    <w:uiPriority w:val="49"/>
    <w:rsid w:val="00A9435F"/>
    <w:pPr>
      <w:spacing w:after="0" w:line="240" w:lineRule="auto"/>
    </w:pPr>
    <w:tblPr>
      <w:tblStyleRowBandSize w:val="1"/>
      <w:tblStyleColBandSize w:val="1"/>
      <w:tblBorders>
        <w:top w:val="single" w:sz="4" w:space="0" w:color="B962C8" w:themeColor="accent4" w:themeTint="99"/>
        <w:left w:val="single" w:sz="4" w:space="0" w:color="B962C8" w:themeColor="accent4" w:themeTint="99"/>
        <w:bottom w:val="single" w:sz="4" w:space="0" w:color="B962C8" w:themeColor="accent4" w:themeTint="99"/>
        <w:right w:val="single" w:sz="4" w:space="0" w:color="B962C8" w:themeColor="accent4" w:themeTint="99"/>
        <w:insideH w:val="single" w:sz="4" w:space="0" w:color="B962C8" w:themeColor="accent4" w:themeTint="99"/>
        <w:insideV w:val="single" w:sz="4" w:space="0" w:color="B962C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2976" w:themeColor="accent4"/>
          <w:left w:val="single" w:sz="4" w:space="0" w:color="6B2976" w:themeColor="accent4"/>
          <w:bottom w:val="single" w:sz="4" w:space="0" w:color="6B2976" w:themeColor="accent4"/>
          <w:right w:val="single" w:sz="4" w:space="0" w:color="6B2976" w:themeColor="accent4"/>
          <w:insideH w:val="nil"/>
          <w:insideV w:val="nil"/>
        </w:tcBorders>
        <w:shd w:val="clear" w:color="auto" w:fill="6B2976" w:themeFill="accent4"/>
      </w:tcPr>
    </w:tblStylePr>
    <w:tblStylePr w:type="lastRow">
      <w:rPr>
        <w:b/>
        <w:bCs/>
      </w:rPr>
      <w:tblPr/>
      <w:tcPr>
        <w:tcBorders>
          <w:top w:val="double" w:sz="4" w:space="0" w:color="6B29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4" w:themeFillTint="33"/>
      </w:tcPr>
    </w:tblStylePr>
    <w:tblStylePr w:type="band1Horz">
      <w:tblPr/>
      <w:tcPr>
        <w:shd w:val="clear" w:color="auto" w:fill="E8CAED" w:themeFill="accent4" w:themeFillTint="33"/>
      </w:tcPr>
    </w:tblStylePr>
  </w:style>
  <w:style w:type="table" w:styleId="PlainTable4">
    <w:name w:val="Plain Table 4"/>
    <w:basedOn w:val="TableNormal"/>
    <w:uiPriority w:val="99"/>
    <w:rsid w:val="008B4D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tionTable">
    <w:name w:val="Caption_Table"/>
    <w:basedOn w:val="Normal"/>
    <w:next w:val="Normal"/>
    <w:uiPriority w:val="4"/>
    <w:rsid w:val="00795B27"/>
    <w:pPr>
      <w:keepNext/>
      <w:keepLines/>
      <w:numPr>
        <w:ilvl w:val="6"/>
        <w:numId w:val="5"/>
      </w:numPr>
      <w:spacing w:before="240" w:after="240" w:line="240" w:lineRule="atLeast"/>
      <w:jc w:val="left"/>
    </w:pPr>
    <w:rPr>
      <w:rFonts w:eastAsia="Times New Roman" w:cs="Times New Roman"/>
      <w:color w:val="F79646" w:themeColor="accent6"/>
      <w:sz w:val="17"/>
      <w:szCs w:val="20"/>
      <w:lang w:val="en-GB"/>
    </w:rPr>
  </w:style>
  <w:style w:type="paragraph" w:customStyle="1" w:styleId="CaptionFigure">
    <w:name w:val="Caption_Figure"/>
    <w:basedOn w:val="Normal"/>
    <w:next w:val="Normal"/>
    <w:uiPriority w:val="4"/>
    <w:rsid w:val="00795B27"/>
    <w:pPr>
      <w:keepNext/>
      <w:keepLines/>
      <w:numPr>
        <w:ilvl w:val="8"/>
        <w:numId w:val="5"/>
      </w:numPr>
      <w:spacing w:before="200" w:after="200" w:line="240" w:lineRule="atLeast"/>
      <w:jc w:val="left"/>
    </w:pPr>
    <w:rPr>
      <w:bCs/>
      <w:color w:val="F79646" w:themeColor="accent6"/>
      <w:sz w:val="17"/>
      <w:lang w:val="en-GB"/>
    </w:rPr>
  </w:style>
  <w:style w:type="paragraph" w:customStyle="1" w:styleId="CaptionChart">
    <w:name w:val="Caption_Chart"/>
    <w:basedOn w:val="Normal"/>
    <w:next w:val="Normal"/>
    <w:uiPriority w:val="4"/>
    <w:rsid w:val="00795B27"/>
    <w:pPr>
      <w:keepNext/>
      <w:keepLines/>
      <w:numPr>
        <w:ilvl w:val="7"/>
        <w:numId w:val="5"/>
      </w:numPr>
      <w:spacing w:before="200" w:after="200" w:line="240" w:lineRule="atLeast"/>
      <w:jc w:val="left"/>
    </w:pPr>
    <w:rPr>
      <w:color w:val="F79646" w:themeColor="accent6"/>
      <w:sz w:val="17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F6999"/>
    <w:pPr>
      <w:spacing w:before="0" w:after="0" w:line="240" w:lineRule="auto"/>
      <w:jc w:val="left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F6999"/>
    <w:rPr>
      <w:rFonts w:ascii="Calibri" w:hAnsi="Calibri"/>
      <w:szCs w:val="21"/>
    </w:rPr>
  </w:style>
  <w:style w:type="paragraph" w:styleId="TableofFigures">
    <w:name w:val="table of figures"/>
    <w:basedOn w:val="Normal"/>
    <w:next w:val="Normal"/>
    <w:uiPriority w:val="99"/>
    <w:unhideWhenUsed/>
    <w:rsid w:val="00EE5246"/>
    <w:pPr>
      <w:spacing w:after="0"/>
    </w:pPr>
  </w:style>
  <w:style w:type="numbering" w:customStyle="1" w:styleId="Style1">
    <w:name w:val="Style1"/>
    <w:uiPriority w:val="99"/>
    <w:rsid w:val="004C6B51"/>
    <w:pPr>
      <w:numPr>
        <w:numId w:val="7"/>
      </w:numPr>
    </w:pPr>
  </w:style>
  <w:style w:type="table" w:styleId="PlainTable3">
    <w:name w:val="Plain Table 3"/>
    <w:basedOn w:val="TableNormal"/>
    <w:uiPriority w:val="43"/>
    <w:rsid w:val="003A3C03"/>
    <w:pPr>
      <w:spacing w:before="0" w:after="0" w:line="240" w:lineRule="auto"/>
    </w:pPr>
    <w:rPr>
      <w:sz w:val="18"/>
    </w:r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  <w:smallCaps w:val="0"/>
        <w:sz w:val="18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aragraphStyle">
    <w:name w:val="Paragraph Style"/>
    <w:basedOn w:val="Normal"/>
    <w:link w:val="ParagraphStyleChar"/>
    <w:qFormat/>
    <w:rsid w:val="003A3C03"/>
    <w:pPr>
      <w:spacing w:before="0" w:after="0" w:line="240" w:lineRule="auto"/>
      <w:jc w:val="left"/>
    </w:pPr>
    <w:rPr>
      <w:rFonts w:ascii="Arial" w:eastAsiaTheme="minorEastAsia" w:hAnsi="Arial" w:cs="Arial"/>
    </w:rPr>
  </w:style>
  <w:style w:type="character" w:customStyle="1" w:styleId="ParagraphStyleChar">
    <w:name w:val="Paragraph Style Char"/>
    <w:basedOn w:val="DefaultParagraphFont"/>
    <w:link w:val="ParagraphStyle"/>
    <w:rsid w:val="003A3C03"/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is.gov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to.gov.au/Business/Super-for-employers/How-much-to-pay/" TargetMode="External"/><Relationship Id="rId2" Type="http://schemas.openxmlformats.org/officeDocument/2006/relationships/hyperlink" Target="https://www.fairwork.gov.au/ArticleDocuments/872/social-community-home-care-and-disability-services-industry-award-ma000100-pay-guide.pdf.aspx" TargetMode="External"/><Relationship Id="rId1" Type="http://schemas.openxmlformats.org/officeDocument/2006/relationships/hyperlink" Target="http://awardviewer.fwo.gov.au/award/show/MA000100" TargetMode="External"/><Relationship Id="rId4" Type="http://schemas.openxmlformats.org/officeDocument/2006/relationships/hyperlink" Target="http://www.safeworkaustralia.gov.au/workers-compensation/comparing-workers-compensation-scheme-performance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6B297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5" ma:contentTypeDescription="Create a new document." ma:contentTypeScope="" ma:versionID="586b857ece52d161859eecff12291519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9421b92c9e8816d069fb67c06e76234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3008f86-ec38-484e-8e3a-bde2ea90810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C108F-BF53-40C8-8C2E-3B281499A094}"/>
</file>

<file path=customXml/itemProps2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32D30-8ECC-4774-B97D-08B21D6372F2}">
  <ds:schemaRefs>
    <ds:schemaRef ds:uri="http://purl.org/dc/elements/1.1/"/>
    <ds:schemaRef ds:uri="http://schemas.microsoft.com/office/2006/metadata/properties"/>
    <ds:schemaRef ds:uri="4eda4ad6-7ef7-4305-ba1e-934f809bdd01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8569e35-c074-42ac-b0e0-5012f8e6d690"/>
    <ds:schemaRef ds:uri="http://schemas.microsoft.com/office/infopath/2007/PartnerControl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392DC0-F4E1-436C-82C0-9349BFA9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2747</Words>
  <Characters>15660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)</vt:lpstr>
    </vt:vector>
  </TitlesOfParts>
  <Company/>
  <LinksUpToDate>false</LinksUpToDate>
  <CharactersWithSpaces>18371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)</dc:title>
  <dc:subject/>
  <dc:creator>CULLEN, David</dc:creator>
  <cp:keywords/>
  <dc:description/>
  <cp:lastModifiedBy>Sally Ling</cp:lastModifiedBy>
  <cp:revision>3</cp:revision>
  <cp:lastPrinted>2019-09-09T03:47:00Z</cp:lastPrinted>
  <dcterms:created xsi:type="dcterms:W3CDTF">2019-10-09T06:06:00Z</dcterms:created>
  <dcterms:modified xsi:type="dcterms:W3CDTF">2019-10-09T06:12:00Z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ate_Of_Effcet">
    <vt:lpwstr>17 September 2017</vt:lpwstr>
  </property>
  <property fmtid="{D5CDD505-2E9C-101B-9397-08002B2CF9AE}" pid="9" name="DATEEFFCET">
    <vt:filetime>2018-10-16T14:00:00Z</vt:filetime>
  </property>
  <property fmtid="{D5CDD505-2E9C-101B-9397-08002B2CF9AE}" pid="10" name="Order">
    <vt:r8>1162400</vt:r8>
  </property>
</Properties>
</file>