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815D" w14:textId="77777777" w:rsidR="00EC73BF" w:rsidRPr="00DD6692" w:rsidRDefault="00995132" w:rsidP="002F3691">
      <w:pPr>
        <w:ind w:firstLine="142"/>
        <w:sectPr w:rsidR="00EC73BF" w:rsidRPr="00DD6692" w:rsidSect="002F3691">
          <w:headerReference w:type="default" r:id="rId11"/>
          <w:footerReference w:type="default" r:id="rId12"/>
          <w:footerReference w:type="first" r:id="rId13"/>
          <w:type w:val="oddPage"/>
          <w:pgSz w:w="11906" w:h="16838" w:code="9"/>
          <w:pgMar w:top="1440" w:right="1440" w:bottom="1440" w:left="567" w:header="709" w:footer="709" w:gutter="0"/>
          <w:cols w:space="708"/>
          <w:titlePg/>
          <w:docGrid w:linePitch="360"/>
        </w:sectPr>
      </w:pPr>
      <w:r w:rsidRPr="00DD6692">
        <w:rPr>
          <w:noProof/>
          <w:sz w:val="44"/>
          <w:lang w:eastAsia="en-AU"/>
        </w:rPr>
        <mc:AlternateContent>
          <mc:Choice Requires="wps">
            <w:drawing>
              <wp:inline distT="0" distB="0" distL="0" distR="0" wp14:anchorId="04050972" wp14:editId="504805CC">
                <wp:extent cx="6684009" cy="7684134"/>
                <wp:effectExtent l="0" t="0" r="2222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09" cy="7684134"/>
                        </a:xfrm>
                        <a:prstGeom prst="rect">
                          <a:avLst/>
                        </a:prstGeom>
                        <a:solidFill>
                          <a:schemeClr val="accent4"/>
                        </a:solidFill>
                        <a:ln w="9525" cap="rnd">
                          <a:solidFill>
                            <a:srgbClr val="000000"/>
                          </a:solidFill>
                          <a:round/>
                          <a:headEnd/>
                          <a:tailEnd/>
                        </a:ln>
                        <a:effectLst>
                          <a:softEdge rad="31750"/>
                        </a:effectLst>
                      </wps:spPr>
                      <wps:txb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77777777" w:rsidR="00963528" w:rsidRPr="00117BFB" w:rsidRDefault="00963528" w:rsidP="00BD1DF8">
                            <w:pPr>
                              <w:pStyle w:val="Headingcover"/>
                              <w:spacing w:line="900" w:lineRule="atLeast"/>
                            </w:pPr>
                            <w:r w:rsidRPr="00117BFB">
                              <w:t>202</w:t>
                            </w:r>
                            <w:r>
                              <w:t>2</w:t>
                            </w:r>
                            <w:r w:rsidRPr="00117BFB">
                              <w:t>-2</w:t>
                            </w:r>
                            <w:r>
                              <w:t>3</w:t>
                            </w:r>
                            <w:r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77777777" w:rsidR="00963528" w:rsidRPr="00117BFB" w:rsidRDefault="00963528" w:rsidP="00EC73BF">
                            <w:pPr>
                              <w:pStyle w:val="Headingcover"/>
                              <w:rPr>
                                <w:sz w:val="36"/>
                                <w:szCs w:val="36"/>
                              </w:rPr>
                            </w:pPr>
                            <w:r w:rsidRPr="00117BFB">
                              <w:rPr>
                                <w:sz w:val="36"/>
                                <w:szCs w:val="36"/>
                              </w:rPr>
                              <w:t>Valid from: 1 J</w:t>
                            </w:r>
                            <w:r>
                              <w:rPr>
                                <w:sz w:val="36"/>
                                <w:szCs w:val="36"/>
                              </w:rPr>
                              <w:t>uly</w:t>
                            </w:r>
                            <w:r w:rsidRPr="00117BFB">
                              <w:rPr>
                                <w:sz w:val="36"/>
                                <w:szCs w:val="36"/>
                              </w:rPr>
                              <w:t xml:space="preserve"> 202</w:t>
                            </w:r>
                            <w:r>
                              <w:rPr>
                                <w:sz w:val="36"/>
                                <w:szCs w:val="36"/>
                              </w:rPr>
                              <w:t>2</w:t>
                            </w:r>
                          </w:p>
                          <w:p w14:paraId="22B26028" w14:textId="1E19CFBB" w:rsidR="00963528" w:rsidRPr="00773F6C" w:rsidRDefault="00963528" w:rsidP="00EC73BF">
                            <w:pPr>
                              <w:pStyle w:val="Headingcover"/>
                              <w:rPr>
                                <w:sz w:val="28"/>
                                <w:szCs w:val="28"/>
                              </w:rPr>
                            </w:pPr>
                            <w:r>
                              <w:rPr>
                                <w:sz w:val="28"/>
                                <w:szCs w:val="28"/>
                              </w:rPr>
                              <w:t>(Version 1.0</w:t>
                            </w:r>
                            <w:r w:rsidRPr="00117BFB">
                              <w:rPr>
                                <w:sz w:val="28"/>
                                <w:szCs w:val="28"/>
                              </w:rPr>
                              <w:t xml:space="preserve"> - Publication </w:t>
                            </w:r>
                            <w:r w:rsidRPr="00293845">
                              <w:rPr>
                                <w:sz w:val="28"/>
                                <w:szCs w:val="28"/>
                              </w:rPr>
                              <w:t xml:space="preserve">Date: </w:t>
                            </w:r>
                            <w:r w:rsidR="00DE5D9A">
                              <w:rPr>
                                <w:sz w:val="28"/>
                                <w:szCs w:val="28"/>
                              </w:rPr>
                              <w:t>2</w:t>
                            </w:r>
                            <w:r w:rsidR="009030D6">
                              <w:rPr>
                                <w:sz w:val="28"/>
                                <w:szCs w:val="28"/>
                              </w:rPr>
                              <w:t>2</w:t>
                            </w:r>
                            <w:r w:rsidRPr="00293845">
                              <w:rPr>
                                <w:sz w:val="28"/>
                                <w:szCs w:val="28"/>
                              </w:rPr>
                              <w:t xml:space="preserve"> June 2022</w:t>
                            </w:r>
                            <w:r w:rsidRPr="00117BFB">
                              <w:rPr>
                                <w:sz w:val="28"/>
                                <w:szCs w:val="28"/>
                              </w:rPr>
                              <w:t>)</w:t>
                            </w:r>
                          </w:p>
                        </w:txbxContent>
                      </wps:txbx>
                      <wps:bodyPr rot="0" vert="horz" wrap="square" lIns="91440" tIns="45720" rIns="91440" bIns="45720" anchor="t" anchorCtr="0">
                        <a:noAutofit/>
                      </wps:bodyPr>
                    </wps:wsp>
                  </a:graphicData>
                </a:graphic>
              </wp:inline>
            </w:drawing>
          </mc:Choice>
          <mc:Fallback>
            <w:pict>
              <v:shapetype w14:anchorId="04050972" id="_x0000_t202" coordsize="21600,21600" o:spt="202" path="m,l,21600r21600,l21600,xe">
                <v:stroke joinstyle="miter"/>
                <v:path gradientshapeok="t" o:connecttype="rect"/>
              </v:shapetype>
              <v:shape id="Text Box 2" o:spid="_x0000_s1026" type="#_x0000_t202" style="width:526.3pt;height:60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" fillcolor="#6b2976 [3207]">
                <v:stroke joinstyle="round" endcap="round"/>
                <v:textbo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77777777" w:rsidR="00963528" w:rsidRPr="00117BFB" w:rsidRDefault="00963528" w:rsidP="00BD1DF8">
                      <w:pPr>
                        <w:pStyle w:val="Headingcover"/>
                        <w:spacing w:line="900" w:lineRule="atLeast"/>
                      </w:pPr>
                      <w:r w:rsidRPr="00117BFB">
                        <w:t>202</w:t>
                      </w:r>
                      <w:r>
                        <w:t>2</w:t>
                      </w:r>
                      <w:r w:rsidRPr="00117BFB">
                        <w:t>-2</w:t>
                      </w:r>
                      <w:r>
                        <w:t>3</w:t>
                      </w:r>
                      <w:r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77777777" w:rsidR="00963528" w:rsidRPr="00117BFB" w:rsidRDefault="00963528" w:rsidP="00EC73BF">
                      <w:pPr>
                        <w:pStyle w:val="Headingcover"/>
                        <w:rPr>
                          <w:sz w:val="36"/>
                          <w:szCs w:val="36"/>
                        </w:rPr>
                      </w:pPr>
                      <w:r w:rsidRPr="00117BFB">
                        <w:rPr>
                          <w:sz w:val="36"/>
                          <w:szCs w:val="36"/>
                        </w:rPr>
                        <w:t>Valid from: 1 J</w:t>
                      </w:r>
                      <w:r>
                        <w:rPr>
                          <w:sz w:val="36"/>
                          <w:szCs w:val="36"/>
                        </w:rPr>
                        <w:t>uly</w:t>
                      </w:r>
                      <w:r w:rsidRPr="00117BFB">
                        <w:rPr>
                          <w:sz w:val="36"/>
                          <w:szCs w:val="36"/>
                        </w:rPr>
                        <w:t xml:space="preserve"> 202</w:t>
                      </w:r>
                      <w:r>
                        <w:rPr>
                          <w:sz w:val="36"/>
                          <w:szCs w:val="36"/>
                        </w:rPr>
                        <w:t>2</w:t>
                      </w:r>
                    </w:p>
                    <w:p w14:paraId="22B26028" w14:textId="1E19CFBB" w:rsidR="00963528" w:rsidRPr="00773F6C" w:rsidRDefault="00963528" w:rsidP="00EC73BF">
                      <w:pPr>
                        <w:pStyle w:val="Headingcover"/>
                        <w:rPr>
                          <w:sz w:val="28"/>
                          <w:szCs w:val="28"/>
                        </w:rPr>
                      </w:pPr>
                      <w:r>
                        <w:rPr>
                          <w:sz w:val="28"/>
                          <w:szCs w:val="28"/>
                        </w:rPr>
                        <w:t>(Version 1.0</w:t>
                      </w:r>
                      <w:r w:rsidRPr="00117BFB">
                        <w:rPr>
                          <w:sz w:val="28"/>
                          <w:szCs w:val="28"/>
                        </w:rPr>
                        <w:t xml:space="preserve"> - Publication </w:t>
                      </w:r>
                      <w:r w:rsidRPr="00293845">
                        <w:rPr>
                          <w:sz w:val="28"/>
                          <w:szCs w:val="28"/>
                        </w:rPr>
                        <w:t xml:space="preserve">Date: </w:t>
                      </w:r>
                      <w:r w:rsidR="00DE5D9A">
                        <w:rPr>
                          <w:sz w:val="28"/>
                          <w:szCs w:val="28"/>
                        </w:rPr>
                        <w:t>2</w:t>
                      </w:r>
                      <w:r w:rsidR="009030D6">
                        <w:rPr>
                          <w:sz w:val="28"/>
                          <w:szCs w:val="28"/>
                        </w:rPr>
                        <w:t>2</w:t>
                      </w:r>
                      <w:r w:rsidRPr="00293845">
                        <w:rPr>
                          <w:sz w:val="28"/>
                          <w:szCs w:val="28"/>
                        </w:rPr>
                        <w:t xml:space="preserve"> June 2022</w:t>
                      </w:r>
                      <w:r w:rsidRPr="00117BFB">
                        <w:rPr>
                          <w:sz w:val="28"/>
                          <w:szCs w:val="28"/>
                        </w:rPr>
                        <w:t>)</w:t>
                      </w:r>
                    </w:p>
                  </w:txbxContent>
                </v:textbox>
                <w10:anchorlock/>
              </v:shape>
            </w:pict>
          </mc:Fallback>
        </mc:AlternateContent>
      </w:r>
      <w:r w:rsidR="00BF276E" w:rsidRPr="00DD6692">
        <w:br w:type="page"/>
      </w:r>
    </w:p>
    <w:p w14:paraId="52E28774" w14:textId="77777777" w:rsidR="005F1C33" w:rsidRPr="00DD6692" w:rsidRDefault="00CD599B" w:rsidP="001A3E36">
      <w:pPr>
        <w:rPr>
          <w:b/>
        </w:rPr>
      </w:pPr>
      <w:r w:rsidRPr="00DD6692">
        <w:rPr>
          <w:b/>
        </w:rPr>
        <w:lastRenderedPageBreak/>
        <w:t>C</w:t>
      </w:r>
      <w:r w:rsidR="005F1C33" w:rsidRPr="00DD6692">
        <w:rPr>
          <w:b/>
        </w:rPr>
        <w:t>opyright</w:t>
      </w:r>
    </w:p>
    <w:p w14:paraId="57734F98" w14:textId="77777777" w:rsidR="00CB77DC" w:rsidRPr="00DD6692" w:rsidRDefault="00CB77DC" w:rsidP="001A3E36">
      <w:r w:rsidRPr="00DD6692">
        <w:t xml:space="preserve">© </w:t>
      </w:r>
      <w:r w:rsidR="007B79CF" w:rsidRPr="00DD6692">
        <w:t>202</w:t>
      </w:r>
      <w:r w:rsidR="007B79CF">
        <w:t>2</w:t>
      </w:r>
    </w:p>
    <w:p w14:paraId="7DC16DFB" w14:textId="77777777" w:rsidR="005F1C33" w:rsidRPr="00DD6692" w:rsidRDefault="005F1C33" w:rsidP="001A3E36">
      <w:r w:rsidRPr="00DD6692">
        <w:t xml:space="preserve">Copyright in the information contained </w:t>
      </w:r>
      <w:r w:rsidR="00775FAB" w:rsidRPr="00DD6692">
        <w:t>i</w:t>
      </w:r>
      <w:r w:rsidRPr="00DD6692">
        <w:t xml:space="preserve">n this </w:t>
      </w:r>
      <w:r w:rsidR="00E27A53" w:rsidRPr="00DD6692">
        <w:t>document</w:t>
      </w:r>
      <w:r w:rsidR="00EC4C95" w:rsidRPr="00DD6692">
        <w:t xml:space="preserve"> </w:t>
      </w:r>
      <w:r w:rsidRPr="00DD6692">
        <w:t>is owned and protected by the National Disability Insurance Scheme Launch Transition Agency (National Disability Insurance Agency).</w:t>
      </w:r>
    </w:p>
    <w:p w14:paraId="00A52861" w14:textId="77777777" w:rsidR="005F1C33" w:rsidRPr="00DD6692" w:rsidRDefault="005F1C33" w:rsidP="001A3E36"/>
    <w:p w14:paraId="5B0ABDD2" w14:textId="77777777" w:rsidR="005F1C33" w:rsidRPr="00DD6692" w:rsidRDefault="005F1C33" w:rsidP="001A3E36">
      <w:pPr>
        <w:rPr>
          <w:b/>
        </w:rPr>
      </w:pPr>
      <w:r w:rsidRPr="00DD6692">
        <w:rPr>
          <w:b/>
        </w:rPr>
        <w:t>Use of National Disability Insurance Agency copyright material</w:t>
      </w:r>
    </w:p>
    <w:p w14:paraId="4620FE0D" w14:textId="77777777" w:rsidR="005F1C33" w:rsidRPr="00DD6692" w:rsidRDefault="005F1C33" w:rsidP="001A3E36">
      <w:r w:rsidRPr="00DD6692">
        <w:t xml:space="preserve">The material in this report </w:t>
      </w:r>
      <w:proofErr w:type="gramStart"/>
      <w:r w:rsidRPr="00DD6692">
        <w:t>with the exception of</w:t>
      </w:r>
      <w:proofErr w:type="gramEnd"/>
      <w:r w:rsidRPr="00DD6692">
        <w:t xml:space="preserve"> logos, </w:t>
      </w:r>
      <w:r w:rsidR="00CF2B90" w:rsidRPr="00DD6692">
        <w:t>trademarks</w:t>
      </w:r>
      <w:r w:rsidRPr="00DD6692">
        <w:t>, third party material and other content as specified is licensed under Creative Commons CC NC licence</w:t>
      </w:r>
      <w:r w:rsidR="002F3691" w:rsidRPr="00DD6692">
        <w:t xml:space="preserve">, </w:t>
      </w:r>
      <w:hyperlink r:id="rId14" w:history="1">
        <w:r w:rsidR="002F3691" w:rsidRPr="00DD6692">
          <w:rPr>
            <w:rStyle w:val="Hyperlink"/>
          </w:rPr>
          <w:t>version 4.0</w:t>
        </w:r>
      </w:hyperlink>
      <w:r w:rsidRPr="00DD6692">
        <w:t xml:space="preserve">. </w:t>
      </w:r>
      <w:proofErr w:type="gramStart"/>
      <w:r w:rsidRPr="00DD6692">
        <w:t>With the exception of</w:t>
      </w:r>
      <w:proofErr w:type="gramEnd"/>
      <w:r w:rsidRPr="00DD6692">
        <w:t xml:space="preserve"> logos, </w:t>
      </w:r>
      <w:r w:rsidR="00CF2B90" w:rsidRPr="00DD6692">
        <w:t>trademarks</w:t>
      </w:r>
      <w:r w:rsidRPr="00DD6692">
        <w:t xml:space="preserve">, third party material and other content as specified, you may reproduce the material in this </w:t>
      </w:r>
      <w:r w:rsidR="00BD1DF8" w:rsidRPr="00DD6692">
        <w:t>document</w:t>
      </w:r>
      <w:r w:rsidRPr="00DD6692">
        <w:t>, provided you acknowledge the National Disability Insurance Agency as the owner of all intellectual property rights in the reproduced material by using ‘© National Disability Insurance Sche</w:t>
      </w:r>
      <w:r w:rsidR="00CB77DC" w:rsidRPr="00DD6692">
        <w:t>me Launch Transition Agency 2021</w:t>
      </w:r>
      <w:r w:rsidRPr="00DD6692">
        <w:t>’ and do not use the material for commercial purposes.</w:t>
      </w:r>
    </w:p>
    <w:p w14:paraId="7ABF1914" w14:textId="77777777" w:rsidR="005F1C33" w:rsidRDefault="005F1C33" w:rsidP="001A3E36">
      <w:r w:rsidRPr="00DD6692">
        <w:t xml:space="preserve">Reproduction of any Creative Commons material in this </w:t>
      </w:r>
      <w:r w:rsidR="00CD7CF3" w:rsidRPr="00DD6692">
        <w:t>document</w:t>
      </w:r>
      <w:r w:rsidRPr="00DD6692">
        <w:t xml:space="preserve"> is subject to the CC NC licence conditions available on the Creative Commons site, as is the full legal code for this material.</w:t>
      </w:r>
    </w:p>
    <w:p w14:paraId="103204BC" w14:textId="77777777" w:rsidR="008B4DE2" w:rsidRPr="00DD6692" w:rsidRDefault="008B4DE2" w:rsidP="001A3E36"/>
    <w:p w14:paraId="69EC6C7F" w14:textId="77777777" w:rsidR="005F1C33" w:rsidRPr="00DD6692" w:rsidRDefault="005F1C33" w:rsidP="001A3E36">
      <w:pPr>
        <w:rPr>
          <w:b/>
        </w:rPr>
      </w:pPr>
      <w:r w:rsidRPr="00DD6692">
        <w:rPr>
          <w:b/>
        </w:rPr>
        <w:t>Further information</w:t>
      </w:r>
    </w:p>
    <w:p w14:paraId="2E0B39ED" w14:textId="77777777" w:rsidR="00713C8A" w:rsidRPr="00DD6692" w:rsidRDefault="005F1C33" w:rsidP="001A3E36">
      <w:pPr>
        <w:rPr>
          <w:rStyle w:val="Hyperlink"/>
        </w:rPr>
      </w:pPr>
      <w:r w:rsidRPr="00DD6692">
        <w:t>Further information on pricing in the National Disability Insurance Scheme can be found at</w:t>
      </w:r>
      <w:r w:rsidR="00713C8A" w:rsidRPr="00DD6692">
        <w:t xml:space="preserve"> </w:t>
      </w:r>
      <w:r w:rsidR="00AA0DA9" w:rsidRPr="00DD6692">
        <w:t xml:space="preserve">the </w:t>
      </w:r>
      <w:hyperlink r:id="rId15" w:history="1">
        <w:r w:rsidR="00AA0DA9" w:rsidRPr="00DD6692">
          <w:rPr>
            <w:rStyle w:val="Hyperlink"/>
          </w:rPr>
          <w:t>NDIS website</w:t>
        </w:r>
      </w:hyperlink>
    </w:p>
    <w:p w14:paraId="7FBA0140" w14:textId="77777777" w:rsidR="001C3502" w:rsidRPr="00DD6692" w:rsidRDefault="001C3502" w:rsidP="00A91E01">
      <w:pPr>
        <w:keepNext/>
        <w:rPr>
          <w:b/>
        </w:rPr>
      </w:pPr>
      <w:r w:rsidRPr="00DD6692">
        <w:rPr>
          <w:b/>
        </w:rPr>
        <w:t>Version Control</w:t>
      </w:r>
    </w:p>
    <w:p w14:paraId="1DCEF162" w14:textId="77777777" w:rsidR="001C3502" w:rsidRPr="00DD6692" w:rsidRDefault="00BD1DF8" w:rsidP="00A91E01">
      <w:pPr>
        <w:keepNext/>
        <w:rPr>
          <w:rFonts w:ascii="Arial" w:hAnsi="Arial" w:cs="Arial"/>
        </w:rPr>
      </w:pPr>
      <w:r w:rsidRPr="00DD6692">
        <w:rPr>
          <w:rFonts w:ascii="Arial" w:hAnsi="Arial" w:cs="Arial"/>
        </w:rPr>
        <w:t xml:space="preserve">This document </w:t>
      </w:r>
      <w:r w:rsidR="001C3502" w:rsidRPr="00DD6692">
        <w:rPr>
          <w:rFonts w:ascii="Arial" w:hAnsi="Arial" w:cs="Arial"/>
        </w:rPr>
        <w:t xml:space="preserve">is subject to change. The latest version of </w:t>
      </w:r>
      <w:r w:rsidRPr="00DD6692">
        <w:rPr>
          <w:rFonts w:ascii="Arial" w:hAnsi="Arial" w:cs="Arial"/>
        </w:rPr>
        <w:t>this document</w:t>
      </w:r>
      <w:r w:rsidR="001C3502" w:rsidRPr="00DD6692">
        <w:rPr>
          <w:rFonts w:ascii="Arial" w:hAnsi="Arial" w:cs="Arial"/>
        </w:rPr>
        <w:t xml:space="preserve"> is available on the </w:t>
      </w:r>
      <w:hyperlink r:id="rId16" w:history="1">
        <w:r w:rsidR="001C3502" w:rsidRPr="00DD6692">
          <w:rPr>
            <w:rStyle w:val="Hyperlink"/>
            <w:rFonts w:ascii="Arial" w:hAnsi="Arial" w:cs="Arial"/>
          </w:rPr>
          <w:t>NDIS website</w:t>
        </w:r>
      </w:hyperlink>
      <w:r w:rsidR="001C3502" w:rsidRPr="00DD6692">
        <w:rPr>
          <w:rFonts w:ascii="Arial" w:hAnsi="Arial" w:cs="Arial"/>
        </w:rPr>
        <w:t>.</w:t>
      </w:r>
    </w:p>
    <w:tbl>
      <w:tblPr>
        <w:tblStyle w:val="GridTable4-Accent4"/>
        <w:tblW w:w="5000" w:type="pct"/>
        <w:tblLook w:val="04A0" w:firstRow="1" w:lastRow="0" w:firstColumn="1" w:lastColumn="0" w:noHBand="0" w:noVBand="1"/>
        <w:tblDescription w:val="Version Control"/>
      </w:tblPr>
      <w:tblGrid>
        <w:gridCol w:w="911"/>
        <w:gridCol w:w="902"/>
        <w:gridCol w:w="4508"/>
        <w:gridCol w:w="1352"/>
        <w:gridCol w:w="1343"/>
      </w:tblGrid>
      <w:tr w:rsidR="001C3502" w:rsidRPr="00DD6692" w14:paraId="0664E70F" w14:textId="77777777" w:rsidTr="00893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270EFD44" w14:textId="77777777" w:rsidR="001C3502" w:rsidRPr="00DD6692" w:rsidRDefault="001C3502" w:rsidP="00A91E01">
            <w:pPr>
              <w:keepNext/>
              <w:spacing w:before="40" w:after="40"/>
              <w:jc w:val="center"/>
              <w:rPr>
                <w:rFonts w:ascii="Arial" w:hAnsi="Arial" w:cs="Arial"/>
                <w:b w:val="0"/>
                <w:sz w:val="18"/>
                <w:szCs w:val="18"/>
              </w:rPr>
            </w:pPr>
            <w:r w:rsidRPr="00DD6692">
              <w:rPr>
                <w:rFonts w:ascii="Arial" w:hAnsi="Arial" w:cs="Arial"/>
                <w:b w:val="0"/>
                <w:sz w:val="18"/>
                <w:szCs w:val="18"/>
              </w:rPr>
              <w:t>Version</w:t>
            </w:r>
          </w:p>
        </w:tc>
        <w:tc>
          <w:tcPr>
            <w:tcW w:w="500" w:type="pct"/>
          </w:tcPr>
          <w:p w14:paraId="0516EA2E" w14:textId="77777777" w:rsidR="001C3502" w:rsidRPr="00DD6692"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D6692">
              <w:rPr>
                <w:rFonts w:ascii="Arial" w:hAnsi="Arial" w:cs="Arial"/>
                <w:b w:val="0"/>
                <w:sz w:val="18"/>
                <w:szCs w:val="18"/>
              </w:rPr>
              <w:t>Page</w:t>
            </w:r>
          </w:p>
        </w:tc>
        <w:tc>
          <w:tcPr>
            <w:tcW w:w="2500" w:type="pct"/>
            <w:hideMark/>
          </w:tcPr>
          <w:p w14:paraId="5B229D55" w14:textId="77777777" w:rsidR="001C3502" w:rsidRPr="00DD6692" w:rsidRDefault="001C3502" w:rsidP="00A91E01">
            <w:pPr>
              <w:keepNext/>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D6692">
              <w:rPr>
                <w:rFonts w:ascii="Arial" w:hAnsi="Arial" w:cs="Arial"/>
                <w:b w:val="0"/>
                <w:sz w:val="18"/>
                <w:szCs w:val="18"/>
              </w:rPr>
              <w:t>Details of Amendment</w:t>
            </w:r>
          </w:p>
        </w:tc>
        <w:tc>
          <w:tcPr>
            <w:tcW w:w="750" w:type="pct"/>
            <w:hideMark/>
          </w:tcPr>
          <w:p w14:paraId="59FAAFAD" w14:textId="77777777" w:rsidR="001C3502" w:rsidRPr="00DD6692"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D6692">
              <w:rPr>
                <w:rFonts w:ascii="Arial" w:hAnsi="Arial" w:cs="Arial"/>
                <w:b w:val="0"/>
                <w:sz w:val="18"/>
                <w:szCs w:val="18"/>
              </w:rPr>
              <w:t>Release</w:t>
            </w:r>
            <w:r w:rsidRPr="00DD6692">
              <w:rPr>
                <w:rFonts w:ascii="Arial" w:hAnsi="Arial" w:cs="Arial"/>
                <w:b w:val="0"/>
                <w:sz w:val="18"/>
                <w:szCs w:val="18"/>
              </w:rPr>
              <w:br/>
              <w:t>Date</w:t>
            </w:r>
          </w:p>
        </w:tc>
        <w:tc>
          <w:tcPr>
            <w:tcW w:w="745" w:type="pct"/>
          </w:tcPr>
          <w:p w14:paraId="01326BF9" w14:textId="77777777" w:rsidR="001C3502" w:rsidRPr="00DD6692"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D6692">
              <w:rPr>
                <w:rFonts w:ascii="Arial" w:hAnsi="Arial" w:cs="Arial"/>
                <w:b w:val="0"/>
                <w:sz w:val="18"/>
                <w:szCs w:val="18"/>
              </w:rPr>
              <w:t>Operative</w:t>
            </w:r>
            <w:r w:rsidRPr="00DD6692">
              <w:rPr>
                <w:rFonts w:ascii="Arial" w:hAnsi="Arial" w:cs="Arial"/>
                <w:b w:val="0"/>
                <w:sz w:val="18"/>
                <w:szCs w:val="18"/>
              </w:rPr>
              <w:br/>
              <w:t>Date</w:t>
            </w:r>
          </w:p>
        </w:tc>
      </w:tr>
      <w:tr w:rsidR="001C3502" w:rsidRPr="00DD6692" w14:paraId="6531111F" w14:textId="77777777" w:rsidTr="00893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6800D562" w14:textId="77777777" w:rsidR="001C3502" w:rsidRPr="00DD6692" w:rsidRDefault="001C3502" w:rsidP="00B44B98">
            <w:pPr>
              <w:keepNext/>
              <w:spacing w:before="40" w:after="40"/>
              <w:jc w:val="center"/>
              <w:rPr>
                <w:rFonts w:ascii="Arial" w:hAnsi="Arial" w:cs="Arial"/>
                <w:sz w:val="18"/>
                <w:szCs w:val="18"/>
              </w:rPr>
            </w:pPr>
            <w:r w:rsidRPr="00DD6692">
              <w:rPr>
                <w:rFonts w:ascii="Arial" w:hAnsi="Arial" w:cs="Arial"/>
                <w:sz w:val="18"/>
                <w:szCs w:val="18"/>
              </w:rPr>
              <w:t>1.0</w:t>
            </w:r>
          </w:p>
        </w:tc>
        <w:tc>
          <w:tcPr>
            <w:tcW w:w="500" w:type="pct"/>
          </w:tcPr>
          <w:p w14:paraId="0306F903" w14:textId="77777777" w:rsidR="001C3502" w:rsidRPr="00DD6692" w:rsidRDefault="001C3502" w:rsidP="00B44B9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00" w:type="pct"/>
            <w:hideMark/>
          </w:tcPr>
          <w:p w14:paraId="3D8BAB9A" w14:textId="77777777" w:rsidR="001C3502" w:rsidRPr="008D330F" w:rsidRDefault="00DC1594" w:rsidP="00B44B98">
            <w:pPr>
              <w:keepNext/>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Release</w:t>
            </w:r>
            <w:r w:rsidR="00CB77DC" w:rsidRPr="008D330F">
              <w:rPr>
                <w:rFonts w:ascii="Arial" w:hAnsi="Arial" w:cs="Arial"/>
                <w:sz w:val="18"/>
                <w:szCs w:val="18"/>
              </w:rPr>
              <w:t xml:space="preserve"> of the </w:t>
            </w:r>
            <w:r w:rsidR="00CB77DC" w:rsidRPr="008D330F">
              <w:rPr>
                <w:rFonts w:ascii="Arial" w:hAnsi="Arial" w:cs="Arial"/>
                <w:i/>
                <w:sz w:val="18"/>
                <w:szCs w:val="18"/>
              </w:rPr>
              <w:t xml:space="preserve">Disability Support Worker </w:t>
            </w:r>
            <w:r w:rsidR="00DE00AC" w:rsidRPr="008D330F">
              <w:rPr>
                <w:rFonts w:ascii="Arial" w:hAnsi="Arial" w:cs="Arial"/>
                <w:i/>
                <w:sz w:val="18"/>
                <w:szCs w:val="18"/>
              </w:rPr>
              <w:t>Cost Model</w:t>
            </w:r>
            <w:r w:rsidR="00CB77DC" w:rsidRPr="008D330F">
              <w:rPr>
                <w:rFonts w:ascii="Arial" w:hAnsi="Arial" w:cs="Arial"/>
                <w:i/>
                <w:sz w:val="18"/>
                <w:szCs w:val="18"/>
              </w:rPr>
              <w:t xml:space="preserve"> Assumptions and Methodology </w:t>
            </w:r>
            <w:r w:rsidR="00B313E0" w:rsidRPr="008D330F">
              <w:rPr>
                <w:rFonts w:ascii="Arial" w:hAnsi="Arial" w:cs="Arial"/>
                <w:i/>
                <w:sz w:val="18"/>
                <w:szCs w:val="18"/>
              </w:rPr>
              <w:t>2022</w:t>
            </w:r>
            <w:r w:rsidR="00CB77DC" w:rsidRPr="008D330F">
              <w:rPr>
                <w:rFonts w:ascii="Arial" w:hAnsi="Arial" w:cs="Arial"/>
                <w:i/>
                <w:sz w:val="18"/>
                <w:szCs w:val="18"/>
              </w:rPr>
              <w:t>-</w:t>
            </w:r>
            <w:r w:rsidR="00B313E0" w:rsidRPr="008D330F">
              <w:rPr>
                <w:rFonts w:ascii="Arial" w:hAnsi="Arial" w:cs="Arial"/>
                <w:i/>
                <w:sz w:val="18"/>
                <w:szCs w:val="18"/>
              </w:rPr>
              <w:t>23</w:t>
            </w:r>
          </w:p>
        </w:tc>
        <w:tc>
          <w:tcPr>
            <w:tcW w:w="750" w:type="pct"/>
            <w:hideMark/>
          </w:tcPr>
          <w:p w14:paraId="3242FFAD" w14:textId="461F5CE2" w:rsidR="001C3502" w:rsidRPr="008D330F" w:rsidRDefault="008D330F" w:rsidP="00DE5D9A">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D330F">
              <w:rPr>
                <w:rFonts w:ascii="Arial" w:hAnsi="Arial" w:cs="Arial"/>
                <w:sz w:val="18"/>
                <w:szCs w:val="18"/>
              </w:rPr>
              <w:t>2</w:t>
            </w:r>
            <w:r w:rsidR="009030D6">
              <w:rPr>
                <w:rFonts w:ascii="Arial" w:hAnsi="Arial" w:cs="Arial"/>
                <w:sz w:val="18"/>
                <w:szCs w:val="18"/>
              </w:rPr>
              <w:t>2</w:t>
            </w:r>
            <w:r w:rsidR="00B313E0" w:rsidRPr="008D330F">
              <w:rPr>
                <w:rFonts w:ascii="Arial" w:hAnsi="Arial" w:cs="Arial"/>
                <w:sz w:val="18"/>
                <w:szCs w:val="18"/>
              </w:rPr>
              <w:t xml:space="preserve"> June 2022</w:t>
            </w:r>
          </w:p>
        </w:tc>
        <w:tc>
          <w:tcPr>
            <w:tcW w:w="745" w:type="pct"/>
          </w:tcPr>
          <w:p w14:paraId="4F575A53" w14:textId="77777777" w:rsidR="001C3502" w:rsidRPr="008D330F" w:rsidRDefault="00BD1DF8" w:rsidP="00B44B9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D330F">
              <w:rPr>
                <w:rFonts w:ascii="Arial" w:hAnsi="Arial" w:cs="Arial"/>
                <w:sz w:val="18"/>
                <w:szCs w:val="18"/>
              </w:rPr>
              <w:t>1 July 202</w:t>
            </w:r>
            <w:r w:rsidR="0066011B" w:rsidRPr="008D330F">
              <w:rPr>
                <w:rFonts w:ascii="Arial" w:hAnsi="Arial" w:cs="Arial"/>
                <w:sz w:val="18"/>
                <w:szCs w:val="18"/>
              </w:rPr>
              <w:t>2</w:t>
            </w:r>
          </w:p>
        </w:tc>
      </w:tr>
    </w:tbl>
    <w:p w14:paraId="266AAC7A" w14:textId="77777777" w:rsidR="00B9773D" w:rsidRPr="00DD6692" w:rsidRDefault="00B9773D" w:rsidP="00773F6C">
      <w:pPr>
        <w:rPr>
          <w:b/>
        </w:rPr>
        <w:sectPr w:rsidR="00B9773D" w:rsidRPr="00DD6692" w:rsidSect="00A54E47">
          <w:footerReference w:type="first" r:id="rId17"/>
          <w:pgSz w:w="11906" w:h="16838" w:code="9"/>
          <w:pgMar w:top="1440" w:right="1440" w:bottom="1440" w:left="1440" w:header="709" w:footer="709" w:gutter="0"/>
          <w:cols w:space="708"/>
          <w:titlePg/>
          <w:docGrid w:linePitch="360"/>
        </w:sectPr>
      </w:pPr>
    </w:p>
    <w:p w14:paraId="65679278" w14:textId="77777777" w:rsidR="007219F1" w:rsidRPr="00DD6692" w:rsidRDefault="007219F1" w:rsidP="00920C59">
      <w:pPr>
        <w:pStyle w:val="TOCHeading"/>
      </w:pPr>
      <w:r w:rsidRPr="00DD6692">
        <w:lastRenderedPageBreak/>
        <w:t>Contents</w:t>
      </w:r>
    </w:p>
    <w:p w14:paraId="516AF0BE" w14:textId="40F1E2B7" w:rsidR="005508C9" w:rsidRDefault="0040062A">
      <w:pPr>
        <w:pStyle w:val="TOC1"/>
        <w:rPr>
          <w:rFonts w:eastAsiaTheme="minorEastAsia"/>
          <w:b w:val="0"/>
          <w:noProof/>
          <w:lang w:eastAsia="en-AU"/>
        </w:rPr>
      </w:pPr>
      <w:r w:rsidRPr="00DD6692">
        <w:fldChar w:fldCharType="begin"/>
      </w:r>
      <w:r w:rsidR="008D296D" w:rsidRPr="00DD6692">
        <w:instrText xml:space="preserve"> TOC \o "1-3</w:instrText>
      </w:r>
      <w:r w:rsidRPr="00DD6692">
        <w:instrText xml:space="preserve">" \h \z \u </w:instrText>
      </w:r>
      <w:r w:rsidRPr="00DD6692">
        <w:fldChar w:fldCharType="separate"/>
      </w:r>
      <w:hyperlink w:anchor="_Toc106464068" w:history="1">
        <w:r w:rsidR="005508C9" w:rsidRPr="008122D0">
          <w:rPr>
            <w:rStyle w:val="Hyperlink"/>
            <w:noProof/>
          </w:rPr>
          <w:t>Introduction</w:t>
        </w:r>
        <w:r w:rsidR="005508C9">
          <w:rPr>
            <w:noProof/>
            <w:webHidden/>
          </w:rPr>
          <w:tab/>
        </w:r>
        <w:r w:rsidR="005508C9">
          <w:rPr>
            <w:noProof/>
            <w:webHidden/>
          </w:rPr>
          <w:fldChar w:fldCharType="begin"/>
        </w:r>
        <w:r w:rsidR="005508C9">
          <w:rPr>
            <w:noProof/>
            <w:webHidden/>
          </w:rPr>
          <w:instrText xml:space="preserve"> PAGEREF _Toc106464068 \h </w:instrText>
        </w:r>
        <w:r w:rsidR="005508C9">
          <w:rPr>
            <w:noProof/>
            <w:webHidden/>
          </w:rPr>
        </w:r>
        <w:r w:rsidR="005508C9">
          <w:rPr>
            <w:noProof/>
            <w:webHidden/>
          </w:rPr>
          <w:fldChar w:fldCharType="separate"/>
        </w:r>
        <w:r w:rsidR="0089680D">
          <w:rPr>
            <w:noProof/>
            <w:webHidden/>
          </w:rPr>
          <w:t>4</w:t>
        </w:r>
        <w:r w:rsidR="005508C9">
          <w:rPr>
            <w:noProof/>
            <w:webHidden/>
          </w:rPr>
          <w:fldChar w:fldCharType="end"/>
        </w:r>
      </w:hyperlink>
    </w:p>
    <w:p w14:paraId="0EA27920" w14:textId="743C0761" w:rsidR="005508C9" w:rsidRDefault="00A82DE2">
      <w:pPr>
        <w:pStyle w:val="TOC1"/>
        <w:rPr>
          <w:rFonts w:eastAsiaTheme="minorEastAsia"/>
          <w:b w:val="0"/>
          <w:noProof/>
          <w:lang w:eastAsia="en-AU"/>
        </w:rPr>
      </w:pPr>
      <w:hyperlink w:anchor="_Toc106464069" w:history="1">
        <w:r w:rsidR="005508C9" w:rsidRPr="008122D0">
          <w:rPr>
            <w:rStyle w:val="Hyperlink"/>
            <w:noProof/>
          </w:rPr>
          <w:t>Description of the Cost Model</w:t>
        </w:r>
        <w:r w:rsidR="005508C9">
          <w:rPr>
            <w:noProof/>
            <w:webHidden/>
          </w:rPr>
          <w:tab/>
        </w:r>
        <w:r w:rsidR="005508C9">
          <w:rPr>
            <w:noProof/>
            <w:webHidden/>
          </w:rPr>
          <w:fldChar w:fldCharType="begin"/>
        </w:r>
        <w:r w:rsidR="005508C9">
          <w:rPr>
            <w:noProof/>
            <w:webHidden/>
          </w:rPr>
          <w:instrText xml:space="preserve"> PAGEREF _Toc106464069 \h </w:instrText>
        </w:r>
        <w:r w:rsidR="005508C9">
          <w:rPr>
            <w:noProof/>
            <w:webHidden/>
          </w:rPr>
        </w:r>
        <w:r w:rsidR="005508C9">
          <w:rPr>
            <w:noProof/>
            <w:webHidden/>
          </w:rPr>
          <w:fldChar w:fldCharType="separate"/>
        </w:r>
        <w:r w:rsidR="0089680D">
          <w:rPr>
            <w:noProof/>
            <w:webHidden/>
          </w:rPr>
          <w:t>5</w:t>
        </w:r>
        <w:r w:rsidR="005508C9">
          <w:rPr>
            <w:noProof/>
            <w:webHidden/>
          </w:rPr>
          <w:fldChar w:fldCharType="end"/>
        </w:r>
      </w:hyperlink>
    </w:p>
    <w:p w14:paraId="0A0D7AC6" w14:textId="53B3538F" w:rsidR="005508C9" w:rsidRDefault="00A82DE2">
      <w:pPr>
        <w:pStyle w:val="TOC2"/>
        <w:tabs>
          <w:tab w:val="right" w:leader="dot" w:pos="9016"/>
        </w:tabs>
        <w:rPr>
          <w:rFonts w:eastAsiaTheme="minorEastAsia"/>
          <w:noProof/>
          <w:lang w:eastAsia="en-AU"/>
        </w:rPr>
      </w:pPr>
      <w:hyperlink w:anchor="_Toc106464070" w:history="1">
        <w:r w:rsidR="005508C9" w:rsidRPr="008122D0">
          <w:rPr>
            <w:rStyle w:val="Hyperlink"/>
            <w:noProof/>
          </w:rPr>
          <w:t>Base Salary and Shift Loadings</w:t>
        </w:r>
        <w:r w:rsidR="005508C9">
          <w:rPr>
            <w:noProof/>
            <w:webHidden/>
          </w:rPr>
          <w:tab/>
        </w:r>
        <w:r w:rsidR="005508C9">
          <w:rPr>
            <w:noProof/>
            <w:webHidden/>
          </w:rPr>
          <w:fldChar w:fldCharType="begin"/>
        </w:r>
        <w:r w:rsidR="005508C9">
          <w:rPr>
            <w:noProof/>
            <w:webHidden/>
          </w:rPr>
          <w:instrText xml:space="preserve"> PAGEREF _Toc106464070 \h </w:instrText>
        </w:r>
        <w:r w:rsidR="005508C9">
          <w:rPr>
            <w:noProof/>
            <w:webHidden/>
          </w:rPr>
        </w:r>
        <w:r w:rsidR="005508C9">
          <w:rPr>
            <w:noProof/>
            <w:webHidden/>
          </w:rPr>
          <w:fldChar w:fldCharType="separate"/>
        </w:r>
        <w:r w:rsidR="0089680D">
          <w:rPr>
            <w:noProof/>
            <w:webHidden/>
          </w:rPr>
          <w:t>5</w:t>
        </w:r>
        <w:r w:rsidR="005508C9">
          <w:rPr>
            <w:noProof/>
            <w:webHidden/>
          </w:rPr>
          <w:fldChar w:fldCharType="end"/>
        </w:r>
      </w:hyperlink>
    </w:p>
    <w:p w14:paraId="422BAF9B" w14:textId="16FCA465" w:rsidR="005508C9" w:rsidRDefault="00A82DE2">
      <w:pPr>
        <w:pStyle w:val="TOC2"/>
        <w:tabs>
          <w:tab w:val="right" w:leader="dot" w:pos="9016"/>
        </w:tabs>
        <w:rPr>
          <w:rFonts w:eastAsiaTheme="minorEastAsia"/>
          <w:noProof/>
          <w:lang w:eastAsia="en-AU"/>
        </w:rPr>
      </w:pPr>
      <w:hyperlink w:anchor="_Toc106464071" w:history="1">
        <w:r w:rsidR="005508C9" w:rsidRPr="008122D0">
          <w:rPr>
            <w:rStyle w:val="Hyperlink"/>
            <w:noProof/>
          </w:rPr>
          <w:t>Direct On-costs</w:t>
        </w:r>
        <w:r w:rsidR="005508C9">
          <w:rPr>
            <w:noProof/>
            <w:webHidden/>
          </w:rPr>
          <w:tab/>
        </w:r>
        <w:r w:rsidR="005508C9">
          <w:rPr>
            <w:noProof/>
            <w:webHidden/>
          </w:rPr>
          <w:fldChar w:fldCharType="begin"/>
        </w:r>
        <w:r w:rsidR="005508C9">
          <w:rPr>
            <w:noProof/>
            <w:webHidden/>
          </w:rPr>
          <w:instrText xml:space="preserve"> PAGEREF _Toc106464071 \h </w:instrText>
        </w:r>
        <w:r w:rsidR="005508C9">
          <w:rPr>
            <w:noProof/>
            <w:webHidden/>
          </w:rPr>
        </w:r>
        <w:r w:rsidR="005508C9">
          <w:rPr>
            <w:noProof/>
            <w:webHidden/>
          </w:rPr>
          <w:fldChar w:fldCharType="separate"/>
        </w:r>
        <w:r w:rsidR="0089680D">
          <w:rPr>
            <w:noProof/>
            <w:webHidden/>
          </w:rPr>
          <w:t>6</w:t>
        </w:r>
        <w:r w:rsidR="005508C9">
          <w:rPr>
            <w:noProof/>
            <w:webHidden/>
          </w:rPr>
          <w:fldChar w:fldCharType="end"/>
        </w:r>
      </w:hyperlink>
    </w:p>
    <w:p w14:paraId="20FCB78F" w14:textId="02313323" w:rsidR="005508C9" w:rsidRDefault="00A82DE2" w:rsidP="00353A6B">
      <w:pPr>
        <w:pStyle w:val="TOC3"/>
        <w:rPr>
          <w:rFonts w:eastAsiaTheme="minorEastAsia"/>
          <w:noProof/>
          <w:lang w:eastAsia="en-AU"/>
        </w:rPr>
      </w:pPr>
      <w:hyperlink w:anchor="_Toc106464072" w:history="1">
        <w:r w:rsidR="005508C9" w:rsidRPr="008122D0">
          <w:rPr>
            <w:rStyle w:val="Hyperlink"/>
            <w:noProof/>
          </w:rPr>
          <w:t>Days Worked Versus Days Paid</w:t>
        </w:r>
        <w:r w:rsidR="005508C9">
          <w:rPr>
            <w:noProof/>
            <w:webHidden/>
          </w:rPr>
          <w:tab/>
        </w:r>
        <w:r w:rsidR="005508C9">
          <w:rPr>
            <w:noProof/>
            <w:webHidden/>
          </w:rPr>
          <w:fldChar w:fldCharType="begin"/>
        </w:r>
        <w:r w:rsidR="005508C9">
          <w:rPr>
            <w:noProof/>
            <w:webHidden/>
          </w:rPr>
          <w:instrText xml:space="preserve"> PAGEREF _Toc106464072 \h </w:instrText>
        </w:r>
        <w:r w:rsidR="005508C9">
          <w:rPr>
            <w:noProof/>
            <w:webHidden/>
          </w:rPr>
        </w:r>
        <w:r w:rsidR="005508C9">
          <w:rPr>
            <w:noProof/>
            <w:webHidden/>
          </w:rPr>
          <w:fldChar w:fldCharType="separate"/>
        </w:r>
        <w:r w:rsidR="0089680D">
          <w:rPr>
            <w:noProof/>
            <w:webHidden/>
          </w:rPr>
          <w:t>6</w:t>
        </w:r>
        <w:r w:rsidR="005508C9">
          <w:rPr>
            <w:noProof/>
            <w:webHidden/>
          </w:rPr>
          <w:fldChar w:fldCharType="end"/>
        </w:r>
      </w:hyperlink>
    </w:p>
    <w:p w14:paraId="1A1AB228" w14:textId="2FD6409E" w:rsidR="005508C9" w:rsidRDefault="00A82DE2" w:rsidP="00353A6B">
      <w:pPr>
        <w:pStyle w:val="TOC3"/>
        <w:rPr>
          <w:rFonts w:eastAsiaTheme="minorEastAsia"/>
          <w:noProof/>
          <w:lang w:eastAsia="en-AU"/>
        </w:rPr>
      </w:pPr>
      <w:hyperlink w:anchor="_Toc106464073" w:history="1">
        <w:r w:rsidR="005508C9" w:rsidRPr="008122D0">
          <w:rPr>
            <w:rStyle w:val="Hyperlink"/>
            <w:noProof/>
          </w:rPr>
          <w:t>Superannuation</w:t>
        </w:r>
        <w:r w:rsidR="005508C9">
          <w:rPr>
            <w:noProof/>
            <w:webHidden/>
          </w:rPr>
          <w:tab/>
        </w:r>
        <w:r w:rsidR="005508C9">
          <w:rPr>
            <w:noProof/>
            <w:webHidden/>
          </w:rPr>
          <w:fldChar w:fldCharType="begin"/>
        </w:r>
        <w:r w:rsidR="005508C9">
          <w:rPr>
            <w:noProof/>
            <w:webHidden/>
          </w:rPr>
          <w:instrText xml:space="preserve"> PAGEREF _Toc106464073 \h </w:instrText>
        </w:r>
        <w:r w:rsidR="005508C9">
          <w:rPr>
            <w:noProof/>
            <w:webHidden/>
          </w:rPr>
        </w:r>
        <w:r w:rsidR="005508C9">
          <w:rPr>
            <w:noProof/>
            <w:webHidden/>
          </w:rPr>
          <w:fldChar w:fldCharType="separate"/>
        </w:r>
        <w:r w:rsidR="0089680D">
          <w:rPr>
            <w:noProof/>
            <w:webHidden/>
          </w:rPr>
          <w:t>6</w:t>
        </w:r>
        <w:r w:rsidR="005508C9">
          <w:rPr>
            <w:noProof/>
            <w:webHidden/>
          </w:rPr>
          <w:fldChar w:fldCharType="end"/>
        </w:r>
      </w:hyperlink>
    </w:p>
    <w:p w14:paraId="0D316DC5" w14:textId="5F8FA452" w:rsidR="005508C9" w:rsidRDefault="00A82DE2" w:rsidP="00353A6B">
      <w:pPr>
        <w:pStyle w:val="TOC3"/>
        <w:rPr>
          <w:rFonts w:eastAsiaTheme="minorEastAsia"/>
          <w:noProof/>
          <w:lang w:eastAsia="en-AU"/>
        </w:rPr>
      </w:pPr>
      <w:hyperlink w:anchor="_Toc106464074" w:history="1">
        <w:r w:rsidR="005508C9" w:rsidRPr="008122D0">
          <w:rPr>
            <w:rStyle w:val="Hyperlink"/>
            <w:noProof/>
          </w:rPr>
          <w:t>Employee allowances</w:t>
        </w:r>
        <w:r w:rsidR="005508C9">
          <w:rPr>
            <w:noProof/>
            <w:webHidden/>
          </w:rPr>
          <w:tab/>
        </w:r>
        <w:r w:rsidR="005508C9">
          <w:rPr>
            <w:noProof/>
            <w:webHidden/>
          </w:rPr>
          <w:fldChar w:fldCharType="begin"/>
        </w:r>
        <w:r w:rsidR="005508C9">
          <w:rPr>
            <w:noProof/>
            <w:webHidden/>
          </w:rPr>
          <w:instrText xml:space="preserve"> PAGEREF _Toc106464074 \h </w:instrText>
        </w:r>
        <w:r w:rsidR="005508C9">
          <w:rPr>
            <w:noProof/>
            <w:webHidden/>
          </w:rPr>
        </w:r>
        <w:r w:rsidR="005508C9">
          <w:rPr>
            <w:noProof/>
            <w:webHidden/>
          </w:rPr>
          <w:fldChar w:fldCharType="separate"/>
        </w:r>
        <w:r w:rsidR="0089680D">
          <w:rPr>
            <w:noProof/>
            <w:webHidden/>
          </w:rPr>
          <w:t>7</w:t>
        </w:r>
        <w:r w:rsidR="005508C9">
          <w:rPr>
            <w:noProof/>
            <w:webHidden/>
          </w:rPr>
          <w:fldChar w:fldCharType="end"/>
        </w:r>
      </w:hyperlink>
    </w:p>
    <w:p w14:paraId="3C4CCBC0" w14:textId="23705252" w:rsidR="005508C9" w:rsidRDefault="00A82DE2" w:rsidP="00353A6B">
      <w:pPr>
        <w:pStyle w:val="TOC3"/>
        <w:rPr>
          <w:rFonts w:eastAsiaTheme="minorEastAsia"/>
          <w:noProof/>
          <w:lang w:eastAsia="en-AU"/>
        </w:rPr>
      </w:pPr>
      <w:hyperlink w:anchor="_Toc106464075" w:history="1">
        <w:r w:rsidR="005508C9" w:rsidRPr="008122D0">
          <w:rPr>
            <w:rStyle w:val="Hyperlink"/>
            <w:noProof/>
          </w:rPr>
          <w:t>Cumulative Impact of Direct on-costs</w:t>
        </w:r>
        <w:r w:rsidR="005508C9">
          <w:rPr>
            <w:noProof/>
            <w:webHidden/>
          </w:rPr>
          <w:tab/>
        </w:r>
        <w:r w:rsidR="005508C9">
          <w:rPr>
            <w:noProof/>
            <w:webHidden/>
          </w:rPr>
          <w:fldChar w:fldCharType="begin"/>
        </w:r>
        <w:r w:rsidR="005508C9">
          <w:rPr>
            <w:noProof/>
            <w:webHidden/>
          </w:rPr>
          <w:instrText xml:space="preserve"> PAGEREF _Toc106464075 \h </w:instrText>
        </w:r>
        <w:r w:rsidR="005508C9">
          <w:rPr>
            <w:noProof/>
            <w:webHidden/>
          </w:rPr>
        </w:r>
        <w:r w:rsidR="005508C9">
          <w:rPr>
            <w:noProof/>
            <w:webHidden/>
          </w:rPr>
          <w:fldChar w:fldCharType="separate"/>
        </w:r>
        <w:r w:rsidR="0089680D">
          <w:rPr>
            <w:noProof/>
            <w:webHidden/>
          </w:rPr>
          <w:t>7</w:t>
        </w:r>
        <w:r w:rsidR="005508C9">
          <w:rPr>
            <w:noProof/>
            <w:webHidden/>
          </w:rPr>
          <w:fldChar w:fldCharType="end"/>
        </w:r>
      </w:hyperlink>
    </w:p>
    <w:p w14:paraId="69314C87" w14:textId="17172602" w:rsidR="005508C9" w:rsidRDefault="00A82DE2">
      <w:pPr>
        <w:pStyle w:val="TOC2"/>
        <w:tabs>
          <w:tab w:val="right" w:leader="dot" w:pos="9016"/>
        </w:tabs>
        <w:rPr>
          <w:rFonts w:eastAsiaTheme="minorEastAsia"/>
          <w:noProof/>
          <w:lang w:eastAsia="en-AU"/>
        </w:rPr>
      </w:pPr>
      <w:hyperlink w:anchor="_Toc106464076" w:history="1">
        <w:r w:rsidR="005508C9" w:rsidRPr="008122D0">
          <w:rPr>
            <w:rStyle w:val="Hyperlink"/>
            <w:noProof/>
          </w:rPr>
          <w:t>Operational Overheads</w:t>
        </w:r>
        <w:r w:rsidR="005508C9">
          <w:rPr>
            <w:noProof/>
            <w:webHidden/>
          </w:rPr>
          <w:tab/>
        </w:r>
        <w:r w:rsidR="005508C9">
          <w:rPr>
            <w:noProof/>
            <w:webHidden/>
          </w:rPr>
          <w:fldChar w:fldCharType="begin"/>
        </w:r>
        <w:r w:rsidR="005508C9">
          <w:rPr>
            <w:noProof/>
            <w:webHidden/>
          </w:rPr>
          <w:instrText xml:space="preserve"> PAGEREF _Toc106464076 \h </w:instrText>
        </w:r>
        <w:r w:rsidR="005508C9">
          <w:rPr>
            <w:noProof/>
            <w:webHidden/>
          </w:rPr>
        </w:r>
        <w:r w:rsidR="005508C9">
          <w:rPr>
            <w:noProof/>
            <w:webHidden/>
          </w:rPr>
          <w:fldChar w:fldCharType="separate"/>
        </w:r>
        <w:r w:rsidR="0089680D">
          <w:rPr>
            <w:noProof/>
            <w:webHidden/>
          </w:rPr>
          <w:t>8</w:t>
        </w:r>
        <w:r w:rsidR="005508C9">
          <w:rPr>
            <w:noProof/>
            <w:webHidden/>
          </w:rPr>
          <w:fldChar w:fldCharType="end"/>
        </w:r>
      </w:hyperlink>
    </w:p>
    <w:p w14:paraId="2351D7B2" w14:textId="6E421B7C" w:rsidR="005508C9" w:rsidRDefault="00A82DE2">
      <w:pPr>
        <w:pStyle w:val="TOC2"/>
        <w:tabs>
          <w:tab w:val="right" w:leader="dot" w:pos="9016"/>
        </w:tabs>
        <w:rPr>
          <w:rFonts w:eastAsiaTheme="minorEastAsia"/>
          <w:noProof/>
          <w:lang w:eastAsia="en-AU"/>
        </w:rPr>
      </w:pPr>
      <w:hyperlink w:anchor="_Toc106464077" w:history="1">
        <w:r w:rsidR="005508C9" w:rsidRPr="008122D0">
          <w:rPr>
            <w:rStyle w:val="Hyperlink"/>
            <w:noProof/>
          </w:rPr>
          <w:t>Corporate Overheads</w:t>
        </w:r>
        <w:r w:rsidR="005508C9">
          <w:rPr>
            <w:noProof/>
            <w:webHidden/>
          </w:rPr>
          <w:tab/>
        </w:r>
        <w:r w:rsidR="005508C9">
          <w:rPr>
            <w:noProof/>
            <w:webHidden/>
          </w:rPr>
          <w:fldChar w:fldCharType="begin"/>
        </w:r>
        <w:r w:rsidR="005508C9">
          <w:rPr>
            <w:noProof/>
            <w:webHidden/>
          </w:rPr>
          <w:instrText xml:space="preserve"> PAGEREF _Toc106464077 \h </w:instrText>
        </w:r>
        <w:r w:rsidR="005508C9">
          <w:rPr>
            <w:noProof/>
            <w:webHidden/>
          </w:rPr>
        </w:r>
        <w:r w:rsidR="005508C9">
          <w:rPr>
            <w:noProof/>
            <w:webHidden/>
          </w:rPr>
          <w:fldChar w:fldCharType="separate"/>
        </w:r>
        <w:r w:rsidR="0089680D">
          <w:rPr>
            <w:noProof/>
            <w:webHidden/>
          </w:rPr>
          <w:t>8</w:t>
        </w:r>
        <w:r w:rsidR="005508C9">
          <w:rPr>
            <w:noProof/>
            <w:webHidden/>
          </w:rPr>
          <w:fldChar w:fldCharType="end"/>
        </w:r>
      </w:hyperlink>
    </w:p>
    <w:p w14:paraId="15CC9CC9" w14:textId="27142493" w:rsidR="005508C9" w:rsidRDefault="00A82DE2">
      <w:pPr>
        <w:pStyle w:val="TOC2"/>
        <w:tabs>
          <w:tab w:val="right" w:leader="dot" w:pos="9016"/>
        </w:tabs>
        <w:rPr>
          <w:rFonts w:eastAsiaTheme="minorEastAsia"/>
          <w:noProof/>
          <w:lang w:eastAsia="en-AU"/>
        </w:rPr>
      </w:pPr>
      <w:hyperlink w:anchor="_Toc106464078" w:history="1">
        <w:r w:rsidR="005508C9" w:rsidRPr="008122D0">
          <w:rPr>
            <w:rStyle w:val="Hyperlink"/>
            <w:noProof/>
          </w:rPr>
          <w:t>Margin</w:t>
        </w:r>
        <w:r w:rsidR="005508C9">
          <w:rPr>
            <w:noProof/>
            <w:webHidden/>
          </w:rPr>
          <w:tab/>
        </w:r>
        <w:r w:rsidR="005508C9">
          <w:rPr>
            <w:noProof/>
            <w:webHidden/>
          </w:rPr>
          <w:fldChar w:fldCharType="begin"/>
        </w:r>
        <w:r w:rsidR="005508C9">
          <w:rPr>
            <w:noProof/>
            <w:webHidden/>
          </w:rPr>
          <w:instrText xml:space="preserve"> PAGEREF _Toc106464078 \h </w:instrText>
        </w:r>
        <w:r w:rsidR="005508C9">
          <w:rPr>
            <w:noProof/>
            <w:webHidden/>
          </w:rPr>
        </w:r>
        <w:r w:rsidR="005508C9">
          <w:rPr>
            <w:noProof/>
            <w:webHidden/>
          </w:rPr>
          <w:fldChar w:fldCharType="separate"/>
        </w:r>
        <w:r w:rsidR="0089680D">
          <w:rPr>
            <w:noProof/>
            <w:webHidden/>
          </w:rPr>
          <w:t>8</w:t>
        </w:r>
        <w:r w:rsidR="005508C9">
          <w:rPr>
            <w:noProof/>
            <w:webHidden/>
          </w:rPr>
          <w:fldChar w:fldCharType="end"/>
        </w:r>
      </w:hyperlink>
    </w:p>
    <w:p w14:paraId="65A78BAE" w14:textId="080B9C92" w:rsidR="005508C9" w:rsidRDefault="00A82DE2">
      <w:pPr>
        <w:pStyle w:val="TOC2"/>
        <w:tabs>
          <w:tab w:val="right" w:leader="dot" w:pos="9016"/>
        </w:tabs>
        <w:rPr>
          <w:rFonts w:eastAsiaTheme="minorEastAsia"/>
          <w:noProof/>
          <w:lang w:eastAsia="en-AU"/>
        </w:rPr>
      </w:pPr>
      <w:hyperlink w:anchor="_Toc106464079" w:history="1">
        <w:r w:rsidR="005508C9" w:rsidRPr="008122D0">
          <w:rPr>
            <w:rStyle w:val="Hyperlink"/>
            <w:noProof/>
          </w:rPr>
          <w:t>Temporary Loading</w:t>
        </w:r>
        <w:r w:rsidR="005508C9">
          <w:rPr>
            <w:noProof/>
            <w:webHidden/>
          </w:rPr>
          <w:tab/>
        </w:r>
        <w:r w:rsidR="005508C9">
          <w:rPr>
            <w:noProof/>
            <w:webHidden/>
          </w:rPr>
          <w:fldChar w:fldCharType="begin"/>
        </w:r>
        <w:r w:rsidR="005508C9">
          <w:rPr>
            <w:noProof/>
            <w:webHidden/>
          </w:rPr>
          <w:instrText xml:space="preserve"> PAGEREF _Toc106464079 \h </w:instrText>
        </w:r>
        <w:r w:rsidR="005508C9">
          <w:rPr>
            <w:noProof/>
            <w:webHidden/>
          </w:rPr>
        </w:r>
        <w:r w:rsidR="005508C9">
          <w:rPr>
            <w:noProof/>
            <w:webHidden/>
          </w:rPr>
          <w:fldChar w:fldCharType="separate"/>
        </w:r>
        <w:r w:rsidR="0089680D">
          <w:rPr>
            <w:noProof/>
            <w:webHidden/>
          </w:rPr>
          <w:t>9</w:t>
        </w:r>
        <w:r w:rsidR="005508C9">
          <w:rPr>
            <w:noProof/>
            <w:webHidden/>
          </w:rPr>
          <w:fldChar w:fldCharType="end"/>
        </w:r>
      </w:hyperlink>
    </w:p>
    <w:p w14:paraId="67A6890C" w14:textId="5DC9F274" w:rsidR="005508C9" w:rsidRDefault="00A82DE2">
      <w:pPr>
        <w:pStyle w:val="TOC1"/>
        <w:rPr>
          <w:rFonts w:eastAsiaTheme="minorEastAsia"/>
          <w:b w:val="0"/>
          <w:noProof/>
          <w:lang w:eastAsia="en-AU"/>
        </w:rPr>
      </w:pPr>
      <w:hyperlink w:anchor="_Toc106464080" w:history="1">
        <w:r w:rsidR="005508C9" w:rsidRPr="008122D0">
          <w:rPr>
            <w:rStyle w:val="Hyperlink"/>
            <w:noProof/>
          </w:rPr>
          <w:t>Accommodation Cost Amounts</w:t>
        </w:r>
        <w:r w:rsidR="005508C9">
          <w:rPr>
            <w:noProof/>
            <w:webHidden/>
          </w:rPr>
          <w:tab/>
        </w:r>
        <w:r w:rsidR="005508C9">
          <w:rPr>
            <w:noProof/>
            <w:webHidden/>
          </w:rPr>
          <w:fldChar w:fldCharType="begin"/>
        </w:r>
        <w:r w:rsidR="005508C9">
          <w:rPr>
            <w:noProof/>
            <w:webHidden/>
          </w:rPr>
          <w:instrText xml:space="preserve"> PAGEREF _Toc106464080 \h </w:instrText>
        </w:r>
        <w:r w:rsidR="005508C9">
          <w:rPr>
            <w:noProof/>
            <w:webHidden/>
          </w:rPr>
        </w:r>
        <w:r w:rsidR="005508C9">
          <w:rPr>
            <w:noProof/>
            <w:webHidden/>
          </w:rPr>
          <w:fldChar w:fldCharType="separate"/>
        </w:r>
        <w:r w:rsidR="0089680D">
          <w:rPr>
            <w:noProof/>
            <w:webHidden/>
          </w:rPr>
          <w:t>10</w:t>
        </w:r>
        <w:r w:rsidR="005508C9">
          <w:rPr>
            <w:noProof/>
            <w:webHidden/>
          </w:rPr>
          <w:fldChar w:fldCharType="end"/>
        </w:r>
      </w:hyperlink>
    </w:p>
    <w:p w14:paraId="7AE46E58" w14:textId="3EAF773F" w:rsidR="005508C9" w:rsidRDefault="00A82DE2">
      <w:pPr>
        <w:pStyle w:val="TOC2"/>
        <w:tabs>
          <w:tab w:val="right" w:leader="dot" w:pos="9016"/>
        </w:tabs>
        <w:rPr>
          <w:rFonts w:eastAsiaTheme="minorEastAsia"/>
          <w:noProof/>
          <w:lang w:eastAsia="en-AU"/>
        </w:rPr>
      </w:pPr>
      <w:hyperlink w:anchor="_Toc106464081" w:history="1">
        <w:r w:rsidR="005508C9" w:rsidRPr="008122D0">
          <w:rPr>
            <w:rStyle w:val="Hyperlink"/>
            <w:noProof/>
          </w:rPr>
          <w:t>Centre Based Capital Amount</w:t>
        </w:r>
        <w:r w:rsidR="005508C9">
          <w:rPr>
            <w:noProof/>
            <w:webHidden/>
          </w:rPr>
          <w:tab/>
        </w:r>
        <w:r w:rsidR="005508C9">
          <w:rPr>
            <w:noProof/>
            <w:webHidden/>
          </w:rPr>
          <w:fldChar w:fldCharType="begin"/>
        </w:r>
        <w:r w:rsidR="005508C9">
          <w:rPr>
            <w:noProof/>
            <w:webHidden/>
          </w:rPr>
          <w:instrText xml:space="preserve"> PAGEREF _Toc106464081 \h </w:instrText>
        </w:r>
        <w:r w:rsidR="005508C9">
          <w:rPr>
            <w:noProof/>
            <w:webHidden/>
          </w:rPr>
        </w:r>
        <w:r w:rsidR="005508C9">
          <w:rPr>
            <w:noProof/>
            <w:webHidden/>
          </w:rPr>
          <w:fldChar w:fldCharType="separate"/>
        </w:r>
        <w:r w:rsidR="0089680D">
          <w:rPr>
            <w:noProof/>
            <w:webHidden/>
          </w:rPr>
          <w:t>10</w:t>
        </w:r>
        <w:r w:rsidR="005508C9">
          <w:rPr>
            <w:noProof/>
            <w:webHidden/>
          </w:rPr>
          <w:fldChar w:fldCharType="end"/>
        </w:r>
      </w:hyperlink>
    </w:p>
    <w:p w14:paraId="286A0FC5" w14:textId="4E58712C" w:rsidR="005508C9" w:rsidRDefault="00A82DE2">
      <w:pPr>
        <w:pStyle w:val="TOC2"/>
        <w:tabs>
          <w:tab w:val="right" w:leader="dot" w:pos="9016"/>
        </w:tabs>
        <w:rPr>
          <w:rFonts w:eastAsiaTheme="minorEastAsia"/>
          <w:noProof/>
          <w:lang w:eastAsia="en-AU"/>
        </w:rPr>
      </w:pPr>
      <w:hyperlink w:anchor="_Toc106464082" w:history="1">
        <w:r w:rsidR="005508C9" w:rsidRPr="008122D0">
          <w:rPr>
            <w:rStyle w:val="Hyperlink"/>
            <w:noProof/>
          </w:rPr>
          <w:t>Short Term Accommodation Amount</w:t>
        </w:r>
        <w:r w:rsidR="005508C9">
          <w:rPr>
            <w:noProof/>
            <w:webHidden/>
          </w:rPr>
          <w:tab/>
        </w:r>
        <w:r w:rsidR="005508C9">
          <w:rPr>
            <w:noProof/>
            <w:webHidden/>
          </w:rPr>
          <w:fldChar w:fldCharType="begin"/>
        </w:r>
        <w:r w:rsidR="005508C9">
          <w:rPr>
            <w:noProof/>
            <w:webHidden/>
          </w:rPr>
          <w:instrText xml:space="preserve"> PAGEREF _Toc106464082 \h </w:instrText>
        </w:r>
        <w:r w:rsidR="005508C9">
          <w:rPr>
            <w:noProof/>
            <w:webHidden/>
          </w:rPr>
        </w:r>
        <w:r w:rsidR="005508C9">
          <w:rPr>
            <w:noProof/>
            <w:webHidden/>
          </w:rPr>
          <w:fldChar w:fldCharType="separate"/>
        </w:r>
        <w:r w:rsidR="0089680D">
          <w:rPr>
            <w:noProof/>
            <w:webHidden/>
          </w:rPr>
          <w:t>10</w:t>
        </w:r>
        <w:r w:rsidR="005508C9">
          <w:rPr>
            <w:noProof/>
            <w:webHidden/>
          </w:rPr>
          <w:fldChar w:fldCharType="end"/>
        </w:r>
      </w:hyperlink>
    </w:p>
    <w:p w14:paraId="07EBBE54" w14:textId="70CC42BD" w:rsidR="005508C9" w:rsidRDefault="00A82DE2">
      <w:pPr>
        <w:pStyle w:val="TOC2"/>
        <w:tabs>
          <w:tab w:val="right" w:leader="dot" w:pos="9016"/>
        </w:tabs>
        <w:rPr>
          <w:rFonts w:eastAsiaTheme="minorEastAsia"/>
          <w:noProof/>
          <w:lang w:eastAsia="en-AU"/>
        </w:rPr>
      </w:pPr>
      <w:hyperlink w:anchor="_Toc106464083" w:history="1">
        <w:r w:rsidR="005508C9" w:rsidRPr="008122D0">
          <w:rPr>
            <w:rStyle w:val="Hyperlink"/>
            <w:noProof/>
          </w:rPr>
          <w:t>Medium Term Accommodation Amount</w:t>
        </w:r>
        <w:r w:rsidR="005508C9">
          <w:rPr>
            <w:noProof/>
            <w:webHidden/>
          </w:rPr>
          <w:tab/>
        </w:r>
        <w:r w:rsidR="005508C9">
          <w:rPr>
            <w:noProof/>
            <w:webHidden/>
          </w:rPr>
          <w:fldChar w:fldCharType="begin"/>
        </w:r>
        <w:r w:rsidR="005508C9">
          <w:rPr>
            <w:noProof/>
            <w:webHidden/>
          </w:rPr>
          <w:instrText xml:space="preserve"> PAGEREF _Toc106464083 \h </w:instrText>
        </w:r>
        <w:r w:rsidR="005508C9">
          <w:rPr>
            <w:noProof/>
            <w:webHidden/>
          </w:rPr>
        </w:r>
        <w:r w:rsidR="005508C9">
          <w:rPr>
            <w:noProof/>
            <w:webHidden/>
          </w:rPr>
          <w:fldChar w:fldCharType="separate"/>
        </w:r>
        <w:r w:rsidR="0089680D">
          <w:rPr>
            <w:noProof/>
            <w:webHidden/>
          </w:rPr>
          <w:t>10</w:t>
        </w:r>
        <w:r w:rsidR="005508C9">
          <w:rPr>
            <w:noProof/>
            <w:webHidden/>
          </w:rPr>
          <w:fldChar w:fldCharType="end"/>
        </w:r>
      </w:hyperlink>
    </w:p>
    <w:p w14:paraId="79F1541C" w14:textId="32717A55" w:rsidR="005508C9" w:rsidRDefault="00A82DE2">
      <w:pPr>
        <w:pStyle w:val="TOC1"/>
        <w:rPr>
          <w:rFonts w:eastAsiaTheme="minorEastAsia"/>
          <w:b w:val="0"/>
          <w:noProof/>
          <w:lang w:eastAsia="en-AU"/>
        </w:rPr>
      </w:pPr>
      <w:hyperlink w:anchor="_Toc106464084" w:history="1">
        <w:r w:rsidR="005508C9" w:rsidRPr="008122D0">
          <w:rPr>
            <w:rStyle w:val="Hyperlink"/>
            <w:noProof/>
          </w:rPr>
          <w:t>Price Limits Determined by the Cost Model</w:t>
        </w:r>
        <w:r w:rsidR="005508C9">
          <w:rPr>
            <w:noProof/>
            <w:webHidden/>
          </w:rPr>
          <w:tab/>
        </w:r>
        <w:r w:rsidR="005508C9">
          <w:rPr>
            <w:noProof/>
            <w:webHidden/>
          </w:rPr>
          <w:fldChar w:fldCharType="begin"/>
        </w:r>
        <w:r w:rsidR="005508C9">
          <w:rPr>
            <w:noProof/>
            <w:webHidden/>
          </w:rPr>
          <w:instrText xml:space="preserve"> PAGEREF _Toc106464084 \h </w:instrText>
        </w:r>
        <w:r w:rsidR="005508C9">
          <w:rPr>
            <w:noProof/>
            <w:webHidden/>
          </w:rPr>
        </w:r>
        <w:r w:rsidR="005508C9">
          <w:rPr>
            <w:noProof/>
            <w:webHidden/>
          </w:rPr>
          <w:fldChar w:fldCharType="separate"/>
        </w:r>
        <w:r w:rsidR="0089680D">
          <w:rPr>
            <w:noProof/>
            <w:webHidden/>
          </w:rPr>
          <w:t>11</w:t>
        </w:r>
        <w:r w:rsidR="005508C9">
          <w:rPr>
            <w:noProof/>
            <w:webHidden/>
          </w:rPr>
          <w:fldChar w:fldCharType="end"/>
        </w:r>
      </w:hyperlink>
    </w:p>
    <w:p w14:paraId="3A34ADD5" w14:textId="25BDA538" w:rsidR="005508C9" w:rsidRDefault="00A82DE2">
      <w:pPr>
        <w:pStyle w:val="TOC2"/>
        <w:tabs>
          <w:tab w:val="right" w:leader="dot" w:pos="9016"/>
        </w:tabs>
        <w:rPr>
          <w:rFonts w:eastAsiaTheme="minorEastAsia"/>
          <w:noProof/>
          <w:lang w:eastAsia="en-AU"/>
        </w:rPr>
      </w:pPr>
      <w:hyperlink w:anchor="_Toc106464085" w:history="1">
        <w:r w:rsidR="005508C9" w:rsidRPr="008122D0">
          <w:rPr>
            <w:rStyle w:val="Hyperlink"/>
            <w:noProof/>
          </w:rPr>
          <w:t>Notes</w:t>
        </w:r>
        <w:r w:rsidR="005508C9">
          <w:rPr>
            <w:noProof/>
            <w:webHidden/>
          </w:rPr>
          <w:tab/>
        </w:r>
        <w:r w:rsidR="005508C9">
          <w:rPr>
            <w:noProof/>
            <w:webHidden/>
          </w:rPr>
          <w:fldChar w:fldCharType="begin"/>
        </w:r>
        <w:r w:rsidR="005508C9">
          <w:rPr>
            <w:noProof/>
            <w:webHidden/>
          </w:rPr>
          <w:instrText xml:space="preserve"> PAGEREF _Toc106464085 \h </w:instrText>
        </w:r>
        <w:r w:rsidR="005508C9">
          <w:rPr>
            <w:noProof/>
            <w:webHidden/>
          </w:rPr>
        </w:r>
        <w:r w:rsidR="005508C9">
          <w:rPr>
            <w:noProof/>
            <w:webHidden/>
          </w:rPr>
          <w:fldChar w:fldCharType="separate"/>
        </w:r>
        <w:r w:rsidR="0089680D">
          <w:rPr>
            <w:noProof/>
            <w:webHidden/>
          </w:rPr>
          <w:t>23</w:t>
        </w:r>
        <w:r w:rsidR="005508C9">
          <w:rPr>
            <w:noProof/>
            <w:webHidden/>
          </w:rPr>
          <w:fldChar w:fldCharType="end"/>
        </w:r>
      </w:hyperlink>
    </w:p>
    <w:p w14:paraId="11FDA15E" w14:textId="77777777" w:rsidR="00EE5246" w:rsidRPr="00DD6692" w:rsidRDefault="0040062A" w:rsidP="001A3E36">
      <w:r w:rsidRPr="00DD6692">
        <w:fldChar w:fldCharType="end"/>
      </w:r>
    </w:p>
    <w:p w14:paraId="4A245695" w14:textId="77777777" w:rsidR="00CD7CF3" w:rsidRPr="00DD6692" w:rsidRDefault="00CD7CF3" w:rsidP="00920C59">
      <w:pPr>
        <w:pStyle w:val="Heading1"/>
        <w:sectPr w:rsidR="00CD7CF3" w:rsidRPr="00DD6692" w:rsidSect="00A54E47">
          <w:pgSz w:w="11906" w:h="16838" w:code="9"/>
          <w:pgMar w:top="1440" w:right="1440" w:bottom="1440" w:left="1440" w:header="709" w:footer="709" w:gutter="0"/>
          <w:cols w:space="708"/>
          <w:titlePg/>
          <w:docGrid w:linePitch="360"/>
        </w:sectPr>
      </w:pPr>
      <w:bookmarkStart w:id="0" w:name="_Toc2341423"/>
    </w:p>
    <w:p w14:paraId="6F1A7E3F" w14:textId="77777777" w:rsidR="000D5076" w:rsidRDefault="000D5076" w:rsidP="00920C59">
      <w:pPr>
        <w:pStyle w:val="Heading1"/>
      </w:pPr>
      <w:bookmarkStart w:id="1" w:name="_Toc106464068"/>
      <w:bookmarkEnd w:id="0"/>
      <w:r>
        <w:lastRenderedPageBreak/>
        <w:t>Introduction</w:t>
      </w:r>
      <w:bookmarkEnd w:id="1"/>
    </w:p>
    <w:p w14:paraId="666A3B35" w14:textId="77777777" w:rsidR="00CC1158" w:rsidRDefault="00CC1158" w:rsidP="00CC1158">
      <w:r w:rsidRPr="00DF0C3D">
        <w:t>The National Di</w:t>
      </w:r>
      <w:r>
        <w:t>sability Insurance Scheme (NDIS</w:t>
      </w:r>
      <w:r w:rsidRPr="00DF0C3D">
        <w:t xml:space="preserve">) was established in 2013 to support people with disability to pursue their goals, to help them to realise their full potential, to assist them to participate in and contribute to society, and to empower them to exercise choice and control over their lives and futures. </w:t>
      </w:r>
      <w:r>
        <w:t>The NDIS</w:t>
      </w:r>
      <w:r w:rsidRPr="00DF0C3D">
        <w:t xml:space="preserve"> provides funding to eligible individuals (“participants”) so that they can purchase, in the open market, the disability related goods and services (“supports”) that they need. </w:t>
      </w:r>
      <w:r>
        <w:t>The NDIS</w:t>
      </w:r>
      <w:r w:rsidRPr="00DF0C3D">
        <w:t xml:space="preserve"> is administered by the National Di</w:t>
      </w:r>
      <w:r>
        <w:t>sability Insurance Agency (NDIA</w:t>
      </w:r>
      <w:r w:rsidRPr="00DF0C3D">
        <w:t xml:space="preserve">). </w:t>
      </w:r>
      <w:r>
        <w:t>The NDIA</w:t>
      </w:r>
      <w:r w:rsidRPr="00DF0C3D">
        <w:t xml:space="preserve"> has a role, as market steward, to create an efficient and sustainable consumer driven marketplace for the supply of disability supports. It regulates the commercial relationships between providers and participants, including through price regulation. The pricing arrangements aim to maintain and increase market supply, and help markets grow to a more mature state in the future, while recognising the need for financial sustainability. </w:t>
      </w:r>
      <w:r w:rsidRPr="00DD6692">
        <w:t xml:space="preserve">Further information on the NDIA’s approach to pricing </w:t>
      </w:r>
      <w:r>
        <w:t xml:space="preserve">can </w:t>
      </w:r>
      <w:r w:rsidRPr="00DD6692">
        <w:t xml:space="preserve">be found in the </w:t>
      </w:r>
      <w:r w:rsidRPr="00CC1158">
        <w:rPr>
          <w:i/>
        </w:rPr>
        <w:t>NDIS</w:t>
      </w:r>
      <w:r w:rsidRPr="00CC1158">
        <w:t xml:space="preserve"> </w:t>
      </w:r>
      <w:r w:rsidRPr="00CC1158">
        <w:rPr>
          <w:i/>
        </w:rPr>
        <w:t>Pricing Strategy</w:t>
      </w:r>
      <w:r>
        <w:rPr>
          <w:i/>
        </w:rPr>
        <w:t xml:space="preserve"> </w:t>
      </w:r>
      <w:r>
        <w:t>and in the</w:t>
      </w:r>
      <w:r>
        <w:rPr>
          <w:i/>
        </w:rPr>
        <w:t xml:space="preserve"> Final Report of the </w:t>
      </w:r>
      <w:r w:rsidRPr="00CC1158">
        <w:rPr>
          <w:i/>
        </w:rPr>
        <w:t>Annual Pricing Review 2021-22</w:t>
      </w:r>
      <w:r>
        <w:rPr>
          <w:i/>
        </w:rPr>
        <w:t>.</w:t>
      </w:r>
    </w:p>
    <w:p w14:paraId="146E5811" w14:textId="77777777" w:rsidR="00222142" w:rsidRDefault="000D5076" w:rsidP="000D5076">
      <w:r>
        <w:t>The</w:t>
      </w:r>
      <w:r w:rsidR="0055026A">
        <w:t xml:space="preserve"> </w:t>
      </w:r>
      <w:r w:rsidR="00CC1158">
        <w:t>NDIA</w:t>
      </w:r>
      <w:r w:rsidR="0055026A">
        <w:t xml:space="preserve"> uses the</w:t>
      </w:r>
      <w:r>
        <w:t xml:space="preserve"> </w:t>
      </w:r>
      <w:r w:rsidR="0066011B">
        <w:t xml:space="preserve">Disability Support Worker </w:t>
      </w:r>
      <w:r w:rsidR="004915CA">
        <w:t>C</w:t>
      </w:r>
      <w:r>
        <w:t xml:space="preserve">ost Model </w:t>
      </w:r>
      <w:r w:rsidR="0055026A">
        <w:t xml:space="preserve">that is described in this document to determine the </w:t>
      </w:r>
      <w:r>
        <w:t xml:space="preserve">price limits for supports </w:t>
      </w:r>
      <w:r w:rsidR="00DC1594">
        <w:t>that are delivered by Disability Support W</w:t>
      </w:r>
      <w:r>
        <w:t>orkers</w:t>
      </w:r>
      <w:r w:rsidR="00DC1594">
        <w:t xml:space="preserve"> (DSWs)</w:t>
      </w:r>
      <w:r w:rsidR="0055026A">
        <w:t xml:space="preserve">. </w:t>
      </w:r>
    </w:p>
    <w:p w14:paraId="683548A8" w14:textId="77777777" w:rsidR="00906493" w:rsidRDefault="0055026A" w:rsidP="000D5076">
      <w:r>
        <w:t xml:space="preserve">The DSW Cost Model </w:t>
      </w:r>
      <w:r w:rsidR="000D5076">
        <w:t>estimat</w:t>
      </w:r>
      <w:r>
        <w:t>es</w:t>
      </w:r>
      <w:r w:rsidR="000D5076">
        <w:t xml:space="preserve"> </w:t>
      </w:r>
      <w:r w:rsidR="000D5076" w:rsidRPr="00CB2BF9">
        <w:t xml:space="preserve">the </w:t>
      </w:r>
      <w:proofErr w:type="gramStart"/>
      <w:r>
        <w:t>fully-loaded</w:t>
      </w:r>
      <w:proofErr w:type="gramEnd"/>
      <w:r>
        <w:t xml:space="preserve"> </w:t>
      </w:r>
      <w:r w:rsidR="000D5076" w:rsidRPr="00CB2BF9">
        <w:t>cost of a billable hour of support taking into account</w:t>
      </w:r>
      <w:r w:rsidR="000D5076">
        <w:t>:</w:t>
      </w:r>
      <w:r w:rsidR="000D5076" w:rsidRPr="00CB2BF9">
        <w:t xml:space="preserve"> base pay; shift loadings; </w:t>
      </w:r>
      <w:r w:rsidR="00DC1594">
        <w:t>leave entitlements</w:t>
      </w:r>
      <w:r w:rsidR="000D5076" w:rsidRPr="00CB2BF9">
        <w:t xml:space="preserve">; salary on costs; </w:t>
      </w:r>
      <w:r w:rsidR="003D60DD" w:rsidRPr="00CB2BF9">
        <w:t>employee allowances;</w:t>
      </w:r>
      <w:r w:rsidR="003D60DD">
        <w:t xml:space="preserve"> </w:t>
      </w:r>
      <w:r>
        <w:t>o</w:t>
      </w:r>
      <w:r w:rsidR="0085006B">
        <w:t xml:space="preserve">perational </w:t>
      </w:r>
      <w:r>
        <w:t>o</w:t>
      </w:r>
      <w:r w:rsidR="0085006B">
        <w:t>verheads</w:t>
      </w:r>
      <w:r w:rsidR="003D60DD">
        <w:t xml:space="preserve"> (</w:t>
      </w:r>
      <w:r w:rsidR="00DC1594">
        <w:t xml:space="preserve">including </w:t>
      </w:r>
      <w:r w:rsidR="000D5076" w:rsidRPr="00CB2BF9">
        <w:t>supervision costs</w:t>
      </w:r>
      <w:r w:rsidR="00DC1594">
        <w:t>,</w:t>
      </w:r>
      <w:r w:rsidR="000D5076" w:rsidRPr="00CB2BF9">
        <w:t xml:space="preserve"> utilisation</w:t>
      </w:r>
      <w:r w:rsidR="00DC1594">
        <w:t xml:space="preserve"> costs</w:t>
      </w:r>
      <w:r w:rsidR="000D5076" w:rsidRPr="00CB2BF9">
        <w:t xml:space="preserve"> </w:t>
      </w:r>
      <w:r w:rsidR="003D60DD">
        <w:t>and workers’ compensation</w:t>
      </w:r>
      <w:r w:rsidR="00DC1594">
        <w:t xml:space="preserve"> costs</w:t>
      </w:r>
      <w:r w:rsidR="003D60DD">
        <w:t>)</w:t>
      </w:r>
      <w:r w:rsidR="000D5076" w:rsidRPr="00CB2BF9">
        <w:t xml:space="preserve">; </w:t>
      </w:r>
      <w:r>
        <w:t>c</w:t>
      </w:r>
      <w:r w:rsidR="0085006B">
        <w:t xml:space="preserve">orporate </w:t>
      </w:r>
      <w:r>
        <w:t>o</w:t>
      </w:r>
      <w:r w:rsidR="0085006B">
        <w:t>verheads</w:t>
      </w:r>
      <w:r w:rsidR="000D5076" w:rsidRPr="00CB2BF9">
        <w:t xml:space="preserve"> and margin</w:t>
      </w:r>
      <w:r w:rsidR="000D5076">
        <w:t xml:space="preserve">. </w:t>
      </w:r>
    </w:p>
    <w:p w14:paraId="5F3155FB" w14:textId="77777777" w:rsidR="00CC1158" w:rsidRDefault="00CC1158" w:rsidP="00CC1158">
      <w:r>
        <w:t>The Cost Model estimates the efficient costs of providing supports by considering:</w:t>
      </w:r>
    </w:p>
    <w:p w14:paraId="02BC6F2E" w14:textId="77777777" w:rsidR="00CC1158" w:rsidRDefault="00CC1158" w:rsidP="00CC1158">
      <w:pPr>
        <w:pStyle w:val="DotPoint"/>
      </w:pPr>
      <w:r w:rsidRPr="00BD60BD">
        <w:rPr>
          <w:b/>
        </w:rPr>
        <w:t>Base Salary</w:t>
      </w:r>
      <w:r>
        <w:t xml:space="preserve"> costs, including shift loadings. Note that in the Cost Model, costs are based on permanent worker costs.</w:t>
      </w:r>
    </w:p>
    <w:p w14:paraId="1201E7E5" w14:textId="77777777" w:rsidR="00CC1158" w:rsidRDefault="00CC1158" w:rsidP="00CC1158">
      <w:pPr>
        <w:pStyle w:val="DotPoint"/>
      </w:pPr>
      <w:r w:rsidRPr="00BD60BD">
        <w:rPr>
          <w:b/>
        </w:rPr>
        <w:t>Direct On-costs</w:t>
      </w:r>
      <w:r>
        <w:rPr>
          <w:b/>
        </w:rPr>
        <w:t>,</w:t>
      </w:r>
      <w:r w:rsidRPr="00BD60BD">
        <w:rPr>
          <w:b/>
        </w:rPr>
        <w:t xml:space="preserve"> </w:t>
      </w:r>
      <w:r w:rsidRPr="00293845">
        <w:t>which</w:t>
      </w:r>
      <w:r>
        <w:rPr>
          <w:b/>
        </w:rPr>
        <w:t xml:space="preserve"> </w:t>
      </w:r>
      <w:r>
        <w:rPr>
          <w:bCs/>
        </w:rPr>
        <w:t xml:space="preserve">covers those costs of employment associated with Superannuation entitlements, </w:t>
      </w:r>
      <w:r>
        <w:t>Annual Leave entitlements, Personal Leave entitlements, Long Service Leave entitlements and Employee Allowances.</w:t>
      </w:r>
    </w:p>
    <w:p w14:paraId="6E29E7CD" w14:textId="77777777" w:rsidR="00CC1158" w:rsidRDefault="00CC1158" w:rsidP="00CC1158">
      <w:pPr>
        <w:pStyle w:val="DotPoint"/>
        <w:rPr>
          <w:b/>
        </w:rPr>
      </w:pPr>
      <w:r>
        <w:rPr>
          <w:b/>
        </w:rPr>
        <w:t xml:space="preserve">Operational </w:t>
      </w:r>
      <w:r w:rsidRPr="00F31784">
        <w:rPr>
          <w:b/>
        </w:rPr>
        <w:t>Overheads</w:t>
      </w:r>
      <w:r>
        <w:t>,</w:t>
      </w:r>
      <w:r>
        <w:rPr>
          <w:b/>
        </w:rPr>
        <w:t xml:space="preserve"> </w:t>
      </w:r>
      <w:r w:rsidRPr="00293845">
        <w:t>which</w:t>
      </w:r>
      <w:r>
        <w:rPr>
          <w:b/>
        </w:rPr>
        <w:t xml:space="preserve"> </w:t>
      </w:r>
      <w:r>
        <w:rPr>
          <w:bCs/>
        </w:rPr>
        <w:t>covers those costs that are in the operational control of the provider and include workers compensation costs, utilisation costs (billable versus unbillable hours),</w:t>
      </w:r>
      <w:r>
        <w:t xml:space="preserve"> supervision costs (including quality and safeguarding costs) and workforce rostering and balance measures such as the share of the workforce that is permanent or casual, and the extent to which overtime is used by the business.</w:t>
      </w:r>
    </w:p>
    <w:p w14:paraId="58AE8960" w14:textId="77777777" w:rsidR="00CC1158" w:rsidRDefault="00CC1158" w:rsidP="00CC1158">
      <w:pPr>
        <w:pStyle w:val="DotPoint"/>
      </w:pPr>
      <w:r w:rsidRPr="00BD60BD">
        <w:rPr>
          <w:b/>
        </w:rPr>
        <w:t>Corporate Overheads</w:t>
      </w:r>
      <w:r>
        <w:rPr>
          <w:b/>
        </w:rPr>
        <w:t>,</w:t>
      </w:r>
      <w:r w:rsidRPr="00BD60BD">
        <w:rPr>
          <w:b/>
        </w:rPr>
        <w:t xml:space="preserve"> </w:t>
      </w:r>
      <w:r>
        <w:t>which covers t</w:t>
      </w:r>
      <w:r w:rsidRPr="00FE1BE2">
        <w:t>h</w:t>
      </w:r>
      <w:r>
        <w:t>os</w:t>
      </w:r>
      <w:r w:rsidRPr="00FE1BE2">
        <w:t xml:space="preserve">e costs incurred to run the administrative side of a business. These costs include the accounting, human resources, legal, marketing, and </w:t>
      </w:r>
      <w:r>
        <w:t>information technology</w:t>
      </w:r>
      <w:r w:rsidRPr="00FE1BE2">
        <w:t xml:space="preserve"> functions.</w:t>
      </w:r>
    </w:p>
    <w:p w14:paraId="3AD902EA" w14:textId="77777777" w:rsidR="00CC1158" w:rsidRDefault="00CC1158" w:rsidP="00CC1158">
      <w:pPr>
        <w:pStyle w:val="DotPoint"/>
      </w:pPr>
      <w:r>
        <w:rPr>
          <w:b/>
        </w:rPr>
        <w:t xml:space="preserve">Margin, </w:t>
      </w:r>
      <w:r>
        <w:t>which represents the return that the provider makes because of the provision of working capital to the business.</w:t>
      </w:r>
    </w:p>
    <w:p w14:paraId="32519916" w14:textId="77777777" w:rsidR="00CC1158" w:rsidRDefault="00CC1158" w:rsidP="00CC1158">
      <w:pPr>
        <w:pStyle w:val="DotPoint"/>
      </w:pPr>
      <w:r>
        <w:rPr>
          <w:b/>
        </w:rPr>
        <w:t xml:space="preserve">Temporary Loading </w:t>
      </w:r>
      <w:r w:rsidRPr="00FE1BE2">
        <w:t xml:space="preserve">which </w:t>
      </w:r>
      <w:r>
        <w:t xml:space="preserve">recognises the variable costs of COVID and of adjusting to the new provisions in the </w:t>
      </w:r>
      <w:r w:rsidRPr="00CC1158">
        <w:rPr>
          <w:i/>
        </w:rPr>
        <w:t>Social, Community, Home Care and Disability Services Industry Award 2010</w:t>
      </w:r>
      <w:r>
        <w:t xml:space="preserve"> (SCHADS Industry Award)</w:t>
      </w:r>
      <w:r w:rsidRPr="00CC1158">
        <w:t xml:space="preserve"> </w:t>
      </w:r>
      <w:r>
        <w:t>that were come into effect on 1 July 2022. These costs are being closely monitored by the NDIA.</w:t>
      </w:r>
    </w:p>
    <w:p w14:paraId="7F6A9ECE" w14:textId="77777777" w:rsidR="00920C59" w:rsidRDefault="00920C59" w:rsidP="00920C59">
      <w:pPr>
        <w:pStyle w:val="Heading1"/>
        <w:sectPr w:rsidR="00920C59" w:rsidSect="00A54E47">
          <w:pgSz w:w="11906" w:h="16838" w:code="9"/>
          <w:pgMar w:top="1440" w:right="1440" w:bottom="1440" w:left="1440" w:header="709" w:footer="709" w:gutter="0"/>
          <w:cols w:space="708"/>
          <w:titlePg/>
          <w:docGrid w:linePitch="360"/>
        </w:sectPr>
      </w:pPr>
    </w:p>
    <w:p w14:paraId="385B3F6B" w14:textId="77777777" w:rsidR="004D32B5" w:rsidRPr="00DD6692" w:rsidRDefault="00BD1DF8" w:rsidP="00920C59">
      <w:pPr>
        <w:pStyle w:val="Heading1"/>
      </w:pPr>
      <w:bookmarkStart w:id="2" w:name="_Toc106464069"/>
      <w:r w:rsidRPr="00DD6692">
        <w:lastRenderedPageBreak/>
        <w:t>Description of the Cost Model</w:t>
      </w:r>
      <w:bookmarkEnd w:id="2"/>
    </w:p>
    <w:p w14:paraId="1F9CCC02" w14:textId="77777777" w:rsidR="00CC1158" w:rsidRPr="00DD6692" w:rsidRDefault="00BD1DF8" w:rsidP="00CC1158">
      <w:r w:rsidRPr="00DD6692">
        <w:t xml:space="preserve">This </w:t>
      </w:r>
      <w:r w:rsidR="00E4628A">
        <w:t>section</w:t>
      </w:r>
      <w:r w:rsidRPr="00DD6692">
        <w:t xml:space="preserve"> sets</w:t>
      </w:r>
      <w:r w:rsidR="00AC5E2D" w:rsidRPr="00DD6692">
        <w:t xml:space="preserve"> out the methodology and assumptions of the </w:t>
      </w:r>
      <w:r w:rsidR="00DC1594">
        <w:t xml:space="preserve">NDIS DSW Cost Model. </w:t>
      </w:r>
    </w:p>
    <w:p w14:paraId="5D4B1DED" w14:textId="77777777" w:rsidR="009F4898" w:rsidRDefault="009F4898" w:rsidP="00920C59">
      <w:pPr>
        <w:pStyle w:val="Heading2"/>
      </w:pPr>
      <w:bookmarkStart w:id="3" w:name="_Toc44506366"/>
      <w:bookmarkStart w:id="4" w:name="_Toc44511371"/>
      <w:bookmarkStart w:id="5" w:name="_Toc44511742"/>
      <w:bookmarkStart w:id="6" w:name="_Toc106464070"/>
      <w:bookmarkStart w:id="7" w:name="_Ref18506169"/>
      <w:bookmarkEnd w:id="3"/>
      <w:bookmarkEnd w:id="4"/>
      <w:bookmarkEnd w:id="5"/>
      <w:r w:rsidRPr="00DD6692">
        <w:t xml:space="preserve">Base </w:t>
      </w:r>
      <w:r>
        <w:t>Salary and Shift Loadings</w:t>
      </w:r>
      <w:bookmarkEnd w:id="6"/>
    </w:p>
    <w:p w14:paraId="25C7E597" w14:textId="77777777" w:rsidR="0001758C" w:rsidRPr="00DD6692" w:rsidRDefault="00906493" w:rsidP="004C63FA">
      <w:pPr>
        <w:keepNext/>
      </w:pPr>
      <w:r>
        <w:t xml:space="preserve">The NDIA recognises that some Disability Support Workers are classified as Home Care Employees and others are classified as </w:t>
      </w:r>
      <w:r w:rsidRPr="00906493">
        <w:t>Social and Community Services Employees</w:t>
      </w:r>
      <w:r>
        <w:t xml:space="preserve"> under the SCHADS </w:t>
      </w:r>
      <w:r w:rsidR="002B3A3C">
        <w:t>Industry Award.</w:t>
      </w:r>
      <w:r w:rsidR="00920C59">
        <w:rPr>
          <w:rStyle w:val="FootnoteReference"/>
        </w:rPr>
        <w:footnoteReference w:id="2"/>
      </w:r>
      <w:r w:rsidR="00920C59" w:rsidRPr="00DD6692">
        <w:t xml:space="preserve"> </w:t>
      </w:r>
      <w:r w:rsidR="002B3A3C">
        <w:t xml:space="preserve">The Cost Model take its parameters from the </w:t>
      </w:r>
      <w:r w:rsidR="002B3A3C" w:rsidRPr="00906493">
        <w:t>Social and Community Services Employees</w:t>
      </w:r>
      <w:r w:rsidR="002B3A3C">
        <w:t xml:space="preserve"> section for the SCHADS Industry Award, which has the more generous provisions.</w:t>
      </w:r>
      <w:r w:rsidR="000E5ED9">
        <w:t xml:space="preserve"> </w:t>
      </w:r>
      <w:r w:rsidR="0001758C" w:rsidRPr="00DD6692">
        <w:t xml:space="preserve">The NDIA </w:t>
      </w:r>
      <w:r>
        <w:t xml:space="preserve">also </w:t>
      </w:r>
      <w:r w:rsidR="0001758C" w:rsidRPr="00DD6692">
        <w:t xml:space="preserve">recognises that some </w:t>
      </w:r>
      <w:r>
        <w:t xml:space="preserve">Disability Support Workers </w:t>
      </w:r>
      <w:r w:rsidR="0001758C" w:rsidRPr="00DD6692">
        <w:t xml:space="preserve">are employed under Enterprise Bargaining Agreements (EBAs). However, these EBAs </w:t>
      </w:r>
      <w:proofErr w:type="gramStart"/>
      <w:r w:rsidR="0001758C" w:rsidRPr="00DD6692">
        <w:t>have to</w:t>
      </w:r>
      <w:proofErr w:type="gramEnd"/>
      <w:r w:rsidR="0001758C" w:rsidRPr="00DD6692">
        <w:t xml:space="preserve"> leave the worker no worse off overall than </w:t>
      </w:r>
      <w:r w:rsidR="00294FA5" w:rsidRPr="00DD6692">
        <w:t xml:space="preserve">they would be under </w:t>
      </w:r>
      <w:r w:rsidR="0001758C" w:rsidRPr="00DD6692">
        <w:t>the relevan</w:t>
      </w:r>
      <w:r w:rsidR="00294FA5" w:rsidRPr="00DD6692">
        <w:t>t Award</w:t>
      </w:r>
      <w:r w:rsidR="00E27A53" w:rsidRPr="00DD6692">
        <w:t>. A</w:t>
      </w:r>
      <w:r w:rsidR="00294FA5" w:rsidRPr="00DD6692">
        <w:t xml:space="preserve">ny additional benefits offered by EBAs over the Award have been agreed to by providers and </w:t>
      </w:r>
      <w:r w:rsidR="00E41E33" w:rsidRPr="00DD6692">
        <w:t xml:space="preserve">are </w:t>
      </w:r>
      <w:r w:rsidR="00294FA5" w:rsidRPr="00DD6692">
        <w:t xml:space="preserve">often offset by productivity gains. The </w:t>
      </w:r>
      <w:r w:rsidR="00FF6030" w:rsidRPr="00DD6692">
        <w:t xml:space="preserve">NDIA therefore considers the conditions set out in the </w:t>
      </w:r>
      <w:r w:rsidR="00920C59" w:rsidRPr="00906493">
        <w:t>Social and Community Services Employees</w:t>
      </w:r>
      <w:r w:rsidR="00920C59">
        <w:t xml:space="preserve"> section of the </w:t>
      </w:r>
      <w:r w:rsidR="00294FA5" w:rsidRPr="00DD6692">
        <w:t xml:space="preserve">SCHADS </w:t>
      </w:r>
      <w:r>
        <w:t xml:space="preserve">Industry </w:t>
      </w:r>
      <w:r w:rsidR="00294FA5" w:rsidRPr="00DD6692">
        <w:t xml:space="preserve">Award </w:t>
      </w:r>
      <w:r w:rsidR="00FF6030" w:rsidRPr="00DD6692">
        <w:t xml:space="preserve">to be the </w:t>
      </w:r>
      <w:r w:rsidR="004A36F7">
        <w:t xml:space="preserve">most </w:t>
      </w:r>
      <w:r w:rsidR="00FF6030" w:rsidRPr="00DD6692">
        <w:t xml:space="preserve">appropriate foundation for the </w:t>
      </w:r>
      <w:r w:rsidR="004A36F7">
        <w:t xml:space="preserve">DSW </w:t>
      </w:r>
      <w:r w:rsidR="00E27A53" w:rsidRPr="00DD6692">
        <w:t>Cost Model</w:t>
      </w:r>
      <w:r w:rsidR="00294FA5" w:rsidRPr="00DD6692">
        <w:t>.</w:t>
      </w:r>
    </w:p>
    <w:bookmarkEnd w:id="7"/>
    <w:p w14:paraId="00BF9931" w14:textId="77777777" w:rsidR="005F077D" w:rsidRPr="00DD6692" w:rsidRDefault="005F077D" w:rsidP="005F077D">
      <w:r w:rsidRPr="00DD6692">
        <w:t xml:space="preserve">The NDIA recognises that providers </w:t>
      </w:r>
      <w:proofErr w:type="gramStart"/>
      <w:r w:rsidRPr="00DD6692">
        <w:t>have to</w:t>
      </w:r>
      <w:proofErr w:type="gramEnd"/>
      <w:r w:rsidRPr="00DD6692">
        <w:t xml:space="preserve"> employ </w:t>
      </w:r>
      <w:r w:rsidR="00906493">
        <w:t xml:space="preserve">Disability Support Workers </w:t>
      </w:r>
      <w:r w:rsidRPr="00DD6692">
        <w:t xml:space="preserve">with different skill levels and levels of experience to meet the different needs of participants. The Cost Model therefore has different sets of cost assumptions for four types of workers </w:t>
      </w:r>
      <w:r w:rsidR="009228CF">
        <w:t xml:space="preserve">that will be referred to as </w:t>
      </w:r>
      <w:r w:rsidRPr="00DD6692">
        <w:t xml:space="preserve">DSW Level </w:t>
      </w:r>
      <w:r w:rsidR="007E2EEA">
        <w:t>1</w:t>
      </w:r>
      <w:r w:rsidRPr="00DD6692">
        <w:t xml:space="preserve">, DSW Level </w:t>
      </w:r>
      <w:r w:rsidR="007E2EEA">
        <w:t>2</w:t>
      </w:r>
      <w:r w:rsidRPr="00DD6692">
        <w:t xml:space="preserve">, DSW Level </w:t>
      </w:r>
      <w:r w:rsidR="007E2EEA">
        <w:t>3</w:t>
      </w:r>
      <w:r w:rsidR="007E2EEA" w:rsidRPr="00DD6692">
        <w:t xml:space="preserve"> </w:t>
      </w:r>
      <w:r w:rsidRPr="00DD6692">
        <w:t xml:space="preserve">and DSW Level </w:t>
      </w:r>
      <w:r w:rsidR="007E2EEA">
        <w:t>4</w:t>
      </w:r>
      <w:r w:rsidRPr="00DD6692">
        <w:t>.</w:t>
      </w:r>
      <w:r w:rsidR="009228CF" w:rsidDel="009228CF">
        <w:rPr>
          <w:rStyle w:val="FootnoteReference"/>
        </w:rPr>
        <w:t xml:space="preserve"> </w:t>
      </w:r>
    </w:p>
    <w:p w14:paraId="51649D47" w14:textId="6302A86A" w:rsidR="00BB06ED" w:rsidRPr="00DD6692" w:rsidRDefault="00BB06ED" w:rsidP="00294FA5">
      <w:r w:rsidRPr="00DD6692">
        <w:fldChar w:fldCharType="begin"/>
      </w:r>
      <w:r w:rsidRPr="00DD6692">
        <w:instrText xml:space="preserve"> REF _Ref16507557 \h </w:instrText>
      </w:r>
      <w:r w:rsidR="00DD6692">
        <w:instrText xml:space="preserve"> \* MERGEFORMAT </w:instrText>
      </w:r>
      <w:r w:rsidRPr="00DD6692">
        <w:fldChar w:fldCharType="separate"/>
      </w:r>
      <w:r w:rsidR="0089680D" w:rsidRPr="00DD6692">
        <w:t xml:space="preserve">Table </w:t>
      </w:r>
      <w:r w:rsidR="0089680D">
        <w:rPr>
          <w:noProof/>
        </w:rPr>
        <w:t>1</w:t>
      </w:r>
      <w:r w:rsidRPr="00DD6692">
        <w:fldChar w:fldCharType="end"/>
      </w:r>
      <w:r w:rsidR="00294FA5" w:rsidRPr="00DD6692">
        <w:t xml:space="preserve"> sets out the </w:t>
      </w:r>
      <w:r w:rsidR="00E27A53" w:rsidRPr="00DD6692">
        <w:t>Cost Model’</w:t>
      </w:r>
      <w:r w:rsidR="00294FA5" w:rsidRPr="00DD6692">
        <w:t>s assumptions with respect to the base pay of DSWs.</w:t>
      </w:r>
    </w:p>
    <w:p w14:paraId="1BF29AA4" w14:textId="4075446B" w:rsidR="009172F1" w:rsidRPr="00DD6692" w:rsidRDefault="009172F1" w:rsidP="00920C59">
      <w:pPr>
        <w:pStyle w:val="Caption"/>
      </w:pPr>
      <w:bookmarkStart w:id="8" w:name="_Ref16507557"/>
      <w:bookmarkStart w:id="9" w:name="_Toc17059298"/>
      <w:r w:rsidRPr="00DD6692">
        <w:t xml:space="preserve">Table </w:t>
      </w:r>
      <w:fldSimple w:instr=" SEQ Table \* ARABIC ">
        <w:r w:rsidR="0089680D">
          <w:rPr>
            <w:noProof/>
          </w:rPr>
          <w:t>1</w:t>
        </w:r>
      </w:fldSimple>
      <w:bookmarkEnd w:id="8"/>
      <w:r w:rsidRPr="00DD6692">
        <w:t xml:space="preserve">: </w:t>
      </w:r>
      <w:bookmarkEnd w:id="9"/>
      <w:r w:rsidR="00227122" w:rsidRPr="00DD6692">
        <w:t>Assumed</w:t>
      </w:r>
      <w:r w:rsidRPr="00DD6692">
        <w:t xml:space="preserve"> SCHADS </w:t>
      </w:r>
      <w:r w:rsidR="00F45EB9">
        <w:t xml:space="preserve">Industry </w:t>
      </w:r>
      <w:r w:rsidR="00855CB1">
        <w:t xml:space="preserve">Award </w:t>
      </w:r>
      <w:r w:rsidR="001A1BE7" w:rsidRPr="00DD6692">
        <w:t>Classifications and Pay R</w:t>
      </w:r>
      <w:r w:rsidR="00CD7CF3" w:rsidRPr="00DD6692">
        <w:t>ates</w:t>
      </w:r>
      <w:r w:rsidR="00BD1DF8" w:rsidRPr="00DD6692">
        <w:t xml:space="preserve">, 1 July </w:t>
      </w:r>
      <w:r w:rsidR="00BD60BD" w:rsidRPr="00DD6692">
        <w:t>202</w:t>
      </w:r>
      <w:r w:rsidR="00BD60BD">
        <w:t>2</w:t>
      </w:r>
    </w:p>
    <w:tbl>
      <w:tblPr>
        <w:tblStyle w:val="GridTable4-Accent4"/>
        <w:tblW w:w="3000" w:type="pct"/>
        <w:jc w:val="center"/>
        <w:tblLook w:val="0420" w:firstRow="1" w:lastRow="0" w:firstColumn="0" w:lastColumn="0" w:noHBand="0" w:noVBand="1"/>
        <w:tblCaption w:val="Table 3: Assumed SCHADS Award Classifications and Pay Rates, 1 July 2022"/>
      </w:tblPr>
      <w:tblGrid>
        <w:gridCol w:w="1613"/>
        <w:gridCol w:w="2174"/>
        <w:gridCol w:w="1623"/>
      </w:tblGrid>
      <w:tr w:rsidR="00BD4CDE" w:rsidRPr="00DD6692" w14:paraId="3D1BF580" w14:textId="77777777" w:rsidTr="00CC1158">
        <w:trPr>
          <w:cnfStyle w:val="100000000000" w:firstRow="1" w:lastRow="0" w:firstColumn="0" w:lastColumn="0" w:oddVBand="0" w:evenVBand="0" w:oddHBand="0" w:evenHBand="0" w:firstRowFirstColumn="0" w:firstRowLastColumn="0" w:lastRowFirstColumn="0" w:lastRowLastColumn="0"/>
          <w:trHeight w:val="289"/>
          <w:tblHeader/>
          <w:jc w:val="center"/>
        </w:trPr>
        <w:tc>
          <w:tcPr>
            <w:tcW w:w="1491" w:type="pct"/>
            <w:vAlign w:val="center"/>
            <w:hideMark/>
          </w:tcPr>
          <w:p w14:paraId="45234F75" w14:textId="77777777" w:rsidR="00BD4CDE" w:rsidRPr="00DD6692" w:rsidRDefault="00BD4CDE" w:rsidP="00B9299A">
            <w:pPr>
              <w:spacing w:before="40" w:after="40" w:line="240" w:lineRule="atLeast"/>
              <w:jc w:val="center"/>
              <w:rPr>
                <w:rFonts w:ascii="Calibri" w:hAnsi="Calibri" w:cs="Calibri"/>
                <w:sz w:val="18"/>
                <w:szCs w:val="18"/>
              </w:rPr>
            </w:pPr>
          </w:p>
        </w:tc>
        <w:tc>
          <w:tcPr>
            <w:tcW w:w="2009" w:type="pct"/>
            <w:vAlign w:val="center"/>
            <w:hideMark/>
          </w:tcPr>
          <w:p w14:paraId="76AC1916" w14:textId="77777777" w:rsidR="00BD4CDE" w:rsidRPr="00DD6692" w:rsidRDefault="00227122" w:rsidP="00B9299A">
            <w:pPr>
              <w:spacing w:before="40" w:after="40" w:line="240" w:lineRule="atLeast"/>
              <w:jc w:val="center"/>
              <w:rPr>
                <w:sz w:val="18"/>
                <w:szCs w:val="18"/>
              </w:rPr>
            </w:pPr>
            <w:r w:rsidRPr="00DD6692">
              <w:rPr>
                <w:sz w:val="18"/>
                <w:szCs w:val="18"/>
              </w:rPr>
              <w:t>Assumed</w:t>
            </w:r>
            <w:r w:rsidR="00294FA5" w:rsidRPr="00DD6692">
              <w:rPr>
                <w:sz w:val="18"/>
                <w:szCs w:val="18"/>
              </w:rPr>
              <w:t xml:space="preserve"> </w:t>
            </w:r>
            <w:r w:rsidR="00BD4CDE" w:rsidRPr="00DD6692">
              <w:rPr>
                <w:sz w:val="18"/>
                <w:szCs w:val="18"/>
              </w:rPr>
              <w:t>SCHADS Classification</w:t>
            </w:r>
          </w:p>
        </w:tc>
        <w:tc>
          <w:tcPr>
            <w:tcW w:w="1500" w:type="pct"/>
            <w:vAlign w:val="center"/>
          </w:tcPr>
          <w:p w14:paraId="434B5C2D" w14:textId="77777777" w:rsidR="00CD7CF3" w:rsidRPr="00DD6692" w:rsidRDefault="00FD55CF" w:rsidP="00B9299A">
            <w:pPr>
              <w:spacing w:before="40" w:after="40" w:line="240" w:lineRule="atLeast"/>
              <w:jc w:val="center"/>
              <w:rPr>
                <w:b w:val="0"/>
                <w:bCs w:val="0"/>
                <w:sz w:val="18"/>
                <w:szCs w:val="18"/>
                <w:lang w:eastAsia="en-AU"/>
              </w:rPr>
            </w:pPr>
            <w:r w:rsidRPr="00DD6692">
              <w:rPr>
                <w:sz w:val="18"/>
                <w:szCs w:val="18"/>
              </w:rPr>
              <w:t>Award Hourly Rate</w:t>
            </w:r>
          </w:p>
        </w:tc>
      </w:tr>
      <w:tr w:rsidR="00BD4CDE" w:rsidRPr="00DD6692" w14:paraId="54C1056F" w14:textId="77777777" w:rsidTr="00CC1158">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74A61074" w14:textId="77777777" w:rsidR="00BD4CDE" w:rsidRPr="00DD6692" w:rsidRDefault="00BD1DF8" w:rsidP="00B9299A">
            <w:pPr>
              <w:spacing w:before="40" w:after="40" w:line="240" w:lineRule="atLeast"/>
              <w:rPr>
                <w:sz w:val="18"/>
                <w:szCs w:val="18"/>
              </w:rPr>
            </w:pPr>
            <w:r w:rsidRPr="00DD6692">
              <w:rPr>
                <w:sz w:val="18"/>
                <w:szCs w:val="18"/>
              </w:rPr>
              <w:t xml:space="preserve">DSW Level </w:t>
            </w:r>
            <w:r w:rsidR="007E2EEA">
              <w:rPr>
                <w:sz w:val="18"/>
                <w:szCs w:val="18"/>
              </w:rPr>
              <w:t>1</w:t>
            </w:r>
          </w:p>
        </w:tc>
        <w:tc>
          <w:tcPr>
            <w:tcW w:w="2009" w:type="pct"/>
            <w:noWrap/>
            <w:vAlign w:val="center"/>
            <w:hideMark/>
          </w:tcPr>
          <w:p w14:paraId="21D233FE" w14:textId="77777777" w:rsidR="00BD4CDE" w:rsidRPr="00DD6692" w:rsidRDefault="00BD4CDE" w:rsidP="00B9299A">
            <w:pPr>
              <w:spacing w:before="40" w:after="40" w:line="240" w:lineRule="atLeast"/>
              <w:jc w:val="center"/>
              <w:rPr>
                <w:sz w:val="18"/>
                <w:szCs w:val="18"/>
              </w:rPr>
            </w:pPr>
            <w:r w:rsidRPr="00DD6692">
              <w:rPr>
                <w:sz w:val="18"/>
                <w:szCs w:val="18"/>
              </w:rPr>
              <w:t>2.3</w:t>
            </w:r>
          </w:p>
        </w:tc>
        <w:tc>
          <w:tcPr>
            <w:tcW w:w="1500" w:type="pct"/>
            <w:vAlign w:val="center"/>
          </w:tcPr>
          <w:p w14:paraId="182168E0" w14:textId="77777777" w:rsidR="00BD4CDE" w:rsidRPr="000E5ED9" w:rsidRDefault="00BD4CDE" w:rsidP="00B9299A">
            <w:pPr>
              <w:spacing w:before="40" w:after="40" w:line="240" w:lineRule="atLeast"/>
              <w:jc w:val="center"/>
              <w:rPr>
                <w:bCs/>
                <w:sz w:val="18"/>
                <w:szCs w:val="18"/>
                <w:lang w:eastAsia="en-AU"/>
              </w:rPr>
            </w:pPr>
            <w:r w:rsidRPr="000E5ED9">
              <w:rPr>
                <w:sz w:val="18"/>
                <w:szCs w:val="18"/>
              </w:rPr>
              <w:t>$</w:t>
            </w:r>
            <w:r w:rsidR="006020DB" w:rsidRPr="000E5ED9">
              <w:rPr>
                <w:sz w:val="18"/>
                <w:szCs w:val="18"/>
              </w:rPr>
              <w:t>32.36</w:t>
            </w:r>
          </w:p>
        </w:tc>
      </w:tr>
      <w:tr w:rsidR="00BD4CDE" w:rsidRPr="00DD6692" w14:paraId="66283924" w14:textId="77777777" w:rsidTr="00CC1158">
        <w:trPr>
          <w:trHeight w:val="300"/>
          <w:jc w:val="center"/>
        </w:trPr>
        <w:tc>
          <w:tcPr>
            <w:tcW w:w="1491" w:type="pct"/>
            <w:vAlign w:val="center"/>
            <w:hideMark/>
          </w:tcPr>
          <w:p w14:paraId="0BFA45AD" w14:textId="77777777" w:rsidR="00BD4CDE" w:rsidRPr="00DD6692" w:rsidRDefault="00BD1DF8" w:rsidP="00B9299A">
            <w:pPr>
              <w:spacing w:before="40" w:after="40" w:line="240" w:lineRule="atLeast"/>
              <w:rPr>
                <w:sz w:val="18"/>
                <w:szCs w:val="18"/>
              </w:rPr>
            </w:pPr>
            <w:r w:rsidRPr="00DD6692">
              <w:rPr>
                <w:sz w:val="18"/>
                <w:szCs w:val="18"/>
              </w:rPr>
              <w:t xml:space="preserve">DSW Level </w:t>
            </w:r>
            <w:r w:rsidR="007E2EEA">
              <w:rPr>
                <w:sz w:val="18"/>
                <w:szCs w:val="18"/>
              </w:rPr>
              <w:t>2</w:t>
            </w:r>
          </w:p>
        </w:tc>
        <w:tc>
          <w:tcPr>
            <w:tcW w:w="2009" w:type="pct"/>
            <w:noWrap/>
            <w:vAlign w:val="center"/>
            <w:hideMark/>
          </w:tcPr>
          <w:p w14:paraId="1B4FA2DD" w14:textId="77777777" w:rsidR="00BD4CDE" w:rsidRPr="00DD6692" w:rsidRDefault="00BD4CDE" w:rsidP="00B9299A">
            <w:pPr>
              <w:spacing w:before="40" w:after="40" w:line="240" w:lineRule="atLeast"/>
              <w:jc w:val="center"/>
              <w:rPr>
                <w:sz w:val="18"/>
                <w:szCs w:val="18"/>
              </w:rPr>
            </w:pPr>
            <w:r w:rsidRPr="00DD6692">
              <w:rPr>
                <w:sz w:val="18"/>
                <w:szCs w:val="18"/>
              </w:rPr>
              <w:t>2.4/3.1</w:t>
            </w:r>
          </w:p>
        </w:tc>
        <w:tc>
          <w:tcPr>
            <w:tcW w:w="1500" w:type="pct"/>
            <w:vAlign w:val="center"/>
          </w:tcPr>
          <w:p w14:paraId="5927C7C8" w14:textId="77777777" w:rsidR="00BD4CDE" w:rsidRPr="000E5ED9" w:rsidRDefault="00BD4CDE" w:rsidP="00B9299A">
            <w:pPr>
              <w:spacing w:before="40" w:after="40" w:line="240" w:lineRule="atLeast"/>
              <w:jc w:val="center"/>
              <w:rPr>
                <w:bCs/>
                <w:sz w:val="18"/>
                <w:szCs w:val="18"/>
                <w:lang w:eastAsia="en-AU"/>
              </w:rPr>
            </w:pPr>
            <w:r w:rsidRPr="000E5ED9">
              <w:rPr>
                <w:sz w:val="18"/>
                <w:szCs w:val="18"/>
              </w:rPr>
              <w:t>$</w:t>
            </w:r>
            <w:r w:rsidR="006020DB" w:rsidRPr="000E5ED9">
              <w:rPr>
                <w:sz w:val="18"/>
                <w:szCs w:val="18"/>
              </w:rPr>
              <w:t>33.64</w:t>
            </w:r>
          </w:p>
        </w:tc>
      </w:tr>
      <w:tr w:rsidR="00BD4CDE" w:rsidRPr="00DD6692" w14:paraId="1028EB8B" w14:textId="77777777" w:rsidTr="00CC1158">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30251317" w14:textId="77777777" w:rsidR="00BD4CDE" w:rsidRPr="00DD6692" w:rsidRDefault="00BD1DF8" w:rsidP="00B9299A">
            <w:pPr>
              <w:spacing w:before="40" w:after="40" w:line="240" w:lineRule="atLeast"/>
              <w:rPr>
                <w:sz w:val="18"/>
                <w:szCs w:val="18"/>
              </w:rPr>
            </w:pPr>
            <w:r w:rsidRPr="00DD6692">
              <w:rPr>
                <w:sz w:val="18"/>
                <w:szCs w:val="18"/>
              </w:rPr>
              <w:t xml:space="preserve">DSW Level </w:t>
            </w:r>
            <w:r w:rsidR="007E2EEA">
              <w:rPr>
                <w:sz w:val="18"/>
                <w:szCs w:val="18"/>
              </w:rPr>
              <w:t>3</w:t>
            </w:r>
          </w:p>
        </w:tc>
        <w:tc>
          <w:tcPr>
            <w:tcW w:w="2009" w:type="pct"/>
            <w:noWrap/>
            <w:vAlign w:val="center"/>
            <w:hideMark/>
          </w:tcPr>
          <w:p w14:paraId="195A1A3F" w14:textId="77777777" w:rsidR="00BD4CDE" w:rsidRPr="00DD6692" w:rsidRDefault="00BD4CDE" w:rsidP="00B9299A">
            <w:pPr>
              <w:spacing w:before="40" w:after="40" w:line="240" w:lineRule="atLeast"/>
              <w:jc w:val="center"/>
              <w:rPr>
                <w:sz w:val="18"/>
                <w:szCs w:val="18"/>
              </w:rPr>
            </w:pPr>
            <w:r w:rsidRPr="00DD6692">
              <w:rPr>
                <w:sz w:val="18"/>
                <w:szCs w:val="18"/>
              </w:rPr>
              <w:t>3.2</w:t>
            </w:r>
          </w:p>
        </w:tc>
        <w:tc>
          <w:tcPr>
            <w:tcW w:w="1500" w:type="pct"/>
            <w:vAlign w:val="center"/>
          </w:tcPr>
          <w:p w14:paraId="30ADA1E7" w14:textId="77777777" w:rsidR="00BD4CDE" w:rsidRPr="000E5ED9" w:rsidRDefault="00BD4CDE" w:rsidP="00B9299A">
            <w:pPr>
              <w:spacing w:before="40" w:after="40" w:line="240" w:lineRule="atLeast"/>
              <w:jc w:val="center"/>
              <w:rPr>
                <w:bCs/>
                <w:sz w:val="18"/>
                <w:szCs w:val="18"/>
                <w:lang w:eastAsia="en-AU"/>
              </w:rPr>
            </w:pPr>
            <w:r w:rsidRPr="000E5ED9">
              <w:rPr>
                <w:sz w:val="18"/>
                <w:szCs w:val="18"/>
              </w:rPr>
              <w:t>$</w:t>
            </w:r>
            <w:r w:rsidR="006020DB" w:rsidRPr="000E5ED9">
              <w:rPr>
                <w:sz w:val="18"/>
                <w:szCs w:val="18"/>
              </w:rPr>
              <w:t>35.02</w:t>
            </w:r>
          </w:p>
        </w:tc>
      </w:tr>
      <w:tr w:rsidR="007075DE" w:rsidRPr="00DD6692" w14:paraId="4636B4B2" w14:textId="77777777" w:rsidTr="00CC1158">
        <w:trPr>
          <w:trHeight w:val="300"/>
          <w:jc w:val="center"/>
        </w:trPr>
        <w:tc>
          <w:tcPr>
            <w:tcW w:w="1491" w:type="pct"/>
            <w:vAlign w:val="center"/>
          </w:tcPr>
          <w:p w14:paraId="0CE0F80F" w14:textId="77777777" w:rsidR="007075DE" w:rsidRPr="00DD6692" w:rsidRDefault="00BD1DF8" w:rsidP="00B9299A">
            <w:pPr>
              <w:spacing w:before="40" w:after="40" w:line="240" w:lineRule="atLeast"/>
              <w:rPr>
                <w:sz w:val="18"/>
                <w:szCs w:val="18"/>
              </w:rPr>
            </w:pPr>
            <w:r w:rsidRPr="00DD6692">
              <w:rPr>
                <w:sz w:val="18"/>
                <w:szCs w:val="18"/>
              </w:rPr>
              <w:t xml:space="preserve">DSW Level </w:t>
            </w:r>
            <w:r w:rsidR="007E2EEA">
              <w:rPr>
                <w:sz w:val="18"/>
                <w:szCs w:val="18"/>
              </w:rPr>
              <w:t>4</w:t>
            </w:r>
          </w:p>
        </w:tc>
        <w:tc>
          <w:tcPr>
            <w:tcW w:w="2009" w:type="pct"/>
            <w:noWrap/>
            <w:vAlign w:val="center"/>
          </w:tcPr>
          <w:p w14:paraId="2D9912A5" w14:textId="77777777" w:rsidR="007075DE" w:rsidRPr="00DD6692" w:rsidRDefault="007075DE" w:rsidP="00B9299A">
            <w:pPr>
              <w:spacing w:before="40" w:after="40" w:line="240" w:lineRule="atLeast"/>
              <w:jc w:val="center"/>
              <w:rPr>
                <w:sz w:val="18"/>
                <w:szCs w:val="18"/>
              </w:rPr>
            </w:pPr>
            <w:r w:rsidRPr="00DD6692">
              <w:rPr>
                <w:sz w:val="18"/>
                <w:szCs w:val="18"/>
              </w:rPr>
              <w:t>4.4</w:t>
            </w:r>
          </w:p>
        </w:tc>
        <w:tc>
          <w:tcPr>
            <w:tcW w:w="1500" w:type="pct"/>
            <w:vAlign w:val="center"/>
          </w:tcPr>
          <w:p w14:paraId="646D0A72" w14:textId="77777777" w:rsidR="007075DE" w:rsidRPr="000E5ED9" w:rsidRDefault="007075DE" w:rsidP="00934A91">
            <w:pPr>
              <w:spacing w:before="40" w:after="40" w:line="240" w:lineRule="atLeast"/>
              <w:jc w:val="center"/>
              <w:rPr>
                <w:sz w:val="18"/>
                <w:szCs w:val="18"/>
              </w:rPr>
            </w:pPr>
            <w:r w:rsidRPr="000E5ED9">
              <w:rPr>
                <w:sz w:val="18"/>
                <w:szCs w:val="18"/>
              </w:rPr>
              <w:t>$</w:t>
            </w:r>
            <w:r w:rsidR="006020DB" w:rsidRPr="000E5ED9">
              <w:rPr>
                <w:sz w:val="18"/>
                <w:szCs w:val="18"/>
              </w:rPr>
              <w:t>42.</w:t>
            </w:r>
            <w:r w:rsidR="00934A91">
              <w:rPr>
                <w:sz w:val="18"/>
                <w:szCs w:val="18"/>
              </w:rPr>
              <w:t>2</w:t>
            </w:r>
            <w:r w:rsidR="006020DB" w:rsidRPr="000E5ED9">
              <w:rPr>
                <w:sz w:val="18"/>
                <w:szCs w:val="18"/>
              </w:rPr>
              <w:t>5</w:t>
            </w:r>
          </w:p>
        </w:tc>
      </w:tr>
    </w:tbl>
    <w:p w14:paraId="3BBEDF1D" w14:textId="65F130A7" w:rsidR="004915CA" w:rsidRPr="00DD6692" w:rsidRDefault="001A1BE7" w:rsidP="000E5ED9">
      <w:r w:rsidRPr="00DD6692">
        <w:fldChar w:fldCharType="begin"/>
      </w:r>
      <w:r w:rsidRPr="00DD6692">
        <w:instrText xml:space="preserve"> REF _Ref19024282 \h </w:instrText>
      </w:r>
      <w:r w:rsidR="00B658AF" w:rsidRPr="00DD6692">
        <w:instrText xml:space="preserve"> \* MERGEFORMAT </w:instrText>
      </w:r>
      <w:r w:rsidRPr="00DD6692">
        <w:fldChar w:fldCharType="separate"/>
      </w:r>
      <w:r w:rsidR="0089680D" w:rsidRPr="00DD6692">
        <w:t xml:space="preserve">Table </w:t>
      </w:r>
      <w:r w:rsidR="0089680D">
        <w:rPr>
          <w:noProof/>
        </w:rPr>
        <w:t>2</w:t>
      </w:r>
      <w:r w:rsidRPr="00DD6692">
        <w:fldChar w:fldCharType="end"/>
      </w:r>
      <w:r w:rsidRPr="00DD6692">
        <w:t xml:space="preserve"> sets out the </w:t>
      </w:r>
      <w:r w:rsidR="00E27A53" w:rsidRPr="00DD6692">
        <w:t>Cost Model</w:t>
      </w:r>
      <w:r w:rsidRPr="00DD6692">
        <w:t>’s assumptions with respect to shift loadings.</w:t>
      </w:r>
      <w:r w:rsidR="00C46EEB" w:rsidRPr="00DD6692">
        <w:rPr>
          <w:rStyle w:val="FootnoteReference"/>
        </w:rPr>
        <w:footnoteReference w:id="3"/>
      </w:r>
      <w:r w:rsidR="00B658AF" w:rsidRPr="00DD6692">
        <w:t xml:space="preserve"> </w:t>
      </w:r>
    </w:p>
    <w:p w14:paraId="24823C32" w14:textId="6CF1626A" w:rsidR="00BB06ED" w:rsidRPr="00DD6692" w:rsidRDefault="00BB06ED" w:rsidP="00920C59">
      <w:pPr>
        <w:pStyle w:val="Caption"/>
      </w:pPr>
      <w:bookmarkStart w:id="10" w:name="_Ref19024282"/>
      <w:r w:rsidRPr="00DD6692">
        <w:t xml:space="preserve">Table </w:t>
      </w:r>
      <w:fldSimple w:instr=" SEQ Table \* ARABIC ">
        <w:r w:rsidR="0089680D">
          <w:rPr>
            <w:noProof/>
          </w:rPr>
          <w:t>2</w:t>
        </w:r>
      </w:fldSimple>
      <w:bookmarkEnd w:id="10"/>
      <w:r w:rsidRPr="00DD6692">
        <w:t xml:space="preserve">: </w:t>
      </w:r>
      <w:bookmarkStart w:id="11" w:name="_Ref19024272"/>
      <w:r w:rsidR="00A52707" w:rsidRPr="00DD6692">
        <w:t>Shift Loadings</w:t>
      </w:r>
      <w:bookmarkEnd w:id="11"/>
      <w:r w:rsidR="00BD1DF8" w:rsidRPr="00DD6692">
        <w:t xml:space="preserve">, 1 July </w:t>
      </w:r>
      <w:r w:rsidR="004915CA" w:rsidRPr="00DD6692">
        <w:t>202</w:t>
      </w:r>
      <w:r w:rsidR="004915CA">
        <w:t>2</w:t>
      </w:r>
    </w:p>
    <w:tbl>
      <w:tblPr>
        <w:tblStyle w:val="GridTable4-Accent4"/>
        <w:tblW w:w="3334" w:type="pct"/>
        <w:jc w:val="center"/>
        <w:tblLook w:val="0420" w:firstRow="1" w:lastRow="0" w:firstColumn="0" w:lastColumn="0" w:noHBand="0" w:noVBand="1"/>
        <w:tblCaption w:val="Table 4: Shift Loadings, 1 July 2022"/>
      </w:tblPr>
      <w:tblGrid>
        <w:gridCol w:w="3006"/>
        <w:gridCol w:w="3006"/>
      </w:tblGrid>
      <w:tr w:rsidR="002B3A3C" w:rsidRPr="00DD6692" w14:paraId="70ABC8ED" w14:textId="77777777" w:rsidTr="00B9299A">
        <w:trPr>
          <w:cnfStyle w:val="100000000000" w:firstRow="1" w:lastRow="0" w:firstColumn="0" w:lastColumn="0" w:oddVBand="0" w:evenVBand="0" w:oddHBand="0" w:evenHBand="0" w:firstRowFirstColumn="0" w:firstRowLastColumn="0" w:lastRowFirstColumn="0" w:lastRowLastColumn="0"/>
          <w:trHeight w:val="289"/>
          <w:tblHeader/>
          <w:jc w:val="center"/>
        </w:trPr>
        <w:tc>
          <w:tcPr>
            <w:tcW w:w="2500" w:type="pct"/>
            <w:vAlign w:val="center"/>
            <w:hideMark/>
          </w:tcPr>
          <w:p w14:paraId="334C09C7" w14:textId="77777777" w:rsidR="002B3A3C" w:rsidRPr="00DD6692" w:rsidRDefault="002B3A3C" w:rsidP="00B9299A">
            <w:pPr>
              <w:spacing w:before="40" w:after="40" w:line="240" w:lineRule="atLeast"/>
              <w:rPr>
                <w:rFonts w:ascii="Calibri" w:hAnsi="Calibri" w:cs="Calibri"/>
                <w:sz w:val="18"/>
                <w:szCs w:val="18"/>
              </w:rPr>
            </w:pPr>
            <w:r w:rsidRPr="00DD6692">
              <w:rPr>
                <w:sz w:val="18"/>
                <w:szCs w:val="18"/>
              </w:rPr>
              <w:t>Shift</w:t>
            </w:r>
          </w:p>
        </w:tc>
        <w:tc>
          <w:tcPr>
            <w:tcW w:w="2500" w:type="pct"/>
            <w:vAlign w:val="center"/>
            <w:hideMark/>
          </w:tcPr>
          <w:p w14:paraId="071FF94E" w14:textId="77777777" w:rsidR="002B3A3C" w:rsidRPr="00DD6692" w:rsidRDefault="002B3A3C" w:rsidP="00B9299A">
            <w:pPr>
              <w:spacing w:before="40" w:after="40" w:line="240" w:lineRule="atLeast"/>
              <w:jc w:val="center"/>
              <w:rPr>
                <w:sz w:val="18"/>
                <w:szCs w:val="18"/>
              </w:rPr>
            </w:pPr>
            <w:r w:rsidRPr="00DD6692">
              <w:rPr>
                <w:sz w:val="18"/>
                <w:szCs w:val="18"/>
              </w:rPr>
              <w:t>Permanent Loading</w:t>
            </w:r>
          </w:p>
        </w:tc>
      </w:tr>
      <w:tr w:rsidR="002B3A3C" w:rsidRPr="00DD6692" w14:paraId="032E4C6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094810A8" w14:textId="77777777" w:rsidR="002B3A3C" w:rsidRPr="00DD6692" w:rsidRDefault="002B3A3C" w:rsidP="00B9299A">
            <w:pPr>
              <w:spacing w:before="40" w:after="40" w:line="240" w:lineRule="atLeast"/>
              <w:rPr>
                <w:sz w:val="18"/>
                <w:szCs w:val="18"/>
              </w:rPr>
            </w:pPr>
            <w:r w:rsidRPr="00DD6692">
              <w:rPr>
                <w:sz w:val="18"/>
                <w:szCs w:val="18"/>
              </w:rPr>
              <w:t>Weekday</w:t>
            </w:r>
          </w:p>
        </w:tc>
        <w:tc>
          <w:tcPr>
            <w:tcW w:w="2500" w:type="pct"/>
            <w:noWrap/>
            <w:vAlign w:val="center"/>
            <w:hideMark/>
          </w:tcPr>
          <w:p w14:paraId="2CB3A784" w14:textId="77777777" w:rsidR="002B3A3C" w:rsidRPr="00DD6692" w:rsidRDefault="002B3A3C" w:rsidP="00B9299A">
            <w:pPr>
              <w:spacing w:before="40" w:after="40" w:line="240" w:lineRule="atLeast"/>
              <w:jc w:val="center"/>
              <w:rPr>
                <w:sz w:val="18"/>
                <w:szCs w:val="18"/>
              </w:rPr>
            </w:pPr>
            <w:r w:rsidRPr="00DD6692">
              <w:rPr>
                <w:sz w:val="18"/>
                <w:szCs w:val="18"/>
              </w:rPr>
              <w:t>0.0%</w:t>
            </w:r>
          </w:p>
        </w:tc>
      </w:tr>
      <w:tr w:rsidR="002B3A3C" w:rsidRPr="00DD6692" w14:paraId="50E6D98E" w14:textId="77777777" w:rsidTr="00B9299A">
        <w:trPr>
          <w:trHeight w:val="300"/>
          <w:jc w:val="center"/>
        </w:trPr>
        <w:tc>
          <w:tcPr>
            <w:tcW w:w="2500" w:type="pct"/>
            <w:vAlign w:val="center"/>
            <w:hideMark/>
          </w:tcPr>
          <w:p w14:paraId="22367A11" w14:textId="77777777" w:rsidR="002B3A3C" w:rsidRPr="00DD6692" w:rsidRDefault="002B3A3C" w:rsidP="00B9299A">
            <w:pPr>
              <w:spacing w:before="40" w:after="40" w:line="240" w:lineRule="atLeast"/>
              <w:rPr>
                <w:sz w:val="18"/>
                <w:szCs w:val="18"/>
              </w:rPr>
            </w:pPr>
            <w:r w:rsidRPr="00DD6692">
              <w:rPr>
                <w:sz w:val="18"/>
                <w:szCs w:val="18"/>
              </w:rPr>
              <w:t>Saturday</w:t>
            </w:r>
          </w:p>
        </w:tc>
        <w:tc>
          <w:tcPr>
            <w:tcW w:w="2500" w:type="pct"/>
            <w:noWrap/>
            <w:vAlign w:val="center"/>
            <w:hideMark/>
          </w:tcPr>
          <w:p w14:paraId="1EF5A5D0" w14:textId="77777777" w:rsidR="002B3A3C" w:rsidRPr="00DD6692" w:rsidRDefault="002B3A3C" w:rsidP="00B9299A">
            <w:pPr>
              <w:spacing w:before="40" w:after="40" w:line="240" w:lineRule="atLeast"/>
              <w:jc w:val="center"/>
              <w:rPr>
                <w:sz w:val="18"/>
                <w:szCs w:val="18"/>
              </w:rPr>
            </w:pPr>
            <w:r w:rsidRPr="00DD6692">
              <w:rPr>
                <w:sz w:val="18"/>
                <w:szCs w:val="18"/>
              </w:rPr>
              <w:t>50.0%</w:t>
            </w:r>
          </w:p>
        </w:tc>
      </w:tr>
      <w:tr w:rsidR="002B3A3C" w:rsidRPr="00DD6692" w14:paraId="5050E58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4334F0E1" w14:textId="77777777" w:rsidR="002B3A3C" w:rsidRPr="00DD6692" w:rsidRDefault="002B3A3C" w:rsidP="00B9299A">
            <w:pPr>
              <w:spacing w:before="40" w:after="40" w:line="240" w:lineRule="atLeast"/>
              <w:rPr>
                <w:sz w:val="18"/>
                <w:szCs w:val="18"/>
              </w:rPr>
            </w:pPr>
            <w:r w:rsidRPr="00DD6692">
              <w:rPr>
                <w:sz w:val="18"/>
                <w:szCs w:val="18"/>
              </w:rPr>
              <w:t>Sunday</w:t>
            </w:r>
          </w:p>
        </w:tc>
        <w:tc>
          <w:tcPr>
            <w:tcW w:w="2500" w:type="pct"/>
            <w:noWrap/>
            <w:vAlign w:val="center"/>
            <w:hideMark/>
          </w:tcPr>
          <w:p w14:paraId="6109CED7" w14:textId="77777777" w:rsidR="002B3A3C" w:rsidRPr="00DD6692" w:rsidRDefault="002B3A3C" w:rsidP="00B9299A">
            <w:pPr>
              <w:spacing w:before="40" w:after="40" w:line="240" w:lineRule="atLeast"/>
              <w:jc w:val="center"/>
              <w:rPr>
                <w:sz w:val="18"/>
                <w:szCs w:val="18"/>
              </w:rPr>
            </w:pPr>
            <w:r w:rsidRPr="00DD6692">
              <w:rPr>
                <w:sz w:val="18"/>
                <w:szCs w:val="18"/>
              </w:rPr>
              <w:t>100.0%</w:t>
            </w:r>
          </w:p>
        </w:tc>
      </w:tr>
      <w:tr w:rsidR="002B3A3C" w:rsidRPr="00DD6692" w14:paraId="37E2CCD7" w14:textId="77777777" w:rsidTr="00B9299A">
        <w:trPr>
          <w:trHeight w:val="300"/>
          <w:jc w:val="center"/>
        </w:trPr>
        <w:tc>
          <w:tcPr>
            <w:tcW w:w="2500" w:type="pct"/>
            <w:vAlign w:val="center"/>
          </w:tcPr>
          <w:p w14:paraId="4A8304B9" w14:textId="77777777" w:rsidR="002B3A3C" w:rsidRPr="00DD6692" w:rsidRDefault="002B3A3C" w:rsidP="00B9299A">
            <w:pPr>
              <w:spacing w:before="40" w:after="40" w:line="240" w:lineRule="atLeast"/>
              <w:rPr>
                <w:sz w:val="18"/>
                <w:szCs w:val="18"/>
              </w:rPr>
            </w:pPr>
            <w:r w:rsidRPr="00DD6692">
              <w:rPr>
                <w:sz w:val="18"/>
                <w:szCs w:val="18"/>
              </w:rPr>
              <w:t>Public Holiday</w:t>
            </w:r>
          </w:p>
        </w:tc>
        <w:tc>
          <w:tcPr>
            <w:tcW w:w="2500" w:type="pct"/>
            <w:noWrap/>
            <w:vAlign w:val="center"/>
          </w:tcPr>
          <w:p w14:paraId="1F591762" w14:textId="77777777" w:rsidR="002B3A3C" w:rsidRPr="00DD6692" w:rsidRDefault="002B3A3C" w:rsidP="00B9299A">
            <w:pPr>
              <w:spacing w:before="40" w:after="40" w:line="240" w:lineRule="atLeast"/>
              <w:jc w:val="center"/>
              <w:rPr>
                <w:sz w:val="18"/>
                <w:szCs w:val="18"/>
              </w:rPr>
            </w:pPr>
            <w:r w:rsidRPr="00DD6692">
              <w:rPr>
                <w:sz w:val="18"/>
                <w:szCs w:val="18"/>
              </w:rPr>
              <w:t>150.0%</w:t>
            </w:r>
          </w:p>
        </w:tc>
      </w:tr>
      <w:tr w:rsidR="002B3A3C" w:rsidRPr="00DD6692" w14:paraId="365049F0"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tcPr>
          <w:p w14:paraId="12D91D77" w14:textId="77777777" w:rsidR="002B3A3C" w:rsidRPr="00DD6692" w:rsidRDefault="002B3A3C" w:rsidP="00B9299A">
            <w:pPr>
              <w:spacing w:before="40" w:after="40" w:line="240" w:lineRule="atLeast"/>
              <w:rPr>
                <w:sz w:val="18"/>
                <w:szCs w:val="18"/>
              </w:rPr>
            </w:pPr>
            <w:r w:rsidRPr="00DD6692">
              <w:rPr>
                <w:sz w:val="18"/>
                <w:szCs w:val="18"/>
              </w:rPr>
              <w:t>Evening Shift</w:t>
            </w:r>
          </w:p>
        </w:tc>
        <w:tc>
          <w:tcPr>
            <w:tcW w:w="2500" w:type="pct"/>
            <w:noWrap/>
            <w:vAlign w:val="center"/>
          </w:tcPr>
          <w:p w14:paraId="2E4C0B0A" w14:textId="77777777" w:rsidR="002B3A3C" w:rsidRPr="00DD6692" w:rsidRDefault="002B3A3C" w:rsidP="00B9299A">
            <w:pPr>
              <w:spacing w:before="40" w:after="40" w:line="240" w:lineRule="atLeast"/>
              <w:jc w:val="center"/>
              <w:rPr>
                <w:sz w:val="18"/>
                <w:szCs w:val="18"/>
              </w:rPr>
            </w:pPr>
            <w:r w:rsidRPr="00DD6692">
              <w:rPr>
                <w:sz w:val="18"/>
                <w:szCs w:val="18"/>
              </w:rPr>
              <w:t>12.5%</w:t>
            </w:r>
          </w:p>
        </w:tc>
      </w:tr>
      <w:tr w:rsidR="002B3A3C" w:rsidRPr="00DD6692" w14:paraId="42C3B6A0" w14:textId="77777777" w:rsidTr="00B9299A">
        <w:trPr>
          <w:trHeight w:val="300"/>
          <w:jc w:val="center"/>
        </w:trPr>
        <w:tc>
          <w:tcPr>
            <w:tcW w:w="2500" w:type="pct"/>
            <w:vAlign w:val="center"/>
          </w:tcPr>
          <w:p w14:paraId="413144B8" w14:textId="77777777" w:rsidR="002B3A3C" w:rsidRPr="00DD6692" w:rsidRDefault="002B3A3C" w:rsidP="00B9299A">
            <w:pPr>
              <w:spacing w:before="40" w:after="40" w:line="240" w:lineRule="atLeast"/>
              <w:rPr>
                <w:sz w:val="18"/>
                <w:szCs w:val="18"/>
              </w:rPr>
            </w:pPr>
            <w:r w:rsidRPr="00DD6692">
              <w:rPr>
                <w:sz w:val="18"/>
                <w:szCs w:val="18"/>
              </w:rPr>
              <w:t>Night Shift</w:t>
            </w:r>
          </w:p>
        </w:tc>
        <w:tc>
          <w:tcPr>
            <w:tcW w:w="2500" w:type="pct"/>
            <w:noWrap/>
            <w:vAlign w:val="center"/>
          </w:tcPr>
          <w:p w14:paraId="1A261A17" w14:textId="77777777" w:rsidR="002B3A3C" w:rsidRPr="00DD6692" w:rsidRDefault="002B3A3C" w:rsidP="00B9299A">
            <w:pPr>
              <w:spacing w:before="40" w:after="40" w:line="240" w:lineRule="atLeast"/>
              <w:jc w:val="center"/>
              <w:rPr>
                <w:sz w:val="18"/>
                <w:szCs w:val="18"/>
              </w:rPr>
            </w:pPr>
            <w:r w:rsidRPr="00DD6692">
              <w:rPr>
                <w:sz w:val="18"/>
                <w:szCs w:val="18"/>
              </w:rPr>
              <w:t>15.0%</w:t>
            </w:r>
          </w:p>
        </w:tc>
      </w:tr>
    </w:tbl>
    <w:p w14:paraId="694202E5" w14:textId="77777777" w:rsidR="00496615" w:rsidRPr="00920C59" w:rsidRDefault="00496615" w:rsidP="00920C59">
      <w:pPr>
        <w:pStyle w:val="Heading2"/>
      </w:pPr>
      <w:bookmarkStart w:id="12" w:name="_Toc106464071"/>
      <w:r w:rsidRPr="00920C59">
        <w:lastRenderedPageBreak/>
        <w:t>Direct On-costs</w:t>
      </w:r>
      <w:bookmarkEnd w:id="12"/>
    </w:p>
    <w:p w14:paraId="2476052D" w14:textId="77777777" w:rsidR="00496615" w:rsidRPr="00BD60BD" w:rsidRDefault="00496615" w:rsidP="00496615">
      <w:pPr>
        <w:keepNext/>
      </w:pPr>
      <w:r w:rsidRPr="00BD60BD">
        <w:t>Direct On-costs consist of leave costs</w:t>
      </w:r>
      <w:r w:rsidR="004213C3">
        <w:t xml:space="preserve"> (days worked versus days paid)</w:t>
      </w:r>
      <w:r w:rsidRPr="00BD60BD">
        <w:t xml:space="preserve">, plus salary-like on-costs (superannuation and </w:t>
      </w:r>
      <w:r w:rsidR="009F4898">
        <w:t xml:space="preserve">employee </w:t>
      </w:r>
      <w:r w:rsidRPr="00BD60BD">
        <w:t>allowances).</w:t>
      </w:r>
    </w:p>
    <w:p w14:paraId="5EB15E19" w14:textId="77777777" w:rsidR="00B227D9" w:rsidRPr="00DD6692" w:rsidRDefault="007751F4" w:rsidP="00FE1BE2">
      <w:pPr>
        <w:pStyle w:val="Heading3"/>
        <w:keepNext w:val="0"/>
      </w:pPr>
      <w:bookmarkStart w:id="13" w:name="_Toc106464072"/>
      <w:r w:rsidRPr="00DD6692">
        <w:t>Days W</w:t>
      </w:r>
      <w:r w:rsidR="001A1BE7" w:rsidRPr="00DD6692">
        <w:t>orked V</w:t>
      </w:r>
      <w:r w:rsidR="00A52707" w:rsidRPr="00DD6692">
        <w:t>ersu</w:t>
      </w:r>
      <w:r w:rsidR="001A1BE7" w:rsidRPr="00DD6692">
        <w:t>s Days P</w:t>
      </w:r>
      <w:r w:rsidR="00B227D9" w:rsidRPr="00DD6692">
        <w:t>aid</w:t>
      </w:r>
      <w:bookmarkEnd w:id="13"/>
    </w:p>
    <w:p w14:paraId="5573BB40" w14:textId="0078DC33" w:rsidR="00A52707" w:rsidRPr="00DD6692" w:rsidRDefault="001A1BE7" w:rsidP="00FE1BE2">
      <w:r w:rsidRPr="00DD6692">
        <w:t xml:space="preserve">The </w:t>
      </w:r>
      <w:r w:rsidR="00E27A53" w:rsidRPr="00DD6692">
        <w:t>Cost Model</w:t>
      </w:r>
      <w:r w:rsidRPr="00DD6692">
        <w:t xml:space="preserve"> recognises that </w:t>
      </w:r>
      <w:r w:rsidR="003133FF" w:rsidRPr="00DD6692">
        <w:t xml:space="preserve">under the SCHADS </w:t>
      </w:r>
      <w:r w:rsidR="00F45EB9">
        <w:t xml:space="preserve">Industry </w:t>
      </w:r>
      <w:r w:rsidR="003133FF" w:rsidRPr="00DD6692">
        <w:t xml:space="preserve">Award </w:t>
      </w:r>
      <w:r w:rsidRPr="00DD6692">
        <w:t>a permanent worker</w:t>
      </w:r>
      <w:r w:rsidR="003133FF" w:rsidRPr="00DD6692">
        <w:t>’s ordinary hours of work will be 38 hours per week</w:t>
      </w:r>
      <w:r w:rsidR="003133FF" w:rsidRPr="00DD6692">
        <w:rPr>
          <w:rStyle w:val="FootnoteReference"/>
        </w:rPr>
        <w:footnoteReference w:id="4"/>
      </w:r>
      <w:r w:rsidR="003133FF" w:rsidRPr="00DD6692">
        <w:t>, and that they will be available to work</w:t>
      </w:r>
      <w:r w:rsidRPr="00DD6692">
        <w:t xml:space="preserve"> on 220 days a year</w:t>
      </w:r>
      <w:r w:rsidR="003133FF" w:rsidRPr="00DD6692">
        <w:t>,</w:t>
      </w:r>
      <w:r w:rsidR="000E200F" w:rsidRPr="00DD6692">
        <w:t xml:space="preserve"> because</w:t>
      </w:r>
      <w:r w:rsidR="002C16A4" w:rsidRPr="00DD6692">
        <w:t xml:space="preserve"> under </w:t>
      </w:r>
      <w:r w:rsidR="009F4898" w:rsidRPr="00DD6692">
        <w:t xml:space="preserve">the SCHADS </w:t>
      </w:r>
      <w:r w:rsidR="00F45EB9">
        <w:t xml:space="preserve">Industry </w:t>
      </w:r>
      <w:r w:rsidR="009F4898" w:rsidRPr="00DD6692">
        <w:t xml:space="preserve">Award </w:t>
      </w:r>
      <w:r w:rsidR="009F4898">
        <w:t xml:space="preserve">and </w:t>
      </w:r>
      <w:r w:rsidR="002C16A4" w:rsidRPr="00DD6692">
        <w:t>the National Employment Standards</w:t>
      </w:r>
      <w:r w:rsidR="002C16A4" w:rsidRPr="00DD6692">
        <w:rPr>
          <w:rStyle w:val="FootnoteReference"/>
        </w:rPr>
        <w:footnoteReference w:id="5"/>
      </w:r>
      <w:r w:rsidR="002C16A4" w:rsidRPr="00DD6692">
        <w:t xml:space="preserve"> </w:t>
      </w:r>
      <w:r w:rsidR="000E200F" w:rsidRPr="00DD6692">
        <w:t xml:space="preserve">they </w:t>
      </w:r>
      <w:r w:rsidR="002C16A4" w:rsidRPr="00DD6692">
        <w:t>must be</w:t>
      </w:r>
      <w:r w:rsidRPr="00DD6692">
        <w:t xml:space="preserve"> paid for:</w:t>
      </w:r>
    </w:p>
    <w:p w14:paraId="53E35BBE" w14:textId="77777777" w:rsidR="0036394E" w:rsidRPr="00DD6692" w:rsidRDefault="00A52707" w:rsidP="00FE1BE2">
      <w:pPr>
        <w:pStyle w:val="ListParagraph"/>
        <w:numPr>
          <w:ilvl w:val="0"/>
          <w:numId w:val="8"/>
        </w:numPr>
      </w:pPr>
      <w:r w:rsidRPr="00DD6692">
        <w:t>20 days of annual leave</w:t>
      </w:r>
      <w:r w:rsidR="006946B1" w:rsidRPr="00DD6692">
        <w:t>;</w:t>
      </w:r>
      <w:r w:rsidR="0036394E" w:rsidRPr="00DD6692">
        <w:rPr>
          <w:rStyle w:val="FootnoteReference"/>
        </w:rPr>
        <w:footnoteReference w:id="6"/>
      </w:r>
    </w:p>
    <w:p w14:paraId="54436B87" w14:textId="77777777" w:rsidR="00A52707" w:rsidRPr="00DD6692" w:rsidRDefault="007751F4" w:rsidP="00FE1BE2">
      <w:pPr>
        <w:pStyle w:val="ListParagraph"/>
        <w:numPr>
          <w:ilvl w:val="0"/>
          <w:numId w:val="8"/>
        </w:numPr>
      </w:pPr>
      <w:r w:rsidRPr="00DD6692">
        <w:t>10 days of public holidays</w:t>
      </w:r>
      <w:r w:rsidR="006946B1" w:rsidRPr="00DD6692">
        <w:t>;</w:t>
      </w:r>
      <w:r w:rsidR="00B46AE1" w:rsidRPr="00DD6692">
        <w:rPr>
          <w:rStyle w:val="FootnoteReference"/>
        </w:rPr>
        <w:footnoteReference w:id="7"/>
      </w:r>
      <w:r w:rsidR="00430082" w:rsidRPr="00DD6692">
        <w:t xml:space="preserve"> and</w:t>
      </w:r>
    </w:p>
    <w:p w14:paraId="3980FC46" w14:textId="77777777" w:rsidR="003C3A52" w:rsidRPr="00DD6692" w:rsidRDefault="001A1BE7" w:rsidP="00FE1BE2">
      <w:pPr>
        <w:pStyle w:val="ListParagraph"/>
        <w:numPr>
          <w:ilvl w:val="0"/>
          <w:numId w:val="9"/>
        </w:numPr>
      </w:pPr>
      <w:r w:rsidRPr="00DD6692">
        <w:t xml:space="preserve">Up to </w:t>
      </w:r>
      <w:r w:rsidR="00A52707" w:rsidRPr="00DD6692">
        <w:t>10 days of personal leave</w:t>
      </w:r>
      <w:r w:rsidR="00430082" w:rsidRPr="00DD6692">
        <w:t>.</w:t>
      </w:r>
      <w:r w:rsidR="00B37370" w:rsidRPr="00DD6692">
        <w:rPr>
          <w:rStyle w:val="FootnoteReference"/>
        </w:rPr>
        <w:footnoteReference w:id="8"/>
      </w:r>
    </w:p>
    <w:p w14:paraId="245AE84A" w14:textId="77777777" w:rsidR="009F4898" w:rsidRDefault="003133FF" w:rsidP="00FE1BE2">
      <w:r w:rsidRPr="00DD6692">
        <w:t xml:space="preserve">The Cost Model recognises that providers need to accrue the revenue to meet the costs of </w:t>
      </w:r>
      <w:r w:rsidR="00430082" w:rsidRPr="00DD6692">
        <w:t>these</w:t>
      </w:r>
      <w:r w:rsidR="000E200F" w:rsidRPr="00DD6692">
        <w:t xml:space="preserve"> leave </w:t>
      </w:r>
      <w:r w:rsidRPr="00DD6692">
        <w:t>accruals during the billable hours of the DSW.</w:t>
      </w:r>
      <w:r w:rsidR="009F4898">
        <w:t xml:space="preserve"> The Cost Model assumes that all leave entitlements are drawn on, including personal leave.</w:t>
      </w:r>
    </w:p>
    <w:p w14:paraId="4E8E3713" w14:textId="77777777" w:rsidR="001A1BE7" w:rsidRPr="00DD6692" w:rsidRDefault="003133FF" w:rsidP="00FE1BE2">
      <w:r w:rsidRPr="00DD6692">
        <w:t xml:space="preserve">The Cost Model also recognises that workers accrue Long Service Leave </w:t>
      </w:r>
      <w:r w:rsidR="00103BA7">
        <w:t xml:space="preserve">(LSL) </w:t>
      </w:r>
      <w:r w:rsidRPr="00DD6692">
        <w:t xml:space="preserve">entitlements when they work and that again providers need to accrue the revenue to meet the costs of this leave accrual during the billable hours of the DSW. The Cost Model assumes that workers accrue </w:t>
      </w:r>
      <w:r w:rsidR="00A52707" w:rsidRPr="00DD6692">
        <w:t>4</w:t>
      </w:r>
      <w:r w:rsidR="00A52707" w:rsidRPr="00DD6692">
        <w:rPr>
          <w:rFonts w:cstheme="minorHAnsi"/>
        </w:rPr>
        <w:t>⅓</w:t>
      </w:r>
      <w:r w:rsidR="00A52707" w:rsidRPr="00DD6692">
        <w:t xml:space="preserve"> days of long service leave</w:t>
      </w:r>
      <w:r w:rsidR="00430082" w:rsidRPr="00DD6692">
        <w:t xml:space="preserve"> each year.</w:t>
      </w:r>
      <w:r w:rsidR="00B46AE1" w:rsidRPr="00DD6692">
        <w:rPr>
          <w:rStyle w:val="FootnoteReference"/>
          <w:rFonts w:cstheme="minorHAnsi"/>
        </w:rPr>
        <w:footnoteReference w:id="9"/>
      </w:r>
      <w:r w:rsidR="009F4898" w:rsidRPr="009F4898">
        <w:t xml:space="preserve"> </w:t>
      </w:r>
      <w:r w:rsidR="009F4898">
        <w:t>The Cost Model assumes that all long service leave entitlements are drawn on.</w:t>
      </w:r>
    </w:p>
    <w:p w14:paraId="40E3A5B9" w14:textId="3ED083E9" w:rsidR="0036394E" w:rsidRDefault="0036394E" w:rsidP="00FE1BE2">
      <w:r w:rsidRPr="00DD6692">
        <w:t xml:space="preserve">In line with </w:t>
      </w:r>
      <w:r w:rsidR="0096187E">
        <w:t xml:space="preserve">the </w:t>
      </w:r>
      <w:r w:rsidRPr="00DD6692">
        <w:t>SCHADS</w:t>
      </w:r>
      <w:r w:rsidR="00CE2851">
        <w:t xml:space="preserve"> Industry</w:t>
      </w:r>
      <w:r w:rsidRPr="00DD6692">
        <w:t xml:space="preserve"> Award, the Cost Model also provides a 17.5% loading for annual leave to compensate workers for the shifts they would have otherwise taken.</w:t>
      </w:r>
      <w:r w:rsidRPr="00DD6692">
        <w:rPr>
          <w:rStyle w:val="FootnoteReference"/>
        </w:rPr>
        <w:footnoteReference w:id="10"/>
      </w:r>
    </w:p>
    <w:p w14:paraId="78599188" w14:textId="77777777" w:rsidR="00FE1BE2" w:rsidRDefault="00FE1BE2" w:rsidP="00FE1BE2">
      <w:pPr>
        <w:pStyle w:val="Heading3"/>
        <w:keepNext w:val="0"/>
      </w:pPr>
      <w:bookmarkStart w:id="14" w:name="_Toc106464073"/>
      <w:bookmarkStart w:id="15" w:name="_Ref18506181"/>
      <w:r>
        <w:t>Superannuation</w:t>
      </w:r>
      <w:bookmarkEnd w:id="14"/>
      <w:r>
        <w:t xml:space="preserve"> </w:t>
      </w:r>
    </w:p>
    <w:p w14:paraId="1F30FAC1" w14:textId="77777777" w:rsidR="00FE1BE2" w:rsidRPr="00DD6692" w:rsidRDefault="00FE1BE2" w:rsidP="00FE1BE2">
      <w:r>
        <w:t>The Cost Model assumes that</w:t>
      </w:r>
      <w:r w:rsidR="00E4628A">
        <w:t xml:space="preserve"> </w:t>
      </w:r>
      <w:r w:rsidR="009F4898">
        <w:t xml:space="preserve">in 2022-23 </w:t>
      </w:r>
      <w:r>
        <w:t>s</w:t>
      </w:r>
      <w:r w:rsidRPr="00DD6692">
        <w:t xml:space="preserve">uperannuation </w:t>
      </w:r>
      <w:r>
        <w:t xml:space="preserve">is paid </w:t>
      </w:r>
      <w:r w:rsidRPr="00DD6692">
        <w:t xml:space="preserve">at the statutory </w:t>
      </w:r>
      <w:r>
        <w:t>10</w:t>
      </w:r>
      <w:r w:rsidRPr="00DD6692">
        <w:t>.5% of base salary, including while on leave</w:t>
      </w:r>
      <w:r w:rsidR="00E4628A">
        <w:t>.</w:t>
      </w:r>
      <w:r w:rsidRPr="00DD6692">
        <w:rPr>
          <w:rStyle w:val="FootnoteReference"/>
        </w:rPr>
        <w:footnoteReference w:id="11"/>
      </w:r>
      <w:r w:rsidRPr="00DD6692">
        <w:t xml:space="preserve"> </w:t>
      </w:r>
    </w:p>
    <w:p w14:paraId="35108AC4" w14:textId="77777777" w:rsidR="00FE1BE2" w:rsidRDefault="00FE1BE2" w:rsidP="009F4898">
      <w:pPr>
        <w:pStyle w:val="Heading3"/>
      </w:pPr>
      <w:bookmarkStart w:id="16" w:name="_Toc106464074"/>
      <w:r>
        <w:lastRenderedPageBreak/>
        <w:t>Employee allowances</w:t>
      </w:r>
      <w:bookmarkEnd w:id="16"/>
    </w:p>
    <w:p w14:paraId="56A85413" w14:textId="77777777" w:rsidR="00FE1BE2" w:rsidRPr="00DD6692" w:rsidRDefault="00FE1BE2" w:rsidP="00FE1BE2">
      <w:r>
        <w:t>The Cost Model assumes that e</w:t>
      </w:r>
      <w:r w:rsidRPr="00DD6692">
        <w:t xml:space="preserve">mployee allowances </w:t>
      </w:r>
      <w:r w:rsidR="00B9299A">
        <w:t>are</w:t>
      </w:r>
      <w:r w:rsidR="009F4898">
        <w:t xml:space="preserve"> on average</w:t>
      </w:r>
      <w:r w:rsidR="00B9299A">
        <w:t xml:space="preserve"> equal to</w:t>
      </w:r>
      <w:r w:rsidRPr="00DD6692">
        <w:t xml:space="preserve"> 1.0% of base salary</w:t>
      </w:r>
      <w:r w:rsidR="00B9299A">
        <w:t xml:space="preserve"> on average</w:t>
      </w:r>
      <w:r w:rsidRPr="00DD6692">
        <w:t>.</w:t>
      </w:r>
    </w:p>
    <w:p w14:paraId="12AE32B3" w14:textId="77777777" w:rsidR="00FE1BE2" w:rsidRDefault="00FE1BE2" w:rsidP="00FE1BE2">
      <w:pPr>
        <w:pStyle w:val="Heading3"/>
        <w:keepNext w:val="0"/>
      </w:pPr>
      <w:bookmarkStart w:id="17" w:name="_Toc106464075"/>
      <w:r>
        <w:t>Cumulative Impact of Direct on-costs</w:t>
      </w:r>
      <w:bookmarkEnd w:id="17"/>
    </w:p>
    <w:p w14:paraId="3FDBAFAE" w14:textId="0A9D9BEF" w:rsidR="00FE1BE2" w:rsidRPr="00BD60BD" w:rsidRDefault="00FE1BE2" w:rsidP="00FE1BE2">
      <w:r w:rsidRPr="00BD60BD">
        <w:t xml:space="preserve">The </w:t>
      </w:r>
      <w:r>
        <w:t xml:space="preserve">impacts of leave loadings and direct on-costs are shown in </w:t>
      </w:r>
      <w:r>
        <w:fldChar w:fldCharType="begin"/>
      </w:r>
      <w:r>
        <w:instrText xml:space="preserve"> REF _Ref19024580 \h </w:instrText>
      </w:r>
      <w:r>
        <w:fldChar w:fldCharType="separate"/>
      </w:r>
      <w:r w:rsidR="0089680D" w:rsidRPr="00DD6692">
        <w:t xml:space="preserve">Table </w:t>
      </w:r>
      <w:r w:rsidR="0089680D">
        <w:rPr>
          <w:noProof/>
        </w:rPr>
        <w:t>3</w:t>
      </w:r>
      <w:r>
        <w:fldChar w:fldCharType="end"/>
      </w:r>
      <w:r>
        <w:t>.</w:t>
      </w:r>
    </w:p>
    <w:p w14:paraId="69EF77F5" w14:textId="18832365" w:rsidR="00FE1BE2" w:rsidRPr="00DD6692" w:rsidRDefault="00FE1BE2" w:rsidP="00920C59">
      <w:pPr>
        <w:pStyle w:val="Caption"/>
      </w:pPr>
      <w:bookmarkStart w:id="18" w:name="_Ref19024580"/>
      <w:bookmarkStart w:id="19" w:name="OLE_LINK1"/>
      <w:bookmarkStart w:id="20" w:name="OLE_LINK2"/>
      <w:r w:rsidRPr="00DD6692">
        <w:t xml:space="preserve">Table </w:t>
      </w:r>
      <w:fldSimple w:instr=" SEQ Table \* ARABIC ">
        <w:r w:rsidR="0089680D">
          <w:rPr>
            <w:noProof/>
          </w:rPr>
          <w:t>3</w:t>
        </w:r>
      </w:fldSimple>
      <w:bookmarkEnd w:id="18"/>
      <w:r w:rsidRPr="00DD6692">
        <w:t xml:space="preserve">: Impact of </w:t>
      </w:r>
      <w:r>
        <w:t>Direct On-Costs</w:t>
      </w:r>
      <w:r w:rsidRPr="00DD6692">
        <w:t xml:space="preserve"> on the Cost per Worked Hour of a DSW</w:t>
      </w:r>
    </w:p>
    <w:tbl>
      <w:tblPr>
        <w:tblStyle w:val="GridTable4-Accent4"/>
        <w:tblW w:w="5000" w:type="pct"/>
        <w:tblLook w:val="0420" w:firstRow="1" w:lastRow="0" w:firstColumn="0" w:lastColumn="0" w:noHBand="0" w:noVBand="1"/>
        <w:tblCaption w:val="Table 5: Impact of Direct On-Costs on the Cost per Worked Hour of a DSW"/>
      </w:tblPr>
      <w:tblGrid>
        <w:gridCol w:w="4508"/>
        <w:gridCol w:w="1127"/>
        <w:gridCol w:w="1127"/>
        <w:gridCol w:w="1127"/>
        <w:gridCol w:w="1127"/>
      </w:tblGrid>
      <w:tr w:rsidR="00FE1BE2" w:rsidRPr="00DD6692" w14:paraId="124108FD"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22D9D25D" w14:textId="77777777" w:rsidR="00FE1BE2" w:rsidRPr="00DD6692" w:rsidRDefault="00FE1BE2" w:rsidP="00F56768">
            <w:pPr>
              <w:spacing w:before="40" w:after="40" w:line="240" w:lineRule="atLeast"/>
              <w:rPr>
                <w:rFonts w:cstheme="minorHAnsi"/>
                <w:sz w:val="18"/>
                <w:szCs w:val="18"/>
              </w:rPr>
            </w:pPr>
          </w:p>
        </w:tc>
        <w:tc>
          <w:tcPr>
            <w:tcW w:w="625" w:type="pct"/>
            <w:hideMark/>
          </w:tcPr>
          <w:p w14:paraId="196803E4" w14:textId="77777777" w:rsidR="00FE1BE2" w:rsidRPr="00DD6692" w:rsidRDefault="00FE1BE2" w:rsidP="00F56768">
            <w:pPr>
              <w:spacing w:before="40" w:after="40" w:line="240" w:lineRule="atLeast"/>
              <w:jc w:val="center"/>
              <w:rPr>
                <w:rFonts w:cstheme="minorHAnsi"/>
                <w:sz w:val="18"/>
                <w:szCs w:val="18"/>
              </w:rPr>
            </w:pPr>
            <w:r>
              <w:rPr>
                <w:rFonts w:cstheme="minorHAnsi"/>
                <w:sz w:val="18"/>
                <w:szCs w:val="18"/>
              </w:rPr>
              <w:t>DSW 1</w:t>
            </w:r>
          </w:p>
        </w:tc>
        <w:tc>
          <w:tcPr>
            <w:tcW w:w="625" w:type="pct"/>
          </w:tcPr>
          <w:p w14:paraId="466A0DF5" w14:textId="77777777" w:rsidR="00FE1BE2" w:rsidRPr="00DD6692" w:rsidRDefault="00FE1BE2" w:rsidP="00F56768">
            <w:pPr>
              <w:spacing w:before="40" w:after="40" w:line="240" w:lineRule="atLeast"/>
              <w:jc w:val="center"/>
              <w:rPr>
                <w:rFonts w:cstheme="minorHAnsi"/>
                <w:b w:val="0"/>
                <w:bCs w:val="0"/>
                <w:sz w:val="18"/>
                <w:szCs w:val="18"/>
                <w:lang w:eastAsia="en-AU"/>
              </w:rPr>
            </w:pPr>
            <w:r>
              <w:rPr>
                <w:rFonts w:cstheme="minorHAnsi"/>
                <w:sz w:val="18"/>
                <w:szCs w:val="18"/>
              </w:rPr>
              <w:t>DSW 2</w:t>
            </w:r>
          </w:p>
        </w:tc>
        <w:tc>
          <w:tcPr>
            <w:tcW w:w="625" w:type="pct"/>
          </w:tcPr>
          <w:p w14:paraId="6DA63875" w14:textId="77777777" w:rsidR="00FE1BE2" w:rsidRPr="00DD6692" w:rsidRDefault="00FE1BE2" w:rsidP="00F56768">
            <w:pPr>
              <w:spacing w:before="40" w:after="40" w:line="240" w:lineRule="atLeast"/>
              <w:jc w:val="center"/>
              <w:rPr>
                <w:rFonts w:cstheme="minorHAnsi"/>
                <w:sz w:val="18"/>
                <w:szCs w:val="18"/>
              </w:rPr>
            </w:pPr>
            <w:r>
              <w:rPr>
                <w:rFonts w:cstheme="minorHAnsi"/>
                <w:sz w:val="18"/>
                <w:szCs w:val="18"/>
              </w:rPr>
              <w:t>DSW 3</w:t>
            </w:r>
          </w:p>
        </w:tc>
        <w:tc>
          <w:tcPr>
            <w:tcW w:w="625" w:type="pct"/>
          </w:tcPr>
          <w:p w14:paraId="1CD0D326" w14:textId="77777777" w:rsidR="00FE1BE2" w:rsidRPr="00DD6692" w:rsidRDefault="00FE1BE2" w:rsidP="00F56768">
            <w:pPr>
              <w:spacing w:before="40" w:after="40" w:line="240" w:lineRule="atLeast"/>
              <w:jc w:val="center"/>
              <w:rPr>
                <w:rFonts w:cstheme="minorHAnsi"/>
                <w:sz w:val="18"/>
                <w:szCs w:val="18"/>
              </w:rPr>
            </w:pPr>
            <w:r>
              <w:rPr>
                <w:rFonts w:cstheme="minorHAnsi"/>
                <w:sz w:val="18"/>
                <w:szCs w:val="18"/>
              </w:rPr>
              <w:t>DSW 4</w:t>
            </w:r>
          </w:p>
        </w:tc>
      </w:tr>
      <w:tr w:rsidR="00FE1BE2" w:rsidRPr="00DD6692" w14:paraId="6801946D"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hideMark/>
          </w:tcPr>
          <w:p w14:paraId="64027D84"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Standard Hourly Rate</w:t>
            </w:r>
          </w:p>
        </w:tc>
        <w:tc>
          <w:tcPr>
            <w:tcW w:w="625" w:type="pct"/>
            <w:noWrap/>
            <w:hideMark/>
          </w:tcPr>
          <w:p w14:paraId="4E962637"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$32.36 </w:t>
            </w:r>
          </w:p>
        </w:tc>
        <w:tc>
          <w:tcPr>
            <w:tcW w:w="625" w:type="pct"/>
          </w:tcPr>
          <w:p w14:paraId="7144F015" w14:textId="77777777" w:rsidR="00FE1BE2" w:rsidRPr="00B9299A" w:rsidRDefault="00FE1BE2" w:rsidP="00F56768">
            <w:pPr>
              <w:spacing w:before="40" w:after="40" w:line="240" w:lineRule="atLeast"/>
              <w:jc w:val="center"/>
              <w:rPr>
                <w:rFonts w:cstheme="minorHAnsi"/>
                <w:bCs/>
                <w:color w:val="000000"/>
                <w:sz w:val="18"/>
                <w:szCs w:val="18"/>
                <w:lang w:eastAsia="en-AU"/>
              </w:rPr>
            </w:pPr>
            <w:r w:rsidRPr="00B9299A">
              <w:rPr>
                <w:sz w:val="18"/>
                <w:szCs w:val="18"/>
              </w:rPr>
              <w:t xml:space="preserve"> $33.64 </w:t>
            </w:r>
          </w:p>
        </w:tc>
        <w:tc>
          <w:tcPr>
            <w:tcW w:w="625" w:type="pct"/>
          </w:tcPr>
          <w:p w14:paraId="7CBB493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$35.02 </w:t>
            </w:r>
          </w:p>
        </w:tc>
        <w:tc>
          <w:tcPr>
            <w:tcW w:w="625" w:type="pct"/>
          </w:tcPr>
          <w:p w14:paraId="37F5B3D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$42.25 </w:t>
            </w:r>
          </w:p>
        </w:tc>
      </w:tr>
      <w:tr w:rsidR="00FE1BE2" w:rsidRPr="00DD6692" w14:paraId="5B821692" w14:textId="77777777" w:rsidTr="00B9299A">
        <w:trPr>
          <w:trHeight w:val="300"/>
        </w:trPr>
        <w:tc>
          <w:tcPr>
            <w:tcW w:w="2500" w:type="pct"/>
            <w:hideMark/>
          </w:tcPr>
          <w:p w14:paraId="1FA7F876"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Allowance for Annual leave</w:t>
            </w:r>
          </w:p>
        </w:tc>
        <w:tc>
          <w:tcPr>
            <w:tcW w:w="625" w:type="pct"/>
            <w:noWrap/>
            <w:hideMark/>
          </w:tcPr>
          <w:p w14:paraId="09F378B3"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5C6A167C" w14:textId="77777777" w:rsidR="00FE1BE2" w:rsidRPr="00B9299A" w:rsidRDefault="00FE1BE2" w:rsidP="00F56768">
            <w:pPr>
              <w:spacing w:before="40" w:after="40" w:line="240" w:lineRule="atLeast"/>
              <w:jc w:val="center"/>
              <w:rPr>
                <w:rFonts w:cstheme="minorHAnsi"/>
                <w:bCs/>
                <w:color w:val="000000"/>
                <w:sz w:val="18"/>
                <w:szCs w:val="18"/>
                <w:lang w:eastAsia="en-AU"/>
              </w:rPr>
            </w:pPr>
          </w:p>
        </w:tc>
        <w:tc>
          <w:tcPr>
            <w:tcW w:w="625" w:type="pct"/>
          </w:tcPr>
          <w:p w14:paraId="6CED7A5F"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6D7C7ADB"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694E87E6"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hideMark/>
          </w:tcPr>
          <w:p w14:paraId="28A8D85A" w14:textId="5158B5D8"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a. No. hours leave accrued in a year (hrs/yr</w:t>
            </w:r>
            <w:r w:rsidR="0096181A">
              <w:rPr>
                <w:rFonts w:cstheme="minorHAnsi"/>
                <w:sz w:val="18"/>
                <w:szCs w:val="18"/>
              </w:rPr>
              <w:t>.</w:t>
            </w:r>
            <w:r w:rsidRPr="00B9299A">
              <w:rPr>
                <w:rFonts w:cstheme="minorHAnsi"/>
                <w:sz w:val="18"/>
                <w:szCs w:val="18"/>
              </w:rPr>
              <w:t>)</w:t>
            </w:r>
          </w:p>
        </w:tc>
        <w:tc>
          <w:tcPr>
            <w:tcW w:w="625" w:type="pct"/>
            <w:noWrap/>
            <w:hideMark/>
          </w:tcPr>
          <w:p w14:paraId="7080AB17"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152</w:t>
            </w:r>
          </w:p>
        </w:tc>
        <w:tc>
          <w:tcPr>
            <w:tcW w:w="625" w:type="pct"/>
          </w:tcPr>
          <w:p w14:paraId="13308C9E" w14:textId="77777777" w:rsidR="00FE1BE2" w:rsidRPr="00B9299A" w:rsidRDefault="00FE1BE2" w:rsidP="00F56768">
            <w:pPr>
              <w:spacing w:before="40" w:after="40" w:line="240" w:lineRule="atLeast"/>
              <w:jc w:val="center"/>
              <w:rPr>
                <w:rFonts w:cstheme="minorHAnsi"/>
                <w:bCs/>
                <w:color w:val="000000"/>
                <w:sz w:val="18"/>
                <w:szCs w:val="18"/>
                <w:lang w:eastAsia="en-AU"/>
              </w:rPr>
            </w:pPr>
            <w:r w:rsidRPr="00B9299A">
              <w:rPr>
                <w:sz w:val="18"/>
                <w:szCs w:val="18"/>
              </w:rPr>
              <w:t>152</w:t>
            </w:r>
          </w:p>
        </w:tc>
        <w:tc>
          <w:tcPr>
            <w:tcW w:w="625" w:type="pct"/>
          </w:tcPr>
          <w:p w14:paraId="488F353B" w14:textId="77777777" w:rsidR="00FE1BE2" w:rsidRPr="00B9299A" w:rsidRDefault="00FE1BE2" w:rsidP="00F56768">
            <w:pPr>
              <w:spacing w:before="40" w:after="40" w:line="240" w:lineRule="atLeast"/>
              <w:jc w:val="center"/>
              <w:rPr>
                <w:rFonts w:cstheme="minorHAnsi"/>
                <w:bCs/>
                <w:color w:val="000000"/>
                <w:sz w:val="18"/>
                <w:szCs w:val="18"/>
                <w:lang w:eastAsia="en-AU"/>
              </w:rPr>
            </w:pPr>
            <w:r w:rsidRPr="00B9299A">
              <w:rPr>
                <w:sz w:val="18"/>
                <w:szCs w:val="18"/>
              </w:rPr>
              <w:t>152</w:t>
            </w:r>
          </w:p>
        </w:tc>
        <w:tc>
          <w:tcPr>
            <w:tcW w:w="625" w:type="pct"/>
          </w:tcPr>
          <w:p w14:paraId="38F9FC3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152</w:t>
            </w:r>
          </w:p>
        </w:tc>
      </w:tr>
      <w:tr w:rsidR="00FE1BE2" w:rsidRPr="00DD6692" w14:paraId="00597DED" w14:textId="77777777" w:rsidTr="00B9299A">
        <w:trPr>
          <w:trHeight w:val="300"/>
        </w:trPr>
        <w:tc>
          <w:tcPr>
            <w:tcW w:w="2500" w:type="pct"/>
          </w:tcPr>
          <w:p w14:paraId="04C0774C"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b. Loading</w:t>
            </w:r>
          </w:p>
        </w:tc>
        <w:tc>
          <w:tcPr>
            <w:tcW w:w="625" w:type="pct"/>
            <w:noWrap/>
          </w:tcPr>
          <w:p w14:paraId="66AD51EF" w14:textId="77777777" w:rsidR="00FE1BE2" w:rsidRPr="00B9299A" w:rsidRDefault="009F4898" w:rsidP="00F56768">
            <w:pPr>
              <w:spacing w:before="40" w:after="40" w:line="240" w:lineRule="atLeast"/>
              <w:jc w:val="center"/>
              <w:rPr>
                <w:rFonts w:cstheme="minorHAnsi"/>
                <w:sz w:val="18"/>
                <w:szCs w:val="18"/>
              </w:rPr>
            </w:pPr>
            <w:r>
              <w:rPr>
                <w:sz w:val="18"/>
                <w:szCs w:val="18"/>
              </w:rPr>
              <w:t>17.5%</w:t>
            </w:r>
          </w:p>
        </w:tc>
        <w:tc>
          <w:tcPr>
            <w:tcW w:w="625" w:type="pct"/>
          </w:tcPr>
          <w:p w14:paraId="222D27ED" w14:textId="77777777" w:rsidR="00FE1BE2" w:rsidRPr="00B9299A" w:rsidRDefault="009F4898" w:rsidP="00F56768">
            <w:pPr>
              <w:spacing w:before="40" w:after="40" w:line="240" w:lineRule="atLeast"/>
              <w:jc w:val="center"/>
              <w:rPr>
                <w:rFonts w:cstheme="minorHAnsi"/>
                <w:sz w:val="18"/>
                <w:szCs w:val="18"/>
              </w:rPr>
            </w:pPr>
            <w:r>
              <w:rPr>
                <w:sz w:val="18"/>
                <w:szCs w:val="18"/>
              </w:rPr>
              <w:t>17.5%</w:t>
            </w:r>
          </w:p>
        </w:tc>
        <w:tc>
          <w:tcPr>
            <w:tcW w:w="625" w:type="pct"/>
          </w:tcPr>
          <w:p w14:paraId="39616A5E" w14:textId="77777777" w:rsidR="00FE1BE2" w:rsidRPr="00B9299A" w:rsidRDefault="009F4898" w:rsidP="00F56768">
            <w:pPr>
              <w:spacing w:before="40" w:after="40" w:line="240" w:lineRule="atLeast"/>
              <w:jc w:val="center"/>
              <w:rPr>
                <w:rFonts w:cstheme="minorHAnsi"/>
                <w:sz w:val="18"/>
                <w:szCs w:val="18"/>
              </w:rPr>
            </w:pPr>
            <w:r>
              <w:rPr>
                <w:sz w:val="18"/>
                <w:szCs w:val="18"/>
              </w:rPr>
              <w:t>17.5%</w:t>
            </w:r>
          </w:p>
        </w:tc>
        <w:tc>
          <w:tcPr>
            <w:tcW w:w="625" w:type="pct"/>
          </w:tcPr>
          <w:p w14:paraId="693A659F" w14:textId="77777777" w:rsidR="00FE1BE2" w:rsidRPr="00B9299A" w:rsidRDefault="009F4898" w:rsidP="00F56768">
            <w:pPr>
              <w:spacing w:before="40" w:after="40" w:line="240" w:lineRule="atLeast"/>
              <w:jc w:val="center"/>
              <w:rPr>
                <w:rFonts w:cstheme="minorHAnsi"/>
                <w:sz w:val="18"/>
                <w:szCs w:val="18"/>
              </w:rPr>
            </w:pPr>
            <w:r>
              <w:rPr>
                <w:sz w:val="18"/>
                <w:szCs w:val="18"/>
              </w:rPr>
              <w:t>17.5%</w:t>
            </w:r>
          </w:p>
        </w:tc>
      </w:tr>
      <w:tr w:rsidR="00FE1BE2" w:rsidRPr="00DD6692" w14:paraId="182ACC12"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04409590"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c. Proportion of leave taken</w:t>
            </w:r>
          </w:p>
        </w:tc>
        <w:tc>
          <w:tcPr>
            <w:tcW w:w="625" w:type="pct"/>
            <w:noWrap/>
          </w:tcPr>
          <w:p w14:paraId="3CB66C16"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3D5D67B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436185E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0F5A599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r>
      <w:tr w:rsidR="00FE1BE2" w:rsidRPr="00DD6692" w14:paraId="7632C584" w14:textId="77777777" w:rsidTr="00B9299A">
        <w:trPr>
          <w:trHeight w:val="300"/>
        </w:trPr>
        <w:tc>
          <w:tcPr>
            <w:tcW w:w="2500" w:type="pct"/>
          </w:tcPr>
          <w:p w14:paraId="3CE39173"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Cost per worked hour</w:t>
            </w:r>
          </w:p>
        </w:tc>
        <w:tc>
          <w:tcPr>
            <w:tcW w:w="625" w:type="pct"/>
            <w:noWrap/>
          </w:tcPr>
          <w:p w14:paraId="014FCA7D"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$3.46 </w:t>
            </w:r>
          </w:p>
        </w:tc>
        <w:tc>
          <w:tcPr>
            <w:tcW w:w="625" w:type="pct"/>
          </w:tcPr>
          <w:p w14:paraId="6D17CB7D"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$3.59 </w:t>
            </w:r>
          </w:p>
        </w:tc>
        <w:tc>
          <w:tcPr>
            <w:tcW w:w="625" w:type="pct"/>
          </w:tcPr>
          <w:p w14:paraId="44E66F73"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$3.74 </w:t>
            </w:r>
          </w:p>
        </w:tc>
        <w:tc>
          <w:tcPr>
            <w:tcW w:w="625" w:type="pct"/>
          </w:tcPr>
          <w:p w14:paraId="574E6984"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$4.51 </w:t>
            </w:r>
          </w:p>
        </w:tc>
      </w:tr>
      <w:tr w:rsidR="00FE1BE2" w:rsidRPr="00DD6692" w14:paraId="5E0756A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14D04D9F"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Allowance for Personal leave</w:t>
            </w:r>
          </w:p>
        </w:tc>
        <w:tc>
          <w:tcPr>
            <w:tcW w:w="625" w:type="pct"/>
            <w:noWrap/>
          </w:tcPr>
          <w:p w14:paraId="163E7932"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75BC41FC"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523C640C"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71D6F1CE"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06394F18" w14:textId="77777777" w:rsidTr="00B9299A">
        <w:trPr>
          <w:trHeight w:val="300"/>
        </w:trPr>
        <w:tc>
          <w:tcPr>
            <w:tcW w:w="2500" w:type="pct"/>
          </w:tcPr>
          <w:p w14:paraId="5A955250" w14:textId="5FB0DB50"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a. No. hours leave in a year (hrs/yr</w:t>
            </w:r>
            <w:r w:rsidR="0096181A">
              <w:rPr>
                <w:rFonts w:cstheme="minorHAnsi"/>
                <w:sz w:val="18"/>
                <w:szCs w:val="18"/>
              </w:rPr>
              <w:t>.</w:t>
            </w:r>
            <w:r w:rsidRPr="00B9299A">
              <w:rPr>
                <w:rFonts w:cstheme="minorHAnsi"/>
                <w:sz w:val="18"/>
                <w:szCs w:val="18"/>
              </w:rPr>
              <w:t>)</w:t>
            </w:r>
          </w:p>
        </w:tc>
        <w:tc>
          <w:tcPr>
            <w:tcW w:w="625" w:type="pct"/>
            <w:noWrap/>
          </w:tcPr>
          <w:p w14:paraId="2D839FA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2D8FB1C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7CA4651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49C784A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r>
      <w:tr w:rsidR="00FE1BE2" w:rsidRPr="00DD6692" w14:paraId="042F65C9"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5F9BFD52"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b. Loading</w:t>
            </w:r>
          </w:p>
        </w:tc>
        <w:tc>
          <w:tcPr>
            <w:tcW w:w="625" w:type="pct"/>
            <w:noWrap/>
          </w:tcPr>
          <w:p w14:paraId="7E52161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2E257DD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6F5A728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7BE7BC4A"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r>
      <w:tr w:rsidR="00FE1BE2" w:rsidRPr="00DD6692" w14:paraId="1CFB47C1" w14:textId="77777777" w:rsidTr="00B9299A">
        <w:trPr>
          <w:trHeight w:val="300"/>
        </w:trPr>
        <w:tc>
          <w:tcPr>
            <w:tcW w:w="2500" w:type="pct"/>
          </w:tcPr>
          <w:p w14:paraId="29609016"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c. Proportion of leave taken</w:t>
            </w:r>
          </w:p>
        </w:tc>
        <w:tc>
          <w:tcPr>
            <w:tcW w:w="625" w:type="pct"/>
            <w:noWrap/>
          </w:tcPr>
          <w:p w14:paraId="78845B1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08A70C39"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0B8CA739"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2DF7F83F"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r>
      <w:tr w:rsidR="00FE1BE2" w:rsidRPr="00B9299A" w14:paraId="3156E502"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6EFC79CC"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Cost per worked hour</w:t>
            </w:r>
          </w:p>
        </w:tc>
        <w:tc>
          <w:tcPr>
            <w:tcW w:w="625" w:type="pct"/>
            <w:noWrap/>
          </w:tcPr>
          <w:p w14:paraId="66D97A46"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$1.47 </w:t>
            </w:r>
          </w:p>
        </w:tc>
        <w:tc>
          <w:tcPr>
            <w:tcW w:w="625" w:type="pct"/>
          </w:tcPr>
          <w:p w14:paraId="4034B050"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$1.53 </w:t>
            </w:r>
          </w:p>
        </w:tc>
        <w:tc>
          <w:tcPr>
            <w:tcW w:w="625" w:type="pct"/>
          </w:tcPr>
          <w:p w14:paraId="405CC195"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$1.59 </w:t>
            </w:r>
          </w:p>
        </w:tc>
        <w:tc>
          <w:tcPr>
            <w:tcW w:w="625" w:type="pct"/>
          </w:tcPr>
          <w:p w14:paraId="417B46C6"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$1.92 </w:t>
            </w:r>
          </w:p>
        </w:tc>
      </w:tr>
      <w:tr w:rsidR="00FE1BE2" w:rsidRPr="00DD6692" w14:paraId="0DC2080F" w14:textId="77777777" w:rsidTr="00B9299A">
        <w:trPr>
          <w:trHeight w:val="300"/>
        </w:trPr>
        <w:tc>
          <w:tcPr>
            <w:tcW w:w="2500" w:type="pct"/>
          </w:tcPr>
          <w:p w14:paraId="6D9C57B7" w14:textId="77777777" w:rsidR="00FE1BE2" w:rsidRPr="00B9299A" w:rsidRDefault="00FE1BE2" w:rsidP="00FE1BE2">
            <w:pPr>
              <w:keepNext/>
              <w:spacing w:before="40" w:after="40" w:line="240" w:lineRule="atLeast"/>
              <w:rPr>
                <w:rFonts w:cstheme="minorHAnsi"/>
                <w:sz w:val="18"/>
                <w:szCs w:val="18"/>
              </w:rPr>
            </w:pPr>
            <w:r w:rsidRPr="00B9299A">
              <w:rPr>
                <w:rFonts w:cstheme="minorHAnsi"/>
                <w:sz w:val="18"/>
                <w:szCs w:val="18"/>
              </w:rPr>
              <w:t>Allowance for Public Holiday leave</w:t>
            </w:r>
          </w:p>
        </w:tc>
        <w:tc>
          <w:tcPr>
            <w:tcW w:w="625" w:type="pct"/>
            <w:noWrap/>
          </w:tcPr>
          <w:p w14:paraId="21DDE717" w14:textId="77777777" w:rsidR="00FE1BE2" w:rsidRPr="00B9299A" w:rsidRDefault="00FE1BE2" w:rsidP="00FE1BE2">
            <w:pPr>
              <w:keepNext/>
              <w:spacing w:before="40" w:after="40" w:line="240" w:lineRule="atLeast"/>
              <w:jc w:val="center"/>
              <w:rPr>
                <w:rFonts w:cstheme="minorHAnsi"/>
                <w:sz w:val="18"/>
                <w:szCs w:val="18"/>
              </w:rPr>
            </w:pPr>
          </w:p>
        </w:tc>
        <w:tc>
          <w:tcPr>
            <w:tcW w:w="625" w:type="pct"/>
          </w:tcPr>
          <w:p w14:paraId="58F72E80" w14:textId="77777777" w:rsidR="00FE1BE2" w:rsidRPr="00B9299A" w:rsidRDefault="00FE1BE2" w:rsidP="00FE1BE2">
            <w:pPr>
              <w:keepNext/>
              <w:spacing w:before="40" w:after="40" w:line="240" w:lineRule="atLeast"/>
              <w:jc w:val="center"/>
              <w:rPr>
                <w:rFonts w:cstheme="minorHAnsi"/>
                <w:sz w:val="18"/>
                <w:szCs w:val="18"/>
              </w:rPr>
            </w:pPr>
          </w:p>
        </w:tc>
        <w:tc>
          <w:tcPr>
            <w:tcW w:w="625" w:type="pct"/>
          </w:tcPr>
          <w:p w14:paraId="1DBFD9D7" w14:textId="77777777" w:rsidR="00FE1BE2" w:rsidRPr="00B9299A" w:rsidRDefault="00FE1BE2" w:rsidP="00FE1BE2">
            <w:pPr>
              <w:keepNext/>
              <w:spacing w:before="40" w:after="40" w:line="240" w:lineRule="atLeast"/>
              <w:jc w:val="center"/>
              <w:rPr>
                <w:rFonts w:cstheme="minorHAnsi"/>
                <w:sz w:val="18"/>
                <w:szCs w:val="18"/>
              </w:rPr>
            </w:pPr>
          </w:p>
        </w:tc>
        <w:tc>
          <w:tcPr>
            <w:tcW w:w="625" w:type="pct"/>
          </w:tcPr>
          <w:p w14:paraId="6414D1D0" w14:textId="77777777" w:rsidR="00FE1BE2" w:rsidRPr="00B9299A" w:rsidRDefault="00FE1BE2" w:rsidP="00FE1BE2">
            <w:pPr>
              <w:keepNext/>
              <w:spacing w:before="40" w:after="40" w:line="240" w:lineRule="atLeast"/>
              <w:jc w:val="center"/>
              <w:rPr>
                <w:rFonts w:cstheme="minorHAnsi"/>
                <w:sz w:val="18"/>
                <w:szCs w:val="18"/>
              </w:rPr>
            </w:pPr>
          </w:p>
        </w:tc>
      </w:tr>
      <w:tr w:rsidR="00FE1BE2" w:rsidRPr="00DD6692" w14:paraId="0EA750F2"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67BBE5B6" w14:textId="2F55989C"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a. No. hours leave accrued in a year (hrs/yr</w:t>
            </w:r>
            <w:r w:rsidR="0096181A">
              <w:rPr>
                <w:rFonts w:cstheme="minorHAnsi"/>
                <w:sz w:val="18"/>
                <w:szCs w:val="18"/>
              </w:rPr>
              <w:t>.</w:t>
            </w:r>
            <w:r w:rsidRPr="00B9299A">
              <w:rPr>
                <w:rFonts w:cstheme="minorHAnsi"/>
                <w:sz w:val="18"/>
                <w:szCs w:val="18"/>
              </w:rPr>
              <w:t>)</w:t>
            </w:r>
          </w:p>
        </w:tc>
        <w:tc>
          <w:tcPr>
            <w:tcW w:w="625" w:type="pct"/>
            <w:noWrap/>
          </w:tcPr>
          <w:p w14:paraId="2E687526"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7862FA35"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0825C76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c>
          <w:tcPr>
            <w:tcW w:w="625" w:type="pct"/>
          </w:tcPr>
          <w:p w14:paraId="2C608A53"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76</w:t>
            </w:r>
          </w:p>
        </w:tc>
      </w:tr>
      <w:tr w:rsidR="00FE1BE2" w:rsidRPr="00DD6692" w14:paraId="02E46630" w14:textId="77777777" w:rsidTr="00B9299A">
        <w:trPr>
          <w:trHeight w:val="300"/>
        </w:trPr>
        <w:tc>
          <w:tcPr>
            <w:tcW w:w="2500" w:type="pct"/>
          </w:tcPr>
          <w:p w14:paraId="43D90FA2"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b. Loading</w:t>
            </w:r>
          </w:p>
        </w:tc>
        <w:tc>
          <w:tcPr>
            <w:tcW w:w="625" w:type="pct"/>
            <w:noWrap/>
          </w:tcPr>
          <w:p w14:paraId="79398AC5"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2F8DAE5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6966F6E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2E1BFDC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r>
      <w:tr w:rsidR="00FE1BE2" w:rsidRPr="00DD6692" w14:paraId="488C95C0"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0F30E235"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c. Proportion of leave taken</w:t>
            </w:r>
          </w:p>
        </w:tc>
        <w:tc>
          <w:tcPr>
            <w:tcW w:w="625" w:type="pct"/>
            <w:noWrap/>
          </w:tcPr>
          <w:p w14:paraId="6162C985"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25D9E1F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32BF6540"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739C26E2"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r>
      <w:tr w:rsidR="00FE1BE2" w:rsidRPr="00DD6692" w14:paraId="137BD330" w14:textId="77777777" w:rsidTr="00B9299A">
        <w:trPr>
          <w:trHeight w:val="300"/>
        </w:trPr>
        <w:tc>
          <w:tcPr>
            <w:tcW w:w="2500" w:type="pct"/>
          </w:tcPr>
          <w:p w14:paraId="5459C515"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Cost per worked hour</w:t>
            </w:r>
          </w:p>
        </w:tc>
        <w:tc>
          <w:tcPr>
            <w:tcW w:w="625" w:type="pct"/>
            <w:noWrap/>
          </w:tcPr>
          <w:p w14:paraId="12EAAAC5"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$1.47 </w:t>
            </w:r>
          </w:p>
        </w:tc>
        <w:tc>
          <w:tcPr>
            <w:tcW w:w="625" w:type="pct"/>
          </w:tcPr>
          <w:p w14:paraId="4FA60FDF"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$1.53 </w:t>
            </w:r>
          </w:p>
        </w:tc>
        <w:tc>
          <w:tcPr>
            <w:tcW w:w="625" w:type="pct"/>
          </w:tcPr>
          <w:p w14:paraId="30BBC2B7"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$1.59 </w:t>
            </w:r>
          </w:p>
        </w:tc>
        <w:tc>
          <w:tcPr>
            <w:tcW w:w="625" w:type="pct"/>
          </w:tcPr>
          <w:p w14:paraId="2E29C51E"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$1.92 </w:t>
            </w:r>
          </w:p>
        </w:tc>
      </w:tr>
      <w:tr w:rsidR="00FE1BE2" w:rsidRPr="00DD6692" w14:paraId="14A17D37"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10619043"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Allowance for Long Service leave</w:t>
            </w:r>
          </w:p>
        </w:tc>
        <w:tc>
          <w:tcPr>
            <w:tcW w:w="625" w:type="pct"/>
            <w:noWrap/>
          </w:tcPr>
          <w:p w14:paraId="09E81A2F"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28412743"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668BF2EE"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21F37A24"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111EB693" w14:textId="77777777" w:rsidTr="00B9299A">
        <w:trPr>
          <w:trHeight w:val="300"/>
        </w:trPr>
        <w:tc>
          <w:tcPr>
            <w:tcW w:w="2500" w:type="pct"/>
          </w:tcPr>
          <w:p w14:paraId="124D5B0F" w14:textId="69B44C54"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a. No. hours leave accrued in a year (hrs/yr</w:t>
            </w:r>
            <w:r w:rsidR="0096181A">
              <w:rPr>
                <w:rFonts w:cstheme="minorHAnsi"/>
                <w:sz w:val="18"/>
                <w:szCs w:val="18"/>
              </w:rPr>
              <w:t>.</w:t>
            </w:r>
            <w:r w:rsidRPr="00B9299A">
              <w:rPr>
                <w:rFonts w:cstheme="minorHAnsi"/>
                <w:sz w:val="18"/>
                <w:szCs w:val="18"/>
              </w:rPr>
              <w:t>)</w:t>
            </w:r>
          </w:p>
        </w:tc>
        <w:tc>
          <w:tcPr>
            <w:tcW w:w="625" w:type="pct"/>
            <w:noWrap/>
          </w:tcPr>
          <w:p w14:paraId="3CAB0B2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32.93</w:t>
            </w:r>
          </w:p>
        </w:tc>
        <w:tc>
          <w:tcPr>
            <w:tcW w:w="625" w:type="pct"/>
          </w:tcPr>
          <w:p w14:paraId="08D742D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32.93</w:t>
            </w:r>
          </w:p>
        </w:tc>
        <w:tc>
          <w:tcPr>
            <w:tcW w:w="625" w:type="pct"/>
          </w:tcPr>
          <w:p w14:paraId="452CE982"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32.93</w:t>
            </w:r>
          </w:p>
        </w:tc>
        <w:tc>
          <w:tcPr>
            <w:tcW w:w="625" w:type="pct"/>
          </w:tcPr>
          <w:p w14:paraId="6706F62B"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32.93</w:t>
            </w:r>
          </w:p>
        </w:tc>
      </w:tr>
      <w:tr w:rsidR="00FE1BE2" w:rsidRPr="00DD6692" w14:paraId="76FECFD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624EEEE8"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b. Loading</w:t>
            </w:r>
          </w:p>
        </w:tc>
        <w:tc>
          <w:tcPr>
            <w:tcW w:w="625" w:type="pct"/>
            <w:noWrap/>
          </w:tcPr>
          <w:p w14:paraId="09301B6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15978E64"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723E5B9B"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c>
          <w:tcPr>
            <w:tcW w:w="625" w:type="pct"/>
          </w:tcPr>
          <w:p w14:paraId="5D4D3BDF"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0</w:t>
            </w:r>
            <w:r w:rsidR="009F4898">
              <w:rPr>
                <w:sz w:val="18"/>
                <w:szCs w:val="18"/>
              </w:rPr>
              <w:t>%</w:t>
            </w:r>
          </w:p>
        </w:tc>
      </w:tr>
      <w:tr w:rsidR="00FE1BE2" w:rsidRPr="00DD6692" w14:paraId="3569522C" w14:textId="77777777" w:rsidTr="00B9299A">
        <w:trPr>
          <w:trHeight w:val="300"/>
        </w:trPr>
        <w:tc>
          <w:tcPr>
            <w:tcW w:w="2500" w:type="pct"/>
          </w:tcPr>
          <w:p w14:paraId="28799380"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c. Proportion of leave taken</w:t>
            </w:r>
          </w:p>
        </w:tc>
        <w:tc>
          <w:tcPr>
            <w:tcW w:w="625" w:type="pct"/>
            <w:noWrap/>
          </w:tcPr>
          <w:p w14:paraId="5B1C6825"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6BD43AB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47DC7DA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c>
          <w:tcPr>
            <w:tcW w:w="625" w:type="pct"/>
          </w:tcPr>
          <w:p w14:paraId="70CE4CE8"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100%</w:t>
            </w:r>
          </w:p>
        </w:tc>
      </w:tr>
      <w:tr w:rsidR="00FE1BE2" w:rsidRPr="00DD6692" w14:paraId="1D72D6DB"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24823F6C"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Cost per worked hour</w:t>
            </w:r>
          </w:p>
        </w:tc>
        <w:tc>
          <w:tcPr>
            <w:tcW w:w="625" w:type="pct"/>
            <w:noWrap/>
          </w:tcPr>
          <w:p w14:paraId="33C7D91E"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$0.64 </w:t>
            </w:r>
          </w:p>
        </w:tc>
        <w:tc>
          <w:tcPr>
            <w:tcW w:w="625" w:type="pct"/>
          </w:tcPr>
          <w:p w14:paraId="14E1274C"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$0.66 </w:t>
            </w:r>
          </w:p>
        </w:tc>
        <w:tc>
          <w:tcPr>
            <w:tcW w:w="625" w:type="pct"/>
          </w:tcPr>
          <w:p w14:paraId="1CAD4875"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$0.69 </w:t>
            </w:r>
          </w:p>
        </w:tc>
        <w:tc>
          <w:tcPr>
            <w:tcW w:w="625" w:type="pct"/>
          </w:tcPr>
          <w:p w14:paraId="3EC16CAC"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$0.83 </w:t>
            </w:r>
          </w:p>
        </w:tc>
      </w:tr>
      <w:tr w:rsidR="00FE1BE2" w:rsidRPr="00DD6692" w14:paraId="61423126" w14:textId="77777777" w:rsidTr="00B9299A">
        <w:trPr>
          <w:trHeight w:val="300"/>
        </w:trPr>
        <w:tc>
          <w:tcPr>
            <w:tcW w:w="2500" w:type="pct"/>
            <w:vAlign w:val="center"/>
            <w:hideMark/>
          </w:tcPr>
          <w:p w14:paraId="59A95744"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Superannuation</w:t>
            </w:r>
          </w:p>
        </w:tc>
        <w:tc>
          <w:tcPr>
            <w:tcW w:w="625" w:type="pct"/>
            <w:noWrap/>
            <w:hideMark/>
          </w:tcPr>
          <w:p w14:paraId="50859F06"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3132826C" w14:textId="77777777" w:rsidR="00FE1BE2" w:rsidRPr="00B9299A" w:rsidRDefault="00FE1BE2" w:rsidP="00F56768">
            <w:pPr>
              <w:spacing w:before="40" w:after="40" w:line="240" w:lineRule="atLeast"/>
              <w:jc w:val="center"/>
              <w:rPr>
                <w:rFonts w:cstheme="minorHAnsi"/>
                <w:bCs/>
                <w:color w:val="000000"/>
                <w:sz w:val="18"/>
                <w:szCs w:val="18"/>
                <w:lang w:eastAsia="en-AU"/>
              </w:rPr>
            </w:pPr>
          </w:p>
        </w:tc>
        <w:tc>
          <w:tcPr>
            <w:tcW w:w="625" w:type="pct"/>
          </w:tcPr>
          <w:p w14:paraId="79C22985"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28BFCDAD"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6C4D7666"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43646DB3" w14:textId="77777777" w:rsidR="00FE1BE2" w:rsidRPr="00B9299A" w:rsidRDefault="00FE1BE2" w:rsidP="00F56768">
            <w:pPr>
              <w:spacing w:before="40" w:after="40" w:line="240" w:lineRule="atLeast"/>
              <w:ind w:left="593"/>
              <w:rPr>
                <w:rFonts w:cstheme="minorHAnsi"/>
                <w:sz w:val="18"/>
                <w:szCs w:val="18"/>
              </w:rPr>
            </w:pPr>
            <w:r w:rsidRPr="00B9299A">
              <w:rPr>
                <w:rFonts w:cstheme="minorHAnsi"/>
                <w:sz w:val="18"/>
                <w:szCs w:val="18"/>
              </w:rPr>
              <w:t>Superannuation Rate (%)</w:t>
            </w:r>
          </w:p>
        </w:tc>
        <w:tc>
          <w:tcPr>
            <w:tcW w:w="625" w:type="pct"/>
            <w:noWrap/>
          </w:tcPr>
          <w:p w14:paraId="7ED13F45" w14:textId="77777777" w:rsidR="00FE1BE2" w:rsidRPr="00B9299A" w:rsidRDefault="00FE1BE2" w:rsidP="00F56768">
            <w:pPr>
              <w:spacing w:before="40" w:after="40" w:line="240" w:lineRule="atLeast"/>
              <w:jc w:val="center"/>
              <w:rPr>
                <w:rFonts w:cstheme="minorHAnsi"/>
                <w:color w:val="FF0000"/>
                <w:sz w:val="18"/>
                <w:szCs w:val="18"/>
              </w:rPr>
            </w:pPr>
            <w:r w:rsidRPr="00B9299A">
              <w:rPr>
                <w:sz w:val="18"/>
                <w:szCs w:val="18"/>
              </w:rPr>
              <w:t>10.5%</w:t>
            </w:r>
          </w:p>
        </w:tc>
        <w:tc>
          <w:tcPr>
            <w:tcW w:w="625" w:type="pct"/>
          </w:tcPr>
          <w:p w14:paraId="3C7532B4" w14:textId="77777777" w:rsidR="00FE1BE2" w:rsidRPr="00B9299A" w:rsidRDefault="00FE1BE2" w:rsidP="00F56768">
            <w:pPr>
              <w:spacing w:before="40" w:after="40" w:line="240" w:lineRule="atLeast"/>
              <w:jc w:val="center"/>
              <w:rPr>
                <w:rFonts w:cstheme="minorHAnsi"/>
                <w:color w:val="FF0000"/>
                <w:sz w:val="18"/>
                <w:szCs w:val="18"/>
              </w:rPr>
            </w:pPr>
            <w:r w:rsidRPr="00B9299A">
              <w:rPr>
                <w:sz w:val="18"/>
                <w:szCs w:val="18"/>
              </w:rPr>
              <w:t>10.5%</w:t>
            </w:r>
          </w:p>
        </w:tc>
        <w:tc>
          <w:tcPr>
            <w:tcW w:w="625" w:type="pct"/>
          </w:tcPr>
          <w:p w14:paraId="7726E7F2" w14:textId="77777777" w:rsidR="00FE1BE2" w:rsidRPr="00B9299A" w:rsidRDefault="00FE1BE2" w:rsidP="00F56768">
            <w:pPr>
              <w:spacing w:before="40" w:after="40" w:line="240" w:lineRule="atLeast"/>
              <w:jc w:val="center"/>
              <w:rPr>
                <w:rFonts w:cstheme="minorHAnsi"/>
                <w:color w:val="FF0000"/>
                <w:sz w:val="18"/>
                <w:szCs w:val="18"/>
              </w:rPr>
            </w:pPr>
            <w:r w:rsidRPr="00B9299A">
              <w:rPr>
                <w:sz w:val="18"/>
                <w:szCs w:val="18"/>
              </w:rPr>
              <w:t>10.5%</w:t>
            </w:r>
          </w:p>
        </w:tc>
        <w:tc>
          <w:tcPr>
            <w:tcW w:w="625" w:type="pct"/>
          </w:tcPr>
          <w:p w14:paraId="2A9D36D6" w14:textId="77777777" w:rsidR="00FE1BE2" w:rsidRPr="00B9299A" w:rsidRDefault="00FE1BE2" w:rsidP="00F56768">
            <w:pPr>
              <w:spacing w:before="40" w:after="40" w:line="240" w:lineRule="atLeast"/>
              <w:jc w:val="center"/>
              <w:rPr>
                <w:rFonts w:cstheme="minorHAnsi"/>
                <w:color w:val="FF0000"/>
                <w:sz w:val="18"/>
                <w:szCs w:val="18"/>
              </w:rPr>
            </w:pPr>
            <w:r w:rsidRPr="00B9299A">
              <w:rPr>
                <w:sz w:val="18"/>
                <w:szCs w:val="18"/>
              </w:rPr>
              <w:t>10.5%</w:t>
            </w:r>
          </w:p>
        </w:tc>
      </w:tr>
      <w:tr w:rsidR="00FE1BE2" w:rsidRPr="00DD6692" w14:paraId="71655F45" w14:textId="77777777" w:rsidTr="00B9299A">
        <w:trPr>
          <w:trHeight w:val="300"/>
        </w:trPr>
        <w:tc>
          <w:tcPr>
            <w:tcW w:w="2500" w:type="pct"/>
            <w:vAlign w:val="center"/>
          </w:tcPr>
          <w:p w14:paraId="72C40BE8" w14:textId="77777777" w:rsidR="00FE1BE2" w:rsidRPr="00B9299A" w:rsidRDefault="00FE1BE2" w:rsidP="00F56768">
            <w:pPr>
              <w:spacing w:before="40" w:after="40" w:line="240" w:lineRule="atLeast"/>
              <w:ind w:left="593"/>
              <w:rPr>
                <w:rFonts w:cstheme="minorHAnsi"/>
                <w:b/>
                <w:sz w:val="18"/>
                <w:szCs w:val="18"/>
              </w:rPr>
            </w:pPr>
            <w:r w:rsidRPr="00B9299A">
              <w:rPr>
                <w:rFonts w:cstheme="minorHAnsi"/>
                <w:b/>
                <w:sz w:val="18"/>
                <w:szCs w:val="18"/>
              </w:rPr>
              <w:t>Superannuation per worked hour ($)</w:t>
            </w:r>
          </w:p>
        </w:tc>
        <w:tc>
          <w:tcPr>
            <w:tcW w:w="625" w:type="pct"/>
            <w:noWrap/>
          </w:tcPr>
          <w:p w14:paraId="6609B000"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$4.14 </w:t>
            </w:r>
          </w:p>
        </w:tc>
        <w:tc>
          <w:tcPr>
            <w:tcW w:w="625" w:type="pct"/>
          </w:tcPr>
          <w:p w14:paraId="1CB1DF6C"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$4.30 </w:t>
            </w:r>
          </w:p>
        </w:tc>
        <w:tc>
          <w:tcPr>
            <w:tcW w:w="625" w:type="pct"/>
          </w:tcPr>
          <w:p w14:paraId="6ED4E987"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$4.48 </w:t>
            </w:r>
          </w:p>
        </w:tc>
        <w:tc>
          <w:tcPr>
            <w:tcW w:w="625" w:type="pct"/>
          </w:tcPr>
          <w:p w14:paraId="790FE231"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$5.40 </w:t>
            </w:r>
          </w:p>
        </w:tc>
      </w:tr>
      <w:tr w:rsidR="00FE1BE2" w:rsidRPr="00DD6692" w14:paraId="4EA46E01"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904C271"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Employee Allowances</w:t>
            </w:r>
          </w:p>
        </w:tc>
        <w:tc>
          <w:tcPr>
            <w:tcW w:w="625" w:type="pct"/>
            <w:noWrap/>
          </w:tcPr>
          <w:p w14:paraId="26A443F1"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06CF34B1"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5625305C" w14:textId="77777777" w:rsidR="00FE1BE2" w:rsidRPr="00B9299A" w:rsidRDefault="00FE1BE2" w:rsidP="00F56768">
            <w:pPr>
              <w:spacing w:before="40" w:after="40" w:line="240" w:lineRule="atLeast"/>
              <w:jc w:val="center"/>
              <w:rPr>
                <w:rFonts w:cstheme="minorHAnsi"/>
                <w:sz w:val="18"/>
                <w:szCs w:val="18"/>
              </w:rPr>
            </w:pPr>
          </w:p>
        </w:tc>
        <w:tc>
          <w:tcPr>
            <w:tcW w:w="625" w:type="pct"/>
          </w:tcPr>
          <w:p w14:paraId="6BBD0CE4" w14:textId="77777777" w:rsidR="00FE1BE2" w:rsidRPr="00B9299A" w:rsidRDefault="00FE1BE2" w:rsidP="00F56768">
            <w:pPr>
              <w:spacing w:before="40" w:after="40" w:line="240" w:lineRule="atLeast"/>
              <w:jc w:val="center"/>
              <w:rPr>
                <w:rFonts w:cstheme="minorHAnsi"/>
                <w:sz w:val="18"/>
                <w:szCs w:val="18"/>
              </w:rPr>
            </w:pPr>
          </w:p>
        </w:tc>
      </w:tr>
      <w:tr w:rsidR="00FE1BE2" w:rsidRPr="00DD6692" w14:paraId="42164758" w14:textId="77777777" w:rsidTr="00B9299A">
        <w:trPr>
          <w:trHeight w:val="300"/>
        </w:trPr>
        <w:tc>
          <w:tcPr>
            <w:tcW w:w="2500" w:type="pct"/>
            <w:vAlign w:val="center"/>
          </w:tcPr>
          <w:p w14:paraId="151CFADA" w14:textId="77777777" w:rsidR="00FE1BE2" w:rsidRPr="00B9299A" w:rsidRDefault="00FE1BE2" w:rsidP="00F56768">
            <w:pPr>
              <w:spacing w:before="40" w:after="40" w:line="240" w:lineRule="atLeast"/>
              <w:ind w:left="595"/>
              <w:rPr>
                <w:rFonts w:cstheme="minorHAnsi"/>
                <w:sz w:val="18"/>
                <w:szCs w:val="18"/>
              </w:rPr>
            </w:pPr>
            <w:r w:rsidRPr="00B9299A">
              <w:rPr>
                <w:rFonts w:cstheme="minorHAnsi"/>
                <w:sz w:val="18"/>
                <w:szCs w:val="18"/>
              </w:rPr>
              <w:t>Allowance Rate (%)</w:t>
            </w:r>
          </w:p>
        </w:tc>
        <w:tc>
          <w:tcPr>
            <w:tcW w:w="625" w:type="pct"/>
            <w:noWrap/>
          </w:tcPr>
          <w:p w14:paraId="13D0328C"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w:t>
            </w:r>
          </w:p>
        </w:tc>
        <w:tc>
          <w:tcPr>
            <w:tcW w:w="625" w:type="pct"/>
          </w:tcPr>
          <w:p w14:paraId="352FE4ED"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w:t>
            </w:r>
          </w:p>
        </w:tc>
        <w:tc>
          <w:tcPr>
            <w:tcW w:w="625" w:type="pct"/>
          </w:tcPr>
          <w:p w14:paraId="096E1731"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w:t>
            </w:r>
          </w:p>
        </w:tc>
        <w:tc>
          <w:tcPr>
            <w:tcW w:w="625" w:type="pct"/>
          </w:tcPr>
          <w:p w14:paraId="5F7C6407"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1%</w:t>
            </w:r>
          </w:p>
        </w:tc>
      </w:tr>
      <w:tr w:rsidR="00FE1BE2" w:rsidRPr="00DD6692" w14:paraId="4FFC96A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6BBBDCE6" w14:textId="77777777" w:rsidR="00FE1BE2" w:rsidRPr="00B9299A" w:rsidRDefault="00FE1BE2" w:rsidP="00F56768">
            <w:pPr>
              <w:spacing w:before="40" w:after="40" w:line="240" w:lineRule="atLeast"/>
              <w:ind w:left="595"/>
              <w:rPr>
                <w:rFonts w:cstheme="minorHAnsi"/>
                <w:b/>
                <w:sz w:val="18"/>
                <w:szCs w:val="18"/>
              </w:rPr>
            </w:pPr>
            <w:r w:rsidRPr="00B9299A">
              <w:rPr>
                <w:rFonts w:cstheme="minorHAnsi"/>
                <w:b/>
                <w:sz w:val="18"/>
                <w:szCs w:val="18"/>
              </w:rPr>
              <w:t>Allowance Cost per worked hour ($)</w:t>
            </w:r>
          </w:p>
        </w:tc>
        <w:tc>
          <w:tcPr>
            <w:tcW w:w="625" w:type="pct"/>
            <w:noWrap/>
          </w:tcPr>
          <w:p w14:paraId="21164CE8"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$0.32 </w:t>
            </w:r>
          </w:p>
        </w:tc>
        <w:tc>
          <w:tcPr>
            <w:tcW w:w="625" w:type="pct"/>
          </w:tcPr>
          <w:p w14:paraId="6F9122BD"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$0.34 </w:t>
            </w:r>
          </w:p>
        </w:tc>
        <w:tc>
          <w:tcPr>
            <w:tcW w:w="625" w:type="pct"/>
          </w:tcPr>
          <w:p w14:paraId="2DEEB149"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$0.35 </w:t>
            </w:r>
          </w:p>
        </w:tc>
        <w:tc>
          <w:tcPr>
            <w:tcW w:w="625" w:type="pct"/>
          </w:tcPr>
          <w:p w14:paraId="3914047A" w14:textId="77777777" w:rsidR="00FE1BE2" w:rsidRPr="00B9299A" w:rsidRDefault="00FE1BE2" w:rsidP="00F56768">
            <w:pPr>
              <w:spacing w:before="40" w:after="40" w:line="240" w:lineRule="atLeast"/>
              <w:jc w:val="center"/>
              <w:rPr>
                <w:rFonts w:cstheme="minorHAnsi"/>
                <w:b/>
                <w:sz w:val="18"/>
                <w:szCs w:val="18"/>
              </w:rPr>
            </w:pPr>
            <w:r w:rsidRPr="00B9299A">
              <w:rPr>
                <w:b/>
                <w:sz w:val="18"/>
                <w:szCs w:val="18"/>
              </w:rPr>
              <w:t xml:space="preserve"> $0.42 </w:t>
            </w:r>
          </w:p>
        </w:tc>
      </w:tr>
      <w:tr w:rsidR="00FE1BE2" w:rsidRPr="00DD6692" w14:paraId="30A3C44D" w14:textId="77777777" w:rsidTr="00B9299A">
        <w:trPr>
          <w:trHeight w:val="300"/>
        </w:trPr>
        <w:tc>
          <w:tcPr>
            <w:tcW w:w="2500" w:type="pct"/>
            <w:vAlign w:val="center"/>
          </w:tcPr>
          <w:p w14:paraId="282D93AA" w14:textId="77777777" w:rsidR="00FE1BE2" w:rsidRPr="00B9299A" w:rsidRDefault="00920C59" w:rsidP="00920C59">
            <w:pPr>
              <w:spacing w:before="40" w:after="40" w:line="240" w:lineRule="atLeast"/>
              <w:rPr>
                <w:rFonts w:cstheme="minorHAnsi"/>
                <w:sz w:val="18"/>
                <w:szCs w:val="18"/>
              </w:rPr>
            </w:pPr>
            <w:r>
              <w:rPr>
                <w:rFonts w:cstheme="minorHAnsi"/>
                <w:sz w:val="18"/>
                <w:szCs w:val="18"/>
              </w:rPr>
              <w:t>Cumulative cost/</w:t>
            </w:r>
            <w:r w:rsidR="00FE1BE2" w:rsidRPr="00B9299A">
              <w:rPr>
                <w:rFonts w:cstheme="minorHAnsi"/>
                <w:sz w:val="18"/>
                <w:szCs w:val="18"/>
              </w:rPr>
              <w:t>hour, after Direct On-costs</w:t>
            </w:r>
          </w:p>
        </w:tc>
        <w:tc>
          <w:tcPr>
            <w:tcW w:w="625" w:type="pct"/>
            <w:noWrap/>
          </w:tcPr>
          <w:p w14:paraId="77869D4C"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$43.86 </w:t>
            </w:r>
          </w:p>
        </w:tc>
        <w:tc>
          <w:tcPr>
            <w:tcW w:w="625" w:type="pct"/>
          </w:tcPr>
          <w:p w14:paraId="024D63D3"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$45.59 </w:t>
            </w:r>
          </w:p>
        </w:tc>
        <w:tc>
          <w:tcPr>
            <w:tcW w:w="625" w:type="pct"/>
          </w:tcPr>
          <w:p w14:paraId="6DFB48D3"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$47.46 </w:t>
            </w:r>
          </w:p>
        </w:tc>
        <w:tc>
          <w:tcPr>
            <w:tcW w:w="625" w:type="pct"/>
          </w:tcPr>
          <w:p w14:paraId="5C25C92E"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 xml:space="preserve"> $57.26 </w:t>
            </w:r>
          </w:p>
        </w:tc>
      </w:tr>
      <w:tr w:rsidR="00FE1BE2" w:rsidRPr="00DD6692" w14:paraId="3DC4328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15AE889B" w14:textId="77777777" w:rsidR="00FE1BE2" w:rsidRPr="00B9299A" w:rsidRDefault="00FE1BE2" w:rsidP="00F56768">
            <w:pPr>
              <w:spacing w:before="40" w:after="40" w:line="240" w:lineRule="atLeast"/>
              <w:rPr>
                <w:rFonts w:cstheme="minorHAnsi"/>
                <w:sz w:val="18"/>
                <w:szCs w:val="18"/>
              </w:rPr>
            </w:pPr>
            <w:r w:rsidRPr="00B9299A">
              <w:rPr>
                <w:rFonts w:cstheme="minorHAnsi"/>
                <w:sz w:val="18"/>
                <w:szCs w:val="18"/>
              </w:rPr>
              <w:t>Cumulative increase from standard hourly rate</w:t>
            </w:r>
          </w:p>
        </w:tc>
        <w:tc>
          <w:tcPr>
            <w:tcW w:w="625" w:type="pct"/>
            <w:noWrap/>
          </w:tcPr>
          <w:p w14:paraId="63BB527C"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35.5%</w:t>
            </w:r>
          </w:p>
        </w:tc>
        <w:tc>
          <w:tcPr>
            <w:tcW w:w="625" w:type="pct"/>
          </w:tcPr>
          <w:p w14:paraId="24585762"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35.5%</w:t>
            </w:r>
          </w:p>
        </w:tc>
        <w:tc>
          <w:tcPr>
            <w:tcW w:w="625" w:type="pct"/>
          </w:tcPr>
          <w:p w14:paraId="6C1D1980"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35.5%</w:t>
            </w:r>
          </w:p>
        </w:tc>
        <w:tc>
          <w:tcPr>
            <w:tcW w:w="625" w:type="pct"/>
          </w:tcPr>
          <w:p w14:paraId="3368279B" w14:textId="77777777" w:rsidR="00FE1BE2" w:rsidRPr="00B9299A" w:rsidRDefault="00FE1BE2" w:rsidP="00F56768">
            <w:pPr>
              <w:spacing w:before="40" w:after="40" w:line="240" w:lineRule="atLeast"/>
              <w:jc w:val="center"/>
              <w:rPr>
                <w:rFonts w:cstheme="minorHAnsi"/>
                <w:sz w:val="18"/>
                <w:szCs w:val="18"/>
              </w:rPr>
            </w:pPr>
            <w:r w:rsidRPr="00B9299A">
              <w:rPr>
                <w:sz w:val="18"/>
                <w:szCs w:val="18"/>
              </w:rPr>
              <w:t>35.5%</w:t>
            </w:r>
          </w:p>
        </w:tc>
      </w:tr>
      <w:bookmarkEnd w:id="19"/>
      <w:bookmarkEnd w:id="20"/>
    </w:tbl>
    <w:p w14:paraId="2AD47C34" w14:textId="77777777" w:rsidR="00920C59" w:rsidRDefault="00920C59" w:rsidP="00920C59"/>
    <w:p w14:paraId="34ADB214" w14:textId="77777777" w:rsidR="00EB1CB5" w:rsidRDefault="00EB1CB5" w:rsidP="00920C59">
      <w:pPr>
        <w:pStyle w:val="Heading2"/>
      </w:pPr>
      <w:bookmarkStart w:id="21" w:name="_Toc106464076"/>
      <w:r>
        <w:lastRenderedPageBreak/>
        <w:t>Operational Overheads</w:t>
      </w:r>
      <w:bookmarkEnd w:id="21"/>
    </w:p>
    <w:p w14:paraId="06958548" w14:textId="77777777" w:rsidR="00E4628A" w:rsidRDefault="00E4628A" w:rsidP="00920C59">
      <w:pPr>
        <w:keepNext/>
      </w:pPr>
      <w:r>
        <w:t xml:space="preserve">Operational Overheads include those costs which are in the operational control of the provider </w:t>
      </w:r>
      <w:r w:rsidR="00920C59">
        <w:t>such as</w:t>
      </w:r>
      <w:r>
        <w:t xml:space="preserve"> workers compensation costs, utilisation costs, supervision costs and workforce rostering and balance measures such as the share of the workforce that is permanent or casual, and the extent to which overtime is used by the business.</w:t>
      </w:r>
    </w:p>
    <w:p w14:paraId="3126D0BB" w14:textId="2079D986" w:rsidR="00E53947" w:rsidRDefault="00222142" w:rsidP="00E4628A">
      <w:r>
        <w:t xml:space="preserve">The Cost Model </w:t>
      </w:r>
      <w:r w:rsidR="00E4628A">
        <w:t>expresses</w:t>
      </w:r>
      <w:r>
        <w:t xml:space="preserve"> </w:t>
      </w:r>
      <w:r w:rsidR="007E2176">
        <w:t>Operational Overheads</w:t>
      </w:r>
      <w:r w:rsidR="00E4628A">
        <w:t xml:space="preserve"> as a percentage of direct costs and assumes that they</w:t>
      </w:r>
      <w:r w:rsidR="007E2176">
        <w:t xml:space="preserve"> </w:t>
      </w:r>
      <w:r w:rsidR="00E4628A">
        <w:t>increase as the complexity of the support increases</w:t>
      </w:r>
      <w:r w:rsidR="008933C7">
        <w:t xml:space="preserve"> (</w:t>
      </w:r>
      <w:r w:rsidR="008933C7">
        <w:fldChar w:fldCharType="begin"/>
      </w:r>
      <w:r w:rsidR="008933C7">
        <w:instrText xml:space="preserve"> REF _Ref19044855 \h </w:instrText>
      </w:r>
      <w:r w:rsidR="008933C7">
        <w:fldChar w:fldCharType="separate"/>
      </w:r>
      <w:r w:rsidR="0089680D" w:rsidRPr="00920C59">
        <w:t xml:space="preserve">Table </w:t>
      </w:r>
      <w:r w:rsidR="0089680D">
        <w:rPr>
          <w:noProof/>
        </w:rPr>
        <w:t>4</w:t>
      </w:r>
      <w:r w:rsidR="008933C7">
        <w:fldChar w:fldCharType="end"/>
      </w:r>
      <w:r w:rsidR="008933C7">
        <w:t>).</w:t>
      </w:r>
      <w:r w:rsidR="007E2176">
        <w:t xml:space="preserve"> </w:t>
      </w:r>
    </w:p>
    <w:p w14:paraId="39226AE7" w14:textId="2DEBEFEC" w:rsidR="00CD68BE" w:rsidRPr="00920C59" w:rsidRDefault="00F52078" w:rsidP="00920C59">
      <w:pPr>
        <w:pStyle w:val="Caption"/>
      </w:pPr>
      <w:bookmarkStart w:id="22" w:name="_Ref19044855"/>
      <w:bookmarkStart w:id="23" w:name="_Ref105769353"/>
      <w:bookmarkStart w:id="24" w:name="OLE_LINK8"/>
      <w:bookmarkStart w:id="25" w:name="OLE_LINK9"/>
      <w:bookmarkStart w:id="26" w:name="OLE_LINK3"/>
      <w:bookmarkEnd w:id="15"/>
      <w:r w:rsidRPr="00920C59">
        <w:t xml:space="preserve">Table </w:t>
      </w:r>
      <w:fldSimple w:instr=" SEQ Table \* ARABIC ">
        <w:r w:rsidR="0089680D">
          <w:rPr>
            <w:noProof/>
          </w:rPr>
          <w:t>4</w:t>
        </w:r>
      </w:fldSimple>
      <w:bookmarkEnd w:id="22"/>
      <w:bookmarkEnd w:id="23"/>
      <w:r w:rsidRPr="00920C59">
        <w:t xml:space="preserve">: </w:t>
      </w:r>
      <w:r w:rsidR="00CD68BE" w:rsidRPr="00920C59">
        <w:t xml:space="preserve">Impact of </w:t>
      </w:r>
      <w:r w:rsidR="00D579AC" w:rsidRPr="00920C59">
        <w:t xml:space="preserve">Operational Overheads </w:t>
      </w:r>
      <w:r w:rsidRPr="00920C59">
        <w:t xml:space="preserve">on </w:t>
      </w:r>
      <w:r w:rsidR="00CD68BE" w:rsidRPr="00920C59">
        <w:t>the Cost per Billable Hour of a DSW</w:t>
      </w:r>
    </w:p>
    <w:tbl>
      <w:tblPr>
        <w:tblStyle w:val="GridTable4-Accent4"/>
        <w:tblW w:w="5000" w:type="pct"/>
        <w:tblLook w:val="0420" w:firstRow="1" w:lastRow="0" w:firstColumn="0" w:lastColumn="0" w:noHBand="0" w:noVBand="1"/>
        <w:tblCaption w:val="Table 7: Impact of Operational Overheads on the Cost per Billable Hour of a DSW "/>
      </w:tblPr>
      <w:tblGrid>
        <w:gridCol w:w="4508"/>
        <w:gridCol w:w="1127"/>
        <w:gridCol w:w="1127"/>
        <w:gridCol w:w="1127"/>
        <w:gridCol w:w="1127"/>
      </w:tblGrid>
      <w:tr w:rsidR="00716C16" w:rsidRPr="00DD6692" w14:paraId="549FC848"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86BF901" w14:textId="77777777" w:rsidR="00716C16" w:rsidRPr="00B9299A" w:rsidRDefault="00716C16" w:rsidP="004C63FA">
            <w:pPr>
              <w:keepNext/>
              <w:spacing w:before="40" w:after="40" w:line="240" w:lineRule="atLeast"/>
              <w:rPr>
                <w:rFonts w:cstheme="minorHAnsi"/>
                <w:b w:val="0"/>
                <w:sz w:val="18"/>
                <w:szCs w:val="18"/>
              </w:rPr>
            </w:pPr>
          </w:p>
        </w:tc>
        <w:tc>
          <w:tcPr>
            <w:tcW w:w="625" w:type="pct"/>
            <w:hideMark/>
          </w:tcPr>
          <w:p w14:paraId="613C9A71" w14:textId="77777777" w:rsidR="00716C16" w:rsidRPr="00B9299A" w:rsidRDefault="003D60DD" w:rsidP="004C63FA">
            <w:pPr>
              <w:keepNext/>
              <w:spacing w:before="40" w:after="40" w:line="240" w:lineRule="atLeast"/>
              <w:jc w:val="center"/>
              <w:rPr>
                <w:rFonts w:cstheme="minorHAnsi"/>
                <w:b w:val="0"/>
                <w:sz w:val="18"/>
                <w:szCs w:val="18"/>
              </w:rPr>
            </w:pPr>
            <w:r w:rsidRPr="00B9299A">
              <w:rPr>
                <w:rFonts w:cstheme="minorHAnsi"/>
                <w:b w:val="0"/>
                <w:sz w:val="18"/>
                <w:szCs w:val="18"/>
              </w:rPr>
              <w:t>DSW 1</w:t>
            </w:r>
          </w:p>
        </w:tc>
        <w:tc>
          <w:tcPr>
            <w:tcW w:w="625" w:type="pct"/>
          </w:tcPr>
          <w:p w14:paraId="6CFDBD49" w14:textId="77777777" w:rsidR="00716C16" w:rsidRPr="00B9299A" w:rsidRDefault="003D60DD" w:rsidP="004C63FA">
            <w:pPr>
              <w:keepNext/>
              <w:spacing w:before="40" w:after="40" w:line="240" w:lineRule="atLeast"/>
              <w:jc w:val="center"/>
              <w:rPr>
                <w:rFonts w:cstheme="minorHAnsi"/>
                <w:b w:val="0"/>
                <w:bCs w:val="0"/>
                <w:sz w:val="18"/>
                <w:szCs w:val="18"/>
                <w:lang w:eastAsia="en-AU"/>
              </w:rPr>
            </w:pPr>
            <w:r w:rsidRPr="00B9299A">
              <w:rPr>
                <w:rFonts w:cstheme="minorHAnsi"/>
                <w:b w:val="0"/>
                <w:sz w:val="18"/>
                <w:szCs w:val="18"/>
              </w:rPr>
              <w:t>DSW 2</w:t>
            </w:r>
          </w:p>
        </w:tc>
        <w:tc>
          <w:tcPr>
            <w:tcW w:w="625" w:type="pct"/>
          </w:tcPr>
          <w:p w14:paraId="5D538A5C" w14:textId="77777777" w:rsidR="00716C16" w:rsidRPr="00B9299A" w:rsidRDefault="003D60DD" w:rsidP="004C63FA">
            <w:pPr>
              <w:keepNext/>
              <w:spacing w:before="40" w:after="40" w:line="240" w:lineRule="atLeast"/>
              <w:jc w:val="center"/>
              <w:rPr>
                <w:rFonts w:cstheme="minorHAnsi"/>
                <w:b w:val="0"/>
                <w:sz w:val="18"/>
                <w:szCs w:val="18"/>
              </w:rPr>
            </w:pPr>
            <w:r w:rsidRPr="00B9299A">
              <w:rPr>
                <w:rFonts w:cstheme="minorHAnsi"/>
                <w:b w:val="0"/>
                <w:sz w:val="18"/>
                <w:szCs w:val="18"/>
              </w:rPr>
              <w:t>DSW 3</w:t>
            </w:r>
          </w:p>
        </w:tc>
        <w:tc>
          <w:tcPr>
            <w:tcW w:w="625" w:type="pct"/>
          </w:tcPr>
          <w:p w14:paraId="68EFDA8A" w14:textId="77777777" w:rsidR="00716C16" w:rsidRPr="00B9299A" w:rsidRDefault="003D60DD" w:rsidP="004C63FA">
            <w:pPr>
              <w:keepNext/>
              <w:spacing w:before="40" w:after="40" w:line="240" w:lineRule="atLeast"/>
              <w:jc w:val="center"/>
              <w:rPr>
                <w:rFonts w:cstheme="minorHAnsi"/>
                <w:b w:val="0"/>
                <w:sz w:val="18"/>
                <w:szCs w:val="18"/>
              </w:rPr>
            </w:pPr>
            <w:r w:rsidRPr="00B9299A">
              <w:rPr>
                <w:rFonts w:cstheme="minorHAnsi"/>
                <w:b w:val="0"/>
                <w:sz w:val="18"/>
                <w:szCs w:val="18"/>
              </w:rPr>
              <w:t>DSW 4</w:t>
            </w:r>
          </w:p>
        </w:tc>
      </w:tr>
      <w:tr w:rsidR="008F5D99" w:rsidRPr="00DD6692" w14:paraId="155EDF11"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hideMark/>
          </w:tcPr>
          <w:p w14:paraId="10D35E6E" w14:textId="77777777" w:rsidR="008F5D99" w:rsidRPr="00B9299A" w:rsidRDefault="00920C59" w:rsidP="00920C59">
            <w:pPr>
              <w:keepNext/>
              <w:spacing w:before="40" w:after="40" w:line="240" w:lineRule="atLeast"/>
              <w:rPr>
                <w:rFonts w:cstheme="minorHAnsi"/>
                <w:sz w:val="18"/>
                <w:szCs w:val="18"/>
              </w:rPr>
            </w:pPr>
            <w:r>
              <w:rPr>
                <w:rFonts w:cstheme="minorHAnsi"/>
                <w:sz w:val="18"/>
                <w:szCs w:val="18"/>
              </w:rPr>
              <w:t>Cumulative cost/</w:t>
            </w:r>
            <w:r w:rsidR="008F5D99" w:rsidRPr="00B9299A">
              <w:rPr>
                <w:rFonts w:cstheme="minorHAnsi"/>
                <w:sz w:val="18"/>
                <w:szCs w:val="18"/>
              </w:rPr>
              <w:t>hour, before Operational Overheads</w:t>
            </w:r>
          </w:p>
        </w:tc>
        <w:tc>
          <w:tcPr>
            <w:tcW w:w="625" w:type="pct"/>
            <w:noWrap/>
            <w:hideMark/>
          </w:tcPr>
          <w:p w14:paraId="17DA677F"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$43.86 </w:t>
            </w:r>
          </w:p>
        </w:tc>
        <w:tc>
          <w:tcPr>
            <w:tcW w:w="625" w:type="pct"/>
          </w:tcPr>
          <w:p w14:paraId="30C13C31"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$45.59 </w:t>
            </w:r>
          </w:p>
        </w:tc>
        <w:tc>
          <w:tcPr>
            <w:tcW w:w="625" w:type="pct"/>
          </w:tcPr>
          <w:p w14:paraId="002F0177"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$47.46 </w:t>
            </w:r>
          </w:p>
        </w:tc>
        <w:tc>
          <w:tcPr>
            <w:tcW w:w="625" w:type="pct"/>
          </w:tcPr>
          <w:p w14:paraId="2657E7A8"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$57.26 </w:t>
            </w:r>
          </w:p>
        </w:tc>
      </w:tr>
      <w:tr w:rsidR="008F5D99" w:rsidRPr="00DD6692" w14:paraId="696B3EB2" w14:textId="77777777" w:rsidTr="00B9299A">
        <w:trPr>
          <w:trHeight w:val="300"/>
        </w:trPr>
        <w:tc>
          <w:tcPr>
            <w:tcW w:w="2500" w:type="pct"/>
            <w:hideMark/>
          </w:tcPr>
          <w:p w14:paraId="73A05887" w14:textId="77777777" w:rsidR="008F5D99" w:rsidRPr="00B9299A" w:rsidRDefault="008F5D99" w:rsidP="00920C59">
            <w:pPr>
              <w:keepNext/>
              <w:spacing w:before="40" w:after="40" w:line="240" w:lineRule="atLeast"/>
              <w:ind w:left="310"/>
              <w:rPr>
                <w:rFonts w:cstheme="minorHAnsi"/>
                <w:sz w:val="18"/>
                <w:szCs w:val="18"/>
              </w:rPr>
            </w:pPr>
            <w:r w:rsidRPr="00B9299A">
              <w:rPr>
                <w:rFonts w:cstheme="minorHAnsi"/>
                <w:sz w:val="18"/>
                <w:szCs w:val="18"/>
              </w:rPr>
              <w:t>Operational Overhead</w:t>
            </w:r>
            <w:r w:rsidR="00920C59">
              <w:rPr>
                <w:rFonts w:cstheme="minorHAnsi"/>
                <w:sz w:val="18"/>
                <w:szCs w:val="18"/>
              </w:rPr>
              <w:t>s</w:t>
            </w:r>
            <w:r w:rsidRPr="00B9299A">
              <w:rPr>
                <w:rFonts w:cstheme="minorHAnsi"/>
                <w:sz w:val="18"/>
                <w:szCs w:val="18"/>
              </w:rPr>
              <w:t xml:space="preserve"> (%)</w:t>
            </w:r>
          </w:p>
        </w:tc>
        <w:tc>
          <w:tcPr>
            <w:tcW w:w="625" w:type="pct"/>
            <w:noWrap/>
          </w:tcPr>
          <w:p w14:paraId="69712C93" w14:textId="77777777" w:rsidR="008F5D99" w:rsidRPr="00B9299A" w:rsidRDefault="008F5D99" w:rsidP="008F5D99">
            <w:pPr>
              <w:keepNext/>
              <w:spacing w:before="40" w:after="40" w:line="240" w:lineRule="atLeast"/>
              <w:jc w:val="center"/>
              <w:rPr>
                <w:rFonts w:cstheme="minorHAnsi"/>
                <w:sz w:val="18"/>
                <w:szCs w:val="18"/>
                <w:highlight w:val="yellow"/>
              </w:rPr>
            </w:pPr>
            <w:r w:rsidRPr="00B9299A">
              <w:rPr>
                <w:sz w:val="18"/>
                <w:szCs w:val="18"/>
              </w:rPr>
              <w:t>21.65%</w:t>
            </w:r>
          </w:p>
        </w:tc>
        <w:tc>
          <w:tcPr>
            <w:tcW w:w="625" w:type="pct"/>
          </w:tcPr>
          <w:p w14:paraId="35C7F538" w14:textId="77777777" w:rsidR="008F5D99" w:rsidRPr="00B9299A" w:rsidRDefault="008F5D99" w:rsidP="008F5D99">
            <w:pPr>
              <w:keepNext/>
              <w:spacing w:before="40" w:after="40" w:line="240" w:lineRule="atLeast"/>
              <w:jc w:val="center"/>
              <w:rPr>
                <w:rFonts w:cstheme="minorHAnsi"/>
                <w:sz w:val="18"/>
                <w:szCs w:val="18"/>
                <w:highlight w:val="yellow"/>
              </w:rPr>
            </w:pPr>
            <w:r w:rsidRPr="00B9299A">
              <w:rPr>
                <w:sz w:val="18"/>
                <w:szCs w:val="18"/>
              </w:rPr>
              <w:t>26.65%</w:t>
            </w:r>
          </w:p>
        </w:tc>
        <w:tc>
          <w:tcPr>
            <w:tcW w:w="625" w:type="pct"/>
          </w:tcPr>
          <w:p w14:paraId="53173BCF" w14:textId="77777777" w:rsidR="008F5D99" w:rsidRPr="00B9299A" w:rsidRDefault="008F5D99" w:rsidP="008F5D99">
            <w:pPr>
              <w:keepNext/>
              <w:spacing w:before="40" w:after="40" w:line="240" w:lineRule="atLeast"/>
              <w:jc w:val="center"/>
              <w:rPr>
                <w:rFonts w:cstheme="minorHAnsi"/>
                <w:sz w:val="18"/>
                <w:szCs w:val="18"/>
                <w:highlight w:val="yellow"/>
              </w:rPr>
            </w:pPr>
            <w:r w:rsidRPr="00B9299A">
              <w:rPr>
                <w:sz w:val="18"/>
                <w:szCs w:val="18"/>
              </w:rPr>
              <w:t>28.15%</w:t>
            </w:r>
          </w:p>
        </w:tc>
        <w:tc>
          <w:tcPr>
            <w:tcW w:w="625" w:type="pct"/>
          </w:tcPr>
          <w:p w14:paraId="3D5E6591" w14:textId="77777777" w:rsidR="008F5D99" w:rsidRPr="00B9299A" w:rsidRDefault="008F5D99" w:rsidP="008F5D99">
            <w:pPr>
              <w:keepNext/>
              <w:spacing w:before="40" w:after="40" w:line="240" w:lineRule="atLeast"/>
              <w:jc w:val="center"/>
              <w:rPr>
                <w:rFonts w:cstheme="minorHAnsi"/>
                <w:sz w:val="18"/>
                <w:szCs w:val="18"/>
                <w:highlight w:val="yellow"/>
              </w:rPr>
            </w:pPr>
            <w:r w:rsidRPr="00B9299A">
              <w:rPr>
                <w:sz w:val="18"/>
                <w:szCs w:val="18"/>
              </w:rPr>
              <w:t>39.90%</w:t>
            </w:r>
          </w:p>
        </w:tc>
      </w:tr>
      <w:tr w:rsidR="008F5D99" w:rsidRPr="00DD6692" w14:paraId="2CFBDB16"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2511665" w14:textId="77777777" w:rsidR="008F5D99" w:rsidRPr="00B9299A" w:rsidRDefault="008F5D99" w:rsidP="00920C59">
            <w:pPr>
              <w:keepNext/>
              <w:spacing w:before="40" w:after="40" w:line="240" w:lineRule="atLeast"/>
              <w:ind w:left="310"/>
              <w:rPr>
                <w:rFonts w:cstheme="minorHAnsi"/>
                <w:b/>
                <w:sz w:val="18"/>
                <w:szCs w:val="18"/>
              </w:rPr>
            </w:pPr>
            <w:r w:rsidRPr="00B9299A">
              <w:rPr>
                <w:rFonts w:cstheme="minorHAnsi"/>
                <w:b/>
                <w:sz w:val="18"/>
                <w:szCs w:val="18"/>
              </w:rPr>
              <w:t>Operational Overhead</w:t>
            </w:r>
            <w:r w:rsidR="00920C59">
              <w:rPr>
                <w:rFonts w:cstheme="minorHAnsi"/>
                <w:b/>
                <w:sz w:val="18"/>
                <w:szCs w:val="18"/>
              </w:rPr>
              <w:t>s</w:t>
            </w:r>
            <w:r w:rsidRPr="00B9299A">
              <w:rPr>
                <w:rFonts w:cstheme="minorHAnsi"/>
                <w:b/>
                <w:sz w:val="18"/>
                <w:szCs w:val="18"/>
              </w:rPr>
              <w:t xml:space="preserve"> ($)</w:t>
            </w:r>
          </w:p>
        </w:tc>
        <w:tc>
          <w:tcPr>
            <w:tcW w:w="625" w:type="pct"/>
            <w:noWrap/>
          </w:tcPr>
          <w:p w14:paraId="0BD4F178" w14:textId="77777777" w:rsidR="008F5D99" w:rsidRPr="00B9299A" w:rsidRDefault="008F5D99" w:rsidP="008F5D99">
            <w:pPr>
              <w:jc w:val="center"/>
              <w:rPr>
                <w:rFonts w:cstheme="minorHAnsi"/>
                <w:b/>
                <w:sz w:val="18"/>
                <w:szCs w:val="18"/>
              </w:rPr>
            </w:pPr>
            <w:r w:rsidRPr="00B9299A">
              <w:rPr>
                <w:b/>
                <w:sz w:val="18"/>
                <w:szCs w:val="18"/>
              </w:rPr>
              <w:t xml:space="preserve"> $9.49 </w:t>
            </w:r>
          </w:p>
        </w:tc>
        <w:tc>
          <w:tcPr>
            <w:tcW w:w="625" w:type="pct"/>
          </w:tcPr>
          <w:p w14:paraId="034034BB" w14:textId="77777777" w:rsidR="008F5D99" w:rsidRPr="00B9299A" w:rsidRDefault="008F5D99" w:rsidP="008F5D99">
            <w:pPr>
              <w:jc w:val="center"/>
              <w:rPr>
                <w:rFonts w:cstheme="minorHAnsi"/>
                <w:b/>
                <w:sz w:val="18"/>
                <w:szCs w:val="18"/>
              </w:rPr>
            </w:pPr>
            <w:r w:rsidRPr="00B9299A">
              <w:rPr>
                <w:b/>
                <w:sz w:val="18"/>
                <w:szCs w:val="18"/>
              </w:rPr>
              <w:t xml:space="preserve"> $12.15 </w:t>
            </w:r>
          </w:p>
        </w:tc>
        <w:tc>
          <w:tcPr>
            <w:tcW w:w="625" w:type="pct"/>
          </w:tcPr>
          <w:p w14:paraId="51339CE2" w14:textId="77777777" w:rsidR="008F5D99" w:rsidRPr="00B9299A" w:rsidRDefault="008F5D99" w:rsidP="008F5D99">
            <w:pPr>
              <w:jc w:val="center"/>
              <w:rPr>
                <w:rFonts w:cstheme="minorHAnsi"/>
                <w:b/>
                <w:sz w:val="18"/>
                <w:szCs w:val="18"/>
              </w:rPr>
            </w:pPr>
            <w:r w:rsidRPr="00B9299A">
              <w:rPr>
                <w:b/>
                <w:sz w:val="18"/>
                <w:szCs w:val="18"/>
              </w:rPr>
              <w:t xml:space="preserve"> $13.36 </w:t>
            </w:r>
          </w:p>
        </w:tc>
        <w:tc>
          <w:tcPr>
            <w:tcW w:w="625" w:type="pct"/>
          </w:tcPr>
          <w:p w14:paraId="441677B9" w14:textId="77777777" w:rsidR="008F5D99" w:rsidRPr="00B9299A" w:rsidRDefault="008F5D99" w:rsidP="008F5D99">
            <w:pPr>
              <w:jc w:val="center"/>
              <w:rPr>
                <w:rFonts w:cstheme="minorHAnsi"/>
                <w:b/>
                <w:sz w:val="18"/>
                <w:szCs w:val="18"/>
              </w:rPr>
            </w:pPr>
            <w:r w:rsidRPr="00B9299A">
              <w:rPr>
                <w:b/>
                <w:sz w:val="18"/>
                <w:szCs w:val="18"/>
              </w:rPr>
              <w:t xml:space="preserve"> $22.85 </w:t>
            </w:r>
          </w:p>
        </w:tc>
      </w:tr>
      <w:tr w:rsidR="008F5D99" w:rsidRPr="00DD6692" w14:paraId="48B75613" w14:textId="77777777" w:rsidTr="00B9299A">
        <w:trPr>
          <w:trHeight w:val="300"/>
        </w:trPr>
        <w:tc>
          <w:tcPr>
            <w:tcW w:w="2500" w:type="pct"/>
            <w:vAlign w:val="center"/>
          </w:tcPr>
          <w:p w14:paraId="55109D87" w14:textId="77777777" w:rsidR="008F5D99" w:rsidRPr="00B9299A" w:rsidRDefault="00920C59" w:rsidP="00920C59">
            <w:pPr>
              <w:keepNext/>
              <w:spacing w:before="40" w:after="40" w:line="240" w:lineRule="atLeast"/>
              <w:rPr>
                <w:rFonts w:cstheme="minorHAnsi"/>
                <w:sz w:val="18"/>
                <w:szCs w:val="18"/>
              </w:rPr>
            </w:pPr>
            <w:r>
              <w:rPr>
                <w:rFonts w:cstheme="minorHAnsi"/>
                <w:sz w:val="18"/>
                <w:szCs w:val="18"/>
              </w:rPr>
              <w:t>Cumulative cost/</w:t>
            </w:r>
            <w:r w:rsidR="008F5D99" w:rsidRPr="00B9299A">
              <w:rPr>
                <w:rFonts w:cstheme="minorHAnsi"/>
                <w:sz w:val="18"/>
                <w:szCs w:val="18"/>
              </w:rPr>
              <w:t>hour, after Operational Overhead</w:t>
            </w:r>
            <w:r>
              <w:rPr>
                <w:rFonts w:cstheme="minorHAnsi"/>
                <w:sz w:val="18"/>
                <w:szCs w:val="18"/>
              </w:rPr>
              <w:t>s</w:t>
            </w:r>
          </w:p>
        </w:tc>
        <w:tc>
          <w:tcPr>
            <w:tcW w:w="625" w:type="pct"/>
            <w:noWrap/>
          </w:tcPr>
          <w:p w14:paraId="79782945"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$53.35 </w:t>
            </w:r>
          </w:p>
        </w:tc>
        <w:tc>
          <w:tcPr>
            <w:tcW w:w="625" w:type="pct"/>
          </w:tcPr>
          <w:p w14:paraId="11D4251E"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$57.74 </w:t>
            </w:r>
          </w:p>
        </w:tc>
        <w:tc>
          <w:tcPr>
            <w:tcW w:w="625" w:type="pct"/>
          </w:tcPr>
          <w:p w14:paraId="12A0BCDA"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$60.82 </w:t>
            </w:r>
          </w:p>
        </w:tc>
        <w:tc>
          <w:tcPr>
            <w:tcW w:w="625" w:type="pct"/>
          </w:tcPr>
          <w:p w14:paraId="3B79BF94"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 xml:space="preserve"> $80.11 </w:t>
            </w:r>
          </w:p>
        </w:tc>
      </w:tr>
      <w:tr w:rsidR="008F5D99" w:rsidRPr="00DD6692" w14:paraId="76ABB70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C6DF16B" w14:textId="77777777" w:rsidR="008F5D99" w:rsidRPr="00B9299A" w:rsidRDefault="008F5D99" w:rsidP="008F5D99">
            <w:pPr>
              <w:keepNext/>
              <w:spacing w:before="40" w:after="40" w:line="240" w:lineRule="atLeast"/>
              <w:rPr>
                <w:rFonts w:cstheme="minorHAnsi"/>
                <w:sz w:val="18"/>
                <w:szCs w:val="18"/>
              </w:rPr>
            </w:pPr>
            <w:r w:rsidRPr="00B9299A">
              <w:rPr>
                <w:rFonts w:cstheme="minorHAnsi"/>
                <w:sz w:val="18"/>
                <w:szCs w:val="18"/>
              </w:rPr>
              <w:t>Cumulative increase from standard hourly rate</w:t>
            </w:r>
          </w:p>
        </w:tc>
        <w:tc>
          <w:tcPr>
            <w:tcW w:w="625" w:type="pct"/>
            <w:noWrap/>
          </w:tcPr>
          <w:p w14:paraId="60D35988"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64.9%</w:t>
            </w:r>
          </w:p>
        </w:tc>
        <w:tc>
          <w:tcPr>
            <w:tcW w:w="625" w:type="pct"/>
          </w:tcPr>
          <w:p w14:paraId="271E9112"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71.6%</w:t>
            </w:r>
          </w:p>
        </w:tc>
        <w:tc>
          <w:tcPr>
            <w:tcW w:w="625" w:type="pct"/>
          </w:tcPr>
          <w:p w14:paraId="5AB03122"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73.7%</w:t>
            </w:r>
          </w:p>
        </w:tc>
        <w:tc>
          <w:tcPr>
            <w:tcW w:w="625" w:type="pct"/>
          </w:tcPr>
          <w:p w14:paraId="3459DE23" w14:textId="77777777" w:rsidR="008F5D99" w:rsidRPr="00B9299A" w:rsidRDefault="008F5D99" w:rsidP="008F5D99">
            <w:pPr>
              <w:keepNext/>
              <w:spacing w:before="40" w:after="40" w:line="240" w:lineRule="atLeast"/>
              <w:jc w:val="center"/>
              <w:rPr>
                <w:rFonts w:cstheme="minorHAnsi"/>
                <w:sz w:val="18"/>
                <w:szCs w:val="18"/>
              </w:rPr>
            </w:pPr>
            <w:r w:rsidRPr="00B9299A">
              <w:rPr>
                <w:sz w:val="18"/>
                <w:szCs w:val="18"/>
              </w:rPr>
              <w:t>89.6%</w:t>
            </w:r>
          </w:p>
        </w:tc>
      </w:tr>
    </w:tbl>
    <w:p w14:paraId="349AAC31" w14:textId="77777777" w:rsidR="00B76D59" w:rsidRPr="00DD6692" w:rsidRDefault="00E53947" w:rsidP="00920C59">
      <w:pPr>
        <w:pStyle w:val="Heading2"/>
      </w:pPr>
      <w:bookmarkStart w:id="27" w:name="_Ref90498717"/>
      <w:bookmarkStart w:id="28" w:name="_Toc106464077"/>
      <w:bookmarkEnd w:id="24"/>
      <w:bookmarkEnd w:id="25"/>
      <w:r>
        <w:t xml:space="preserve">Corporate </w:t>
      </w:r>
      <w:r w:rsidR="00840413" w:rsidRPr="00DD6692">
        <w:t>Overheads</w:t>
      </w:r>
      <w:bookmarkEnd w:id="27"/>
      <w:bookmarkEnd w:id="28"/>
    </w:p>
    <w:bookmarkEnd w:id="26"/>
    <w:p w14:paraId="2CCCA373" w14:textId="77777777" w:rsidR="00920C59" w:rsidRDefault="00E4628A" w:rsidP="00AA2CA7">
      <w:r>
        <w:t>Corporate Overheads include the costs incurred to run the administrative side of a business. These costs include the accounting, human resources, legal, marketing, and technology functions.</w:t>
      </w:r>
      <w:r w:rsidR="00920C59">
        <w:t xml:space="preserve"> </w:t>
      </w:r>
    </w:p>
    <w:p w14:paraId="41A74FD7" w14:textId="1F3C42FA" w:rsidR="00AA2CA7" w:rsidRPr="00DD6692" w:rsidRDefault="00D65E52" w:rsidP="00AA2CA7">
      <w:r w:rsidRPr="00DD6692">
        <w:t xml:space="preserve">The </w:t>
      </w:r>
      <w:r w:rsidR="00E27A53" w:rsidRPr="00DD6692">
        <w:t>Cost Model</w:t>
      </w:r>
      <w:r w:rsidRPr="00DD6692">
        <w:t xml:space="preserve"> </w:t>
      </w:r>
      <w:r w:rsidR="00222142">
        <w:t>assumes that</w:t>
      </w:r>
      <w:r w:rsidRPr="00DD6692">
        <w:t xml:space="preserve"> </w:t>
      </w:r>
      <w:r w:rsidR="0085006B">
        <w:t>Corporate Overheads</w:t>
      </w:r>
      <w:r w:rsidRPr="00DD6692">
        <w:t xml:space="preserve"> are 1</w:t>
      </w:r>
      <w:r w:rsidR="00005261" w:rsidRPr="00DD6692">
        <w:t>2.0</w:t>
      </w:r>
      <w:r w:rsidR="00E302D9" w:rsidRPr="00DD6692">
        <w:t>% of direct costs (</w:t>
      </w:r>
      <w:r w:rsidR="00AE3E25">
        <w:t>including Operational Overheads</w:t>
      </w:r>
      <w:r w:rsidR="00E302D9" w:rsidRPr="00DD6692">
        <w:t>)</w:t>
      </w:r>
      <w:r w:rsidR="008933C7">
        <w:t xml:space="preserve"> (</w:t>
      </w:r>
      <w:r w:rsidR="008933C7">
        <w:fldChar w:fldCharType="begin"/>
      </w:r>
      <w:r w:rsidR="008933C7">
        <w:instrText xml:space="preserve"> REF _Ref19045240 \h </w:instrText>
      </w:r>
      <w:r w:rsidR="008933C7">
        <w:fldChar w:fldCharType="separate"/>
      </w:r>
      <w:r w:rsidR="0089680D" w:rsidRPr="00DD6692">
        <w:t xml:space="preserve">Table </w:t>
      </w:r>
      <w:r w:rsidR="0089680D">
        <w:rPr>
          <w:noProof/>
        </w:rPr>
        <w:t>5</w:t>
      </w:r>
      <w:r w:rsidR="008933C7">
        <w:fldChar w:fldCharType="end"/>
      </w:r>
      <w:r w:rsidR="008933C7">
        <w:t>)</w:t>
      </w:r>
      <w:r w:rsidR="009544F7">
        <w:t>.</w:t>
      </w:r>
    </w:p>
    <w:p w14:paraId="4AAEB582" w14:textId="173FD199" w:rsidR="000C7183" w:rsidRPr="00DD6692" w:rsidRDefault="000C7183" w:rsidP="00920C59">
      <w:pPr>
        <w:pStyle w:val="Caption"/>
      </w:pPr>
      <w:bookmarkStart w:id="29" w:name="_Ref19045240"/>
      <w:r w:rsidRPr="00DD6692">
        <w:t xml:space="preserve">Table </w:t>
      </w:r>
      <w:fldSimple w:instr=" SEQ Table \* ARABIC ">
        <w:r w:rsidR="0089680D">
          <w:rPr>
            <w:noProof/>
          </w:rPr>
          <w:t>5</w:t>
        </w:r>
      </w:fldSimple>
      <w:bookmarkEnd w:id="29"/>
      <w:r w:rsidRPr="00DD6692">
        <w:t xml:space="preserve">: Impact of </w:t>
      </w:r>
      <w:r w:rsidR="004A7D18">
        <w:t xml:space="preserve">Corporate </w:t>
      </w:r>
      <w:r w:rsidR="006A50F1" w:rsidRPr="00DD6692">
        <w:t>O</w:t>
      </w:r>
      <w:r w:rsidRPr="00DD6692">
        <w:t xml:space="preserve">verheads </w:t>
      </w:r>
      <w:r w:rsidR="006A50F1" w:rsidRPr="00DD6692">
        <w:t>on the Cost per Billable Hour of a DSW</w:t>
      </w:r>
    </w:p>
    <w:tbl>
      <w:tblPr>
        <w:tblStyle w:val="GridTable4-Accent4"/>
        <w:tblW w:w="5000" w:type="pct"/>
        <w:tblLook w:val="0420" w:firstRow="1" w:lastRow="0" w:firstColumn="0" w:lastColumn="0" w:noHBand="0" w:noVBand="1"/>
        <w:tblCaption w:val="Table 8: Impact of Overheads on the Cost per Billable Hour of a DSW "/>
      </w:tblPr>
      <w:tblGrid>
        <w:gridCol w:w="4508"/>
        <w:gridCol w:w="1127"/>
        <w:gridCol w:w="1127"/>
        <w:gridCol w:w="1127"/>
        <w:gridCol w:w="1127"/>
      </w:tblGrid>
      <w:tr w:rsidR="00716C16" w:rsidRPr="00DD6692" w14:paraId="727D17D7"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2B76243B" w14:textId="77777777" w:rsidR="00716C16" w:rsidRPr="00DD6692" w:rsidRDefault="00716C16" w:rsidP="00733273">
            <w:pPr>
              <w:spacing w:before="40" w:after="40" w:line="240" w:lineRule="atLeast"/>
              <w:rPr>
                <w:rFonts w:cstheme="minorHAnsi"/>
                <w:sz w:val="18"/>
                <w:szCs w:val="18"/>
              </w:rPr>
            </w:pPr>
          </w:p>
        </w:tc>
        <w:tc>
          <w:tcPr>
            <w:tcW w:w="625" w:type="pct"/>
            <w:vAlign w:val="center"/>
            <w:hideMark/>
          </w:tcPr>
          <w:p w14:paraId="6E58A367" w14:textId="77777777" w:rsidR="00716C16" w:rsidRPr="00DD6692" w:rsidRDefault="003D60DD" w:rsidP="00B9299A">
            <w:pPr>
              <w:spacing w:before="40" w:after="40" w:line="240" w:lineRule="atLeast"/>
              <w:jc w:val="center"/>
              <w:rPr>
                <w:rFonts w:cstheme="minorHAnsi"/>
                <w:sz w:val="18"/>
                <w:szCs w:val="18"/>
              </w:rPr>
            </w:pPr>
            <w:r>
              <w:rPr>
                <w:rFonts w:cstheme="minorHAnsi"/>
                <w:sz w:val="18"/>
                <w:szCs w:val="18"/>
              </w:rPr>
              <w:t>DSW 1</w:t>
            </w:r>
          </w:p>
        </w:tc>
        <w:tc>
          <w:tcPr>
            <w:tcW w:w="625" w:type="pct"/>
            <w:vAlign w:val="center"/>
          </w:tcPr>
          <w:p w14:paraId="59819A8E" w14:textId="77777777" w:rsidR="00716C16" w:rsidRPr="00DD6692" w:rsidRDefault="003D60DD" w:rsidP="00B9299A">
            <w:pPr>
              <w:spacing w:before="40" w:after="40" w:line="240" w:lineRule="atLeast"/>
              <w:jc w:val="center"/>
              <w:rPr>
                <w:rFonts w:cstheme="minorHAnsi"/>
                <w:b w:val="0"/>
                <w:bCs w:val="0"/>
                <w:sz w:val="18"/>
                <w:szCs w:val="18"/>
                <w:lang w:eastAsia="en-AU"/>
              </w:rPr>
            </w:pPr>
            <w:r>
              <w:rPr>
                <w:rFonts w:cstheme="minorHAnsi"/>
                <w:sz w:val="18"/>
                <w:szCs w:val="18"/>
              </w:rPr>
              <w:t>DSW 2</w:t>
            </w:r>
          </w:p>
        </w:tc>
        <w:tc>
          <w:tcPr>
            <w:tcW w:w="625" w:type="pct"/>
            <w:vAlign w:val="center"/>
          </w:tcPr>
          <w:p w14:paraId="5C132867" w14:textId="77777777" w:rsidR="00716C16" w:rsidRPr="00DD6692" w:rsidRDefault="003D60DD" w:rsidP="00B9299A">
            <w:pPr>
              <w:spacing w:before="40" w:after="40" w:line="240" w:lineRule="atLeast"/>
              <w:jc w:val="center"/>
              <w:rPr>
                <w:rFonts w:cstheme="minorHAnsi"/>
                <w:sz w:val="18"/>
                <w:szCs w:val="18"/>
              </w:rPr>
            </w:pPr>
            <w:r>
              <w:rPr>
                <w:rFonts w:cstheme="minorHAnsi"/>
                <w:sz w:val="18"/>
                <w:szCs w:val="18"/>
              </w:rPr>
              <w:t>DSW 3</w:t>
            </w:r>
          </w:p>
        </w:tc>
        <w:tc>
          <w:tcPr>
            <w:tcW w:w="625" w:type="pct"/>
            <w:vAlign w:val="center"/>
          </w:tcPr>
          <w:p w14:paraId="6601EA0E" w14:textId="77777777" w:rsidR="00716C16" w:rsidRPr="00DD6692" w:rsidRDefault="003D60DD" w:rsidP="00B9299A">
            <w:pPr>
              <w:spacing w:before="40" w:after="40" w:line="240" w:lineRule="atLeast"/>
              <w:jc w:val="center"/>
              <w:rPr>
                <w:rFonts w:cstheme="minorHAnsi"/>
                <w:sz w:val="18"/>
                <w:szCs w:val="18"/>
              </w:rPr>
            </w:pPr>
            <w:r>
              <w:rPr>
                <w:rFonts w:cstheme="minorHAnsi"/>
                <w:sz w:val="18"/>
                <w:szCs w:val="18"/>
              </w:rPr>
              <w:t>DSW 4</w:t>
            </w:r>
          </w:p>
        </w:tc>
      </w:tr>
      <w:tr w:rsidR="00012B87" w:rsidRPr="00DD6692" w14:paraId="07EE4B5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44087D81" w14:textId="77777777" w:rsidR="00012B87" w:rsidRPr="00B9299A" w:rsidRDefault="00920C59" w:rsidP="00920C59">
            <w:pPr>
              <w:spacing w:before="40" w:after="40" w:line="240" w:lineRule="atLeast"/>
              <w:rPr>
                <w:rFonts w:cstheme="minorHAnsi"/>
                <w:sz w:val="18"/>
                <w:szCs w:val="18"/>
              </w:rPr>
            </w:pPr>
            <w:r>
              <w:rPr>
                <w:rFonts w:cstheme="minorHAnsi"/>
                <w:sz w:val="18"/>
                <w:szCs w:val="18"/>
              </w:rPr>
              <w:t>Cumulative cost/</w:t>
            </w:r>
            <w:r w:rsidR="00012B87" w:rsidRPr="00B9299A">
              <w:rPr>
                <w:rFonts w:cstheme="minorHAnsi"/>
                <w:sz w:val="18"/>
                <w:szCs w:val="18"/>
              </w:rPr>
              <w:t>hour, b</w:t>
            </w:r>
            <w:r>
              <w:rPr>
                <w:rFonts w:cstheme="minorHAnsi"/>
                <w:sz w:val="18"/>
                <w:szCs w:val="18"/>
              </w:rPr>
              <w:t>efore Corporate O</w:t>
            </w:r>
            <w:r w:rsidR="00012B87" w:rsidRPr="00B9299A">
              <w:rPr>
                <w:rFonts w:cstheme="minorHAnsi"/>
                <w:sz w:val="18"/>
                <w:szCs w:val="18"/>
              </w:rPr>
              <w:t>verheads</w:t>
            </w:r>
          </w:p>
        </w:tc>
        <w:tc>
          <w:tcPr>
            <w:tcW w:w="625" w:type="pct"/>
            <w:noWrap/>
            <w:vAlign w:val="center"/>
            <w:hideMark/>
          </w:tcPr>
          <w:p w14:paraId="14C39502"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$53.35</w:t>
            </w:r>
          </w:p>
        </w:tc>
        <w:tc>
          <w:tcPr>
            <w:tcW w:w="625" w:type="pct"/>
            <w:vAlign w:val="center"/>
          </w:tcPr>
          <w:p w14:paraId="2E382AB8"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$57.74</w:t>
            </w:r>
          </w:p>
        </w:tc>
        <w:tc>
          <w:tcPr>
            <w:tcW w:w="625" w:type="pct"/>
            <w:vAlign w:val="center"/>
          </w:tcPr>
          <w:p w14:paraId="3BCBA923"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$60.82</w:t>
            </w:r>
          </w:p>
        </w:tc>
        <w:tc>
          <w:tcPr>
            <w:tcW w:w="625" w:type="pct"/>
            <w:vAlign w:val="center"/>
          </w:tcPr>
          <w:p w14:paraId="0F248AD2"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$80.11</w:t>
            </w:r>
          </w:p>
        </w:tc>
      </w:tr>
      <w:tr w:rsidR="00012B87" w:rsidRPr="00DD6692" w14:paraId="4583DB72" w14:textId="77777777" w:rsidTr="00B9299A">
        <w:trPr>
          <w:trHeight w:val="300"/>
        </w:trPr>
        <w:tc>
          <w:tcPr>
            <w:tcW w:w="2500" w:type="pct"/>
            <w:vAlign w:val="center"/>
          </w:tcPr>
          <w:p w14:paraId="5BCE2E03" w14:textId="77777777" w:rsidR="00012B87" w:rsidRPr="00B9299A" w:rsidRDefault="00920C59" w:rsidP="00B9299A">
            <w:pPr>
              <w:spacing w:before="40" w:after="40" w:line="240" w:lineRule="atLeast"/>
              <w:ind w:left="311"/>
              <w:rPr>
                <w:rFonts w:cstheme="minorHAnsi"/>
                <w:sz w:val="18"/>
                <w:szCs w:val="18"/>
              </w:rPr>
            </w:pPr>
            <w:r>
              <w:rPr>
                <w:rFonts w:cstheme="minorHAnsi"/>
                <w:sz w:val="18"/>
                <w:szCs w:val="18"/>
              </w:rPr>
              <w:t>Corporate Overheads</w:t>
            </w:r>
            <w:r w:rsidR="00012B87" w:rsidRPr="00B9299A">
              <w:rPr>
                <w:rFonts w:cstheme="minorHAnsi"/>
                <w:sz w:val="18"/>
                <w:szCs w:val="18"/>
              </w:rPr>
              <w:t xml:space="preserve"> (%)</w:t>
            </w:r>
          </w:p>
        </w:tc>
        <w:tc>
          <w:tcPr>
            <w:tcW w:w="625" w:type="pct"/>
            <w:noWrap/>
            <w:vAlign w:val="center"/>
          </w:tcPr>
          <w:p w14:paraId="0FC81344"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12.00%</w:t>
            </w:r>
          </w:p>
        </w:tc>
        <w:tc>
          <w:tcPr>
            <w:tcW w:w="625" w:type="pct"/>
            <w:vAlign w:val="center"/>
          </w:tcPr>
          <w:p w14:paraId="0997D9F2"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12.00%</w:t>
            </w:r>
          </w:p>
        </w:tc>
        <w:tc>
          <w:tcPr>
            <w:tcW w:w="625" w:type="pct"/>
            <w:vAlign w:val="center"/>
          </w:tcPr>
          <w:p w14:paraId="2190BBE8"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12.00%</w:t>
            </w:r>
          </w:p>
        </w:tc>
        <w:tc>
          <w:tcPr>
            <w:tcW w:w="625" w:type="pct"/>
            <w:vAlign w:val="center"/>
          </w:tcPr>
          <w:p w14:paraId="48858674"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12.00%</w:t>
            </w:r>
          </w:p>
        </w:tc>
      </w:tr>
      <w:tr w:rsidR="00012B87" w:rsidRPr="00DD6692" w14:paraId="74CA83FE"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6E866CF1" w14:textId="77777777" w:rsidR="00012B87" w:rsidRPr="00B9299A" w:rsidRDefault="00920C59" w:rsidP="00B9299A">
            <w:pPr>
              <w:spacing w:before="40" w:after="40" w:line="240" w:lineRule="atLeast"/>
              <w:ind w:left="311"/>
              <w:rPr>
                <w:rFonts w:cstheme="minorHAnsi"/>
                <w:b/>
                <w:sz w:val="18"/>
                <w:szCs w:val="18"/>
              </w:rPr>
            </w:pPr>
            <w:r>
              <w:rPr>
                <w:rFonts w:cstheme="minorHAnsi"/>
                <w:b/>
                <w:sz w:val="18"/>
                <w:szCs w:val="18"/>
              </w:rPr>
              <w:t>Corporate Overheads</w:t>
            </w:r>
            <w:r w:rsidR="00012B87" w:rsidRPr="00B9299A">
              <w:rPr>
                <w:rFonts w:cstheme="minorHAnsi"/>
                <w:b/>
                <w:sz w:val="18"/>
                <w:szCs w:val="18"/>
              </w:rPr>
              <w:t xml:space="preserve"> ($)</w:t>
            </w:r>
          </w:p>
        </w:tc>
        <w:tc>
          <w:tcPr>
            <w:tcW w:w="625" w:type="pct"/>
            <w:noWrap/>
            <w:vAlign w:val="center"/>
          </w:tcPr>
          <w:p w14:paraId="360E5329" w14:textId="77777777" w:rsidR="00012B87" w:rsidRPr="00B9299A" w:rsidRDefault="00012B87" w:rsidP="00B9299A">
            <w:pPr>
              <w:spacing w:before="40" w:after="40" w:line="240" w:lineRule="atLeast"/>
              <w:jc w:val="center"/>
              <w:rPr>
                <w:rFonts w:cstheme="minorHAnsi"/>
                <w:b/>
                <w:sz w:val="18"/>
                <w:szCs w:val="18"/>
              </w:rPr>
            </w:pPr>
            <w:r w:rsidRPr="00B9299A">
              <w:rPr>
                <w:b/>
                <w:sz w:val="18"/>
                <w:szCs w:val="18"/>
              </w:rPr>
              <w:t>$6.40</w:t>
            </w:r>
          </w:p>
        </w:tc>
        <w:tc>
          <w:tcPr>
            <w:tcW w:w="625" w:type="pct"/>
            <w:vAlign w:val="center"/>
          </w:tcPr>
          <w:p w14:paraId="5E991E3D" w14:textId="77777777" w:rsidR="00012B87" w:rsidRPr="00B9299A" w:rsidRDefault="00012B87" w:rsidP="00B9299A">
            <w:pPr>
              <w:spacing w:before="40" w:after="40" w:line="240" w:lineRule="atLeast"/>
              <w:jc w:val="center"/>
              <w:rPr>
                <w:rFonts w:cstheme="minorHAnsi"/>
                <w:b/>
                <w:sz w:val="18"/>
                <w:szCs w:val="18"/>
              </w:rPr>
            </w:pPr>
            <w:r w:rsidRPr="00B9299A">
              <w:rPr>
                <w:b/>
                <w:sz w:val="18"/>
                <w:szCs w:val="18"/>
              </w:rPr>
              <w:t>$6.93</w:t>
            </w:r>
          </w:p>
        </w:tc>
        <w:tc>
          <w:tcPr>
            <w:tcW w:w="625" w:type="pct"/>
            <w:vAlign w:val="center"/>
          </w:tcPr>
          <w:p w14:paraId="3329FBE7" w14:textId="77777777" w:rsidR="00012B87" w:rsidRPr="00B9299A" w:rsidRDefault="00012B87" w:rsidP="00B9299A">
            <w:pPr>
              <w:spacing w:before="40" w:after="40" w:line="240" w:lineRule="atLeast"/>
              <w:jc w:val="center"/>
              <w:rPr>
                <w:rFonts w:cstheme="minorHAnsi"/>
                <w:b/>
                <w:sz w:val="18"/>
                <w:szCs w:val="18"/>
              </w:rPr>
            </w:pPr>
            <w:r w:rsidRPr="00B9299A">
              <w:rPr>
                <w:b/>
                <w:sz w:val="18"/>
                <w:szCs w:val="18"/>
              </w:rPr>
              <w:t>$7.30</w:t>
            </w:r>
          </w:p>
        </w:tc>
        <w:tc>
          <w:tcPr>
            <w:tcW w:w="625" w:type="pct"/>
            <w:vAlign w:val="center"/>
          </w:tcPr>
          <w:p w14:paraId="6CB19C6A" w14:textId="77777777" w:rsidR="00012B87" w:rsidRPr="00B9299A" w:rsidRDefault="00012B87" w:rsidP="00B9299A">
            <w:pPr>
              <w:spacing w:before="40" w:after="40" w:line="240" w:lineRule="atLeast"/>
              <w:jc w:val="center"/>
              <w:rPr>
                <w:rFonts w:cstheme="minorHAnsi"/>
                <w:b/>
                <w:sz w:val="18"/>
                <w:szCs w:val="18"/>
              </w:rPr>
            </w:pPr>
            <w:r w:rsidRPr="00B9299A">
              <w:rPr>
                <w:b/>
                <w:sz w:val="18"/>
                <w:szCs w:val="18"/>
              </w:rPr>
              <w:t>$9.61</w:t>
            </w:r>
          </w:p>
        </w:tc>
      </w:tr>
      <w:tr w:rsidR="00012B87" w:rsidRPr="00DD6692" w14:paraId="1D98D1AD" w14:textId="77777777" w:rsidTr="00B9299A">
        <w:trPr>
          <w:trHeight w:val="300"/>
        </w:trPr>
        <w:tc>
          <w:tcPr>
            <w:tcW w:w="2500" w:type="pct"/>
            <w:vAlign w:val="center"/>
          </w:tcPr>
          <w:p w14:paraId="1836A049" w14:textId="77777777" w:rsidR="00012B87" w:rsidRPr="00B9299A" w:rsidRDefault="00920C59" w:rsidP="00920C59">
            <w:pPr>
              <w:spacing w:before="40" w:after="40" w:line="240" w:lineRule="atLeast"/>
              <w:rPr>
                <w:rFonts w:cstheme="minorHAnsi"/>
                <w:sz w:val="18"/>
                <w:szCs w:val="18"/>
              </w:rPr>
            </w:pPr>
            <w:r>
              <w:rPr>
                <w:rFonts w:cstheme="minorHAnsi"/>
                <w:sz w:val="18"/>
                <w:szCs w:val="18"/>
              </w:rPr>
              <w:t>Cumulative cost/hour, after Corporate O</w:t>
            </w:r>
            <w:r w:rsidR="00012B87" w:rsidRPr="00B9299A">
              <w:rPr>
                <w:rFonts w:cstheme="minorHAnsi"/>
                <w:sz w:val="18"/>
                <w:szCs w:val="18"/>
              </w:rPr>
              <w:t>verheads</w:t>
            </w:r>
          </w:p>
        </w:tc>
        <w:tc>
          <w:tcPr>
            <w:tcW w:w="625" w:type="pct"/>
            <w:noWrap/>
            <w:vAlign w:val="center"/>
          </w:tcPr>
          <w:p w14:paraId="02AFD17D"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$59.75</w:t>
            </w:r>
          </w:p>
        </w:tc>
        <w:tc>
          <w:tcPr>
            <w:tcW w:w="625" w:type="pct"/>
            <w:vAlign w:val="center"/>
          </w:tcPr>
          <w:p w14:paraId="2E044808"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$64.67</w:t>
            </w:r>
          </w:p>
        </w:tc>
        <w:tc>
          <w:tcPr>
            <w:tcW w:w="625" w:type="pct"/>
            <w:vAlign w:val="center"/>
          </w:tcPr>
          <w:p w14:paraId="754C2768"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$68.12</w:t>
            </w:r>
          </w:p>
        </w:tc>
        <w:tc>
          <w:tcPr>
            <w:tcW w:w="625" w:type="pct"/>
            <w:vAlign w:val="center"/>
          </w:tcPr>
          <w:p w14:paraId="0590C316"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$89.72</w:t>
            </w:r>
          </w:p>
        </w:tc>
      </w:tr>
      <w:tr w:rsidR="00012B87" w:rsidRPr="00DD6692" w14:paraId="0529703C"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0AB0938C" w14:textId="77777777" w:rsidR="00012B87" w:rsidRPr="00B9299A" w:rsidRDefault="00012B87" w:rsidP="00B9299A">
            <w:pPr>
              <w:spacing w:before="40" w:after="40" w:line="240" w:lineRule="atLeast"/>
              <w:ind w:left="284" w:hanging="284"/>
              <w:rPr>
                <w:rFonts w:cstheme="minorHAnsi"/>
                <w:sz w:val="18"/>
                <w:szCs w:val="18"/>
              </w:rPr>
            </w:pPr>
            <w:r w:rsidRPr="00B9299A">
              <w:rPr>
                <w:rFonts w:cstheme="minorHAnsi"/>
                <w:sz w:val="18"/>
                <w:szCs w:val="18"/>
              </w:rPr>
              <w:t>Cumulative increase from standard hourly rate</w:t>
            </w:r>
            <w:r w:rsidRPr="00B9299A" w:rsidDel="00BD60BD">
              <w:rPr>
                <w:rFonts w:cstheme="minorHAnsi"/>
                <w:sz w:val="18"/>
                <w:szCs w:val="18"/>
              </w:rPr>
              <w:t xml:space="preserve"> </w:t>
            </w:r>
          </w:p>
        </w:tc>
        <w:tc>
          <w:tcPr>
            <w:tcW w:w="625" w:type="pct"/>
            <w:noWrap/>
            <w:vAlign w:val="center"/>
          </w:tcPr>
          <w:p w14:paraId="33191017"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84.7%</w:t>
            </w:r>
          </w:p>
        </w:tc>
        <w:tc>
          <w:tcPr>
            <w:tcW w:w="625" w:type="pct"/>
            <w:vAlign w:val="center"/>
          </w:tcPr>
          <w:p w14:paraId="638B1EF7"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92.2%</w:t>
            </w:r>
          </w:p>
        </w:tc>
        <w:tc>
          <w:tcPr>
            <w:tcW w:w="625" w:type="pct"/>
            <w:vAlign w:val="center"/>
          </w:tcPr>
          <w:p w14:paraId="6B2FD70C"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94.5%</w:t>
            </w:r>
          </w:p>
        </w:tc>
        <w:tc>
          <w:tcPr>
            <w:tcW w:w="625" w:type="pct"/>
            <w:vAlign w:val="center"/>
          </w:tcPr>
          <w:p w14:paraId="2559E817" w14:textId="77777777" w:rsidR="00012B87" w:rsidRPr="00B9299A" w:rsidRDefault="00012B87" w:rsidP="00B9299A">
            <w:pPr>
              <w:spacing w:before="40" w:after="40" w:line="240" w:lineRule="atLeast"/>
              <w:jc w:val="center"/>
              <w:rPr>
                <w:rFonts w:cstheme="minorHAnsi"/>
                <w:sz w:val="18"/>
                <w:szCs w:val="18"/>
              </w:rPr>
            </w:pPr>
            <w:r w:rsidRPr="00B9299A">
              <w:rPr>
                <w:sz w:val="18"/>
                <w:szCs w:val="18"/>
              </w:rPr>
              <w:t>112.4%</w:t>
            </w:r>
          </w:p>
        </w:tc>
      </w:tr>
    </w:tbl>
    <w:p w14:paraId="21C351EA" w14:textId="77777777" w:rsidR="00840413" w:rsidRPr="00DD6692" w:rsidRDefault="00BA539B" w:rsidP="00920C59">
      <w:pPr>
        <w:pStyle w:val="Heading2"/>
      </w:pPr>
      <w:bookmarkStart w:id="30" w:name="_Ref90498726"/>
      <w:bookmarkStart w:id="31" w:name="_Toc106464078"/>
      <w:r w:rsidRPr="00DD6692">
        <w:t>Margin</w:t>
      </w:r>
      <w:bookmarkEnd w:id="30"/>
      <w:bookmarkEnd w:id="31"/>
    </w:p>
    <w:p w14:paraId="5D2A469D" w14:textId="56BD16D8" w:rsidR="00496D32" w:rsidRPr="00DD6692" w:rsidRDefault="00373C5D" w:rsidP="00B227D9">
      <w:r w:rsidRPr="00DD6692">
        <w:t xml:space="preserve">The </w:t>
      </w:r>
      <w:r w:rsidR="00E27A53" w:rsidRPr="00DD6692">
        <w:t>Cost Model</w:t>
      </w:r>
      <w:r w:rsidRPr="00DD6692">
        <w:t xml:space="preserve"> assumes a 2% </w:t>
      </w:r>
      <w:r w:rsidR="00E41E33" w:rsidRPr="00DD6692">
        <w:t xml:space="preserve">margin on </w:t>
      </w:r>
      <w:r w:rsidR="00193342">
        <w:t>all</w:t>
      </w:r>
      <w:r w:rsidR="00E41E33" w:rsidRPr="00DD6692">
        <w:t xml:space="preserve"> costs. This equates to </w:t>
      </w:r>
      <w:r w:rsidRPr="00DD6692">
        <w:t xml:space="preserve">a rate of return of 8% against </w:t>
      </w:r>
      <w:r w:rsidR="00E41E33" w:rsidRPr="00DD6692">
        <w:t>working capital</w:t>
      </w:r>
      <w:r w:rsidR="00920C59">
        <w:t xml:space="preserve"> that is </w:t>
      </w:r>
      <w:r w:rsidR="00E41E33" w:rsidRPr="00DD6692">
        <w:t>equivalent to three month’s</w:t>
      </w:r>
      <w:r w:rsidRPr="00DD6692">
        <w:t xml:space="preserve"> wages</w:t>
      </w:r>
      <w:r w:rsidR="00E41E33" w:rsidRPr="00DD6692">
        <w:t xml:space="preserve"> and entitlements</w:t>
      </w:r>
      <w:r w:rsidR="00BD60BD">
        <w:t xml:space="preserve"> (</w:t>
      </w:r>
      <w:r w:rsidR="00BD60BD">
        <w:fldChar w:fldCharType="begin"/>
      </w:r>
      <w:r w:rsidR="00BD60BD">
        <w:instrText xml:space="preserve"> REF _Ref19047348 \h </w:instrText>
      </w:r>
      <w:r w:rsidR="00BD60BD">
        <w:fldChar w:fldCharType="separate"/>
      </w:r>
      <w:r w:rsidR="0089680D" w:rsidRPr="00DD6692">
        <w:t xml:space="preserve">Table </w:t>
      </w:r>
      <w:r w:rsidR="0089680D">
        <w:rPr>
          <w:noProof/>
        </w:rPr>
        <w:t>6</w:t>
      </w:r>
      <w:r w:rsidR="00BD60BD">
        <w:fldChar w:fldCharType="end"/>
      </w:r>
      <w:r w:rsidR="00BD60BD">
        <w:t>)</w:t>
      </w:r>
      <w:r w:rsidRPr="00DD6692">
        <w:t>.</w:t>
      </w:r>
      <w:r w:rsidR="009C5501" w:rsidRPr="00DD6692">
        <w:t xml:space="preserve"> </w:t>
      </w:r>
    </w:p>
    <w:p w14:paraId="39E3CF40" w14:textId="7C4479B8" w:rsidR="00B658AF" w:rsidRPr="00DD6692" w:rsidRDefault="000C7183" w:rsidP="00920C59">
      <w:pPr>
        <w:pStyle w:val="Caption"/>
      </w:pPr>
      <w:bookmarkStart w:id="32" w:name="_Ref19047348"/>
      <w:r w:rsidRPr="00DD6692">
        <w:t xml:space="preserve">Table </w:t>
      </w:r>
      <w:fldSimple w:instr=" SEQ Table \* ARABIC ">
        <w:r w:rsidR="0089680D">
          <w:rPr>
            <w:noProof/>
          </w:rPr>
          <w:t>6</w:t>
        </w:r>
      </w:fldSimple>
      <w:bookmarkEnd w:id="32"/>
      <w:r w:rsidRPr="00DD6692">
        <w:t xml:space="preserve">: </w:t>
      </w:r>
      <w:r w:rsidR="00B658AF" w:rsidRPr="00DD6692">
        <w:t>Impact of M</w:t>
      </w:r>
      <w:r w:rsidRPr="00DD6692">
        <w:t xml:space="preserve">argins </w:t>
      </w:r>
      <w:r w:rsidR="00B658AF" w:rsidRPr="00DD6692">
        <w:t>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4508"/>
        <w:gridCol w:w="1127"/>
        <w:gridCol w:w="1127"/>
        <w:gridCol w:w="1127"/>
        <w:gridCol w:w="1127"/>
      </w:tblGrid>
      <w:tr w:rsidR="00716C16" w:rsidRPr="00DD6692" w14:paraId="53889D5F"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3929866" w14:textId="77777777" w:rsidR="00716C16" w:rsidRPr="00DD6692" w:rsidRDefault="00716C16" w:rsidP="00920C59">
            <w:pPr>
              <w:spacing w:before="40" w:after="40" w:line="240" w:lineRule="atLeast"/>
              <w:rPr>
                <w:rFonts w:cstheme="minorHAnsi"/>
                <w:sz w:val="18"/>
                <w:szCs w:val="18"/>
              </w:rPr>
            </w:pPr>
          </w:p>
        </w:tc>
        <w:tc>
          <w:tcPr>
            <w:tcW w:w="625" w:type="pct"/>
            <w:vAlign w:val="center"/>
            <w:hideMark/>
          </w:tcPr>
          <w:p w14:paraId="59ED6C33" w14:textId="77777777" w:rsidR="00716C16" w:rsidRPr="00DD6692" w:rsidRDefault="003D60DD" w:rsidP="00920C59">
            <w:pPr>
              <w:spacing w:before="40" w:after="40" w:line="240" w:lineRule="atLeast"/>
              <w:jc w:val="center"/>
              <w:rPr>
                <w:rFonts w:cstheme="minorHAnsi"/>
                <w:sz w:val="18"/>
                <w:szCs w:val="18"/>
              </w:rPr>
            </w:pPr>
            <w:r>
              <w:rPr>
                <w:rFonts w:cstheme="minorHAnsi"/>
                <w:sz w:val="18"/>
                <w:szCs w:val="18"/>
              </w:rPr>
              <w:t>DSW 1</w:t>
            </w:r>
          </w:p>
        </w:tc>
        <w:tc>
          <w:tcPr>
            <w:tcW w:w="625" w:type="pct"/>
            <w:vAlign w:val="center"/>
          </w:tcPr>
          <w:p w14:paraId="045CD725" w14:textId="77777777" w:rsidR="00716C16" w:rsidRPr="00DD6692" w:rsidRDefault="003D60DD" w:rsidP="00920C59">
            <w:pPr>
              <w:spacing w:before="40" w:after="40" w:line="240" w:lineRule="atLeast"/>
              <w:jc w:val="center"/>
              <w:rPr>
                <w:rFonts w:cstheme="minorHAnsi"/>
                <w:b w:val="0"/>
                <w:bCs w:val="0"/>
                <w:sz w:val="18"/>
                <w:szCs w:val="18"/>
                <w:lang w:eastAsia="en-AU"/>
              </w:rPr>
            </w:pPr>
            <w:r>
              <w:rPr>
                <w:rFonts w:cstheme="minorHAnsi"/>
                <w:sz w:val="18"/>
                <w:szCs w:val="18"/>
              </w:rPr>
              <w:t>DSW 2</w:t>
            </w:r>
          </w:p>
        </w:tc>
        <w:tc>
          <w:tcPr>
            <w:tcW w:w="625" w:type="pct"/>
            <w:vAlign w:val="center"/>
          </w:tcPr>
          <w:p w14:paraId="78B64828" w14:textId="77777777" w:rsidR="00716C16" w:rsidRPr="00DD6692" w:rsidRDefault="003D60DD" w:rsidP="00920C59">
            <w:pPr>
              <w:spacing w:before="40" w:after="40" w:line="240" w:lineRule="atLeast"/>
              <w:jc w:val="center"/>
              <w:rPr>
                <w:rFonts w:cstheme="minorHAnsi"/>
                <w:sz w:val="18"/>
                <w:szCs w:val="18"/>
              </w:rPr>
            </w:pPr>
            <w:r>
              <w:rPr>
                <w:rFonts w:cstheme="minorHAnsi"/>
                <w:sz w:val="18"/>
                <w:szCs w:val="18"/>
              </w:rPr>
              <w:t>DSW 3</w:t>
            </w:r>
          </w:p>
        </w:tc>
        <w:tc>
          <w:tcPr>
            <w:tcW w:w="625" w:type="pct"/>
            <w:vAlign w:val="center"/>
          </w:tcPr>
          <w:p w14:paraId="03FB1CB2" w14:textId="77777777" w:rsidR="00716C16" w:rsidRPr="00DD6692" w:rsidRDefault="003D60DD" w:rsidP="00920C59">
            <w:pPr>
              <w:spacing w:before="40" w:after="40" w:line="240" w:lineRule="atLeast"/>
              <w:jc w:val="center"/>
              <w:rPr>
                <w:rFonts w:cstheme="minorHAnsi"/>
                <w:sz w:val="18"/>
                <w:szCs w:val="18"/>
              </w:rPr>
            </w:pPr>
            <w:r>
              <w:rPr>
                <w:rFonts w:cstheme="minorHAnsi"/>
                <w:sz w:val="18"/>
                <w:szCs w:val="18"/>
              </w:rPr>
              <w:t>DSW 4</w:t>
            </w:r>
          </w:p>
        </w:tc>
      </w:tr>
      <w:tr w:rsidR="00012B87" w:rsidRPr="00DD6692" w14:paraId="595E9B49"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3B0A3501" w14:textId="77777777" w:rsidR="00012B87" w:rsidRPr="00B9299A" w:rsidRDefault="00920C59" w:rsidP="00920C59">
            <w:pPr>
              <w:spacing w:before="40" w:after="40" w:line="240" w:lineRule="atLeast"/>
              <w:rPr>
                <w:rFonts w:cstheme="minorHAnsi"/>
                <w:sz w:val="18"/>
                <w:szCs w:val="18"/>
              </w:rPr>
            </w:pPr>
            <w:r>
              <w:rPr>
                <w:rFonts w:cstheme="minorHAnsi"/>
                <w:sz w:val="18"/>
                <w:szCs w:val="18"/>
              </w:rPr>
              <w:t>Cumulative cost/ hour, before M</w:t>
            </w:r>
            <w:r w:rsidR="00012B87" w:rsidRPr="00B9299A">
              <w:rPr>
                <w:rFonts w:cstheme="minorHAnsi"/>
                <w:sz w:val="18"/>
                <w:szCs w:val="18"/>
              </w:rPr>
              <w:t>argin</w:t>
            </w:r>
          </w:p>
        </w:tc>
        <w:tc>
          <w:tcPr>
            <w:tcW w:w="625" w:type="pct"/>
            <w:noWrap/>
            <w:vAlign w:val="center"/>
          </w:tcPr>
          <w:p w14:paraId="11A04BFF"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$59.75</w:t>
            </w:r>
          </w:p>
        </w:tc>
        <w:tc>
          <w:tcPr>
            <w:tcW w:w="625" w:type="pct"/>
            <w:vAlign w:val="center"/>
          </w:tcPr>
          <w:p w14:paraId="4D9026F0"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$64.67</w:t>
            </w:r>
          </w:p>
        </w:tc>
        <w:tc>
          <w:tcPr>
            <w:tcW w:w="625" w:type="pct"/>
            <w:vAlign w:val="center"/>
          </w:tcPr>
          <w:p w14:paraId="2E32B2F5"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$68.12</w:t>
            </w:r>
          </w:p>
        </w:tc>
        <w:tc>
          <w:tcPr>
            <w:tcW w:w="625" w:type="pct"/>
            <w:vAlign w:val="center"/>
          </w:tcPr>
          <w:p w14:paraId="6A083ED0"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$89.72</w:t>
            </w:r>
          </w:p>
        </w:tc>
      </w:tr>
      <w:tr w:rsidR="00012B87" w:rsidRPr="00DD6692" w14:paraId="2504760D" w14:textId="77777777" w:rsidTr="00B9299A">
        <w:trPr>
          <w:trHeight w:val="300"/>
        </w:trPr>
        <w:tc>
          <w:tcPr>
            <w:tcW w:w="2500" w:type="pct"/>
            <w:vAlign w:val="center"/>
          </w:tcPr>
          <w:p w14:paraId="1D7824AD" w14:textId="77777777" w:rsidR="00012B87" w:rsidRPr="00B9299A" w:rsidRDefault="00012B87" w:rsidP="00920C59">
            <w:pPr>
              <w:spacing w:before="40" w:after="40" w:line="240" w:lineRule="atLeast"/>
              <w:ind w:left="311"/>
              <w:rPr>
                <w:rFonts w:cstheme="minorHAnsi"/>
                <w:sz w:val="18"/>
                <w:szCs w:val="18"/>
              </w:rPr>
            </w:pPr>
            <w:r w:rsidRPr="00B9299A">
              <w:rPr>
                <w:rFonts w:cstheme="minorHAnsi"/>
                <w:sz w:val="18"/>
                <w:szCs w:val="18"/>
              </w:rPr>
              <w:t>Margin (%)</w:t>
            </w:r>
          </w:p>
        </w:tc>
        <w:tc>
          <w:tcPr>
            <w:tcW w:w="625" w:type="pct"/>
            <w:noWrap/>
            <w:vAlign w:val="center"/>
          </w:tcPr>
          <w:p w14:paraId="2523BC91"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2.00%</w:t>
            </w:r>
          </w:p>
        </w:tc>
        <w:tc>
          <w:tcPr>
            <w:tcW w:w="625" w:type="pct"/>
            <w:vAlign w:val="center"/>
          </w:tcPr>
          <w:p w14:paraId="6705D799"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2.00%</w:t>
            </w:r>
          </w:p>
        </w:tc>
        <w:tc>
          <w:tcPr>
            <w:tcW w:w="625" w:type="pct"/>
            <w:vAlign w:val="center"/>
          </w:tcPr>
          <w:p w14:paraId="662CE903"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2.00%</w:t>
            </w:r>
          </w:p>
        </w:tc>
        <w:tc>
          <w:tcPr>
            <w:tcW w:w="625" w:type="pct"/>
            <w:vAlign w:val="center"/>
          </w:tcPr>
          <w:p w14:paraId="63F40F86"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2.00%</w:t>
            </w:r>
          </w:p>
        </w:tc>
      </w:tr>
      <w:tr w:rsidR="00012B87" w:rsidRPr="00DD6692" w14:paraId="3ACB488E"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731998E" w14:textId="77777777" w:rsidR="00012B87" w:rsidRPr="00B9299A" w:rsidRDefault="00920C59" w:rsidP="00920C59">
            <w:pPr>
              <w:spacing w:before="40" w:after="40" w:line="240" w:lineRule="atLeast"/>
              <w:ind w:left="311"/>
              <w:rPr>
                <w:rFonts w:cstheme="minorHAnsi"/>
                <w:b/>
                <w:sz w:val="18"/>
                <w:szCs w:val="18"/>
              </w:rPr>
            </w:pPr>
            <w:r>
              <w:rPr>
                <w:rFonts w:cstheme="minorHAnsi"/>
                <w:b/>
                <w:sz w:val="18"/>
                <w:szCs w:val="18"/>
              </w:rPr>
              <w:t>M</w:t>
            </w:r>
            <w:r w:rsidR="00012B87" w:rsidRPr="00B9299A">
              <w:rPr>
                <w:rFonts w:cstheme="minorHAnsi"/>
                <w:b/>
                <w:sz w:val="18"/>
                <w:szCs w:val="18"/>
              </w:rPr>
              <w:t>argin ($)</w:t>
            </w:r>
          </w:p>
        </w:tc>
        <w:tc>
          <w:tcPr>
            <w:tcW w:w="625" w:type="pct"/>
            <w:noWrap/>
            <w:vAlign w:val="center"/>
          </w:tcPr>
          <w:p w14:paraId="04DCA558" w14:textId="77777777" w:rsidR="00012B87" w:rsidRPr="00B9299A" w:rsidRDefault="00012B87" w:rsidP="00920C59">
            <w:pPr>
              <w:spacing w:before="40" w:after="40" w:line="240" w:lineRule="atLeast"/>
              <w:jc w:val="center"/>
              <w:rPr>
                <w:rFonts w:cstheme="minorHAnsi"/>
                <w:b/>
                <w:sz w:val="18"/>
                <w:szCs w:val="18"/>
              </w:rPr>
            </w:pPr>
            <w:r w:rsidRPr="00B9299A">
              <w:rPr>
                <w:b/>
                <w:sz w:val="18"/>
                <w:szCs w:val="18"/>
              </w:rPr>
              <w:t>$1.20</w:t>
            </w:r>
          </w:p>
        </w:tc>
        <w:tc>
          <w:tcPr>
            <w:tcW w:w="625" w:type="pct"/>
            <w:vAlign w:val="center"/>
          </w:tcPr>
          <w:p w14:paraId="1FBFE2C2" w14:textId="77777777" w:rsidR="00012B87" w:rsidRPr="00B9299A" w:rsidRDefault="00012B87" w:rsidP="00920C59">
            <w:pPr>
              <w:spacing w:before="40" w:after="40" w:line="240" w:lineRule="atLeast"/>
              <w:jc w:val="center"/>
              <w:rPr>
                <w:rFonts w:cstheme="minorHAnsi"/>
                <w:b/>
                <w:sz w:val="18"/>
                <w:szCs w:val="18"/>
              </w:rPr>
            </w:pPr>
            <w:r w:rsidRPr="00B9299A">
              <w:rPr>
                <w:b/>
                <w:sz w:val="18"/>
                <w:szCs w:val="18"/>
              </w:rPr>
              <w:t>$1.29</w:t>
            </w:r>
          </w:p>
        </w:tc>
        <w:tc>
          <w:tcPr>
            <w:tcW w:w="625" w:type="pct"/>
            <w:vAlign w:val="center"/>
          </w:tcPr>
          <w:p w14:paraId="1F6AF263" w14:textId="77777777" w:rsidR="00012B87" w:rsidRPr="00B9299A" w:rsidRDefault="00012B87" w:rsidP="00920C59">
            <w:pPr>
              <w:spacing w:before="40" w:after="40" w:line="240" w:lineRule="atLeast"/>
              <w:jc w:val="center"/>
              <w:rPr>
                <w:rFonts w:cstheme="minorHAnsi"/>
                <w:b/>
                <w:sz w:val="18"/>
                <w:szCs w:val="18"/>
              </w:rPr>
            </w:pPr>
            <w:r w:rsidRPr="00B9299A">
              <w:rPr>
                <w:b/>
                <w:sz w:val="18"/>
                <w:szCs w:val="18"/>
              </w:rPr>
              <w:t>$1.36</w:t>
            </w:r>
          </w:p>
        </w:tc>
        <w:tc>
          <w:tcPr>
            <w:tcW w:w="625" w:type="pct"/>
            <w:vAlign w:val="center"/>
          </w:tcPr>
          <w:p w14:paraId="64E1857F" w14:textId="77777777" w:rsidR="00012B87" w:rsidRPr="00B9299A" w:rsidRDefault="00012B87" w:rsidP="00920C59">
            <w:pPr>
              <w:spacing w:before="40" w:after="40" w:line="240" w:lineRule="atLeast"/>
              <w:jc w:val="center"/>
              <w:rPr>
                <w:rFonts w:cstheme="minorHAnsi"/>
                <w:b/>
                <w:sz w:val="18"/>
                <w:szCs w:val="18"/>
              </w:rPr>
            </w:pPr>
            <w:r w:rsidRPr="00B9299A">
              <w:rPr>
                <w:b/>
                <w:sz w:val="18"/>
                <w:szCs w:val="18"/>
              </w:rPr>
              <w:t>$1.79</w:t>
            </w:r>
          </w:p>
        </w:tc>
      </w:tr>
      <w:tr w:rsidR="00012B87" w:rsidRPr="00DD6692" w14:paraId="2E504F25" w14:textId="77777777" w:rsidTr="00B9299A">
        <w:trPr>
          <w:trHeight w:val="300"/>
        </w:trPr>
        <w:tc>
          <w:tcPr>
            <w:tcW w:w="2500" w:type="pct"/>
            <w:vAlign w:val="center"/>
          </w:tcPr>
          <w:p w14:paraId="23AB4D40" w14:textId="77777777" w:rsidR="00012B87" w:rsidRPr="00B9299A" w:rsidRDefault="00012B87" w:rsidP="00920C59">
            <w:pPr>
              <w:spacing w:before="40" w:after="40" w:line="240" w:lineRule="atLeast"/>
              <w:ind w:left="284" w:hanging="284"/>
              <w:rPr>
                <w:rFonts w:cstheme="minorHAnsi"/>
                <w:sz w:val="18"/>
                <w:szCs w:val="18"/>
              </w:rPr>
            </w:pPr>
            <w:r w:rsidRPr="00B9299A">
              <w:rPr>
                <w:rFonts w:cstheme="minorHAnsi"/>
                <w:sz w:val="18"/>
                <w:szCs w:val="18"/>
              </w:rPr>
              <w:t>C</w:t>
            </w:r>
            <w:r w:rsidR="00920C59">
              <w:rPr>
                <w:rFonts w:cstheme="minorHAnsi"/>
                <w:sz w:val="18"/>
                <w:szCs w:val="18"/>
              </w:rPr>
              <w:t>umulative cost/hour, after M</w:t>
            </w:r>
            <w:r w:rsidRPr="00B9299A">
              <w:rPr>
                <w:rFonts w:cstheme="minorHAnsi"/>
                <w:sz w:val="18"/>
                <w:szCs w:val="18"/>
              </w:rPr>
              <w:t>argin</w:t>
            </w:r>
            <w:r w:rsidRPr="00B9299A" w:rsidDel="00BD60BD">
              <w:rPr>
                <w:rFonts w:cstheme="minorHAnsi"/>
                <w:sz w:val="18"/>
                <w:szCs w:val="18"/>
              </w:rPr>
              <w:t xml:space="preserve"> </w:t>
            </w:r>
          </w:p>
        </w:tc>
        <w:tc>
          <w:tcPr>
            <w:tcW w:w="625" w:type="pct"/>
            <w:noWrap/>
            <w:vAlign w:val="center"/>
          </w:tcPr>
          <w:p w14:paraId="7DBF45AC"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$60.95</w:t>
            </w:r>
          </w:p>
        </w:tc>
        <w:tc>
          <w:tcPr>
            <w:tcW w:w="625" w:type="pct"/>
            <w:vAlign w:val="center"/>
          </w:tcPr>
          <w:p w14:paraId="2DE0C4E2"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$65.96</w:t>
            </w:r>
          </w:p>
        </w:tc>
        <w:tc>
          <w:tcPr>
            <w:tcW w:w="625" w:type="pct"/>
            <w:vAlign w:val="center"/>
          </w:tcPr>
          <w:p w14:paraId="22EDCD12"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$69.48</w:t>
            </w:r>
          </w:p>
        </w:tc>
        <w:tc>
          <w:tcPr>
            <w:tcW w:w="625" w:type="pct"/>
            <w:vAlign w:val="center"/>
          </w:tcPr>
          <w:p w14:paraId="17E10382"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$91.51</w:t>
            </w:r>
          </w:p>
        </w:tc>
      </w:tr>
      <w:tr w:rsidR="00012B87" w:rsidRPr="00DD6692" w14:paraId="25098A3C"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9F90BC4" w14:textId="77777777" w:rsidR="00012B87" w:rsidRPr="00B9299A" w:rsidRDefault="00012B87" w:rsidP="00920C59">
            <w:pPr>
              <w:spacing w:before="40" w:after="40" w:line="240" w:lineRule="atLeast"/>
              <w:rPr>
                <w:rFonts w:cstheme="minorHAnsi"/>
                <w:sz w:val="18"/>
                <w:szCs w:val="18"/>
              </w:rPr>
            </w:pPr>
            <w:bookmarkStart w:id="33" w:name="OLE_LINK6"/>
            <w:r w:rsidRPr="00B9299A">
              <w:rPr>
                <w:rFonts w:cstheme="minorHAnsi"/>
                <w:sz w:val="18"/>
                <w:szCs w:val="18"/>
              </w:rPr>
              <w:t>Cumulative increase from standard hourly rate</w:t>
            </w:r>
            <w:r w:rsidRPr="00B9299A" w:rsidDel="00BD60BD">
              <w:rPr>
                <w:rFonts w:cstheme="minorHAnsi"/>
                <w:sz w:val="18"/>
                <w:szCs w:val="18"/>
              </w:rPr>
              <w:t xml:space="preserve"> </w:t>
            </w:r>
            <w:bookmarkEnd w:id="33"/>
          </w:p>
        </w:tc>
        <w:tc>
          <w:tcPr>
            <w:tcW w:w="625" w:type="pct"/>
            <w:noWrap/>
            <w:vAlign w:val="center"/>
          </w:tcPr>
          <w:p w14:paraId="4245496D"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88.3%</w:t>
            </w:r>
          </w:p>
        </w:tc>
        <w:tc>
          <w:tcPr>
            <w:tcW w:w="625" w:type="pct"/>
            <w:vAlign w:val="center"/>
          </w:tcPr>
          <w:p w14:paraId="771EB1A9"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96.1%</w:t>
            </w:r>
          </w:p>
        </w:tc>
        <w:tc>
          <w:tcPr>
            <w:tcW w:w="625" w:type="pct"/>
            <w:vAlign w:val="center"/>
          </w:tcPr>
          <w:p w14:paraId="6F92A324"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98.4%</w:t>
            </w:r>
          </w:p>
        </w:tc>
        <w:tc>
          <w:tcPr>
            <w:tcW w:w="625" w:type="pct"/>
            <w:vAlign w:val="center"/>
          </w:tcPr>
          <w:p w14:paraId="67899AEE" w14:textId="77777777" w:rsidR="00012B87" w:rsidRPr="00B9299A" w:rsidRDefault="00012B87" w:rsidP="00920C59">
            <w:pPr>
              <w:spacing w:before="40" w:after="40" w:line="240" w:lineRule="atLeast"/>
              <w:jc w:val="center"/>
              <w:rPr>
                <w:rFonts w:cstheme="minorHAnsi"/>
                <w:sz w:val="18"/>
                <w:szCs w:val="18"/>
              </w:rPr>
            </w:pPr>
            <w:r w:rsidRPr="00B9299A">
              <w:rPr>
                <w:sz w:val="18"/>
                <w:szCs w:val="18"/>
              </w:rPr>
              <w:t>116.6%</w:t>
            </w:r>
          </w:p>
        </w:tc>
      </w:tr>
    </w:tbl>
    <w:p w14:paraId="7A08D73E" w14:textId="77777777" w:rsidR="00CE5C88" w:rsidRDefault="00CE5C88" w:rsidP="00920C59">
      <w:pPr>
        <w:pStyle w:val="Heading2"/>
      </w:pPr>
      <w:bookmarkStart w:id="34" w:name="_Toc106464079"/>
      <w:r>
        <w:lastRenderedPageBreak/>
        <w:t>Temporary Loading</w:t>
      </w:r>
      <w:bookmarkEnd w:id="34"/>
    </w:p>
    <w:p w14:paraId="40364F3F" w14:textId="1E3AAF01" w:rsidR="00CE5C88" w:rsidRDefault="00CE5C88" w:rsidP="00A91E01">
      <w:r>
        <w:t xml:space="preserve">The Cost Model applies a temporary loading of </w:t>
      </w:r>
      <w:r w:rsidR="00012B87">
        <w:t>2.0</w:t>
      </w:r>
      <w:r w:rsidR="00293845">
        <w:t>%</w:t>
      </w:r>
      <w:r w:rsidR="008933C7">
        <w:t xml:space="preserve"> (</w:t>
      </w:r>
      <w:r w:rsidR="008933C7">
        <w:fldChar w:fldCharType="begin"/>
      </w:r>
      <w:r w:rsidR="008933C7">
        <w:instrText xml:space="preserve"> REF _Ref106463502 \h </w:instrText>
      </w:r>
      <w:r w:rsidR="008933C7">
        <w:fldChar w:fldCharType="separate"/>
      </w:r>
      <w:r w:rsidR="0089680D" w:rsidRPr="00DD6692">
        <w:t xml:space="preserve">Table </w:t>
      </w:r>
      <w:r w:rsidR="0089680D">
        <w:rPr>
          <w:noProof/>
        </w:rPr>
        <w:t>7</w:t>
      </w:r>
      <w:r w:rsidR="008933C7">
        <w:fldChar w:fldCharType="end"/>
      </w:r>
      <w:r w:rsidR="008933C7">
        <w:t>)</w:t>
      </w:r>
      <w:r w:rsidR="00293845">
        <w:t>.</w:t>
      </w:r>
    </w:p>
    <w:p w14:paraId="7E8B091D" w14:textId="6F88E762" w:rsidR="00BA1651" w:rsidRPr="00DD6692" w:rsidRDefault="00BA1651" w:rsidP="00920C59">
      <w:pPr>
        <w:pStyle w:val="Caption"/>
      </w:pPr>
      <w:bookmarkStart w:id="35" w:name="_Ref106463502"/>
      <w:r w:rsidRPr="00DD6692">
        <w:t xml:space="preserve">Table </w:t>
      </w:r>
      <w:fldSimple w:instr=" SEQ Table \* ARABIC ">
        <w:r w:rsidR="0089680D">
          <w:rPr>
            <w:noProof/>
          </w:rPr>
          <w:t>7</w:t>
        </w:r>
      </w:fldSimple>
      <w:bookmarkEnd w:id="35"/>
      <w:r w:rsidRPr="00DD6692">
        <w:t xml:space="preserve">: Impact of </w:t>
      </w:r>
      <w:r>
        <w:t xml:space="preserve">Temporary </w:t>
      </w:r>
      <w:r w:rsidR="00012B87">
        <w:t>Loading</w:t>
      </w:r>
      <w:r w:rsidRPr="00DD6692">
        <w:t xml:space="preserve"> 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4508"/>
        <w:gridCol w:w="1127"/>
        <w:gridCol w:w="1127"/>
        <w:gridCol w:w="1127"/>
        <w:gridCol w:w="1127"/>
      </w:tblGrid>
      <w:tr w:rsidR="00BA1651" w:rsidRPr="00DD6692" w14:paraId="20C2B5A1"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vAlign w:val="center"/>
            <w:hideMark/>
          </w:tcPr>
          <w:p w14:paraId="36E98696" w14:textId="77777777" w:rsidR="00BA1651" w:rsidRPr="00DD6692" w:rsidRDefault="00BA1651" w:rsidP="00B9299A">
            <w:pPr>
              <w:keepNext/>
              <w:spacing w:before="40" w:after="40" w:line="240" w:lineRule="atLeast"/>
              <w:jc w:val="center"/>
              <w:rPr>
                <w:rFonts w:cstheme="minorHAnsi"/>
                <w:sz w:val="18"/>
                <w:szCs w:val="18"/>
              </w:rPr>
            </w:pPr>
          </w:p>
        </w:tc>
        <w:tc>
          <w:tcPr>
            <w:tcW w:w="625" w:type="pct"/>
            <w:vAlign w:val="center"/>
            <w:hideMark/>
          </w:tcPr>
          <w:p w14:paraId="37DCF572" w14:textId="77777777" w:rsidR="00BA1651" w:rsidRPr="00DD6692" w:rsidRDefault="00BA1651" w:rsidP="00B9299A">
            <w:pPr>
              <w:keepNext/>
              <w:spacing w:before="40" w:after="40" w:line="240" w:lineRule="atLeast"/>
              <w:jc w:val="center"/>
              <w:rPr>
                <w:rFonts w:cstheme="minorHAnsi"/>
                <w:sz w:val="18"/>
                <w:szCs w:val="18"/>
              </w:rPr>
            </w:pPr>
            <w:r>
              <w:rPr>
                <w:rFonts w:cstheme="minorHAnsi"/>
                <w:sz w:val="18"/>
                <w:szCs w:val="18"/>
              </w:rPr>
              <w:t>DSW 1</w:t>
            </w:r>
          </w:p>
        </w:tc>
        <w:tc>
          <w:tcPr>
            <w:tcW w:w="625" w:type="pct"/>
            <w:vAlign w:val="center"/>
          </w:tcPr>
          <w:p w14:paraId="32C0DECC" w14:textId="77777777" w:rsidR="00BA1651" w:rsidRPr="00DD6692" w:rsidRDefault="00BA1651" w:rsidP="00B9299A">
            <w:pPr>
              <w:keepNext/>
              <w:spacing w:before="40" w:after="40" w:line="240" w:lineRule="atLeast"/>
              <w:jc w:val="center"/>
              <w:rPr>
                <w:rFonts w:cstheme="minorHAnsi"/>
                <w:b w:val="0"/>
                <w:bCs w:val="0"/>
                <w:sz w:val="18"/>
                <w:szCs w:val="18"/>
                <w:lang w:eastAsia="en-AU"/>
              </w:rPr>
            </w:pPr>
            <w:r>
              <w:rPr>
                <w:rFonts w:cstheme="minorHAnsi"/>
                <w:sz w:val="18"/>
                <w:szCs w:val="18"/>
              </w:rPr>
              <w:t>DSW 2</w:t>
            </w:r>
          </w:p>
        </w:tc>
        <w:tc>
          <w:tcPr>
            <w:tcW w:w="625" w:type="pct"/>
            <w:vAlign w:val="center"/>
          </w:tcPr>
          <w:p w14:paraId="2C2FFD6B" w14:textId="77777777" w:rsidR="00BA1651" w:rsidRPr="00DD6692" w:rsidRDefault="00BA1651" w:rsidP="00B9299A">
            <w:pPr>
              <w:keepNext/>
              <w:spacing w:before="40" w:after="40" w:line="240" w:lineRule="atLeast"/>
              <w:jc w:val="center"/>
              <w:rPr>
                <w:rFonts w:cstheme="minorHAnsi"/>
                <w:sz w:val="18"/>
                <w:szCs w:val="18"/>
              </w:rPr>
            </w:pPr>
            <w:r>
              <w:rPr>
                <w:rFonts w:cstheme="minorHAnsi"/>
                <w:sz w:val="18"/>
                <w:szCs w:val="18"/>
              </w:rPr>
              <w:t>DSW 3</w:t>
            </w:r>
          </w:p>
        </w:tc>
        <w:tc>
          <w:tcPr>
            <w:tcW w:w="625" w:type="pct"/>
            <w:vAlign w:val="center"/>
          </w:tcPr>
          <w:p w14:paraId="4819CC62" w14:textId="77777777" w:rsidR="00BA1651" w:rsidRPr="00DD6692" w:rsidRDefault="00BA1651" w:rsidP="00B9299A">
            <w:pPr>
              <w:keepNext/>
              <w:spacing w:before="40" w:after="40" w:line="240" w:lineRule="atLeast"/>
              <w:jc w:val="center"/>
              <w:rPr>
                <w:rFonts w:cstheme="minorHAnsi"/>
                <w:sz w:val="18"/>
                <w:szCs w:val="18"/>
              </w:rPr>
            </w:pPr>
            <w:r>
              <w:rPr>
                <w:rFonts w:cstheme="minorHAnsi"/>
                <w:sz w:val="18"/>
                <w:szCs w:val="18"/>
              </w:rPr>
              <w:t>DSW 4</w:t>
            </w:r>
          </w:p>
        </w:tc>
      </w:tr>
      <w:tr w:rsidR="00012B87" w:rsidRPr="00DD6692" w14:paraId="5E7B0183"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68BE95C9" w14:textId="77777777" w:rsidR="00012B87" w:rsidRPr="00B9299A" w:rsidRDefault="008933C7" w:rsidP="008933C7">
            <w:pPr>
              <w:keepNext/>
              <w:spacing w:before="40" w:after="40" w:line="240" w:lineRule="atLeast"/>
              <w:rPr>
                <w:rFonts w:cstheme="minorHAnsi"/>
                <w:sz w:val="18"/>
                <w:szCs w:val="18"/>
              </w:rPr>
            </w:pPr>
            <w:r>
              <w:rPr>
                <w:rFonts w:cstheme="minorHAnsi"/>
                <w:sz w:val="18"/>
                <w:szCs w:val="18"/>
              </w:rPr>
              <w:t>Cumulative cost/</w:t>
            </w:r>
            <w:r w:rsidR="00012B87" w:rsidRPr="00B9299A">
              <w:rPr>
                <w:rFonts w:cstheme="minorHAnsi"/>
                <w:sz w:val="18"/>
                <w:szCs w:val="18"/>
              </w:rPr>
              <w:t xml:space="preserve">hour, before </w:t>
            </w:r>
            <w:r w:rsidR="00B9299A">
              <w:rPr>
                <w:rFonts w:cstheme="minorHAnsi"/>
                <w:sz w:val="18"/>
                <w:szCs w:val="18"/>
              </w:rPr>
              <w:t xml:space="preserve">Temporary </w:t>
            </w:r>
            <w:r w:rsidR="00012B87" w:rsidRPr="00B9299A">
              <w:rPr>
                <w:rFonts w:cstheme="minorHAnsi"/>
                <w:sz w:val="18"/>
                <w:szCs w:val="18"/>
              </w:rPr>
              <w:t>Loading</w:t>
            </w:r>
          </w:p>
        </w:tc>
        <w:tc>
          <w:tcPr>
            <w:tcW w:w="625" w:type="pct"/>
            <w:noWrap/>
            <w:vAlign w:val="center"/>
          </w:tcPr>
          <w:p w14:paraId="728537FA"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$60.95</w:t>
            </w:r>
          </w:p>
        </w:tc>
        <w:tc>
          <w:tcPr>
            <w:tcW w:w="625" w:type="pct"/>
            <w:vAlign w:val="center"/>
          </w:tcPr>
          <w:p w14:paraId="7BC16A9A"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$65.96</w:t>
            </w:r>
          </w:p>
        </w:tc>
        <w:tc>
          <w:tcPr>
            <w:tcW w:w="625" w:type="pct"/>
            <w:vAlign w:val="center"/>
          </w:tcPr>
          <w:p w14:paraId="46238EA8"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$69.48</w:t>
            </w:r>
          </w:p>
        </w:tc>
        <w:tc>
          <w:tcPr>
            <w:tcW w:w="625" w:type="pct"/>
            <w:vAlign w:val="center"/>
          </w:tcPr>
          <w:p w14:paraId="5D248E7C"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$91.51</w:t>
            </w:r>
          </w:p>
        </w:tc>
      </w:tr>
      <w:tr w:rsidR="00012B87" w:rsidRPr="00DD6692" w14:paraId="25182B8A" w14:textId="77777777" w:rsidTr="00B9299A">
        <w:trPr>
          <w:trHeight w:val="300"/>
        </w:trPr>
        <w:tc>
          <w:tcPr>
            <w:tcW w:w="2500" w:type="pct"/>
            <w:vAlign w:val="center"/>
          </w:tcPr>
          <w:p w14:paraId="2FF5EFF5" w14:textId="77777777" w:rsidR="00012B87" w:rsidRPr="00B9299A" w:rsidRDefault="008933C7" w:rsidP="008933C7">
            <w:pPr>
              <w:keepNext/>
              <w:spacing w:before="40" w:after="40" w:line="240" w:lineRule="atLeast"/>
              <w:ind w:left="311"/>
              <w:rPr>
                <w:rFonts w:cstheme="minorHAnsi"/>
                <w:sz w:val="18"/>
                <w:szCs w:val="18"/>
              </w:rPr>
            </w:pPr>
            <w:r>
              <w:rPr>
                <w:rFonts w:cstheme="minorHAnsi"/>
                <w:sz w:val="18"/>
                <w:szCs w:val="18"/>
              </w:rPr>
              <w:t xml:space="preserve">Temporary Loading </w:t>
            </w:r>
            <w:r w:rsidR="00012B87" w:rsidRPr="00B9299A">
              <w:rPr>
                <w:rFonts w:cstheme="minorHAnsi"/>
                <w:sz w:val="18"/>
                <w:szCs w:val="18"/>
              </w:rPr>
              <w:t>(%)</w:t>
            </w:r>
          </w:p>
        </w:tc>
        <w:tc>
          <w:tcPr>
            <w:tcW w:w="625" w:type="pct"/>
            <w:noWrap/>
            <w:vAlign w:val="center"/>
          </w:tcPr>
          <w:p w14:paraId="09035D07"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2.00%</w:t>
            </w:r>
          </w:p>
        </w:tc>
        <w:tc>
          <w:tcPr>
            <w:tcW w:w="625" w:type="pct"/>
            <w:vAlign w:val="center"/>
          </w:tcPr>
          <w:p w14:paraId="611492E8"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2.00%</w:t>
            </w:r>
          </w:p>
        </w:tc>
        <w:tc>
          <w:tcPr>
            <w:tcW w:w="625" w:type="pct"/>
            <w:vAlign w:val="center"/>
          </w:tcPr>
          <w:p w14:paraId="6D54C56A"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2.00%</w:t>
            </w:r>
          </w:p>
        </w:tc>
        <w:tc>
          <w:tcPr>
            <w:tcW w:w="625" w:type="pct"/>
            <w:vAlign w:val="center"/>
          </w:tcPr>
          <w:p w14:paraId="68266C5D"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2.00%</w:t>
            </w:r>
          </w:p>
        </w:tc>
      </w:tr>
      <w:tr w:rsidR="00012B87" w:rsidRPr="00012B87" w14:paraId="5F7116AD"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2B4B1B5C" w14:textId="77777777" w:rsidR="00012B87" w:rsidRPr="00B9299A" w:rsidRDefault="00B9299A" w:rsidP="00B9299A">
            <w:pPr>
              <w:keepNext/>
              <w:spacing w:before="40" w:after="40" w:line="240" w:lineRule="atLeast"/>
              <w:ind w:left="311"/>
              <w:rPr>
                <w:rFonts w:cstheme="minorHAnsi"/>
                <w:b/>
                <w:sz w:val="18"/>
                <w:szCs w:val="18"/>
              </w:rPr>
            </w:pPr>
            <w:r>
              <w:rPr>
                <w:rFonts w:cstheme="minorHAnsi"/>
                <w:b/>
                <w:sz w:val="18"/>
                <w:szCs w:val="18"/>
              </w:rPr>
              <w:t xml:space="preserve">Temporary </w:t>
            </w:r>
            <w:r w:rsidR="00012B87" w:rsidRPr="00B9299A">
              <w:rPr>
                <w:rFonts w:cstheme="minorHAnsi"/>
                <w:b/>
                <w:sz w:val="18"/>
                <w:szCs w:val="18"/>
              </w:rPr>
              <w:t>Loading ($)</w:t>
            </w:r>
          </w:p>
        </w:tc>
        <w:tc>
          <w:tcPr>
            <w:tcW w:w="625" w:type="pct"/>
            <w:noWrap/>
            <w:vAlign w:val="center"/>
          </w:tcPr>
          <w:p w14:paraId="7B65642C" w14:textId="77777777" w:rsidR="00012B87" w:rsidRPr="00B9299A" w:rsidRDefault="00012B87" w:rsidP="00B9299A">
            <w:pPr>
              <w:keepNext/>
              <w:spacing w:before="40" w:after="40" w:line="240" w:lineRule="atLeast"/>
              <w:jc w:val="center"/>
              <w:rPr>
                <w:rFonts w:cstheme="minorHAnsi"/>
                <w:b/>
                <w:sz w:val="18"/>
                <w:szCs w:val="18"/>
              </w:rPr>
            </w:pPr>
            <w:r w:rsidRPr="00B9299A">
              <w:rPr>
                <w:b/>
                <w:sz w:val="18"/>
                <w:szCs w:val="18"/>
              </w:rPr>
              <w:t>$1.22</w:t>
            </w:r>
          </w:p>
        </w:tc>
        <w:tc>
          <w:tcPr>
            <w:tcW w:w="625" w:type="pct"/>
            <w:vAlign w:val="center"/>
          </w:tcPr>
          <w:p w14:paraId="7BC0DE52" w14:textId="77777777" w:rsidR="00012B87" w:rsidRPr="00B9299A" w:rsidRDefault="00012B87" w:rsidP="00B9299A">
            <w:pPr>
              <w:keepNext/>
              <w:spacing w:before="40" w:after="40" w:line="240" w:lineRule="atLeast"/>
              <w:jc w:val="center"/>
              <w:rPr>
                <w:rFonts w:cstheme="minorHAnsi"/>
                <w:b/>
                <w:sz w:val="18"/>
                <w:szCs w:val="18"/>
              </w:rPr>
            </w:pPr>
            <w:r w:rsidRPr="00B9299A">
              <w:rPr>
                <w:b/>
                <w:sz w:val="18"/>
                <w:szCs w:val="18"/>
              </w:rPr>
              <w:t>$1.32</w:t>
            </w:r>
          </w:p>
        </w:tc>
        <w:tc>
          <w:tcPr>
            <w:tcW w:w="625" w:type="pct"/>
            <w:vAlign w:val="center"/>
          </w:tcPr>
          <w:p w14:paraId="311DF730" w14:textId="77777777" w:rsidR="00012B87" w:rsidRPr="00B9299A" w:rsidRDefault="00012B87" w:rsidP="00B9299A">
            <w:pPr>
              <w:keepNext/>
              <w:spacing w:before="40" w:after="40" w:line="240" w:lineRule="atLeast"/>
              <w:jc w:val="center"/>
              <w:rPr>
                <w:rFonts w:cstheme="minorHAnsi"/>
                <w:b/>
                <w:sz w:val="18"/>
                <w:szCs w:val="18"/>
              </w:rPr>
            </w:pPr>
            <w:r w:rsidRPr="00B9299A">
              <w:rPr>
                <w:b/>
                <w:sz w:val="18"/>
                <w:szCs w:val="18"/>
              </w:rPr>
              <w:t>$1.39</w:t>
            </w:r>
          </w:p>
        </w:tc>
        <w:tc>
          <w:tcPr>
            <w:tcW w:w="625" w:type="pct"/>
            <w:vAlign w:val="center"/>
          </w:tcPr>
          <w:p w14:paraId="65A0A89A" w14:textId="77777777" w:rsidR="00012B87" w:rsidRPr="00B9299A" w:rsidRDefault="00012B87" w:rsidP="00B9299A">
            <w:pPr>
              <w:keepNext/>
              <w:spacing w:before="40" w:after="40" w:line="240" w:lineRule="atLeast"/>
              <w:jc w:val="center"/>
              <w:rPr>
                <w:rFonts w:cstheme="minorHAnsi"/>
                <w:b/>
                <w:sz w:val="18"/>
                <w:szCs w:val="18"/>
              </w:rPr>
            </w:pPr>
            <w:r w:rsidRPr="00B9299A">
              <w:rPr>
                <w:b/>
                <w:sz w:val="18"/>
                <w:szCs w:val="18"/>
              </w:rPr>
              <w:t>$1.83</w:t>
            </w:r>
          </w:p>
        </w:tc>
      </w:tr>
      <w:tr w:rsidR="00012B87" w:rsidRPr="00DD6692" w14:paraId="3390DCAF" w14:textId="77777777" w:rsidTr="00B9299A">
        <w:trPr>
          <w:trHeight w:val="300"/>
        </w:trPr>
        <w:tc>
          <w:tcPr>
            <w:tcW w:w="2500" w:type="pct"/>
            <w:vAlign w:val="center"/>
          </w:tcPr>
          <w:p w14:paraId="107FD8EC" w14:textId="77777777" w:rsidR="00012B87" w:rsidRPr="00B9299A" w:rsidRDefault="008933C7" w:rsidP="008933C7">
            <w:pPr>
              <w:keepNext/>
              <w:spacing w:before="40" w:after="40" w:line="240" w:lineRule="atLeast"/>
              <w:ind w:left="284" w:hanging="284"/>
              <w:rPr>
                <w:rFonts w:cstheme="minorHAnsi"/>
                <w:sz w:val="18"/>
                <w:szCs w:val="18"/>
              </w:rPr>
            </w:pPr>
            <w:r>
              <w:rPr>
                <w:rFonts w:cstheme="minorHAnsi"/>
                <w:sz w:val="18"/>
                <w:szCs w:val="18"/>
              </w:rPr>
              <w:t>Cumulative cost/</w:t>
            </w:r>
            <w:r w:rsidR="00012B87" w:rsidRPr="00B9299A">
              <w:rPr>
                <w:rFonts w:cstheme="minorHAnsi"/>
                <w:sz w:val="18"/>
                <w:szCs w:val="18"/>
              </w:rPr>
              <w:t xml:space="preserve">hour, after </w:t>
            </w:r>
            <w:r w:rsidR="00B9299A">
              <w:rPr>
                <w:rFonts w:cstheme="minorHAnsi"/>
                <w:sz w:val="18"/>
                <w:szCs w:val="18"/>
              </w:rPr>
              <w:t xml:space="preserve">Temporary </w:t>
            </w:r>
            <w:r w:rsidR="00012B87" w:rsidRPr="00B9299A">
              <w:rPr>
                <w:rFonts w:cstheme="minorHAnsi"/>
                <w:sz w:val="18"/>
                <w:szCs w:val="18"/>
              </w:rPr>
              <w:t>Loading</w:t>
            </w:r>
          </w:p>
        </w:tc>
        <w:tc>
          <w:tcPr>
            <w:tcW w:w="625" w:type="pct"/>
            <w:noWrap/>
            <w:vAlign w:val="center"/>
          </w:tcPr>
          <w:p w14:paraId="13B182B2"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$62.17</w:t>
            </w:r>
          </w:p>
        </w:tc>
        <w:tc>
          <w:tcPr>
            <w:tcW w:w="625" w:type="pct"/>
            <w:vAlign w:val="center"/>
          </w:tcPr>
          <w:p w14:paraId="1BEF998B"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$67.28</w:t>
            </w:r>
          </w:p>
        </w:tc>
        <w:tc>
          <w:tcPr>
            <w:tcW w:w="625" w:type="pct"/>
            <w:vAlign w:val="center"/>
          </w:tcPr>
          <w:p w14:paraId="51E229C9"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$70.87</w:t>
            </w:r>
          </w:p>
        </w:tc>
        <w:tc>
          <w:tcPr>
            <w:tcW w:w="625" w:type="pct"/>
            <w:vAlign w:val="center"/>
          </w:tcPr>
          <w:p w14:paraId="6C69D803"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$93.34</w:t>
            </w:r>
          </w:p>
        </w:tc>
      </w:tr>
      <w:tr w:rsidR="00012B87" w:rsidRPr="00DD6692" w14:paraId="354F9474"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76EE723" w14:textId="77777777" w:rsidR="00012B87" w:rsidRPr="00B9299A" w:rsidRDefault="00012B87" w:rsidP="00B9299A">
            <w:pPr>
              <w:keepNext/>
              <w:spacing w:before="40" w:after="40" w:line="240" w:lineRule="atLeast"/>
              <w:rPr>
                <w:rFonts w:cstheme="minorHAnsi"/>
                <w:sz w:val="18"/>
                <w:szCs w:val="18"/>
              </w:rPr>
            </w:pPr>
            <w:r w:rsidRPr="00B9299A">
              <w:rPr>
                <w:rFonts w:cstheme="minorHAnsi"/>
                <w:sz w:val="18"/>
                <w:szCs w:val="18"/>
              </w:rPr>
              <w:t>Cumulative increase from standard hourly rate</w:t>
            </w:r>
          </w:p>
        </w:tc>
        <w:tc>
          <w:tcPr>
            <w:tcW w:w="625" w:type="pct"/>
            <w:noWrap/>
            <w:vAlign w:val="center"/>
          </w:tcPr>
          <w:p w14:paraId="54A60115"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92.1%</w:t>
            </w:r>
          </w:p>
        </w:tc>
        <w:tc>
          <w:tcPr>
            <w:tcW w:w="625" w:type="pct"/>
            <w:vAlign w:val="center"/>
          </w:tcPr>
          <w:p w14:paraId="7F845486"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100.0%</w:t>
            </w:r>
          </w:p>
        </w:tc>
        <w:tc>
          <w:tcPr>
            <w:tcW w:w="625" w:type="pct"/>
            <w:vAlign w:val="center"/>
          </w:tcPr>
          <w:p w14:paraId="12AB86FA"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102.4%</w:t>
            </w:r>
          </w:p>
        </w:tc>
        <w:tc>
          <w:tcPr>
            <w:tcW w:w="625" w:type="pct"/>
            <w:vAlign w:val="center"/>
          </w:tcPr>
          <w:p w14:paraId="5965E6AE" w14:textId="77777777" w:rsidR="00012B87" w:rsidRPr="00B9299A" w:rsidRDefault="00012B87" w:rsidP="00B9299A">
            <w:pPr>
              <w:keepNext/>
              <w:spacing w:before="40" w:after="40" w:line="240" w:lineRule="atLeast"/>
              <w:jc w:val="center"/>
              <w:rPr>
                <w:rFonts w:cstheme="minorHAnsi"/>
                <w:sz w:val="18"/>
                <w:szCs w:val="18"/>
              </w:rPr>
            </w:pPr>
            <w:r w:rsidRPr="00B9299A">
              <w:rPr>
                <w:sz w:val="18"/>
                <w:szCs w:val="18"/>
              </w:rPr>
              <w:t>120.9%</w:t>
            </w:r>
          </w:p>
        </w:tc>
      </w:tr>
    </w:tbl>
    <w:p w14:paraId="48FEE78E" w14:textId="77777777" w:rsidR="00BA1651" w:rsidRPr="00F84E15" w:rsidRDefault="00BA1651" w:rsidP="00A91E01"/>
    <w:p w14:paraId="7605FC03" w14:textId="77777777" w:rsidR="00CE5C88" w:rsidRPr="00CE5C88" w:rsidRDefault="00CE5C88" w:rsidP="00A91E01"/>
    <w:p w14:paraId="5EA1FF97" w14:textId="77777777" w:rsidR="00BD60BD" w:rsidRPr="00BD60BD" w:rsidRDefault="00BD60BD" w:rsidP="00BD60BD">
      <w:pPr>
        <w:sectPr w:rsidR="00BD60BD" w:rsidRPr="00BD60BD" w:rsidSect="00A54E47">
          <w:pgSz w:w="11906" w:h="16838" w:code="9"/>
          <w:pgMar w:top="1440" w:right="1440" w:bottom="1440" w:left="1440" w:header="709" w:footer="709" w:gutter="0"/>
          <w:cols w:space="708"/>
          <w:titlePg/>
          <w:docGrid w:linePitch="360"/>
        </w:sectPr>
      </w:pPr>
    </w:p>
    <w:p w14:paraId="07D7317B" w14:textId="77777777" w:rsidR="00A50A5A" w:rsidRPr="00DD6692" w:rsidRDefault="009206DC" w:rsidP="00920C59">
      <w:pPr>
        <w:pStyle w:val="Heading1"/>
      </w:pPr>
      <w:bookmarkStart w:id="36" w:name="_Toc106464080"/>
      <w:r w:rsidRPr="00DD6692">
        <w:lastRenderedPageBreak/>
        <w:t>Accommodation</w:t>
      </w:r>
      <w:r w:rsidR="00A50A5A" w:rsidRPr="00DD6692">
        <w:t xml:space="preserve"> </w:t>
      </w:r>
      <w:r w:rsidRPr="00DD6692">
        <w:t>Cost Amounts</w:t>
      </w:r>
      <w:bookmarkEnd w:id="36"/>
    </w:p>
    <w:p w14:paraId="6591E531" w14:textId="77777777" w:rsidR="00103152" w:rsidRPr="00DD6692" w:rsidRDefault="00103152" w:rsidP="00103152">
      <w:r w:rsidRPr="00DD6692">
        <w:t xml:space="preserve">These amounts are indexed on 1 July each year in line with movements in the increase in the Consumer Price Index over the 12 months to </w:t>
      </w:r>
      <w:r w:rsidR="004C63FA" w:rsidRPr="00DD6692">
        <w:t>the end of the preceding March.</w:t>
      </w:r>
    </w:p>
    <w:p w14:paraId="29127AC5" w14:textId="77777777" w:rsidR="00A50A5A" w:rsidRPr="00DD6692" w:rsidRDefault="00A50A5A" w:rsidP="00920C59">
      <w:pPr>
        <w:pStyle w:val="Heading2"/>
      </w:pPr>
      <w:bookmarkStart w:id="37" w:name="_Toc106464081"/>
      <w:r w:rsidRPr="00DD6692">
        <w:t>Centre Based Capital Amount</w:t>
      </w:r>
      <w:bookmarkEnd w:id="37"/>
    </w:p>
    <w:p w14:paraId="44FC959B" w14:textId="77777777" w:rsidR="00A50A5A" w:rsidRPr="00DD6692" w:rsidRDefault="00A50A5A" w:rsidP="00A50A5A">
      <w:r w:rsidRPr="00DD6692">
        <w:t>When a support item (“the primary support”) in the Assistance with Social, Economic and Community Participation Support Category is delivered in a facility (Centre), by a provider in one of the following Registration Groups:</w:t>
      </w:r>
    </w:p>
    <w:p w14:paraId="2904446F" w14:textId="77777777" w:rsidR="00A50A5A" w:rsidRPr="00DD6692" w:rsidRDefault="00A50A5A" w:rsidP="00103152">
      <w:pPr>
        <w:pStyle w:val="ListParagraph"/>
        <w:numPr>
          <w:ilvl w:val="0"/>
          <w:numId w:val="8"/>
        </w:numPr>
      </w:pPr>
      <w:r w:rsidRPr="00DD6692">
        <w:t>High Intensity Daily Personal Activities (0104);</w:t>
      </w:r>
    </w:p>
    <w:p w14:paraId="23C22A19" w14:textId="77777777" w:rsidR="00A50A5A" w:rsidRPr="00DD6692" w:rsidRDefault="00A50A5A" w:rsidP="00103152">
      <w:pPr>
        <w:pStyle w:val="ListParagraph"/>
        <w:numPr>
          <w:ilvl w:val="0"/>
          <w:numId w:val="8"/>
        </w:numPr>
      </w:pPr>
      <w:r w:rsidRPr="00DD6692">
        <w:t>Specialised Supported Employment (0133); and</w:t>
      </w:r>
    </w:p>
    <w:p w14:paraId="6AD5B767" w14:textId="77777777" w:rsidR="00A50A5A" w:rsidRPr="00DD6692" w:rsidRDefault="00A50A5A" w:rsidP="00103152">
      <w:pPr>
        <w:pStyle w:val="ListParagraph"/>
        <w:numPr>
          <w:ilvl w:val="0"/>
          <w:numId w:val="8"/>
        </w:numPr>
      </w:pPr>
      <w:r w:rsidRPr="00DD6692">
        <w:t>Group and Centre Based Activities (0136)</w:t>
      </w:r>
    </w:p>
    <w:p w14:paraId="23E9DEB5" w14:textId="77777777" w:rsidR="00A50A5A" w:rsidRPr="00DD6692" w:rsidRDefault="00A50A5A" w:rsidP="00A50A5A">
      <w:r w:rsidRPr="00DD6692">
        <w:t xml:space="preserve">then the provider can claim an additional amount for the costs of running and maintaining the facility through the relevant Centre Capital Cost support item. </w:t>
      </w:r>
    </w:p>
    <w:p w14:paraId="5E119BFF" w14:textId="77777777" w:rsidR="00A50A5A" w:rsidRPr="00DD6692" w:rsidRDefault="00A50A5A" w:rsidP="00A50A5A">
      <w:r w:rsidRPr="00DD6692">
        <w:t>If the primary support is being delivered to a group of participants, then the provider can claim up to price limit of the relevant Centre Capital Cost support item in respect of each of the participants for each hour of the support.</w:t>
      </w:r>
    </w:p>
    <w:p w14:paraId="649A6219" w14:textId="77777777" w:rsidR="00A50A5A" w:rsidRPr="00DD6692" w:rsidRDefault="00A50A5A" w:rsidP="00A50A5A">
      <w:r w:rsidRPr="00DD6692">
        <w:t xml:space="preserve">When a support is delivered partially in a Centre and partially in the Community, and the Centre </w:t>
      </w:r>
      <w:proofErr w:type="gramStart"/>
      <w:r w:rsidRPr="00DD6692">
        <w:t>is available at all time</w:t>
      </w:r>
      <w:r w:rsidR="00A7358B">
        <w:t>s</w:t>
      </w:r>
      <w:proofErr w:type="gramEnd"/>
      <w:r w:rsidRPr="00DD6692">
        <w:t xml:space="preserve"> during the support if required, then providers can claim up to the price limit for the relevant Centre Capital Cost support item in respect of each of the participants for each hour of the entire period of the support.</w:t>
      </w:r>
    </w:p>
    <w:p w14:paraId="11B23878" w14:textId="77777777" w:rsidR="00A50A5A" w:rsidRPr="00DD6692" w:rsidRDefault="00A50A5A" w:rsidP="00A50A5A">
      <w:r w:rsidRPr="008933C7">
        <w:t xml:space="preserve">In </w:t>
      </w:r>
      <w:r w:rsidR="003C6B26" w:rsidRPr="008933C7">
        <w:t>2022-23</w:t>
      </w:r>
      <w:r w:rsidR="00C222C8" w:rsidRPr="008933C7">
        <w:t>,</w:t>
      </w:r>
      <w:r w:rsidRPr="008933C7">
        <w:t xml:space="preserve"> the Centre Based Capital Amount is $2.</w:t>
      </w:r>
      <w:r w:rsidR="003C6B26" w:rsidRPr="008933C7">
        <w:t>28</w:t>
      </w:r>
      <w:r w:rsidRPr="008933C7">
        <w:t>.</w:t>
      </w:r>
    </w:p>
    <w:p w14:paraId="7D2D0FD5" w14:textId="77777777" w:rsidR="00A50A5A" w:rsidRPr="00DD6692" w:rsidRDefault="00C222C8" w:rsidP="00920C59">
      <w:pPr>
        <w:pStyle w:val="Heading2"/>
      </w:pPr>
      <w:bookmarkStart w:id="38" w:name="_Ref75514832"/>
      <w:bookmarkStart w:id="39" w:name="_Toc106464082"/>
      <w:r w:rsidRPr="00DD6692">
        <w:t>Short</w:t>
      </w:r>
      <w:r w:rsidR="00A50A5A" w:rsidRPr="00DD6692">
        <w:t xml:space="preserve"> Term Accommodation Amount</w:t>
      </w:r>
      <w:bookmarkEnd w:id="38"/>
      <w:bookmarkEnd w:id="39"/>
    </w:p>
    <w:p w14:paraId="44C56014" w14:textId="77777777" w:rsidR="00C222C8" w:rsidRPr="00DD6692" w:rsidRDefault="00C222C8" w:rsidP="00A50A5A">
      <w:r w:rsidRPr="00DD6692">
        <w:t xml:space="preserve">The </w:t>
      </w:r>
      <w:proofErr w:type="gramStart"/>
      <w:r w:rsidRPr="00DD6692">
        <w:t>short term</w:t>
      </w:r>
      <w:proofErr w:type="gramEnd"/>
      <w:r w:rsidRPr="00DD6692">
        <w:t xml:space="preserve"> accommodation amount has three components</w:t>
      </w:r>
    </w:p>
    <w:p w14:paraId="6303C94A" w14:textId="77777777" w:rsidR="00C222C8" w:rsidRPr="00DD6692" w:rsidRDefault="00C222C8" w:rsidP="00103152">
      <w:pPr>
        <w:pStyle w:val="ListParagraph"/>
        <w:numPr>
          <w:ilvl w:val="0"/>
          <w:numId w:val="8"/>
        </w:numPr>
      </w:pPr>
      <w:r w:rsidRPr="00DD6692">
        <w:t>Short Term Accommodation Labour Component, which covers the costs of the disability support workers providing support;</w:t>
      </w:r>
    </w:p>
    <w:p w14:paraId="234DF68C" w14:textId="77777777" w:rsidR="00C222C8" w:rsidRPr="00DD6692" w:rsidRDefault="00C222C8" w:rsidP="00103152">
      <w:pPr>
        <w:pStyle w:val="ListParagraph"/>
        <w:numPr>
          <w:ilvl w:val="0"/>
          <w:numId w:val="8"/>
        </w:numPr>
      </w:pPr>
      <w:r w:rsidRPr="00DD6692">
        <w:t xml:space="preserve">Short Term Accommodation Capital Component, which covers the capital costs of the support; and </w:t>
      </w:r>
    </w:p>
    <w:p w14:paraId="00F82A76" w14:textId="77777777" w:rsidR="00C222C8" w:rsidRPr="00DD6692" w:rsidRDefault="00C222C8" w:rsidP="00103152">
      <w:pPr>
        <w:pStyle w:val="ListParagraph"/>
        <w:numPr>
          <w:ilvl w:val="0"/>
          <w:numId w:val="8"/>
        </w:numPr>
      </w:pPr>
      <w:r w:rsidRPr="00DD6692">
        <w:t>Short Term Accommodation Hotel Component, which covers costs like food, heating, cleaning</w:t>
      </w:r>
      <w:r w:rsidR="00A23F77">
        <w:t>,</w:t>
      </w:r>
      <w:r w:rsidRPr="00DD6692">
        <w:t xml:space="preserve"> etc</w:t>
      </w:r>
      <w:r w:rsidR="004C63FA" w:rsidRPr="00DD6692">
        <w:t>.</w:t>
      </w:r>
      <w:r w:rsidRPr="00DD6692">
        <w:t xml:space="preserve"> associated with the support.</w:t>
      </w:r>
    </w:p>
    <w:p w14:paraId="4B819CED" w14:textId="68FE6DFB" w:rsidR="00C222C8" w:rsidRPr="008933C7" w:rsidRDefault="00C222C8" w:rsidP="00C222C8">
      <w:r w:rsidRPr="008933C7">
        <w:t xml:space="preserve">In </w:t>
      </w:r>
      <w:r w:rsidR="004732EF">
        <w:t>2022-23</w:t>
      </w:r>
      <w:r w:rsidRPr="008933C7">
        <w:t>, the latter two components are as follows:</w:t>
      </w:r>
    </w:p>
    <w:p w14:paraId="466E0272" w14:textId="77777777" w:rsidR="00103152" w:rsidRPr="008933C7" w:rsidRDefault="00103152" w:rsidP="00103152">
      <w:pPr>
        <w:pStyle w:val="ListParagraph"/>
        <w:numPr>
          <w:ilvl w:val="0"/>
          <w:numId w:val="8"/>
        </w:numPr>
      </w:pPr>
      <w:r w:rsidRPr="008933C7">
        <w:t>Short Term Accommodation Capital Component = $</w:t>
      </w:r>
      <w:r w:rsidR="00DB6C89" w:rsidRPr="008933C7">
        <w:t>137.14</w:t>
      </w:r>
      <w:r w:rsidR="002C34F9" w:rsidRPr="008933C7">
        <w:t xml:space="preserve"> </w:t>
      </w:r>
      <w:r w:rsidRPr="008933C7">
        <w:t xml:space="preserve">per day </w:t>
      </w:r>
    </w:p>
    <w:p w14:paraId="0560A643" w14:textId="77777777" w:rsidR="00103152" w:rsidRPr="008933C7" w:rsidRDefault="00103152" w:rsidP="00103152">
      <w:pPr>
        <w:pStyle w:val="ListParagraph"/>
        <w:numPr>
          <w:ilvl w:val="0"/>
          <w:numId w:val="8"/>
        </w:numPr>
      </w:pPr>
      <w:r w:rsidRPr="008933C7">
        <w:t>Short Term Accommodation Hotel Component = $</w:t>
      </w:r>
      <w:r w:rsidR="00DB6C89" w:rsidRPr="008933C7">
        <w:t>55.62</w:t>
      </w:r>
      <w:r w:rsidRPr="008933C7">
        <w:t xml:space="preserve"> per day</w:t>
      </w:r>
    </w:p>
    <w:p w14:paraId="67D6F975" w14:textId="77777777" w:rsidR="00103152" w:rsidRPr="00DD6692" w:rsidRDefault="00103152" w:rsidP="00920C59">
      <w:pPr>
        <w:pStyle w:val="Heading2"/>
      </w:pPr>
      <w:bookmarkStart w:id="40" w:name="_Toc106464083"/>
      <w:r w:rsidRPr="00DD6692">
        <w:t>Medium Term Accommodation Amount</w:t>
      </w:r>
      <w:bookmarkEnd w:id="40"/>
    </w:p>
    <w:p w14:paraId="3D2CE248" w14:textId="77777777" w:rsidR="00A50A5A" w:rsidRPr="00DD6692" w:rsidRDefault="00A23F77" w:rsidP="00C222C8">
      <w:r>
        <w:t xml:space="preserve">The </w:t>
      </w:r>
      <w:proofErr w:type="gramStart"/>
      <w:r>
        <w:t>Medium Term</w:t>
      </w:r>
      <w:proofErr w:type="gramEnd"/>
      <w:r>
        <w:t xml:space="preserve"> Accommodation</w:t>
      </w:r>
      <w:r w:rsidR="00103152" w:rsidRPr="00DD6692">
        <w:t xml:space="preserve"> amount is equal to the Short Term Accommodation Capital Component.</w:t>
      </w:r>
    </w:p>
    <w:p w14:paraId="7DF1C9C1" w14:textId="77777777" w:rsidR="00A50A5A" w:rsidRPr="00DD6692" w:rsidRDefault="00A50A5A" w:rsidP="00A50A5A">
      <w:pPr>
        <w:sectPr w:rsidR="00A50A5A" w:rsidRPr="00DD6692" w:rsidSect="00F7051C">
          <w:pgSz w:w="11906" w:h="16838" w:code="9"/>
          <w:pgMar w:top="1440" w:right="1440" w:bottom="1440" w:left="1440" w:header="709" w:footer="709" w:gutter="0"/>
          <w:cols w:space="708"/>
          <w:docGrid w:linePitch="360"/>
        </w:sectPr>
      </w:pPr>
    </w:p>
    <w:p w14:paraId="3FD5FD01" w14:textId="77777777" w:rsidR="00ED5403" w:rsidRPr="00DD6692" w:rsidRDefault="00ED5403" w:rsidP="00920C59">
      <w:pPr>
        <w:pStyle w:val="Heading1"/>
      </w:pPr>
      <w:bookmarkStart w:id="41" w:name="_Toc106464084"/>
      <w:r w:rsidRPr="00DD6692">
        <w:lastRenderedPageBreak/>
        <w:t>Price Limits Determined by the Cost Model</w:t>
      </w:r>
      <w:bookmarkEnd w:id="41"/>
    </w:p>
    <w:p w14:paraId="0F57EE00" w14:textId="77777777" w:rsidR="00DB6C89" w:rsidRPr="00DD6692" w:rsidRDefault="00AC5E2D" w:rsidP="00AC5E2D">
      <w:r w:rsidRPr="00DD6692">
        <w:t xml:space="preserve">The following Table sets out how the price limits for each relevant NDIS support item is related to the NDIA’s estimates of the efficient costs of delivering supports. Further information can be found in the NDIA’s </w:t>
      </w:r>
      <w:r w:rsidR="00716C16" w:rsidRPr="00DD6692">
        <w:rPr>
          <w:i/>
        </w:rPr>
        <w:t>NDIS</w:t>
      </w:r>
      <w:r w:rsidR="00716C16" w:rsidRPr="00DD6692">
        <w:t xml:space="preserve"> </w:t>
      </w:r>
      <w:r w:rsidR="00716C16" w:rsidRPr="00DD6692">
        <w:rPr>
          <w:i/>
        </w:rPr>
        <w:t>Pricing Arrangements and Price Limits 202</w:t>
      </w:r>
      <w:r w:rsidR="007B40D6">
        <w:rPr>
          <w:i/>
        </w:rPr>
        <w:t>2</w:t>
      </w:r>
      <w:r w:rsidR="00BF0BCB" w:rsidRPr="00DD6692">
        <w:rPr>
          <w:i/>
        </w:rPr>
        <w:t>-2</w:t>
      </w:r>
      <w:r w:rsidR="007B40D6">
        <w:rPr>
          <w:i/>
        </w:rPr>
        <w:t>3</w:t>
      </w:r>
      <w:r w:rsidR="00BF0BCB" w:rsidRPr="00DD6692">
        <w:rPr>
          <w:i/>
        </w:rPr>
        <w:t xml:space="preserve"> </w:t>
      </w:r>
      <w:r w:rsidR="00BF0BCB" w:rsidRPr="00DD6692">
        <w:t xml:space="preserve">on the </w:t>
      </w:r>
      <w:hyperlink r:id="rId18" w:history="1">
        <w:r w:rsidR="00BF0BCB" w:rsidRPr="00DD6692">
          <w:rPr>
            <w:rStyle w:val="Hyperlink"/>
          </w:rPr>
          <w:t>NDIS website</w:t>
        </w:r>
      </w:hyperlink>
      <w:r w:rsidR="00BF0BCB" w:rsidRPr="00DD6692">
        <w:t>.</w:t>
      </w:r>
    </w:p>
    <w:tbl>
      <w:tblPr>
        <w:tblStyle w:val="GridTable4-Accent4"/>
        <w:tblW w:w="5000" w:type="pct"/>
        <w:tblLook w:val="0420" w:firstRow="1" w:lastRow="0" w:firstColumn="0" w:lastColumn="0" w:noHBand="0" w:noVBand="1"/>
        <w:tblDescription w:val=" Price Limits Determined by the Cost Model. All NDIS supports that are determined or derived from the DSW Model."/>
      </w:tblPr>
      <w:tblGrid>
        <w:gridCol w:w="1980"/>
        <w:gridCol w:w="5670"/>
        <w:gridCol w:w="2268"/>
        <w:gridCol w:w="786"/>
        <w:gridCol w:w="2085"/>
        <w:gridCol w:w="1159"/>
      </w:tblGrid>
      <w:tr w:rsidR="00AE0D61" w:rsidRPr="00250068" w14:paraId="6F0895D3" w14:textId="77777777" w:rsidTr="005508C9">
        <w:trPr>
          <w:cnfStyle w:val="100000000000" w:firstRow="1" w:lastRow="0" w:firstColumn="0" w:lastColumn="0" w:oddVBand="0" w:evenVBand="0" w:oddHBand="0" w:evenHBand="0" w:firstRowFirstColumn="0" w:firstRowLastColumn="0" w:lastRowFirstColumn="0" w:lastRowLastColumn="0"/>
          <w:trHeight w:val="300"/>
          <w:tblHeader/>
        </w:trPr>
        <w:tc>
          <w:tcPr>
            <w:tcW w:w="1980" w:type="dxa"/>
            <w:noWrap/>
            <w:hideMark/>
          </w:tcPr>
          <w:p w14:paraId="3B523949" w14:textId="77777777" w:rsidR="00AE0D61" w:rsidRPr="00250068" w:rsidRDefault="00DC3ED7"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Sup</w:t>
            </w:r>
            <w:r w:rsidR="00AE0D61" w:rsidRPr="00250068">
              <w:rPr>
                <w:rFonts w:ascii="Calibri" w:eastAsia="Times New Roman" w:hAnsi="Calibri" w:cs="Calibri"/>
                <w:sz w:val="16"/>
                <w:szCs w:val="16"/>
                <w:lang w:eastAsia="en-AU"/>
              </w:rPr>
              <w:t>port Item Number</w:t>
            </w:r>
          </w:p>
        </w:tc>
        <w:tc>
          <w:tcPr>
            <w:tcW w:w="5670" w:type="dxa"/>
            <w:noWrap/>
            <w:hideMark/>
          </w:tcPr>
          <w:p w14:paraId="5C6C83B4"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Support Item Name</w:t>
            </w:r>
          </w:p>
        </w:tc>
        <w:tc>
          <w:tcPr>
            <w:tcW w:w="2268" w:type="dxa"/>
            <w:noWrap/>
            <w:hideMark/>
          </w:tcPr>
          <w:p w14:paraId="4A057698"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Methodology</w:t>
            </w:r>
          </w:p>
        </w:tc>
        <w:tc>
          <w:tcPr>
            <w:tcW w:w="786" w:type="dxa"/>
            <w:noWrap/>
            <w:hideMark/>
          </w:tcPr>
          <w:p w14:paraId="4EA375C4"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Basic Model</w:t>
            </w:r>
          </w:p>
        </w:tc>
        <w:tc>
          <w:tcPr>
            <w:tcW w:w="2085" w:type="dxa"/>
            <w:hideMark/>
          </w:tcPr>
          <w:p w14:paraId="6FE9C428"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Loading</w:t>
            </w:r>
          </w:p>
        </w:tc>
        <w:tc>
          <w:tcPr>
            <w:tcW w:w="1159" w:type="dxa"/>
            <w:noWrap/>
            <w:hideMark/>
          </w:tcPr>
          <w:p w14:paraId="76171835" w14:textId="77777777" w:rsidR="00AE0D61" w:rsidRPr="00250068" w:rsidRDefault="00AE0D61" w:rsidP="008933C7">
            <w:pPr>
              <w:spacing w:before="40" w:after="40"/>
              <w:rPr>
                <w:rFonts w:ascii="Calibri" w:eastAsia="Times New Roman" w:hAnsi="Calibri" w:cs="Calibri"/>
                <w:sz w:val="16"/>
                <w:szCs w:val="16"/>
                <w:lang w:eastAsia="en-AU"/>
              </w:rPr>
            </w:pPr>
            <w:r w:rsidRPr="00250068">
              <w:rPr>
                <w:rFonts w:ascii="Calibri" w:eastAsia="Times New Roman" w:hAnsi="Calibri" w:cs="Calibri"/>
                <w:sz w:val="16"/>
                <w:szCs w:val="16"/>
                <w:lang w:eastAsia="en-AU"/>
              </w:rPr>
              <w:t>Adjustment</w:t>
            </w:r>
          </w:p>
        </w:tc>
      </w:tr>
      <w:tr w:rsidR="00E96E04" w:rsidRPr="00250068" w14:paraId="7927A21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68A12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01_002_0107_1_1</w:t>
            </w:r>
          </w:p>
        </w:tc>
        <w:tc>
          <w:tcPr>
            <w:tcW w:w="5670" w:type="dxa"/>
            <w:noWrap/>
            <w:hideMark/>
          </w:tcPr>
          <w:p w14:paraId="43FA7B5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Night</w:t>
            </w:r>
          </w:p>
        </w:tc>
        <w:tc>
          <w:tcPr>
            <w:tcW w:w="2268" w:type="dxa"/>
            <w:noWrap/>
            <w:hideMark/>
          </w:tcPr>
          <w:p w14:paraId="7B5A2785" w14:textId="4F35375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CAB09A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89D70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2AF0F65A" w14:textId="77777777" w:rsidR="00E96E04" w:rsidRPr="00250068" w:rsidRDefault="00E96E04" w:rsidP="008933C7">
            <w:pPr>
              <w:spacing w:before="40" w:after="40"/>
              <w:rPr>
                <w:rFonts w:ascii="Calibri" w:hAnsi="Calibri" w:cs="Calibri"/>
                <w:sz w:val="16"/>
                <w:szCs w:val="16"/>
              </w:rPr>
            </w:pPr>
          </w:p>
        </w:tc>
      </w:tr>
      <w:tr w:rsidR="00E96E04" w:rsidRPr="00250068" w14:paraId="10BD64A2" w14:textId="77777777" w:rsidTr="008933C7">
        <w:trPr>
          <w:trHeight w:val="300"/>
        </w:trPr>
        <w:tc>
          <w:tcPr>
            <w:tcW w:w="1980" w:type="dxa"/>
            <w:noWrap/>
            <w:hideMark/>
          </w:tcPr>
          <w:p w14:paraId="00829D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01_002_0107_1_1_T</w:t>
            </w:r>
          </w:p>
        </w:tc>
        <w:tc>
          <w:tcPr>
            <w:tcW w:w="5670" w:type="dxa"/>
            <w:noWrap/>
            <w:hideMark/>
          </w:tcPr>
          <w:p w14:paraId="2DD7B05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Night - TTP</w:t>
            </w:r>
          </w:p>
        </w:tc>
        <w:tc>
          <w:tcPr>
            <w:tcW w:w="2268" w:type="dxa"/>
            <w:noWrap/>
            <w:hideMark/>
          </w:tcPr>
          <w:p w14:paraId="4694B865" w14:textId="6393D78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272E84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D45A5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13D941C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418191F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CCA5F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01_010_0107_1_1</w:t>
            </w:r>
          </w:p>
        </w:tc>
        <w:tc>
          <w:tcPr>
            <w:tcW w:w="5670" w:type="dxa"/>
            <w:noWrap/>
            <w:hideMark/>
          </w:tcPr>
          <w:p w14:paraId="0AC0E07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Night-Time Sleepover</w:t>
            </w:r>
          </w:p>
        </w:tc>
        <w:tc>
          <w:tcPr>
            <w:tcW w:w="2268" w:type="dxa"/>
            <w:noWrap/>
            <w:hideMark/>
          </w:tcPr>
          <w:p w14:paraId="246F33AE" w14:textId="1908439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91E71E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0038C2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324454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2.1</w:t>
            </w:r>
          </w:p>
        </w:tc>
      </w:tr>
      <w:tr w:rsidR="00E96E04" w:rsidRPr="00250068" w14:paraId="6CD7CF67" w14:textId="77777777" w:rsidTr="008933C7">
        <w:trPr>
          <w:trHeight w:val="300"/>
        </w:trPr>
        <w:tc>
          <w:tcPr>
            <w:tcW w:w="1980" w:type="dxa"/>
            <w:noWrap/>
            <w:hideMark/>
          </w:tcPr>
          <w:p w14:paraId="22C9F0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01_011_0107_1_1</w:t>
            </w:r>
          </w:p>
        </w:tc>
        <w:tc>
          <w:tcPr>
            <w:tcW w:w="5670" w:type="dxa"/>
            <w:noWrap/>
            <w:hideMark/>
          </w:tcPr>
          <w:p w14:paraId="3819B4E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Daytime</w:t>
            </w:r>
          </w:p>
        </w:tc>
        <w:tc>
          <w:tcPr>
            <w:tcW w:w="2268" w:type="dxa"/>
            <w:noWrap/>
            <w:hideMark/>
          </w:tcPr>
          <w:p w14:paraId="4D3EE9CC" w14:textId="01A4221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19C211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DAD102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351312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E328DB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E3C96A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01_011_0107_1_1_T</w:t>
            </w:r>
          </w:p>
        </w:tc>
        <w:tc>
          <w:tcPr>
            <w:tcW w:w="5670" w:type="dxa"/>
            <w:noWrap/>
            <w:hideMark/>
          </w:tcPr>
          <w:p w14:paraId="656B943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Daytime - TTP</w:t>
            </w:r>
          </w:p>
        </w:tc>
        <w:tc>
          <w:tcPr>
            <w:tcW w:w="2268" w:type="dxa"/>
            <w:noWrap/>
            <w:hideMark/>
          </w:tcPr>
          <w:p w14:paraId="6B215013" w14:textId="53457F6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809EA2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F68C0B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0B72C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F6E5B2D" w14:textId="77777777" w:rsidTr="008933C7">
        <w:trPr>
          <w:trHeight w:val="300"/>
        </w:trPr>
        <w:tc>
          <w:tcPr>
            <w:tcW w:w="1980" w:type="dxa"/>
            <w:noWrap/>
            <w:hideMark/>
          </w:tcPr>
          <w:p w14:paraId="2473FC0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01_012_0107_1_1</w:t>
            </w:r>
          </w:p>
        </w:tc>
        <w:tc>
          <w:tcPr>
            <w:tcW w:w="5670" w:type="dxa"/>
            <w:noWrap/>
            <w:hideMark/>
          </w:tcPr>
          <w:p w14:paraId="1097675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Public Holiday</w:t>
            </w:r>
          </w:p>
        </w:tc>
        <w:tc>
          <w:tcPr>
            <w:tcW w:w="2268" w:type="dxa"/>
            <w:noWrap/>
            <w:hideMark/>
          </w:tcPr>
          <w:p w14:paraId="1B643831" w14:textId="7726E01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ECC837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6DD74D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8D8C79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8A8BC6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7ACAD5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01_012_0107_1_1_T</w:t>
            </w:r>
          </w:p>
        </w:tc>
        <w:tc>
          <w:tcPr>
            <w:tcW w:w="5670" w:type="dxa"/>
            <w:noWrap/>
            <w:hideMark/>
          </w:tcPr>
          <w:p w14:paraId="2682638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Public Holiday - TTP</w:t>
            </w:r>
          </w:p>
        </w:tc>
        <w:tc>
          <w:tcPr>
            <w:tcW w:w="2268" w:type="dxa"/>
            <w:noWrap/>
            <w:hideMark/>
          </w:tcPr>
          <w:p w14:paraId="73302C98" w14:textId="0E27E6F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A2BB02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91219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6612A8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4C613495" w14:textId="77777777" w:rsidTr="008933C7">
        <w:trPr>
          <w:trHeight w:val="300"/>
        </w:trPr>
        <w:tc>
          <w:tcPr>
            <w:tcW w:w="1980" w:type="dxa"/>
            <w:noWrap/>
            <w:hideMark/>
          </w:tcPr>
          <w:p w14:paraId="3C4FB8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01_013_0107_1_1</w:t>
            </w:r>
          </w:p>
        </w:tc>
        <w:tc>
          <w:tcPr>
            <w:tcW w:w="5670" w:type="dxa"/>
            <w:noWrap/>
            <w:hideMark/>
          </w:tcPr>
          <w:p w14:paraId="5963B3C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Saturday</w:t>
            </w:r>
          </w:p>
        </w:tc>
        <w:tc>
          <w:tcPr>
            <w:tcW w:w="2268" w:type="dxa"/>
            <w:noWrap/>
            <w:hideMark/>
          </w:tcPr>
          <w:p w14:paraId="60F47BE8" w14:textId="2029F21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1E42705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5DC73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53A65D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BC66F6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82B05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01_013_0107_1_1_T</w:t>
            </w:r>
          </w:p>
        </w:tc>
        <w:tc>
          <w:tcPr>
            <w:tcW w:w="5670" w:type="dxa"/>
            <w:noWrap/>
            <w:hideMark/>
          </w:tcPr>
          <w:p w14:paraId="35775E9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Saturday - TTP</w:t>
            </w:r>
          </w:p>
        </w:tc>
        <w:tc>
          <w:tcPr>
            <w:tcW w:w="2268" w:type="dxa"/>
            <w:noWrap/>
            <w:hideMark/>
          </w:tcPr>
          <w:p w14:paraId="3F75D912" w14:textId="154B9FA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715632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A8A94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17B8C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04F53B1" w14:textId="77777777" w:rsidTr="008933C7">
        <w:trPr>
          <w:trHeight w:val="300"/>
        </w:trPr>
        <w:tc>
          <w:tcPr>
            <w:tcW w:w="1980" w:type="dxa"/>
            <w:noWrap/>
            <w:hideMark/>
          </w:tcPr>
          <w:p w14:paraId="36ADE6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01_014_0107_1_1</w:t>
            </w:r>
          </w:p>
        </w:tc>
        <w:tc>
          <w:tcPr>
            <w:tcW w:w="5670" w:type="dxa"/>
            <w:noWrap/>
            <w:hideMark/>
          </w:tcPr>
          <w:p w14:paraId="4875077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Sunday</w:t>
            </w:r>
          </w:p>
        </w:tc>
        <w:tc>
          <w:tcPr>
            <w:tcW w:w="2268" w:type="dxa"/>
            <w:noWrap/>
            <w:hideMark/>
          </w:tcPr>
          <w:p w14:paraId="4CABAEA1" w14:textId="36FFF77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715726E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77BA8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DFB649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EE00A8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4A8E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01_014_0107_1_1_T</w:t>
            </w:r>
          </w:p>
        </w:tc>
        <w:tc>
          <w:tcPr>
            <w:tcW w:w="5670" w:type="dxa"/>
            <w:noWrap/>
            <w:hideMark/>
          </w:tcPr>
          <w:p w14:paraId="5D54748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Sunday - TTP</w:t>
            </w:r>
          </w:p>
        </w:tc>
        <w:tc>
          <w:tcPr>
            <w:tcW w:w="2268" w:type="dxa"/>
            <w:noWrap/>
            <w:hideMark/>
          </w:tcPr>
          <w:p w14:paraId="0C086CFE" w14:textId="3462F97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A49F3F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221EE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AD029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1242DAA0" w14:textId="77777777" w:rsidTr="008933C7">
        <w:trPr>
          <w:trHeight w:val="300"/>
        </w:trPr>
        <w:tc>
          <w:tcPr>
            <w:tcW w:w="1980" w:type="dxa"/>
            <w:noWrap/>
            <w:hideMark/>
          </w:tcPr>
          <w:p w14:paraId="440045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01_015_0107_1_1</w:t>
            </w:r>
          </w:p>
        </w:tc>
        <w:tc>
          <w:tcPr>
            <w:tcW w:w="5670" w:type="dxa"/>
            <w:noWrap/>
            <w:hideMark/>
          </w:tcPr>
          <w:p w14:paraId="5977B17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Evening</w:t>
            </w:r>
          </w:p>
        </w:tc>
        <w:tc>
          <w:tcPr>
            <w:tcW w:w="2268" w:type="dxa"/>
            <w:noWrap/>
            <w:hideMark/>
          </w:tcPr>
          <w:p w14:paraId="5FDF29BF" w14:textId="4CFCF9F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F515B3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F25ADE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38DCEC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9DE166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9C9EB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01_015_0107_1_1_T</w:t>
            </w:r>
          </w:p>
        </w:tc>
        <w:tc>
          <w:tcPr>
            <w:tcW w:w="5670" w:type="dxa"/>
            <w:noWrap/>
            <w:hideMark/>
          </w:tcPr>
          <w:p w14:paraId="4254547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Assistance With Self-Care Activities - Standard - Weekday Evening - TTP</w:t>
            </w:r>
          </w:p>
        </w:tc>
        <w:tc>
          <w:tcPr>
            <w:tcW w:w="2268" w:type="dxa"/>
            <w:noWrap/>
            <w:hideMark/>
          </w:tcPr>
          <w:p w14:paraId="383855BB" w14:textId="3B113AE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43DC93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15E0EF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071D3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1CF2190" w14:textId="77777777" w:rsidTr="008933C7">
        <w:trPr>
          <w:trHeight w:val="300"/>
        </w:trPr>
        <w:tc>
          <w:tcPr>
            <w:tcW w:w="1980" w:type="dxa"/>
            <w:noWrap/>
            <w:hideMark/>
          </w:tcPr>
          <w:p w14:paraId="480D6B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01_045_0115_1_1</w:t>
            </w:r>
          </w:p>
        </w:tc>
        <w:tc>
          <w:tcPr>
            <w:tcW w:w="5670" w:type="dxa"/>
            <w:noWrap/>
            <w:hideMark/>
          </w:tcPr>
          <w:p w14:paraId="45D068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- 1:4 - Weekday</w:t>
            </w:r>
          </w:p>
        </w:tc>
        <w:tc>
          <w:tcPr>
            <w:tcW w:w="2268" w:type="dxa"/>
            <w:noWrap/>
            <w:hideMark/>
          </w:tcPr>
          <w:p w14:paraId="673BC938" w14:textId="00ACF96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BA35A1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4C4CC2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CD992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63A7D9F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2477F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01_049_0104_1_1</w:t>
            </w:r>
          </w:p>
        </w:tc>
        <w:tc>
          <w:tcPr>
            <w:tcW w:w="5670" w:type="dxa"/>
            <w:noWrap/>
            <w:hideMark/>
          </w:tcPr>
          <w:p w14:paraId="5C05A4E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Establishment Fee </w:t>
            </w:r>
            <w:proofErr w:type="gramStart"/>
            <w:r w:rsidRPr="00250068">
              <w:rPr>
                <w:rFonts w:ascii="Calibri" w:eastAsia="Times New Roman" w:hAnsi="Calibri" w:cs="Calibri"/>
                <w:color w:val="000000"/>
                <w:sz w:val="16"/>
                <w:szCs w:val="16"/>
                <w:lang w:eastAsia="en-AU"/>
              </w:rPr>
              <w:t>For</w:t>
            </w:r>
            <w:proofErr w:type="gramEnd"/>
            <w:r w:rsidRPr="00250068">
              <w:rPr>
                <w:rFonts w:ascii="Calibri" w:eastAsia="Times New Roman" w:hAnsi="Calibri" w:cs="Calibri"/>
                <w:color w:val="000000"/>
                <w:sz w:val="16"/>
                <w:szCs w:val="16"/>
                <w:lang w:eastAsia="en-AU"/>
              </w:rPr>
              <w:t xml:space="preserve"> Personal Care/Participation</w:t>
            </w:r>
          </w:p>
        </w:tc>
        <w:tc>
          <w:tcPr>
            <w:tcW w:w="2268" w:type="dxa"/>
            <w:noWrap/>
            <w:hideMark/>
          </w:tcPr>
          <w:p w14:paraId="5F937719" w14:textId="67076B9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74CE3B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BC95B1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6B9741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4FC196EE" w14:textId="77777777" w:rsidTr="008933C7">
        <w:trPr>
          <w:trHeight w:val="300"/>
        </w:trPr>
        <w:tc>
          <w:tcPr>
            <w:tcW w:w="1980" w:type="dxa"/>
            <w:noWrap/>
            <w:hideMark/>
          </w:tcPr>
          <w:p w14:paraId="3962C9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01_049_0107_1_1</w:t>
            </w:r>
          </w:p>
        </w:tc>
        <w:tc>
          <w:tcPr>
            <w:tcW w:w="5670" w:type="dxa"/>
            <w:noWrap/>
            <w:hideMark/>
          </w:tcPr>
          <w:p w14:paraId="1DCE9B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Establishment Fee </w:t>
            </w:r>
            <w:proofErr w:type="gramStart"/>
            <w:r w:rsidRPr="00250068">
              <w:rPr>
                <w:rFonts w:ascii="Calibri" w:eastAsia="Times New Roman" w:hAnsi="Calibri" w:cs="Calibri"/>
                <w:color w:val="000000"/>
                <w:sz w:val="16"/>
                <w:szCs w:val="16"/>
                <w:lang w:eastAsia="en-AU"/>
              </w:rPr>
              <w:t>For</w:t>
            </w:r>
            <w:proofErr w:type="gramEnd"/>
            <w:r w:rsidRPr="00250068">
              <w:rPr>
                <w:rFonts w:ascii="Calibri" w:eastAsia="Times New Roman" w:hAnsi="Calibri" w:cs="Calibri"/>
                <w:color w:val="000000"/>
                <w:sz w:val="16"/>
                <w:szCs w:val="16"/>
                <w:lang w:eastAsia="en-AU"/>
              </w:rPr>
              <w:t xml:space="preserve"> Personal Care/Participation</w:t>
            </w:r>
          </w:p>
        </w:tc>
        <w:tc>
          <w:tcPr>
            <w:tcW w:w="2268" w:type="dxa"/>
            <w:noWrap/>
            <w:hideMark/>
          </w:tcPr>
          <w:p w14:paraId="1A39DAE3" w14:textId="520961F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88EEA8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DC8933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2C377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1F03E0B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0C7FE6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01_051_0115_1_1</w:t>
            </w:r>
          </w:p>
        </w:tc>
        <w:tc>
          <w:tcPr>
            <w:tcW w:w="5670" w:type="dxa"/>
            <w:noWrap/>
            <w:hideMark/>
          </w:tcPr>
          <w:p w14:paraId="23779C5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- 1:4 - Saturday</w:t>
            </w:r>
          </w:p>
        </w:tc>
        <w:tc>
          <w:tcPr>
            <w:tcW w:w="2268" w:type="dxa"/>
            <w:noWrap/>
            <w:hideMark/>
          </w:tcPr>
          <w:p w14:paraId="3EB6B204" w14:textId="522B289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1D8249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BFF6B5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0C70B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2F204753" w14:textId="77777777" w:rsidTr="008933C7">
        <w:trPr>
          <w:trHeight w:val="300"/>
        </w:trPr>
        <w:tc>
          <w:tcPr>
            <w:tcW w:w="1980" w:type="dxa"/>
            <w:noWrap/>
            <w:hideMark/>
          </w:tcPr>
          <w:p w14:paraId="72D179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01_052_0115_1_1</w:t>
            </w:r>
          </w:p>
        </w:tc>
        <w:tc>
          <w:tcPr>
            <w:tcW w:w="5670" w:type="dxa"/>
            <w:noWrap/>
            <w:hideMark/>
          </w:tcPr>
          <w:p w14:paraId="691C7D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- 1:4 - Sunday</w:t>
            </w:r>
          </w:p>
        </w:tc>
        <w:tc>
          <w:tcPr>
            <w:tcW w:w="2268" w:type="dxa"/>
            <w:noWrap/>
            <w:hideMark/>
          </w:tcPr>
          <w:p w14:paraId="0512D1F5" w14:textId="44E3FAD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E0D451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E219B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A45B4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127ABB3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45D19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01_053_0115_1_1</w:t>
            </w:r>
          </w:p>
        </w:tc>
        <w:tc>
          <w:tcPr>
            <w:tcW w:w="5670" w:type="dxa"/>
            <w:noWrap/>
            <w:hideMark/>
          </w:tcPr>
          <w:p w14:paraId="02B03D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- 1:4 - Public Holiday</w:t>
            </w:r>
          </w:p>
        </w:tc>
        <w:tc>
          <w:tcPr>
            <w:tcW w:w="2268" w:type="dxa"/>
            <w:noWrap/>
            <w:hideMark/>
          </w:tcPr>
          <w:p w14:paraId="3E3F9D6A" w14:textId="5F6AD55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986D15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419BB5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A33DB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0D09F82B" w14:textId="77777777" w:rsidTr="008933C7">
        <w:trPr>
          <w:trHeight w:val="300"/>
        </w:trPr>
        <w:tc>
          <w:tcPr>
            <w:tcW w:w="1980" w:type="dxa"/>
            <w:noWrap/>
            <w:hideMark/>
          </w:tcPr>
          <w:p w14:paraId="096D04A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01_054_0115_1_1</w:t>
            </w:r>
          </w:p>
        </w:tc>
        <w:tc>
          <w:tcPr>
            <w:tcW w:w="5670" w:type="dxa"/>
            <w:noWrap/>
            <w:hideMark/>
          </w:tcPr>
          <w:p w14:paraId="36581B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- 1:2 - Weekday</w:t>
            </w:r>
          </w:p>
        </w:tc>
        <w:tc>
          <w:tcPr>
            <w:tcW w:w="2268" w:type="dxa"/>
            <w:noWrap/>
            <w:hideMark/>
          </w:tcPr>
          <w:p w14:paraId="6D2BF2ED" w14:textId="72DD3A1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A1357D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31CF88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976C90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6CB61E0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282441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01_055_0115_1_1</w:t>
            </w:r>
          </w:p>
        </w:tc>
        <w:tc>
          <w:tcPr>
            <w:tcW w:w="5670" w:type="dxa"/>
            <w:noWrap/>
            <w:hideMark/>
          </w:tcPr>
          <w:p w14:paraId="6A7A0D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- 1:2 - Saturday</w:t>
            </w:r>
          </w:p>
        </w:tc>
        <w:tc>
          <w:tcPr>
            <w:tcW w:w="2268" w:type="dxa"/>
            <w:noWrap/>
            <w:hideMark/>
          </w:tcPr>
          <w:p w14:paraId="676D7255" w14:textId="06DBDC4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CC817F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34B7C6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1F12F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092E491F" w14:textId="77777777" w:rsidTr="008933C7">
        <w:trPr>
          <w:trHeight w:val="300"/>
        </w:trPr>
        <w:tc>
          <w:tcPr>
            <w:tcW w:w="1980" w:type="dxa"/>
            <w:noWrap/>
            <w:hideMark/>
          </w:tcPr>
          <w:p w14:paraId="21ABB94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01_056_0115_1_1</w:t>
            </w:r>
          </w:p>
        </w:tc>
        <w:tc>
          <w:tcPr>
            <w:tcW w:w="5670" w:type="dxa"/>
            <w:noWrap/>
            <w:hideMark/>
          </w:tcPr>
          <w:p w14:paraId="53F0C4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- 1:2 - Sunday</w:t>
            </w:r>
          </w:p>
        </w:tc>
        <w:tc>
          <w:tcPr>
            <w:tcW w:w="2268" w:type="dxa"/>
            <w:noWrap/>
            <w:hideMark/>
          </w:tcPr>
          <w:p w14:paraId="56AC29F7" w14:textId="2A20B7D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5D2D48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4310D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8E6614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1399203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FB7CE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01_057_0115_1_1</w:t>
            </w:r>
          </w:p>
        </w:tc>
        <w:tc>
          <w:tcPr>
            <w:tcW w:w="5670" w:type="dxa"/>
            <w:noWrap/>
            <w:hideMark/>
          </w:tcPr>
          <w:p w14:paraId="597807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- 1:2 - Public Holiday</w:t>
            </w:r>
          </w:p>
        </w:tc>
        <w:tc>
          <w:tcPr>
            <w:tcW w:w="2268" w:type="dxa"/>
            <w:noWrap/>
            <w:hideMark/>
          </w:tcPr>
          <w:p w14:paraId="6CCCCD92" w14:textId="2D33C41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7F74EE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9BC1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363B81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39E77FB5" w14:textId="77777777" w:rsidTr="008933C7">
        <w:trPr>
          <w:trHeight w:val="300"/>
        </w:trPr>
        <w:tc>
          <w:tcPr>
            <w:tcW w:w="1980" w:type="dxa"/>
            <w:noWrap/>
            <w:hideMark/>
          </w:tcPr>
          <w:p w14:paraId="7474E4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01_058_0115_1_1</w:t>
            </w:r>
          </w:p>
        </w:tc>
        <w:tc>
          <w:tcPr>
            <w:tcW w:w="5670" w:type="dxa"/>
            <w:noWrap/>
            <w:hideMark/>
          </w:tcPr>
          <w:p w14:paraId="4372918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- 1:1 - Weekday</w:t>
            </w:r>
          </w:p>
        </w:tc>
        <w:tc>
          <w:tcPr>
            <w:tcW w:w="2268" w:type="dxa"/>
            <w:noWrap/>
            <w:hideMark/>
          </w:tcPr>
          <w:p w14:paraId="1D45E10E" w14:textId="1D48D01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CD796F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5C7B3D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94AE9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406AEF1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11B245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01_059_0115_1_1</w:t>
            </w:r>
          </w:p>
        </w:tc>
        <w:tc>
          <w:tcPr>
            <w:tcW w:w="5670" w:type="dxa"/>
            <w:noWrap/>
            <w:hideMark/>
          </w:tcPr>
          <w:p w14:paraId="094CD7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- 1:1 - Saturday</w:t>
            </w:r>
          </w:p>
        </w:tc>
        <w:tc>
          <w:tcPr>
            <w:tcW w:w="2268" w:type="dxa"/>
            <w:noWrap/>
            <w:hideMark/>
          </w:tcPr>
          <w:p w14:paraId="63F6D2F5" w14:textId="1C4B002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F07DAF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B67B1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423E73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6094E10C" w14:textId="77777777" w:rsidTr="008933C7">
        <w:trPr>
          <w:trHeight w:val="300"/>
        </w:trPr>
        <w:tc>
          <w:tcPr>
            <w:tcW w:w="1980" w:type="dxa"/>
            <w:noWrap/>
            <w:hideMark/>
          </w:tcPr>
          <w:p w14:paraId="61624C3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01_060_0115_1_1</w:t>
            </w:r>
          </w:p>
        </w:tc>
        <w:tc>
          <w:tcPr>
            <w:tcW w:w="5670" w:type="dxa"/>
            <w:noWrap/>
            <w:hideMark/>
          </w:tcPr>
          <w:p w14:paraId="1311FF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- 1:1 - Sunday</w:t>
            </w:r>
          </w:p>
        </w:tc>
        <w:tc>
          <w:tcPr>
            <w:tcW w:w="2268" w:type="dxa"/>
            <w:noWrap/>
            <w:hideMark/>
          </w:tcPr>
          <w:p w14:paraId="34712906" w14:textId="2D1A3B7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43FAC9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9CCD5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22495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11F8BC4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8A6CF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01_061_0115_1_1</w:t>
            </w:r>
          </w:p>
        </w:tc>
        <w:tc>
          <w:tcPr>
            <w:tcW w:w="5670" w:type="dxa"/>
            <w:noWrap/>
            <w:hideMark/>
          </w:tcPr>
          <w:p w14:paraId="3B821C6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- 1:1 - Public Holiday</w:t>
            </w:r>
          </w:p>
        </w:tc>
        <w:tc>
          <w:tcPr>
            <w:tcW w:w="2268" w:type="dxa"/>
            <w:noWrap/>
            <w:hideMark/>
          </w:tcPr>
          <w:p w14:paraId="0987DCB5" w14:textId="37A0264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C2ABDF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EC62E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3EB39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29963BD3" w14:textId="77777777" w:rsidTr="008933C7">
        <w:trPr>
          <w:trHeight w:val="300"/>
        </w:trPr>
        <w:tc>
          <w:tcPr>
            <w:tcW w:w="1980" w:type="dxa"/>
            <w:noWrap/>
            <w:hideMark/>
          </w:tcPr>
          <w:p w14:paraId="0E5CDD9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01_062_0115_1_1</w:t>
            </w:r>
          </w:p>
        </w:tc>
        <w:tc>
          <w:tcPr>
            <w:tcW w:w="5670" w:type="dxa"/>
            <w:noWrap/>
            <w:hideMark/>
          </w:tcPr>
          <w:p w14:paraId="1BADE1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- 1:3 - Weekday</w:t>
            </w:r>
          </w:p>
        </w:tc>
        <w:tc>
          <w:tcPr>
            <w:tcW w:w="2268" w:type="dxa"/>
            <w:noWrap/>
            <w:hideMark/>
          </w:tcPr>
          <w:p w14:paraId="78A5E261" w14:textId="70BC581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EEA968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89E8E0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5BC084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5378969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81D1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01_063_0115_1_1</w:t>
            </w:r>
          </w:p>
        </w:tc>
        <w:tc>
          <w:tcPr>
            <w:tcW w:w="5670" w:type="dxa"/>
            <w:noWrap/>
            <w:hideMark/>
          </w:tcPr>
          <w:p w14:paraId="2656241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- 1:3 - Saturday</w:t>
            </w:r>
          </w:p>
        </w:tc>
        <w:tc>
          <w:tcPr>
            <w:tcW w:w="2268" w:type="dxa"/>
            <w:noWrap/>
            <w:hideMark/>
          </w:tcPr>
          <w:p w14:paraId="51B2F69F" w14:textId="64CAB75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9AC060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7712E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C05BE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17CF808D" w14:textId="77777777" w:rsidTr="008933C7">
        <w:trPr>
          <w:trHeight w:val="300"/>
        </w:trPr>
        <w:tc>
          <w:tcPr>
            <w:tcW w:w="1980" w:type="dxa"/>
            <w:noWrap/>
            <w:hideMark/>
          </w:tcPr>
          <w:p w14:paraId="54367C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01_064_0115_1_1</w:t>
            </w:r>
          </w:p>
        </w:tc>
        <w:tc>
          <w:tcPr>
            <w:tcW w:w="5670" w:type="dxa"/>
            <w:noWrap/>
            <w:hideMark/>
          </w:tcPr>
          <w:p w14:paraId="4944738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- 1:3 - Sunday</w:t>
            </w:r>
          </w:p>
        </w:tc>
        <w:tc>
          <w:tcPr>
            <w:tcW w:w="2268" w:type="dxa"/>
            <w:noWrap/>
            <w:hideMark/>
          </w:tcPr>
          <w:p w14:paraId="620FBEDA" w14:textId="4FE8BDF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119AAB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0B793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D9853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6146EE3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834D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01_065_0115_1_1</w:t>
            </w:r>
          </w:p>
        </w:tc>
        <w:tc>
          <w:tcPr>
            <w:tcW w:w="5670" w:type="dxa"/>
            <w:noWrap/>
            <w:hideMark/>
          </w:tcPr>
          <w:p w14:paraId="5E32D5C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STA And Assistance (Inc. Respite) - 1:3 - Public Holiday</w:t>
            </w:r>
          </w:p>
        </w:tc>
        <w:tc>
          <w:tcPr>
            <w:tcW w:w="2268" w:type="dxa"/>
            <w:noWrap/>
            <w:hideMark/>
          </w:tcPr>
          <w:p w14:paraId="5F3F6D75" w14:textId="2ECD083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F57169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B0B81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3766D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4.2</w:t>
            </w:r>
          </w:p>
        </w:tc>
      </w:tr>
      <w:tr w:rsidR="00E96E04" w:rsidRPr="00250068" w14:paraId="7AD7FC74" w14:textId="77777777" w:rsidTr="008933C7">
        <w:trPr>
          <w:trHeight w:val="300"/>
        </w:trPr>
        <w:tc>
          <w:tcPr>
            <w:tcW w:w="1980" w:type="dxa"/>
            <w:noWrap/>
          </w:tcPr>
          <w:p w14:paraId="792D03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01_134_0117_8_1</w:t>
            </w:r>
          </w:p>
        </w:tc>
        <w:tc>
          <w:tcPr>
            <w:tcW w:w="5670" w:type="dxa"/>
            <w:noWrap/>
          </w:tcPr>
          <w:p w14:paraId="4EF4D14F" w14:textId="77777777" w:rsidR="00E96E04" w:rsidRPr="00250068" w:rsidRDefault="00300746" w:rsidP="008933C7">
            <w:pPr>
              <w:spacing w:before="40" w:after="40"/>
              <w:rPr>
                <w:rFonts w:ascii="Calibri" w:eastAsia="Times New Roman" w:hAnsi="Calibri" w:cs="Calibri"/>
                <w:color w:val="000000"/>
                <w:sz w:val="16"/>
                <w:szCs w:val="16"/>
                <w:lang w:eastAsia="en-AU"/>
              </w:rPr>
            </w:pPr>
            <w:r w:rsidRPr="00300746">
              <w:rPr>
                <w:rFonts w:ascii="Calibri" w:eastAsia="Times New Roman" w:hAnsi="Calibri" w:cs="Calibri"/>
                <w:color w:val="000000"/>
                <w:sz w:val="16"/>
                <w:szCs w:val="16"/>
                <w:lang w:eastAsia="en-AU"/>
              </w:rPr>
              <w:t>Capacity Building and Training in Self-Management and Plan Management</w:t>
            </w:r>
          </w:p>
        </w:tc>
        <w:tc>
          <w:tcPr>
            <w:tcW w:w="2268" w:type="dxa"/>
            <w:noWrap/>
          </w:tcPr>
          <w:p w14:paraId="210E9C57" w14:textId="35A25642" w:rsidR="00E96E04" w:rsidRPr="00250068" w:rsidRDefault="00836300" w:rsidP="008933C7">
            <w:pPr>
              <w:spacing w:before="40" w:after="4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Determined </w:t>
            </w:r>
            <w:proofErr w:type="gramStart"/>
            <w:r>
              <w:rPr>
                <w:rFonts w:ascii="Calibri" w:eastAsia="Times New Roman" w:hAnsi="Calibri" w:cs="Calibri"/>
                <w:color w:val="000000"/>
                <w:sz w:val="16"/>
                <w:szCs w:val="16"/>
                <w:lang w:eastAsia="en-AU"/>
              </w:rPr>
              <w:t xml:space="preserve">by </w:t>
            </w:r>
            <w:r w:rsidR="00E96E04" w:rsidRPr="00250068">
              <w:rPr>
                <w:rFonts w:ascii="Calibri" w:eastAsia="Times New Roman" w:hAnsi="Calibri" w:cs="Calibri"/>
                <w:color w:val="000000"/>
                <w:sz w:val="16"/>
                <w:szCs w:val="16"/>
                <w:lang w:eastAsia="en-AU"/>
              </w:rPr>
              <w:t xml:space="preserve"> DSW</w:t>
            </w:r>
            <w:proofErr w:type="gramEnd"/>
            <w:r w:rsidR="00E96E04" w:rsidRPr="00250068">
              <w:rPr>
                <w:rFonts w:ascii="Calibri" w:eastAsia="Times New Roman" w:hAnsi="Calibri" w:cs="Calibri"/>
                <w:color w:val="000000"/>
                <w:sz w:val="16"/>
                <w:szCs w:val="16"/>
                <w:lang w:eastAsia="en-AU"/>
              </w:rPr>
              <w:t xml:space="preserve"> </w:t>
            </w:r>
            <w:r w:rsidR="00156892">
              <w:rPr>
                <w:rFonts w:ascii="Calibri" w:eastAsia="Times New Roman" w:hAnsi="Calibri" w:cs="Calibri"/>
                <w:color w:val="000000"/>
                <w:sz w:val="16"/>
                <w:szCs w:val="16"/>
                <w:lang w:eastAsia="en-AU"/>
              </w:rPr>
              <w:t>Model</w:t>
            </w:r>
          </w:p>
        </w:tc>
        <w:tc>
          <w:tcPr>
            <w:tcW w:w="786" w:type="dxa"/>
            <w:noWrap/>
          </w:tcPr>
          <w:p w14:paraId="48908AE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tcPr>
          <w:p w14:paraId="6C2C81F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tcPr>
          <w:p w14:paraId="02831C0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593A06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FCF7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01_200_0115_1_1</w:t>
            </w:r>
          </w:p>
        </w:tc>
        <w:tc>
          <w:tcPr>
            <w:tcW w:w="5670" w:type="dxa"/>
            <w:noWrap/>
            <w:hideMark/>
          </w:tcPr>
          <w:p w14:paraId="65A69F5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Weekday Daytime</w:t>
            </w:r>
          </w:p>
        </w:tc>
        <w:tc>
          <w:tcPr>
            <w:tcW w:w="2268" w:type="dxa"/>
            <w:noWrap/>
            <w:hideMark/>
          </w:tcPr>
          <w:p w14:paraId="443B3920" w14:textId="2FD3E65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2F0B51C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04CE7E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16973F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8AC029E" w14:textId="77777777" w:rsidTr="008933C7">
        <w:trPr>
          <w:trHeight w:val="300"/>
        </w:trPr>
        <w:tc>
          <w:tcPr>
            <w:tcW w:w="1980" w:type="dxa"/>
            <w:noWrap/>
            <w:hideMark/>
          </w:tcPr>
          <w:p w14:paraId="4B7D74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01_201_0115_1_1</w:t>
            </w:r>
          </w:p>
        </w:tc>
        <w:tc>
          <w:tcPr>
            <w:tcW w:w="5670" w:type="dxa"/>
            <w:noWrap/>
            <w:hideMark/>
          </w:tcPr>
          <w:p w14:paraId="26D9D3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Weekday Evening</w:t>
            </w:r>
          </w:p>
        </w:tc>
        <w:tc>
          <w:tcPr>
            <w:tcW w:w="2268" w:type="dxa"/>
            <w:noWrap/>
            <w:hideMark/>
          </w:tcPr>
          <w:p w14:paraId="0D93482B" w14:textId="6F3757B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644405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365DFB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645391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1948A0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9ED4A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01_202_0115_1_1</w:t>
            </w:r>
          </w:p>
        </w:tc>
        <w:tc>
          <w:tcPr>
            <w:tcW w:w="5670" w:type="dxa"/>
            <w:noWrap/>
            <w:hideMark/>
          </w:tcPr>
          <w:p w14:paraId="5F4B430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Saturday</w:t>
            </w:r>
          </w:p>
        </w:tc>
        <w:tc>
          <w:tcPr>
            <w:tcW w:w="2268" w:type="dxa"/>
            <w:noWrap/>
            <w:hideMark/>
          </w:tcPr>
          <w:p w14:paraId="6558456D" w14:textId="392CDA5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66C62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70CBF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F1C091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59811F0" w14:textId="77777777" w:rsidTr="008933C7">
        <w:trPr>
          <w:trHeight w:val="300"/>
        </w:trPr>
        <w:tc>
          <w:tcPr>
            <w:tcW w:w="1980" w:type="dxa"/>
            <w:noWrap/>
            <w:hideMark/>
          </w:tcPr>
          <w:p w14:paraId="7A80C3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01_203_0115_1_1</w:t>
            </w:r>
          </w:p>
        </w:tc>
        <w:tc>
          <w:tcPr>
            <w:tcW w:w="5670" w:type="dxa"/>
            <w:noWrap/>
            <w:hideMark/>
          </w:tcPr>
          <w:p w14:paraId="38C6C7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Sunday</w:t>
            </w:r>
          </w:p>
        </w:tc>
        <w:tc>
          <w:tcPr>
            <w:tcW w:w="2268" w:type="dxa"/>
            <w:noWrap/>
            <w:hideMark/>
          </w:tcPr>
          <w:p w14:paraId="3CD1D989" w14:textId="08C184A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9933E7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0D0A2C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F0107E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AF11E1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F509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01_204_0115_1_1</w:t>
            </w:r>
          </w:p>
        </w:tc>
        <w:tc>
          <w:tcPr>
            <w:tcW w:w="5670" w:type="dxa"/>
            <w:noWrap/>
            <w:hideMark/>
          </w:tcPr>
          <w:p w14:paraId="547150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Public Holiday</w:t>
            </w:r>
          </w:p>
        </w:tc>
        <w:tc>
          <w:tcPr>
            <w:tcW w:w="2268" w:type="dxa"/>
            <w:noWrap/>
            <w:hideMark/>
          </w:tcPr>
          <w:p w14:paraId="1A3636F9" w14:textId="030A482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2CE7A82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E2AB4C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765797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BB4F42F" w14:textId="77777777" w:rsidTr="008933C7">
        <w:trPr>
          <w:trHeight w:val="300"/>
        </w:trPr>
        <w:tc>
          <w:tcPr>
            <w:tcW w:w="1980" w:type="dxa"/>
            <w:noWrap/>
            <w:hideMark/>
          </w:tcPr>
          <w:p w14:paraId="3F1C7F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01_205_0115_1_1</w:t>
            </w:r>
          </w:p>
        </w:tc>
        <w:tc>
          <w:tcPr>
            <w:tcW w:w="5670" w:type="dxa"/>
            <w:noWrap/>
            <w:hideMark/>
          </w:tcPr>
          <w:p w14:paraId="435214A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Self-Care Activities in a STA - Weekday Night</w:t>
            </w:r>
          </w:p>
        </w:tc>
        <w:tc>
          <w:tcPr>
            <w:tcW w:w="2268" w:type="dxa"/>
            <w:noWrap/>
            <w:hideMark/>
          </w:tcPr>
          <w:p w14:paraId="3EEF1526" w14:textId="3C7F632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750B1B6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62765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70684892"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4FF055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08A5B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01_400_0104_1_1</w:t>
            </w:r>
          </w:p>
        </w:tc>
        <w:tc>
          <w:tcPr>
            <w:tcW w:w="5670" w:type="dxa"/>
            <w:noWrap/>
            <w:hideMark/>
          </w:tcPr>
          <w:p w14:paraId="1EC9191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23D4847D" w14:textId="7E0AA3B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2AEB6FE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53199A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ADFC11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BEB6C98" w14:textId="77777777" w:rsidTr="008933C7">
        <w:trPr>
          <w:trHeight w:val="300"/>
        </w:trPr>
        <w:tc>
          <w:tcPr>
            <w:tcW w:w="1980" w:type="dxa"/>
            <w:noWrap/>
            <w:hideMark/>
          </w:tcPr>
          <w:p w14:paraId="767BC1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01_400_0104_1_1_T</w:t>
            </w:r>
          </w:p>
        </w:tc>
        <w:tc>
          <w:tcPr>
            <w:tcW w:w="5670" w:type="dxa"/>
            <w:noWrap/>
            <w:hideMark/>
          </w:tcPr>
          <w:p w14:paraId="04B66EB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65C16F04" w14:textId="79383D5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8CCC9D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36716D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4E40D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24D4E7B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1B1E94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01_401_0104_1_1</w:t>
            </w:r>
          </w:p>
        </w:tc>
        <w:tc>
          <w:tcPr>
            <w:tcW w:w="5670" w:type="dxa"/>
            <w:noWrap/>
            <w:hideMark/>
          </w:tcPr>
          <w:p w14:paraId="414EE50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Evening</w:t>
            </w:r>
          </w:p>
        </w:tc>
        <w:tc>
          <w:tcPr>
            <w:tcW w:w="2268" w:type="dxa"/>
            <w:noWrap/>
            <w:hideMark/>
          </w:tcPr>
          <w:p w14:paraId="0AB59CD5" w14:textId="7D96D92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744E55F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C43F2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5AB39C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64ECD18" w14:textId="77777777" w:rsidTr="008933C7">
        <w:trPr>
          <w:trHeight w:val="300"/>
        </w:trPr>
        <w:tc>
          <w:tcPr>
            <w:tcW w:w="1980" w:type="dxa"/>
            <w:noWrap/>
            <w:hideMark/>
          </w:tcPr>
          <w:p w14:paraId="16C9BEC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01_401_0104_1_1_T</w:t>
            </w:r>
          </w:p>
        </w:tc>
        <w:tc>
          <w:tcPr>
            <w:tcW w:w="5670" w:type="dxa"/>
            <w:noWrap/>
            <w:hideMark/>
          </w:tcPr>
          <w:p w14:paraId="54A7CE3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Evening - TTP</w:t>
            </w:r>
          </w:p>
        </w:tc>
        <w:tc>
          <w:tcPr>
            <w:tcW w:w="2268" w:type="dxa"/>
            <w:noWrap/>
            <w:hideMark/>
          </w:tcPr>
          <w:p w14:paraId="449E5D6F" w14:textId="1F1561D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A733C2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1D83D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FBA39F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61523DD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1ECE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01_402_0104_1_1</w:t>
            </w:r>
          </w:p>
        </w:tc>
        <w:tc>
          <w:tcPr>
            <w:tcW w:w="5670" w:type="dxa"/>
            <w:noWrap/>
            <w:hideMark/>
          </w:tcPr>
          <w:p w14:paraId="70ECF06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4CCFD33F" w14:textId="1257699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BE7EF5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BD542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F606D6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1EF1EC9" w14:textId="77777777" w:rsidTr="008933C7">
        <w:trPr>
          <w:trHeight w:val="300"/>
        </w:trPr>
        <w:tc>
          <w:tcPr>
            <w:tcW w:w="1980" w:type="dxa"/>
            <w:noWrap/>
            <w:hideMark/>
          </w:tcPr>
          <w:p w14:paraId="2B1A71B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01_402_0104_1_1_T</w:t>
            </w:r>
          </w:p>
        </w:tc>
        <w:tc>
          <w:tcPr>
            <w:tcW w:w="5670" w:type="dxa"/>
            <w:noWrap/>
            <w:hideMark/>
          </w:tcPr>
          <w:p w14:paraId="308842F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767D788F" w14:textId="3E7BBD8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686F1B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1F31B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66B00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7D9A5B7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D7CFA3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01_403_0104_1_1</w:t>
            </w:r>
          </w:p>
        </w:tc>
        <w:tc>
          <w:tcPr>
            <w:tcW w:w="5670" w:type="dxa"/>
            <w:noWrap/>
            <w:hideMark/>
          </w:tcPr>
          <w:p w14:paraId="3E97A06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59F0EDC6" w14:textId="2C2373F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ADEAFC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C0A3F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0418BB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DF3DAD9" w14:textId="77777777" w:rsidTr="008933C7">
        <w:trPr>
          <w:trHeight w:val="300"/>
        </w:trPr>
        <w:tc>
          <w:tcPr>
            <w:tcW w:w="1980" w:type="dxa"/>
            <w:noWrap/>
            <w:hideMark/>
          </w:tcPr>
          <w:p w14:paraId="25B429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01_403_0104_1_1_T</w:t>
            </w:r>
          </w:p>
        </w:tc>
        <w:tc>
          <w:tcPr>
            <w:tcW w:w="5670" w:type="dxa"/>
            <w:noWrap/>
            <w:hideMark/>
          </w:tcPr>
          <w:p w14:paraId="0BA0F14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3855BC4A" w14:textId="67245E8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C2527E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783A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775D1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2BA2260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F1F702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01_404_0104_1_1</w:t>
            </w:r>
          </w:p>
        </w:tc>
        <w:tc>
          <w:tcPr>
            <w:tcW w:w="5670" w:type="dxa"/>
            <w:noWrap/>
            <w:hideMark/>
          </w:tcPr>
          <w:p w14:paraId="541E604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2C609B60" w14:textId="794A9FA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113576F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B2180F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F5DC6D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A50FF32" w14:textId="77777777" w:rsidTr="008933C7">
        <w:trPr>
          <w:trHeight w:val="300"/>
        </w:trPr>
        <w:tc>
          <w:tcPr>
            <w:tcW w:w="1980" w:type="dxa"/>
            <w:noWrap/>
            <w:hideMark/>
          </w:tcPr>
          <w:p w14:paraId="0698F6E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01_404_0104_1_1_T</w:t>
            </w:r>
          </w:p>
        </w:tc>
        <w:tc>
          <w:tcPr>
            <w:tcW w:w="5670" w:type="dxa"/>
            <w:noWrap/>
            <w:hideMark/>
          </w:tcPr>
          <w:p w14:paraId="35444C5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Assistance With Self-Care Activities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18317256" w14:textId="3EDACDB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BFC00B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DB464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C80F55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20EE3E4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5AEC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01_405_0104_1_1</w:t>
            </w:r>
          </w:p>
        </w:tc>
        <w:tc>
          <w:tcPr>
            <w:tcW w:w="5670" w:type="dxa"/>
            <w:noWrap/>
            <w:hideMark/>
          </w:tcPr>
          <w:p w14:paraId="2B3FBF5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Assistance With Self-Care Activities - </w:t>
            </w:r>
            <w:r w:rsidR="00934A91" w:rsidRPr="00250068">
              <w:rPr>
                <w:rFonts w:ascii="Calibri" w:eastAsia="Times New Roman" w:hAnsi="Calibri" w:cs="Calibri"/>
                <w:color w:val="000000"/>
                <w:sz w:val="16"/>
                <w:szCs w:val="16"/>
                <w:lang w:eastAsia="en-AU"/>
              </w:rPr>
              <w:t>High Intensity</w:t>
            </w:r>
            <w:r w:rsidRPr="00250068">
              <w:rPr>
                <w:rFonts w:ascii="Calibri" w:eastAsia="Times New Roman" w:hAnsi="Calibri" w:cs="Calibri"/>
                <w:color w:val="000000"/>
                <w:sz w:val="16"/>
                <w:szCs w:val="16"/>
                <w:lang w:eastAsia="en-AU"/>
              </w:rPr>
              <w:t xml:space="preserve"> - Weekday Night</w:t>
            </w:r>
          </w:p>
        </w:tc>
        <w:tc>
          <w:tcPr>
            <w:tcW w:w="2268" w:type="dxa"/>
            <w:noWrap/>
            <w:hideMark/>
          </w:tcPr>
          <w:p w14:paraId="479C9A37" w14:textId="6B13950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DD5048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01A78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227FEE8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B69CFE7" w14:textId="77777777" w:rsidTr="008933C7">
        <w:trPr>
          <w:trHeight w:val="300"/>
        </w:trPr>
        <w:tc>
          <w:tcPr>
            <w:tcW w:w="1980" w:type="dxa"/>
            <w:noWrap/>
            <w:hideMark/>
          </w:tcPr>
          <w:p w14:paraId="6ED915F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01_405_0104_1_1_T</w:t>
            </w:r>
          </w:p>
        </w:tc>
        <w:tc>
          <w:tcPr>
            <w:tcW w:w="5670" w:type="dxa"/>
            <w:noWrap/>
            <w:hideMark/>
          </w:tcPr>
          <w:p w14:paraId="192BB61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Assistance With Self-Care Activities - </w:t>
            </w:r>
            <w:r w:rsidR="00934A91" w:rsidRPr="00250068">
              <w:rPr>
                <w:rFonts w:ascii="Calibri" w:eastAsia="Times New Roman" w:hAnsi="Calibri" w:cs="Calibri"/>
                <w:color w:val="000000"/>
                <w:sz w:val="16"/>
                <w:szCs w:val="16"/>
                <w:lang w:eastAsia="en-AU"/>
              </w:rPr>
              <w:t>High Intensity</w:t>
            </w:r>
            <w:r w:rsidRPr="00250068">
              <w:rPr>
                <w:rFonts w:ascii="Calibri" w:eastAsia="Times New Roman" w:hAnsi="Calibri" w:cs="Calibri"/>
                <w:color w:val="000000"/>
                <w:sz w:val="16"/>
                <w:szCs w:val="16"/>
                <w:lang w:eastAsia="en-AU"/>
              </w:rPr>
              <w:t xml:space="preserve"> - Weekday Night - TTP</w:t>
            </w:r>
          </w:p>
        </w:tc>
        <w:tc>
          <w:tcPr>
            <w:tcW w:w="2268" w:type="dxa"/>
            <w:noWrap/>
            <w:hideMark/>
          </w:tcPr>
          <w:p w14:paraId="3CF452DD" w14:textId="69488D9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41BB3F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D3CF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19D56A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176193C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559AA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01_801_0115_1_1</w:t>
            </w:r>
          </w:p>
        </w:tc>
        <w:tc>
          <w:tcPr>
            <w:tcW w:w="5670" w:type="dxa"/>
            <w:noWrap/>
            <w:hideMark/>
          </w:tcPr>
          <w:p w14:paraId="2BDEC7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Weekday Daytime</w:t>
            </w:r>
          </w:p>
        </w:tc>
        <w:tc>
          <w:tcPr>
            <w:tcW w:w="2268" w:type="dxa"/>
            <w:noWrap/>
            <w:hideMark/>
          </w:tcPr>
          <w:p w14:paraId="1C91202E" w14:textId="1F6DFE9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68C4F9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FD532C2"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109287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8934050" w14:textId="77777777" w:rsidTr="008933C7">
        <w:trPr>
          <w:trHeight w:val="300"/>
        </w:trPr>
        <w:tc>
          <w:tcPr>
            <w:tcW w:w="1980" w:type="dxa"/>
            <w:noWrap/>
            <w:hideMark/>
          </w:tcPr>
          <w:p w14:paraId="156FF9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01_802_0115_1_1</w:t>
            </w:r>
          </w:p>
        </w:tc>
        <w:tc>
          <w:tcPr>
            <w:tcW w:w="5670" w:type="dxa"/>
            <w:noWrap/>
            <w:hideMark/>
          </w:tcPr>
          <w:p w14:paraId="03B0C44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Weekday Evening</w:t>
            </w:r>
          </w:p>
        </w:tc>
        <w:tc>
          <w:tcPr>
            <w:tcW w:w="2268" w:type="dxa"/>
            <w:noWrap/>
            <w:hideMark/>
          </w:tcPr>
          <w:p w14:paraId="2F65B520" w14:textId="59CC4A3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BE2595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58AAB8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3E3788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7AD545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417072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01_803_0115_1_1</w:t>
            </w:r>
          </w:p>
        </w:tc>
        <w:tc>
          <w:tcPr>
            <w:tcW w:w="5670" w:type="dxa"/>
            <w:noWrap/>
            <w:hideMark/>
          </w:tcPr>
          <w:p w14:paraId="627AC8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Weekday Night</w:t>
            </w:r>
          </w:p>
        </w:tc>
        <w:tc>
          <w:tcPr>
            <w:tcW w:w="2268" w:type="dxa"/>
            <w:noWrap/>
            <w:hideMark/>
          </w:tcPr>
          <w:p w14:paraId="1B743635" w14:textId="0D48AAC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4505B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9D446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4FACEA82"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A98A977" w14:textId="77777777" w:rsidTr="008933C7">
        <w:trPr>
          <w:trHeight w:val="300"/>
        </w:trPr>
        <w:tc>
          <w:tcPr>
            <w:tcW w:w="1980" w:type="dxa"/>
            <w:noWrap/>
            <w:hideMark/>
          </w:tcPr>
          <w:p w14:paraId="0F8A7D8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01_804_0115_1_1</w:t>
            </w:r>
          </w:p>
        </w:tc>
        <w:tc>
          <w:tcPr>
            <w:tcW w:w="5670" w:type="dxa"/>
            <w:noWrap/>
            <w:hideMark/>
          </w:tcPr>
          <w:p w14:paraId="4EFD92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Saturday</w:t>
            </w:r>
          </w:p>
        </w:tc>
        <w:tc>
          <w:tcPr>
            <w:tcW w:w="2268" w:type="dxa"/>
            <w:noWrap/>
            <w:hideMark/>
          </w:tcPr>
          <w:p w14:paraId="70DCEFA1" w14:textId="37CD4D7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6E1F14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4F2A33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B6B333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A3EADD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DA9DD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01_805_0115_1_1</w:t>
            </w:r>
          </w:p>
        </w:tc>
        <w:tc>
          <w:tcPr>
            <w:tcW w:w="5670" w:type="dxa"/>
            <w:noWrap/>
            <w:hideMark/>
          </w:tcPr>
          <w:p w14:paraId="18A9E6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Sunday</w:t>
            </w:r>
          </w:p>
        </w:tc>
        <w:tc>
          <w:tcPr>
            <w:tcW w:w="2268" w:type="dxa"/>
            <w:noWrap/>
            <w:hideMark/>
          </w:tcPr>
          <w:p w14:paraId="48ED4C63" w14:textId="5A22BE8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2983CB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55F29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EC8039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ADA8FE8" w14:textId="77777777" w:rsidTr="008933C7">
        <w:trPr>
          <w:trHeight w:val="300"/>
        </w:trPr>
        <w:tc>
          <w:tcPr>
            <w:tcW w:w="1980" w:type="dxa"/>
            <w:noWrap/>
            <w:hideMark/>
          </w:tcPr>
          <w:p w14:paraId="51A0FA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01_806_0115_1_1</w:t>
            </w:r>
          </w:p>
        </w:tc>
        <w:tc>
          <w:tcPr>
            <w:tcW w:w="5670" w:type="dxa"/>
            <w:noWrap/>
            <w:hideMark/>
          </w:tcPr>
          <w:p w14:paraId="27BEE2A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Standard - Public Holiday</w:t>
            </w:r>
          </w:p>
        </w:tc>
        <w:tc>
          <w:tcPr>
            <w:tcW w:w="2268" w:type="dxa"/>
            <w:noWrap/>
            <w:hideMark/>
          </w:tcPr>
          <w:p w14:paraId="610AB00E" w14:textId="01F32BA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7211058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20E74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F85CB7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6A6462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DCF99A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01_811_0115_1_1</w:t>
            </w:r>
          </w:p>
        </w:tc>
        <w:tc>
          <w:tcPr>
            <w:tcW w:w="5670" w:type="dxa"/>
            <w:noWrap/>
            <w:hideMark/>
          </w:tcPr>
          <w:p w14:paraId="7046D5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Weekday Daytime</w:t>
            </w:r>
          </w:p>
        </w:tc>
        <w:tc>
          <w:tcPr>
            <w:tcW w:w="2268" w:type="dxa"/>
            <w:noWrap/>
            <w:hideMark/>
          </w:tcPr>
          <w:p w14:paraId="686D88BF" w14:textId="68DDDEB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D24006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93009F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2FA47E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E15091B" w14:textId="77777777" w:rsidTr="008933C7">
        <w:trPr>
          <w:trHeight w:val="300"/>
        </w:trPr>
        <w:tc>
          <w:tcPr>
            <w:tcW w:w="1980" w:type="dxa"/>
            <w:noWrap/>
            <w:hideMark/>
          </w:tcPr>
          <w:p w14:paraId="03DE5E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01_812_0115_1_1</w:t>
            </w:r>
          </w:p>
        </w:tc>
        <w:tc>
          <w:tcPr>
            <w:tcW w:w="5670" w:type="dxa"/>
            <w:noWrap/>
            <w:hideMark/>
          </w:tcPr>
          <w:p w14:paraId="04D932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Weekday Evening</w:t>
            </w:r>
          </w:p>
        </w:tc>
        <w:tc>
          <w:tcPr>
            <w:tcW w:w="2268" w:type="dxa"/>
            <w:noWrap/>
            <w:hideMark/>
          </w:tcPr>
          <w:p w14:paraId="1B79B75E" w14:textId="22B5C57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277C648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A2A08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99CC3E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FC4272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80B18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01_813_0115_1_1</w:t>
            </w:r>
          </w:p>
        </w:tc>
        <w:tc>
          <w:tcPr>
            <w:tcW w:w="5670" w:type="dxa"/>
            <w:noWrap/>
            <w:hideMark/>
          </w:tcPr>
          <w:p w14:paraId="6CB8534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Weekday Night</w:t>
            </w:r>
          </w:p>
        </w:tc>
        <w:tc>
          <w:tcPr>
            <w:tcW w:w="2268" w:type="dxa"/>
            <w:noWrap/>
            <w:hideMark/>
          </w:tcPr>
          <w:p w14:paraId="765F7DAB" w14:textId="3264119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864EFD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35232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6376631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7DF7D57" w14:textId="77777777" w:rsidTr="008933C7">
        <w:trPr>
          <w:trHeight w:val="300"/>
        </w:trPr>
        <w:tc>
          <w:tcPr>
            <w:tcW w:w="1980" w:type="dxa"/>
            <w:noWrap/>
            <w:hideMark/>
          </w:tcPr>
          <w:p w14:paraId="331F973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01_814_0115_1_1</w:t>
            </w:r>
          </w:p>
        </w:tc>
        <w:tc>
          <w:tcPr>
            <w:tcW w:w="5670" w:type="dxa"/>
            <w:noWrap/>
            <w:hideMark/>
          </w:tcPr>
          <w:p w14:paraId="5DF886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Saturday</w:t>
            </w:r>
          </w:p>
        </w:tc>
        <w:tc>
          <w:tcPr>
            <w:tcW w:w="2268" w:type="dxa"/>
            <w:noWrap/>
            <w:hideMark/>
          </w:tcPr>
          <w:p w14:paraId="223A6FBF" w14:textId="44036E4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36DDA48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FFD23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5D3F7E5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1A8845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D85E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01_815_0115_1_1</w:t>
            </w:r>
          </w:p>
        </w:tc>
        <w:tc>
          <w:tcPr>
            <w:tcW w:w="5670" w:type="dxa"/>
            <w:noWrap/>
            <w:hideMark/>
          </w:tcPr>
          <w:p w14:paraId="1EA8842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Sunday</w:t>
            </w:r>
          </w:p>
        </w:tc>
        <w:tc>
          <w:tcPr>
            <w:tcW w:w="2268" w:type="dxa"/>
            <w:noWrap/>
            <w:hideMark/>
          </w:tcPr>
          <w:p w14:paraId="41E39840" w14:textId="52AB4C6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354AA4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215A6F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3B2E92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EF86271" w14:textId="77777777" w:rsidTr="008933C7">
        <w:trPr>
          <w:trHeight w:val="300"/>
        </w:trPr>
        <w:tc>
          <w:tcPr>
            <w:tcW w:w="1980" w:type="dxa"/>
            <w:noWrap/>
            <w:hideMark/>
          </w:tcPr>
          <w:p w14:paraId="78EAF1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01_816_0115_1_1</w:t>
            </w:r>
          </w:p>
        </w:tc>
        <w:tc>
          <w:tcPr>
            <w:tcW w:w="5670" w:type="dxa"/>
            <w:noWrap/>
            <w:hideMark/>
          </w:tcPr>
          <w:p w14:paraId="6835FBB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High Intensity - Public Holiday</w:t>
            </w:r>
          </w:p>
        </w:tc>
        <w:tc>
          <w:tcPr>
            <w:tcW w:w="2268" w:type="dxa"/>
            <w:noWrap/>
            <w:hideMark/>
          </w:tcPr>
          <w:p w14:paraId="7A058E3D" w14:textId="109EC96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22EAB4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36E8D9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33B249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7864A4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9E566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01_832_0115_1_1</w:t>
            </w:r>
          </w:p>
        </w:tc>
        <w:tc>
          <w:tcPr>
            <w:tcW w:w="5670" w:type="dxa"/>
            <w:noWrap/>
            <w:hideMark/>
          </w:tcPr>
          <w:p w14:paraId="70A7EFA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in Supported Independent Living - Night-Time Sleepover</w:t>
            </w:r>
          </w:p>
        </w:tc>
        <w:tc>
          <w:tcPr>
            <w:tcW w:w="2268" w:type="dxa"/>
            <w:noWrap/>
            <w:hideMark/>
          </w:tcPr>
          <w:p w14:paraId="75A1722B" w14:textId="36A096C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DA5C4B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B79A73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511661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2.2</w:t>
            </w:r>
          </w:p>
        </w:tc>
      </w:tr>
      <w:tr w:rsidR="00E96E04" w:rsidRPr="00250068" w14:paraId="273D2AFE" w14:textId="77777777" w:rsidTr="008933C7">
        <w:trPr>
          <w:trHeight w:val="300"/>
        </w:trPr>
        <w:tc>
          <w:tcPr>
            <w:tcW w:w="1980" w:type="dxa"/>
            <w:noWrap/>
            <w:hideMark/>
          </w:tcPr>
          <w:p w14:paraId="75DD9D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04_049_0104_1_1</w:t>
            </w:r>
          </w:p>
        </w:tc>
        <w:tc>
          <w:tcPr>
            <w:tcW w:w="5670" w:type="dxa"/>
            <w:noWrap/>
            <w:hideMark/>
          </w:tcPr>
          <w:p w14:paraId="51E697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Establishment Fee </w:t>
            </w:r>
            <w:proofErr w:type="gramStart"/>
            <w:r w:rsidRPr="00250068">
              <w:rPr>
                <w:rFonts w:ascii="Calibri" w:eastAsia="Times New Roman" w:hAnsi="Calibri" w:cs="Calibri"/>
                <w:color w:val="000000"/>
                <w:sz w:val="16"/>
                <w:szCs w:val="16"/>
                <w:lang w:eastAsia="en-AU"/>
              </w:rPr>
              <w:t>For</w:t>
            </w:r>
            <w:proofErr w:type="gramEnd"/>
            <w:r w:rsidRPr="00250068">
              <w:rPr>
                <w:rFonts w:ascii="Calibri" w:eastAsia="Times New Roman" w:hAnsi="Calibri" w:cs="Calibri"/>
                <w:color w:val="000000"/>
                <w:sz w:val="16"/>
                <w:szCs w:val="16"/>
                <w:lang w:eastAsia="en-AU"/>
              </w:rPr>
              <w:t xml:space="preserve"> Personal Care/Participation</w:t>
            </w:r>
          </w:p>
        </w:tc>
        <w:tc>
          <w:tcPr>
            <w:tcW w:w="2268" w:type="dxa"/>
            <w:noWrap/>
            <w:hideMark/>
          </w:tcPr>
          <w:p w14:paraId="164D6369" w14:textId="49C4685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1EB68F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F25CF6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893555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25DCCD7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A723F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04_049_0125_1_1</w:t>
            </w:r>
          </w:p>
        </w:tc>
        <w:tc>
          <w:tcPr>
            <w:tcW w:w="5670" w:type="dxa"/>
            <w:noWrap/>
            <w:hideMark/>
          </w:tcPr>
          <w:p w14:paraId="571AD44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Establishment Fee </w:t>
            </w:r>
            <w:proofErr w:type="gramStart"/>
            <w:r w:rsidRPr="00250068">
              <w:rPr>
                <w:rFonts w:ascii="Calibri" w:eastAsia="Times New Roman" w:hAnsi="Calibri" w:cs="Calibri"/>
                <w:color w:val="000000"/>
                <w:sz w:val="16"/>
                <w:szCs w:val="16"/>
                <w:lang w:eastAsia="en-AU"/>
              </w:rPr>
              <w:t>For</w:t>
            </w:r>
            <w:proofErr w:type="gramEnd"/>
            <w:r w:rsidRPr="00250068">
              <w:rPr>
                <w:rFonts w:ascii="Calibri" w:eastAsia="Times New Roman" w:hAnsi="Calibri" w:cs="Calibri"/>
                <w:color w:val="000000"/>
                <w:sz w:val="16"/>
                <w:szCs w:val="16"/>
                <w:lang w:eastAsia="en-AU"/>
              </w:rPr>
              <w:t xml:space="preserve"> Personal Care/Participation</w:t>
            </w:r>
          </w:p>
        </w:tc>
        <w:tc>
          <w:tcPr>
            <w:tcW w:w="2268" w:type="dxa"/>
            <w:noWrap/>
            <w:hideMark/>
          </w:tcPr>
          <w:p w14:paraId="3B4F82A3" w14:textId="0EE4BA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45379E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179B40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4FCEB5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7B2BE219" w14:textId="77777777" w:rsidTr="008933C7">
        <w:trPr>
          <w:trHeight w:val="300"/>
        </w:trPr>
        <w:tc>
          <w:tcPr>
            <w:tcW w:w="1980" w:type="dxa"/>
            <w:noWrap/>
            <w:hideMark/>
          </w:tcPr>
          <w:p w14:paraId="22C3CB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04_049_0133_5_1</w:t>
            </w:r>
          </w:p>
        </w:tc>
        <w:tc>
          <w:tcPr>
            <w:tcW w:w="5670" w:type="dxa"/>
            <w:noWrap/>
            <w:hideMark/>
          </w:tcPr>
          <w:p w14:paraId="4C53F2C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Establishment Fee </w:t>
            </w:r>
            <w:proofErr w:type="gramStart"/>
            <w:r w:rsidRPr="00250068">
              <w:rPr>
                <w:rFonts w:ascii="Calibri" w:eastAsia="Times New Roman" w:hAnsi="Calibri" w:cs="Calibri"/>
                <w:color w:val="000000"/>
                <w:sz w:val="16"/>
                <w:szCs w:val="16"/>
                <w:lang w:eastAsia="en-AU"/>
              </w:rPr>
              <w:t>For</w:t>
            </w:r>
            <w:proofErr w:type="gramEnd"/>
            <w:r w:rsidRPr="00250068">
              <w:rPr>
                <w:rFonts w:ascii="Calibri" w:eastAsia="Times New Roman" w:hAnsi="Calibri" w:cs="Calibri"/>
                <w:color w:val="000000"/>
                <w:sz w:val="16"/>
                <w:szCs w:val="16"/>
                <w:lang w:eastAsia="en-AU"/>
              </w:rPr>
              <w:t xml:space="preserve"> Personal Care/Participation</w:t>
            </w:r>
          </w:p>
        </w:tc>
        <w:tc>
          <w:tcPr>
            <w:tcW w:w="2268" w:type="dxa"/>
            <w:noWrap/>
            <w:hideMark/>
          </w:tcPr>
          <w:p w14:paraId="4B965F17" w14:textId="77D2125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2CACD2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92DE65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0E9FA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05C4592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D8DDD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04_049_0136_1_1</w:t>
            </w:r>
          </w:p>
        </w:tc>
        <w:tc>
          <w:tcPr>
            <w:tcW w:w="5670" w:type="dxa"/>
            <w:noWrap/>
            <w:hideMark/>
          </w:tcPr>
          <w:p w14:paraId="26796FD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Establishment Fee </w:t>
            </w:r>
            <w:proofErr w:type="gramStart"/>
            <w:r w:rsidRPr="00250068">
              <w:rPr>
                <w:rFonts w:ascii="Calibri" w:eastAsia="Times New Roman" w:hAnsi="Calibri" w:cs="Calibri"/>
                <w:color w:val="000000"/>
                <w:sz w:val="16"/>
                <w:szCs w:val="16"/>
                <w:lang w:eastAsia="en-AU"/>
              </w:rPr>
              <w:t>For</w:t>
            </w:r>
            <w:proofErr w:type="gramEnd"/>
            <w:r w:rsidRPr="00250068">
              <w:rPr>
                <w:rFonts w:ascii="Calibri" w:eastAsia="Times New Roman" w:hAnsi="Calibri" w:cs="Calibri"/>
                <w:color w:val="000000"/>
                <w:sz w:val="16"/>
                <w:szCs w:val="16"/>
                <w:lang w:eastAsia="en-AU"/>
              </w:rPr>
              <w:t xml:space="preserve"> Personal Care/Participation</w:t>
            </w:r>
          </w:p>
        </w:tc>
        <w:tc>
          <w:tcPr>
            <w:tcW w:w="2268" w:type="dxa"/>
            <w:noWrap/>
            <w:hideMark/>
          </w:tcPr>
          <w:p w14:paraId="1BC39FF6" w14:textId="511571E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ADC5D9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2FF065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CA29F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3.1</w:t>
            </w:r>
          </w:p>
        </w:tc>
      </w:tr>
      <w:tr w:rsidR="00E96E04" w:rsidRPr="00250068" w14:paraId="3314698A" w14:textId="77777777" w:rsidTr="008933C7">
        <w:trPr>
          <w:trHeight w:val="300"/>
        </w:trPr>
        <w:tc>
          <w:tcPr>
            <w:tcW w:w="1980" w:type="dxa"/>
            <w:noWrap/>
            <w:hideMark/>
          </w:tcPr>
          <w:p w14:paraId="589E08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04_102_0125_6_1</w:t>
            </w:r>
          </w:p>
        </w:tc>
        <w:tc>
          <w:tcPr>
            <w:tcW w:w="5670" w:type="dxa"/>
            <w:noWrap/>
            <w:hideMark/>
          </w:tcPr>
          <w:p w14:paraId="41ABED8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Access Community Social </w:t>
            </w:r>
            <w:proofErr w:type="gramStart"/>
            <w:r w:rsidRPr="00250068">
              <w:rPr>
                <w:rFonts w:ascii="Calibri" w:eastAsia="Times New Roman" w:hAnsi="Calibri" w:cs="Calibri"/>
                <w:color w:val="000000"/>
                <w:sz w:val="16"/>
                <w:szCs w:val="16"/>
                <w:lang w:eastAsia="en-AU"/>
              </w:rPr>
              <w:t>And</w:t>
            </w:r>
            <w:proofErr w:type="gramEnd"/>
            <w:r w:rsidRPr="00250068">
              <w:rPr>
                <w:rFonts w:ascii="Calibri" w:eastAsia="Times New Roman" w:hAnsi="Calibri" w:cs="Calibri"/>
                <w:color w:val="000000"/>
                <w:sz w:val="16"/>
                <w:szCs w:val="16"/>
                <w:lang w:eastAsia="en-AU"/>
              </w:rPr>
              <w:t xml:space="preserve"> Rec Activities - Standard - Public Holiday</w:t>
            </w:r>
          </w:p>
        </w:tc>
        <w:tc>
          <w:tcPr>
            <w:tcW w:w="2268" w:type="dxa"/>
            <w:noWrap/>
            <w:hideMark/>
          </w:tcPr>
          <w:p w14:paraId="7BC52032" w14:textId="3EBFD26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47126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3E01F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82DE0C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0217F7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1219EA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04_102_0125_6_1_T</w:t>
            </w:r>
          </w:p>
        </w:tc>
        <w:tc>
          <w:tcPr>
            <w:tcW w:w="5670" w:type="dxa"/>
            <w:noWrap/>
            <w:hideMark/>
          </w:tcPr>
          <w:p w14:paraId="71D096D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Access Community Social </w:t>
            </w:r>
            <w:proofErr w:type="gramStart"/>
            <w:r w:rsidRPr="00250068">
              <w:rPr>
                <w:rFonts w:ascii="Calibri" w:eastAsia="Times New Roman" w:hAnsi="Calibri" w:cs="Calibri"/>
                <w:color w:val="000000"/>
                <w:sz w:val="16"/>
                <w:szCs w:val="16"/>
                <w:lang w:eastAsia="en-AU"/>
              </w:rPr>
              <w:t>And</w:t>
            </w:r>
            <w:proofErr w:type="gramEnd"/>
            <w:r w:rsidRPr="00250068">
              <w:rPr>
                <w:rFonts w:ascii="Calibri" w:eastAsia="Times New Roman" w:hAnsi="Calibri" w:cs="Calibri"/>
                <w:color w:val="000000"/>
                <w:sz w:val="16"/>
                <w:szCs w:val="16"/>
                <w:lang w:eastAsia="en-AU"/>
              </w:rPr>
              <w:t xml:space="preserve"> Rec Activities - Public Holiday - TTP</w:t>
            </w:r>
          </w:p>
        </w:tc>
        <w:tc>
          <w:tcPr>
            <w:tcW w:w="2268" w:type="dxa"/>
            <w:noWrap/>
            <w:hideMark/>
          </w:tcPr>
          <w:p w14:paraId="6A373042" w14:textId="5FF6D22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2434DE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B0FC5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70EDC2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05320149" w14:textId="77777777" w:rsidTr="008933C7">
        <w:trPr>
          <w:trHeight w:val="300"/>
        </w:trPr>
        <w:tc>
          <w:tcPr>
            <w:tcW w:w="1980" w:type="dxa"/>
            <w:noWrap/>
            <w:hideMark/>
          </w:tcPr>
          <w:p w14:paraId="3023DF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04_102_0136_6_1</w:t>
            </w:r>
          </w:p>
        </w:tc>
        <w:tc>
          <w:tcPr>
            <w:tcW w:w="5670" w:type="dxa"/>
            <w:noWrap/>
            <w:hideMark/>
          </w:tcPr>
          <w:p w14:paraId="6B38B77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Weekday Daytime</w:t>
            </w:r>
          </w:p>
        </w:tc>
        <w:tc>
          <w:tcPr>
            <w:tcW w:w="2268" w:type="dxa"/>
            <w:noWrap/>
            <w:hideMark/>
          </w:tcPr>
          <w:p w14:paraId="79E293C3" w14:textId="1AE989E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44B89B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0EEFE4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B9DF0F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C79DAC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6800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04_102_0136_6_1_T</w:t>
            </w:r>
          </w:p>
        </w:tc>
        <w:tc>
          <w:tcPr>
            <w:tcW w:w="5670" w:type="dxa"/>
            <w:noWrap/>
            <w:hideMark/>
          </w:tcPr>
          <w:p w14:paraId="32F8287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Weekday Daytime - TTP</w:t>
            </w:r>
          </w:p>
        </w:tc>
        <w:tc>
          <w:tcPr>
            <w:tcW w:w="2268" w:type="dxa"/>
            <w:noWrap/>
            <w:hideMark/>
          </w:tcPr>
          <w:p w14:paraId="75342E32" w14:textId="0C5CF57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DDD286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862E09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44EC2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6B0410AE" w14:textId="77777777" w:rsidTr="008933C7">
        <w:trPr>
          <w:trHeight w:val="300"/>
        </w:trPr>
        <w:tc>
          <w:tcPr>
            <w:tcW w:w="1980" w:type="dxa"/>
            <w:noWrap/>
            <w:hideMark/>
          </w:tcPr>
          <w:p w14:paraId="29CA007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04_103_0125_6_1</w:t>
            </w:r>
          </w:p>
        </w:tc>
        <w:tc>
          <w:tcPr>
            <w:tcW w:w="5670" w:type="dxa"/>
            <w:noWrap/>
            <w:hideMark/>
          </w:tcPr>
          <w:p w14:paraId="4581CE9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Activities - Standard - Weekday Evening</w:t>
            </w:r>
          </w:p>
        </w:tc>
        <w:tc>
          <w:tcPr>
            <w:tcW w:w="2268" w:type="dxa"/>
            <w:noWrap/>
            <w:hideMark/>
          </w:tcPr>
          <w:p w14:paraId="1FDE86FD" w14:textId="6541515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36ED6A7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D1AD0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8CF7D3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59E68B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600D1A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04_103_0125_6_1_T</w:t>
            </w:r>
          </w:p>
        </w:tc>
        <w:tc>
          <w:tcPr>
            <w:tcW w:w="5670" w:type="dxa"/>
            <w:noWrap/>
            <w:hideMark/>
          </w:tcPr>
          <w:p w14:paraId="3877E9F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Activities - Standard - Weekday Evening - TTP</w:t>
            </w:r>
          </w:p>
        </w:tc>
        <w:tc>
          <w:tcPr>
            <w:tcW w:w="2268" w:type="dxa"/>
            <w:noWrap/>
            <w:hideMark/>
          </w:tcPr>
          <w:p w14:paraId="6B5814C1" w14:textId="15DB17A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D21106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87EDC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5D4F3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F9EBC8E" w14:textId="77777777" w:rsidTr="008933C7">
        <w:trPr>
          <w:trHeight w:val="300"/>
        </w:trPr>
        <w:tc>
          <w:tcPr>
            <w:tcW w:w="1980" w:type="dxa"/>
            <w:noWrap/>
            <w:hideMark/>
          </w:tcPr>
          <w:p w14:paraId="192344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04_103_0136_6_1</w:t>
            </w:r>
          </w:p>
        </w:tc>
        <w:tc>
          <w:tcPr>
            <w:tcW w:w="5670" w:type="dxa"/>
            <w:noWrap/>
            <w:hideMark/>
          </w:tcPr>
          <w:p w14:paraId="7914AD3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Weekday Evening</w:t>
            </w:r>
          </w:p>
        </w:tc>
        <w:tc>
          <w:tcPr>
            <w:tcW w:w="2268" w:type="dxa"/>
            <w:noWrap/>
            <w:hideMark/>
          </w:tcPr>
          <w:p w14:paraId="29461144" w14:textId="11283F3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01121F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C50C66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1D8A78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657B1F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7B472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04_103_0136_6_1_T</w:t>
            </w:r>
          </w:p>
        </w:tc>
        <w:tc>
          <w:tcPr>
            <w:tcW w:w="5670" w:type="dxa"/>
            <w:noWrap/>
            <w:hideMark/>
          </w:tcPr>
          <w:p w14:paraId="109477B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Weekday Evening - TTP</w:t>
            </w:r>
          </w:p>
        </w:tc>
        <w:tc>
          <w:tcPr>
            <w:tcW w:w="2268" w:type="dxa"/>
            <w:noWrap/>
            <w:hideMark/>
          </w:tcPr>
          <w:p w14:paraId="2AC23D3E" w14:textId="500DBBA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8B4341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44006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7348E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C96C663" w14:textId="77777777" w:rsidTr="008933C7">
        <w:trPr>
          <w:trHeight w:val="300"/>
        </w:trPr>
        <w:tc>
          <w:tcPr>
            <w:tcW w:w="1980" w:type="dxa"/>
            <w:noWrap/>
            <w:hideMark/>
          </w:tcPr>
          <w:p w14:paraId="7D52C9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04_105_0125_6_1</w:t>
            </w:r>
          </w:p>
        </w:tc>
        <w:tc>
          <w:tcPr>
            <w:tcW w:w="5670" w:type="dxa"/>
            <w:noWrap/>
            <w:hideMark/>
          </w:tcPr>
          <w:p w14:paraId="6BFC1CD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Activities - Standard - Saturday</w:t>
            </w:r>
          </w:p>
        </w:tc>
        <w:tc>
          <w:tcPr>
            <w:tcW w:w="2268" w:type="dxa"/>
            <w:noWrap/>
            <w:hideMark/>
          </w:tcPr>
          <w:p w14:paraId="41EB09CB" w14:textId="39E4E8F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70E398A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664D5D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456CDE3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C68F00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F45CA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04_105_0125_6_1_T</w:t>
            </w:r>
          </w:p>
        </w:tc>
        <w:tc>
          <w:tcPr>
            <w:tcW w:w="5670" w:type="dxa"/>
            <w:noWrap/>
            <w:hideMark/>
          </w:tcPr>
          <w:p w14:paraId="736F2CC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Activities - Standard - Saturday - TTP</w:t>
            </w:r>
          </w:p>
        </w:tc>
        <w:tc>
          <w:tcPr>
            <w:tcW w:w="2268" w:type="dxa"/>
            <w:noWrap/>
            <w:hideMark/>
          </w:tcPr>
          <w:p w14:paraId="0B151C8B" w14:textId="1DCAD3E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3F4C2F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FE80F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49E6A8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4632431A" w14:textId="77777777" w:rsidTr="008933C7">
        <w:trPr>
          <w:trHeight w:val="300"/>
        </w:trPr>
        <w:tc>
          <w:tcPr>
            <w:tcW w:w="1980" w:type="dxa"/>
            <w:noWrap/>
            <w:hideMark/>
          </w:tcPr>
          <w:p w14:paraId="10CCAD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04_105_0136_6_1</w:t>
            </w:r>
          </w:p>
        </w:tc>
        <w:tc>
          <w:tcPr>
            <w:tcW w:w="5670" w:type="dxa"/>
            <w:noWrap/>
            <w:hideMark/>
          </w:tcPr>
          <w:p w14:paraId="1733B3E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Sunday</w:t>
            </w:r>
          </w:p>
        </w:tc>
        <w:tc>
          <w:tcPr>
            <w:tcW w:w="2268" w:type="dxa"/>
            <w:noWrap/>
            <w:hideMark/>
          </w:tcPr>
          <w:p w14:paraId="3588EA53" w14:textId="093116C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0924A5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73AE3C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941A3B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92CE9E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14508F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04_105_0136_6_1_T</w:t>
            </w:r>
          </w:p>
        </w:tc>
        <w:tc>
          <w:tcPr>
            <w:tcW w:w="5670" w:type="dxa"/>
            <w:noWrap/>
            <w:hideMark/>
          </w:tcPr>
          <w:p w14:paraId="2075173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Sunday - TTP</w:t>
            </w:r>
          </w:p>
        </w:tc>
        <w:tc>
          <w:tcPr>
            <w:tcW w:w="2268" w:type="dxa"/>
            <w:noWrap/>
            <w:hideMark/>
          </w:tcPr>
          <w:p w14:paraId="470850A7" w14:textId="3B435E1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50AEEE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F7D1F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E32AD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6F79C92E" w14:textId="77777777" w:rsidTr="008933C7">
        <w:trPr>
          <w:trHeight w:val="300"/>
        </w:trPr>
        <w:tc>
          <w:tcPr>
            <w:tcW w:w="1980" w:type="dxa"/>
            <w:noWrap/>
            <w:hideMark/>
          </w:tcPr>
          <w:p w14:paraId="3B154C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04_106_0125_6_1</w:t>
            </w:r>
          </w:p>
        </w:tc>
        <w:tc>
          <w:tcPr>
            <w:tcW w:w="5670" w:type="dxa"/>
            <w:noWrap/>
            <w:hideMark/>
          </w:tcPr>
          <w:p w14:paraId="3B1778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Activities - Standard - Sunday</w:t>
            </w:r>
          </w:p>
        </w:tc>
        <w:tc>
          <w:tcPr>
            <w:tcW w:w="2268" w:type="dxa"/>
            <w:noWrap/>
            <w:hideMark/>
          </w:tcPr>
          <w:p w14:paraId="0E6ACB97" w14:textId="227D0F4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321126E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70DB3C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3B7711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FCFA64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E27DD6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04_106_0125_6_1_T</w:t>
            </w:r>
          </w:p>
        </w:tc>
        <w:tc>
          <w:tcPr>
            <w:tcW w:w="5670" w:type="dxa"/>
            <w:noWrap/>
            <w:hideMark/>
          </w:tcPr>
          <w:p w14:paraId="4A657D4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Activities - Standard - Sunday - TTP</w:t>
            </w:r>
          </w:p>
        </w:tc>
        <w:tc>
          <w:tcPr>
            <w:tcW w:w="2268" w:type="dxa"/>
            <w:noWrap/>
            <w:hideMark/>
          </w:tcPr>
          <w:p w14:paraId="3283E3DC" w14:textId="32C0648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8C94B5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D5AEE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46DB5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54DD0E06" w14:textId="77777777" w:rsidTr="008933C7">
        <w:trPr>
          <w:trHeight w:val="300"/>
        </w:trPr>
        <w:tc>
          <w:tcPr>
            <w:tcW w:w="1980" w:type="dxa"/>
            <w:noWrap/>
            <w:hideMark/>
          </w:tcPr>
          <w:p w14:paraId="6C2BC57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04_106_0136_6_1</w:t>
            </w:r>
          </w:p>
        </w:tc>
        <w:tc>
          <w:tcPr>
            <w:tcW w:w="5670" w:type="dxa"/>
            <w:noWrap/>
            <w:hideMark/>
          </w:tcPr>
          <w:p w14:paraId="6642685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Public Holiday</w:t>
            </w:r>
          </w:p>
        </w:tc>
        <w:tc>
          <w:tcPr>
            <w:tcW w:w="2268" w:type="dxa"/>
            <w:noWrap/>
            <w:hideMark/>
          </w:tcPr>
          <w:p w14:paraId="1CAA188B" w14:textId="19DE207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47C49C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F2794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C6CCC0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CB7D8A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F6FED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04_106_0136_6_1_T</w:t>
            </w:r>
          </w:p>
        </w:tc>
        <w:tc>
          <w:tcPr>
            <w:tcW w:w="5670" w:type="dxa"/>
            <w:noWrap/>
            <w:hideMark/>
          </w:tcPr>
          <w:p w14:paraId="43F0474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Standard - Public Holiday - TTP</w:t>
            </w:r>
          </w:p>
        </w:tc>
        <w:tc>
          <w:tcPr>
            <w:tcW w:w="2268" w:type="dxa"/>
            <w:noWrap/>
            <w:hideMark/>
          </w:tcPr>
          <w:p w14:paraId="73EAEBCB" w14:textId="798FFAE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664C0C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243AF9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9B4EB6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3E7BB525" w14:textId="77777777" w:rsidTr="008933C7">
        <w:trPr>
          <w:trHeight w:val="300"/>
        </w:trPr>
        <w:tc>
          <w:tcPr>
            <w:tcW w:w="1980" w:type="dxa"/>
            <w:noWrap/>
            <w:hideMark/>
          </w:tcPr>
          <w:p w14:paraId="13FFAA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04_111_0136_6_1</w:t>
            </w:r>
          </w:p>
        </w:tc>
        <w:tc>
          <w:tcPr>
            <w:tcW w:w="5670" w:type="dxa"/>
            <w:noWrap/>
            <w:hideMark/>
          </w:tcPr>
          <w:p w14:paraId="522D981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Weekday Daytime</w:t>
            </w:r>
          </w:p>
        </w:tc>
        <w:tc>
          <w:tcPr>
            <w:tcW w:w="2268" w:type="dxa"/>
            <w:noWrap/>
            <w:hideMark/>
          </w:tcPr>
          <w:p w14:paraId="3A2F77E1" w14:textId="239A287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A16B2F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3DC07A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B1EFA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974C77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AE1275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04_111_0136_6_1_T</w:t>
            </w:r>
          </w:p>
        </w:tc>
        <w:tc>
          <w:tcPr>
            <w:tcW w:w="5670" w:type="dxa"/>
            <w:noWrap/>
            <w:hideMark/>
          </w:tcPr>
          <w:p w14:paraId="1AAEA80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Weekday Daytime - TTP</w:t>
            </w:r>
          </w:p>
        </w:tc>
        <w:tc>
          <w:tcPr>
            <w:tcW w:w="2268" w:type="dxa"/>
            <w:noWrap/>
            <w:hideMark/>
          </w:tcPr>
          <w:p w14:paraId="39708DE0" w14:textId="6C0E68D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DFF9DD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2574EA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A70EE5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0F963E1" w14:textId="77777777" w:rsidTr="008933C7">
        <w:trPr>
          <w:trHeight w:val="300"/>
        </w:trPr>
        <w:tc>
          <w:tcPr>
            <w:tcW w:w="1980" w:type="dxa"/>
            <w:noWrap/>
            <w:hideMark/>
          </w:tcPr>
          <w:p w14:paraId="2013FE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04_112_0136_6_1</w:t>
            </w:r>
          </w:p>
        </w:tc>
        <w:tc>
          <w:tcPr>
            <w:tcW w:w="5670" w:type="dxa"/>
            <w:noWrap/>
            <w:hideMark/>
          </w:tcPr>
          <w:p w14:paraId="3A0D28E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Saturday</w:t>
            </w:r>
          </w:p>
        </w:tc>
        <w:tc>
          <w:tcPr>
            <w:tcW w:w="2268" w:type="dxa"/>
            <w:noWrap/>
            <w:hideMark/>
          </w:tcPr>
          <w:p w14:paraId="25E5F47D" w14:textId="7FD9E31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1E1347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7A6263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C14471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B66653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796C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04_112_0136_6_1_T</w:t>
            </w:r>
          </w:p>
        </w:tc>
        <w:tc>
          <w:tcPr>
            <w:tcW w:w="5670" w:type="dxa"/>
            <w:noWrap/>
            <w:hideMark/>
          </w:tcPr>
          <w:p w14:paraId="4F4C178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Saturday - TTP</w:t>
            </w:r>
          </w:p>
        </w:tc>
        <w:tc>
          <w:tcPr>
            <w:tcW w:w="2268" w:type="dxa"/>
            <w:noWrap/>
            <w:hideMark/>
          </w:tcPr>
          <w:p w14:paraId="35302DC0" w14:textId="64EAC10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457FB1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E47664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42ADCD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40CF751" w14:textId="77777777" w:rsidTr="008933C7">
        <w:trPr>
          <w:trHeight w:val="300"/>
        </w:trPr>
        <w:tc>
          <w:tcPr>
            <w:tcW w:w="1980" w:type="dxa"/>
            <w:noWrap/>
            <w:hideMark/>
          </w:tcPr>
          <w:p w14:paraId="0246C6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04_113_0136_6_1</w:t>
            </w:r>
          </w:p>
        </w:tc>
        <w:tc>
          <w:tcPr>
            <w:tcW w:w="5670" w:type="dxa"/>
            <w:noWrap/>
            <w:hideMark/>
          </w:tcPr>
          <w:p w14:paraId="702C9CB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Sunday</w:t>
            </w:r>
          </w:p>
        </w:tc>
        <w:tc>
          <w:tcPr>
            <w:tcW w:w="2268" w:type="dxa"/>
            <w:noWrap/>
            <w:hideMark/>
          </w:tcPr>
          <w:p w14:paraId="7A84C416" w14:textId="1CFCF0C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2638C5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00B7AF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37900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ECD4C5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78AF7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04_113_0136_6_1_T</w:t>
            </w:r>
          </w:p>
        </w:tc>
        <w:tc>
          <w:tcPr>
            <w:tcW w:w="5670" w:type="dxa"/>
            <w:noWrap/>
            <w:hideMark/>
          </w:tcPr>
          <w:p w14:paraId="60F1898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Sunday - TTP</w:t>
            </w:r>
          </w:p>
        </w:tc>
        <w:tc>
          <w:tcPr>
            <w:tcW w:w="2268" w:type="dxa"/>
            <w:noWrap/>
            <w:hideMark/>
          </w:tcPr>
          <w:p w14:paraId="2D350922" w14:textId="2EACFE9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6AC2D1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64A15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338381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6DFCAA8" w14:textId="77777777" w:rsidTr="008933C7">
        <w:trPr>
          <w:trHeight w:val="300"/>
        </w:trPr>
        <w:tc>
          <w:tcPr>
            <w:tcW w:w="1980" w:type="dxa"/>
            <w:noWrap/>
            <w:hideMark/>
          </w:tcPr>
          <w:p w14:paraId="54F641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04_114_0136_6_1</w:t>
            </w:r>
          </w:p>
        </w:tc>
        <w:tc>
          <w:tcPr>
            <w:tcW w:w="5670" w:type="dxa"/>
            <w:noWrap/>
            <w:hideMark/>
          </w:tcPr>
          <w:p w14:paraId="064094E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Weekday Afternoon</w:t>
            </w:r>
          </w:p>
        </w:tc>
        <w:tc>
          <w:tcPr>
            <w:tcW w:w="2268" w:type="dxa"/>
            <w:noWrap/>
            <w:hideMark/>
          </w:tcPr>
          <w:p w14:paraId="769E4753" w14:textId="3DAEF47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123255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C5BC9D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85A9A5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5FA705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26E5A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04_114_0136_6_1_T</w:t>
            </w:r>
          </w:p>
        </w:tc>
        <w:tc>
          <w:tcPr>
            <w:tcW w:w="5670" w:type="dxa"/>
            <w:noWrap/>
            <w:hideMark/>
          </w:tcPr>
          <w:p w14:paraId="0E9ABD2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Weekday Afternoon - TTP</w:t>
            </w:r>
          </w:p>
        </w:tc>
        <w:tc>
          <w:tcPr>
            <w:tcW w:w="2268" w:type="dxa"/>
            <w:noWrap/>
            <w:hideMark/>
          </w:tcPr>
          <w:p w14:paraId="615659B4" w14:textId="7BE45EE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8BC298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5910EE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8F5BA5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C95CEBB" w14:textId="77777777" w:rsidTr="008933C7">
        <w:trPr>
          <w:trHeight w:val="300"/>
        </w:trPr>
        <w:tc>
          <w:tcPr>
            <w:tcW w:w="1980" w:type="dxa"/>
            <w:noWrap/>
            <w:hideMark/>
          </w:tcPr>
          <w:p w14:paraId="53B4F0E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04_116_0104_6_1</w:t>
            </w:r>
          </w:p>
        </w:tc>
        <w:tc>
          <w:tcPr>
            <w:tcW w:w="5670" w:type="dxa"/>
            <w:noWrap/>
            <w:hideMark/>
          </w:tcPr>
          <w:p w14:paraId="5F89CCD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4483490A" w14:textId="0318B0B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B95D9A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ECCA1E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B6C16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A03F0A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289AA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04_116_0104_6_1_T</w:t>
            </w:r>
          </w:p>
        </w:tc>
        <w:tc>
          <w:tcPr>
            <w:tcW w:w="5670" w:type="dxa"/>
            <w:noWrap/>
            <w:hideMark/>
          </w:tcPr>
          <w:p w14:paraId="32C1AD6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4B26B6EA" w14:textId="653F066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7440F1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902D3C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C83092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C838282" w14:textId="77777777" w:rsidTr="008933C7">
        <w:trPr>
          <w:trHeight w:val="300"/>
        </w:trPr>
        <w:tc>
          <w:tcPr>
            <w:tcW w:w="1980" w:type="dxa"/>
            <w:noWrap/>
            <w:hideMark/>
          </w:tcPr>
          <w:p w14:paraId="1434AA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04_117_0104_6_1</w:t>
            </w:r>
          </w:p>
        </w:tc>
        <w:tc>
          <w:tcPr>
            <w:tcW w:w="5670" w:type="dxa"/>
            <w:noWrap/>
            <w:hideMark/>
          </w:tcPr>
          <w:p w14:paraId="4380130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2365EC26" w14:textId="3DE5C60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8213F0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E7BC5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D540CF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54710F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C3270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04_117_0104_6_1_T</w:t>
            </w:r>
          </w:p>
        </w:tc>
        <w:tc>
          <w:tcPr>
            <w:tcW w:w="5670" w:type="dxa"/>
            <w:noWrap/>
            <w:hideMark/>
          </w:tcPr>
          <w:p w14:paraId="3601466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69F62F7C" w14:textId="32EA1FB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4889AF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7AEA7D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268B0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B7D8869" w14:textId="77777777" w:rsidTr="008933C7">
        <w:trPr>
          <w:trHeight w:val="300"/>
        </w:trPr>
        <w:tc>
          <w:tcPr>
            <w:tcW w:w="1980" w:type="dxa"/>
            <w:noWrap/>
            <w:hideMark/>
          </w:tcPr>
          <w:p w14:paraId="026282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04_118_0104_6_1</w:t>
            </w:r>
          </w:p>
        </w:tc>
        <w:tc>
          <w:tcPr>
            <w:tcW w:w="5670" w:type="dxa"/>
            <w:noWrap/>
            <w:hideMark/>
          </w:tcPr>
          <w:p w14:paraId="183D55B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040D050E" w14:textId="5AD01D1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287927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60B02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F5D5B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86F856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9E6D6F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04_118_0104_6_1_T</w:t>
            </w:r>
          </w:p>
        </w:tc>
        <w:tc>
          <w:tcPr>
            <w:tcW w:w="5670" w:type="dxa"/>
            <w:noWrap/>
            <w:hideMark/>
          </w:tcPr>
          <w:p w14:paraId="57D0E19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036B82B4" w14:textId="7CF8616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E81D7E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643BE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FE3FD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C286F92" w14:textId="77777777" w:rsidTr="008933C7">
        <w:trPr>
          <w:trHeight w:val="300"/>
        </w:trPr>
        <w:tc>
          <w:tcPr>
            <w:tcW w:w="1980" w:type="dxa"/>
            <w:noWrap/>
            <w:hideMark/>
          </w:tcPr>
          <w:p w14:paraId="695CDA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04_119_0104_6_1</w:t>
            </w:r>
          </w:p>
        </w:tc>
        <w:tc>
          <w:tcPr>
            <w:tcW w:w="5670" w:type="dxa"/>
            <w:noWrap/>
            <w:hideMark/>
          </w:tcPr>
          <w:p w14:paraId="2A29735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1339B4E8" w14:textId="5FBE98A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7DDF0E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86F0EA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792F7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5FB9F2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64D042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04_119_0104_6_1_T</w:t>
            </w:r>
          </w:p>
        </w:tc>
        <w:tc>
          <w:tcPr>
            <w:tcW w:w="5670" w:type="dxa"/>
            <w:noWrap/>
            <w:hideMark/>
          </w:tcPr>
          <w:p w14:paraId="13A4933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2BB0C9C0" w14:textId="2DF2CA2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8388EA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CC4CC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4E3107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CFD59F8" w14:textId="77777777" w:rsidTr="008933C7">
        <w:trPr>
          <w:trHeight w:val="300"/>
        </w:trPr>
        <w:tc>
          <w:tcPr>
            <w:tcW w:w="1980" w:type="dxa"/>
            <w:noWrap/>
            <w:hideMark/>
          </w:tcPr>
          <w:p w14:paraId="4114EF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04_120_0136_6_1</w:t>
            </w:r>
          </w:p>
        </w:tc>
        <w:tc>
          <w:tcPr>
            <w:tcW w:w="5670" w:type="dxa"/>
            <w:noWrap/>
            <w:hideMark/>
          </w:tcPr>
          <w:p w14:paraId="5B42A53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Weekday Daytime</w:t>
            </w:r>
          </w:p>
        </w:tc>
        <w:tc>
          <w:tcPr>
            <w:tcW w:w="2268" w:type="dxa"/>
            <w:noWrap/>
            <w:hideMark/>
          </w:tcPr>
          <w:p w14:paraId="26C8DDBD" w14:textId="56414C2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2EF5C5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3B5ACA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BAC53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0DD795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E7188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04_120_0136_6_1_T</w:t>
            </w:r>
          </w:p>
        </w:tc>
        <w:tc>
          <w:tcPr>
            <w:tcW w:w="5670" w:type="dxa"/>
            <w:noWrap/>
            <w:hideMark/>
          </w:tcPr>
          <w:p w14:paraId="048EE88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Weekday Daytime - TTP</w:t>
            </w:r>
          </w:p>
        </w:tc>
        <w:tc>
          <w:tcPr>
            <w:tcW w:w="2268" w:type="dxa"/>
            <w:noWrap/>
            <w:hideMark/>
          </w:tcPr>
          <w:p w14:paraId="797B3BD6" w14:textId="22141B5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7B374C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A94EA9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DF9527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DDD8CCB" w14:textId="77777777" w:rsidTr="008933C7">
        <w:trPr>
          <w:trHeight w:val="300"/>
        </w:trPr>
        <w:tc>
          <w:tcPr>
            <w:tcW w:w="1980" w:type="dxa"/>
            <w:noWrap/>
            <w:hideMark/>
          </w:tcPr>
          <w:p w14:paraId="3B85F8B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04_121_0136_6_1</w:t>
            </w:r>
          </w:p>
        </w:tc>
        <w:tc>
          <w:tcPr>
            <w:tcW w:w="5670" w:type="dxa"/>
            <w:noWrap/>
            <w:hideMark/>
          </w:tcPr>
          <w:p w14:paraId="1DA28D9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Saturday</w:t>
            </w:r>
          </w:p>
        </w:tc>
        <w:tc>
          <w:tcPr>
            <w:tcW w:w="2268" w:type="dxa"/>
            <w:noWrap/>
            <w:hideMark/>
          </w:tcPr>
          <w:p w14:paraId="001DE9C4" w14:textId="7868920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69DC1D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D234E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E7F89F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F9E1F0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6F38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04_121_0136_6_1_T</w:t>
            </w:r>
          </w:p>
        </w:tc>
        <w:tc>
          <w:tcPr>
            <w:tcW w:w="5670" w:type="dxa"/>
            <w:noWrap/>
            <w:hideMark/>
          </w:tcPr>
          <w:p w14:paraId="10D501B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Saturday - TTP</w:t>
            </w:r>
          </w:p>
        </w:tc>
        <w:tc>
          <w:tcPr>
            <w:tcW w:w="2268" w:type="dxa"/>
            <w:noWrap/>
            <w:hideMark/>
          </w:tcPr>
          <w:p w14:paraId="56AFD24C" w14:textId="5EB7A2D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223A16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BF2AB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47B1EB5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6C29E55" w14:textId="77777777" w:rsidTr="008933C7">
        <w:trPr>
          <w:trHeight w:val="300"/>
        </w:trPr>
        <w:tc>
          <w:tcPr>
            <w:tcW w:w="1980" w:type="dxa"/>
            <w:noWrap/>
            <w:hideMark/>
          </w:tcPr>
          <w:p w14:paraId="40183E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04_122_0136_6_1</w:t>
            </w:r>
          </w:p>
        </w:tc>
        <w:tc>
          <w:tcPr>
            <w:tcW w:w="5670" w:type="dxa"/>
            <w:noWrap/>
            <w:hideMark/>
          </w:tcPr>
          <w:p w14:paraId="7D193C1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Sunday</w:t>
            </w:r>
          </w:p>
        </w:tc>
        <w:tc>
          <w:tcPr>
            <w:tcW w:w="2268" w:type="dxa"/>
            <w:noWrap/>
            <w:hideMark/>
          </w:tcPr>
          <w:p w14:paraId="4C2367EB" w14:textId="45EFBD4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5567E5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23871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A6D863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8B41B0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340FF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04_122_0136_6_1_T</w:t>
            </w:r>
          </w:p>
        </w:tc>
        <w:tc>
          <w:tcPr>
            <w:tcW w:w="5670" w:type="dxa"/>
            <w:noWrap/>
            <w:hideMark/>
          </w:tcPr>
          <w:p w14:paraId="5F87EC6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Sunday - TTP</w:t>
            </w:r>
          </w:p>
        </w:tc>
        <w:tc>
          <w:tcPr>
            <w:tcW w:w="2268" w:type="dxa"/>
            <w:noWrap/>
            <w:hideMark/>
          </w:tcPr>
          <w:p w14:paraId="7C840DD7" w14:textId="193DCB4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113F1A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52B94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3F568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824E411" w14:textId="77777777" w:rsidTr="008933C7">
        <w:trPr>
          <w:trHeight w:val="300"/>
        </w:trPr>
        <w:tc>
          <w:tcPr>
            <w:tcW w:w="1980" w:type="dxa"/>
            <w:noWrap/>
            <w:hideMark/>
          </w:tcPr>
          <w:p w14:paraId="407DB7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04_123_0136_6_1</w:t>
            </w:r>
          </w:p>
        </w:tc>
        <w:tc>
          <w:tcPr>
            <w:tcW w:w="5670" w:type="dxa"/>
            <w:noWrap/>
            <w:hideMark/>
          </w:tcPr>
          <w:p w14:paraId="3205FDE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Weekday Afternoon</w:t>
            </w:r>
          </w:p>
        </w:tc>
        <w:tc>
          <w:tcPr>
            <w:tcW w:w="2268" w:type="dxa"/>
            <w:noWrap/>
            <w:hideMark/>
          </w:tcPr>
          <w:p w14:paraId="2AE9611A" w14:textId="72AB2A6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63EFD6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98C6C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B21BB8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C4C46D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4E43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04_123_0136_6_1_T</w:t>
            </w:r>
          </w:p>
        </w:tc>
        <w:tc>
          <w:tcPr>
            <w:tcW w:w="5670" w:type="dxa"/>
            <w:noWrap/>
            <w:hideMark/>
          </w:tcPr>
          <w:p w14:paraId="378D0C2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Weekday Afternoon - TTP</w:t>
            </w:r>
          </w:p>
        </w:tc>
        <w:tc>
          <w:tcPr>
            <w:tcW w:w="2268" w:type="dxa"/>
            <w:noWrap/>
            <w:hideMark/>
          </w:tcPr>
          <w:p w14:paraId="39193DB1" w14:textId="2B863DD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860883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A577D4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96ED7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1636A66" w14:textId="77777777" w:rsidTr="008933C7">
        <w:trPr>
          <w:trHeight w:val="300"/>
        </w:trPr>
        <w:tc>
          <w:tcPr>
            <w:tcW w:w="1980" w:type="dxa"/>
            <w:noWrap/>
            <w:hideMark/>
          </w:tcPr>
          <w:p w14:paraId="2547A8A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04_124_0104_6_1</w:t>
            </w:r>
          </w:p>
        </w:tc>
        <w:tc>
          <w:tcPr>
            <w:tcW w:w="5670" w:type="dxa"/>
            <w:noWrap/>
            <w:hideMark/>
          </w:tcPr>
          <w:p w14:paraId="491E387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2768AAE9" w14:textId="57FFDA6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5716E4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BA09E7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BED15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E79EF8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DF5AB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04_124_0104_6_1_T</w:t>
            </w:r>
          </w:p>
        </w:tc>
        <w:tc>
          <w:tcPr>
            <w:tcW w:w="5670" w:type="dxa"/>
            <w:noWrap/>
            <w:hideMark/>
          </w:tcPr>
          <w:p w14:paraId="04CC2AF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279923C4" w14:textId="0D6A146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8FDEE7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0B24A6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2DC74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BC3FDC2" w14:textId="77777777" w:rsidTr="008933C7">
        <w:trPr>
          <w:trHeight w:val="300"/>
        </w:trPr>
        <w:tc>
          <w:tcPr>
            <w:tcW w:w="1980" w:type="dxa"/>
            <w:noWrap/>
            <w:hideMark/>
          </w:tcPr>
          <w:p w14:paraId="56E8156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04_125_0104_6_1</w:t>
            </w:r>
          </w:p>
        </w:tc>
        <w:tc>
          <w:tcPr>
            <w:tcW w:w="5670" w:type="dxa"/>
            <w:noWrap/>
            <w:hideMark/>
          </w:tcPr>
          <w:p w14:paraId="2089927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58C3CF38" w14:textId="399CB63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AF16CD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AE931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F1320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989AA3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8EAD3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04_125_0104_6_1_T</w:t>
            </w:r>
          </w:p>
        </w:tc>
        <w:tc>
          <w:tcPr>
            <w:tcW w:w="5670" w:type="dxa"/>
            <w:noWrap/>
            <w:hideMark/>
          </w:tcPr>
          <w:p w14:paraId="23CCD8B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04A190AA" w14:textId="4C0721D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5376A2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9EF39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97BB2D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5DF4DBA" w14:textId="77777777" w:rsidTr="008933C7">
        <w:trPr>
          <w:trHeight w:val="300"/>
        </w:trPr>
        <w:tc>
          <w:tcPr>
            <w:tcW w:w="1980" w:type="dxa"/>
            <w:noWrap/>
            <w:hideMark/>
          </w:tcPr>
          <w:p w14:paraId="4153E95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04_126_0104_6_1</w:t>
            </w:r>
          </w:p>
        </w:tc>
        <w:tc>
          <w:tcPr>
            <w:tcW w:w="5670" w:type="dxa"/>
            <w:noWrap/>
            <w:hideMark/>
          </w:tcPr>
          <w:p w14:paraId="4B2B24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51183C20" w14:textId="48A90D7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9C766A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1BAC6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55EEE0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2EAB8C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2B5AC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04_126_0104_6_1_T</w:t>
            </w:r>
          </w:p>
        </w:tc>
        <w:tc>
          <w:tcPr>
            <w:tcW w:w="5670" w:type="dxa"/>
            <w:noWrap/>
            <w:hideMark/>
          </w:tcPr>
          <w:p w14:paraId="1EAFC1A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57A4B6A0" w14:textId="187767F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4FEF03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35345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C995F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58DD660" w14:textId="77777777" w:rsidTr="008933C7">
        <w:trPr>
          <w:trHeight w:val="300"/>
        </w:trPr>
        <w:tc>
          <w:tcPr>
            <w:tcW w:w="1980" w:type="dxa"/>
            <w:noWrap/>
            <w:hideMark/>
          </w:tcPr>
          <w:p w14:paraId="71BEE0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04_127_0104_6_1</w:t>
            </w:r>
          </w:p>
        </w:tc>
        <w:tc>
          <w:tcPr>
            <w:tcW w:w="5670" w:type="dxa"/>
            <w:noWrap/>
            <w:hideMark/>
          </w:tcPr>
          <w:p w14:paraId="42C557D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27C715E4" w14:textId="37DBB29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B9F96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4561D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6AF13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1CF087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D65E5A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04_127_0104_6_1_T</w:t>
            </w:r>
          </w:p>
        </w:tc>
        <w:tc>
          <w:tcPr>
            <w:tcW w:w="5670" w:type="dxa"/>
            <w:noWrap/>
            <w:hideMark/>
          </w:tcPr>
          <w:p w14:paraId="3928547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5B3E4648" w14:textId="025E1DA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F1B103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C4938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00603D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5902F85" w14:textId="77777777" w:rsidTr="008933C7">
        <w:trPr>
          <w:trHeight w:val="300"/>
        </w:trPr>
        <w:tc>
          <w:tcPr>
            <w:tcW w:w="1980" w:type="dxa"/>
            <w:noWrap/>
            <w:hideMark/>
          </w:tcPr>
          <w:p w14:paraId="2E843BC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04_128_0136_6_1</w:t>
            </w:r>
          </w:p>
        </w:tc>
        <w:tc>
          <w:tcPr>
            <w:tcW w:w="5670" w:type="dxa"/>
            <w:noWrap/>
            <w:hideMark/>
          </w:tcPr>
          <w:p w14:paraId="21F73CC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Public Holiday</w:t>
            </w:r>
          </w:p>
        </w:tc>
        <w:tc>
          <w:tcPr>
            <w:tcW w:w="2268" w:type="dxa"/>
            <w:noWrap/>
            <w:hideMark/>
          </w:tcPr>
          <w:p w14:paraId="24E4850D" w14:textId="6FA3386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DD111D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8A7832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D5F8C2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817363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7BF7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04_128_0136_6_1_T</w:t>
            </w:r>
          </w:p>
        </w:tc>
        <w:tc>
          <w:tcPr>
            <w:tcW w:w="5670" w:type="dxa"/>
            <w:noWrap/>
            <w:hideMark/>
          </w:tcPr>
          <w:p w14:paraId="29D1EE6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Standard - Public Holiday - TTP</w:t>
            </w:r>
          </w:p>
        </w:tc>
        <w:tc>
          <w:tcPr>
            <w:tcW w:w="2268" w:type="dxa"/>
            <w:noWrap/>
            <w:hideMark/>
          </w:tcPr>
          <w:p w14:paraId="75B361D2" w14:textId="63B7808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DBC99E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769A4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AC9BA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6891587" w14:textId="77777777" w:rsidTr="008933C7">
        <w:trPr>
          <w:trHeight w:val="300"/>
        </w:trPr>
        <w:tc>
          <w:tcPr>
            <w:tcW w:w="1980" w:type="dxa"/>
            <w:noWrap/>
            <w:hideMark/>
          </w:tcPr>
          <w:p w14:paraId="5D874E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04_129_0136_6_1</w:t>
            </w:r>
          </w:p>
        </w:tc>
        <w:tc>
          <w:tcPr>
            <w:tcW w:w="5670" w:type="dxa"/>
            <w:noWrap/>
            <w:hideMark/>
          </w:tcPr>
          <w:p w14:paraId="2AE97CA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Public Holiday</w:t>
            </w:r>
          </w:p>
        </w:tc>
        <w:tc>
          <w:tcPr>
            <w:tcW w:w="2268" w:type="dxa"/>
            <w:noWrap/>
            <w:hideMark/>
          </w:tcPr>
          <w:p w14:paraId="5A6002FC" w14:textId="11CA223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05F621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64350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F6666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C3C937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40BC9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04_129_0136_6_1_T</w:t>
            </w:r>
          </w:p>
        </w:tc>
        <w:tc>
          <w:tcPr>
            <w:tcW w:w="5670" w:type="dxa"/>
            <w:noWrap/>
            <w:hideMark/>
          </w:tcPr>
          <w:p w14:paraId="2338CF2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Standard - Public Holiday - TTP</w:t>
            </w:r>
          </w:p>
        </w:tc>
        <w:tc>
          <w:tcPr>
            <w:tcW w:w="2268" w:type="dxa"/>
            <w:noWrap/>
            <w:hideMark/>
          </w:tcPr>
          <w:p w14:paraId="556FC0E4" w14:textId="129079A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B47CDB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CAC762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0F3D42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D2F2F15" w14:textId="77777777" w:rsidTr="008933C7">
        <w:trPr>
          <w:trHeight w:val="300"/>
        </w:trPr>
        <w:tc>
          <w:tcPr>
            <w:tcW w:w="1980" w:type="dxa"/>
            <w:noWrap/>
            <w:hideMark/>
          </w:tcPr>
          <w:p w14:paraId="7AF276F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04_130_0104_6_1</w:t>
            </w:r>
          </w:p>
        </w:tc>
        <w:tc>
          <w:tcPr>
            <w:tcW w:w="5670" w:type="dxa"/>
            <w:noWrap/>
            <w:hideMark/>
          </w:tcPr>
          <w:p w14:paraId="42CA3AF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6345FFB5" w14:textId="4B976F9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F6FB00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ABFC36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9B7D9E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4E2B12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62E33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04_130_0104_6_1_T</w:t>
            </w:r>
          </w:p>
        </w:tc>
        <w:tc>
          <w:tcPr>
            <w:tcW w:w="5670" w:type="dxa"/>
            <w:noWrap/>
            <w:hideMark/>
          </w:tcPr>
          <w:p w14:paraId="65753E7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5DEB3B2B" w14:textId="0BA15DC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449C0D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C77678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BCC3A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EFB54C2" w14:textId="77777777" w:rsidTr="008933C7">
        <w:trPr>
          <w:trHeight w:val="300"/>
        </w:trPr>
        <w:tc>
          <w:tcPr>
            <w:tcW w:w="1980" w:type="dxa"/>
            <w:noWrap/>
            <w:hideMark/>
          </w:tcPr>
          <w:p w14:paraId="37B285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04_131_0104_6_1</w:t>
            </w:r>
          </w:p>
        </w:tc>
        <w:tc>
          <w:tcPr>
            <w:tcW w:w="5670" w:type="dxa"/>
            <w:noWrap/>
            <w:hideMark/>
          </w:tcPr>
          <w:p w14:paraId="56B4734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63B7EAE5" w14:textId="48979EA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1BB4D8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99AE5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66154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989D9C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AEF68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04_131_0104_6_1_T</w:t>
            </w:r>
          </w:p>
        </w:tc>
        <w:tc>
          <w:tcPr>
            <w:tcW w:w="5670" w:type="dxa"/>
            <w:noWrap/>
            <w:hideMark/>
          </w:tcPr>
          <w:p w14:paraId="6D83F2C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7A06B10F" w14:textId="7BADE36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DC37FC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0094AA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7F8201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47791EA" w14:textId="77777777" w:rsidTr="008933C7">
        <w:trPr>
          <w:trHeight w:val="300"/>
        </w:trPr>
        <w:tc>
          <w:tcPr>
            <w:tcW w:w="1980" w:type="dxa"/>
            <w:noWrap/>
            <w:hideMark/>
          </w:tcPr>
          <w:p w14:paraId="7873687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04_136_0136_6_1</w:t>
            </w:r>
          </w:p>
        </w:tc>
        <w:tc>
          <w:tcPr>
            <w:tcW w:w="5670" w:type="dxa"/>
            <w:noWrap/>
            <w:hideMark/>
          </w:tcPr>
          <w:p w14:paraId="7E7AEB7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Weekday Daytime</w:t>
            </w:r>
          </w:p>
        </w:tc>
        <w:tc>
          <w:tcPr>
            <w:tcW w:w="2268" w:type="dxa"/>
            <w:noWrap/>
            <w:hideMark/>
          </w:tcPr>
          <w:p w14:paraId="4CA89025" w14:textId="58F8C5F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9AEB9C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F19D512"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D0FDBF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36E791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A25946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04_136_0136_6_1_T</w:t>
            </w:r>
          </w:p>
        </w:tc>
        <w:tc>
          <w:tcPr>
            <w:tcW w:w="5670" w:type="dxa"/>
            <w:noWrap/>
            <w:hideMark/>
          </w:tcPr>
          <w:p w14:paraId="4EBAF77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Weekday Daytime - TTP</w:t>
            </w:r>
          </w:p>
        </w:tc>
        <w:tc>
          <w:tcPr>
            <w:tcW w:w="2268" w:type="dxa"/>
            <w:noWrap/>
            <w:hideMark/>
          </w:tcPr>
          <w:p w14:paraId="75B3F447" w14:textId="5AD0A5A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3AF518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7D6E30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9D09EF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D64C7BB" w14:textId="77777777" w:rsidTr="008933C7">
        <w:trPr>
          <w:trHeight w:val="300"/>
        </w:trPr>
        <w:tc>
          <w:tcPr>
            <w:tcW w:w="1980" w:type="dxa"/>
            <w:noWrap/>
            <w:hideMark/>
          </w:tcPr>
          <w:p w14:paraId="702927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04_137_0136_6_1</w:t>
            </w:r>
          </w:p>
        </w:tc>
        <w:tc>
          <w:tcPr>
            <w:tcW w:w="5670" w:type="dxa"/>
            <w:noWrap/>
            <w:hideMark/>
          </w:tcPr>
          <w:p w14:paraId="75CFBFE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Weekday Afternoon</w:t>
            </w:r>
          </w:p>
        </w:tc>
        <w:tc>
          <w:tcPr>
            <w:tcW w:w="2268" w:type="dxa"/>
            <w:noWrap/>
            <w:hideMark/>
          </w:tcPr>
          <w:p w14:paraId="3E0319A7" w14:textId="11708FC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7FBEFD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72BD7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7FFDA4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04346F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E4F1BC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04_137_0136_6_1_T</w:t>
            </w:r>
          </w:p>
        </w:tc>
        <w:tc>
          <w:tcPr>
            <w:tcW w:w="5670" w:type="dxa"/>
            <w:noWrap/>
            <w:hideMark/>
          </w:tcPr>
          <w:p w14:paraId="7BE9D97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Weekday Afternoon - TTP</w:t>
            </w:r>
          </w:p>
        </w:tc>
        <w:tc>
          <w:tcPr>
            <w:tcW w:w="2268" w:type="dxa"/>
            <w:noWrap/>
            <w:hideMark/>
          </w:tcPr>
          <w:p w14:paraId="55489633" w14:textId="2647918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CB718F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746826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7061A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021AAE2" w14:textId="77777777" w:rsidTr="008933C7">
        <w:trPr>
          <w:trHeight w:val="300"/>
        </w:trPr>
        <w:tc>
          <w:tcPr>
            <w:tcW w:w="1980" w:type="dxa"/>
            <w:noWrap/>
            <w:hideMark/>
          </w:tcPr>
          <w:p w14:paraId="600668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04_138_0136_6_1</w:t>
            </w:r>
          </w:p>
        </w:tc>
        <w:tc>
          <w:tcPr>
            <w:tcW w:w="5670" w:type="dxa"/>
            <w:noWrap/>
            <w:hideMark/>
          </w:tcPr>
          <w:p w14:paraId="70DAE05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Saturday</w:t>
            </w:r>
          </w:p>
        </w:tc>
        <w:tc>
          <w:tcPr>
            <w:tcW w:w="2268" w:type="dxa"/>
            <w:noWrap/>
            <w:hideMark/>
          </w:tcPr>
          <w:p w14:paraId="17DCD860" w14:textId="22A73E5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E65970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A6055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CB7BE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1C2D72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6A552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04_138_0136_6_1_T</w:t>
            </w:r>
          </w:p>
        </w:tc>
        <w:tc>
          <w:tcPr>
            <w:tcW w:w="5670" w:type="dxa"/>
            <w:noWrap/>
            <w:hideMark/>
          </w:tcPr>
          <w:p w14:paraId="2F6D277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Saturday - TTP</w:t>
            </w:r>
          </w:p>
        </w:tc>
        <w:tc>
          <w:tcPr>
            <w:tcW w:w="2268" w:type="dxa"/>
            <w:noWrap/>
            <w:hideMark/>
          </w:tcPr>
          <w:p w14:paraId="09902F57" w14:textId="050F55F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B74E30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E36C69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66D14C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6A46ECD" w14:textId="77777777" w:rsidTr="008933C7">
        <w:trPr>
          <w:trHeight w:val="300"/>
        </w:trPr>
        <w:tc>
          <w:tcPr>
            <w:tcW w:w="1980" w:type="dxa"/>
            <w:noWrap/>
            <w:hideMark/>
          </w:tcPr>
          <w:p w14:paraId="6AC5E5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04_139_0136_6_1</w:t>
            </w:r>
          </w:p>
        </w:tc>
        <w:tc>
          <w:tcPr>
            <w:tcW w:w="5670" w:type="dxa"/>
            <w:noWrap/>
            <w:hideMark/>
          </w:tcPr>
          <w:p w14:paraId="44F273F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Sunday</w:t>
            </w:r>
          </w:p>
        </w:tc>
        <w:tc>
          <w:tcPr>
            <w:tcW w:w="2268" w:type="dxa"/>
            <w:noWrap/>
            <w:hideMark/>
          </w:tcPr>
          <w:p w14:paraId="245828BF" w14:textId="3861ADB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51FE29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34434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AA428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754B19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D3B8F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04_139_0136_6_1_T</w:t>
            </w:r>
          </w:p>
        </w:tc>
        <w:tc>
          <w:tcPr>
            <w:tcW w:w="5670" w:type="dxa"/>
            <w:noWrap/>
            <w:hideMark/>
          </w:tcPr>
          <w:p w14:paraId="60EECAF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Sunday - TTP</w:t>
            </w:r>
          </w:p>
        </w:tc>
        <w:tc>
          <w:tcPr>
            <w:tcW w:w="2268" w:type="dxa"/>
            <w:noWrap/>
            <w:hideMark/>
          </w:tcPr>
          <w:p w14:paraId="43ED47BD" w14:textId="1651F5D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0E5E79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EF356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84DAF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A0AA447" w14:textId="77777777" w:rsidTr="008933C7">
        <w:trPr>
          <w:trHeight w:val="300"/>
        </w:trPr>
        <w:tc>
          <w:tcPr>
            <w:tcW w:w="1980" w:type="dxa"/>
            <w:noWrap/>
            <w:hideMark/>
          </w:tcPr>
          <w:p w14:paraId="172EC01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04_140_0136_6_1</w:t>
            </w:r>
          </w:p>
        </w:tc>
        <w:tc>
          <w:tcPr>
            <w:tcW w:w="5670" w:type="dxa"/>
            <w:noWrap/>
            <w:hideMark/>
          </w:tcPr>
          <w:p w14:paraId="778D2C9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Public Holiday</w:t>
            </w:r>
          </w:p>
        </w:tc>
        <w:tc>
          <w:tcPr>
            <w:tcW w:w="2268" w:type="dxa"/>
            <w:noWrap/>
            <w:hideMark/>
          </w:tcPr>
          <w:p w14:paraId="7DF49A0F" w14:textId="614FE61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BC71F5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10B44F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7861C68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3A2C45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54D134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04_140_0136_6_1_T</w:t>
            </w:r>
          </w:p>
        </w:tc>
        <w:tc>
          <w:tcPr>
            <w:tcW w:w="5670" w:type="dxa"/>
            <w:noWrap/>
            <w:hideMark/>
          </w:tcPr>
          <w:p w14:paraId="58E982A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Standard - Public Holiday - TTP</w:t>
            </w:r>
          </w:p>
        </w:tc>
        <w:tc>
          <w:tcPr>
            <w:tcW w:w="2268" w:type="dxa"/>
            <w:noWrap/>
            <w:hideMark/>
          </w:tcPr>
          <w:p w14:paraId="114718AB" w14:textId="513B86D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F8A083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D6A641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58E000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B7567FC" w14:textId="77777777" w:rsidTr="008933C7">
        <w:trPr>
          <w:trHeight w:val="300"/>
        </w:trPr>
        <w:tc>
          <w:tcPr>
            <w:tcW w:w="1980" w:type="dxa"/>
            <w:noWrap/>
            <w:hideMark/>
          </w:tcPr>
          <w:p w14:paraId="1652E3E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04_141_0136_6_1</w:t>
            </w:r>
          </w:p>
        </w:tc>
        <w:tc>
          <w:tcPr>
            <w:tcW w:w="5670" w:type="dxa"/>
            <w:noWrap/>
            <w:hideMark/>
          </w:tcPr>
          <w:p w14:paraId="04FD9B1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Weekday Daytime</w:t>
            </w:r>
          </w:p>
        </w:tc>
        <w:tc>
          <w:tcPr>
            <w:tcW w:w="2268" w:type="dxa"/>
            <w:noWrap/>
            <w:hideMark/>
          </w:tcPr>
          <w:p w14:paraId="10328A9C" w14:textId="73B057D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DFC355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F9682E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C2891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EB7D36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222F6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04_141_0136_6_1_T</w:t>
            </w:r>
          </w:p>
        </w:tc>
        <w:tc>
          <w:tcPr>
            <w:tcW w:w="5670" w:type="dxa"/>
            <w:noWrap/>
            <w:hideMark/>
          </w:tcPr>
          <w:p w14:paraId="12596E6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Weekday Daytime - TTP</w:t>
            </w:r>
          </w:p>
        </w:tc>
        <w:tc>
          <w:tcPr>
            <w:tcW w:w="2268" w:type="dxa"/>
            <w:noWrap/>
            <w:hideMark/>
          </w:tcPr>
          <w:p w14:paraId="0BEDC7A2" w14:textId="4F27CC3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C10444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7183AF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79C35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EBC6BFC" w14:textId="77777777" w:rsidTr="008933C7">
        <w:trPr>
          <w:trHeight w:val="300"/>
        </w:trPr>
        <w:tc>
          <w:tcPr>
            <w:tcW w:w="1980" w:type="dxa"/>
            <w:noWrap/>
            <w:hideMark/>
          </w:tcPr>
          <w:p w14:paraId="0D35ED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04_142_0136_6_1</w:t>
            </w:r>
          </w:p>
        </w:tc>
        <w:tc>
          <w:tcPr>
            <w:tcW w:w="5670" w:type="dxa"/>
            <w:noWrap/>
            <w:hideMark/>
          </w:tcPr>
          <w:p w14:paraId="68D62B1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Weekday Afternoon</w:t>
            </w:r>
          </w:p>
        </w:tc>
        <w:tc>
          <w:tcPr>
            <w:tcW w:w="2268" w:type="dxa"/>
            <w:noWrap/>
            <w:hideMark/>
          </w:tcPr>
          <w:p w14:paraId="7B3F8B48" w14:textId="44D261D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FCF545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FE4AD3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2D69FC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EBF41C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D8782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04_142_0136_6_1_T</w:t>
            </w:r>
          </w:p>
        </w:tc>
        <w:tc>
          <w:tcPr>
            <w:tcW w:w="5670" w:type="dxa"/>
            <w:noWrap/>
            <w:hideMark/>
          </w:tcPr>
          <w:p w14:paraId="52A4892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Weekday Afternoon - TTP</w:t>
            </w:r>
          </w:p>
        </w:tc>
        <w:tc>
          <w:tcPr>
            <w:tcW w:w="2268" w:type="dxa"/>
            <w:noWrap/>
            <w:hideMark/>
          </w:tcPr>
          <w:p w14:paraId="0D2ECED4" w14:textId="55FFC18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7C141D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C073F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D144C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524DA4B" w14:textId="77777777" w:rsidTr="008933C7">
        <w:trPr>
          <w:trHeight w:val="300"/>
        </w:trPr>
        <w:tc>
          <w:tcPr>
            <w:tcW w:w="1980" w:type="dxa"/>
            <w:noWrap/>
            <w:hideMark/>
          </w:tcPr>
          <w:p w14:paraId="0A4BE83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04_143_0136_6_1</w:t>
            </w:r>
          </w:p>
        </w:tc>
        <w:tc>
          <w:tcPr>
            <w:tcW w:w="5670" w:type="dxa"/>
            <w:noWrap/>
            <w:hideMark/>
          </w:tcPr>
          <w:p w14:paraId="1D17FC9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Saturday</w:t>
            </w:r>
          </w:p>
        </w:tc>
        <w:tc>
          <w:tcPr>
            <w:tcW w:w="2268" w:type="dxa"/>
            <w:noWrap/>
            <w:hideMark/>
          </w:tcPr>
          <w:p w14:paraId="3C42F830" w14:textId="4FB13FA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0382B8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5EA5E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B2E2A9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E87E6F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D737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04_143_0136_6_1_T</w:t>
            </w:r>
          </w:p>
        </w:tc>
        <w:tc>
          <w:tcPr>
            <w:tcW w:w="5670" w:type="dxa"/>
            <w:noWrap/>
            <w:hideMark/>
          </w:tcPr>
          <w:p w14:paraId="1875413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Saturday - TTP</w:t>
            </w:r>
          </w:p>
        </w:tc>
        <w:tc>
          <w:tcPr>
            <w:tcW w:w="2268" w:type="dxa"/>
            <w:noWrap/>
            <w:hideMark/>
          </w:tcPr>
          <w:p w14:paraId="65528EF3" w14:textId="5DE2AB3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B42E92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0F848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00518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B3A1D60" w14:textId="77777777" w:rsidTr="008933C7">
        <w:trPr>
          <w:trHeight w:val="300"/>
        </w:trPr>
        <w:tc>
          <w:tcPr>
            <w:tcW w:w="1980" w:type="dxa"/>
            <w:noWrap/>
            <w:hideMark/>
          </w:tcPr>
          <w:p w14:paraId="2EB38C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04_144_0136_6_1</w:t>
            </w:r>
          </w:p>
        </w:tc>
        <w:tc>
          <w:tcPr>
            <w:tcW w:w="5670" w:type="dxa"/>
            <w:noWrap/>
            <w:hideMark/>
          </w:tcPr>
          <w:p w14:paraId="391C72F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Sunday</w:t>
            </w:r>
          </w:p>
        </w:tc>
        <w:tc>
          <w:tcPr>
            <w:tcW w:w="2268" w:type="dxa"/>
            <w:noWrap/>
            <w:hideMark/>
          </w:tcPr>
          <w:p w14:paraId="13739439" w14:textId="5BCEA7B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40A196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27DAEA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AA230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1E6950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F85CC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04_144_0136_6_1_T</w:t>
            </w:r>
          </w:p>
        </w:tc>
        <w:tc>
          <w:tcPr>
            <w:tcW w:w="5670" w:type="dxa"/>
            <w:noWrap/>
            <w:hideMark/>
          </w:tcPr>
          <w:p w14:paraId="1B01838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Sunday - TTP</w:t>
            </w:r>
          </w:p>
        </w:tc>
        <w:tc>
          <w:tcPr>
            <w:tcW w:w="2268" w:type="dxa"/>
            <w:noWrap/>
            <w:hideMark/>
          </w:tcPr>
          <w:p w14:paraId="241F1EB8" w14:textId="22049EF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8EA426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E0311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6BBE90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E3DB6A7" w14:textId="77777777" w:rsidTr="008933C7">
        <w:trPr>
          <w:trHeight w:val="300"/>
        </w:trPr>
        <w:tc>
          <w:tcPr>
            <w:tcW w:w="1980" w:type="dxa"/>
            <w:noWrap/>
            <w:hideMark/>
          </w:tcPr>
          <w:p w14:paraId="75EFA9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04_145_0136_6_1</w:t>
            </w:r>
          </w:p>
        </w:tc>
        <w:tc>
          <w:tcPr>
            <w:tcW w:w="5670" w:type="dxa"/>
            <w:noWrap/>
            <w:hideMark/>
          </w:tcPr>
          <w:p w14:paraId="06464E5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Public Holiday</w:t>
            </w:r>
          </w:p>
        </w:tc>
        <w:tc>
          <w:tcPr>
            <w:tcW w:w="2268" w:type="dxa"/>
            <w:noWrap/>
            <w:hideMark/>
          </w:tcPr>
          <w:p w14:paraId="523769E4" w14:textId="2653969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2E6425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68B0C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F61992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21D15F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094E8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04_145_0136_6_1_T</w:t>
            </w:r>
          </w:p>
        </w:tc>
        <w:tc>
          <w:tcPr>
            <w:tcW w:w="5670" w:type="dxa"/>
            <w:noWrap/>
            <w:hideMark/>
          </w:tcPr>
          <w:p w14:paraId="4BB0188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Standard - Public Holiday - TTP</w:t>
            </w:r>
          </w:p>
        </w:tc>
        <w:tc>
          <w:tcPr>
            <w:tcW w:w="2268" w:type="dxa"/>
            <w:noWrap/>
            <w:hideMark/>
          </w:tcPr>
          <w:p w14:paraId="3DA9FCC3" w14:textId="6FC4FA6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D52992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4C994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450FD9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D39BEC6" w14:textId="77777777" w:rsidTr="008933C7">
        <w:trPr>
          <w:trHeight w:val="300"/>
        </w:trPr>
        <w:tc>
          <w:tcPr>
            <w:tcW w:w="1980" w:type="dxa"/>
            <w:noWrap/>
            <w:hideMark/>
          </w:tcPr>
          <w:p w14:paraId="00E19B7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04_146_0104_6_1</w:t>
            </w:r>
          </w:p>
        </w:tc>
        <w:tc>
          <w:tcPr>
            <w:tcW w:w="5670" w:type="dxa"/>
            <w:noWrap/>
            <w:hideMark/>
          </w:tcPr>
          <w:p w14:paraId="6A154D0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4E385BCF" w14:textId="72C7B35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326F2D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83EBF0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A334DB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454AB5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B5882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04_146_0104_6_1_T</w:t>
            </w:r>
          </w:p>
        </w:tc>
        <w:tc>
          <w:tcPr>
            <w:tcW w:w="5670" w:type="dxa"/>
            <w:noWrap/>
            <w:hideMark/>
          </w:tcPr>
          <w:p w14:paraId="2D92664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646A711B" w14:textId="7238BE3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282054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1125BC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8579DF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2FB66C8" w14:textId="77777777" w:rsidTr="008933C7">
        <w:trPr>
          <w:trHeight w:val="300"/>
        </w:trPr>
        <w:tc>
          <w:tcPr>
            <w:tcW w:w="1980" w:type="dxa"/>
            <w:noWrap/>
            <w:hideMark/>
          </w:tcPr>
          <w:p w14:paraId="7F3DAD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04_147_0104_6_1</w:t>
            </w:r>
          </w:p>
        </w:tc>
        <w:tc>
          <w:tcPr>
            <w:tcW w:w="5670" w:type="dxa"/>
            <w:noWrap/>
            <w:hideMark/>
          </w:tcPr>
          <w:p w14:paraId="7C26946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6F1780FD" w14:textId="05E53BB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3BC60D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CDB3C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1A5DC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FE29A0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1A303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04_147_0104_6_1_T</w:t>
            </w:r>
          </w:p>
        </w:tc>
        <w:tc>
          <w:tcPr>
            <w:tcW w:w="5670" w:type="dxa"/>
            <w:noWrap/>
            <w:hideMark/>
          </w:tcPr>
          <w:p w14:paraId="55D23D1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7D7EDC11" w14:textId="462F995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6CD7F4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498671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5B79BD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B1586AA" w14:textId="77777777" w:rsidTr="008933C7">
        <w:trPr>
          <w:trHeight w:val="300"/>
        </w:trPr>
        <w:tc>
          <w:tcPr>
            <w:tcW w:w="1980" w:type="dxa"/>
            <w:noWrap/>
            <w:hideMark/>
          </w:tcPr>
          <w:p w14:paraId="133C530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04_148_0104_6_1</w:t>
            </w:r>
          </w:p>
        </w:tc>
        <w:tc>
          <w:tcPr>
            <w:tcW w:w="5670" w:type="dxa"/>
            <w:noWrap/>
            <w:hideMark/>
          </w:tcPr>
          <w:p w14:paraId="0C4A859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21F2EAD6" w14:textId="2B1A869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F27E17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80093C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931159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F81D8F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3DBEE9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04_148_0104_6_1_T</w:t>
            </w:r>
          </w:p>
        </w:tc>
        <w:tc>
          <w:tcPr>
            <w:tcW w:w="5670" w:type="dxa"/>
            <w:noWrap/>
            <w:hideMark/>
          </w:tcPr>
          <w:p w14:paraId="675BFD1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4F09B2C6" w14:textId="33AAC6A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21C381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FA07B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5ABD69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ACC390F" w14:textId="77777777" w:rsidTr="008933C7">
        <w:trPr>
          <w:trHeight w:val="300"/>
        </w:trPr>
        <w:tc>
          <w:tcPr>
            <w:tcW w:w="1980" w:type="dxa"/>
            <w:noWrap/>
            <w:hideMark/>
          </w:tcPr>
          <w:p w14:paraId="236CF3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04_149_0104_6_1</w:t>
            </w:r>
          </w:p>
        </w:tc>
        <w:tc>
          <w:tcPr>
            <w:tcW w:w="5670" w:type="dxa"/>
            <w:noWrap/>
            <w:hideMark/>
          </w:tcPr>
          <w:p w14:paraId="25C5DD0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32BC13A1" w14:textId="399375B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449DE0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0D7AAE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CC348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829B4D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B5DFF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04_149_0104_6_1_T</w:t>
            </w:r>
          </w:p>
        </w:tc>
        <w:tc>
          <w:tcPr>
            <w:tcW w:w="5670" w:type="dxa"/>
            <w:noWrap/>
            <w:hideMark/>
          </w:tcPr>
          <w:p w14:paraId="575E201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5102A50B" w14:textId="6917DC2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D826CC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F945A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95CCC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C7CCE26" w14:textId="77777777" w:rsidTr="008933C7">
        <w:trPr>
          <w:trHeight w:val="300"/>
        </w:trPr>
        <w:tc>
          <w:tcPr>
            <w:tcW w:w="1980" w:type="dxa"/>
            <w:noWrap/>
            <w:hideMark/>
          </w:tcPr>
          <w:p w14:paraId="330B197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04_150_0104_6_1</w:t>
            </w:r>
          </w:p>
        </w:tc>
        <w:tc>
          <w:tcPr>
            <w:tcW w:w="5670" w:type="dxa"/>
            <w:noWrap/>
            <w:hideMark/>
          </w:tcPr>
          <w:p w14:paraId="4BDD762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0A0B64CF" w14:textId="5365828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226FF1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D15D1E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9235B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C452F0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FD670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04_150_0104_6_1_T</w:t>
            </w:r>
          </w:p>
        </w:tc>
        <w:tc>
          <w:tcPr>
            <w:tcW w:w="5670" w:type="dxa"/>
            <w:noWrap/>
            <w:hideMark/>
          </w:tcPr>
          <w:p w14:paraId="1666BF4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7EC5D0B3" w14:textId="784C93D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5E45A2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463CFE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42BB8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9FB863E" w14:textId="77777777" w:rsidTr="008933C7">
        <w:trPr>
          <w:trHeight w:val="300"/>
        </w:trPr>
        <w:tc>
          <w:tcPr>
            <w:tcW w:w="1980" w:type="dxa"/>
            <w:noWrap/>
            <w:hideMark/>
          </w:tcPr>
          <w:p w14:paraId="4528E3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04_151_0104_6_1</w:t>
            </w:r>
          </w:p>
        </w:tc>
        <w:tc>
          <w:tcPr>
            <w:tcW w:w="5670" w:type="dxa"/>
            <w:noWrap/>
            <w:hideMark/>
          </w:tcPr>
          <w:p w14:paraId="4CB135A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45655C21" w14:textId="2CD1489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C8C4AD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D20B0D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A2CF6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1F6BC5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159DE8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04_151_0104_6_1_T</w:t>
            </w:r>
          </w:p>
        </w:tc>
        <w:tc>
          <w:tcPr>
            <w:tcW w:w="5670" w:type="dxa"/>
            <w:noWrap/>
            <w:hideMark/>
          </w:tcPr>
          <w:p w14:paraId="1FB9B68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329B632F" w14:textId="73D9E75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E38C04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234C16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CEC57F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58396D3" w14:textId="77777777" w:rsidTr="008933C7">
        <w:trPr>
          <w:trHeight w:val="300"/>
        </w:trPr>
        <w:tc>
          <w:tcPr>
            <w:tcW w:w="1980" w:type="dxa"/>
            <w:noWrap/>
            <w:hideMark/>
          </w:tcPr>
          <w:p w14:paraId="71A48F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04_152_0104_6_1</w:t>
            </w:r>
          </w:p>
        </w:tc>
        <w:tc>
          <w:tcPr>
            <w:tcW w:w="5670" w:type="dxa"/>
            <w:noWrap/>
            <w:hideMark/>
          </w:tcPr>
          <w:p w14:paraId="5124F42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11B7C01C" w14:textId="098E1BA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151A54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43E43A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3B518C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F51371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43E20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04_152_0104_6_1_T</w:t>
            </w:r>
          </w:p>
        </w:tc>
        <w:tc>
          <w:tcPr>
            <w:tcW w:w="5670" w:type="dxa"/>
            <w:noWrap/>
            <w:hideMark/>
          </w:tcPr>
          <w:p w14:paraId="6E6CE94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633F146C" w14:textId="2BC79E2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5FF715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3ABE4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47C4AD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12B87CF" w14:textId="77777777" w:rsidTr="008933C7">
        <w:trPr>
          <w:trHeight w:val="300"/>
        </w:trPr>
        <w:tc>
          <w:tcPr>
            <w:tcW w:w="1980" w:type="dxa"/>
            <w:noWrap/>
            <w:hideMark/>
          </w:tcPr>
          <w:p w14:paraId="39BC0E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04_153_0104_6_1</w:t>
            </w:r>
          </w:p>
        </w:tc>
        <w:tc>
          <w:tcPr>
            <w:tcW w:w="5670" w:type="dxa"/>
            <w:noWrap/>
            <w:hideMark/>
          </w:tcPr>
          <w:p w14:paraId="7E90C24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127B49DD" w14:textId="2409FDE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ECD4BD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4E29B6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44703EF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5B636E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E05C5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04_153_0104_6_1_T</w:t>
            </w:r>
          </w:p>
        </w:tc>
        <w:tc>
          <w:tcPr>
            <w:tcW w:w="5670" w:type="dxa"/>
            <w:noWrap/>
            <w:hideMark/>
          </w:tcPr>
          <w:p w14:paraId="5E6453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49D85ABD" w14:textId="2E5E5D5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C1DD9A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032CE9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82BDC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62063A4" w14:textId="77777777" w:rsidTr="008933C7">
        <w:trPr>
          <w:trHeight w:val="300"/>
        </w:trPr>
        <w:tc>
          <w:tcPr>
            <w:tcW w:w="1980" w:type="dxa"/>
            <w:noWrap/>
            <w:hideMark/>
          </w:tcPr>
          <w:p w14:paraId="6A65C63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04_154_0104_6_1</w:t>
            </w:r>
          </w:p>
        </w:tc>
        <w:tc>
          <w:tcPr>
            <w:tcW w:w="5670" w:type="dxa"/>
            <w:noWrap/>
            <w:hideMark/>
          </w:tcPr>
          <w:p w14:paraId="5D71F4B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77C6B872" w14:textId="752E8A1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D9ED9B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211FA8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6C59C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CFA553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39B66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04_154_0104_6_1_T</w:t>
            </w:r>
          </w:p>
        </w:tc>
        <w:tc>
          <w:tcPr>
            <w:tcW w:w="5670" w:type="dxa"/>
            <w:noWrap/>
            <w:hideMark/>
          </w:tcPr>
          <w:p w14:paraId="6BC14A8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7155367E" w14:textId="1574B83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D187FF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FF26B9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2157A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1FC48F5" w14:textId="77777777" w:rsidTr="008933C7">
        <w:trPr>
          <w:trHeight w:val="300"/>
        </w:trPr>
        <w:tc>
          <w:tcPr>
            <w:tcW w:w="1980" w:type="dxa"/>
            <w:noWrap/>
            <w:hideMark/>
          </w:tcPr>
          <w:p w14:paraId="6AA51A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04_155_0104_6_1</w:t>
            </w:r>
          </w:p>
        </w:tc>
        <w:tc>
          <w:tcPr>
            <w:tcW w:w="5670" w:type="dxa"/>
            <w:noWrap/>
            <w:hideMark/>
          </w:tcPr>
          <w:p w14:paraId="5AE4EEC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1BA895B8" w14:textId="39CC462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D84766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DBE4C7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8885A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40563B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687BF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04_155_0104_6_1_T</w:t>
            </w:r>
          </w:p>
        </w:tc>
        <w:tc>
          <w:tcPr>
            <w:tcW w:w="5670" w:type="dxa"/>
            <w:noWrap/>
            <w:hideMark/>
          </w:tcPr>
          <w:p w14:paraId="20D65C1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The Community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5A989E4C" w14:textId="6CAB87F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BFDBAA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FEF5C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CB7034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BAD88D1" w14:textId="77777777" w:rsidTr="008933C7">
        <w:trPr>
          <w:trHeight w:val="300"/>
        </w:trPr>
        <w:tc>
          <w:tcPr>
            <w:tcW w:w="1980" w:type="dxa"/>
            <w:noWrap/>
            <w:hideMark/>
          </w:tcPr>
          <w:p w14:paraId="0DCED0F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04_160_0136_6_1</w:t>
            </w:r>
          </w:p>
        </w:tc>
        <w:tc>
          <w:tcPr>
            <w:tcW w:w="5670" w:type="dxa"/>
            <w:noWrap/>
            <w:hideMark/>
          </w:tcPr>
          <w:p w14:paraId="5233BF8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Weekday</w:t>
            </w:r>
          </w:p>
        </w:tc>
        <w:tc>
          <w:tcPr>
            <w:tcW w:w="2268" w:type="dxa"/>
            <w:noWrap/>
            <w:hideMark/>
          </w:tcPr>
          <w:p w14:paraId="2647FE3B" w14:textId="0B8C64C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2F0E2E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E3D2D4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BFEDE9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13476C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B6684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04_160_0136_6_1_T</w:t>
            </w:r>
          </w:p>
        </w:tc>
        <w:tc>
          <w:tcPr>
            <w:tcW w:w="5670" w:type="dxa"/>
            <w:noWrap/>
            <w:hideMark/>
          </w:tcPr>
          <w:p w14:paraId="66F5324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Weekday Daytime - TTP</w:t>
            </w:r>
          </w:p>
        </w:tc>
        <w:tc>
          <w:tcPr>
            <w:tcW w:w="2268" w:type="dxa"/>
            <w:noWrap/>
            <w:hideMark/>
          </w:tcPr>
          <w:p w14:paraId="6795E411" w14:textId="2403E45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C5B551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6DB2E7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191609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4482B5D" w14:textId="77777777" w:rsidTr="008933C7">
        <w:trPr>
          <w:trHeight w:val="300"/>
        </w:trPr>
        <w:tc>
          <w:tcPr>
            <w:tcW w:w="1980" w:type="dxa"/>
            <w:noWrap/>
            <w:hideMark/>
          </w:tcPr>
          <w:p w14:paraId="44BC661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04_161_0136_6_1</w:t>
            </w:r>
          </w:p>
        </w:tc>
        <w:tc>
          <w:tcPr>
            <w:tcW w:w="5670" w:type="dxa"/>
            <w:noWrap/>
            <w:hideMark/>
          </w:tcPr>
          <w:p w14:paraId="0AA4442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Weekday Afternoon</w:t>
            </w:r>
          </w:p>
        </w:tc>
        <w:tc>
          <w:tcPr>
            <w:tcW w:w="2268" w:type="dxa"/>
            <w:noWrap/>
            <w:hideMark/>
          </w:tcPr>
          <w:p w14:paraId="5AD6C1C3" w14:textId="445CA01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BD447E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9D66E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24B0D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CA4E4B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FB463D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04_161_0136_6_1_T</w:t>
            </w:r>
          </w:p>
        </w:tc>
        <w:tc>
          <w:tcPr>
            <w:tcW w:w="5670" w:type="dxa"/>
            <w:noWrap/>
            <w:hideMark/>
          </w:tcPr>
          <w:p w14:paraId="46669C1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Weekday Afternoon - TTP</w:t>
            </w:r>
          </w:p>
        </w:tc>
        <w:tc>
          <w:tcPr>
            <w:tcW w:w="2268" w:type="dxa"/>
            <w:noWrap/>
            <w:hideMark/>
          </w:tcPr>
          <w:p w14:paraId="697E59A5" w14:textId="3076B08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F41F97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10D157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DFE37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31C253D" w14:textId="77777777" w:rsidTr="008933C7">
        <w:trPr>
          <w:trHeight w:val="300"/>
        </w:trPr>
        <w:tc>
          <w:tcPr>
            <w:tcW w:w="1980" w:type="dxa"/>
            <w:noWrap/>
            <w:hideMark/>
          </w:tcPr>
          <w:p w14:paraId="3CE76D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04_162_0136_6_1</w:t>
            </w:r>
          </w:p>
        </w:tc>
        <w:tc>
          <w:tcPr>
            <w:tcW w:w="5670" w:type="dxa"/>
            <w:noWrap/>
            <w:hideMark/>
          </w:tcPr>
          <w:p w14:paraId="15579E4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Saturday</w:t>
            </w:r>
          </w:p>
        </w:tc>
        <w:tc>
          <w:tcPr>
            <w:tcW w:w="2268" w:type="dxa"/>
            <w:noWrap/>
            <w:hideMark/>
          </w:tcPr>
          <w:p w14:paraId="5D60A638" w14:textId="545F15E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FD59FA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15B17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E92DC5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45BAC9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9CD660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04_162_0136_6_1_T</w:t>
            </w:r>
          </w:p>
        </w:tc>
        <w:tc>
          <w:tcPr>
            <w:tcW w:w="5670" w:type="dxa"/>
            <w:noWrap/>
            <w:hideMark/>
          </w:tcPr>
          <w:p w14:paraId="27CF34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Saturday - TTP</w:t>
            </w:r>
          </w:p>
        </w:tc>
        <w:tc>
          <w:tcPr>
            <w:tcW w:w="2268" w:type="dxa"/>
            <w:noWrap/>
            <w:hideMark/>
          </w:tcPr>
          <w:p w14:paraId="531210FE" w14:textId="5ED7A66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722CE4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D4FF96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50205B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614942F" w14:textId="77777777" w:rsidTr="008933C7">
        <w:trPr>
          <w:trHeight w:val="300"/>
        </w:trPr>
        <w:tc>
          <w:tcPr>
            <w:tcW w:w="1980" w:type="dxa"/>
            <w:noWrap/>
            <w:hideMark/>
          </w:tcPr>
          <w:p w14:paraId="4BF8A3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04_163_0136_6_1</w:t>
            </w:r>
          </w:p>
        </w:tc>
        <w:tc>
          <w:tcPr>
            <w:tcW w:w="5670" w:type="dxa"/>
            <w:noWrap/>
            <w:hideMark/>
          </w:tcPr>
          <w:p w14:paraId="1CA62BE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Sunday</w:t>
            </w:r>
          </w:p>
        </w:tc>
        <w:tc>
          <w:tcPr>
            <w:tcW w:w="2268" w:type="dxa"/>
            <w:noWrap/>
            <w:hideMark/>
          </w:tcPr>
          <w:p w14:paraId="2DEE85FF" w14:textId="1218218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2975C0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3B1806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B98F5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56DC2C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858F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04_163_0136_6_1_T</w:t>
            </w:r>
          </w:p>
        </w:tc>
        <w:tc>
          <w:tcPr>
            <w:tcW w:w="5670" w:type="dxa"/>
            <w:noWrap/>
            <w:hideMark/>
          </w:tcPr>
          <w:p w14:paraId="74DC96A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Sunday - TTP</w:t>
            </w:r>
          </w:p>
        </w:tc>
        <w:tc>
          <w:tcPr>
            <w:tcW w:w="2268" w:type="dxa"/>
            <w:noWrap/>
            <w:hideMark/>
          </w:tcPr>
          <w:p w14:paraId="4D8C4BC6" w14:textId="42CA020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A43D3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70E32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6A6BB5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31771D4" w14:textId="77777777" w:rsidTr="008933C7">
        <w:trPr>
          <w:trHeight w:val="300"/>
        </w:trPr>
        <w:tc>
          <w:tcPr>
            <w:tcW w:w="1980" w:type="dxa"/>
            <w:noWrap/>
            <w:hideMark/>
          </w:tcPr>
          <w:p w14:paraId="4ED66C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04_164_0136_6_1</w:t>
            </w:r>
          </w:p>
        </w:tc>
        <w:tc>
          <w:tcPr>
            <w:tcW w:w="5670" w:type="dxa"/>
            <w:noWrap/>
            <w:hideMark/>
          </w:tcPr>
          <w:p w14:paraId="12FE7F3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Public Holiday</w:t>
            </w:r>
          </w:p>
        </w:tc>
        <w:tc>
          <w:tcPr>
            <w:tcW w:w="2268" w:type="dxa"/>
            <w:noWrap/>
            <w:hideMark/>
          </w:tcPr>
          <w:p w14:paraId="4863ED73" w14:textId="5ABD31F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C9927A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A92E1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FD255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F2957D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576B2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04_164_0136_6_1_T</w:t>
            </w:r>
          </w:p>
        </w:tc>
        <w:tc>
          <w:tcPr>
            <w:tcW w:w="5670" w:type="dxa"/>
            <w:noWrap/>
            <w:hideMark/>
          </w:tcPr>
          <w:p w14:paraId="75A5D6F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Standard - Public Holiday - TTP</w:t>
            </w:r>
          </w:p>
        </w:tc>
        <w:tc>
          <w:tcPr>
            <w:tcW w:w="2268" w:type="dxa"/>
            <w:noWrap/>
            <w:hideMark/>
          </w:tcPr>
          <w:p w14:paraId="7635274F" w14:textId="2732C5F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031F08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6E4EAA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70B7F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932A357" w14:textId="77777777" w:rsidTr="008933C7">
        <w:trPr>
          <w:trHeight w:val="300"/>
        </w:trPr>
        <w:tc>
          <w:tcPr>
            <w:tcW w:w="1980" w:type="dxa"/>
            <w:noWrap/>
            <w:hideMark/>
          </w:tcPr>
          <w:p w14:paraId="201B59C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04_165_0136_6_1</w:t>
            </w:r>
          </w:p>
        </w:tc>
        <w:tc>
          <w:tcPr>
            <w:tcW w:w="5670" w:type="dxa"/>
            <w:noWrap/>
            <w:hideMark/>
          </w:tcPr>
          <w:p w14:paraId="544FE13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Weekday Daytime</w:t>
            </w:r>
          </w:p>
        </w:tc>
        <w:tc>
          <w:tcPr>
            <w:tcW w:w="2268" w:type="dxa"/>
            <w:noWrap/>
            <w:hideMark/>
          </w:tcPr>
          <w:p w14:paraId="177FBE1E" w14:textId="61E2856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AAD552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A85AE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3B386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0380C9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6B102C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04_165_0136_6_1_T</w:t>
            </w:r>
          </w:p>
        </w:tc>
        <w:tc>
          <w:tcPr>
            <w:tcW w:w="5670" w:type="dxa"/>
            <w:noWrap/>
            <w:hideMark/>
          </w:tcPr>
          <w:p w14:paraId="0FC401F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Weekday Daytime - TTP</w:t>
            </w:r>
          </w:p>
        </w:tc>
        <w:tc>
          <w:tcPr>
            <w:tcW w:w="2268" w:type="dxa"/>
            <w:noWrap/>
            <w:hideMark/>
          </w:tcPr>
          <w:p w14:paraId="6D8BC4EE" w14:textId="4A23A77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60ECFC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144EB2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BFE92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3328C7F" w14:textId="77777777" w:rsidTr="008933C7">
        <w:trPr>
          <w:trHeight w:val="300"/>
        </w:trPr>
        <w:tc>
          <w:tcPr>
            <w:tcW w:w="1980" w:type="dxa"/>
            <w:noWrap/>
            <w:hideMark/>
          </w:tcPr>
          <w:p w14:paraId="214713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04_166_0136_6_1</w:t>
            </w:r>
          </w:p>
        </w:tc>
        <w:tc>
          <w:tcPr>
            <w:tcW w:w="5670" w:type="dxa"/>
            <w:noWrap/>
            <w:hideMark/>
          </w:tcPr>
          <w:p w14:paraId="3EB5CDE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Weekday Afternoon</w:t>
            </w:r>
          </w:p>
        </w:tc>
        <w:tc>
          <w:tcPr>
            <w:tcW w:w="2268" w:type="dxa"/>
            <w:noWrap/>
            <w:hideMark/>
          </w:tcPr>
          <w:p w14:paraId="5FA7F200" w14:textId="54DD4AA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8FBCBD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EC872F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AEE4D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CFEA6D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544B6C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04_166_0136_6_1_T</w:t>
            </w:r>
          </w:p>
        </w:tc>
        <w:tc>
          <w:tcPr>
            <w:tcW w:w="5670" w:type="dxa"/>
            <w:noWrap/>
            <w:hideMark/>
          </w:tcPr>
          <w:p w14:paraId="4824FDE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Weekday Afternoon - TTP</w:t>
            </w:r>
          </w:p>
        </w:tc>
        <w:tc>
          <w:tcPr>
            <w:tcW w:w="2268" w:type="dxa"/>
            <w:noWrap/>
            <w:hideMark/>
          </w:tcPr>
          <w:p w14:paraId="4E2D92A9" w14:textId="488636F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5602E0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5D23A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D1656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2A9CDFD" w14:textId="77777777" w:rsidTr="008933C7">
        <w:trPr>
          <w:trHeight w:val="300"/>
        </w:trPr>
        <w:tc>
          <w:tcPr>
            <w:tcW w:w="1980" w:type="dxa"/>
            <w:noWrap/>
            <w:hideMark/>
          </w:tcPr>
          <w:p w14:paraId="705310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04_167_0136_6_1</w:t>
            </w:r>
          </w:p>
        </w:tc>
        <w:tc>
          <w:tcPr>
            <w:tcW w:w="5670" w:type="dxa"/>
            <w:noWrap/>
            <w:hideMark/>
          </w:tcPr>
          <w:p w14:paraId="3DA5020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Saturday</w:t>
            </w:r>
          </w:p>
        </w:tc>
        <w:tc>
          <w:tcPr>
            <w:tcW w:w="2268" w:type="dxa"/>
            <w:noWrap/>
            <w:hideMark/>
          </w:tcPr>
          <w:p w14:paraId="7E4CDA2E" w14:textId="5FF6BDE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55B03A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FA8221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02FBE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840D0E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750540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04_167_0136_6_1_T</w:t>
            </w:r>
          </w:p>
        </w:tc>
        <w:tc>
          <w:tcPr>
            <w:tcW w:w="5670" w:type="dxa"/>
            <w:noWrap/>
            <w:hideMark/>
          </w:tcPr>
          <w:p w14:paraId="4FB55B3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Saturday - TTP</w:t>
            </w:r>
          </w:p>
        </w:tc>
        <w:tc>
          <w:tcPr>
            <w:tcW w:w="2268" w:type="dxa"/>
            <w:noWrap/>
            <w:hideMark/>
          </w:tcPr>
          <w:p w14:paraId="7B78A39E" w14:textId="17E1090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E29DA6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ACCB4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DFF5A8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1D4BFB7" w14:textId="77777777" w:rsidTr="008933C7">
        <w:trPr>
          <w:trHeight w:val="300"/>
        </w:trPr>
        <w:tc>
          <w:tcPr>
            <w:tcW w:w="1980" w:type="dxa"/>
            <w:noWrap/>
            <w:hideMark/>
          </w:tcPr>
          <w:p w14:paraId="299BCC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04_168_0136_6_1</w:t>
            </w:r>
          </w:p>
        </w:tc>
        <w:tc>
          <w:tcPr>
            <w:tcW w:w="5670" w:type="dxa"/>
            <w:noWrap/>
            <w:hideMark/>
          </w:tcPr>
          <w:p w14:paraId="58FEFBA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Sunday</w:t>
            </w:r>
          </w:p>
        </w:tc>
        <w:tc>
          <w:tcPr>
            <w:tcW w:w="2268" w:type="dxa"/>
            <w:noWrap/>
            <w:hideMark/>
          </w:tcPr>
          <w:p w14:paraId="4909A92F" w14:textId="2F24733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2AC56A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88511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404A9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B8F81C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9CBB15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04_168_0136_6_1_T</w:t>
            </w:r>
          </w:p>
        </w:tc>
        <w:tc>
          <w:tcPr>
            <w:tcW w:w="5670" w:type="dxa"/>
            <w:noWrap/>
            <w:hideMark/>
          </w:tcPr>
          <w:p w14:paraId="565F129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Sunday - TTP</w:t>
            </w:r>
          </w:p>
        </w:tc>
        <w:tc>
          <w:tcPr>
            <w:tcW w:w="2268" w:type="dxa"/>
            <w:noWrap/>
            <w:hideMark/>
          </w:tcPr>
          <w:p w14:paraId="185A4A8F" w14:textId="2465C44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AEB1FE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9338D2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9B9E4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F3B27D2" w14:textId="77777777" w:rsidTr="008933C7">
        <w:trPr>
          <w:trHeight w:val="300"/>
        </w:trPr>
        <w:tc>
          <w:tcPr>
            <w:tcW w:w="1980" w:type="dxa"/>
            <w:noWrap/>
            <w:hideMark/>
          </w:tcPr>
          <w:p w14:paraId="1B72A5E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04_169_0136_6_1</w:t>
            </w:r>
          </w:p>
        </w:tc>
        <w:tc>
          <w:tcPr>
            <w:tcW w:w="5670" w:type="dxa"/>
            <w:noWrap/>
            <w:hideMark/>
          </w:tcPr>
          <w:p w14:paraId="18537D5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Public Holiday</w:t>
            </w:r>
          </w:p>
        </w:tc>
        <w:tc>
          <w:tcPr>
            <w:tcW w:w="2268" w:type="dxa"/>
            <w:noWrap/>
            <w:hideMark/>
          </w:tcPr>
          <w:p w14:paraId="55FD2895" w14:textId="6F26A3F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C0AC72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485FF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39A3D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5FE5E0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B7397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04_169_0136_6_1_T</w:t>
            </w:r>
          </w:p>
        </w:tc>
        <w:tc>
          <w:tcPr>
            <w:tcW w:w="5670" w:type="dxa"/>
            <w:noWrap/>
            <w:hideMark/>
          </w:tcPr>
          <w:p w14:paraId="1C851F4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Standard - Public Holiday - TTP</w:t>
            </w:r>
          </w:p>
        </w:tc>
        <w:tc>
          <w:tcPr>
            <w:tcW w:w="2268" w:type="dxa"/>
            <w:noWrap/>
            <w:hideMark/>
          </w:tcPr>
          <w:p w14:paraId="3A0D587B" w14:textId="386D16F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D084C4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26372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C1B14E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E5289C3" w14:textId="77777777" w:rsidTr="008933C7">
        <w:trPr>
          <w:trHeight w:val="300"/>
        </w:trPr>
        <w:tc>
          <w:tcPr>
            <w:tcW w:w="1980" w:type="dxa"/>
            <w:noWrap/>
            <w:hideMark/>
          </w:tcPr>
          <w:p w14:paraId="2A6AFB0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04_170_0136_6_1</w:t>
            </w:r>
          </w:p>
        </w:tc>
        <w:tc>
          <w:tcPr>
            <w:tcW w:w="5670" w:type="dxa"/>
            <w:noWrap/>
            <w:hideMark/>
          </w:tcPr>
          <w:p w14:paraId="652D215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Weekday Daytime</w:t>
            </w:r>
          </w:p>
        </w:tc>
        <w:tc>
          <w:tcPr>
            <w:tcW w:w="2268" w:type="dxa"/>
            <w:noWrap/>
            <w:hideMark/>
          </w:tcPr>
          <w:p w14:paraId="0F660D96" w14:textId="4C16F2A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923DF5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03B56F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F83CC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D64F7E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F7BD78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04_170_0136_6_1_T</w:t>
            </w:r>
          </w:p>
        </w:tc>
        <w:tc>
          <w:tcPr>
            <w:tcW w:w="5670" w:type="dxa"/>
            <w:noWrap/>
            <w:hideMark/>
          </w:tcPr>
          <w:p w14:paraId="5D08402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Weekday Daytime - TTP</w:t>
            </w:r>
          </w:p>
        </w:tc>
        <w:tc>
          <w:tcPr>
            <w:tcW w:w="2268" w:type="dxa"/>
            <w:noWrap/>
            <w:hideMark/>
          </w:tcPr>
          <w:p w14:paraId="209186B6" w14:textId="276799E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9E9C19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7B4B70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ADDE3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7DA6D9D" w14:textId="77777777" w:rsidTr="008933C7">
        <w:trPr>
          <w:trHeight w:val="300"/>
        </w:trPr>
        <w:tc>
          <w:tcPr>
            <w:tcW w:w="1980" w:type="dxa"/>
            <w:noWrap/>
            <w:hideMark/>
          </w:tcPr>
          <w:p w14:paraId="358836D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04_171_0136_6_1</w:t>
            </w:r>
          </w:p>
        </w:tc>
        <w:tc>
          <w:tcPr>
            <w:tcW w:w="5670" w:type="dxa"/>
            <w:noWrap/>
            <w:hideMark/>
          </w:tcPr>
          <w:p w14:paraId="45AC6D4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Weekday Afternoon</w:t>
            </w:r>
          </w:p>
        </w:tc>
        <w:tc>
          <w:tcPr>
            <w:tcW w:w="2268" w:type="dxa"/>
            <w:noWrap/>
            <w:hideMark/>
          </w:tcPr>
          <w:p w14:paraId="02E85BB1" w14:textId="4C8722D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712393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128E6D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92DA9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350EF8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ABD55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04_171_0136_6_1_T</w:t>
            </w:r>
          </w:p>
        </w:tc>
        <w:tc>
          <w:tcPr>
            <w:tcW w:w="5670" w:type="dxa"/>
            <w:noWrap/>
            <w:hideMark/>
          </w:tcPr>
          <w:p w14:paraId="1824871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Weekday Afternoon - TTP</w:t>
            </w:r>
          </w:p>
        </w:tc>
        <w:tc>
          <w:tcPr>
            <w:tcW w:w="2268" w:type="dxa"/>
            <w:noWrap/>
            <w:hideMark/>
          </w:tcPr>
          <w:p w14:paraId="4C5F7816" w14:textId="775013E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58ED21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31D83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E3C88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40035DB" w14:textId="77777777" w:rsidTr="008933C7">
        <w:trPr>
          <w:trHeight w:val="300"/>
        </w:trPr>
        <w:tc>
          <w:tcPr>
            <w:tcW w:w="1980" w:type="dxa"/>
            <w:noWrap/>
            <w:hideMark/>
          </w:tcPr>
          <w:p w14:paraId="3301223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04_172_0136_6_1</w:t>
            </w:r>
          </w:p>
        </w:tc>
        <w:tc>
          <w:tcPr>
            <w:tcW w:w="5670" w:type="dxa"/>
            <w:noWrap/>
            <w:hideMark/>
          </w:tcPr>
          <w:p w14:paraId="4D8AAFE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Saturday</w:t>
            </w:r>
          </w:p>
        </w:tc>
        <w:tc>
          <w:tcPr>
            <w:tcW w:w="2268" w:type="dxa"/>
            <w:noWrap/>
            <w:hideMark/>
          </w:tcPr>
          <w:p w14:paraId="5C8C4BC0" w14:textId="56186C8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D42DC1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9033CC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C40260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6DE75A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1F05E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04_172_0136_6_1_T</w:t>
            </w:r>
          </w:p>
        </w:tc>
        <w:tc>
          <w:tcPr>
            <w:tcW w:w="5670" w:type="dxa"/>
            <w:noWrap/>
            <w:hideMark/>
          </w:tcPr>
          <w:p w14:paraId="0C312AD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Saturday - TTP</w:t>
            </w:r>
          </w:p>
        </w:tc>
        <w:tc>
          <w:tcPr>
            <w:tcW w:w="2268" w:type="dxa"/>
            <w:noWrap/>
            <w:hideMark/>
          </w:tcPr>
          <w:p w14:paraId="5544F9A8" w14:textId="0208F26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22A786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25AB1A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C5D6AF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11F1839" w14:textId="77777777" w:rsidTr="008933C7">
        <w:trPr>
          <w:trHeight w:val="300"/>
        </w:trPr>
        <w:tc>
          <w:tcPr>
            <w:tcW w:w="1980" w:type="dxa"/>
            <w:noWrap/>
            <w:hideMark/>
          </w:tcPr>
          <w:p w14:paraId="6F5375C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04_173_0136_6_1</w:t>
            </w:r>
          </w:p>
        </w:tc>
        <w:tc>
          <w:tcPr>
            <w:tcW w:w="5670" w:type="dxa"/>
            <w:noWrap/>
            <w:hideMark/>
          </w:tcPr>
          <w:p w14:paraId="6FDA60C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Sunday</w:t>
            </w:r>
          </w:p>
        </w:tc>
        <w:tc>
          <w:tcPr>
            <w:tcW w:w="2268" w:type="dxa"/>
            <w:noWrap/>
            <w:hideMark/>
          </w:tcPr>
          <w:p w14:paraId="27BEC9EB" w14:textId="2C4928F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D5515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41F68D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405E49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C468A9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F112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04_173_0136_6_1_T</w:t>
            </w:r>
          </w:p>
        </w:tc>
        <w:tc>
          <w:tcPr>
            <w:tcW w:w="5670" w:type="dxa"/>
            <w:noWrap/>
            <w:hideMark/>
          </w:tcPr>
          <w:p w14:paraId="2B5A0A1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Sunday - TTP</w:t>
            </w:r>
          </w:p>
        </w:tc>
        <w:tc>
          <w:tcPr>
            <w:tcW w:w="2268" w:type="dxa"/>
            <w:noWrap/>
            <w:hideMark/>
          </w:tcPr>
          <w:p w14:paraId="384311AB" w14:textId="0DB4B49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0098EC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9B686D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A5EA75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17EA5F3" w14:textId="77777777" w:rsidTr="008933C7">
        <w:trPr>
          <w:trHeight w:val="300"/>
        </w:trPr>
        <w:tc>
          <w:tcPr>
            <w:tcW w:w="1980" w:type="dxa"/>
            <w:noWrap/>
            <w:hideMark/>
          </w:tcPr>
          <w:p w14:paraId="193EBBC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04_174_0136_6_1</w:t>
            </w:r>
          </w:p>
        </w:tc>
        <w:tc>
          <w:tcPr>
            <w:tcW w:w="5670" w:type="dxa"/>
            <w:noWrap/>
            <w:hideMark/>
          </w:tcPr>
          <w:p w14:paraId="16B5EE9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Public Holiday</w:t>
            </w:r>
          </w:p>
        </w:tc>
        <w:tc>
          <w:tcPr>
            <w:tcW w:w="2268" w:type="dxa"/>
            <w:noWrap/>
            <w:hideMark/>
          </w:tcPr>
          <w:p w14:paraId="5C8E42DC" w14:textId="6880EC2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8A7DA5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A7150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82228A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CC4C30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2B12AD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04_174_0136_6_1_T</w:t>
            </w:r>
          </w:p>
        </w:tc>
        <w:tc>
          <w:tcPr>
            <w:tcW w:w="5670" w:type="dxa"/>
            <w:noWrap/>
            <w:hideMark/>
          </w:tcPr>
          <w:p w14:paraId="51C5C3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Standard - Public Holiday - TTP</w:t>
            </w:r>
          </w:p>
        </w:tc>
        <w:tc>
          <w:tcPr>
            <w:tcW w:w="2268" w:type="dxa"/>
            <w:noWrap/>
            <w:hideMark/>
          </w:tcPr>
          <w:p w14:paraId="2AE1BC69" w14:textId="34F18D0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105C96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60C7CA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8165B9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565252F" w14:textId="77777777" w:rsidTr="008933C7">
        <w:trPr>
          <w:trHeight w:val="300"/>
        </w:trPr>
        <w:tc>
          <w:tcPr>
            <w:tcW w:w="1980" w:type="dxa"/>
            <w:noWrap/>
            <w:hideMark/>
          </w:tcPr>
          <w:p w14:paraId="637A40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04_175_0136_6_1</w:t>
            </w:r>
          </w:p>
        </w:tc>
        <w:tc>
          <w:tcPr>
            <w:tcW w:w="5670" w:type="dxa"/>
            <w:noWrap/>
            <w:hideMark/>
          </w:tcPr>
          <w:p w14:paraId="640581F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Weekday Daytime</w:t>
            </w:r>
          </w:p>
        </w:tc>
        <w:tc>
          <w:tcPr>
            <w:tcW w:w="2268" w:type="dxa"/>
            <w:noWrap/>
            <w:hideMark/>
          </w:tcPr>
          <w:p w14:paraId="4258A731" w14:textId="31BD44F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E12EC4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700163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96150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32FE08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45040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04_175_0136_6_1_T</w:t>
            </w:r>
          </w:p>
        </w:tc>
        <w:tc>
          <w:tcPr>
            <w:tcW w:w="5670" w:type="dxa"/>
            <w:noWrap/>
            <w:hideMark/>
          </w:tcPr>
          <w:p w14:paraId="05D2282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Weekday Daytime - TTP</w:t>
            </w:r>
          </w:p>
        </w:tc>
        <w:tc>
          <w:tcPr>
            <w:tcW w:w="2268" w:type="dxa"/>
            <w:noWrap/>
            <w:hideMark/>
          </w:tcPr>
          <w:p w14:paraId="6A5B1E6E" w14:textId="450B099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4AB5FF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D8E5AA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939A3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33B56E3" w14:textId="77777777" w:rsidTr="008933C7">
        <w:trPr>
          <w:trHeight w:val="300"/>
        </w:trPr>
        <w:tc>
          <w:tcPr>
            <w:tcW w:w="1980" w:type="dxa"/>
            <w:noWrap/>
            <w:hideMark/>
          </w:tcPr>
          <w:p w14:paraId="2EC5F3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04_176_0136_6_1</w:t>
            </w:r>
          </w:p>
        </w:tc>
        <w:tc>
          <w:tcPr>
            <w:tcW w:w="5670" w:type="dxa"/>
            <w:noWrap/>
            <w:hideMark/>
          </w:tcPr>
          <w:p w14:paraId="7B13199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Weekday Afternoon</w:t>
            </w:r>
          </w:p>
        </w:tc>
        <w:tc>
          <w:tcPr>
            <w:tcW w:w="2268" w:type="dxa"/>
            <w:noWrap/>
            <w:hideMark/>
          </w:tcPr>
          <w:p w14:paraId="26C9F9DF" w14:textId="537B2A7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D839A1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CBAE8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97E096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6C558D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6810B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04_176_0136_6_1_T</w:t>
            </w:r>
          </w:p>
        </w:tc>
        <w:tc>
          <w:tcPr>
            <w:tcW w:w="5670" w:type="dxa"/>
            <w:noWrap/>
            <w:hideMark/>
          </w:tcPr>
          <w:p w14:paraId="7F984B7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Weekday Afternoon - TTP</w:t>
            </w:r>
          </w:p>
        </w:tc>
        <w:tc>
          <w:tcPr>
            <w:tcW w:w="2268" w:type="dxa"/>
            <w:noWrap/>
            <w:hideMark/>
          </w:tcPr>
          <w:p w14:paraId="10950D0C" w14:textId="3717E2F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1224AF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BA2DC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11E3447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739E018" w14:textId="77777777" w:rsidTr="008933C7">
        <w:trPr>
          <w:trHeight w:val="300"/>
        </w:trPr>
        <w:tc>
          <w:tcPr>
            <w:tcW w:w="1980" w:type="dxa"/>
            <w:noWrap/>
            <w:hideMark/>
          </w:tcPr>
          <w:p w14:paraId="6BEE66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04_177_0136_6_1</w:t>
            </w:r>
          </w:p>
        </w:tc>
        <w:tc>
          <w:tcPr>
            <w:tcW w:w="5670" w:type="dxa"/>
            <w:noWrap/>
            <w:hideMark/>
          </w:tcPr>
          <w:p w14:paraId="33E6FA7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Saturday</w:t>
            </w:r>
          </w:p>
        </w:tc>
        <w:tc>
          <w:tcPr>
            <w:tcW w:w="2268" w:type="dxa"/>
            <w:noWrap/>
            <w:hideMark/>
          </w:tcPr>
          <w:p w14:paraId="3F241A86" w14:textId="2A6A836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71A585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8BC4E1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B0C703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C42FAD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256EB2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04_177_0136_6_1_T</w:t>
            </w:r>
          </w:p>
        </w:tc>
        <w:tc>
          <w:tcPr>
            <w:tcW w:w="5670" w:type="dxa"/>
            <w:noWrap/>
            <w:hideMark/>
          </w:tcPr>
          <w:p w14:paraId="3B875F3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Saturday - TTP</w:t>
            </w:r>
          </w:p>
        </w:tc>
        <w:tc>
          <w:tcPr>
            <w:tcW w:w="2268" w:type="dxa"/>
            <w:noWrap/>
            <w:hideMark/>
          </w:tcPr>
          <w:p w14:paraId="535C1E4A" w14:textId="5340F62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002D2E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761AF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5995A0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B82A64A" w14:textId="77777777" w:rsidTr="008933C7">
        <w:trPr>
          <w:trHeight w:val="300"/>
        </w:trPr>
        <w:tc>
          <w:tcPr>
            <w:tcW w:w="1980" w:type="dxa"/>
            <w:noWrap/>
            <w:hideMark/>
          </w:tcPr>
          <w:p w14:paraId="109F22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04_178_0136_6_1</w:t>
            </w:r>
          </w:p>
        </w:tc>
        <w:tc>
          <w:tcPr>
            <w:tcW w:w="5670" w:type="dxa"/>
            <w:noWrap/>
            <w:hideMark/>
          </w:tcPr>
          <w:p w14:paraId="440B460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Sunday</w:t>
            </w:r>
          </w:p>
        </w:tc>
        <w:tc>
          <w:tcPr>
            <w:tcW w:w="2268" w:type="dxa"/>
            <w:noWrap/>
            <w:hideMark/>
          </w:tcPr>
          <w:p w14:paraId="7F8B086E" w14:textId="7E3095F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3CF6E8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7CF1F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FEB28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0BC087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E3264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04_178_0136_6_1_T</w:t>
            </w:r>
          </w:p>
        </w:tc>
        <w:tc>
          <w:tcPr>
            <w:tcW w:w="5670" w:type="dxa"/>
            <w:noWrap/>
            <w:hideMark/>
          </w:tcPr>
          <w:p w14:paraId="4E3A50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Sunday - TTP</w:t>
            </w:r>
          </w:p>
        </w:tc>
        <w:tc>
          <w:tcPr>
            <w:tcW w:w="2268" w:type="dxa"/>
            <w:noWrap/>
            <w:hideMark/>
          </w:tcPr>
          <w:p w14:paraId="2E271255" w14:textId="28F6872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BF70C7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FA6E7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10966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B447B55" w14:textId="77777777" w:rsidTr="008933C7">
        <w:trPr>
          <w:trHeight w:val="300"/>
        </w:trPr>
        <w:tc>
          <w:tcPr>
            <w:tcW w:w="1980" w:type="dxa"/>
            <w:noWrap/>
            <w:hideMark/>
          </w:tcPr>
          <w:p w14:paraId="289CE74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04_179_0136_6_1</w:t>
            </w:r>
          </w:p>
        </w:tc>
        <w:tc>
          <w:tcPr>
            <w:tcW w:w="5670" w:type="dxa"/>
            <w:noWrap/>
            <w:hideMark/>
          </w:tcPr>
          <w:p w14:paraId="2661DA1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Public Holiday</w:t>
            </w:r>
          </w:p>
        </w:tc>
        <w:tc>
          <w:tcPr>
            <w:tcW w:w="2268" w:type="dxa"/>
            <w:noWrap/>
            <w:hideMark/>
          </w:tcPr>
          <w:p w14:paraId="12F7DCBA" w14:textId="14AC2D1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9DB8C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AB29C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F6D9D9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1BF0E9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D3C49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04_179_0136_6_1_T</w:t>
            </w:r>
          </w:p>
        </w:tc>
        <w:tc>
          <w:tcPr>
            <w:tcW w:w="5670" w:type="dxa"/>
            <w:noWrap/>
            <w:hideMark/>
          </w:tcPr>
          <w:p w14:paraId="3CEC6E4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Standard - Public Holiday - TTP</w:t>
            </w:r>
          </w:p>
        </w:tc>
        <w:tc>
          <w:tcPr>
            <w:tcW w:w="2268" w:type="dxa"/>
            <w:noWrap/>
            <w:hideMark/>
          </w:tcPr>
          <w:p w14:paraId="554F4C5E" w14:textId="2C4B05E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E31A34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15232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962E3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DB66769" w14:textId="77777777" w:rsidTr="008933C7">
        <w:trPr>
          <w:trHeight w:val="300"/>
        </w:trPr>
        <w:tc>
          <w:tcPr>
            <w:tcW w:w="1980" w:type="dxa"/>
            <w:noWrap/>
            <w:hideMark/>
          </w:tcPr>
          <w:p w14:paraId="39A0070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04_180_0136_6_1</w:t>
            </w:r>
          </w:p>
        </w:tc>
        <w:tc>
          <w:tcPr>
            <w:tcW w:w="5670" w:type="dxa"/>
            <w:noWrap/>
            <w:hideMark/>
          </w:tcPr>
          <w:p w14:paraId="4B39A22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Weekday Daytime</w:t>
            </w:r>
          </w:p>
        </w:tc>
        <w:tc>
          <w:tcPr>
            <w:tcW w:w="2268" w:type="dxa"/>
            <w:noWrap/>
            <w:hideMark/>
          </w:tcPr>
          <w:p w14:paraId="7D0DB3FC" w14:textId="552F39E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1BECF3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602171B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E152E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29E6CC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9A9DF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04_180_0136_6_1_T</w:t>
            </w:r>
          </w:p>
        </w:tc>
        <w:tc>
          <w:tcPr>
            <w:tcW w:w="5670" w:type="dxa"/>
            <w:noWrap/>
            <w:hideMark/>
          </w:tcPr>
          <w:p w14:paraId="74FE0E6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Weekday Daytime - TTP</w:t>
            </w:r>
          </w:p>
        </w:tc>
        <w:tc>
          <w:tcPr>
            <w:tcW w:w="2268" w:type="dxa"/>
            <w:noWrap/>
            <w:hideMark/>
          </w:tcPr>
          <w:p w14:paraId="517A8B0F" w14:textId="0FCC2BF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535A6F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653873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D76D38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737BC87" w14:textId="77777777" w:rsidTr="008933C7">
        <w:trPr>
          <w:trHeight w:val="300"/>
        </w:trPr>
        <w:tc>
          <w:tcPr>
            <w:tcW w:w="1980" w:type="dxa"/>
            <w:noWrap/>
            <w:hideMark/>
          </w:tcPr>
          <w:p w14:paraId="02C04D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04_181_0136_6_1</w:t>
            </w:r>
          </w:p>
        </w:tc>
        <w:tc>
          <w:tcPr>
            <w:tcW w:w="5670" w:type="dxa"/>
            <w:noWrap/>
            <w:hideMark/>
          </w:tcPr>
          <w:p w14:paraId="2667832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Weekday Afternoon</w:t>
            </w:r>
          </w:p>
        </w:tc>
        <w:tc>
          <w:tcPr>
            <w:tcW w:w="2268" w:type="dxa"/>
            <w:noWrap/>
            <w:hideMark/>
          </w:tcPr>
          <w:p w14:paraId="6C2025BF" w14:textId="26BFFB5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854FD6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F8A63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B200A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17138A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488CB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04_181_0136_6_1_T</w:t>
            </w:r>
          </w:p>
        </w:tc>
        <w:tc>
          <w:tcPr>
            <w:tcW w:w="5670" w:type="dxa"/>
            <w:noWrap/>
            <w:hideMark/>
          </w:tcPr>
          <w:p w14:paraId="6A4B241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Weekday Afternoon - TTP</w:t>
            </w:r>
          </w:p>
        </w:tc>
        <w:tc>
          <w:tcPr>
            <w:tcW w:w="2268" w:type="dxa"/>
            <w:noWrap/>
            <w:hideMark/>
          </w:tcPr>
          <w:p w14:paraId="5FB5725B" w14:textId="2E1A63E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EF0F6A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D327C1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4CE827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34D5477" w14:textId="77777777" w:rsidTr="008933C7">
        <w:trPr>
          <w:trHeight w:val="300"/>
        </w:trPr>
        <w:tc>
          <w:tcPr>
            <w:tcW w:w="1980" w:type="dxa"/>
            <w:noWrap/>
            <w:hideMark/>
          </w:tcPr>
          <w:p w14:paraId="4F9805F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04_182_0136_6_1</w:t>
            </w:r>
          </w:p>
        </w:tc>
        <w:tc>
          <w:tcPr>
            <w:tcW w:w="5670" w:type="dxa"/>
            <w:noWrap/>
            <w:hideMark/>
          </w:tcPr>
          <w:p w14:paraId="162982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Saturday</w:t>
            </w:r>
          </w:p>
        </w:tc>
        <w:tc>
          <w:tcPr>
            <w:tcW w:w="2268" w:type="dxa"/>
            <w:noWrap/>
            <w:hideMark/>
          </w:tcPr>
          <w:p w14:paraId="51781524" w14:textId="4577048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6CFF22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2888C9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B875ED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ACF4FB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AE194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04_182_0136_6_1_T</w:t>
            </w:r>
          </w:p>
        </w:tc>
        <w:tc>
          <w:tcPr>
            <w:tcW w:w="5670" w:type="dxa"/>
            <w:noWrap/>
            <w:hideMark/>
          </w:tcPr>
          <w:p w14:paraId="6A0D37B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Saturday - TTP</w:t>
            </w:r>
          </w:p>
        </w:tc>
        <w:tc>
          <w:tcPr>
            <w:tcW w:w="2268" w:type="dxa"/>
            <w:noWrap/>
            <w:hideMark/>
          </w:tcPr>
          <w:p w14:paraId="181EA59F" w14:textId="01F4D18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AC4853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036D7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2F48CE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E150717" w14:textId="77777777" w:rsidTr="008933C7">
        <w:trPr>
          <w:trHeight w:val="300"/>
        </w:trPr>
        <w:tc>
          <w:tcPr>
            <w:tcW w:w="1980" w:type="dxa"/>
            <w:noWrap/>
            <w:hideMark/>
          </w:tcPr>
          <w:p w14:paraId="1E32F8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04_183_0136_6_1</w:t>
            </w:r>
          </w:p>
        </w:tc>
        <w:tc>
          <w:tcPr>
            <w:tcW w:w="5670" w:type="dxa"/>
            <w:noWrap/>
            <w:hideMark/>
          </w:tcPr>
          <w:p w14:paraId="2469987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Sunday</w:t>
            </w:r>
          </w:p>
        </w:tc>
        <w:tc>
          <w:tcPr>
            <w:tcW w:w="2268" w:type="dxa"/>
            <w:noWrap/>
            <w:hideMark/>
          </w:tcPr>
          <w:p w14:paraId="020C084C" w14:textId="2817343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2A6FC0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B1EE5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B6934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CA68CC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BDC7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04_183_0136_6_1_T</w:t>
            </w:r>
          </w:p>
        </w:tc>
        <w:tc>
          <w:tcPr>
            <w:tcW w:w="5670" w:type="dxa"/>
            <w:noWrap/>
            <w:hideMark/>
          </w:tcPr>
          <w:p w14:paraId="56AB053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Sunday - TTP</w:t>
            </w:r>
          </w:p>
        </w:tc>
        <w:tc>
          <w:tcPr>
            <w:tcW w:w="2268" w:type="dxa"/>
            <w:noWrap/>
            <w:hideMark/>
          </w:tcPr>
          <w:p w14:paraId="79F40B6F" w14:textId="1D3BB5D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267963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AFA7D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6A395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AF08D2F" w14:textId="77777777" w:rsidTr="008933C7">
        <w:trPr>
          <w:trHeight w:val="300"/>
        </w:trPr>
        <w:tc>
          <w:tcPr>
            <w:tcW w:w="1980" w:type="dxa"/>
            <w:noWrap/>
            <w:hideMark/>
          </w:tcPr>
          <w:p w14:paraId="1C73360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04_184_0136_6_1</w:t>
            </w:r>
          </w:p>
        </w:tc>
        <w:tc>
          <w:tcPr>
            <w:tcW w:w="5670" w:type="dxa"/>
            <w:noWrap/>
            <w:hideMark/>
          </w:tcPr>
          <w:p w14:paraId="0AEBDFD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Public Holiday</w:t>
            </w:r>
          </w:p>
        </w:tc>
        <w:tc>
          <w:tcPr>
            <w:tcW w:w="2268" w:type="dxa"/>
            <w:noWrap/>
            <w:hideMark/>
          </w:tcPr>
          <w:p w14:paraId="15F71147" w14:textId="16BCEED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25E7FE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3E5E64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6385A6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651FA0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96542A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04_184_0136_6_1_T</w:t>
            </w:r>
          </w:p>
        </w:tc>
        <w:tc>
          <w:tcPr>
            <w:tcW w:w="5670" w:type="dxa"/>
            <w:noWrap/>
            <w:hideMark/>
          </w:tcPr>
          <w:p w14:paraId="3CB9EC6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Standard - Public Holiday - TTP</w:t>
            </w:r>
          </w:p>
        </w:tc>
        <w:tc>
          <w:tcPr>
            <w:tcW w:w="2268" w:type="dxa"/>
            <w:noWrap/>
            <w:hideMark/>
          </w:tcPr>
          <w:p w14:paraId="43AE59F9" w14:textId="6923D59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2BE6E4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E99D5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5EA5B6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632B89E" w14:textId="77777777" w:rsidTr="008933C7">
        <w:trPr>
          <w:trHeight w:val="300"/>
        </w:trPr>
        <w:tc>
          <w:tcPr>
            <w:tcW w:w="1980" w:type="dxa"/>
            <w:noWrap/>
            <w:hideMark/>
          </w:tcPr>
          <w:p w14:paraId="61F2D6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04_185_0104_6_1</w:t>
            </w:r>
          </w:p>
        </w:tc>
        <w:tc>
          <w:tcPr>
            <w:tcW w:w="5670" w:type="dxa"/>
            <w:noWrap/>
            <w:hideMark/>
          </w:tcPr>
          <w:p w14:paraId="3C2E4A9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56F0D39B" w14:textId="1EC51A9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FF2BD1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E4D2F1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2154CD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04FED2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2E1425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04_185_0104_6_1_T</w:t>
            </w:r>
          </w:p>
        </w:tc>
        <w:tc>
          <w:tcPr>
            <w:tcW w:w="5670" w:type="dxa"/>
            <w:noWrap/>
            <w:hideMark/>
          </w:tcPr>
          <w:p w14:paraId="76BA01B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58E1CF42" w14:textId="0A9A7A9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9D8ECE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205DA5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5956BA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5F12E2F" w14:textId="77777777" w:rsidTr="008933C7">
        <w:trPr>
          <w:trHeight w:val="300"/>
        </w:trPr>
        <w:tc>
          <w:tcPr>
            <w:tcW w:w="1980" w:type="dxa"/>
            <w:noWrap/>
            <w:hideMark/>
          </w:tcPr>
          <w:p w14:paraId="154941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04_186_0104_6_1</w:t>
            </w:r>
          </w:p>
        </w:tc>
        <w:tc>
          <w:tcPr>
            <w:tcW w:w="5670" w:type="dxa"/>
            <w:noWrap/>
            <w:hideMark/>
          </w:tcPr>
          <w:p w14:paraId="3654CB5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6E0A62FD" w14:textId="635E856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F847CC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8B36AF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61B07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87192F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85B36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04_186_0104_6_1_T</w:t>
            </w:r>
          </w:p>
        </w:tc>
        <w:tc>
          <w:tcPr>
            <w:tcW w:w="5670" w:type="dxa"/>
            <w:noWrap/>
            <w:hideMark/>
          </w:tcPr>
          <w:p w14:paraId="5440CA6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54A132EC" w14:textId="3C303B8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72B645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6B5714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9C7FE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807203F" w14:textId="77777777" w:rsidTr="008933C7">
        <w:trPr>
          <w:trHeight w:val="300"/>
        </w:trPr>
        <w:tc>
          <w:tcPr>
            <w:tcW w:w="1980" w:type="dxa"/>
            <w:noWrap/>
            <w:hideMark/>
          </w:tcPr>
          <w:p w14:paraId="68203D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04_187_0104_6_1</w:t>
            </w:r>
          </w:p>
        </w:tc>
        <w:tc>
          <w:tcPr>
            <w:tcW w:w="5670" w:type="dxa"/>
            <w:noWrap/>
            <w:hideMark/>
          </w:tcPr>
          <w:p w14:paraId="37DEE9A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7DB5C550" w14:textId="21694B1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15F899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92F60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994AEE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5C02EF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46CF7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04_187_0104_6_1_T</w:t>
            </w:r>
          </w:p>
        </w:tc>
        <w:tc>
          <w:tcPr>
            <w:tcW w:w="5670" w:type="dxa"/>
            <w:noWrap/>
            <w:hideMark/>
          </w:tcPr>
          <w:p w14:paraId="03641D0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32B9501C" w14:textId="5F738EE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A43041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017A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7BB2CF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EA17843" w14:textId="77777777" w:rsidTr="008933C7">
        <w:trPr>
          <w:trHeight w:val="300"/>
        </w:trPr>
        <w:tc>
          <w:tcPr>
            <w:tcW w:w="1980" w:type="dxa"/>
            <w:noWrap/>
            <w:hideMark/>
          </w:tcPr>
          <w:p w14:paraId="08D7038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04_188_0104_6_1</w:t>
            </w:r>
          </w:p>
        </w:tc>
        <w:tc>
          <w:tcPr>
            <w:tcW w:w="5670" w:type="dxa"/>
            <w:noWrap/>
            <w:hideMark/>
          </w:tcPr>
          <w:p w14:paraId="3BAE988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341D2D29" w14:textId="6F3DCE9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E5A3C6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6CB68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0468416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868937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8F81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04_188_0104_6_1_T</w:t>
            </w:r>
          </w:p>
        </w:tc>
        <w:tc>
          <w:tcPr>
            <w:tcW w:w="5670" w:type="dxa"/>
            <w:noWrap/>
            <w:hideMark/>
          </w:tcPr>
          <w:p w14:paraId="3367D93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3204613B" w14:textId="312B6A2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D12D6E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6CAED7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20442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F48C939" w14:textId="77777777" w:rsidTr="008933C7">
        <w:trPr>
          <w:trHeight w:val="300"/>
        </w:trPr>
        <w:tc>
          <w:tcPr>
            <w:tcW w:w="1980" w:type="dxa"/>
            <w:noWrap/>
            <w:hideMark/>
          </w:tcPr>
          <w:p w14:paraId="0EED58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04_189_0104_6_1</w:t>
            </w:r>
          </w:p>
        </w:tc>
        <w:tc>
          <w:tcPr>
            <w:tcW w:w="5670" w:type="dxa"/>
            <w:noWrap/>
            <w:hideMark/>
          </w:tcPr>
          <w:p w14:paraId="42690968"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529AABA1" w14:textId="6994E27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2B718F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5451DD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796626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7B99CF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65C93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04_189_0104_6_1_T</w:t>
            </w:r>
          </w:p>
        </w:tc>
        <w:tc>
          <w:tcPr>
            <w:tcW w:w="5670" w:type="dxa"/>
            <w:noWrap/>
            <w:hideMark/>
          </w:tcPr>
          <w:p w14:paraId="4890C96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- 1:1 -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758AC06A" w14:textId="0FBFD55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704A07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78CB5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C2522E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42D718A" w14:textId="77777777" w:rsidTr="008933C7">
        <w:trPr>
          <w:trHeight w:val="300"/>
        </w:trPr>
        <w:tc>
          <w:tcPr>
            <w:tcW w:w="1980" w:type="dxa"/>
            <w:noWrap/>
            <w:hideMark/>
          </w:tcPr>
          <w:p w14:paraId="16C772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04_190_0104_6_1</w:t>
            </w:r>
          </w:p>
        </w:tc>
        <w:tc>
          <w:tcPr>
            <w:tcW w:w="5670" w:type="dxa"/>
            <w:noWrap/>
            <w:hideMark/>
          </w:tcPr>
          <w:p w14:paraId="7C7D3FA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6C008A4A" w14:textId="4D67CDE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BC62CC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CB167F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CEDA7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784441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69853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04_190_0104_6_1_T</w:t>
            </w:r>
          </w:p>
        </w:tc>
        <w:tc>
          <w:tcPr>
            <w:tcW w:w="5670" w:type="dxa"/>
            <w:noWrap/>
            <w:hideMark/>
          </w:tcPr>
          <w:p w14:paraId="412941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66BA7C56" w14:textId="225327A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B40E1E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326717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4DCD92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0BD4E4C" w14:textId="77777777" w:rsidTr="008933C7">
        <w:trPr>
          <w:trHeight w:val="300"/>
        </w:trPr>
        <w:tc>
          <w:tcPr>
            <w:tcW w:w="1980" w:type="dxa"/>
            <w:noWrap/>
            <w:hideMark/>
          </w:tcPr>
          <w:p w14:paraId="283662F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04_191_0104_6_1</w:t>
            </w:r>
          </w:p>
        </w:tc>
        <w:tc>
          <w:tcPr>
            <w:tcW w:w="5670" w:type="dxa"/>
            <w:noWrap/>
            <w:hideMark/>
          </w:tcPr>
          <w:p w14:paraId="49800BA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504AEE2A" w14:textId="6B26155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59F907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75B2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7F3F0C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8D8C4A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97186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04_191_0104_6_1_T</w:t>
            </w:r>
          </w:p>
        </w:tc>
        <w:tc>
          <w:tcPr>
            <w:tcW w:w="5670" w:type="dxa"/>
            <w:noWrap/>
            <w:hideMark/>
          </w:tcPr>
          <w:p w14:paraId="434F8A2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5D74BB89" w14:textId="2F0E010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24B52C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EB39E9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4BD802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93CC301" w14:textId="77777777" w:rsidTr="008933C7">
        <w:trPr>
          <w:trHeight w:val="300"/>
        </w:trPr>
        <w:tc>
          <w:tcPr>
            <w:tcW w:w="1980" w:type="dxa"/>
            <w:noWrap/>
            <w:hideMark/>
          </w:tcPr>
          <w:p w14:paraId="6EFE077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04_192_0104_6_1</w:t>
            </w:r>
          </w:p>
        </w:tc>
        <w:tc>
          <w:tcPr>
            <w:tcW w:w="5670" w:type="dxa"/>
            <w:noWrap/>
            <w:hideMark/>
          </w:tcPr>
          <w:p w14:paraId="22728D7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1FAB0C71" w14:textId="474B242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009139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7410E5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5D14B2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427CE3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B11BA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04_192_0104_6_1_T</w:t>
            </w:r>
          </w:p>
        </w:tc>
        <w:tc>
          <w:tcPr>
            <w:tcW w:w="5670" w:type="dxa"/>
            <w:noWrap/>
            <w:hideMark/>
          </w:tcPr>
          <w:p w14:paraId="0238489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44452424" w14:textId="28B7544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B8852C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7DC2A4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444FCAE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8F9E23E" w14:textId="77777777" w:rsidTr="008933C7">
        <w:trPr>
          <w:trHeight w:val="300"/>
        </w:trPr>
        <w:tc>
          <w:tcPr>
            <w:tcW w:w="1980" w:type="dxa"/>
            <w:noWrap/>
            <w:hideMark/>
          </w:tcPr>
          <w:p w14:paraId="461F0D1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04_193_0104_6_1</w:t>
            </w:r>
          </w:p>
        </w:tc>
        <w:tc>
          <w:tcPr>
            <w:tcW w:w="5670" w:type="dxa"/>
            <w:noWrap/>
            <w:hideMark/>
          </w:tcPr>
          <w:p w14:paraId="30450D09"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6411CD29" w14:textId="1C29B6D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9F8954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082C60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3F3546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F8B5BA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690A6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04_193_0104_6_1_T</w:t>
            </w:r>
          </w:p>
        </w:tc>
        <w:tc>
          <w:tcPr>
            <w:tcW w:w="5670" w:type="dxa"/>
            <w:noWrap/>
            <w:hideMark/>
          </w:tcPr>
          <w:p w14:paraId="59C2411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0C4786BE" w14:textId="0756FCD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F08DEC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2570A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0462F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763ED02" w14:textId="77777777" w:rsidTr="008933C7">
        <w:trPr>
          <w:trHeight w:val="300"/>
        </w:trPr>
        <w:tc>
          <w:tcPr>
            <w:tcW w:w="1980" w:type="dxa"/>
            <w:noWrap/>
            <w:hideMark/>
          </w:tcPr>
          <w:p w14:paraId="20483C3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04_194_0104_6_1</w:t>
            </w:r>
          </w:p>
        </w:tc>
        <w:tc>
          <w:tcPr>
            <w:tcW w:w="5670" w:type="dxa"/>
            <w:noWrap/>
            <w:hideMark/>
          </w:tcPr>
          <w:p w14:paraId="0E3B9B8C"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1FCB03DB" w14:textId="2F2D9AB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A5FB2A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455EF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7FE09F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54FE44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F8862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04_194_0104_6_1_T</w:t>
            </w:r>
          </w:p>
        </w:tc>
        <w:tc>
          <w:tcPr>
            <w:tcW w:w="5670" w:type="dxa"/>
            <w:noWrap/>
            <w:hideMark/>
          </w:tcPr>
          <w:p w14:paraId="2E3CB2D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- 1:2 -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69A517B3" w14:textId="03945E0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D8B201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D5A178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4463AF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77DB495" w14:textId="77777777" w:rsidTr="008933C7">
        <w:trPr>
          <w:trHeight w:val="300"/>
        </w:trPr>
        <w:tc>
          <w:tcPr>
            <w:tcW w:w="1980" w:type="dxa"/>
            <w:noWrap/>
            <w:hideMark/>
          </w:tcPr>
          <w:p w14:paraId="14F633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04_195_0104_6_1</w:t>
            </w:r>
          </w:p>
        </w:tc>
        <w:tc>
          <w:tcPr>
            <w:tcW w:w="5670" w:type="dxa"/>
            <w:noWrap/>
            <w:hideMark/>
          </w:tcPr>
          <w:p w14:paraId="4410009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34F3560E" w14:textId="6DE90C2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6392F9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AE3081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2BA7DE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9A510E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C85768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04_195_0104_6_1_T</w:t>
            </w:r>
          </w:p>
        </w:tc>
        <w:tc>
          <w:tcPr>
            <w:tcW w:w="5670" w:type="dxa"/>
            <w:noWrap/>
            <w:hideMark/>
          </w:tcPr>
          <w:p w14:paraId="2721981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4ED4DC9C" w14:textId="208563C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7202B3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827591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8928F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412C0D8" w14:textId="77777777" w:rsidTr="008933C7">
        <w:trPr>
          <w:trHeight w:val="300"/>
        </w:trPr>
        <w:tc>
          <w:tcPr>
            <w:tcW w:w="1980" w:type="dxa"/>
            <w:noWrap/>
            <w:hideMark/>
          </w:tcPr>
          <w:p w14:paraId="2C8774E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04_196_0104_6_1</w:t>
            </w:r>
          </w:p>
        </w:tc>
        <w:tc>
          <w:tcPr>
            <w:tcW w:w="5670" w:type="dxa"/>
            <w:noWrap/>
            <w:hideMark/>
          </w:tcPr>
          <w:p w14:paraId="639C476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7D6B84C4" w14:textId="3850C68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0D151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929122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7AA1C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AEEB2B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7D00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04_196_0104_6_1_T</w:t>
            </w:r>
          </w:p>
        </w:tc>
        <w:tc>
          <w:tcPr>
            <w:tcW w:w="5670" w:type="dxa"/>
            <w:noWrap/>
            <w:hideMark/>
          </w:tcPr>
          <w:p w14:paraId="2C88124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7B31EBFB" w14:textId="0DDD9DC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536F33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81E83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75A736D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202EA54" w14:textId="77777777" w:rsidTr="008933C7">
        <w:trPr>
          <w:trHeight w:val="300"/>
        </w:trPr>
        <w:tc>
          <w:tcPr>
            <w:tcW w:w="1980" w:type="dxa"/>
            <w:noWrap/>
            <w:hideMark/>
          </w:tcPr>
          <w:p w14:paraId="2249DD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04_197_0104_6_1</w:t>
            </w:r>
          </w:p>
        </w:tc>
        <w:tc>
          <w:tcPr>
            <w:tcW w:w="5670" w:type="dxa"/>
            <w:noWrap/>
            <w:hideMark/>
          </w:tcPr>
          <w:p w14:paraId="06CE255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2D7A37DE" w14:textId="09F9FE7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4BE164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B6907A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7570F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BEED45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4E43B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04_197_0104_6_1_T</w:t>
            </w:r>
          </w:p>
        </w:tc>
        <w:tc>
          <w:tcPr>
            <w:tcW w:w="5670" w:type="dxa"/>
            <w:noWrap/>
            <w:hideMark/>
          </w:tcPr>
          <w:p w14:paraId="02DA1CC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048DE5D1" w14:textId="56A3A65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2B6444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65BE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B3CF0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43E9870" w14:textId="77777777" w:rsidTr="008933C7">
        <w:trPr>
          <w:trHeight w:val="300"/>
        </w:trPr>
        <w:tc>
          <w:tcPr>
            <w:tcW w:w="1980" w:type="dxa"/>
            <w:noWrap/>
            <w:hideMark/>
          </w:tcPr>
          <w:p w14:paraId="6456099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04_198_0104_6_1</w:t>
            </w:r>
          </w:p>
        </w:tc>
        <w:tc>
          <w:tcPr>
            <w:tcW w:w="5670" w:type="dxa"/>
            <w:noWrap/>
            <w:hideMark/>
          </w:tcPr>
          <w:p w14:paraId="53B9DD5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1C6D0808" w14:textId="5F306D2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DD9E1F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ABD95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61DE74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00815D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06ACE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04_198_0104_6_1_T</w:t>
            </w:r>
          </w:p>
        </w:tc>
        <w:tc>
          <w:tcPr>
            <w:tcW w:w="5670" w:type="dxa"/>
            <w:noWrap/>
            <w:hideMark/>
          </w:tcPr>
          <w:p w14:paraId="6C6E344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5AD9B821" w14:textId="5FD786E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D79A68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EF649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95C968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702A79D" w14:textId="77777777" w:rsidTr="008933C7">
        <w:trPr>
          <w:trHeight w:val="300"/>
        </w:trPr>
        <w:tc>
          <w:tcPr>
            <w:tcW w:w="1980" w:type="dxa"/>
            <w:noWrap/>
            <w:hideMark/>
          </w:tcPr>
          <w:p w14:paraId="013B57C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04_199_0104_6_1</w:t>
            </w:r>
          </w:p>
        </w:tc>
        <w:tc>
          <w:tcPr>
            <w:tcW w:w="5670" w:type="dxa"/>
            <w:noWrap/>
            <w:hideMark/>
          </w:tcPr>
          <w:p w14:paraId="5CA3A32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0CB69637" w14:textId="6A5FCFD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3AD7DC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1BEB47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C1E71D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F59791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BE50FB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04_199_0104_6_1_T</w:t>
            </w:r>
          </w:p>
        </w:tc>
        <w:tc>
          <w:tcPr>
            <w:tcW w:w="5670" w:type="dxa"/>
            <w:noWrap/>
            <w:hideMark/>
          </w:tcPr>
          <w:p w14:paraId="2D97FB7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- 1:3 -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3A96582C" w14:textId="78B56F9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4C1715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C25086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3BFC79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36A0D65" w14:textId="77777777" w:rsidTr="008933C7">
        <w:trPr>
          <w:trHeight w:val="300"/>
        </w:trPr>
        <w:tc>
          <w:tcPr>
            <w:tcW w:w="1980" w:type="dxa"/>
            <w:noWrap/>
            <w:hideMark/>
          </w:tcPr>
          <w:p w14:paraId="068699B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04_200_0104_6_1</w:t>
            </w:r>
          </w:p>
        </w:tc>
        <w:tc>
          <w:tcPr>
            <w:tcW w:w="5670" w:type="dxa"/>
            <w:noWrap/>
            <w:hideMark/>
          </w:tcPr>
          <w:p w14:paraId="74C46DE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2EB82D80" w14:textId="63865FF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AB65C8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109208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632BC2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1DE5E45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690CFF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04_200_0104_6_1_T</w:t>
            </w:r>
          </w:p>
        </w:tc>
        <w:tc>
          <w:tcPr>
            <w:tcW w:w="5670" w:type="dxa"/>
            <w:noWrap/>
            <w:hideMark/>
          </w:tcPr>
          <w:p w14:paraId="2C87A66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6B088022" w14:textId="351DB4B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0287EB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C919E0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96835D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60CA6C1" w14:textId="77777777" w:rsidTr="008933C7">
        <w:trPr>
          <w:trHeight w:val="300"/>
        </w:trPr>
        <w:tc>
          <w:tcPr>
            <w:tcW w:w="1980" w:type="dxa"/>
            <w:noWrap/>
            <w:hideMark/>
          </w:tcPr>
          <w:p w14:paraId="17761E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04_201_0104_6_1</w:t>
            </w:r>
          </w:p>
        </w:tc>
        <w:tc>
          <w:tcPr>
            <w:tcW w:w="5670" w:type="dxa"/>
            <w:noWrap/>
            <w:hideMark/>
          </w:tcPr>
          <w:p w14:paraId="297BD04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0DF17F0C" w14:textId="4FABC79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4A3A7A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562B5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6CBDDE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ECB311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E66310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04_201_0104_6_1_T</w:t>
            </w:r>
          </w:p>
        </w:tc>
        <w:tc>
          <w:tcPr>
            <w:tcW w:w="5670" w:type="dxa"/>
            <w:noWrap/>
            <w:hideMark/>
          </w:tcPr>
          <w:p w14:paraId="7173972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7A79D907" w14:textId="0C14111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F87CE1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7FB10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45A24F5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F2A69ED" w14:textId="77777777" w:rsidTr="008933C7">
        <w:trPr>
          <w:trHeight w:val="300"/>
        </w:trPr>
        <w:tc>
          <w:tcPr>
            <w:tcW w:w="1980" w:type="dxa"/>
            <w:noWrap/>
            <w:hideMark/>
          </w:tcPr>
          <w:p w14:paraId="54275A2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04_202_0104_6_1</w:t>
            </w:r>
          </w:p>
        </w:tc>
        <w:tc>
          <w:tcPr>
            <w:tcW w:w="5670" w:type="dxa"/>
            <w:noWrap/>
            <w:hideMark/>
          </w:tcPr>
          <w:p w14:paraId="04BA94DD"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04ED9E15" w14:textId="78E1870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AD63D2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7F503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DA146E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216F67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92EB10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04_202_0104_6_1_T</w:t>
            </w:r>
          </w:p>
        </w:tc>
        <w:tc>
          <w:tcPr>
            <w:tcW w:w="5670" w:type="dxa"/>
            <w:noWrap/>
            <w:hideMark/>
          </w:tcPr>
          <w:p w14:paraId="2F49D37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3E42ADD0" w14:textId="7F05532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F12CAC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EF9C8F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F9FD76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31E4ABF" w14:textId="77777777" w:rsidTr="008933C7">
        <w:trPr>
          <w:trHeight w:val="300"/>
        </w:trPr>
        <w:tc>
          <w:tcPr>
            <w:tcW w:w="1980" w:type="dxa"/>
            <w:noWrap/>
            <w:hideMark/>
          </w:tcPr>
          <w:p w14:paraId="75FAE71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04_203_0104_6_1</w:t>
            </w:r>
          </w:p>
        </w:tc>
        <w:tc>
          <w:tcPr>
            <w:tcW w:w="5670" w:type="dxa"/>
            <w:noWrap/>
            <w:hideMark/>
          </w:tcPr>
          <w:p w14:paraId="358104F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31A7A7C8" w14:textId="0A531F7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7DC84C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1DE164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3008F7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080F0A8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C26772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04_203_0104_6_1_T</w:t>
            </w:r>
          </w:p>
        </w:tc>
        <w:tc>
          <w:tcPr>
            <w:tcW w:w="5670" w:type="dxa"/>
            <w:noWrap/>
            <w:hideMark/>
          </w:tcPr>
          <w:p w14:paraId="0AB6C18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202A48A2" w14:textId="31EBB3A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1312F5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6F2EBB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0487D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20269A5C" w14:textId="77777777" w:rsidTr="008933C7">
        <w:trPr>
          <w:trHeight w:val="300"/>
        </w:trPr>
        <w:tc>
          <w:tcPr>
            <w:tcW w:w="1980" w:type="dxa"/>
            <w:noWrap/>
            <w:hideMark/>
          </w:tcPr>
          <w:p w14:paraId="441383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04_204_0104_6_1</w:t>
            </w:r>
          </w:p>
        </w:tc>
        <w:tc>
          <w:tcPr>
            <w:tcW w:w="5670" w:type="dxa"/>
            <w:noWrap/>
            <w:hideMark/>
          </w:tcPr>
          <w:p w14:paraId="3BA7E67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33423D53" w14:textId="3A59200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F3772E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D406C1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0B7EF2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E25361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FC8A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04_204_0104_6_1_T</w:t>
            </w:r>
          </w:p>
        </w:tc>
        <w:tc>
          <w:tcPr>
            <w:tcW w:w="5670" w:type="dxa"/>
            <w:noWrap/>
            <w:hideMark/>
          </w:tcPr>
          <w:p w14:paraId="0A61AF40"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- 1:4 -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608CE2E5" w14:textId="082EBC7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7E9515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CE1805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2067E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48BE50D" w14:textId="77777777" w:rsidTr="008933C7">
        <w:trPr>
          <w:trHeight w:val="300"/>
        </w:trPr>
        <w:tc>
          <w:tcPr>
            <w:tcW w:w="1980" w:type="dxa"/>
            <w:noWrap/>
            <w:hideMark/>
          </w:tcPr>
          <w:p w14:paraId="2498BA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04_205_0104_6_1</w:t>
            </w:r>
          </w:p>
        </w:tc>
        <w:tc>
          <w:tcPr>
            <w:tcW w:w="5670" w:type="dxa"/>
            <w:noWrap/>
            <w:hideMark/>
          </w:tcPr>
          <w:p w14:paraId="123C03F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2370AF90" w14:textId="040191E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50BEDD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5AF683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53D87B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08111C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DEE35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04_205_0104_6_1_T</w:t>
            </w:r>
          </w:p>
        </w:tc>
        <w:tc>
          <w:tcPr>
            <w:tcW w:w="5670" w:type="dxa"/>
            <w:noWrap/>
            <w:hideMark/>
          </w:tcPr>
          <w:p w14:paraId="02C43C4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3D482D34" w14:textId="4B470EE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4FB087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7D7FE51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E85725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04EA68A" w14:textId="77777777" w:rsidTr="008933C7">
        <w:trPr>
          <w:trHeight w:val="300"/>
        </w:trPr>
        <w:tc>
          <w:tcPr>
            <w:tcW w:w="1980" w:type="dxa"/>
            <w:noWrap/>
            <w:hideMark/>
          </w:tcPr>
          <w:p w14:paraId="02930D4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04_206_0104_6_1</w:t>
            </w:r>
          </w:p>
        </w:tc>
        <w:tc>
          <w:tcPr>
            <w:tcW w:w="5670" w:type="dxa"/>
            <w:noWrap/>
            <w:hideMark/>
          </w:tcPr>
          <w:p w14:paraId="5E703EE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w:t>
            </w:r>
          </w:p>
        </w:tc>
        <w:tc>
          <w:tcPr>
            <w:tcW w:w="2268" w:type="dxa"/>
            <w:noWrap/>
            <w:hideMark/>
          </w:tcPr>
          <w:p w14:paraId="132AA215" w14:textId="00129DE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598A88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C8696B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4250C9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64DC5E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457C5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04_206_0104_6_1_T</w:t>
            </w:r>
          </w:p>
        </w:tc>
        <w:tc>
          <w:tcPr>
            <w:tcW w:w="5670" w:type="dxa"/>
            <w:noWrap/>
            <w:hideMark/>
          </w:tcPr>
          <w:p w14:paraId="4648BF31"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Afternoon - TTP</w:t>
            </w:r>
          </w:p>
        </w:tc>
        <w:tc>
          <w:tcPr>
            <w:tcW w:w="2268" w:type="dxa"/>
            <w:noWrap/>
            <w:hideMark/>
          </w:tcPr>
          <w:p w14:paraId="6FDBA01A" w14:textId="6540DB1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799F57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6A9EF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3D6211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366EA32" w14:textId="77777777" w:rsidTr="008933C7">
        <w:trPr>
          <w:trHeight w:val="300"/>
        </w:trPr>
        <w:tc>
          <w:tcPr>
            <w:tcW w:w="1980" w:type="dxa"/>
            <w:noWrap/>
            <w:hideMark/>
          </w:tcPr>
          <w:p w14:paraId="20AF4D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04_207_0104_6_1</w:t>
            </w:r>
          </w:p>
        </w:tc>
        <w:tc>
          <w:tcPr>
            <w:tcW w:w="5670" w:type="dxa"/>
            <w:noWrap/>
            <w:hideMark/>
          </w:tcPr>
          <w:p w14:paraId="00457B4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04969701" w14:textId="0423083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02BB6C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1038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15F630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32B9C9F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33542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04_207_0104_6_1_T</w:t>
            </w:r>
          </w:p>
        </w:tc>
        <w:tc>
          <w:tcPr>
            <w:tcW w:w="5670" w:type="dxa"/>
            <w:noWrap/>
            <w:hideMark/>
          </w:tcPr>
          <w:p w14:paraId="6230741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77E3B12F" w14:textId="4EFDC4F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51155C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51591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78A610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5529EA81" w14:textId="77777777" w:rsidTr="008933C7">
        <w:trPr>
          <w:trHeight w:val="300"/>
        </w:trPr>
        <w:tc>
          <w:tcPr>
            <w:tcW w:w="1980" w:type="dxa"/>
            <w:noWrap/>
            <w:hideMark/>
          </w:tcPr>
          <w:p w14:paraId="1C8538C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04_208_0104_6_1</w:t>
            </w:r>
          </w:p>
        </w:tc>
        <w:tc>
          <w:tcPr>
            <w:tcW w:w="5670" w:type="dxa"/>
            <w:noWrap/>
            <w:hideMark/>
          </w:tcPr>
          <w:p w14:paraId="3DE031C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5CE1EF43" w14:textId="787A4C6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62A4CCF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758ABB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FC1B4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60C1437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4162D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04_208_0104_6_1_T</w:t>
            </w:r>
          </w:p>
        </w:tc>
        <w:tc>
          <w:tcPr>
            <w:tcW w:w="5670" w:type="dxa"/>
            <w:noWrap/>
            <w:hideMark/>
          </w:tcPr>
          <w:p w14:paraId="21E1605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5E3AB8AF" w14:textId="06D15A3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DCBF6C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4C7FF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7A2847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66AFEFB" w14:textId="77777777" w:rsidTr="008933C7">
        <w:trPr>
          <w:trHeight w:val="300"/>
        </w:trPr>
        <w:tc>
          <w:tcPr>
            <w:tcW w:w="1980" w:type="dxa"/>
            <w:noWrap/>
            <w:hideMark/>
          </w:tcPr>
          <w:p w14:paraId="7147065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04_209_0104_6_1</w:t>
            </w:r>
          </w:p>
        </w:tc>
        <w:tc>
          <w:tcPr>
            <w:tcW w:w="5670" w:type="dxa"/>
            <w:noWrap/>
            <w:hideMark/>
          </w:tcPr>
          <w:p w14:paraId="4CCA77E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0E673D3A" w14:textId="287DD6C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9A49F2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B7A872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169F40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475D0CF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1C4E5B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04_209_0104_6_1_T</w:t>
            </w:r>
          </w:p>
        </w:tc>
        <w:tc>
          <w:tcPr>
            <w:tcW w:w="5670" w:type="dxa"/>
            <w:noWrap/>
            <w:hideMark/>
          </w:tcPr>
          <w:p w14:paraId="79AD3AC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Group Activities </w:t>
            </w:r>
            <w:proofErr w:type="gramStart"/>
            <w:r w:rsidRPr="008933C7">
              <w:rPr>
                <w:rFonts w:ascii="Calibri" w:eastAsia="Times New Roman" w:hAnsi="Calibri" w:cs="Calibri"/>
                <w:color w:val="000000"/>
                <w:sz w:val="16"/>
                <w:szCs w:val="16"/>
                <w:lang w:eastAsia="en-AU"/>
              </w:rPr>
              <w:t>In</w:t>
            </w:r>
            <w:proofErr w:type="gramEnd"/>
            <w:r w:rsidRPr="008933C7">
              <w:rPr>
                <w:rFonts w:ascii="Calibri" w:eastAsia="Times New Roman" w:hAnsi="Calibri" w:cs="Calibri"/>
                <w:color w:val="000000"/>
                <w:sz w:val="16"/>
                <w:szCs w:val="16"/>
                <w:lang w:eastAsia="en-AU"/>
              </w:rPr>
              <w:t xml:space="preserve"> A Centre - 1:5 -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05B4BEF6" w14:textId="7EA4727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20EA5A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6F6D48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46445AD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5.2</w:t>
            </w:r>
          </w:p>
        </w:tc>
      </w:tr>
      <w:tr w:rsidR="00E96E04" w:rsidRPr="00250068" w14:paraId="7407AA5D" w14:textId="77777777" w:rsidTr="008933C7">
        <w:trPr>
          <w:trHeight w:val="300"/>
        </w:trPr>
        <w:tc>
          <w:tcPr>
            <w:tcW w:w="1980" w:type="dxa"/>
            <w:noWrap/>
            <w:hideMark/>
          </w:tcPr>
          <w:p w14:paraId="57C70C6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04_400_0104_1_1</w:t>
            </w:r>
          </w:p>
        </w:tc>
        <w:tc>
          <w:tcPr>
            <w:tcW w:w="5670" w:type="dxa"/>
            <w:noWrap/>
            <w:hideMark/>
          </w:tcPr>
          <w:p w14:paraId="0A3315B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w:t>
            </w:r>
          </w:p>
        </w:tc>
        <w:tc>
          <w:tcPr>
            <w:tcW w:w="2268" w:type="dxa"/>
            <w:noWrap/>
            <w:hideMark/>
          </w:tcPr>
          <w:p w14:paraId="64D41E6F" w14:textId="05C9377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38A0812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088C16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96FE09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11DF8A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51FAF4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04_400_0104_1_1_T</w:t>
            </w:r>
          </w:p>
        </w:tc>
        <w:tc>
          <w:tcPr>
            <w:tcW w:w="5670" w:type="dxa"/>
            <w:noWrap/>
            <w:hideMark/>
          </w:tcPr>
          <w:p w14:paraId="0B931D6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Daytime - TTP</w:t>
            </w:r>
          </w:p>
        </w:tc>
        <w:tc>
          <w:tcPr>
            <w:tcW w:w="2268" w:type="dxa"/>
            <w:noWrap/>
            <w:hideMark/>
          </w:tcPr>
          <w:p w14:paraId="25DC4C51" w14:textId="741D99D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F688CF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8F52C9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0BC413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16BA9CE0" w14:textId="77777777" w:rsidTr="008933C7">
        <w:trPr>
          <w:trHeight w:val="300"/>
        </w:trPr>
        <w:tc>
          <w:tcPr>
            <w:tcW w:w="1980" w:type="dxa"/>
            <w:noWrap/>
            <w:hideMark/>
          </w:tcPr>
          <w:p w14:paraId="35D9D2B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04_401_0104_1_1</w:t>
            </w:r>
          </w:p>
        </w:tc>
        <w:tc>
          <w:tcPr>
            <w:tcW w:w="5670" w:type="dxa"/>
            <w:noWrap/>
            <w:hideMark/>
          </w:tcPr>
          <w:p w14:paraId="0074EC4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Evening</w:t>
            </w:r>
          </w:p>
        </w:tc>
        <w:tc>
          <w:tcPr>
            <w:tcW w:w="2268" w:type="dxa"/>
            <w:noWrap/>
            <w:hideMark/>
          </w:tcPr>
          <w:p w14:paraId="209A268F" w14:textId="2EA2B8E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4C5F49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9455CD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507C91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51F80D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020FA3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04_401_0104_1_1_T</w:t>
            </w:r>
          </w:p>
        </w:tc>
        <w:tc>
          <w:tcPr>
            <w:tcW w:w="5670" w:type="dxa"/>
            <w:noWrap/>
            <w:hideMark/>
          </w:tcPr>
          <w:p w14:paraId="5C2BFCB3"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Weekday Evening - TTP</w:t>
            </w:r>
          </w:p>
        </w:tc>
        <w:tc>
          <w:tcPr>
            <w:tcW w:w="2268" w:type="dxa"/>
            <w:noWrap/>
            <w:hideMark/>
          </w:tcPr>
          <w:p w14:paraId="1E8A4E60" w14:textId="339C1E9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AED693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0E9CF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4D5B22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6B47D266" w14:textId="77777777" w:rsidTr="008933C7">
        <w:trPr>
          <w:trHeight w:val="300"/>
        </w:trPr>
        <w:tc>
          <w:tcPr>
            <w:tcW w:w="1980" w:type="dxa"/>
            <w:noWrap/>
            <w:hideMark/>
          </w:tcPr>
          <w:p w14:paraId="549EA4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04_402_0104_1_1</w:t>
            </w:r>
          </w:p>
        </w:tc>
        <w:tc>
          <w:tcPr>
            <w:tcW w:w="5670" w:type="dxa"/>
            <w:noWrap/>
            <w:hideMark/>
          </w:tcPr>
          <w:p w14:paraId="6520625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w:t>
            </w:r>
          </w:p>
        </w:tc>
        <w:tc>
          <w:tcPr>
            <w:tcW w:w="2268" w:type="dxa"/>
            <w:noWrap/>
            <w:hideMark/>
          </w:tcPr>
          <w:p w14:paraId="2669166C" w14:textId="074EEBFD"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288DE1E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662075B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650F80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CCD0A7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D5F733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04_402_0104_1_1_T</w:t>
            </w:r>
          </w:p>
        </w:tc>
        <w:tc>
          <w:tcPr>
            <w:tcW w:w="5670" w:type="dxa"/>
            <w:noWrap/>
            <w:hideMark/>
          </w:tcPr>
          <w:p w14:paraId="11D2D41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Saturday - TTP</w:t>
            </w:r>
          </w:p>
        </w:tc>
        <w:tc>
          <w:tcPr>
            <w:tcW w:w="2268" w:type="dxa"/>
            <w:noWrap/>
            <w:hideMark/>
          </w:tcPr>
          <w:p w14:paraId="601EBC5C" w14:textId="79C00DE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62CFF0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73F53D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3380BC8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033318BB" w14:textId="77777777" w:rsidTr="008933C7">
        <w:trPr>
          <w:trHeight w:val="300"/>
        </w:trPr>
        <w:tc>
          <w:tcPr>
            <w:tcW w:w="1980" w:type="dxa"/>
            <w:noWrap/>
            <w:hideMark/>
          </w:tcPr>
          <w:p w14:paraId="111844E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04_403_0104_1_1</w:t>
            </w:r>
          </w:p>
        </w:tc>
        <w:tc>
          <w:tcPr>
            <w:tcW w:w="5670" w:type="dxa"/>
            <w:noWrap/>
            <w:hideMark/>
          </w:tcPr>
          <w:p w14:paraId="6B178C7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w:t>
            </w:r>
          </w:p>
        </w:tc>
        <w:tc>
          <w:tcPr>
            <w:tcW w:w="2268" w:type="dxa"/>
            <w:noWrap/>
            <w:hideMark/>
          </w:tcPr>
          <w:p w14:paraId="01745619" w14:textId="57E2D56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717BEA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14F9975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62E8F0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BF76CF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A486F1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04_403_0104_1_1_T</w:t>
            </w:r>
          </w:p>
        </w:tc>
        <w:tc>
          <w:tcPr>
            <w:tcW w:w="5670" w:type="dxa"/>
            <w:noWrap/>
            <w:hideMark/>
          </w:tcPr>
          <w:p w14:paraId="27DA7ED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Sunday - TTP</w:t>
            </w:r>
          </w:p>
        </w:tc>
        <w:tc>
          <w:tcPr>
            <w:tcW w:w="2268" w:type="dxa"/>
            <w:noWrap/>
            <w:hideMark/>
          </w:tcPr>
          <w:p w14:paraId="044061B6" w14:textId="3420980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4F13CA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5B10C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1436235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03E420AF" w14:textId="77777777" w:rsidTr="008933C7">
        <w:trPr>
          <w:trHeight w:val="300"/>
        </w:trPr>
        <w:tc>
          <w:tcPr>
            <w:tcW w:w="1980" w:type="dxa"/>
            <w:noWrap/>
            <w:hideMark/>
          </w:tcPr>
          <w:p w14:paraId="5E1D2DA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04_404_0104_1_1</w:t>
            </w:r>
          </w:p>
        </w:tc>
        <w:tc>
          <w:tcPr>
            <w:tcW w:w="5670" w:type="dxa"/>
            <w:noWrap/>
            <w:hideMark/>
          </w:tcPr>
          <w:p w14:paraId="206E4B2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w:t>
            </w:r>
          </w:p>
        </w:tc>
        <w:tc>
          <w:tcPr>
            <w:tcW w:w="2268" w:type="dxa"/>
            <w:noWrap/>
            <w:hideMark/>
          </w:tcPr>
          <w:p w14:paraId="4245A99A" w14:textId="6174D0F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58846A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80B0FA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3B63EF6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FFE972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C67A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04_404_0104_1_1_T</w:t>
            </w:r>
          </w:p>
        </w:tc>
        <w:tc>
          <w:tcPr>
            <w:tcW w:w="5670" w:type="dxa"/>
            <w:noWrap/>
            <w:hideMark/>
          </w:tcPr>
          <w:p w14:paraId="1643DE3F" w14:textId="77777777" w:rsidR="00E96E04" w:rsidRPr="008933C7" w:rsidRDefault="00E96E04" w:rsidP="00692560">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 xml:space="preserve">Access Community Social </w:t>
            </w:r>
            <w:proofErr w:type="gramStart"/>
            <w:r w:rsidRPr="008933C7">
              <w:rPr>
                <w:rFonts w:ascii="Calibri" w:eastAsia="Times New Roman" w:hAnsi="Calibri" w:cs="Calibri"/>
                <w:color w:val="000000"/>
                <w:sz w:val="16"/>
                <w:szCs w:val="16"/>
                <w:lang w:eastAsia="en-AU"/>
              </w:rPr>
              <w:t>And</w:t>
            </w:r>
            <w:proofErr w:type="gramEnd"/>
            <w:r w:rsidRPr="008933C7">
              <w:rPr>
                <w:rFonts w:ascii="Calibri" w:eastAsia="Times New Roman" w:hAnsi="Calibri" w:cs="Calibri"/>
                <w:color w:val="000000"/>
                <w:sz w:val="16"/>
                <w:szCs w:val="16"/>
                <w:lang w:eastAsia="en-AU"/>
              </w:rPr>
              <w:t xml:space="preserve"> Rec </w:t>
            </w:r>
            <w:r w:rsidR="00BD1778">
              <w:rPr>
                <w:rFonts w:ascii="Calibri" w:eastAsia="Times New Roman" w:hAnsi="Calibri" w:cs="Calibri"/>
                <w:color w:val="000000"/>
                <w:sz w:val="16"/>
                <w:szCs w:val="16"/>
                <w:lang w:eastAsia="en-AU"/>
              </w:rPr>
              <w:t>Activ</w:t>
            </w:r>
            <w:r w:rsidRPr="008933C7">
              <w:rPr>
                <w:rFonts w:ascii="Calibri" w:eastAsia="Times New Roman" w:hAnsi="Calibri" w:cs="Calibri"/>
                <w:color w:val="000000"/>
                <w:sz w:val="16"/>
                <w:szCs w:val="16"/>
                <w:lang w:eastAsia="en-AU"/>
              </w:rPr>
              <w:t xml:space="preserve"> - </w:t>
            </w:r>
            <w:r w:rsidR="00934A91" w:rsidRPr="008933C7">
              <w:rPr>
                <w:rFonts w:ascii="Calibri" w:eastAsia="Times New Roman" w:hAnsi="Calibri" w:cs="Calibri"/>
                <w:color w:val="000000"/>
                <w:sz w:val="16"/>
                <w:szCs w:val="16"/>
                <w:lang w:eastAsia="en-AU"/>
              </w:rPr>
              <w:t>High Intensity</w:t>
            </w:r>
            <w:r w:rsidRPr="008933C7">
              <w:rPr>
                <w:rFonts w:ascii="Calibri" w:eastAsia="Times New Roman" w:hAnsi="Calibri" w:cs="Calibri"/>
                <w:color w:val="000000"/>
                <w:sz w:val="16"/>
                <w:szCs w:val="16"/>
                <w:lang w:eastAsia="en-AU"/>
              </w:rPr>
              <w:t xml:space="preserve"> - Public Holiday - TTP</w:t>
            </w:r>
          </w:p>
        </w:tc>
        <w:tc>
          <w:tcPr>
            <w:tcW w:w="2268" w:type="dxa"/>
            <w:noWrap/>
            <w:hideMark/>
          </w:tcPr>
          <w:p w14:paraId="44B1D4DA" w14:textId="59820CD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53F915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2B8019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0821B3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1.1</w:t>
            </w:r>
          </w:p>
        </w:tc>
      </w:tr>
      <w:tr w:rsidR="00E96E04" w:rsidRPr="00250068" w14:paraId="28765439" w14:textId="77777777" w:rsidTr="008933C7">
        <w:trPr>
          <w:trHeight w:val="300"/>
        </w:trPr>
        <w:tc>
          <w:tcPr>
            <w:tcW w:w="1980" w:type="dxa"/>
            <w:noWrap/>
            <w:hideMark/>
          </w:tcPr>
          <w:p w14:paraId="34F999E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04_600_0104_6_1</w:t>
            </w:r>
          </w:p>
        </w:tc>
        <w:tc>
          <w:tcPr>
            <w:tcW w:w="5670" w:type="dxa"/>
            <w:noWrap/>
            <w:hideMark/>
          </w:tcPr>
          <w:p w14:paraId="6691C127"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Weekday Daytime</w:t>
            </w:r>
          </w:p>
        </w:tc>
        <w:tc>
          <w:tcPr>
            <w:tcW w:w="2268" w:type="dxa"/>
            <w:noWrap/>
            <w:hideMark/>
          </w:tcPr>
          <w:p w14:paraId="00ABE2A4" w14:textId="6D3478C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D226F8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D1CEEC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A01F73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168D4D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E89D49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04_600_0104_6_1_T</w:t>
            </w:r>
          </w:p>
        </w:tc>
        <w:tc>
          <w:tcPr>
            <w:tcW w:w="5670" w:type="dxa"/>
            <w:noWrap/>
            <w:hideMark/>
          </w:tcPr>
          <w:p w14:paraId="68AE76E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Weekday Daytime - TTP</w:t>
            </w:r>
          </w:p>
        </w:tc>
        <w:tc>
          <w:tcPr>
            <w:tcW w:w="2268" w:type="dxa"/>
            <w:noWrap/>
            <w:hideMark/>
          </w:tcPr>
          <w:p w14:paraId="081577E2" w14:textId="1109C20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3AA4D06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FDBB4D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0AB589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C52F0AA" w14:textId="77777777" w:rsidTr="008933C7">
        <w:trPr>
          <w:trHeight w:val="300"/>
        </w:trPr>
        <w:tc>
          <w:tcPr>
            <w:tcW w:w="1980" w:type="dxa"/>
            <w:noWrap/>
            <w:hideMark/>
          </w:tcPr>
          <w:p w14:paraId="5DB9C75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04_601_0104_6_1</w:t>
            </w:r>
          </w:p>
        </w:tc>
        <w:tc>
          <w:tcPr>
            <w:tcW w:w="5670" w:type="dxa"/>
            <w:noWrap/>
            <w:hideMark/>
          </w:tcPr>
          <w:p w14:paraId="3B215E6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Weekday Evening</w:t>
            </w:r>
          </w:p>
        </w:tc>
        <w:tc>
          <w:tcPr>
            <w:tcW w:w="2268" w:type="dxa"/>
            <w:noWrap/>
            <w:hideMark/>
          </w:tcPr>
          <w:p w14:paraId="0A2F4A52" w14:textId="3E667E9C"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342E86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8DAB59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097583EE"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E83814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4E7943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04_601_0104_6_1_T</w:t>
            </w:r>
          </w:p>
        </w:tc>
        <w:tc>
          <w:tcPr>
            <w:tcW w:w="5670" w:type="dxa"/>
            <w:noWrap/>
            <w:hideMark/>
          </w:tcPr>
          <w:p w14:paraId="132E799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Weekday Evening - TTP</w:t>
            </w:r>
          </w:p>
        </w:tc>
        <w:tc>
          <w:tcPr>
            <w:tcW w:w="2268" w:type="dxa"/>
            <w:noWrap/>
            <w:hideMark/>
          </w:tcPr>
          <w:p w14:paraId="78FC8899" w14:textId="7D13F33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B114C7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31B061C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56A4E21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2081F4FE" w14:textId="77777777" w:rsidTr="008933C7">
        <w:trPr>
          <w:trHeight w:val="300"/>
        </w:trPr>
        <w:tc>
          <w:tcPr>
            <w:tcW w:w="1980" w:type="dxa"/>
            <w:noWrap/>
            <w:hideMark/>
          </w:tcPr>
          <w:p w14:paraId="6603353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04_602_0104_6_1</w:t>
            </w:r>
          </w:p>
        </w:tc>
        <w:tc>
          <w:tcPr>
            <w:tcW w:w="5670" w:type="dxa"/>
            <w:noWrap/>
            <w:hideMark/>
          </w:tcPr>
          <w:p w14:paraId="241E6B0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Saturday</w:t>
            </w:r>
          </w:p>
        </w:tc>
        <w:tc>
          <w:tcPr>
            <w:tcW w:w="2268" w:type="dxa"/>
            <w:noWrap/>
            <w:hideMark/>
          </w:tcPr>
          <w:p w14:paraId="3DFDE8A1" w14:textId="0167AA2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0D23B9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C44ADD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61CD6AA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DA8F0B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4A08A1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04_602_0104_6_1_T</w:t>
            </w:r>
          </w:p>
        </w:tc>
        <w:tc>
          <w:tcPr>
            <w:tcW w:w="5670" w:type="dxa"/>
            <w:noWrap/>
            <w:hideMark/>
          </w:tcPr>
          <w:p w14:paraId="0DDD873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Saturday - TTP</w:t>
            </w:r>
          </w:p>
        </w:tc>
        <w:tc>
          <w:tcPr>
            <w:tcW w:w="2268" w:type="dxa"/>
            <w:noWrap/>
            <w:hideMark/>
          </w:tcPr>
          <w:p w14:paraId="0698348D" w14:textId="00F7742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1824BF3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54C8917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D80B4E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10C034CB" w14:textId="77777777" w:rsidTr="008933C7">
        <w:trPr>
          <w:trHeight w:val="300"/>
        </w:trPr>
        <w:tc>
          <w:tcPr>
            <w:tcW w:w="1980" w:type="dxa"/>
            <w:noWrap/>
            <w:hideMark/>
          </w:tcPr>
          <w:p w14:paraId="15284EF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04_603_0104_6_1</w:t>
            </w:r>
          </w:p>
        </w:tc>
        <w:tc>
          <w:tcPr>
            <w:tcW w:w="5670" w:type="dxa"/>
            <w:noWrap/>
            <w:hideMark/>
          </w:tcPr>
          <w:p w14:paraId="46692394"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Sunday</w:t>
            </w:r>
          </w:p>
        </w:tc>
        <w:tc>
          <w:tcPr>
            <w:tcW w:w="2268" w:type="dxa"/>
            <w:noWrap/>
            <w:hideMark/>
          </w:tcPr>
          <w:p w14:paraId="4A86CF2A" w14:textId="3030022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30C65567"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43C70D6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465A497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E3CA3D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8B600D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04_603_0104_6_1_T</w:t>
            </w:r>
          </w:p>
        </w:tc>
        <w:tc>
          <w:tcPr>
            <w:tcW w:w="5670" w:type="dxa"/>
            <w:noWrap/>
            <w:hideMark/>
          </w:tcPr>
          <w:p w14:paraId="394A7785"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Sunday - TTP</w:t>
            </w:r>
          </w:p>
        </w:tc>
        <w:tc>
          <w:tcPr>
            <w:tcW w:w="2268" w:type="dxa"/>
            <w:noWrap/>
            <w:hideMark/>
          </w:tcPr>
          <w:p w14:paraId="78D7ED20" w14:textId="3CCEFBB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EB0CD3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FBDF36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25306FC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A17DCDA" w14:textId="77777777" w:rsidTr="008933C7">
        <w:trPr>
          <w:trHeight w:val="300"/>
        </w:trPr>
        <w:tc>
          <w:tcPr>
            <w:tcW w:w="1980" w:type="dxa"/>
            <w:noWrap/>
            <w:hideMark/>
          </w:tcPr>
          <w:p w14:paraId="07676A8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04_604_0104_6_1</w:t>
            </w:r>
          </w:p>
        </w:tc>
        <w:tc>
          <w:tcPr>
            <w:tcW w:w="5670" w:type="dxa"/>
            <w:noWrap/>
            <w:hideMark/>
          </w:tcPr>
          <w:p w14:paraId="256F29B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Public Holiday</w:t>
            </w:r>
          </w:p>
        </w:tc>
        <w:tc>
          <w:tcPr>
            <w:tcW w:w="2268" w:type="dxa"/>
            <w:noWrap/>
            <w:hideMark/>
          </w:tcPr>
          <w:p w14:paraId="34A1304C" w14:textId="6B9BD53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26C6980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2BC2CB7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B03566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467AE4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080933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04_604_0104_6_1_T</w:t>
            </w:r>
          </w:p>
        </w:tc>
        <w:tc>
          <w:tcPr>
            <w:tcW w:w="5670" w:type="dxa"/>
            <w:noWrap/>
            <w:hideMark/>
          </w:tcPr>
          <w:p w14:paraId="5F9BFD0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Group Activities - High Intensity - Public Holiday - TTP</w:t>
            </w:r>
          </w:p>
        </w:tc>
        <w:tc>
          <w:tcPr>
            <w:tcW w:w="2268" w:type="dxa"/>
            <w:noWrap/>
            <w:hideMark/>
          </w:tcPr>
          <w:p w14:paraId="7E476FF3" w14:textId="544E870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159ECA9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2</w:t>
            </w:r>
          </w:p>
        </w:tc>
        <w:tc>
          <w:tcPr>
            <w:tcW w:w="2085" w:type="dxa"/>
            <w:noWrap/>
            <w:hideMark/>
          </w:tcPr>
          <w:p w14:paraId="07CEF2E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94844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58BA9E33" w14:textId="77777777" w:rsidTr="008933C7">
        <w:trPr>
          <w:trHeight w:val="300"/>
        </w:trPr>
        <w:tc>
          <w:tcPr>
            <w:tcW w:w="1980" w:type="dxa"/>
            <w:noWrap/>
            <w:hideMark/>
          </w:tcPr>
          <w:p w14:paraId="289557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04_801_0133_5_1</w:t>
            </w:r>
          </w:p>
        </w:tc>
        <w:tc>
          <w:tcPr>
            <w:tcW w:w="5670" w:type="dxa"/>
            <w:noWrap/>
            <w:hideMark/>
          </w:tcPr>
          <w:p w14:paraId="043B1F3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Weekday Daytime</w:t>
            </w:r>
          </w:p>
        </w:tc>
        <w:tc>
          <w:tcPr>
            <w:tcW w:w="2268" w:type="dxa"/>
            <w:noWrap/>
            <w:hideMark/>
          </w:tcPr>
          <w:p w14:paraId="6B2A5A19" w14:textId="639EE34B"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2CF635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923275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4A8546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72BEDD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A53FFD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04_801_0133_5_1_T</w:t>
            </w:r>
          </w:p>
        </w:tc>
        <w:tc>
          <w:tcPr>
            <w:tcW w:w="5670" w:type="dxa"/>
            <w:noWrap/>
            <w:hideMark/>
          </w:tcPr>
          <w:p w14:paraId="538BAC5B"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Weekday Daytime - TTP</w:t>
            </w:r>
          </w:p>
        </w:tc>
        <w:tc>
          <w:tcPr>
            <w:tcW w:w="2268" w:type="dxa"/>
            <w:noWrap/>
            <w:hideMark/>
          </w:tcPr>
          <w:p w14:paraId="30600E8E" w14:textId="6182A69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701B1BD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5B0851D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93952D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5ECA1F61" w14:textId="77777777" w:rsidTr="008933C7">
        <w:trPr>
          <w:trHeight w:val="300"/>
        </w:trPr>
        <w:tc>
          <w:tcPr>
            <w:tcW w:w="1980" w:type="dxa"/>
            <w:noWrap/>
            <w:hideMark/>
          </w:tcPr>
          <w:p w14:paraId="4B50A5A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04_802_0133_5_1</w:t>
            </w:r>
          </w:p>
        </w:tc>
        <w:tc>
          <w:tcPr>
            <w:tcW w:w="5670" w:type="dxa"/>
            <w:noWrap/>
            <w:hideMark/>
          </w:tcPr>
          <w:p w14:paraId="6FF0C3B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Weekday Evening</w:t>
            </w:r>
          </w:p>
        </w:tc>
        <w:tc>
          <w:tcPr>
            <w:tcW w:w="2268" w:type="dxa"/>
            <w:noWrap/>
            <w:hideMark/>
          </w:tcPr>
          <w:p w14:paraId="029277CB" w14:textId="6C3DA95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80A4E88"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4E73A28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453008B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17BBE4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B22A51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04_802_0133_5_1_T</w:t>
            </w:r>
          </w:p>
        </w:tc>
        <w:tc>
          <w:tcPr>
            <w:tcW w:w="5670" w:type="dxa"/>
            <w:noWrap/>
            <w:hideMark/>
          </w:tcPr>
          <w:p w14:paraId="4B24C09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Weekday Evening - TTP</w:t>
            </w:r>
          </w:p>
        </w:tc>
        <w:tc>
          <w:tcPr>
            <w:tcW w:w="2268" w:type="dxa"/>
            <w:noWrap/>
            <w:hideMark/>
          </w:tcPr>
          <w:p w14:paraId="5BFE55FF" w14:textId="14979C6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4736075B"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7EC5013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66CCFFB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5E0B5697" w14:textId="77777777" w:rsidTr="008933C7">
        <w:trPr>
          <w:trHeight w:val="300"/>
        </w:trPr>
        <w:tc>
          <w:tcPr>
            <w:tcW w:w="1980" w:type="dxa"/>
            <w:noWrap/>
            <w:hideMark/>
          </w:tcPr>
          <w:p w14:paraId="633F10E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04_803_0133_5_1</w:t>
            </w:r>
          </w:p>
        </w:tc>
        <w:tc>
          <w:tcPr>
            <w:tcW w:w="5670" w:type="dxa"/>
            <w:noWrap/>
            <w:hideMark/>
          </w:tcPr>
          <w:p w14:paraId="0578D58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Saturday</w:t>
            </w:r>
          </w:p>
        </w:tc>
        <w:tc>
          <w:tcPr>
            <w:tcW w:w="2268" w:type="dxa"/>
            <w:noWrap/>
            <w:hideMark/>
          </w:tcPr>
          <w:p w14:paraId="07A43A78" w14:textId="1757A45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263B75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7CF20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025DA839"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9B1721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405CE6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04_803_0133_5_1_T</w:t>
            </w:r>
          </w:p>
        </w:tc>
        <w:tc>
          <w:tcPr>
            <w:tcW w:w="5670" w:type="dxa"/>
            <w:noWrap/>
            <w:hideMark/>
          </w:tcPr>
          <w:p w14:paraId="1DCD07D6"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Saturday - TTP</w:t>
            </w:r>
          </w:p>
        </w:tc>
        <w:tc>
          <w:tcPr>
            <w:tcW w:w="2268" w:type="dxa"/>
            <w:noWrap/>
            <w:hideMark/>
          </w:tcPr>
          <w:p w14:paraId="5DB2674B" w14:textId="18484253"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20319E2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A8E472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2F4D0B2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60FA530D" w14:textId="77777777" w:rsidTr="008933C7">
        <w:trPr>
          <w:trHeight w:val="300"/>
        </w:trPr>
        <w:tc>
          <w:tcPr>
            <w:tcW w:w="1980" w:type="dxa"/>
            <w:noWrap/>
            <w:hideMark/>
          </w:tcPr>
          <w:p w14:paraId="6771D80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04_804_0133_5_1</w:t>
            </w:r>
          </w:p>
        </w:tc>
        <w:tc>
          <w:tcPr>
            <w:tcW w:w="5670" w:type="dxa"/>
            <w:noWrap/>
            <w:hideMark/>
          </w:tcPr>
          <w:p w14:paraId="15798D4A"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Sunday</w:t>
            </w:r>
          </w:p>
        </w:tc>
        <w:tc>
          <w:tcPr>
            <w:tcW w:w="2268" w:type="dxa"/>
            <w:noWrap/>
            <w:hideMark/>
          </w:tcPr>
          <w:p w14:paraId="732E1650" w14:textId="27251DC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A1AF160"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6AAC28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5FF54F9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E98A4C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E5110B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04_804_0133_5_1_T</w:t>
            </w:r>
          </w:p>
        </w:tc>
        <w:tc>
          <w:tcPr>
            <w:tcW w:w="5670" w:type="dxa"/>
            <w:noWrap/>
            <w:hideMark/>
          </w:tcPr>
          <w:p w14:paraId="06FADAAE"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Sunday - TTP</w:t>
            </w:r>
          </w:p>
        </w:tc>
        <w:tc>
          <w:tcPr>
            <w:tcW w:w="2268" w:type="dxa"/>
            <w:noWrap/>
            <w:hideMark/>
          </w:tcPr>
          <w:p w14:paraId="60A4007A" w14:textId="55F43AE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0EB33C2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0D17C3B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63BB2C2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277ADDC9" w14:textId="77777777" w:rsidTr="008933C7">
        <w:trPr>
          <w:trHeight w:val="300"/>
        </w:trPr>
        <w:tc>
          <w:tcPr>
            <w:tcW w:w="1980" w:type="dxa"/>
            <w:noWrap/>
            <w:hideMark/>
          </w:tcPr>
          <w:p w14:paraId="60F59E3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04_805_0133_5_1</w:t>
            </w:r>
          </w:p>
        </w:tc>
        <w:tc>
          <w:tcPr>
            <w:tcW w:w="5670" w:type="dxa"/>
            <w:noWrap/>
            <w:hideMark/>
          </w:tcPr>
          <w:p w14:paraId="49C3617F"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Public Holiday</w:t>
            </w:r>
          </w:p>
        </w:tc>
        <w:tc>
          <w:tcPr>
            <w:tcW w:w="2268" w:type="dxa"/>
            <w:noWrap/>
            <w:hideMark/>
          </w:tcPr>
          <w:p w14:paraId="678023D8" w14:textId="1584811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39EC0616"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2EB2540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0A4F83A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104DB3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F9B375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lastRenderedPageBreak/>
              <w:t>04_805_0133_5_1_T</w:t>
            </w:r>
          </w:p>
        </w:tc>
        <w:tc>
          <w:tcPr>
            <w:tcW w:w="5670" w:type="dxa"/>
            <w:noWrap/>
            <w:hideMark/>
          </w:tcPr>
          <w:p w14:paraId="70A7F8B2" w14:textId="77777777" w:rsidR="00E96E04" w:rsidRPr="008933C7" w:rsidRDefault="00E96E04" w:rsidP="008933C7">
            <w:pPr>
              <w:spacing w:before="40" w:after="40"/>
              <w:rPr>
                <w:rFonts w:ascii="Calibri" w:eastAsia="Times New Roman" w:hAnsi="Calibri" w:cs="Calibri"/>
                <w:color w:val="000000"/>
                <w:sz w:val="16"/>
                <w:szCs w:val="16"/>
                <w:lang w:eastAsia="en-AU"/>
              </w:rPr>
            </w:pPr>
            <w:r w:rsidRPr="008933C7">
              <w:rPr>
                <w:rFonts w:ascii="Calibri" w:eastAsia="Times New Roman" w:hAnsi="Calibri" w:cs="Calibri"/>
                <w:color w:val="000000"/>
                <w:sz w:val="16"/>
                <w:szCs w:val="16"/>
                <w:lang w:eastAsia="en-AU"/>
              </w:rPr>
              <w:t>Supports In Employment - Public Holiday - TTP</w:t>
            </w:r>
          </w:p>
        </w:tc>
        <w:tc>
          <w:tcPr>
            <w:tcW w:w="2268" w:type="dxa"/>
            <w:noWrap/>
            <w:hideMark/>
          </w:tcPr>
          <w:p w14:paraId="76FCC5EA" w14:textId="1758382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Derived from DSW </w:t>
            </w:r>
            <w:r w:rsidR="00156892">
              <w:rPr>
                <w:rFonts w:ascii="Calibri" w:eastAsia="Times New Roman" w:hAnsi="Calibri" w:cs="Calibri"/>
                <w:color w:val="000000"/>
                <w:sz w:val="16"/>
                <w:szCs w:val="16"/>
                <w:lang w:eastAsia="en-AU"/>
              </w:rPr>
              <w:t>Model</w:t>
            </w:r>
          </w:p>
        </w:tc>
        <w:tc>
          <w:tcPr>
            <w:tcW w:w="786" w:type="dxa"/>
            <w:noWrap/>
            <w:hideMark/>
          </w:tcPr>
          <w:p w14:paraId="5A418895"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hideMark/>
          </w:tcPr>
          <w:p w14:paraId="1F21AF9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6A5A308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4C24431F" w14:textId="77777777" w:rsidTr="008933C7">
        <w:trPr>
          <w:trHeight w:val="300"/>
        </w:trPr>
        <w:tc>
          <w:tcPr>
            <w:tcW w:w="1980" w:type="dxa"/>
            <w:noWrap/>
          </w:tcPr>
          <w:p w14:paraId="525A0EC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07_001_0106_8_3</w:t>
            </w:r>
          </w:p>
        </w:tc>
        <w:tc>
          <w:tcPr>
            <w:tcW w:w="5670" w:type="dxa"/>
            <w:noWrap/>
          </w:tcPr>
          <w:p w14:paraId="63F63E5C" w14:textId="77777777" w:rsidR="00E96E04" w:rsidRPr="00250068" w:rsidRDefault="00F8214D" w:rsidP="008933C7">
            <w:pPr>
              <w:spacing w:before="40" w:after="40"/>
              <w:rPr>
                <w:rFonts w:ascii="Calibri" w:eastAsia="Times New Roman" w:hAnsi="Calibri" w:cs="Calibri"/>
                <w:color w:val="000000"/>
                <w:sz w:val="16"/>
                <w:szCs w:val="16"/>
                <w:lang w:eastAsia="en-AU"/>
              </w:rPr>
            </w:pPr>
            <w:r w:rsidRPr="00F8214D">
              <w:rPr>
                <w:rFonts w:ascii="Calibri" w:eastAsia="Times New Roman" w:hAnsi="Calibri" w:cs="Calibri"/>
                <w:color w:val="000000"/>
                <w:sz w:val="16"/>
                <w:szCs w:val="16"/>
                <w:lang w:eastAsia="en-AU"/>
              </w:rPr>
              <w:t>Support Coordination Level 1: Support Connection</w:t>
            </w:r>
          </w:p>
        </w:tc>
        <w:tc>
          <w:tcPr>
            <w:tcW w:w="2268" w:type="dxa"/>
            <w:noWrap/>
          </w:tcPr>
          <w:p w14:paraId="78C34D99" w14:textId="2E6EF4E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tcPr>
          <w:p w14:paraId="7784E24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tcPr>
          <w:p w14:paraId="3FEA068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tcPr>
          <w:p w14:paraId="1009343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BC1740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62FD7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07_101_0106_6_3</w:t>
            </w:r>
          </w:p>
        </w:tc>
        <w:tc>
          <w:tcPr>
            <w:tcW w:w="5670" w:type="dxa"/>
            <w:noWrap/>
            <w:hideMark/>
          </w:tcPr>
          <w:p w14:paraId="1474B24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Weekday Daytime</w:t>
            </w:r>
          </w:p>
        </w:tc>
        <w:tc>
          <w:tcPr>
            <w:tcW w:w="2268" w:type="dxa"/>
            <w:noWrap/>
            <w:hideMark/>
          </w:tcPr>
          <w:p w14:paraId="5BE7F2E2" w14:textId="71B524D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C5D9E9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5E99120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3156031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57D0A68" w14:textId="77777777" w:rsidTr="008933C7">
        <w:trPr>
          <w:trHeight w:val="300"/>
        </w:trPr>
        <w:tc>
          <w:tcPr>
            <w:tcW w:w="1980" w:type="dxa"/>
            <w:noWrap/>
            <w:hideMark/>
          </w:tcPr>
          <w:p w14:paraId="578E09B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07_102_0106_6_3</w:t>
            </w:r>
          </w:p>
        </w:tc>
        <w:tc>
          <w:tcPr>
            <w:tcW w:w="5670" w:type="dxa"/>
            <w:noWrap/>
            <w:hideMark/>
          </w:tcPr>
          <w:p w14:paraId="7F186A8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Weekday Evening</w:t>
            </w:r>
          </w:p>
        </w:tc>
        <w:tc>
          <w:tcPr>
            <w:tcW w:w="2268" w:type="dxa"/>
            <w:noWrap/>
            <w:hideMark/>
          </w:tcPr>
          <w:p w14:paraId="66BBB932" w14:textId="4D543D4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ABCB29E"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441D301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hideMark/>
          </w:tcPr>
          <w:p w14:paraId="2ECBA4C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C199C5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90526C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07_103_0106_6_3</w:t>
            </w:r>
          </w:p>
        </w:tc>
        <w:tc>
          <w:tcPr>
            <w:tcW w:w="5670" w:type="dxa"/>
            <w:noWrap/>
            <w:hideMark/>
          </w:tcPr>
          <w:p w14:paraId="15AC6DF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Weekday Night</w:t>
            </w:r>
          </w:p>
        </w:tc>
        <w:tc>
          <w:tcPr>
            <w:tcW w:w="2268" w:type="dxa"/>
            <w:noWrap/>
            <w:hideMark/>
          </w:tcPr>
          <w:p w14:paraId="13036AE2" w14:textId="33BFA48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52824E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701BE8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Night Loading</w:t>
            </w:r>
          </w:p>
        </w:tc>
        <w:tc>
          <w:tcPr>
            <w:tcW w:w="1159" w:type="dxa"/>
            <w:noWrap/>
            <w:hideMark/>
          </w:tcPr>
          <w:p w14:paraId="79B5BCD1"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AF2DF1D" w14:textId="77777777" w:rsidTr="008933C7">
        <w:trPr>
          <w:trHeight w:val="300"/>
        </w:trPr>
        <w:tc>
          <w:tcPr>
            <w:tcW w:w="1980" w:type="dxa"/>
            <w:noWrap/>
            <w:hideMark/>
          </w:tcPr>
          <w:p w14:paraId="0D8F2CD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07_104_0106_6_3</w:t>
            </w:r>
          </w:p>
        </w:tc>
        <w:tc>
          <w:tcPr>
            <w:tcW w:w="5670" w:type="dxa"/>
            <w:noWrap/>
            <w:hideMark/>
          </w:tcPr>
          <w:p w14:paraId="48B8044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Saturday</w:t>
            </w:r>
          </w:p>
        </w:tc>
        <w:tc>
          <w:tcPr>
            <w:tcW w:w="2268" w:type="dxa"/>
            <w:noWrap/>
            <w:hideMark/>
          </w:tcPr>
          <w:p w14:paraId="5688FF45" w14:textId="5A17EA2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0B5CDF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39AC272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hideMark/>
          </w:tcPr>
          <w:p w14:paraId="1C6788A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043F58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26630F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07_105_0106_6_3</w:t>
            </w:r>
          </w:p>
        </w:tc>
        <w:tc>
          <w:tcPr>
            <w:tcW w:w="5670" w:type="dxa"/>
            <w:noWrap/>
            <w:hideMark/>
          </w:tcPr>
          <w:p w14:paraId="0570DD2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Sunday</w:t>
            </w:r>
          </w:p>
        </w:tc>
        <w:tc>
          <w:tcPr>
            <w:tcW w:w="2268" w:type="dxa"/>
            <w:noWrap/>
            <w:hideMark/>
          </w:tcPr>
          <w:p w14:paraId="55E1EDB3" w14:textId="627E6721"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768CA8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6A2DDF4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hideMark/>
          </w:tcPr>
          <w:p w14:paraId="7CDC736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CD73BBB" w14:textId="77777777" w:rsidTr="008933C7">
        <w:trPr>
          <w:trHeight w:val="300"/>
        </w:trPr>
        <w:tc>
          <w:tcPr>
            <w:tcW w:w="1980" w:type="dxa"/>
            <w:noWrap/>
            <w:hideMark/>
          </w:tcPr>
          <w:p w14:paraId="3A2E53F8"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07_106_0106_6_3</w:t>
            </w:r>
          </w:p>
        </w:tc>
        <w:tc>
          <w:tcPr>
            <w:tcW w:w="5670" w:type="dxa"/>
            <w:noWrap/>
            <w:hideMark/>
          </w:tcPr>
          <w:p w14:paraId="1E581F7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Psychosocial Recovery Coaching - Public Holiday</w:t>
            </w:r>
          </w:p>
        </w:tc>
        <w:tc>
          <w:tcPr>
            <w:tcW w:w="2268" w:type="dxa"/>
            <w:noWrap/>
            <w:hideMark/>
          </w:tcPr>
          <w:p w14:paraId="35BC1849" w14:textId="2647471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0BFC6C42"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4</w:t>
            </w:r>
          </w:p>
        </w:tc>
        <w:tc>
          <w:tcPr>
            <w:tcW w:w="2085" w:type="dxa"/>
            <w:noWrap/>
            <w:hideMark/>
          </w:tcPr>
          <w:p w14:paraId="6DD1DB3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hideMark/>
          </w:tcPr>
          <w:p w14:paraId="26D4CD5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226B6F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81B51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08_005_0106_2_3</w:t>
            </w:r>
          </w:p>
        </w:tc>
        <w:tc>
          <w:tcPr>
            <w:tcW w:w="5670" w:type="dxa"/>
            <w:noWrap/>
            <w:hideMark/>
          </w:tcPr>
          <w:p w14:paraId="4B19EE8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Assistance With Accommodation </w:t>
            </w:r>
            <w:proofErr w:type="gramStart"/>
            <w:r w:rsidRPr="00250068">
              <w:rPr>
                <w:rFonts w:ascii="Calibri" w:eastAsia="Times New Roman" w:hAnsi="Calibri" w:cs="Calibri"/>
                <w:color w:val="000000"/>
                <w:sz w:val="16"/>
                <w:szCs w:val="16"/>
                <w:lang w:eastAsia="en-AU"/>
              </w:rPr>
              <w:t>And</w:t>
            </w:r>
            <w:proofErr w:type="gramEnd"/>
            <w:r w:rsidRPr="00250068">
              <w:rPr>
                <w:rFonts w:ascii="Calibri" w:eastAsia="Times New Roman" w:hAnsi="Calibri" w:cs="Calibri"/>
                <w:color w:val="000000"/>
                <w:sz w:val="16"/>
                <w:szCs w:val="16"/>
                <w:lang w:eastAsia="en-AU"/>
              </w:rPr>
              <w:t xml:space="preserve"> Tenancy Obligations</w:t>
            </w:r>
          </w:p>
        </w:tc>
        <w:tc>
          <w:tcPr>
            <w:tcW w:w="2268" w:type="dxa"/>
            <w:noWrap/>
            <w:hideMark/>
          </w:tcPr>
          <w:p w14:paraId="3CE1B625" w14:textId="177EF8A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3A158D3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67D881A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7F1CBD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E985935" w14:textId="77777777" w:rsidTr="008933C7">
        <w:trPr>
          <w:trHeight w:val="300"/>
        </w:trPr>
        <w:tc>
          <w:tcPr>
            <w:tcW w:w="1980" w:type="dxa"/>
            <w:noWrap/>
            <w:hideMark/>
          </w:tcPr>
          <w:p w14:paraId="724658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09_006_0106_6_3</w:t>
            </w:r>
          </w:p>
        </w:tc>
        <w:tc>
          <w:tcPr>
            <w:tcW w:w="5670" w:type="dxa"/>
            <w:noWrap/>
            <w:hideMark/>
          </w:tcPr>
          <w:p w14:paraId="0FC30117" w14:textId="77777777" w:rsidR="00E96E04" w:rsidRPr="008933C7" w:rsidRDefault="00F8214D" w:rsidP="008933C7">
            <w:pPr>
              <w:spacing w:before="40" w:after="40"/>
              <w:rPr>
                <w:rFonts w:ascii="Calibri" w:eastAsia="Times New Roman" w:hAnsi="Calibri" w:cs="Calibri"/>
                <w:color w:val="000000"/>
                <w:sz w:val="16"/>
                <w:szCs w:val="16"/>
                <w:lang w:eastAsia="en-AU"/>
              </w:rPr>
            </w:pPr>
            <w:r w:rsidRPr="00F8214D">
              <w:rPr>
                <w:rFonts w:ascii="Calibri" w:eastAsia="Times New Roman" w:hAnsi="Calibri" w:cs="Calibri"/>
                <w:color w:val="000000"/>
                <w:sz w:val="16"/>
                <w:szCs w:val="16"/>
                <w:lang w:eastAsia="en-AU"/>
              </w:rPr>
              <w:t xml:space="preserve">Life Transition Planning Including Mentoring, Peer-Support </w:t>
            </w:r>
            <w:proofErr w:type="gramStart"/>
            <w:r w:rsidRPr="00F8214D">
              <w:rPr>
                <w:rFonts w:ascii="Calibri" w:eastAsia="Times New Roman" w:hAnsi="Calibri" w:cs="Calibri"/>
                <w:color w:val="000000"/>
                <w:sz w:val="16"/>
                <w:szCs w:val="16"/>
                <w:lang w:eastAsia="en-AU"/>
              </w:rPr>
              <w:t>And</w:t>
            </w:r>
            <w:proofErr w:type="gramEnd"/>
            <w:r w:rsidRPr="00F8214D">
              <w:rPr>
                <w:rFonts w:ascii="Calibri" w:eastAsia="Times New Roman" w:hAnsi="Calibri" w:cs="Calibri"/>
                <w:color w:val="000000"/>
                <w:sz w:val="16"/>
                <w:szCs w:val="16"/>
                <w:lang w:eastAsia="en-AU"/>
              </w:rPr>
              <w:t xml:space="preserve"> Skill Development</w:t>
            </w:r>
          </w:p>
        </w:tc>
        <w:tc>
          <w:tcPr>
            <w:tcW w:w="2268" w:type="dxa"/>
            <w:noWrap/>
            <w:hideMark/>
          </w:tcPr>
          <w:p w14:paraId="470D98B6" w14:textId="7D14DF99"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6FA85149"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27434F3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C41AD0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827E1B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5A33AC5"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09_009_0117_6_3</w:t>
            </w:r>
          </w:p>
        </w:tc>
        <w:tc>
          <w:tcPr>
            <w:tcW w:w="5670" w:type="dxa"/>
            <w:noWrap/>
            <w:hideMark/>
          </w:tcPr>
          <w:p w14:paraId="32125C5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Skills Development </w:t>
            </w:r>
            <w:proofErr w:type="gramStart"/>
            <w:r w:rsidRPr="00250068">
              <w:rPr>
                <w:rFonts w:ascii="Calibri" w:eastAsia="Times New Roman" w:hAnsi="Calibri" w:cs="Calibri"/>
                <w:color w:val="000000"/>
                <w:sz w:val="16"/>
                <w:szCs w:val="16"/>
                <w:lang w:eastAsia="en-AU"/>
              </w:rPr>
              <w:t>And</w:t>
            </w:r>
            <w:proofErr w:type="gramEnd"/>
            <w:r w:rsidRPr="00250068">
              <w:rPr>
                <w:rFonts w:ascii="Calibri" w:eastAsia="Times New Roman" w:hAnsi="Calibri" w:cs="Calibri"/>
                <w:color w:val="000000"/>
                <w:sz w:val="16"/>
                <w:szCs w:val="16"/>
                <w:lang w:eastAsia="en-AU"/>
              </w:rPr>
              <w:t xml:space="preserve"> Training</w:t>
            </w:r>
          </w:p>
        </w:tc>
        <w:tc>
          <w:tcPr>
            <w:tcW w:w="2268" w:type="dxa"/>
            <w:noWrap/>
            <w:hideMark/>
          </w:tcPr>
          <w:p w14:paraId="056DB8CC" w14:textId="24D2E9B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5D57244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7316A9A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77755EB"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87D1AC0" w14:textId="77777777" w:rsidTr="008933C7">
        <w:trPr>
          <w:trHeight w:val="300"/>
        </w:trPr>
        <w:tc>
          <w:tcPr>
            <w:tcW w:w="1980" w:type="dxa"/>
            <w:noWrap/>
          </w:tcPr>
          <w:p w14:paraId="3D0B6FB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10_016_0102_5_3</w:t>
            </w:r>
          </w:p>
        </w:tc>
        <w:tc>
          <w:tcPr>
            <w:tcW w:w="5670" w:type="dxa"/>
            <w:noWrap/>
          </w:tcPr>
          <w:p w14:paraId="7ACA9753"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Employment Support</w:t>
            </w:r>
          </w:p>
        </w:tc>
        <w:tc>
          <w:tcPr>
            <w:tcW w:w="2268" w:type="dxa"/>
            <w:noWrap/>
          </w:tcPr>
          <w:p w14:paraId="491C3A0C" w14:textId="4A5DECEC"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 xml:space="preserve">Determined by DSW </w:t>
            </w:r>
            <w:r w:rsidR="00156892">
              <w:rPr>
                <w:rFonts w:ascii="Calibri" w:eastAsia="Times New Roman" w:hAnsi="Calibri" w:cs="Calibri"/>
                <w:bCs/>
                <w:color w:val="000000"/>
                <w:sz w:val="16"/>
                <w:szCs w:val="16"/>
                <w:lang w:eastAsia="en-AU"/>
              </w:rPr>
              <w:t>Model</w:t>
            </w:r>
          </w:p>
        </w:tc>
        <w:tc>
          <w:tcPr>
            <w:tcW w:w="786" w:type="dxa"/>
            <w:noWrap/>
          </w:tcPr>
          <w:p w14:paraId="5AEBB19A"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3</w:t>
            </w:r>
          </w:p>
        </w:tc>
        <w:tc>
          <w:tcPr>
            <w:tcW w:w="2085" w:type="dxa"/>
            <w:noWrap/>
          </w:tcPr>
          <w:p w14:paraId="1F095995" w14:textId="77777777" w:rsidR="00E96E04" w:rsidRPr="00250068" w:rsidRDefault="00E96E04" w:rsidP="008933C7">
            <w:pPr>
              <w:spacing w:before="40" w:after="40"/>
              <w:rPr>
                <w:rFonts w:ascii="Calibri" w:eastAsia="Times New Roman" w:hAnsi="Calibri" w:cs="Calibri"/>
                <w:bCs/>
                <w:color w:val="000000"/>
                <w:sz w:val="16"/>
                <w:szCs w:val="16"/>
                <w:lang w:eastAsia="en-AU"/>
              </w:rPr>
            </w:pPr>
          </w:p>
        </w:tc>
        <w:tc>
          <w:tcPr>
            <w:tcW w:w="1159" w:type="dxa"/>
            <w:noWrap/>
          </w:tcPr>
          <w:p w14:paraId="44BE6D8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40CBA83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52782CD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10_801_0133_5_1_D</w:t>
            </w:r>
          </w:p>
        </w:tc>
        <w:tc>
          <w:tcPr>
            <w:tcW w:w="5670" w:type="dxa"/>
            <w:noWrap/>
          </w:tcPr>
          <w:p w14:paraId="675DF07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Weekday Daytime</w:t>
            </w:r>
          </w:p>
        </w:tc>
        <w:tc>
          <w:tcPr>
            <w:tcW w:w="2268" w:type="dxa"/>
            <w:noWrap/>
          </w:tcPr>
          <w:p w14:paraId="19DE67A3" w14:textId="1056FDD8"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tcPr>
          <w:p w14:paraId="043A955C"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5680A64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tcPr>
          <w:p w14:paraId="207843BF"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4377339" w14:textId="77777777" w:rsidTr="008933C7">
        <w:trPr>
          <w:trHeight w:val="300"/>
        </w:trPr>
        <w:tc>
          <w:tcPr>
            <w:tcW w:w="1980" w:type="dxa"/>
            <w:noWrap/>
          </w:tcPr>
          <w:p w14:paraId="600117C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10_801_0133_5_1_T_D</w:t>
            </w:r>
          </w:p>
        </w:tc>
        <w:tc>
          <w:tcPr>
            <w:tcW w:w="5670" w:type="dxa"/>
            <w:noWrap/>
          </w:tcPr>
          <w:p w14:paraId="24FAFACD"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Weekday Daytime - TTP</w:t>
            </w:r>
          </w:p>
        </w:tc>
        <w:tc>
          <w:tcPr>
            <w:tcW w:w="2268" w:type="dxa"/>
            <w:noWrap/>
          </w:tcPr>
          <w:p w14:paraId="4B745075" w14:textId="7454EE5B"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 xml:space="preserve">Derived from DSW </w:t>
            </w:r>
            <w:r w:rsidR="00156892">
              <w:rPr>
                <w:rFonts w:ascii="Calibri" w:eastAsia="Times New Roman" w:hAnsi="Calibri" w:cs="Calibri"/>
                <w:bCs/>
                <w:color w:val="000000"/>
                <w:sz w:val="16"/>
                <w:szCs w:val="16"/>
                <w:lang w:eastAsia="en-AU"/>
              </w:rPr>
              <w:t>Model</w:t>
            </w:r>
          </w:p>
        </w:tc>
        <w:tc>
          <w:tcPr>
            <w:tcW w:w="786" w:type="dxa"/>
            <w:noWrap/>
          </w:tcPr>
          <w:p w14:paraId="483F6501"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4312C2A9" w14:textId="77777777" w:rsidR="00E96E04" w:rsidRPr="00250068" w:rsidRDefault="00E96E04" w:rsidP="008933C7">
            <w:pPr>
              <w:spacing w:before="40" w:after="40"/>
              <w:rPr>
                <w:rFonts w:ascii="Calibri" w:eastAsia="Times New Roman" w:hAnsi="Calibri" w:cs="Calibri"/>
                <w:bCs/>
                <w:color w:val="000000"/>
                <w:sz w:val="16"/>
                <w:szCs w:val="16"/>
                <w:lang w:eastAsia="en-AU"/>
              </w:rPr>
            </w:pPr>
          </w:p>
        </w:tc>
        <w:tc>
          <w:tcPr>
            <w:tcW w:w="1159" w:type="dxa"/>
            <w:noWrap/>
          </w:tcPr>
          <w:p w14:paraId="41C2AB6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42C1B5B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3E4C50D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10_802_0133_5_1_D</w:t>
            </w:r>
          </w:p>
        </w:tc>
        <w:tc>
          <w:tcPr>
            <w:tcW w:w="5670" w:type="dxa"/>
            <w:noWrap/>
          </w:tcPr>
          <w:p w14:paraId="10C6EB2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Weekday Evening</w:t>
            </w:r>
          </w:p>
        </w:tc>
        <w:tc>
          <w:tcPr>
            <w:tcW w:w="2268" w:type="dxa"/>
            <w:noWrap/>
          </w:tcPr>
          <w:p w14:paraId="3A371759" w14:textId="7948FD4F"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tcPr>
          <w:p w14:paraId="6E877A4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5E6C25C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Evening Loading</w:t>
            </w:r>
          </w:p>
        </w:tc>
        <w:tc>
          <w:tcPr>
            <w:tcW w:w="1159" w:type="dxa"/>
            <w:noWrap/>
          </w:tcPr>
          <w:p w14:paraId="75F13D18"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15B1CF4D" w14:textId="77777777" w:rsidTr="008933C7">
        <w:trPr>
          <w:trHeight w:val="300"/>
        </w:trPr>
        <w:tc>
          <w:tcPr>
            <w:tcW w:w="1980" w:type="dxa"/>
            <w:noWrap/>
          </w:tcPr>
          <w:p w14:paraId="1C64C17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10_802_0133_5_1_T_D</w:t>
            </w:r>
          </w:p>
        </w:tc>
        <w:tc>
          <w:tcPr>
            <w:tcW w:w="5670" w:type="dxa"/>
            <w:noWrap/>
          </w:tcPr>
          <w:p w14:paraId="605F9EFE"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Weekday Evening - TTP</w:t>
            </w:r>
          </w:p>
        </w:tc>
        <w:tc>
          <w:tcPr>
            <w:tcW w:w="2268" w:type="dxa"/>
            <w:noWrap/>
          </w:tcPr>
          <w:p w14:paraId="4F635428" w14:textId="002AC168"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 xml:space="preserve">Derived from DSW </w:t>
            </w:r>
            <w:r w:rsidR="00156892">
              <w:rPr>
                <w:rFonts w:ascii="Calibri" w:eastAsia="Times New Roman" w:hAnsi="Calibri" w:cs="Calibri"/>
                <w:bCs/>
                <w:color w:val="000000"/>
                <w:sz w:val="16"/>
                <w:szCs w:val="16"/>
                <w:lang w:eastAsia="en-AU"/>
              </w:rPr>
              <w:t>Model</w:t>
            </w:r>
          </w:p>
        </w:tc>
        <w:tc>
          <w:tcPr>
            <w:tcW w:w="786" w:type="dxa"/>
            <w:noWrap/>
          </w:tcPr>
          <w:p w14:paraId="30A0733A"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167132BE"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Evening Loading</w:t>
            </w:r>
          </w:p>
        </w:tc>
        <w:tc>
          <w:tcPr>
            <w:tcW w:w="1159" w:type="dxa"/>
            <w:noWrap/>
          </w:tcPr>
          <w:p w14:paraId="0FB45F1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BAC65B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616A88CC"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10_803_0133_5_1_D</w:t>
            </w:r>
          </w:p>
        </w:tc>
        <w:tc>
          <w:tcPr>
            <w:tcW w:w="5670" w:type="dxa"/>
            <w:noWrap/>
          </w:tcPr>
          <w:p w14:paraId="4F0EF36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Saturday</w:t>
            </w:r>
          </w:p>
        </w:tc>
        <w:tc>
          <w:tcPr>
            <w:tcW w:w="2268" w:type="dxa"/>
            <w:noWrap/>
          </w:tcPr>
          <w:p w14:paraId="0B9D2CA3" w14:textId="034A5015"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tcPr>
          <w:p w14:paraId="27C617BF"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7589CC8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Saturday Loading</w:t>
            </w:r>
          </w:p>
        </w:tc>
        <w:tc>
          <w:tcPr>
            <w:tcW w:w="1159" w:type="dxa"/>
            <w:noWrap/>
          </w:tcPr>
          <w:p w14:paraId="4277741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0AD852C5" w14:textId="77777777" w:rsidTr="008933C7">
        <w:trPr>
          <w:trHeight w:val="300"/>
        </w:trPr>
        <w:tc>
          <w:tcPr>
            <w:tcW w:w="1980" w:type="dxa"/>
            <w:noWrap/>
          </w:tcPr>
          <w:p w14:paraId="1FC84BB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10_803_0133_5_1_T_D</w:t>
            </w:r>
          </w:p>
        </w:tc>
        <w:tc>
          <w:tcPr>
            <w:tcW w:w="5670" w:type="dxa"/>
            <w:noWrap/>
          </w:tcPr>
          <w:p w14:paraId="620DAB15"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Saturday - TTP</w:t>
            </w:r>
          </w:p>
        </w:tc>
        <w:tc>
          <w:tcPr>
            <w:tcW w:w="2268" w:type="dxa"/>
            <w:noWrap/>
          </w:tcPr>
          <w:p w14:paraId="41692B48" w14:textId="54EEE9EE"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 xml:space="preserve">Derived from DSW </w:t>
            </w:r>
            <w:r w:rsidR="00156892">
              <w:rPr>
                <w:rFonts w:ascii="Calibri" w:eastAsia="Times New Roman" w:hAnsi="Calibri" w:cs="Calibri"/>
                <w:bCs/>
                <w:color w:val="000000"/>
                <w:sz w:val="16"/>
                <w:szCs w:val="16"/>
                <w:lang w:eastAsia="en-AU"/>
              </w:rPr>
              <w:t>Model</w:t>
            </w:r>
          </w:p>
        </w:tc>
        <w:tc>
          <w:tcPr>
            <w:tcW w:w="786" w:type="dxa"/>
            <w:noWrap/>
          </w:tcPr>
          <w:p w14:paraId="7AAE3D26"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096CCC66"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Saturday Loading</w:t>
            </w:r>
          </w:p>
        </w:tc>
        <w:tc>
          <w:tcPr>
            <w:tcW w:w="1159" w:type="dxa"/>
            <w:noWrap/>
          </w:tcPr>
          <w:p w14:paraId="2DEA269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3677B3F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27EBFB1A"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10_804_0133_5_1_D</w:t>
            </w:r>
          </w:p>
        </w:tc>
        <w:tc>
          <w:tcPr>
            <w:tcW w:w="5670" w:type="dxa"/>
            <w:noWrap/>
          </w:tcPr>
          <w:p w14:paraId="230CDC6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Sunday</w:t>
            </w:r>
          </w:p>
        </w:tc>
        <w:tc>
          <w:tcPr>
            <w:tcW w:w="2268" w:type="dxa"/>
            <w:noWrap/>
          </w:tcPr>
          <w:p w14:paraId="3F6F371A" w14:textId="6C912F6E"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tcPr>
          <w:p w14:paraId="28A1AD5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5D830A90"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Sunday Loading</w:t>
            </w:r>
          </w:p>
        </w:tc>
        <w:tc>
          <w:tcPr>
            <w:tcW w:w="1159" w:type="dxa"/>
            <w:noWrap/>
          </w:tcPr>
          <w:p w14:paraId="0739261C"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5770D7B7" w14:textId="77777777" w:rsidTr="008933C7">
        <w:trPr>
          <w:trHeight w:val="300"/>
        </w:trPr>
        <w:tc>
          <w:tcPr>
            <w:tcW w:w="1980" w:type="dxa"/>
            <w:noWrap/>
          </w:tcPr>
          <w:p w14:paraId="293F387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10_804_0133_5_1_T_D</w:t>
            </w:r>
          </w:p>
        </w:tc>
        <w:tc>
          <w:tcPr>
            <w:tcW w:w="5670" w:type="dxa"/>
            <w:noWrap/>
          </w:tcPr>
          <w:p w14:paraId="7965CFC5"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Sunday - TTP</w:t>
            </w:r>
          </w:p>
        </w:tc>
        <w:tc>
          <w:tcPr>
            <w:tcW w:w="2268" w:type="dxa"/>
            <w:noWrap/>
          </w:tcPr>
          <w:p w14:paraId="51E0AEA7" w14:textId="18D5830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 xml:space="preserve">Derived from DSW </w:t>
            </w:r>
            <w:r w:rsidR="00156892">
              <w:rPr>
                <w:rFonts w:ascii="Calibri" w:eastAsia="Times New Roman" w:hAnsi="Calibri" w:cs="Calibri"/>
                <w:bCs/>
                <w:color w:val="000000"/>
                <w:sz w:val="16"/>
                <w:szCs w:val="16"/>
                <w:lang w:eastAsia="en-AU"/>
              </w:rPr>
              <w:t>Model</w:t>
            </w:r>
          </w:p>
        </w:tc>
        <w:tc>
          <w:tcPr>
            <w:tcW w:w="786" w:type="dxa"/>
            <w:noWrap/>
          </w:tcPr>
          <w:p w14:paraId="339920B3"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14883950"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Sunday Loading</w:t>
            </w:r>
          </w:p>
        </w:tc>
        <w:tc>
          <w:tcPr>
            <w:tcW w:w="1159" w:type="dxa"/>
            <w:noWrap/>
          </w:tcPr>
          <w:p w14:paraId="490B741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754234F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1F106704"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10_805_0133_5_1_D</w:t>
            </w:r>
          </w:p>
        </w:tc>
        <w:tc>
          <w:tcPr>
            <w:tcW w:w="5670" w:type="dxa"/>
            <w:noWrap/>
          </w:tcPr>
          <w:p w14:paraId="534CCEA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Supports In Employment - Public Holiday</w:t>
            </w:r>
          </w:p>
        </w:tc>
        <w:tc>
          <w:tcPr>
            <w:tcW w:w="2268" w:type="dxa"/>
            <w:noWrap/>
          </w:tcPr>
          <w:p w14:paraId="449FEFF2" w14:textId="521064F4"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tcPr>
          <w:p w14:paraId="46C5019D"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2085" w:type="dxa"/>
            <w:noWrap/>
          </w:tcPr>
          <w:p w14:paraId="0EDBB0B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Public Holiday Loading</w:t>
            </w:r>
          </w:p>
        </w:tc>
        <w:tc>
          <w:tcPr>
            <w:tcW w:w="1159" w:type="dxa"/>
            <w:noWrap/>
          </w:tcPr>
          <w:p w14:paraId="1D1622D0"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31AA7761" w14:textId="77777777" w:rsidTr="008933C7">
        <w:trPr>
          <w:trHeight w:val="300"/>
        </w:trPr>
        <w:tc>
          <w:tcPr>
            <w:tcW w:w="1980" w:type="dxa"/>
            <w:noWrap/>
          </w:tcPr>
          <w:p w14:paraId="07F7CD4B"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10_805_0133_5_1_T_D</w:t>
            </w:r>
          </w:p>
        </w:tc>
        <w:tc>
          <w:tcPr>
            <w:tcW w:w="5670" w:type="dxa"/>
            <w:noWrap/>
          </w:tcPr>
          <w:p w14:paraId="488B61A1"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Supports In Employment - Public Holiday - TTP</w:t>
            </w:r>
          </w:p>
        </w:tc>
        <w:tc>
          <w:tcPr>
            <w:tcW w:w="2268" w:type="dxa"/>
            <w:noWrap/>
          </w:tcPr>
          <w:p w14:paraId="262D3DD9" w14:textId="59FDD46F"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 xml:space="preserve">Derived from DSW </w:t>
            </w:r>
            <w:r w:rsidR="00156892">
              <w:rPr>
                <w:rFonts w:ascii="Calibri" w:eastAsia="Times New Roman" w:hAnsi="Calibri" w:cs="Calibri"/>
                <w:bCs/>
                <w:color w:val="000000"/>
                <w:sz w:val="16"/>
                <w:szCs w:val="16"/>
                <w:lang w:eastAsia="en-AU"/>
              </w:rPr>
              <w:t>Model</w:t>
            </w:r>
          </w:p>
        </w:tc>
        <w:tc>
          <w:tcPr>
            <w:tcW w:w="786" w:type="dxa"/>
            <w:noWrap/>
          </w:tcPr>
          <w:p w14:paraId="30AA77F0" w14:textId="77777777" w:rsidR="00E96E04" w:rsidRPr="00250068" w:rsidRDefault="003D60DD"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DSW 1</w:t>
            </w:r>
          </w:p>
        </w:tc>
        <w:tc>
          <w:tcPr>
            <w:tcW w:w="2085" w:type="dxa"/>
            <w:noWrap/>
          </w:tcPr>
          <w:p w14:paraId="16C7FE51" w14:textId="77777777" w:rsidR="00E96E04" w:rsidRPr="00250068" w:rsidRDefault="00E96E04" w:rsidP="008933C7">
            <w:pPr>
              <w:spacing w:before="40" w:after="40"/>
              <w:rPr>
                <w:rFonts w:ascii="Calibri" w:eastAsia="Times New Roman" w:hAnsi="Calibri" w:cs="Calibri"/>
                <w:bCs/>
                <w:color w:val="000000"/>
                <w:sz w:val="16"/>
                <w:szCs w:val="16"/>
                <w:lang w:eastAsia="en-AU"/>
              </w:rPr>
            </w:pPr>
            <w:r w:rsidRPr="00250068">
              <w:rPr>
                <w:rFonts w:ascii="Calibri" w:eastAsia="Times New Roman" w:hAnsi="Calibri" w:cs="Calibri"/>
                <w:bCs/>
                <w:color w:val="000000"/>
                <w:sz w:val="16"/>
                <w:szCs w:val="16"/>
                <w:lang w:eastAsia="en-AU"/>
              </w:rPr>
              <w:t>Public Holiday Loading</w:t>
            </w:r>
          </w:p>
        </w:tc>
        <w:tc>
          <w:tcPr>
            <w:tcW w:w="1159" w:type="dxa"/>
            <w:noWrap/>
          </w:tcPr>
          <w:p w14:paraId="117431E2"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See Note 1.2</w:t>
            </w:r>
          </w:p>
        </w:tc>
      </w:tr>
      <w:tr w:rsidR="00E96E04" w:rsidRPr="00250068" w14:paraId="0B5E311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3B29AA1"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11_024_0117_7_3</w:t>
            </w:r>
          </w:p>
        </w:tc>
        <w:tc>
          <w:tcPr>
            <w:tcW w:w="5670" w:type="dxa"/>
            <w:noWrap/>
            <w:hideMark/>
          </w:tcPr>
          <w:p w14:paraId="25E2FCE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Individual Social Skills Development</w:t>
            </w:r>
          </w:p>
        </w:tc>
        <w:tc>
          <w:tcPr>
            <w:tcW w:w="2268" w:type="dxa"/>
            <w:noWrap/>
            <w:hideMark/>
          </w:tcPr>
          <w:p w14:paraId="100C679C" w14:textId="79CB807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46EF88AA"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6E5AB60D"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906F7D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659E6AF2" w14:textId="77777777" w:rsidTr="008933C7">
        <w:trPr>
          <w:trHeight w:val="300"/>
        </w:trPr>
        <w:tc>
          <w:tcPr>
            <w:tcW w:w="1980" w:type="dxa"/>
            <w:noWrap/>
            <w:hideMark/>
          </w:tcPr>
          <w:p w14:paraId="378E3E96"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13_030_0102_4_3</w:t>
            </w:r>
          </w:p>
        </w:tc>
        <w:tc>
          <w:tcPr>
            <w:tcW w:w="5670" w:type="dxa"/>
            <w:noWrap/>
            <w:hideMark/>
          </w:tcPr>
          <w:p w14:paraId="6703C44D"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Transition Through School </w:t>
            </w:r>
            <w:proofErr w:type="gramStart"/>
            <w:r w:rsidRPr="00250068">
              <w:rPr>
                <w:rFonts w:ascii="Calibri" w:eastAsia="Times New Roman" w:hAnsi="Calibri" w:cs="Calibri"/>
                <w:color w:val="000000"/>
                <w:sz w:val="16"/>
                <w:szCs w:val="16"/>
                <w:lang w:eastAsia="en-AU"/>
              </w:rPr>
              <w:t>And</w:t>
            </w:r>
            <w:proofErr w:type="gramEnd"/>
            <w:r w:rsidRPr="00250068">
              <w:rPr>
                <w:rFonts w:ascii="Calibri" w:eastAsia="Times New Roman" w:hAnsi="Calibri" w:cs="Calibri"/>
                <w:color w:val="000000"/>
                <w:sz w:val="16"/>
                <w:szCs w:val="16"/>
                <w:lang w:eastAsia="en-AU"/>
              </w:rPr>
              <w:t xml:space="preserve"> To Further Education</w:t>
            </w:r>
          </w:p>
        </w:tc>
        <w:tc>
          <w:tcPr>
            <w:tcW w:w="2268" w:type="dxa"/>
            <w:noWrap/>
            <w:hideMark/>
          </w:tcPr>
          <w:p w14:paraId="168EA693" w14:textId="0F0C1C6A"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786" w:type="dxa"/>
            <w:noWrap/>
            <w:hideMark/>
          </w:tcPr>
          <w:p w14:paraId="79991EC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2085" w:type="dxa"/>
            <w:noWrap/>
            <w:hideMark/>
          </w:tcPr>
          <w:p w14:paraId="023DCBA7"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7BA6AC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FAE0453" w14:textId="77777777" w:rsidTr="00D34BC3">
        <w:trPr>
          <w:cnfStyle w:val="000000100000" w:firstRow="0" w:lastRow="0" w:firstColumn="0" w:lastColumn="0" w:oddVBand="0" w:evenVBand="0" w:oddHBand="1" w:evenHBand="0" w:firstRowFirstColumn="0" w:firstRowLastColumn="0" w:lastRowFirstColumn="0" w:lastRowLastColumn="0"/>
          <w:trHeight w:val="300"/>
        </w:trPr>
        <w:tc>
          <w:tcPr>
            <w:tcW w:w="0" w:type="dxa"/>
            <w:noWrap/>
            <w:hideMark/>
          </w:tcPr>
          <w:p w14:paraId="6BAFC80E"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15_035_0106_1_3</w:t>
            </w:r>
          </w:p>
        </w:tc>
        <w:tc>
          <w:tcPr>
            <w:tcW w:w="0" w:type="dxa"/>
            <w:noWrap/>
            <w:hideMark/>
          </w:tcPr>
          <w:p w14:paraId="519AC423"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Assistance With Decision Making Daily Planning and Budgeting</w:t>
            </w:r>
          </w:p>
        </w:tc>
        <w:tc>
          <w:tcPr>
            <w:tcW w:w="0" w:type="dxa"/>
            <w:noWrap/>
            <w:hideMark/>
          </w:tcPr>
          <w:p w14:paraId="396340B7" w14:textId="4EE998F6"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0" w:type="dxa"/>
            <w:noWrap/>
            <w:hideMark/>
          </w:tcPr>
          <w:p w14:paraId="2FB689B1"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0" w:type="dxa"/>
            <w:noWrap/>
            <w:hideMark/>
          </w:tcPr>
          <w:p w14:paraId="08CD23A5"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0" w:type="dxa"/>
            <w:noWrap/>
            <w:hideMark/>
          </w:tcPr>
          <w:p w14:paraId="40DD2A5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794F7E26" w14:textId="77777777" w:rsidTr="00D34BC3">
        <w:trPr>
          <w:trHeight w:val="300"/>
        </w:trPr>
        <w:tc>
          <w:tcPr>
            <w:tcW w:w="0" w:type="dxa"/>
            <w:shd w:val="clear" w:color="auto" w:fill="auto"/>
            <w:noWrap/>
            <w:hideMark/>
          </w:tcPr>
          <w:p w14:paraId="51E8D13F"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15_037_0117_1_3</w:t>
            </w:r>
          </w:p>
        </w:tc>
        <w:tc>
          <w:tcPr>
            <w:tcW w:w="0" w:type="dxa"/>
            <w:shd w:val="clear" w:color="auto" w:fill="auto"/>
            <w:noWrap/>
            <w:hideMark/>
          </w:tcPr>
          <w:p w14:paraId="6BB049B5" w14:textId="77777777" w:rsidR="00E96E04" w:rsidRPr="00250068" w:rsidRDefault="00F8214D" w:rsidP="00692560">
            <w:pPr>
              <w:spacing w:before="40" w:after="40"/>
              <w:rPr>
                <w:rFonts w:ascii="Calibri" w:eastAsia="Times New Roman" w:hAnsi="Calibri" w:cs="Calibri"/>
                <w:color w:val="000000"/>
                <w:sz w:val="16"/>
                <w:szCs w:val="16"/>
                <w:lang w:eastAsia="en-AU"/>
              </w:rPr>
            </w:pPr>
            <w:r w:rsidRPr="00F8214D">
              <w:rPr>
                <w:rFonts w:ascii="Calibri" w:eastAsia="Times New Roman" w:hAnsi="Calibri" w:cs="Calibri"/>
                <w:color w:val="000000"/>
                <w:sz w:val="16"/>
                <w:szCs w:val="16"/>
                <w:lang w:eastAsia="en-AU"/>
              </w:rPr>
              <w:t xml:space="preserve">Skill Development </w:t>
            </w:r>
            <w:proofErr w:type="gramStart"/>
            <w:r w:rsidRPr="00F8214D">
              <w:rPr>
                <w:rFonts w:ascii="Calibri" w:eastAsia="Times New Roman" w:hAnsi="Calibri" w:cs="Calibri"/>
                <w:color w:val="000000"/>
                <w:sz w:val="16"/>
                <w:szCs w:val="16"/>
                <w:lang w:eastAsia="en-AU"/>
              </w:rPr>
              <w:t>And</w:t>
            </w:r>
            <w:proofErr w:type="gramEnd"/>
            <w:r w:rsidRPr="00F8214D">
              <w:rPr>
                <w:rFonts w:ascii="Calibri" w:eastAsia="Times New Roman" w:hAnsi="Calibri" w:cs="Calibri"/>
                <w:color w:val="000000"/>
                <w:sz w:val="16"/>
                <w:szCs w:val="16"/>
                <w:lang w:eastAsia="en-AU"/>
              </w:rPr>
              <w:t xml:space="preserve"> Training including Public Transport Training</w:t>
            </w:r>
          </w:p>
        </w:tc>
        <w:tc>
          <w:tcPr>
            <w:tcW w:w="0" w:type="dxa"/>
            <w:shd w:val="clear" w:color="auto" w:fill="auto"/>
            <w:noWrap/>
            <w:hideMark/>
          </w:tcPr>
          <w:p w14:paraId="65088D34" w14:textId="77FA65C0"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0" w:type="dxa"/>
            <w:shd w:val="clear" w:color="auto" w:fill="auto"/>
            <w:noWrap/>
            <w:hideMark/>
          </w:tcPr>
          <w:p w14:paraId="141DE5D3"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1</w:t>
            </w:r>
          </w:p>
        </w:tc>
        <w:tc>
          <w:tcPr>
            <w:tcW w:w="0" w:type="dxa"/>
            <w:shd w:val="clear" w:color="auto" w:fill="auto"/>
            <w:noWrap/>
            <w:hideMark/>
          </w:tcPr>
          <w:p w14:paraId="5A0692A3"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0" w:type="dxa"/>
            <w:shd w:val="clear" w:color="auto" w:fill="auto"/>
            <w:noWrap/>
            <w:hideMark/>
          </w:tcPr>
          <w:p w14:paraId="49345FE4"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r w:rsidR="00E96E04" w:rsidRPr="00250068" w14:paraId="2314647A" w14:textId="77777777" w:rsidTr="00D34BC3">
        <w:trPr>
          <w:cnfStyle w:val="000000100000" w:firstRow="0" w:lastRow="0" w:firstColumn="0" w:lastColumn="0" w:oddVBand="0" w:evenVBand="0" w:oddHBand="1" w:evenHBand="0" w:firstRowFirstColumn="0" w:firstRowLastColumn="0" w:lastRowFirstColumn="0" w:lastRowLastColumn="0"/>
          <w:trHeight w:val="300"/>
        </w:trPr>
        <w:tc>
          <w:tcPr>
            <w:tcW w:w="0" w:type="dxa"/>
            <w:noWrap/>
            <w:hideMark/>
          </w:tcPr>
          <w:p w14:paraId="79A76D37"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15_038_0117_1_3</w:t>
            </w:r>
          </w:p>
        </w:tc>
        <w:tc>
          <w:tcPr>
            <w:tcW w:w="0" w:type="dxa"/>
            <w:noWrap/>
            <w:hideMark/>
          </w:tcPr>
          <w:p w14:paraId="2715C919" w14:textId="77777777"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Training For Carers/Parents</w:t>
            </w:r>
          </w:p>
        </w:tc>
        <w:tc>
          <w:tcPr>
            <w:tcW w:w="0" w:type="dxa"/>
            <w:noWrap/>
            <w:hideMark/>
          </w:tcPr>
          <w:p w14:paraId="09D09023" w14:textId="0F1C0B52" w:rsidR="00E96E04" w:rsidRPr="00250068" w:rsidRDefault="00E96E04"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 xml:space="preserve">Determined by DSW </w:t>
            </w:r>
            <w:r w:rsidR="00156892">
              <w:rPr>
                <w:rFonts w:ascii="Calibri" w:eastAsia="Times New Roman" w:hAnsi="Calibri" w:cs="Calibri"/>
                <w:color w:val="000000"/>
                <w:sz w:val="16"/>
                <w:szCs w:val="16"/>
                <w:lang w:eastAsia="en-AU"/>
              </w:rPr>
              <w:t>Model</w:t>
            </w:r>
          </w:p>
        </w:tc>
        <w:tc>
          <w:tcPr>
            <w:tcW w:w="0" w:type="dxa"/>
            <w:noWrap/>
            <w:hideMark/>
          </w:tcPr>
          <w:p w14:paraId="21365034" w14:textId="77777777" w:rsidR="00E96E04" w:rsidRPr="00250068" w:rsidRDefault="003D60DD" w:rsidP="008933C7">
            <w:pPr>
              <w:spacing w:before="40" w:after="40"/>
              <w:rPr>
                <w:rFonts w:ascii="Calibri" w:eastAsia="Times New Roman" w:hAnsi="Calibri" w:cs="Calibri"/>
                <w:color w:val="000000"/>
                <w:sz w:val="16"/>
                <w:szCs w:val="16"/>
                <w:lang w:eastAsia="en-AU"/>
              </w:rPr>
            </w:pPr>
            <w:r w:rsidRPr="00250068">
              <w:rPr>
                <w:rFonts w:ascii="Calibri" w:eastAsia="Times New Roman" w:hAnsi="Calibri" w:cs="Calibri"/>
                <w:color w:val="000000"/>
                <w:sz w:val="16"/>
                <w:szCs w:val="16"/>
                <w:lang w:eastAsia="en-AU"/>
              </w:rPr>
              <w:t>DSW 3</w:t>
            </w:r>
          </w:p>
        </w:tc>
        <w:tc>
          <w:tcPr>
            <w:tcW w:w="0" w:type="dxa"/>
            <w:noWrap/>
            <w:hideMark/>
          </w:tcPr>
          <w:p w14:paraId="3BAFAB4A" w14:textId="77777777" w:rsidR="00E96E04" w:rsidRPr="00250068" w:rsidRDefault="00E96E04" w:rsidP="008933C7">
            <w:pPr>
              <w:spacing w:before="40" w:after="40"/>
              <w:rPr>
                <w:rFonts w:ascii="Calibri" w:eastAsia="Times New Roman" w:hAnsi="Calibri" w:cs="Calibri"/>
                <w:color w:val="000000"/>
                <w:sz w:val="16"/>
                <w:szCs w:val="16"/>
                <w:lang w:eastAsia="en-AU"/>
              </w:rPr>
            </w:pPr>
          </w:p>
        </w:tc>
        <w:tc>
          <w:tcPr>
            <w:tcW w:w="0" w:type="dxa"/>
            <w:noWrap/>
            <w:hideMark/>
          </w:tcPr>
          <w:p w14:paraId="5D4B0BE6" w14:textId="77777777" w:rsidR="00E96E04" w:rsidRPr="00250068" w:rsidRDefault="00E96E04" w:rsidP="008933C7">
            <w:pPr>
              <w:spacing w:before="40" w:after="40"/>
              <w:rPr>
                <w:rFonts w:ascii="Calibri" w:eastAsia="Times New Roman" w:hAnsi="Calibri" w:cs="Calibri"/>
                <w:color w:val="000000"/>
                <w:sz w:val="16"/>
                <w:szCs w:val="16"/>
                <w:lang w:eastAsia="en-AU"/>
              </w:rPr>
            </w:pPr>
          </w:p>
        </w:tc>
      </w:tr>
    </w:tbl>
    <w:p w14:paraId="605F61B4" w14:textId="77777777" w:rsidR="00DC0A5C" w:rsidRPr="00DD6692" w:rsidRDefault="00DC0A5C" w:rsidP="00920C59">
      <w:pPr>
        <w:pStyle w:val="Heading2"/>
        <w:sectPr w:rsidR="00DC0A5C" w:rsidRPr="00DD6692" w:rsidSect="00AE0D61">
          <w:pgSz w:w="16838" w:h="11906" w:orient="landscape" w:code="9"/>
          <w:pgMar w:top="1440" w:right="1440" w:bottom="1440" w:left="1440" w:header="709" w:footer="709" w:gutter="0"/>
          <w:cols w:space="708"/>
          <w:titlePg/>
          <w:docGrid w:linePitch="360"/>
        </w:sectPr>
      </w:pPr>
    </w:p>
    <w:p w14:paraId="463417DF" w14:textId="77777777" w:rsidR="00DE0234" w:rsidRDefault="008933C7" w:rsidP="008933C7">
      <w:pPr>
        <w:pStyle w:val="Heading2"/>
      </w:pPr>
      <w:bookmarkStart w:id="42" w:name="_Toc106464085"/>
      <w:r>
        <w:lastRenderedPageBreak/>
        <w:t>Notes</w:t>
      </w:r>
      <w:bookmarkEnd w:id="42"/>
    </w:p>
    <w:p w14:paraId="5784ABEA" w14:textId="77777777" w:rsidR="00AE0D61" w:rsidRPr="00DD6692" w:rsidRDefault="00AE0D61" w:rsidP="008933C7">
      <w:pPr>
        <w:pStyle w:val="Style2"/>
        <w:ind w:left="284" w:hanging="284"/>
      </w:pPr>
      <w:r w:rsidRPr="00DD6692">
        <w:t>Temporary Transformation Payment</w:t>
      </w:r>
      <w:r w:rsidR="00CD53B0" w:rsidRPr="00DD6692">
        <w:t xml:space="preserve"> (TTP)</w:t>
      </w:r>
    </w:p>
    <w:p w14:paraId="17C40B0C" w14:textId="77777777" w:rsidR="00325407" w:rsidRPr="00DD6692" w:rsidRDefault="0080661E" w:rsidP="0080661E">
      <w:pPr>
        <w:rPr>
          <w:rStyle w:val="Bodytext-GuideChar"/>
          <w:rFonts w:eastAsiaTheme="minorHAnsi"/>
        </w:rPr>
      </w:pPr>
      <w:r w:rsidRPr="00DD6692">
        <w:rPr>
          <w:rStyle w:val="Bodytext-GuideChar"/>
          <w:rFonts w:eastAsiaTheme="minorHAnsi"/>
        </w:rPr>
        <w:t xml:space="preserve">The </w:t>
      </w:r>
      <w:r w:rsidR="007E2EEA" w:rsidRPr="00DD6692">
        <w:rPr>
          <w:rFonts w:ascii="Arial" w:eastAsia="Calibri" w:hAnsi="Arial" w:cs="Arial"/>
          <w:szCs w:val="24"/>
        </w:rPr>
        <w:t>202</w:t>
      </w:r>
      <w:r w:rsidR="007E2EEA">
        <w:rPr>
          <w:rFonts w:ascii="Arial" w:eastAsia="Calibri" w:hAnsi="Arial" w:cs="Arial"/>
          <w:szCs w:val="24"/>
        </w:rPr>
        <w:t>2</w:t>
      </w:r>
      <w:r w:rsidR="00716C16" w:rsidRPr="00DD6692">
        <w:rPr>
          <w:rFonts w:ascii="Arial" w:eastAsia="Calibri" w:hAnsi="Arial" w:cs="Arial"/>
          <w:szCs w:val="24"/>
        </w:rPr>
        <w:t>-</w:t>
      </w:r>
      <w:r w:rsidR="007E2EEA" w:rsidRPr="00DD6692">
        <w:rPr>
          <w:rFonts w:ascii="Arial" w:eastAsia="Calibri" w:hAnsi="Arial" w:cs="Arial"/>
          <w:szCs w:val="24"/>
        </w:rPr>
        <w:t>2</w:t>
      </w:r>
      <w:r w:rsidR="007E2EEA">
        <w:rPr>
          <w:rFonts w:ascii="Arial" w:eastAsia="Calibri" w:hAnsi="Arial" w:cs="Arial"/>
          <w:szCs w:val="24"/>
        </w:rPr>
        <w:t>3</w:t>
      </w:r>
      <w:r w:rsidR="007E2EEA" w:rsidRPr="00DD6692">
        <w:rPr>
          <w:rFonts w:ascii="Arial" w:eastAsia="Calibri" w:hAnsi="Arial" w:cs="Arial"/>
          <w:szCs w:val="24"/>
        </w:rPr>
        <w:t xml:space="preserve"> </w:t>
      </w:r>
      <w:r w:rsidRPr="00DD6692">
        <w:rPr>
          <w:rStyle w:val="Bodytext-GuideChar"/>
          <w:rFonts w:eastAsiaTheme="minorHAnsi"/>
        </w:rPr>
        <w:t xml:space="preserve">price limit for each TTP </w:t>
      </w:r>
      <w:r w:rsidR="00325407" w:rsidRPr="00DD6692">
        <w:rPr>
          <w:rStyle w:val="Bodytext-GuideChar"/>
          <w:rFonts w:eastAsiaTheme="minorHAnsi"/>
        </w:rPr>
        <w:t xml:space="preserve">support </w:t>
      </w:r>
      <w:r w:rsidRPr="00DD6692">
        <w:rPr>
          <w:rStyle w:val="Bodytext-GuideChar"/>
          <w:rFonts w:eastAsiaTheme="minorHAnsi"/>
        </w:rPr>
        <w:t xml:space="preserve">item is higher than the price limit for the </w:t>
      </w:r>
      <w:r w:rsidR="00325407" w:rsidRPr="00DD6692">
        <w:rPr>
          <w:rStyle w:val="Bodytext-GuideChar"/>
          <w:rFonts w:eastAsiaTheme="minorHAnsi"/>
        </w:rPr>
        <w:t xml:space="preserve">equivalent </w:t>
      </w:r>
      <w:r w:rsidRPr="00DD6692">
        <w:rPr>
          <w:rStyle w:val="Bodytext-GuideChar"/>
          <w:rFonts w:eastAsiaTheme="minorHAnsi"/>
        </w:rPr>
        <w:t xml:space="preserve">non-TTP item. </w:t>
      </w:r>
      <w:r w:rsidR="00325407" w:rsidRPr="00DD6692">
        <w:rPr>
          <w:rStyle w:val="Bodytext-GuideChar"/>
          <w:rFonts w:eastAsiaTheme="minorHAnsi"/>
        </w:rPr>
        <w:t xml:space="preserve">In </w:t>
      </w:r>
      <w:r w:rsidR="007E2EEA" w:rsidRPr="00DD6692">
        <w:rPr>
          <w:rStyle w:val="Bodytext-GuideChar"/>
          <w:rFonts w:eastAsiaTheme="minorHAnsi"/>
        </w:rPr>
        <w:t>202</w:t>
      </w:r>
      <w:r w:rsidR="007E2EEA">
        <w:rPr>
          <w:rStyle w:val="Bodytext-GuideChar"/>
          <w:rFonts w:eastAsiaTheme="minorHAnsi"/>
        </w:rPr>
        <w:t>2</w:t>
      </w:r>
      <w:r w:rsidR="00716C16" w:rsidRPr="00DD6692">
        <w:rPr>
          <w:rStyle w:val="Bodytext-GuideChar"/>
          <w:rFonts w:eastAsiaTheme="minorHAnsi"/>
        </w:rPr>
        <w:t>-</w:t>
      </w:r>
      <w:r w:rsidR="007E2EEA" w:rsidRPr="00DD6692">
        <w:rPr>
          <w:rStyle w:val="Bodytext-GuideChar"/>
          <w:rFonts w:eastAsiaTheme="minorHAnsi"/>
        </w:rPr>
        <w:t>2</w:t>
      </w:r>
      <w:r w:rsidR="007E2EEA">
        <w:rPr>
          <w:rStyle w:val="Bodytext-GuideChar"/>
          <w:rFonts w:eastAsiaTheme="minorHAnsi"/>
        </w:rPr>
        <w:t>3</w:t>
      </w:r>
      <w:r w:rsidR="00CD53B0" w:rsidRPr="00DD6692">
        <w:rPr>
          <w:rStyle w:val="Bodytext-GuideChar"/>
          <w:rFonts w:eastAsiaTheme="minorHAnsi"/>
        </w:rPr>
        <w:t>,</w:t>
      </w:r>
      <w:r w:rsidR="00325407" w:rsidRPr="00DD6692">
        <w:rPr>
          <w:rStyle w:val="Bodytext-GuideChar"/>
          <w:rFonts w:eastAsiaTheme="minorHAnsi"/>
        </w:rPr>
        <w:t xml:space="preserve"> the TTP additional amount is equal to </w:t>
      </w:r>
      <w:r w:rsidR="007E2EEA">
        <w:rPr>
          <w:rStyle w:val="Bodytext-GuideChar"/>
          <w:rFonts w:eastAsiaTheme="minorHAnsi"/>
        </w:rPr>
        <w:t xml:space="preserve">3.0 </w:t>
      </w:r>
      <w:r w:rsidR="00325407" w:rsidRPr="00DD6692">
        <w:rPr>
          <w:rStyle w:val="Bodytext-GuideChar"/>
          <w:rFonts w:eastAsiaTheme="minorHAnsi"/>
        </w:rPr>
        <w:t xml:space="preserve">per cent of the </w:t>
      </w:r>
      <w:r w:rsidR="0048768C" w:rsidRPr="00DD6692">
        <w:rPr>
          <w:rStyle w:val="Bodytext-GuideChar"/>
          <w:rFonts w:eastAsiaTheme="minorHAnsi"/>
        </w:rPr>
        <w:t xml:space="preserve">relevant </w:t>
      </w:r>
      <w:r w:rsidR="003D60DD">
        <w:rPr>
          <w:rStyle w:val="Bodytext-GuideChar"/>
          <w:rFonts w:eastAsiaTheme="minorHAnsi"/>
        </w:rPr>
        <w:t>DSW 1</w:t>
      </w:r>
      <w:r w:rsidR="00325407" w:rsidRPr="00DD6692">
        <w:rPr>
          <w:rStyle w:val="Bodytext-GuideChar"/>
          <w:rFonts w:eastAsiaTheme="minorHAnsi"/>
        </w:rPr>
        <w:t xml:space="preserve"> </w:t>
      </w:r>
      <w:r w:rsidR="00C672FB">
        <w:rPr>
          <w:rStyle w:val="Bodytext-GuideChar"/>
          <w:rFonts w:eastAsiaTheme="minorHAnsi"/>
        </w:rPr>
        <w:t xml:space="preserve">hourly price limit </w:t>
      </w:r>
      <w:r w:rsidR="00325407" w:rsidRPr="00DD6692">
        <w:rPr>
          <w:rStyle w:val="Bodytext-GuideChar"/>
          <w:rFonts w:eastAsiaTheme="minorHAnsi"/>
        </w:rPr>
        <w:t>for each time of day and day of week.</w:t>
      </w:r>
    </w:p>
    <w:p w14:paraId="56E8996F" w14:textId="77777777" w:rsidR="00890E49" w:rsidRPr="00DD6692" w:rsidRDefault="00890E49" w:rsidP="00293845">
      <w:pPr>
        <w:pStyle w:val="Style2"/>
        <w:ind w:left="284" w:hanging="284"/>
      </w:pPr>
      <w:bookmarkStart w:id="43" w:name="_Toc44490853"/>
      <w:bookmarkStart w:id="44" w:name="_Toc41159086"/>
      <w:r w:rsidRPr="00DD6692">
        <w:t>Assistance with Self Care Activities - Night-Time Sleepover Support</w:t>
      </w:r>
      <w:bookmarkEnd w:id="43"/>
      <w:bookmarkEnd w:id="44"/>
    </w:p>
    <w:p w14:paraId="34531B81" w14:textId="6EA7DA17" w:rsidR="00325407" w:rsidRPr="00DD6692" w:rsidRDefault="00890E49" w:rsidP="00AE0D61">
      <w:r w:rsidRPr="00DD6692">
        <w:t xml:space="preserve">The price limit for </w:t>
      </w:r>
      <w:r w:rsidR="00325407" w:rsidRPr="00DD6692">
        <w:t>these</w:t>
      </w:r>
      <w:r w:rsidRPr="00DD6692">
        <w:t xml:space="preserve"> support item</w:t>
      </w:r>
      <w:r w:rsidR="00325407" w:rsidRPr="00DD6692">
        <w:t>s</w:t>
      </w:r>
      <w:r w:rsidRPr="00DD6692">
        <w:t xml:space="preserve"> is </w:t>
      </w:r>
      <w:r w:rsidR="0080661E" w:rsidRPr="00DD6692">
        <w:t xml:space="preserve">equal to </w:t>
      </w:r>
      <w:r w:rsidR="005A0CF6" w:rsidRPr="00DD6692">
        <w:t xml:space="preserve">the </w:t>
      </w:r>
      <w:r w:rsidR="00D54BD6" w:rsidRPr="00DD6692">
        <w:t xml:space="preserve">SCHADS </w:t>
      </w:r>
      <w:r w:rsidR="00CE2851">
        <w:t xml:space="preserve">Industry </w:t>
      </w:r>
      <w:r w:rsidR="00D54BD6" w:rsidRPr="00DD6692">
        <w:t xml:space="preserve">Award </w:t>
      </w:r>
      <w:r w:rsidR="005A0CF6" w:rsidRPr="00DD6692">
        <w:t>Sleepover Allowance</w:t>
      </w:r>
      <w:r w:rsidR="00D54BD6" w:rsidRPr="00DD6692">
        <w:rPr>
          <w:rStyle w:val="FootnoteReference"/>
        </w:rPr>
        <w:footnoteReference w:id="12"/>
      </w:r>
      <w:r w:rsidR="005A0CF6" w:rsidRPr="00DD6692">
        <w:t xml:space="preserve"> </w:t>
      </w:r>
      <w:r w:rsidR="00D54BD6" w:rsidRPr="00DD6692">
        <w:t xml:space="preserve">plus </w:t>
      </w:r>
      <w:r w:rsidR="005A0CF6" w:rsidRPr="00DD6692">
        <w:t xml:space="preserve">three times </w:t>
      </w:r>
      <w:r w:rsidR="00325407" w:rsidRPr="00DD6692">
        <w:t xml:space="preserve">the </w:t>
      </w:r>
      <w:r w:rsidR="0048768C" w:rsidRPr="00DD6692">
        <w:t xml:space="preserve">relevant </w:t>
      </w:r>
      <w:r w:rsidR="003D60DD">
        <w:t>DSW 1</w:t>
      </w:r>
      <w:r w:rsidR="00325407" w:rsidRPr="00DD6692">
        <w:t xml:space="preserve"> </w:t>
      </w:r>
      <w:r w:rsidR="00C672FB">
        <w:t xml:space="preserve">Weekday </w:t>
      </w:r>
      <w:r w:rsidR="00325407" w:rsidRPr="00DD6692">
        <w:t>Night</w:t>
      </w:r>
      <w:r w:rsidR="00C672FB">
        <w:t xml:space="preserve"> hourly price limit</w:t>
      </w:r>
      <w:r w:rsidR="00325407" w:rsidRPr="00DD6692">
        <w:t>.</w:t>
      </w:r>
    </w:p>
    <w:p w14:paraId="7352F814" w14:textId="77777777" w:rsidR="00AE0D61" w:rsidRPr="00DD6692" w:rsidRDefault="00315545" w:rsidP="00293845">
      <w:pPr>
        <w:pStyle w:val="Style2"/>
        <w:ind w:left="284" w:hanging="284"/>
      </w:pPr>
      <w:r w:rsidRPr="00DD6692">
        <w:t>Establishment Fee f</w:t>
      </w:r>
      <w:r w:rsidR="00AE0D61" w:rsidRPr="00DD6692">
        <w:t>or Personal Care/Participation</w:t>
      </w:r>
    </w:p>
    <w:p w14:paraId="51041DC3" w14:textId="77777777" w:rsidR="0048768C" w:rsidRPr="00DD6692" w:rsidRDefault="00F55A39" w:rsidP="0048768C">
      <w:r w:rsidRPr="00DD6692">
        <w:t>The</w:t>
      </w:r>
      <w:r w:rsidR="00315545" w:rsidRPr="00DD6692">
        <w:t xml:space="preserve"> price limit for this support </w:t>
      </w:r>
      <w:r w:rsidR="00325407" w:rsidRPr="00DD6692">
        <w:t xml:space="preserve">item </w:t>
      </w:r>
      <w:r w:rsidR="00315545" w:rsidRPr="00DD6692">
        <w:t>is</w:t>
      </w:r>
      <w:r w:rsidRPr="00DD6692">
        <w:t xml:space="preserve"> 10 times the </w:t>
      </w:r>
      <w:r w:rsidR="0048768C" w:rsidRPr="00DD6692">
        <w:t xml:space="preserve">relevant </w:t>
      </w:r>
      <w:r w:rsidR="003D60DD">
        <w:t>DSW 1</w:t>
      </w:r>
      <w:r w:rsidRPr="00DD6692">
        <w:t xml:space="preserve"> </w:t>
      </w:r>
      <w:r w:rsidR="00325407" w:rsidRPr="00DD6692">
        <w:t xml:space="preserve">Weekday </w:t>
      </w:r>
      <w:r w:rsidR="00227E87">
        <w:t xml:space="preserve">Daytime </w:t>
      </w:r>
      <w:r w:rsidR="00AF1E61">
        <w:t>hourly price limit</w:t>
      </w:r>
      <w:r w:rsidR="00315545" w:rsidRPr="00DD6692">
        <w:t>.</w:t>
      </w:r>
    </w:p>
    <w:p w14:paraId="25F69D7B" w14:textId="77777777" w:rsidR="00AE0D61" w:rsidRPr="00DD6692" w:rsidRDefault="0076217E" w:rsidP="00293845">
      <w:pPr>
        <w:pStyle w:val="Style2"/>
        <w:ind w:left="284" w:hanging="284"/>
      </w:pPr>
      <w:r w:rsidRPr="00DD6692">
        <w:t>Short Term</w:t>
      </w:r>
      <w:r w:rsidR="00A73FA9" w:rsidRPr="00DD6692">
        <w:t xml:space="preserve"> Accommodati</w:t>
      </w:r>
      <w:r w:rsidRPr="00DD6692">
        <w:t>on and A</w:t>
      </w:r>
      <w:r w:rsidR="00AE0D61" w:rsidRPr="00DD6692">
        <w:t>ssistance (including</w:t>
      </w:r>
      <w:r w:rsidRPr="00DD6692">
        <w:t xml:space="preserve"> the </w:t>
      </w:r>
      <w:r w:rsidR="00AE0D61" w:rsidRPr="00DD6692">
        <w:t>respite</w:t>
      </w:r>
      <w:r w:rsidRPr="00DD6692">
        <w:t xml:space="preserve"> care</w:t>
      </w:r>
      <w:r w:rsidR="00AE0D61" w:rsidRPr="00DD6692">
        <w:t>)</w:t>
      </w:r>
    </w:p>
    <w:p w14:paraId="010430C8" w14:textId="77777777" w:rsidR="00093FC9" w:rsidRPr="00DD6692" w:rsidRDefault="00315545" w:rsidP="0076217E">
      <w:pPr>
        <w:rPr>
          <w:rFonts w:ascii="Arial" w:eastAsia="Calibri" w:hAnsi="Arial" w:cs="Arial"/>
          <w:szCs w:val="24"/>
        </w:rPr>
      </w:pPr>
      <w:r w:rsidRPr="00DD6692">
        <w:rPr>
          <w:rFonts w:ascii="Arial" w:eastAsia="Calibri" w:hAnsi="Arial" w:cs="Arial"/>
          <w:szCs w:val="24"/>
        </w:rPr>
        <w:t xml:space="preserve">The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w:t>
      </w:r>
      <w:r w:rsidR="00D54BD6" w:rsidRPr="00DD6692">
        <w:rPr>
          <w:rFonts w:ascii="Arial" w:eastAsia="Calibri" w:hAnsi="Arial" w:cs="Arial"/>
          <w:szCs w:val="24"/>
        </w:rPr>
        <w:t xml:space="preserve">each </w:t>
      </w:r>
      <w:proofErr w:type="gramStart"/>
      <w:r w:rsidR="00D54BD6" w:rsidRPr="00DD6692">
        <w:rPr>
          <w:rFonts w:ascii="Arial" w:eastAsia="Calibri" w:hAnsi="Arial" w:cs="Arial"/>
          <w:szCs w:val="24"/>
        </w:rPr>
        <w:t>1:n</w:t>
      </w:r>
      <w:proofErr w:type="gramEnd"/>
      <w:r w:rsidRPr="00DD6692">
        <w:rPr>
          <w:rFonts w:ascii="Arial" w:eastAsia="Calibri" w:hAnsi="Arial" w:cs="Arial"/>
          <w:szCs w:val="24"/>
        </w:rPr>
        <w:t xml:space="preserve"> </w:t>
      </w:r>
      <w:r w:rsidR="00D54BD6" w:rsidRPr="00DD6692">
        <w:rPr>
          <w:rFonts w:ascii="Arial" w:eastAsia="Calibri" w:hAnsi="Arial" w:cs="Arial"/>
          <w:szCs w:val="24"/>
        </w:rPr>
        <w:t>weekday support item is the sum of</w:t>
      </w:r>
      <w:r w:rsidR="00D12192" w:rsidRPr="00DD6692">
        <w:rPr>
          <w:rFonts w:ascii="Arial" w:eastAsia="Calibri" w:hAnsi="Arial" w:cs="Arial"/>
          <w:szCs w:val="24"/>
        </w:rPr>
        <w:t xml:space="preserve"> the following amounts</w:t>
      </w:r>
      <w:r w:rsidR="00A6686E">
        <w:rPr>
          <w:rFonts w:ascii="Arial" w:eastAsia="Calibri" w:hAnsi="Arial" w:cs="Arial"/>
          <w:szCs w:val="24"/>
        </w:rPr>
        <w:t>, where n is the number of participants being supported by the worker</w:t>
      </w:r>
      <w:r w:rsidR="00D12192" w:rsidRPr="00DD6692">
        <w:rPr>
          <w:rFonts w:ascii="Arial" w:eastAsia="Calibri" w:hAnsi="Arial" w:cs="Arial"/>
          <w:szCs w:val="24"/>
        </w:rPr>
        <w:t>:</w:t>
      </w:r>
    </w:p>
    <w:p w14:paraId="18D02BDF" w14:textId="43C3D30E" w:rsidR="00103152" w:rsidRPr="00DD6692" w:rsidRDefault="00103152" w:rsidP="00093FC9">
      <w:pPr>
        <w:pStyle w:val="DotPoint"/>
      </w:pPr>
      <w:r w:rsidRPr="00DD6692">
        <w:rPr>
          <w:rFonts w:ascii="Arial" w:hAnsi="Arial" w:cs="Arial"/>
        </w:rPr>
        <w:t xml:space="preserve">The </w:t>
      </w:r>
      <w:proofErr w:type="gramStart"/>
      <w:r w:rsidRPr="00DD6692">
        <w:rPr>
          <w:rFonts w:ascii="Arial" w:hAnsi="Arial" w:cs="Arial"/>
        </w:rPr>
        <w:t>short term</w:t>
      </w:r>
      <w:proofErr w:type="gramEnd"/>
      <w:r w:rsidRPr="00DD6692">
        <w:rPr>
          <w:rFonts w:ascii="Arial" w:hAnsi="Arial" w:cs="Arial"/>
        </w:rPr>
        <w:t xml:space="preserve">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9680D">
        <w:rPr>
          <w:rFonts w:ascii="Arial" w:hAnsi="Arial" w:cs="Arial"/>
          <w:noProof/>
        </w:rPr>
        <w:t>10</w:t>
      </w:r>
      <w:r w:rsidRPr="00DD6692">
        <w:rPr>
          <w:rFonts w:ascii="Arial" w:hAnsi="Arial" w:cs="Arial"/>
        </w:rPr>
        <w:fldChar w:fldCharType="end"/>
      </w:r>
      <w:r w:rsidRPr="00DD6692">
        <w:rPr>
          <w:rFonts w:ascii="Arial" w:hAnsi="Arial" w:cs="Arial"/>
        </w:rPr>
        <w:t>);</w:t>
      </w:r>
    </w:p>
    <w:p w14:paraId="052FBADF" w14:textId="5B7C717E" w:rsidR="0076217E" w:rsidRPr="00DD6692" w:rsidRDefault="00103152" w:rsidP="00093FC9">
      <w:pPr>
        <w:pStyle w:val="DotPoint"/>
      </w:pPr>
      <w:r w:rsidRPr="00DD6692">
        <w:rPr>
          <w:rFonts w:ascii="Arial" w:hAnsi="Arial" w:cs="Arial"/>
        </w:rPr>
        <w:t xml:space="preserve">The </w:t>
      </w:r>
      <w:proofErr w:type="gramStart"/>
      <w:r w:rsidRPr="00DD6692">
        <w:rPr>
          <w:rFonts w:ascii="Arial" w:hAnsi="Arial" w:cs="Arial"/>
        </w:rPr>
        <w:t>short term</w:t>
      </w:r>
      <w:proofErr w:type="gramEnd"/>
      <w:r w:rsidRPr="00DD6692">
        <w:rPr>
          <w:rFonts w:ascii="Arial" w:hAnsi="Arial" w:cs="Arial"/>
        </w:rPr>
        <w:t xml:space="preserve">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9680D">
        <w:rPr>
          <w:rFonts w:ascii="Arial" w:hAnsi="Arial" w:cs="Arial"/>
          <w:noProof/>
        </w:rPr>
        <w:t>10</w:t>
      </w:r>
      <w:r w:rsidRPr="00DD6692">
        <w:rPr>
          <w:rFonts w:ascii="Arial" w:hAnsi="Arial" w:cs="Arial"/>
        </w:rPr>
        <w:fldChar w:fldCharType="end"/>
      </w:r>
      <w:r w:rsidRPr="00DD6692">
        <w:rPr>
          <w:rFonts w:ascii="Arial" w:hAnsi="Arial" w:cs="Arial"/>
        </w:rPr>
        <w:t>);</w:t>
      </w:r>
    </w:p>
    <w:p w14:paraId="1320A61D" w14:textId="77777777"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3D60DD">
        <w:t>DSW 2</w:t>
      </w:r>
      <w:r w:rsidR="00093FC9" w:rsidRPr="00DD6692">
        <w:t xml:space="preserve"> </w:t>
      </w:r>
      <w:r w:rsidR="00A6686E">
        <w:t xml:space="preserve">Weekday </w:t>
      </w:r>
      <w:r w:rsidR="00093FC9" w:rsidRPr="00DD6692">
        <w:t xml:space="preserve">Daytime </w:t>
      </w:r>
      <w:r w:rsidR="00D12192" w:rsidRPr="00DD6692">
        <w:t>hourly price limit</w:t>
      </w:r>
      <w:r w:rsidR="00093FC9" w:rsidRPr="00DD6692">
        <w:t>;</w:t>
      </w:r>
    </w:p>
    <w:p w14:paraId="66915EFE" w14:textId="77777777"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3D60DD">
        <w:t>DSW 2</w:t>
      </w:r>
      <w:r w:rsidR="00093FC9" w:rsidRPr="00DD6692">
        <w:t xml:space="preserve"> Weekday Evening </w:t>
      </w:r>
      <w:r w:rsidR="00D12192" w:rsidRPr="00DD6692">
        <w:t>hourly price limit</w:t>
      </w:r>
      <w:r w:rsidR="00093FC9" w:rsidRPr="00DD6692">
        <w:t>;</w:t>
      </w:r>
    </w:p>
    <w:p w14:paraId="71F61E29" w14:textId="77777777"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3D60DD">
        <w:t>DSW 2</w:t>
      </w:r>
      <w:r w:rsidR="00093FC9" w:rsidRPr="00DD6692">
        <w:t xml:space="preserve"> Weekday Night </w:t>
      </w:r>
      <w:r w:rsidR="00D12192" w:rsidRPr="00DD6692">
        <w:t>hourly price limit</w:t>
      </w:r>
      <w:r w:rsidR="00093FC9" w:rsidRPr="00DD6692">
        <w:t>.</w:t>
      </w:r>
    </w:p>
    <w:p w14:paraId="09EFF200" w14:textId="77777777"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E2EEA">
        <w:rPr>
          <w:rFonts w:ascii="Arial" w:eastAsia="Calibri" w:hAnsi="Arial" w:cs="Arial"/>
          <w:szCs w:val="24"/>
        </w:rPr>
        <w:t>2022-23</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each </w:t>
      </w:r>
      <w:proofErr w:type="gramStart"/>
      <w:r w:rsidRPr="00DD6692">
        <w:rPr>
          <w:rFonts w:ascii="Arial" w:eastAsia="Calibri" w:hAnsi="Arial" w:cs="Arial"/>
          <w:szCs w:val="24"/>
        </w:rPr>
        <w:t>1:n</w:t>
      </w:r>
      <w:proofErr w:type="gramEnd"/>
      <w:r w:rsidRPr="00DD6692">
        <w:rPr>
          <w:rFonts w:ascii="Arial" w:eastAsia="Calibri" w:hAnsi="Arial" w:cs="Arial"/>
          <w:szCs w:val="24"/>
        </w:rPr>
        <w:t xml:space="preserve"> Saturday support item is the sum of</w:t>
      </w:r>
      <w:r w:rsidR="00D12192" w:rsidRPr="00DD6692">
        <w:rPr>
          <w:rFonts w:ascii="Arial" w:eastAsia="Calibri" w:hAnsi="Arial" w:cs="Arial"/>
          <w:szCs w:val="24"/>
        </w:rPr>
        <w:t xml:space="preserve"> the following amounts:</w:t>
      </w:r>
    </w:p>
    <w:p w14:paraId="55239B14" w14:textId="31DC1AB0" w:rsidR="00103152" w:rsidRPr="00DD6692" w:rsidRDefault="00103152" w:rsidP="00103152">
      <w:pPr>
        <w:pStyle w:val="DotPoint"/>
      </w:pPr>
      <w:r w:rsidRPr="00DD6692">
        <w:rPr>
          <w:rFonts w:ascii="Arial" w:hAnsi="Arial" w:cs="Arial"/>
        </w:rPr>
        <w:t xml:space="preserve">The </w:t>
      </w:r>
      <w:proofErr w:type="gramStart"/>
      <w:r w:rsidRPr="00DD6692">
        <w:rPr>
          <w:rFonts w:ascii="Arial" w:hAnsi="Arial" w:cs="Arial"/>
        </w:rPr>
        <w:t>short term</w:t>
      </w:r>
      <w:proofErr w:type="gramEnd"/>
      <w:r w:rsidRPr="00DD6692">
        <w:rPr>
          <w:rFonts w:ascii="Arial" w:hAnsi="Arial" w:cs="Arial"/>
        </w:rPr>
        <w:t xml:space="preserve">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9680D">
        <w:rPr>
          <w:rFonts w:ascii="Arial" w:hAnsi="Arial" w:cs="Arial"/>
          <w:noProof/>
        </w:rPr>
        <w:t>10</w:t>
      </w:r>
      <w:r w:rsidRPr="00DD6692">
        <w:rPr>
          <w:rFonts w:ascii="Arial" w:hAnsi="Arial" w:cs="Arial"/>
        </w:rPr>
        <w:fldChar w:fldCharType="end"/>
      </w:r>
      <w:r w:rsidRPr="00DD6692">
        <w:rPr>
          <w:rFonts w:ascii="Arial" w:hAnsi="Arial" w:cs="Arial"/>
        </w:rPr>
        <w:t>);</w:t>
      </w:r>
    </w:p>
    <w:p w14:paraId="52012721" w14:textId="5278EA47" w:rsidR="00103152" w:rsidRPr="00DD6692" w:rsidRDefault="00103152" w:rsidP="00103152">
      <w:pPr>
        <w:pStyle w:val="DotPoint"/>
      </w:pPr>
      <w:r w:rsidRPr="00DD6692">
        <w:rPr>
          <w:rFonts w:ascii="Arial" w:hAnsi="Arial" w:cs="Arial"/>
        </w:rPr>
        <w:t xml:space="preserve">The </w:t>
      </w:r>
      <w:proofErr w:type="gramStart"/>
      <w:r w:rsidRPr="00DD6692">
        <w:rPr>
          <w:rFonts w:ascii="Arial" w:hAnsi="Arial" w:cs="Arial"/>
        </w:rPr>
        <w:t>short term</w:t>
      </w:r>
      <w:proofErr w:type="gramEnd"/>
      <w:r w:rsidRPr="00DD6692">
        <w:rPr>
          <w:rFonts w:ascii="Arial" w:hAnsi="Arial" w:cs="Arial"/>
        </w:rPr>
        <w:t xml:space="preserve">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9680D">
        <w:rPr>
          <w:rFonts w:ascii="Arial" w:hAnsi="Arial" w:cs="Arial"/>
          <w:noProof/>
        </w:rPr>
        <w:t>10</w:t>
      </w:r>
      <w:r w:rsidRPr="00DD6692">
        <w:rPr>
          <w:rFonts w:ascii="Arial" w:hAnsi="Arial" w:cs="Arial"/>
        </w:rPr>
        <w:fldChar w:fldCharType="end"/>
      </w:r>
      <w:r w:rsidRPr="00DD6692">
        <w:rPr>
          <w:rFonts w:ascii="Arial" w:hAnsi="Arial" w:cs="Arial"/>
        </w:rPr>
        <w:t>);</w:t>
      </w:r>
    </w:p>
    <w:p w14:paraId="1147072A" w14:textId="77777777" w:rsidR="00D54BD6" w:rsidRPr="00DD6692" w:rsidRDefault="00D54BD6" w:rsidP="00D54BD6">
      <w:pPr>
        <w:pStyle w:val="DotPoint"/>
      </w:pPr>
      <w:r w:rsidRPr="00DD6692">
        <w:t xml:space="preserve">1/n times 24 times the </w:t>
      </w:r>
      <w:r w:rsidR="0048768C" w:rsidRPr="00DD6692">
        <w:t xml:space="preserve">relevant </w:t>
      </w:r>
      <w:r w:rsidR="003D60DD">
        <w:t>DSW 2</w:t>
      </w:r>
      <w:r w:rsidRPr="00DD6692">
        <w:t xml:space="preserve"> Saturday </w:t>
      </w:r>
      <w:r w:rsidR="00D12192" w:rsidRPr="00DD6692">
        <w:t>hourly price limit</w:t>
      </w:r>
      <w:r w:rsidRPr="00DD6692">
        <w:t>.</w:t>
      </w:r>
    </w:p>
    <w:p w14:paraId="6CEA987E" w14:textId="77777777"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E2EEA">
        <w:rPr>
          <w:rFonts w:ascii="Arial" w:eastAsia="Calibri" w:hAnsi="Arial" w:cs="Arial"/>
          <w:szCs w:val="24"/>
        </w:rPr>
        <w:t>2022-23</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each </w:t>
      </w:r>
      <w:proofErr w:type="gramStart"/>
      <w:r w:rsidRPr="00DD6692">
        <w:rPr>
          <w:rFonts w:ascii="Arial" w:eastAsia="Calibri" w:hAnsi="Arial" w:cs="Arial"/>
          <w:szCs w:val="24"/>
        </w:rPr>
        <w:t>1:n</w:t>
      </w:r>
      <w:proofErr w:type="gramEnd"/>
      <w:r w:rsidRPr="00DD6692">
        <w:rPr>
          <w:rFonts w:ascii="Arial" w:eastAsia="Calibri" w:hAnsi="Arial" w:cs="Arial"/>
          <w:szCs w:val="24"/>
        </w:rPr>
        <w:t xml:space="preserve"> Sunday support item is the sum of</w:t>
      </w:r>
      <w:r w:rsidR="00D12192" w:rsidRPr="00DD6692">
        <w:rPr>
          <w:rFonts w:ascii="Arial" w:eastAsia="Calibri" w:hAnsi="Arial" w:cs="Arial"/>
          <w:szCs w:val="24"/>
        </w:rPr>
        <w:t xml:space="preserve"> the following amounts:</w:t>
      </w:r>
    </w:p>
    <w:p w14:paraId="7EE9097D" w14:textId="0EA1D0D9" w:rsidR="00103152" w:rsidRPr="00DD6692" w:rsidRDefault="00103152" w:rsidP="00103152">
      <w:pPr>
        <w:pStyle w:val="DotPoint"/>
      </w:pPr>
      <w:r w:rsidRPr="00DD6692">
        <w:rPr>
          <w:rFonts w:ascii="Arial" w:hAnsi="Arial" w:cs="Arial"/>
        </w:rPr>
        <w:t xml:space="preserve">The </w:t>
      </w:r>
      <w:proofErr w:type="gramStart"/>
      <w:r w:rsidRPr="00DD6692">
        <w:rPr>
          <w:rFonts w:ascii="Arial" w:hAnsi="Arial" w:cs="Arial"/>
        </w:rPr>
        <w:t>short term</w:t>
      </w:r>
      <w:proofErr w:type="gramEnd"/>
      <w:r w:rsidRPr="00DD6692">
        <w:rPr>
          <w:rFonts w:ascii="Arial" w:hAnsi="Arial" w:cs="Arial"/>
        </w:rPr>
        <w:t xml:space="preserve">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9680D">
        <w:rPr>
          <w:rFonts w:ascii="Arial" w:hAnsi="Arial" w:cs="Arial"/>
          <w:noProof/>
        </w:rPr>
        <w:t>10</w:t>
      </w:r>
      <w:r w:rsidRPr="00DD6692">
        <w:rPr>
          <w:rFonts w:ascii="Arial" w:hAnsi="Arial" w:cs="Arial"/>
        </w:rPr>
        <w:fldChar w:fldCharType="end"/>
      </w:r>
      <w:r w:rsidRPr="00DD6692">
        <w:rPr>
          <w:rFonts w:ascii="Arial" w:hAnsi="Arial" w:cs="Arial"/>
        </w:rPr>
        <w:t>);</w:t>
      </w:r>
    </w:p>
    <w:p w14:paraId="4D1DFA05" w14:textId="578BACAD" w:rsidR="00103152" w:rsidRPr="00DD6692" w:rsidRDefault="00103152" w:rsidP="00103152">
      <w:pPr>
        <w:pStyle w:val="DotPoint"/>
      </w:pPr>
      <w:r w:rsidRPr="00DD6692">
        <w:rPr>
          <w:rFonts w:ascii="Arial" w:hAnsi="Arial" w:cs="Arial"/>
        </w:rPr>
        <w:t xml:space="preserve">The </w:t>
      </w:r>
      <w:proofErr w:type="gramStart"/>
      <w:r w:rsidRPr="00DD6692">
        <w:rPr>
          <w:rFonts w:ascii="Arial" w:hAnsi="Arial" w:cs="Arial"/>
        </w:rPr>
        <w:t>short term</w:t>
      </w:r>
      <w:proofErr w:type="gramEnd"/>
      <w:r w:rsidRPr="00DD6692">
        <w:rPr>
          <w:rFonts w:ascii="Arial" w:hAnsi="Arial" w:cs="Arial"/>
        </w:rPr>
        <w:t xml:space="preserve">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9680D">
        <w:rPr>
          <w:rFonts w:ascii="Arial" w:hAnsi="Arial" w:cs="Arial"/>
          <w:noProof/>
        </w:rPr>
        <w:t>10</w:t>
      </w:r>
      <w:r w:rsidRPr="00DD6692">
        <w:rPr>
          <w:rFonts w:ascii="Arial" w:hAnsi="Arial" w:cs="Arial"/>
        </w:rPr>
        <w:fldChar w:fldCharType="end"/>
      </w:r>
      <w:r w:rsidRPr="00DD6692">
        <w:rPr>
          <w:rFonts w:ascii="Arial" w:hAnsi="Arial" w:cs="Arial"/>
        </w:rPr>
        <w:t>);</w:t>
      </w:r>
    </w:p>
    <w:p w14:paraId="120D642A" w14:textId="77777777" w:rsidR="00D54BD6" w:rsidRPr="00DD6692" w:rsidRDefault="00D54BD6" w:rsidP="00D54BD6">
      <w:pPr>
        <w:pStyle w:val="DotPoint"/>
      </w:pPr>
      <w:r w:rsidRPr="00DD6692">
        <w:t xml:space="preserve">1/n times 24 times the </w:t>
      </w:r>
      <w:r w:rsidR="0048768C" w:rsidRPr="00DD6692">
        <w:t xml:space="preserve">relevant </w:t>
      </w:r>
      <w:r w:rsidR="003D60DD">
        <w:t>DSW 2</w:t>
      </w:r>
      <w:r w:rsidRPr="00DD6692">
        <w:t xml:space="preserve"> Sunday </w:t>
      </w:r>
      <w:r w:rsidR="00D12192" w:rsidRPr="00DD6692">
        <w:t>hourly price limit</w:t>
      </w:r>
      <w:r w:rsidRPr="00DD6692">
        <w:t>.</w:t>
      </w:r>
    </w:p>
    <w:p w14:paraId="26C86AA3" w14:textId="77777777"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E2EEA">
        <w:rPr>
          <w:rFonts w:ascii="Arial" w:eastAsia="Calibri" w:hAnsi="Arial" w:cs="Arial"/>
          <w:szCs w:val="24"/>
        </w:rPr>
        <w:t>2022-23</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each </w:t>
      </w:r>
      <w:proofErr w:type="gramStart"/>
      <w:r w:rsidRPr="00DD6692">
        <w:rPr>
          <w:rFonts w:ascii="Arial" w:eastAsia="Calibri" w:hAnsi="Arial" w:cs="Arial"/>
          <w:szCs w:val="24"/>
        </w:rPr>
        <w:t>1:n</w:t>
      </w:r>
      <w:proofErr w:type="gramEnd"/>
      <w:r w:rsidRPr="00DD6692">
        <w:rPr>
          <w:rFonts w:ascii="Arial" w:eastAsia="Calibri" w:hAnsi="Arial" w:cs="Arial"/>
          <w:szCs w:val="24"/>
        </w:rPr>
        <w:t xml:space="preserve"> Public Holiday support item is the sum of</w:t>
      </w:r>
      <w:r w:rsidR="00D12192" w:rsidRPr="00DD6692">
        <w:rPr>
          <w:rFonts w:ascii="Arial" w:eastAsia="Calibri" w:hAnsi="Arial" w:cs="Arial"/>
          <w:szCs w:val="24"/>
        </w:rPr>
        <w:t xml:space="preserve"> the following amounts:</w:t>
      </w:r>
    </w:p>
    <w:p w14:paraId="71AFBEB6" w14:textId="6A4114D9" w:rsidR="00103152" w:rsidRPr="00DD6692" w:rsidRDefault="00103152" w:rsidP="00103152">
      <w:pPr>
        <w:pStyle w:val="DotPoint"/>
      </w:pPr>
      <w:r w:rsidRPr="00DD6692">
        <w:rPr>
          <w:rFonts w:ascii="Arial" w:hAnsi="Arial" w:cs="Arial"/>
        </w:rPr>
        <w:t xml:space="preserve">The </w:t>
      </w:r>
      <w:proofErr w:type="gramStart"/>
      <w:r w:rsidRPr="00DD6692">
        <w:rPr>
          <w:rFonts w:ascii="Arial" w:hAnsi="Arial" w:cs="Arial"/>
        </w:rPr>
        <w:t>short term</w:t>
      </w:r>
      <w:proofErr w:type="gramEnd"/>
      <w:r w:rsidRPr="00DD6692">
        <w:rPr>
          <w:rFonts w:ascii="Arial" w:hAnsi="Arial" w:cs="Arial"/>
        </w:rPr>
        <w:t xml:space="preserve">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9680D">
        <w:rPr>
          <w:rFonts w:ascii="Arial" w:hAnsi="Arial" w:cs="Arial"/>
          <w:noProof/>
        </w:rPr>
        <w:t>10</w:t>
      </w:r>
      <w:r w:rsidRPr="00DD6692">
        <w:rPr>
          <w:rFonts w:ascii="Arial" w:hAnsi="Arial" w:cs="Arial"/>
        </w:rPr>
        <w:fldChar w:fldCharType="end"/>
      </w:r>
      <w:r w:rsidRPr="00DD6692">
        <w:rPr>
          <w:rFonts w:ascii="Arial" w:hAnsi="Arial" w:cs="Arial"/>
        </w:rPr>
        <w:t>);</w:t>
      </w:r>
    </w:p>
    <w:p w14:paraId="7E34419A" w14:textId="1BEB2CBA" w:rsidR="00103152" w:rsidRPr="00DD6692" w:rsidRDefault="00103152" w:rsidP="00103152">
      <w:pPr>
        <w:pStyle w:val="DotPoint"/>
      </w:pPr>
      <w:r w:rsidRPr="00DD6692">
        <w:rPr>
          <w:rFonts w:ascii="Arial" w:hAnsi="Arial" w:cs="Arial"/>
        </w:rPr>
        <w:lastRenderedPageBreak/>
        <w:t xml:space="preserve">The </w:t>
      </w:r>
      <w:proofErr w:type="gramStart"/>
      <w:r w:rsidRPr="00DD6692">
        <w:rPr>
          <w:rFonts w:ascii="Arial" w:hAnsi="Arial" w:cs="Arial"/>
        </w:rPr>
        <w:t>short term</w:t>
      </w:r>
      <w:proofErr w:type="gramEnd"/>
      <w:r w:rsidRPr="00DD6692">
        <w:rPr>
          <w:rFonts w:ascii="Arial" w:hAnsi="Arial" w:cs="Arial"/>
        </w:rPr>
        <w:t xml:space="preserve">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89680D">
        <w:rPr>
          <w:rFonts w:ascii="Arial" w:hAnsi="Arial" w:cs="Arial"/>
          <w:noProof/>
        </w:rPr>
        <w:t>10</w:t>
      </w:r>
      <w:r w:rsidRPr="00DD6692">
        <w:rPr>
          <w:rFonts w:ascii="Arial" w:hAnsi="Arial" w:cs="Arial"/>
        </w:rPr>
        <w:fldChar w:fldCharType="end"/>
      </w:r>
      <w:r w:rsidRPr="00DD6692">
        <w:rPr>
          <w:rFonts w:ascii="Arial" w:hAnsi="Arial" w:cs="Arial"/>
        </w:rPr>
        <w:t>);</w:t>
      </w:r>
    </w:p>
    <w:p w14:paraId="35C5A9F5" w14:textId="77777777" w:rsidR="00D54BD6" w:rsidRPr="00DD6692" w:rsidRDefault="00D54BD6" w:rsidP="00D54BD6">
      <w:pPr>
        <w:pStyle w:val="DotPoint"/>
      </w:pPr>
      <w:r w:rsidRPr="00DD6692">
        <w:t xml:space="preserve">1/n times 24 times the </w:t>
      </w:r>
      <w:r w:rsidR="0048768C" w:rsidRPr="00DD6692">
        <w:t xml:space="preserve">relevant </w:t>
      </w:r>
      <w:r w:rsidR="003D60DD">
        <w:t>DSW 2</w:t>
      </w:r>
      <w:r w:rsidRPr="00DD6692">
        <w:t xml:space="preserve"> Public Holiday </w:t>
      </w:r>
      <w:r w:rsidR="00D12192" w:rsidRPr="00DD6692">
        <w:t>hourly price limit</w:t>
      </w:r>
      <w:r w:rsidRPr="00DD6692">
        <w:t>.</w:t>
      </w:r>
    </w:p>
    <w:p w14:paraId="7B15DCF7" w14:textId="77777777" w:rsidR="00AE0D61" w:rsidRPr="00DD6692" w:rsidRDefault="00AE0D61" w:rsidP="00293845">
      <w:pPr>
        <w:pStyle w:val="Style2"/>
        <w:ind w:left="284" w:hanging="284"/>
      </w:pPr>
      <w:r w:rsidRPr="00DD6692">
        <w:t>Group Activities</w:t>
      </w:r>
      <w:r w:rsidR="00093FC9" w:rsidRPr="00DD6692">
        <w:t xml:space="preserve"> (Transitional Arrangement)</w:t>
      </w:r>
    </w:p>
    <w:p w14:paraId="10CADC14" w14:textId="77777777" w:rsidR="00093FC9" w:rsidRPr="00DD6692" w:rsidRDefault="00093FC9" w:rsidP="00093FC9">
      <w:r w:rsidRPr="00DD6692">
        <w:t>The price limit</w:t>
      </w:r>
      <w:r w:rsidR="00C47581" w:rsidRPr="00DD6692">
        <w:t>s</w:t>
      </w:r>
      <w:r w:rsidRPr="00DD6692">
        <w:t xml:space="preserve"> for community-based group supports apply to each hour of support and are based on the </w:t>
      </w:r>
      <w:r w:rsidR="003F7E51">
        <w:t xml:space="preserve">hourly </w:t>
      </w:r>
      <w:r w:rsidRPr="00DD6692">
        <w:t>price limit</w:t>
      </w:r>
      <w:r w:rsidR="00C47581" w:rsidRPr="00DD6692">
        <w:t>s</w:t>
      </w:r>
      <w:r w:rsidRPr="00DD6692">
        <w:t xml:space="preserve"> of the relevant 1:1 community participation support (for each level of support and</w:t>
      </w:r>
      <w:r w:rsidR="00D54BD6" w:rsidRPr="00DD6692">
        <w:t xml:space="preserve"> time of day and day of week). If t</w:t>
      </w:r>
      <w:r w:rsidRPr="00DD6692">
        <w:t>he price limit for the relevant 1:1 support is P</w:t>
      </w:r>
      <w:r w:rsidR="003F0C60">
        <w:t xml:space="preserve">, and </w:t>
      </w:r>
      <w:r w:rsidR="003F7E51">
        <w:t>n is the number of participants being supported by the worker,</w:t>
      </w:r>
      <w:r w:rsidRPr="00DD6692">
        <w:t xml:space="preserve"> then the price limit P</w:t>
      </w:r>
      <w:r w:rsidRPr="00DD6692">
        <w:rPr>
          <w:vertAlign w:val="subscript"/>
        </w:rPr>
        <w:t>n</w:t>
      </w:r>
      <w:r w:rsidRPr="00DD6692">
        <w:t xml:space="preserve"> for the </w:t>
      </w:r>
      <w:proofErr w:type="gramStart"/>
      <w:r w:rsidRPr="00DD6692">
        <w:t>1:n</w:t>
      </w:r>
      <w:proofErr w:type="gramEnd"/>
      <w:r w:rsidRPr="00DD6692">
        <w:t xml:space="preserve"> community based support is given by the following formulae:</w:t>
      </w:r>
    </w:p>
    <w:p w14:paraId="5169B7EB" w14:textId="77777777" w:rsidR="00093FC9" w:rsidRPr="00DD6692" w:rsidRDefault="00A82DE2" w:rsidP="00093FC9">
      <w:pPr>
        <w:jc w:val="center"/>
      </w:pPr>
      <m:oMathPara>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n-1</m:t>
                  </m:r>
                </m:e>
              </m:d>
              <m:r>
                <w:rPr>
                  <w:rFonts w:ascii="Cambria Math" w:hAnsi="Cambria Math"/>
                </w:rPr>
                <m:t>×0.12×P</m:t>
              </m:r>
            </m:num>
            <m:den>
              <m:r>
                <w:rPr>
                  <w:rFonts w:ascii="Cambria Math" w:hAnsi="Cambria Math"/>
                </w:rPr>
                <m:t>n</m:t>
              </m:r>
            </m:den>
          </m:f>
        </m:oMath>
      </m:oMathPara>
    </w:p>
    <w:p w14:paraId="5FC1853D" w14:textId="77777777" w:rsidR="00093FC9" w:rsidRPr="00DD6692" w:rsidRDefault="00093FC9" w:rsidP="00093FC9">
      <w:r w:rsidRPr="00DD6692">
        <w:t xml:space="preserve">For each additional person in the group (after the first) an additional 12% of the 1:1 </w:t>
      </w:r>
      <w:r w:rsidR="003F7E51">
        <w:t xml:space="preserve">hourly </w:t>
      </w:r>
      <w:r w:rsidRPr="00DD6692">
        <w:t xml:space="preserve">price limit (essentially seven minutes) is added to the hourly </w:t>
      </w:r>
      <w:r w:rsidR="00D54BD6" w:rsidRPr="00DD6692">
        <w:t>price limit.</w:t>
      </w:r>
    </w:p>
    <w:p w14:paraId="1E217152" w14:textId="607CF179" w:rsidR="00496882" w:rsidRPr="00DD6692" w:rsidRDefault="00093FC9" w:rsidP="00093FC9">
      <w:r w:rsidRPr="00DD6692">
        <w:t xml:space="preserve">The </w:t>
      </w:r>
      <w:r w:rsidR="00103152" w:rsidRPr="00DD6692">
        <w:t xml:space="preserve">hourly transitional </w:t>
      </w:r>
      <w:r w:rsidRPr="00DD6692">
        <w:t xml:space="preserve">price limit for </w:t>
      </w:r>
      <w:r w:rsidR="00103152" w:rsidRPr="00DD6692">
        <w:t>a centre-based group support is</w:t>
      </w:r>
      <w:r w:rsidRPr="00DD6692">
        <w:t xml:space="preserve"> calculated by adding </w:t>
      </w:r>
      <w:r w:rsidR="00103152" w:rsidRPr="00DD6692">
        <w:t xml:space="preserve">the hourly Centre Based Capital Amount (see page </w:t>
      </w:r>
      <w:r w:rsidR="00103152" w:rsidRPr="00DD6692">
        <w:fldChar w:fldCharType="begin"/>
      </w:r>
      <w:r w:rsidR="00103152" w:rsidRPr="00DD6692">
        <w:instrText xml:space="preserve"> PAGEREF _Ref75514832 \h </w:instrText>
      </w:r>
      <w:r w:rsidR="00103152" w:rsidRPr="00DD6692">
        <w:fldChar w:fldCharType="separate"/>
      </w:r>
      <w:r w:rsidR="0089680D">
        <w:rPr>
          <w:noProof/>
        </w:rPr>
        <w:t>10</w:t>
      </w:r>
      <w:r w:rsidR="00103152" w:rsidRPr="00DD6692">
        <w:fldChar w:fldCharType="end"/>
      </w:r>
      <w:r w:rsidR="00103152" w:rsidRPr="00DD6692">
        <w:t xml:space="preserve">) </w:t>
      </w:r>
      <w:r w:rsidRPr="00DD6692">
        <w:t xml:space="preserve">to the </w:t>
      </w:r>
      <w:r w:rsidR="00103152" w:rsidRPr="00DD6692">
        <w:t xml:space="preserve">hourly transitional price limit for the </w:t>
      </w:r>
      <w:r w:rsidRPr="00DD6692">
        <w:t xml:space="preserve">relevant </w:t>
      </w:r>
      <w:proofErr w:type="gramStart"/>
      <w:r w:rsidRPr="00DD6692">
        <w:t>community</w:t>
      </w:r>
      <w:r w:rsidR="00103152" w:rsidRPr="00DD6692">
        <w:t xml:space="preserve"> based</w:t>
      </w:r>
      <w:proofErr w:type="gramEnd"/>
      <w:r w:rsidR="00103152" w:rsidRPr="00DD6692">
        <w:t xml:space="preserve"> group support.</w:t>
      </w:r>
    </w:p>
    <w:sectPr w:rsidR="00496882" w:rsidRPr="00DD6692" w:rsidSect="00DC0A5C">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DF114" w14:textId="77777777" w:rsidR="00A82DE2" w:rsidRDefault="00A82DE2" w:rsidP="001A3E36">
      <w:r>
        <w:separator/>
      </w:r>
    </w:p>
    <w:p w14:paraId="5EB69216" w14:textId="77777777" w:rsidR="00A82DE2" w:rsidRDefault="00A82DE2" w:rsidP="001A3E36"/>
  </w:endnote>
  <w:endnote w:type="continuationSeparator" w:id="0">
    <w:p w14:paraId="6D0C34A2" w14:textId="77777777" w:rsidR="00A82DE2" w:rsidRDefault="00A82DE2" w:rsidP="001A3E36">
      <w:r>
        <w:continuationSeparator/>
      </w:r>
    </w:p>
    <w:p w14:paraId="084C0CF0" w14:textId="77777777" w:rsidR="00A82DE2" w:rsidRDefault="00A82DE2" w:rsidP="001A3E36"/>
  </w:endnote>
  <w:endnote w:type="continuationNotice" w:id="1">
    <w:p w14:paraId="504E48B0" w14:textId="77777777" w:rsidR="00A82DE2" w:rsidRDefault="00A82D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20100"/>
      <w:docPartObj>
        <w:docPartGallery w:val="Page Numbers (Bottom of Page)"/>
        <w:docPartUnique/>
      </w:docPartObj>
    </w:sdtPr>
    <w:sdtEndPr>
      <w:rPr>
        <w:noProof/>
      </w:rPr>
    </w:sdtEndPr>
    <w:sdtContent>
      <w:p w14:paraId="0609773C" w14:textId="77777777" w:rsidR="00963528" w:rsidRDefault="00963528" w:rsidP="00B658AF">
        <w:pPr>
          <w:pStyle w:val="Footer"/>
          <w:jc w:val="center"/>
        </w:pPr>
        <w:r>
          <w:fldChar w:fldCharType="begin"/>
        </w:r>
        <w:r>
          <w:instrText xml:space="preserve"> PAGE   \* MERGEFORMAT </w:instrText>
        </w:r>
        <w:r>
          <w:fldChar w:fldCharType="separate"/>
        </w:r>
        <w:r w:rsidR="00DE5D9A">
          <w:rPr>
            <w:noProof/>
          </w:rPr>
          <w:t>23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856A" w14:textId="77777777" w:rsidR="00963528" w:rsidRDefault="00963528" w:rsidP="00EC73BF">
    <w:r w:rsidRPr="00321F81">
      <w:rPr>
        <w:noProof/>
        <w:lang w:eastAsia="en-AU"/>
      </w:rPr>
      <w:drawing>
        <wp:inline distT="0" distB="0" distL="0" distR="0" wp14:anchorId="646901E0" wp14:editId="2B79E1C4">
          <wp:extent cx="2275200" cy="540000"/>
          <wp:effectExtent l="0" t="0" r="0" b="0"/>
          <wp:docPr id="18" name="Picture 1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51E3" w14:textId="77777777" w:rsidR="00963528" w:rsidRPr="00D6031F" w:rsidRDefault="00963528"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DE5D9A">
      <w:rPr>
        <w:caps/>
        <w:noProof/>
      </w:rPr>
      <w:t>24</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FE3D" w14:textId="77777777" w:rsidR="00A82DE2" w:rsidRDefault="00A82DE2" w:rsidP="001A3E36">
      <w:r>
        <w:separator/>
      </w:r>
    </w:p>
  </w:footnote>
  <w:footnote w:type="continuationSeparator" w:id="0">
    <w:p w14:paraId="20A2C5FD" w14:textId="77777777" w:rsidR="00A82DE2" w:rsidRDefault="00A82DE2" w:rsidP="001A3E36">
      <w:r>
        <w:continuationSeparator/>
      </w:r>
    </w:p>
  </w:footnote>
  <w:footnote w:type="continuationNotice" w:id="1">
    <w:p w14:paraId="49E45147" w14:textId="77777777" w:rsidR="00A82DE2" w:rsidRDefault="00A82DE2">
      <w:pPr>
        <w:spacing w:before="0" w:after="0" w:line="240" w:lineRule="auto"/>
      </w:pPr>
    </w:p>
  </w:footnote>
  <w:footnote w:id="2">
    <w:p w14:paraId="7DD6EB8C" w14:textId="77777777" w:rsidR="00963528" w:rsidRDefault="00963528" w:rsidP="00920C59">
      <w:pPr>
        <w:pStyle w:val="FootnoteText"/>
      </w:pPr>
      <w:r>
        <w:rPr>
          <w:rStyle w:val="FootnoteReference"/>
        </w:rPr>
        <w:footnoteRef/>
      </w:r>
      <w:r>
        <w:t xml:space="preserve"> </w:t>
      </w:r>
      <w:r>
        <w:tab/>
        <w:t xml:space="preserve">The SCHADS Industry Award can be viewed </w:t>
      </w:r>
      <w:hyperlink r:id="rId1" w:history="1">
        <w:r w:rsidRPr="00CC1158">
          <w:rPr>
            <w:rStyle w:val="Hyperlink"/>
          </w:rPr>
          <w:t>here</w:t>
        </w:r>
      </w:hyperlink>
      <w:r>
        <w:t>.</w:t>
      </w:r>
    </w:p>
  </w:footnote>
  <w:footnote w:id="3">
    <w:p w14:paraId="391767C6" w14:textId="77777777" w:rsidR="00963528" w:rsidRDefault="00963528">
      <w:pPr>
        <w:pStyle w:val="FootnoteText"/>
      </w:pPr>
      <w:r>
        <w:rPr>
          <w:rStyle w:val="FootnoteReference"/>
        </w:rPr>
        <w:footnoteRef/>
      </w:r>
      <w:r>
        <w:t xml:space="preserve"> </w:t>
      </w:r>
      <w:r>
        <w:tab/>
        <w:t xml:space="preserve">SCHADS Industry Award: Clauses 10.4(b), 26 and 29.3. </w:t>
      </w:r>
    </w:p>
  </w:footnote>
  <w:footnote w:id="4">
    <w:p w14:paraId="51F4F1F7" w14:textId="77777777" w:rsidR="00963528" w:rsidRDefault="00963528">
      <w:pPr>
        <w:pStyle w:val="FootnoteText"/>
      </w:pPr>
      <w:r>
        <w:rPr>
          <w:rStyle w:val="FootnoteReference"/>
        </w:rPr>
        <w:footnoteRef/>
      </w:r>
      <w:r>
        <w:t xml:space="preserve"> </w:t>
      </w:r>
      <w:r>
        <w:tab/>
        <w:t>SCHADS Industry Award: Clause 25.1.</w:t>
      </w:r>
    </w:p>
  </w:footnote>
  <w:footnote w:id="5">
    <w:p w14:paraId="3CF3852B" w14:textId="77777777" w:rsidR="00963528" w:rsidRDefault="00963528" w:rsidP="0014173A">
      <w:pPr>
        <w:pStyle w:val="FootnoteText"/>
      </w:pPr>
      <w:r>
        <w:rPr>
          <w:rStyle w:val="FootnoteReference"/>
        </w:rPr>
        <w:footnoteRef/>
      </w:r>
      <w:r>
        <w:t xml:space="preserve"> </w:t>
      </w:r>
      <w:r>
        <w:tab/>
        <w:t xml:space="preserve">The National Employment Standards govern leave and several other conditions in Awards, and also may not be reduced by EBAs. </w:t>
      </w:r>
      <w:hyperlink r:id="rId2" w:history="1">
        <w:r w:rsidRPr="00E419AE">
          <w:rPr>
            <w:rStyle w:val="Hyperlink"/>
          </w:rPr>
          <w:t>https://www.fairwork.gov.au/employee-entitlements/national-employment-standards</w:t>
        </w:r>
      </w:hyperlink>
      <w:r>
        <w:t xml:space="preserve"> </w:t>
      </w:r>
    </w:p>
  </w:footnote>
  <w:footnote w:id="6">
    <w:p w14:paraId="6548A6CC" w14:textId="77777777" w:rsidR="00963528" w:rsidRPr="00B37370" w:rsidRDefault="00963528" w:rsidP="00AF55F4">
      <w:pPr>
        <w:pStyle w:val="FootnoteText"/>
      </w:pPr>
      <w:r>
        <w:rPr>
          <w:rStyle w:val="FootnoteReference"/>
        </w:rPr>
        <w:footnoteRef/>
      </w:r>
      <w:r>
        <w:t xml:space="preserve"> </w:t>
      </w:r>
      <w:r>
        <w:tab/>
      </w:r>
      <w:hyperlink r:id="rId3" w:history="1">
        <w:r w:rsidRPr="00E419AE">
          <w:rPr>
            <w:rStyle w:val="Hyperlink"/>
          </w:rPr>
          <w:t>https://www.fairwork.gov.au/leave/annual-leave</w:t>
        </w:r>
      </w:hyperlink>
    </w:p>
  </w:footnote>
  <w:footnote w:id="7">
    <w:p w14:paraId="2F33DAB2" w14:textId="77777777" w:rsidR="00963528" w:rsidRDefault="00963528" w:rsidP="00FE1BE2">
      <w:pPr>
        <w:pStyle w:val="FootnoteText"/>
      </w:pPr>
      <w:r>
        <w:rPr>
          <w:rStyle w:val="FootnoteReference"/>
        </w:rPr>
        <w:footnoteRef/>
      </w:r>
      <w:r>
        <w:t xml:space="preserve"> </w:t>
      </w:r>
      <w:r>
        <w:tab/>
      </w:r>
      <w:hyperlink r:id="rId4" w:history="1">
        <w:r w:rsidRPr="00E419AE">
          <w:rPr>
            <w:rStyle w:val="Hyperlink"/>
          </w:rPr>
          <w:t>https://www.fairwork.gov.au/leave/public-holidays</w:t>
        </w:r>
      </w:hyperlink>
      <w:r>
        <w:t xml:space="preserve"> </w:t>
      </w:r>
    </w:p>
  </w:footnote>
  <w:footnote w:id="8">
    <w:p w14:paraId="7359986E" w14:textId="77777777" w:rsidR="00963528" w:rsidRDefault="00963528" w:rsidP="00FF51FC">
      <w:pPr>
        <w:pStyle w:val="FootnoteText"/>
      </w:pPr>
      <w:r>
        <w:rPr>
          <w:rStyle w:val="FootnoteReference"/>
        </w:rPr>
        <w:footnoteRef/>
      </w:r>
      <w:r>
        <w:t xml:space="preserve"> </w:t>
      </w:r>
      <w:r>
        <w:tab/>
      </w:r>
      <w:hyperlink r:id="rId5" w:history="1">
        <w:r w:rsidRPr="00D842C6">
          <w:rPr>
            <w:rStyle w:val="Hyperlink"/>
          </w:rPr>
          <w:t>https://www.fairwork.gov.au/leave/sick-and-carers-leave/paid-sick-and-carers-leave</w:t>
        </w:r>
      </w:hyperlink>
      <w:r>
        <w:t xml:space="preserve"> </w:t>
      </w:r>
    </w:p>
    <w:p w14:paraId="4F39B5E3" w14:textId="77777777" w:rsidR="00963528" w:rsidRPr="00AF55F4" w:rsidRDefault="00963528" w:rsidP="006B0D9B">
      <w:pPr>
        <w:pStyle w:val="FootnoteText"/>
        <w:ind w:firstLine="0"/>
        <w:rPr>
          <w:color w:val="0000FF" w:themeColor="hyperlink"/>
          <w:u w:val="single"/>
        </w:rPr>
      </w:pPr>
      <w:r>
        <w:t>Note: The Cost Model assumes all workers utilise all of their personal leave entitlement each year even though some workers may not use their entitlement.</w:t>
      </w:r>
    </w:p>
  </w:footnote>
  <w:footnote w:id="9">
    <w:p w14:paraId="74039E1A" w14:textId="77777777" w:rsidR="00963528" w:rsidRDefault="00963528">
      <w:pPr>
        <w:pStyle w:val="FootnoteText"/>
      </w:pPr>
      <w:r>
        <w:rPr>
          <w:rStyle w:val="FootnoteReference"/>
        </w:rPr>
        <w:footnoteRef/>
      </w:r>
      <w:r>
        <w:t xml:space="preserve"> </w:t>
      </w:r>
      <w:r>
        <w:tab/>
      </w:r>
      <w:hyperlink r:id="rId6" w:history="1">
        <w:r w:rsidRPr="00E419AE">
          <w:rPr>
            <w:rStyle w:val="Hyperlink"/>
          </w:rPr>
          <w:t>https://www.fairwork.gov.au/leave/long-service-leave</w:t>
        </w:r>
      </w:hyperlink>
      <w:r>
        <w:t xml:space="preserve"> </w:t>
      </w:r>
    </w:p>
    <w:p w14:paraId="49D54714" w14:textId="77777777" w:rsidR="00963528" w:rsidRDefault="00963528" w:rsidP="006B0D9B">
      <w:pPr>
        <w:pStyle w:val="FootnoteText"/>
        <w:ind w:firstLine="0"/>
      </w:pPr>
      <w:r>
        <w:t>Note: The Cost Model assumes all workers qualify for LSL accruals and that all workers will eventually access their LSL entitlemen</w:t>
      </w:r>
      <w:r w:rsidRPr="008802C0">
        <w:t>t</w:t>
      </w:r>
      <w:r>
        <w:t>. This reflects the rollout of portable LSL schemes in some jurisdictions.</w:t>
      </w:r>
    </w:p>
  </w:footnote>
  <w:footnote w:id="10">
    <w:p w14:paraId="16149905" w14:textId="6AC1789A" w:rsidR="00963528" w:rsidRDefault="00963528" w:rsidP="0036394E">
      <w:pPr>
        <w:pStyle w:val="FootnoteText"/>
      </w:pPr>
      <w:r>
        <w:rPr>
          <w:rStyle w:val="FootnoteReference"/>
        </w:rPr>
        <w:footnoteRef/>
      </w:r>
      <w:r>
        <w:t xml:space="preserve"> </w:t>
      </w:r>
      <w:r>
        <w:tab/>
        <w:t xml:space="preserve">SCHADS </w:t>
      </w:r>
      <w:r w:rsidR="00CE2851">
        <w:t xml:space="preserve">Industry </w:t>
      </w:r>
      <w:r>
        <w:t>Award: Clause 31.3</w:t>
      </w:r>
    </w:p>
  </w:footnote>
  <w:footnote w:id="11">
    <w:p w14:paraId="2F3F049F" w14:textId="77777777" w:rsidR="00963528" w:rsidRDefault="00963528" w:rsidP="00FE1BE2">
      <w:pPr>
        <w:pStyle w:val="FootnoteText"/>
      </w:pPr>
      <w:r>
        <w:rPr>
          <w:rStyle w:val="FootnoteReference"/>
        </w:rPr>
        <w:footnoteRef/>
      </w:r>
      <w:r>
        <w:t xml:space="preserve"> </w:t>
      </w:r>
      <w:r>
        <w:tab/>
      </w:r>
      <w:hyperlink r:id="rId7" w:history="1">
        <w:r w:rsidRPr="00B34CE0">
          <w:rPr>
            <w:rStyle w:val="Hyperlink"/>
          </w:rPr>
          <w:t>https://www.ato.gov.au/rates/key-superannuation-rates-and-thresholds/?anchor=Superguaranteepercentage</w:t>
        </w:r>
      </w:hyperlink>
      <w:r>
        <w:t xml:space="preserve">  </w:t>
      </w:r>
    </w:p>
  </w:footnote>
  <w:footnote w:id="12">
    <w:p w14:paraId="1FA11D42" w14:textId="07188C82" w:rsidR="00963528" w:rsidRDefault="00963528" w:rsidP="00D54BD6">
      <w:pPr>
        <w:pStyle w:val="FootnoteText"/>
      </w:pPr>
      <w:r>
        <w:rPr>
          <w:rStyle w:val="FootnoteReference"/>
        </w:rPr>
        <w:footnoteRef/>
      </w:r>
      <w:r>
        <w:t xml:space="preserve"> </w:t>
      </w:r>
      <w:r>
        <w:tab/>
        <w:t xml:space="preserve">Calculated as 4.9% of the weekly minimum wage (before Equal Remuneration Order adjustment) </w:t>
      </w:r>
      <w:r w:rsidRPr="004C63FA">
        <w:t>for a Social and community services employee level 3 at pay point 3 in clause 15.3</w:t>
      </w:r>
      <w:r>
        <w:t xml:space="preserve"> of the SCHADS </w:t>
      </w:r>
      <w:r w:rsidR="00CE2851">
        <w:t xml:space="preserve">Industry </w:t>
      </w:r>
      <w:r>
        <w:t xml:space="preserve">Award. See Clause 25.7(d) of the SCHADS </w:t>
      </w:r>
      <w:r w:rsidR="00CE2851">
        <w:t xml:space="preserve">Industry </w:t>
      </w:r>
      <w: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84FF" w14:textId="77777777" w:rsidR="00963528" w:rsidRDefault="00963528">
    <w:pPr>
      <w:pStyle w:val="Header"/>
    </w:pPr>
    <w:r>
      <w:t>National Disability Insurance Scheme – Disability Support Worker Cost Model 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73026B"/>
    <w:multiLevelType w:val="hybridMultilevel"/>
    <w:tmpl w:val="842621B8"/>
    <w:lvl w:ilvl="0" w:tplc="DF56631C">
      <w:start w:val="1"/>
      <w:numFmt w:val="decimal"/>
      <w:pStyle w:val="Style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2E291239"/>
    <w:multiLevelType w:val="hybridMultilevel"/>
    <w:tmpl w:val="C62AC0AE"/>
    <w:lvl w:ilvl="0" w:tplc="A776DF44">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6" w15:restartNumberingAfterBreak="0">
    <w:nsid w:val="41872258"/>
    <w:multiLevelType w:val="hybridMultilevel"/>
    <w:tmpl w:val="9936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2F7766"/>
    <w:multiLevelType w:val="hybridMultilevel"/>
    <w:tmpl w:val="CD3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310874">
    <w:abstractNumId w:val="2"/>
  </w:num>
  <w:num w:numId="2" w16cid:durableId="2139059311">
    <w:abstractNumId w:val="3"/>
  </w:num>
  <w:num w:numId="3" w16cid:durableId="626543698">
    <w:abstractNumId w:val="7"/>
  </w:num>
  <w:num w:numId="4" w16cid:durableId="518159162">
    <w:abstractNumId w:val="0"/>
  </w:num>
  <w:num w:numId="5" w16cid:durableId="1493449602">
    <w:abstractNumId w:val="5"/>
  </w:num>
  <w:num w:numId="6" w16cid:durableId="664480083">
    <w:abstractNumId w:val="4"/>
  </w:num>
  <w:num w:numId="7" w16cid:durableId="856625128">
    <w:abstractNumId w:val="8"/>
  </w:num>
  <w:num w:numId="8" w16cid:durableId="186451316">
    <w:abstractNumId w:val="10"/>
  </w:num>
  <w:num w:numId="9" w16cid:durableId="1209101739">
    <w:abstractNumId w:val="6"/>
  </w:num>
  <w:num w:numId="10" w16cid:durableId="1479690474">
    <w:abstractNumId w:val="9"/>
  </w:num>
  <w:num w:numId="11" w16cid:durableId="46148470">
    <w:abstractNumId w:val="1"/>
  </w:num>
  <w:num w:numId="12" w16cid:durableId="1482652402">
    <w:abstractNumId w:val="1"/>
  </w:num>
  <w:num w:numId="13" w16cid:durableId="127208217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0890"/>
    <w:rsid w:val="00000E60"/>
    <w:rsid w:val="000011F0"/>
    <w:rsid w:val="00005261"/>
    <w:rsid w:val="000053F1"/>
    <w:rsid w:val="00005BD6"/>
    <w:rsid w:val="000111F9"/>
    <w:rsid w:val="000115F5"/>
    <w:rsid w:val="00011FD7"/>
    <w:rsid w:val="00012B87"/>
    <w:rsid w:val="00016CBE"/>
    <w:rsid w:val="0001758C"/>
    <w:rsid w:val="00017D16"/>
    <w:rsid w:val="00017EEA"/>
    <w:rsid w:val="0002143F"/>
    <w:rsid w:val="0002343F"/>
    <w:rsid w:val="00024FCC"/>
    <w:rsid w:val="00025C84"/>
    <w:rsid w:val="00026305"/>
    <w:rsid w:val="00030A07"/>
    <w:rsid w:val="00035F62"/>
    <w:rsid w:val="00037BA3"/>
    <w:rsid w:val="000420FF"/>
    <w:rsid w:val="00042DC8"/>
    <w:rsid w:val="0004301D"/>
    <w:rsid w:val="00043493"/>
    <w:rsid w:val="000457AF"/>
    <w:rsid w:val="00045E36"/>
    <w:rsid w:val="00050895"/>
    <w:rsid w:val="00052911"/>
    <w:rsid w:val="00053180"/>
    <w:rsid w:val="00053CEC"/>
    <w:rsid w:val="00057FD1"/>
    <w:rsid w:val="00060CE3"/>
    <w:rsid w:val="000656A0"/>
    <w:rsid w:val="00070702"/>
    <w:rsid w:val="000715A4"/>
    <w:rsid w:val="000761A9"/>
    <w:rsid w:val="00076BA5"/>
    <w:rsid w:val="000839DB"/>
    <w:rsid w:val="00087A9D"/>
    <w:rsid w:val="000902E3"/>
    <w:rsid w:val="00093FC9"/>
    <w:rsid w:val="000A2366"/>
    <w:rsid w:val="000A2638"/>
    <w:rsid w:val="000A6CAE"/>
    <w:rsid w:val="000A7431"/>
    <w:rsid w:val="000B394B"/>
    <w:rsid w:val="000B6D72"/>
    <w:rsid w:val="000C087B"/>
    <w:rsid w:val="000C3D04"/>
    <w:rsid w:val="000C698E"/>
    <w:rsid w:val="000C7183"/>
    <w:rsid w:val="000D0E60"/>
    <w:rsid w:val="000D2455"/>
    <w:rsid w:val="000D3BCB"/>
    <w:rsid w:val="000D4540"/>
    <w:rsid w:val="000D5076"/>
    <w:rsid w:val="000D50DB"/>
    <w:rsid w:val="000D57C3"/>
    <w:rsid w:val="000D6539"/>
    <w:rsid w:val="000E200F"/>
    <w:rsid w:val="000E226C"/>
    <w:rsid w:val="000E2409"/>
    <w:rsid w:val="000E5ED9"/>
    <w:rsid w:val="000F7D9D"/>
    <w:rsid w:val="0010057D"/>
    <w:rsid w:val="0010129E"/>
    <w:rsid w:val="00101B5E"/>
    <w:rsid w:val="00103152"/>
    <w:rsid w:val="00103848"/>
    <w:rsid w:val="00103BA7"/>
    <w:rsid w:val="001043F0"/>
    <w:rsid w:val="00105AD9"/>
    <w:rsid w:val="00107FB6"/>
    <w:rsid w:val="00111D09"/>
    <w:rsid w:val="00113587"/>
    <w:rsid w:val="00117BFB"/>
    <w:rsid w:val="0012098A"/>
    <w:rsid w:val="00122073"/>
    <w:rsid w:val="0012324E"/>
    <w:rsid w:val="00126873"/>
    <w:rsid w:val="001275EE"/>
    <w:rsid w:val="001318FE"/>
    <w:rsid w:val="00131D0B"/>
    <w:rsid w:val="00132831"/>
    <w:rsid w:val="00132ED6"/>
    <w:rsid w:val="00134D8A"/>
    <w:rsid w:val="00134E17"/>
    <w:rsid w:val="00134FE3"/>
    <w:rsid w:val="001367F7"/>
    <w:rsid w:val="0013780B"/>
    <w:rsid w:val="0014173A"/>
    <w:rsid w:val="00151262"/>
    <w:rsid w:val="00153B93"/>
    <w:rsid w:val="001566A0"/>
    <w:rsid w:val="00156892"/>
    <w:rsid w:val="00157584"/>
    <w:rsid w:val="0016033A"/>
    <w:rsid w:val="00160E79"/>
    <w:rsid w:val="00173163"/>
    <w:rsid w:val="0017700A"/>
    <w:rsid w:val="00180ECC"/>
    <w:rsid w:val="001811C7"/>
    <w:rsid w:val="0018225A"/>
    <w:rsid w:val="00182AC5"/>
    <w:rsid w:val="00183202"/>
    <w:rsid w:val="001868F2"/>
    <w:rsid w:val="00193342"/>
    <w:rsid w:val="00193C3F"/>
    <w:rsid w:val="00194075"/>
    <w:rsid w:val="001940E8"/>
    <w:rsid w:val="00194796"/>
    <w:rsid w:val="001A0ACB"/>
    <w:rsid w:val="001A1BE7"/>
    <w:rsid w:val="001A1E01"/>
    <w:rsid w:val="001A252A"/>
    <w:rsid w:val="001A2B22"/>
    <w:rsid w:val="001A3E36"/>
    <w:rsid w:val="001B3402"/>
    <w:rsid w:val="001B5415"/>
    <w:rsid w:val="001C00DA"/>
    <w:rsid w:val="001C0A85"/>
    <w:rsid w:val="001C17C6"/>
    <w:rsid w:val="001C3502"/>
    <w:rsid w:val="001C3DFD"/>
    <w:rsid w:val="001C5AAC"/>
    <w:rsid w:val="001C69AA"/>
    <w:rsid w:val="001D1F32"/>
    <w:rsid w:val="001D25F7"/>
    <w:rsid w:val="001D5AE6"/>
    <w:rsid w:val="001D5FE8"/>
    <w:rsid w:val="001D74BD"/>
    <w:rsid w:val="001E0CFC"/>
    <w:rsid w:val="001E16EB"/>
    <w:rsid w:val="001E3C31"/>
    <w:rsid w:val="001E4042"/>
    <w:rsid w:val="001E5445"/>
    <w:rsid w:val="001E630D"/>
    <w:rsid w:val="001E79CB"/>
    <w:rsid w:val="001F0BEB"/>
    <w:rsid w:val="001F1C0B"/>
    <w:rsid w:val="001F344D"/>
    <w:rsid w:val="001F4FEC"/>
    <w:rsid w:val="00203986"/>
    <w:rsid w:val="00203CE8"/>
    <w:rsid w:val="00211A14"/>
    <w:rsid w:val="002123D5"/>
    <w:rsid w:val="00212A26"/>
    <w:rsid w:val="00213FA8"/>
    <w:rsid w:val="0021541D"/>
    <w:rsid w:val="00216517"/>
    <w:rsid w:val="00222142"/>
    <w:rsid w:val="00222C61"/>
    <w:rsid w:val="002249AA"/>
    <w:rsid w:val="0022690C"/>
    <w:rsid w:val="00227122"/>
    <w:rsid w:val="00227974"/>
    <w:rsid w:val="00227E87"/>
    <w:rsid w:val="00231185"/>
    <w:rsid w:val="002325B2"/>
    <w:rsid w:val="00235C06"/>
    <w:rsid w:val="00242EFF"/>
    <w:rsid w:val="00243A88"/>
    <w:rsid w:val="00250068"/>
    <w:rsid w:val="002528F4"/>
    <w:rsid w:val="00252C50"/>
    <w:rsid w:val="002538B3"/>
    <w:rsid w:val="00256D49"/>
    <w:rsid w:val="0026100C"/>
    <w:rsid w:val="00265763"/>
    <w:rsid w:val="002671B4"/>
    <w:rsid w:val="0027277B"/>
    <w:rsid w:val="002728F5"/>
    <w:rsid w:val="00273D81"/>
    <w:rsid w:val="00274849"/>
    <w:rsid w:val="0027716F"/>
    <w:rsid w:val="0028091F"/>
    <w:rsid w:val="00281341"/>
    <w:rsid w:val="00281379"/>
    <w:rsid w:val="00281D8B"/>
    <w:rsid w:val="00281D98"/>
    <w:rsid w:val="00282305"/>
    <w:rsid w:val="00284467"/>
    <w:rsid w:val="00286F6C"/>
    <w:rsid w:val="002920FA"/>
    <w:rsid w:val="00293845"/>
    <w:rsid w:val="0029456A"/>
    <w:rsid w:val="00294FA5"/>
    <w:rsid w:val="00295F84"/>
    <w:rsid w:val="00296E4F"/>
    <w:rsid w:val="0029714F"/>
    <w:rsid w:val="002975F5"/>
    <w:rsid w:val="002A09F3"/>
    <w:rsid w:val="002A2A7C"/>
    <w:rsid w:val="002A43D6"/>
    <w:rsid w:val="002B2BFA"/>
    <w:rsid w:val="002B3572"/>
    <w:rsid w:val="002B3A3C"/>
    <w:rsid w:val="002B7DEB"/>
    <w:rsid w:val="002C0178"/>
    <w:rsid w:val="002C16A4"/>
    <w:rsid w:val="002C34F9"/>
    <w:rsid w:val="002C43DA"/>
    <w:rsid w:val="002C4FBF"/>
    <w:rsid w:val="002C5894"/>
    <w:rsid w:val="002D0679"/>
    <w:rsid w:val="002D27CA"/>
    <w:rsid w:val="002D57B9"/>
    <w:rsid w:val="002E06C9"/>
    <w:rsid w:val="002F0B06"/>
    <w:rsid w:val="002F3691"/>
    <w:rsid w:val="002F5E6F"/>
    <w:rsid w:val="00300746"/>
    <w:rsid w:val="003016CC"/>
    <w:rsid w:val="00307B48"/>
    <w:rsid w:val="00311E0C"/>
    <w:rsid w:val="00311F1C"/>
    <w:rsid w:val="0031313F"/>
    <w:rsid w:val="003133FF"/>
    <w:rsid w:val="003144D1"/>
    <w:rsid w:val="00315545"/>
    <w:rsid w:val="00316044"/>
    <w:rsid w:val="003165B5"/>
    <w:rsid w:val="00317C63"/>
    <w:rsid w:val="00321FEE"/>
    <w:rsid w:val="003235EF"/>
    <w:rsid w:val="00323BB7"/>
    <w:rsid w:val="00325407"/>
    <w:rsid w:val="00330F3A"/>
    <w:rsid w:val="00331660"/>
    <w:rsid w:val="00333DB2"/>
    <w:rsid w:val="00334E56"/>
    <w:rsid w:val="00334EDE"/>
    <w:rsid w:val="00335336"/>
    <w:rsid w:val="00335D44"/>
    <w:rsid w:val="00341C67"/>
    <w:rsid w:val="0034347A"/>
    <w:rsid w:val="00343C2F"/>
    <w:rsid w:val="00346819"/>
    <w:rsid w:val="0034691E"/>
    <w:rsid w:val="00350B2B"/>
    <w:rsid w:val="003515E4"/>
    <w:rsid w:val="0035218F"/>
    <w:rsid w:val="003526B1"/>
    <w:rsid w:val="00353A6B"/>
    <w:rsid w:val="00354903"/>
    <w:rsid w:val="003553A8"/>
    <w:rsid w:val="0035629B"/>
    <w:rsid w:val="0035693D"/>
    <w:rsid w:val="00360725"/>
    <w:rsid w:val="00361869"/>
    <w:rsid w:val="003634E2"/>
    <w:rsid w:val="0036394E"/>
    <w:rsid w:val="003659CD"/>
    <w:rsid w:val="0036674A"/>
    <w:rsid w:val="00366B51"/>
    <w:rsid w:val="003678D3"/>
    <w:rsid w:val="003737FD"/>
    <w:rsid w:val="00373C5D"/>
    <w:rsid w:val="00375409"/>
    <w:rsid w:val="003777EA"/>
    <w:rsid w:val="003803FB"/>
    <w:rsid w:val="00383C82"/>
    <w:rsid w:val="00384F8D"/>
    <w:rsid w:val="0038782D"/>
    <w:rsid w:val="00392D78"/>
    <w:rsid w:val="003948A4"/>
    <w:rsid w:val="003A07DB"/>
    <w:rsid w:val="003A0D95"/>
    <w:rsid w:val="003A1D59"/>
    <w:rsid w:val="003A1FE8"/>
    <w:rsid w:val="003A2214"/>
    <w:rsid w:val="003A3C03"/>
    <w:rsid w:val="003A4350"/>
    <w:rsid w:val="003A6AB7"/>
    <w:rsid w:val="003A7092"/>
    <w:rsid w:val="003B0D64"/>
    <w:rsid w:val="003B1D58"/>
    <w:rsid w:val="003B2BB8"/>
    <w:rsid w:val="003B47B6"/>
    <w:rsid w:val="003B4DED"/>
    <w:rsid w:val="003B5268"/>
    <w:rsid w:val="003B790E"/>
    <w:rsid w:val="003B7F9D"/>
    <w:rsid w:val="003C074F"/>
    <w:rsid w:val="003C1155"/>
    <w:rsid w:val="003C1502"/>
    <w:rsid w:val="003C1B62"/>
    <w:rsid w:val="003C2907"/>
    <w:rsid w:val="003C3A52"/>
    <w:rsid w:val="003C43E7"/>
    <w:rsid w:val="003C6B26"/>
    <w:rsid w:val="003C7AD9"/>
    <w:rsid w:val="003D05DD"/>
    <w:rsid w:val="003D34FF"/>
    <w:rsid w:val="003D48B2"/>
    <w:rsid w:val="003D50AF"/>
    <w:rsid w:val="003D60C0"/>
    <w:rsid w:val="003D60DD"/>
    <w:rsid w:val="003D652D"/>
    <w:rsid w:val="003E0214"/>
    <w:rsid w:val="003E391A"/>
    <w:rsid w:val="003F093B"/>
    <w:rsid w:val="003F0C60"/>
    <w:rsid w:val="003F4435"/>
    <w:rsid w:val="003F5987"/>
    <w:rsid w:val="003F7E51"/>
    <w:rsid w:val="0040062A"/>
    <w:rsid w:val="00402219"/>
    <w:rsid w:val="00404D70"/>
    <w:rsid w:val="0040640D"/>
    <w:rsid w:val="00412F59"/>
    <w:rsid w:val="00414AA0"/>
    <w:rsid w:val="0041520E"/>
    <w:rsid w:val="0041594E"/>
    <w:rsid w:val="00415CA1"/>
    <w:rsid w:val="004207CF"/>
    <w:rsid w:val="004211F3"/>
    <w:rsid w:val="004213C3"/>
    <w:rsid w:val="00422B5A"/>
    <w:rsid w:val="00430082"/>
    <w:rsid w:val="00431FB9"/>
    <w:rsid w:val="004328A1"/>
    <w:rsid w:val="00432D6D"/>
    <w:rsid w:val="00434951"/>
    <w:rsid w:val="00436C40"/>
    <w:rsid w:val="00436E11"/>
    <w:rsid w:val="0043700C"/>
    <w:rsid w:val="00440FC6"/>
    <w:rsid w:val="0044141A"/>
    <w:rsid w:val="004436FA"/>
    <w:rsid w:val="00444AB2"/>
    <w:rsid w:val="004453B7"/>
    <w:rsid w:val="00450016"/>
    <w:rsid w:val="0045355D"/>
    <w:rsid w:val="00453768"/>
    <w:rsid w:val="00453AC5"/>
    <w:rsid w:val="00453CCC"/>
    <w:rsid w:val="00454B67"/>
    <w:rsid w:val="00454D52"/>
    <w:rsid w:val="00455363"/>
    <w:rsid w:val="004562FC"/>
    <w:rsid w:val="00457C4B"/>
    <w:rsid w:val="00457D12"/>
    <w:rsid w:val="00461B64"/>
    <w:rsid w:val="004652EF"/>
    <w:rsid w:val="004667BC"/>
    <w:rsid w:val="00467491"/>
    <w:rsid w:val="00467E1D"/>
    <w:rsid w:val="004732EF"/>
    <w:rsid w:val="00473792"/>
    <w:rsid w:val="00476DC4"/>
    <w:rsid w:val="00480499"/>
    <w:rsid w:val="00481A9A"/>
    <w:rsid w:val="0048225E"/>
    <w:rsid w:val="00482EB9"/>
    <w:rsid w:val="004839BB"/>
    <w:rsid w:val="00484E13"/>
    <w:rsid w:val="00487391"/>
    <w:rsid w:val="0048768C"/>
    <w:rsid w:val="004915CA"/>
    <w:rsid w:val="00492831"/>
    <w:rsid w:val="00496615"/>
    <w:rsid w:val="00496882"/>
    <w:rsid w:val="00496B75"/>
    <w:rsid w:val="00496D32"/>
    <w:rsid w:val="004A2BAA"/>
    <w:rsid w:val="004A36F7"/>
    <w:rsid w:val="004A3801"/>
    <w:rsid w:val="004A3CCE"/>
    <w:rsid w:val="004A6DDD"/>
    <w:rsid w:val="004A7D18"/>
    <w:rsid w:val="004B1849"/>
    <w:rsid w:val="004B1917"/>
    <w:rsid w:val="004B52A3"/>
    <w:rsid w:val="004B54CA"/>
    <w:rsid w:val="004B650B"/>
    <w:rsid w:val="004C3476"/>
    <w:rsid w:val="004C3FE8"/>
    <w:rsid w:val="004C63FA"/>
    <w:rsid w:val="004C6B51"/>
    <w:rsid w:val="004C7A04"/>
    <w:rsid w:val="004C7C75"/>
    <w:rsid w:val="004D014C"/>
    <w:rsid w:val="004D32B5"/>
    <w:rsid w:val="004D4B16"/>
    <w:rsid w:val="004E034F"/>
    <w:rsid w:val="004E5923"/>
    <w:rsid w:val="004E5CBF"/>
    <w:rsid w:val="004E6680"/>
    <w:rsid w:val="004F4B63"/>
    <w:rsid w:val="005029C6"/>
    <w:rsid w:val="00502F6F"/>
    <w:rsid w:val="00503938"/>
    <w:rsid w:val="00506437"/>
    <w:rsid w:val="005075AD"/>
    <w:rsid w:val="0051301A"/>
    <w:rsid w:val="005147FD"/>
    <w:rsid w:val="005155E4"/>
    <w:rsid w:val="0051601C"/>
    <w:rsid w:val="00516B3A"/>
    <w:rsid w:val="00522F35"/>
    <w:rsid w:val="00523D6C"/>
    <w:rsid w:val="00525326"/>
    <w:rsid w:val="00526E03"/>
    <w:rsid w:val="005304DC"/>
    <w:rsid w:val="005312FC"/>
    <w:rsid w:val="005353A6"/>
    <w:rsid w:val="005359C6"/>
    <w:rsid w:val="00536B85"/>
    <w:rsid w:val="0054231F"/>
    <w:rsid w:val="0054371F"/>
    <w:rsid w:val="00544871"/>
    <w:rsid w:val="0055026A"/>
    <w:rsid w:val="005508C9"/>
    <w:rsid w:val="00551A7A"/>
    <w:rsid w:val="0056204F"/>
    <w:rsid w:val="00562E1D"/>
    <w:rsid w:val="0056347E"/>
    <w:rsid w:val="005708CC"/>
    <w:rsid w:val="00570D94"/>
    <w:rsid w:val="005711FA"/>
    <w:rsid w:val="0057211E"/>
    <w:rsid w:val="00574035"/>
    <w:rsid w:val="005759A6"/>
    <w:rsid w:val="00577DD6"/>
    <w:rsid w:val="00580C95"/>
    <w:rsid w:val="00583ABF"/>
    <w:rsid w:val="005850D1"/>
    <w:rsid w:val="00586A54"/>
    <w:rsid w:val="00594174"/>
    <w:rsid w:val="005961A7"/>
    <w:rsid w:val="005A0675"/>
    <w:rsid w:val="005A09DF"/>
    <w:rsid w:val="005A0CF6"/>
    <w:rsid w:val="005A5AF2"/>
    <w:rsid w:val="005A6E9A"/>
    <w:rsid w:val="005B1583"/>
    <w:rsid w:val="005B2AF1"/>
    <w:rsid w:val="005B59BE"/>
    <w:rsid w:val="005C08A0"/>
    <w:rsid w:val="005C0F99"/>
    <w:rsid w:val="005C3AA9"/>
    <w:rsid w:val="005C6B0E"/>
    <w:rsid w:val="005C6DDE"/>
    <w:rsid w:val="005D4B6A"/>
    <w:rsid w:val="005D7B54"/>
    <w:rsid w:val="005E02DF"/>
    <w:rsid w:val="005E1614"/>
    <w:rsid w:val="005E3643"/>
    <w:rsid w:val="005E528E"/>
    <w:rsid w:val="005E535E"/>
    <w:rsid w:val="005F02F1"/>
    <w:rsid w:val="005F03F4"/>
    <w:rsid w:val="005F077D"/>
    <w:rsid w:val="005F0E44"/>
    <w:rsid w:val="005F1C33"/>
    <w:rsid w:val="005F3019"/>
    <w:rsid w:val="005F34B2"/>
    <w:rsid w:val="005F512C"/>
    <w:rsid w:val="006005A2"/>
    <w:rsid w:val="006020DB"/>
    <w:rsid w:val="0060269A"/>
    <w:rsid w:val="006064CE"/>
    <w:rsid w:val="0060676C"/>
    <w:rsid w:val="0061193B"/>
    <w:rsid w:val="006140AB"/>
    <w:rsid w:val="00616A10"/>
    <w:rsid w:val="0061762C"/>
    <w:rsid w:val="00624DB2"/>
    <w:rsid w:val="0062548B"/>
    <w:rsid w:val="006258AE"/>
    <w:rsid w:val="00625FD5"/>
    <w:rsid w:val="00630DD8"/>
    <w:rsid w:val="00632495"/>
    <w:rsid w:val="006369F5"/>
    <w:rsid w:val="00637EC9"/>
    <w:rsid w:val="00642854"/>
    <w:rsid w:val="00643B2E"/>
    <w:rsid w:val="00644ECE"/>
    <w:rsid w:val="00647B4E"/>
    <w:rsid w:val="00651F14"/>
    <w:rsid w:val="0065258B"/>
    <w:rsid w:val="00652A8A"/>
    <w:rsid w:val="0066011B"/>
    <w:rsid w:val="00663892"/>
    <w:rsid w:val="00664AB5"/>
    <w:rsid w:val="00664E56"/>
    <w:rsid w:val="00671C19"/>
    <w:rsid w:val="006727E9"/>
    <w:rsid w:val="006738C5"/>
    <w:rsid w:val="006739C9"/>
    <w:rsid w:val="00674CF4"/>
    <w:rsid w:val="006763C1"/>
    <w:rsid w:val="00676BB7"/>
    <w:rsid w:val="00682083"/>
    <w:rsid w:val="006922DA"/>
    <w:rsid w:val="00692560"/>
    <w:rsid w:val="00692985"/>
    <w:rsid w:val="00692FB3"/>
    <w:rsid w:val="006946B1"/>
    <w:rsid w:val="00695F2F"/>
    <w:rsid w:val="006960EB"/>
    <w:rsid w:val="00696BEE"/>
    <w:rsid w:val="006A1CBF"/>
    <w:rsid w:val="006A299A"/>
    <w:rsid w:val="006A4CE7"/>
    <w:rsid w:val="006A4EAB"/>
    <w:rsid w:val="006A4FBA"/>
    <w:rsid w:val="006A50F1"/>
    <w:rsid w:val="006A5948"/>
    <w:rsid w:val="006B0D9B"/>
    <w:rsid w:val="006B0DEE"/>
    <w:rsid w:val="006B45E8"/>
    <w:rsid w:val="006B49D8"/>
    <w:rsid w:val="006B6DB5"/>
    <w:rsid w:val="006B7C7A"/>
    <w:rsid w:val="006C0F1A"/>
    <w:rsid w:val="006C2233"/>
    <w:rsid w:val="006C5E10"/>
    <w:rsid w:val="006D0769"/>
    <w:rsid w:val="006D08AA"/>
    <w:rsid w:val="006D2056"/>
    <w:rsid w:val="006D494E"/>
    <w:rsid w:val="006D644B"/>
    <w:rsid w:val="006D69A2"/>
    <w:rsid w:val="006E2A2E"/>
    <w:rsid w:val="006E5B49"/>
    <w:rsid w:val="006F41D5"/>
    <w:rsid w:val="006F5D46"/>
    <w:rsid w:val="00700019"/>
    <w:rsid w:val="007030B4"/>
    <w:rsid w:val="00704685"/>
    <w:rsid w:val="00706A34"/>
    <w:rsid w:val="00706AD8"/>
    <w:rsid w:val="00707064"/>
    <w:rsid w:val="007075DE"/>
    <w:rsid w:val="007109B8"/>
    <w:rsid w:val="00711713"/>
    <w:rsid w:val="00712BEE"/>
    <w:rsid w:val="00713C8A"/>
    <w:rsid w:val="00716124"/>
    <w:rsid w:val="00716C16"/>
    <w:rsid w:val="007177A6"/>
    <w:rsid w:val="007215E8"/>
    <w:rsid w:val="007219F1"/>
    <w:rsid w:val="00721D2F"/>
    <w:rsid w:val="007230A7"/>
    <w:rsid w:val="0072468E"/>
    <w:rsid w:val="007326B5"/>
    <w:rsid w:val="00733273"/>
    <w:rsid w:val="00733882"/>
    <w:rsid w:val="00733AB1"/>
    <w:rsid w:val="00735F60"/>
    <w:rsid w:val="00736E3A"/>
    <w:rsid w:val="007519CD"/>
    <w:rsid w:val="00752925"/>
    <w:rsid w:val="0075493A"/>
    <w:rsid w:val="00760104"/>
    <w:rsid w:val="00761265"/>
    <w:rsid w:val="0076217E"/>
    <w:rsid w:val="007621CB"/>
    <w:rsid w:val="00762248"/>
    <w:rsid w:val="007635E7"/>
    <w:rsid w:val="00764DF5"/>
    <w:rsid w:val="00765D7C"/>
    <w:rsid w:val="007664EC"/>
    <w:rsid w:val="007702F4"/>
    <w:rsid w:val="00771D87"/>
    <w:rsid w:val="00772088"/>
    <w:rsid w:val="0077226D"/>
    <w:rsid w:val="007722C2"/>
    <w:rsid w:val="00773F6C"/>
    <w:rsid w:val="00774134"/>
    <w:rsid w:val="007751F4"/>
    <w:rsid w:val="00775931"/>
    <w:rsid w:val="00775FAB"/>
    <w:rsid w:val="00776B96"/>
    <w:rsid w:val="00777F1F"/>
    <w:rsid w:val="0078198F"/>
    <w:rsid w:val="007836CD"/>
    <w:rsid w:val="007837FB"/>
    <w:rsid w:val="00784C2F"/>
    <w:rsid w:val="00785261"/>
    <w:rsid w:val="007861C1"/>
    <w:rsid w:val="00787593"/>
    <w:rsid w:val="00795B27"/>
    <w:rsid w:val="00796EE2"/>
    <w:rsid w:val="007A2B17"/>
    <w:rsid w:val="007A2C8C"/>
    <w:rsid w:val="007B0256"/>
    <w:rsid w:val="007B0619"/>
    <w:rsid w:val="007B1436"/>
    <w:rsid w:val="007B40D6"/>
    <w:rsid w:val="007B6388"/>
    <w:rsid w:val="007B6FB3"/>
    <w:rsid w:val="007B79CF"/>
    <w:rsid w:val="007C1AD2"/>
    <w:rsid w:val="007C1E38"/>
    <w:rsid w:val="007C3C7E"/>
    <w:rsid w:val="007C4B60"/>
    <w:rsid w:val="007C5C18"/>
    <w:rsid w:val="007C6A3B"/>
    <w:rsid w:val="007D1518"/>
    <w:rsid w:val="007D256C"/>
    <w:rsid w:val="007D2AC0"/>
    <w:rsid w:val="007D5116"/>
    <w:rsid w:val="007D5E61"/>
    <w:rsid w:val="007E04D7"/>
    <w:rsid w:val="007E071D"/>
    <w:rsid w:val="007E0EA7"/>
    <w:rsid w:val="007E2176"/>
    <w:rsid w:val="007E2EEA"/>
    <w:rsid w:val="007E66CD"/>
    <w:rsid w:val="007E7F0F"/>
    <w:rsid w:val="007F13EC"/>
    <w:rsid w:val="007F1A90"/>
    <w:rsid w:val="007F2313"/>
    <w:rsid w:val="007F3F6C"/>
    <w:rsid w:val="007F6999"/>
    <w:rsid w:val="007F6EA0"/>
    <w:rsid w:val="00800510"/>
    <w:rsid w:val="008035F7"/>
    <w:rsid w:val="00803848"/>
    <w:rsid w:val="0080661E"/>
    <w:rsid w:val="0080684F"/>
    <w:rsid w:val="00807C34"/>
    <w:rsid w:val="008116B5"/>
    <w:rsid w:val="00812195"/>
    <w:rsid w:val="008152A5"/>
    <w:rsid w:val="008152D8"/>
    <w:rsid w:val="0081558B"/>
    <w:rsid w:val="008207E4"/>
    <w:rsid w:val="008233B6"/>
    <w:rsid w:val="008238F3"/>
    <w:rsid w:val="00830824"/>
    <w:rsid w:val="0083089B"/>
    <w:rsid w:val="00832454"/>
    <w:rsid w:val="0083555A"/>
    <w:rsid w:val="00836300"/>
    <w:rsid w:val="00836FE6"/>
    <w:rsid w:val="0083786F"/>
    <w:rsid w:val="00840413"/>
    <w:rsid w:val="00843DC3"/>
    <w:rsid w:val="0085006B"/>
    <w:rsid w:val="0085147C"/>
    <w:rsid w:val="008515A3"/>
    <w:rsid w:val="008521EA"/>
    <w:rsid w:val="00852C9E"/>
    <w:rsid w:val="00854115"/>
    <w:rsid w:val="00855CB1"/>
    <w:rsid w:val="00857733"/>
    <w:rsid w:val="008600AD"/>
    <w:rsid w:val="008619DF"/>
    <w:rsid w:val="00862C84"/>
    <w:rsid w:val="00864828"/>
    <w:rsid w:val="00865696"/>
    <w:rsid w:val="00866164"/>
    <w:rsid w:val="008667A8"/>
    <w:rsid w:val="0086773C"/>
    <w:rsid w:val="0087209F"/>
    <w:rsid w:val="00872AB6"/>
    <w:rsid w:val="00873108"/>
    <w:rsid w:val="008802C0"/>
    <w:rsid w:val="00880FC2"/>
    <w:rsid w:val="00881230"/>
    <w:rsid w:val="0088132C"/>
    <w:rsid w:val="00883BA0"/>
    <w:rsid w:val="00886EBF"/>
    <w:rsid w:val="00890E49"/>
    <w:rsid w:val="0089169C"/>
    <w:rsid w:val="00892F10"/>
    <w:rsid w:val="008933C7"/>
    <w:rsid w:val="00893BBD"/>
    <w:rsid w:val="00895A37"/>
    <w:rsid w:val="0089663E"/>
    <w:rsid w:val="0089680D"/>
    <w:rsid w:val="008A078E"/>
    <w:rsid w:val="008A1107"/>
    <w:rsid w:val="008A2409"/>
    <w:rsid w:val="008A24A3"/>
    <w:rsid w:val="008A4BDC"/>
    <w:rsid w:val="008A5AA1"/>
    <w:rsid w:val="008A7999"/>
    <w:rsid w:val="008B0443"/>
    <w:rsid w:val="008B0630"/>
    <w:rsid w:val="008B1B73"/>
    <w:rsid w:val="008B4CA6"/>
    <w:rsid w:val="008B4DE2"/>
    <w:rsid w:val="008B55CD"/>
    <w:rsid w:val="008B63A2"/>
    <w:rsid w:val="008B748E"/>
    <w:rsid w:val="008B7F34"/>
    <w:rsid w:val="008C3615"/>
    <w:rsid w:val="008C517C"/>
    <w:rsid w:val="008C5D15"/>
    <w:rsid w:val="008C6143"/>
    <w:rsid w:val="008C6401"/>
    <w:rsid w:val="008C7CCB"/>
    <w:rsid w:val="008D068C"/>
    <w:rsid w:val="008D296D"/>
    <w:rsid w:val="008D330F"/>
    <w:rsid w:val="008D570C"/>
    <w:rsid w:val="008E1D73"/>
    <w:rsid w:val="008E3AF9"/>
    <w:rsid w:val="008E4ADB"/>
    <w:rsid w:val="008E57D4"/>
    <w:rsid w:val="008E7009"/>
    <w:rsid w:val="008F04F3"/>
    <w:rsid w:val="008F505D"/>
    <w:rsid w:val="008F5D99"/>
    <w:rsid w:val="008F7E21"/>
    <w:rsid w:val="00901EAF"/>
    <w:rsid w:val="00902A70"/>
    <w:rsid w:val="009030D6"/>
    <w:rsid w:val="00906493"/>
    <w:rsid w:val="0091040E"/>
    <w:rsid w:val="00913052"/>
    <w:rsid w:val="009138DE"/>
    <w:rsid w:val="00916198"/>
    <w:rsid w:val="0091676E"/>
    <w:rsid w:val="009168ED"/>
    <w:rsid w:val="009172F1"/>
    <w:rsid w:val="009206DC"/>
    <w:rsid w:val="00920C59"/>
    <w:rsid w:val="009225F0"/>
    <w:rsid w:val="009228CF"/>
    <w:rsid w:val="009234E3"/>
    <w:rsid w:val="00923ED2"/>
    <w:rsid w:val="00926131"/>
    <w:rsid w:val="00932124"/>
    <w:rsid w:val="009347F7"/>
    <w:rsid w:val="00934A91"/>
    <w:rsid w:val="009373F4"/>
    <w:rsid w:val="009418DE"/>
    <w:rsid w:val="0094343A"/>
    <w:rsid w:val="00943693"/>
    <w:rsid w:val="009454BA"/>
    <w:rsid w:val="0094725D"/>
    <w:rsid w:val="00950BE4"/>
    <w:rsid w:val="0095124F"/>
    <w:rsid w:val="009517B5"/>
    <w:rsid w:val="00952E34"/>
    <w:rsid w:val="009544F7"/>
    <w:rsid w:val="009549EA"/>
    <w:rsid w:val="00954A6C"/>
    <w:rsid w:val="009562AD"/>
    <w:rsid w:val="009611E3"/>
    <w:rsid w:val="0096181A"/>
    <w:rsid w:val="0096187E"/>
    <w:rsid w:val="00963528"/>
    <w:rsid w:val="009653A4"/>
    <w:rsid w:val="0096619B"/>
    <w:rsid w:val="00967482"/>
    <w:rsid w:val="00967D17"/>
    <w:rsid w:val="00972037"/>
    <w:rsid w:val="0097268F"/>
    <w:rsid w:val="0097290A"/>
    <w:rsid w:val="00972B4C"/>
    <w:rsid w:val="009735C1"/>
    <w:rsid w:val="00973EB6"/>
    <w:rsid w:val="00975BC5"/>
    <w:rsid w:val="009768B0"/>
    <w:rsid w:val="00977591"/>
    <w:rsid w:val="00980FE0"/>
    <w:rsid w:val="00981DDC"/>
    <w:rsid w:val="00982450"/>
    <w:rsid w:val="00985170"/>
    <w:rsid w:val="00986033"/>
    <w:rsid w:val="00987111"/>
    <w:rsid w:val="009875F6"/>
    <w:rsid w:val="00987621"/>
    <w:rsid w:val="00991574"/>
    <w:rsid w:val="009919CB"/>
    <w:rsid w:val="00995055"/>
    <w:rsid w:val="00995132"/>
    <w:rsid w:val="00995909"/>
    <w:rsid w:val="00995BD7"/>
    <w:rsid w:val="00996565"/>
    <w:rsid w:val="00996CB3"/>
    <w:rsid w:val="00996EF8"/>
    <w:rsid w:val="009A0382"/>
    <w:rsid w:val="009A213F"/>
    <w:rsid w:val="009A3891"/>
    <w:rsid w:val="009A65FC"/>
    <w:rsid w:val="009A66DF"/>
    <w:rsid w:val="009A7C26"/>
    <w:rsid w:val="009B1FCB"/>
    <w:rsid w:val="009B36E4"/>
    <w:rsid w:val="009B3E95"/>
    <w:rsid w:val="009B51E7"/>
    <w:rsid w:val="009B7E5A"/>
    <w:rsid w:val="009C2D82"/>
    <w:rsid w:val="009C5501"/>
    <w:rsid w:val="009C6E47"/>
    <w:rsid w:val="009C765E"/>
    <w:rsid w:val="009C7856"/>
    <w:rsid w:val="009D0F73"/>
    <w:rsid w:val="009D449E"/>
    <w:rsid w:val="009E0E63"/>
    <w:rsid w:val="009E12C1"/>
    <w:rsid w:val="009E1BAE"/>
    <w:rsid w:val="009E3A97"/>
    <w:rsid w:val="009E57C8"/>
    <w:rsid w:val="009E6165"/>
    <w:rsid w:val="009E72FA"/>
    <w:rsid w:val="009E7F07"/>
    <w:rsid w:val="009F193F"/>
    <w:rsid w:val="009F351A"/>
    <w:rsid w:val="009F4898"/>
    <w:rsid w:val="009F6F9F"/>
    <w:rsid w:val="00A019C3"/>
    <w:rsid w:val="00A04B50"/>
    <w:rsid w:val="00A07433"/>
    <w:rsid w:val="00A1065E"/>
    <w:rsid w:val="00A15DA9"/>
    <w:rsid w:val="00A22306"/>
    <w:rsid w:val="00A23F77"/>
    <w:rsid w:val="00A2635B"/>
    <w:rsid w:val="00A27C41"/>
    <w:rsid w:val="00A309BD"/>
    <w:rsid w:val="00A33386"/>
    <w:rsid w:val="00A354E3"/>
    <w:rsid w:val="00A360A7"/>
    <w:rsid w:val="00A36675"/>
    <w:rsid w:val="00A40B96"/>
    <w:rsid w:val="00A434AF"/>
    <w:rsid w:val="00A43F04"/>
    <w:rsid w:val="00A4644E"/>
    <w:rsid w:val="00A47AEA"/>
    <w:rsid w:val="00A50A5A"/>
    <w:rsid w:val="00A52707"/>
    <w:rsid w:val="00A5308A"/>
    <w:rsid w:val="00A545B2"/>
    <w:rsid w:val="00A54E47"/>
    <w:rsid w:val="00A5581E"/>
    <w:rsid w:val="00A56DBD"/>
    <w:rsid w:val="00A57254"/>
    <w:rsid w:val="00A576C0"/>
    <w:rsid w:val="00A61E08"/>
    <w:rsid w:val="00A6229E"/>
    <w:rsid w:val="00A65F00"/>
    <w:rsid w:val="00A665AE"/>
    <w:rsid w:val="00A6686E"/>
    <w:rsid w:val="00A674E6"/>
    <w:rsid w:val="00A71D91"/>
    <w:rsid w:val="00A73534"/>
    <w:rsid w:val="00A7358B"/>
    <w:rsid w:val="00A73FA9"/>
    <w:rsid w:val="00A7423A"/>
    <w:rsid w:val="00A743E0"/>
    <w:rsid w:val="00A75923"/>
    <w:rsid w:val="00A75A64"/>
    <w:rsid w:val="00A8142D"/>
    <w:rsid w:val="00A82DE2"/>
    <w:rsid w:val="00A83409"/>
    <w:rsid w:val="00A8436C"/>
    <w:rsid w:val="00A86F2D"/>
    <w:rsid w:val="00A91E01"/>
    <w:rsid w:val="00A9435F"/>
    <w:rsid w:val="00A95C2A"/>
    <w:rsid w:val="00AA09D9"/>
    <w:rsid w:val="00AA0DA9"/>
    <w:rsid w:val="00AA26C6"/>
    <w:rsid w:val="00AA2CA7"/>
    <w:rsid w:val="00AA47C1"/>
    <w:rsid w:val="00AA4FCA"/>
    <w:rsid w:val="00AB02D8"/>
    <w:rsid w:val="00AB603D"/>
    <w:rsid w:val="00AB6B14"/>
    <w:rsid w:val="00AB6C8A"/>
    <w:rsid w:val="00AC24D4"/>
    <w:rsid w:val="00AC5E2D"/>
    <w:rsid w:val="00AD0B03"/>
    <w:rsid w:val="00AD1B31"/>
    <w:rsid w:val="00AD4EBC"/>
    <w:rsid w:val="00AE0129"/>
    <w:rsid w:val="00AE0D61"/>
    <w:rsid w:val="00AE32E8"/>
    <w:rsid w:val="00AE3E25"/>
    <w:rsid w:val="00AF1E61"/>
    <w:rsid w:val="00AF4F1F"/>
    <w:rsid w:val="00AF55F4"/>
    <w:rsid w:val="00AF6A46"/>
    <w:rsid w:val="00B00557"/>
    <w:rsid w:val="00B02EC7"/>
    <w:rsid w:val="00B04C25"/>
    <w:rsid w:val="00B04EF2"/>
    <w:rsid w:val="00B05805"/>
    <w:rsid w:val="00B06227"/>
    <w:rsid w:val="00B117EC"/>
    <w:rsid w:val="00B1295A"/>
    <w:rsid w:val="00B15256"/>
    <w:rsid w:val="00B15D71"/>
    <w:rsid w:val="00B207E8"/>
    <w:rsid w:val="00B227D9"/>
    <w:rsid w:val="00B23A99"/>
    <w:rsid w:val="00B24710"/>
    <w:rsid w:val="00B3051D"/>
    <w:rsid w:val="00B313E0"/>
    <w:rsid w:val="00B32089"/>
    <w:rsid w:val="00B34EF6"/>
    <w:rsid w:val="00B359EF"/>
    <w:rsid w:val="00B37370"/>
    <w:rsid w:val="00B4053F"/>
    <w:rsid w:val="00B409D1"/>
    <w:rsid w:val="00B44B98"/>
    <w:rsid w:val="00B45937"/>
    <w:rsid w:val="00B46AE1"/>
    <w:rsid w:val="00B5050B"/>
    <w:rsid w:val="00B52B19"/>
    <w:rsid w:val="00B56A4A"/>
    <w:rsid w:val="00B60D62"/>
    <w:rsid w:val="00B61463"/>
    <w:rsid w:val="00B62B34"/>
    <w:rsid w:val="00B640DA"/>
    <w:rsid w:val="00B658AF"/>
    <w:rsid w:val="00B76B55"/>
    <w:rsid w:val="00B76D59"/>
    <w:rsid w:val="00B77024"/>
    <w:rsid w:val="00B773D4"/>
    <w:rsid w:val="00B80A4E"/>
    <w:rsid w:val="00B81D49"/>
    <w:rsid w:val="00B837CB"/>
    <w:rsid w:val="00B854D9"/>
    <w:rsid w:val="00B86D70"/>
    <w:rsid w:val="00B910C4"/>
    <w:rsid w:val="00B9274C"/>
    <w:rsid w:val="00B9293A"/>
    <w:rsid w:val="00B9299A"/>
    <w:rsid w:val="00B95155"/>
    <w:rsid w:val="00B9773D"/>
    <w:rsid w:val="00BA05E4"/>
    <w:rsid w:val="00BA1651"/>
    <w:rsid w:val="00BA2DB9"/>
    <w:rsid w:val="00BA3CDC"/>
    <w:rsid w:val="00BA4AFC"/>
    <w:rsid w:val="00BA539B"/>
    <w:rsid w:val="00BA65B1"/>
    <w:rsid w:val="00BB06ED"/>
    <w:rsid w:val="00BB383A"/>
    <w:rsid w:val="00BC0759"/>
    <w:rsid w:val="00BC24CF"/>
    <w:rsid w:val="00BC569E"/>
    <w:rsid w:val="00BC5A1B"/>
    <w:rsid w:val="00BC5E88"/>
    <w:rsid w:val="00BC66C0"/>
    <w:rsid w:val="00BD1778"/>
    <w:rsid w:val="00BD1DF8"/>
    <w:rsid w:val="00BD2A96"/>
    <w:rsid w:val="00BD4024"/>
    <w:rsid w:val="00BD4CDE"/>
    <w:rsid w:val="00BD50C8"/>
    <w:rsid w:val="00BD5D67"/>
    <w:rsid w:val="00BD604F"/>
    <w:rsid w:val="00BD60BD"/>
    <w:rsid w:val="00BD65F4"/>
    <w:rsid w:val="00BD7B74"/>
    <w:rsid w:val="00BE4C7C"/>
    <w:rsid w:val="00BE632A"/>
    <w:rsid w:val="00BE70D4"/>
    <w:rsid w:val="00BE7148"/>
    <w:rsid w:val="00BF0BCB"/>
    <w:rsid w:val="00BF276E"/>
    <w:rsid w:val="00BF7767"/>
    <w:rsid w:val="00C02A97"/>
    <w:rsid w:val="00C03F10"/>
    <w:rsid w:val="00C06AAE"/>
    <w:rsid w:val="00C07173"/>
    <w:rsid w:val="00C104C2"/>
    <w:rsid w:val="00C111ED"/>
    <w:rsid w:val="00C119B0"/>
    <w:rsid w:val="00C14F7E"/>
    <w:rsid w:val="00C163B9"/>
    <w:rsid w:val="00C1690B"/>
    <w:rsid w:val="00C16D2C"/>
    <w:rsid w:val="00C17E6B"/>
    <w:rsid w:val="00C20B55"/>
    <w:rsid w:val="00C222C8"/>
    <w:rsid w:val="00C22D6D"/>
    <w:rsid w:val="00C233D3"/>
    <w:rsid w:val="00C234BD"/>
    <w:rsid w:val="00C27374"/>
    <w:rsid w:val="00C32D98"/>
    <w:rsid w:val="00C3454D"/>
    <w:rsid w:val="00C359BC"/>
    <w:rsid w:val="00C41B8F"/>
    <w:rsid w:val="00C41EB6"/>
    <w:rsid w:val="00C44433"/>
    <w:rsid w:val="00C46EEB"/>
    <w:rsid w:val="00C47581"/>
    <w:rsid w:val="00C47EF1"/>
    <w:rsid w:val="00C500AD"/>
    <w:rsid w:val="00C508D7"/>
    <w:rsid w:val="00C531AF"/>
    <w:rsid w:val="00C536D4"/>
    <w:rsid w:val="00C537BB"/>
    <w:rsid w:val="00C562E5"/>
    <w:rsid w:val="00C5695C"/>
    <w:rsid w:val="00C56F54"/>
    <w:rsid w:val="00C62793"/>
    <w:rsid w:val="00C62F3C"/>
    <w:rsid w:val="00C6355F"/>
    <w:rsid w:val="00C66860"/>
    <w:rsid w:val="00C66E70"/>
    <w:rsid w:val="00C672FB"/>
    <w:rsid w:val="00C70E87"/>
    <w:rsid w:val="00C7343E"/>
    <w:rsid w:val="00C73823"/>
    <w:rsid w:val="00C74DA8"/>
    <w:rsid w:val="00C7598D"/>
    <w:rsid w:val="00C763E0"/>
    <w:rsid w:val="00C819A0"/>
    <w:rsid w:val="00C8311A"/>
    <w:rsid w:val="00C834CE"/>
    <w:rsid w:val="00C85193"/>
    <w:rsid w:val="00C85C60"/>
    <w:rsid w:val="00C85C8A"/>
    <w:rsid w:val="00C90CD3"/>
    <w:rsid w:val="00C9399E"/>
    <w:rsid w:val="00C968E0"/>
    <w:rsid w:val="00C97ED6"/>
    <w:rsid w:val="00CA1ADC"/>
    <w:rsid w:val="00CA3780"/>
    <w:rsid w:val="00CA5762"/>
    <w:rsid w:val="00CA6061"/>
    <w:rsid w:val="00CA6E39"/>
    <w:rsid w:val="00CB0568"/>
    <w:rsid w:val="00CB0F78"/>
    <w:rsid w:val="00CB108F"/>
    <w:rsid w:val="00CB2AB6"/>
    <w:rsid w:val="00CB77DC"/>
    <w:rsid w:val="00CC1158"/>
    <w:rsid w:val="00CC32F5"/>
    <w:rsid w:val="00CC4175"/>
    <w:rsid w:val="00CC73CA"/>
    <w:rsid w:val="00CD0CCE"/>
    <w:rsid w:val="00CD1CE3"/>
    <w:rsid w:val="00CD1CEB"/>
    <w:rsid w:val="00CD3579"/>
    <w:rsid w:val="00CD53B0"/>
    <w:rsid w:val="00CD54AF"/>
    <w:rsid w:val="00CD599B"/>
    <w:rsid w:val="00CD6810"/>
    <w:rsid w:val="00CD68BE"/>
    <w:rsid w:val="00CD730F"/>
    <w:rsid w:val="00CD7CF3"/>
    <w:rsid w:val="00CD7D05"/>
    <w:rsid w:val="00CE1DE3"/>
    <w:rsid w:val="00CE2851"/>
    <w:rsid w:val="00CE408D"/>
    <w:rsid w:val="00CE5C88"/>
    <w:rsid w:val="00CE60E2"/>
    <w:rsid w:val="00CE64D6"/>
    <w:rsid w:val="00CE678A"/>
    <w:rsid w:val="00CF2B90"/>
    <w:rsid w:val="00CF49A8"/>
    <w:rsid w:val="00CF4F62"/>
    <w:rsid w:val="00CF5C99"/>
    <w:rsid w:val="00CF6E13"/>
    <w:rsid w:val="00D005E6"/>
    <w:rsid w:val="00D011D4"/>
    <w:rsid w:val="00D039AD"/>
    <w:rsid w:val="00D05293"/>
    <w:rsid w:val="00D05658"/>
    <w:rsid w:val="00D07ABF"/>
    <w:rsid w:val="00D12192"/>
    <w:rsid w:val="00D12ED1"/>
    <w:rsid w:val="00D13398"/>
    <w:rsid w:val="00D152F1"/>
    <w:rsid w:val="00D15556"/>
    <w:rsid w:val="00D15CA9"/>
    <w:rsid w:val="00D17B02"/>
    <w:rsid w:val="00D21949"/>
    <w:rsid w:val="00D235F8"/>
    <w:rsid w:val="00D2766E"/>
    <w:rsid w:val="00D3056F"/>
    <w:rsid w:val="00D31648"/>
    <w:rsid w:val="00D3202D"/>
    <w:rsid w:val="00D33A88"/>
    <w:rsid w:val="00D34BC3"/>
    <w:rsid w:val="00D41432"/>
    <w:rsid w:val="00D43363"/>
    <w:rsid w:val="00D45420"/>
    <w:rsid w:val="00D46D62"/>
    <w:rsid w:val="00D5033E"/>
    <w:rsid w:val="00D52B3E"/>
    <w:rsid w:val="00D52D8F"/>
    <w:rsid w:val="00D5446C"/>
    <w:rsid w:val="00D54BD6"/>
    <w:rsid w:val="00D54F8E"/>
    <w:rsid w:val="00D5627C"/>
    <w:rsid w:val="00D57227"/>
    <w:rsid w:val="00D57524"/>
    <w:rsid w:val="00D579AC"/>
    <w:rsid w:val="00D6031F"/>
    <w:rsid w:val="00D65E52"/>
    <w:rsid w:val="00D706A3"/>
    <w:rsid w:val="00D70ACB"/>
    <w:rsid w:val="00D70AFD"/>
    <w:rsid w:val="00D70E6F"/>
    <w:rsid w:val="00D71DC4"/>
    <w:rsid w:val="00D7343A"/>
    <w:rsid w:val="00D7499B"/>
    <w:rsid w:val="00D76395"/>
    <w:rsid w:val="00D82084"/>
    <w:rsid w:val="00D82214"/>
    <w:rsid w:val="00D83C9E"/>
    <w:rsid w:val="00D84224"/>
    <w:rsid w:val="00D85B9F"/>
    <w:rsid w:val="00D85C9C"/>
    <w:rsid w:val="00D86795"/>
    <w:rsid w:val="00D87CFB"/>
    <w:rsid w:val="00D9120E"/>
    <w:rsid w:val="00D91BC9"/>
    <w:rsid w:val="00D94018"/>
    <w:rsid w:val="00D963F1"/>
    <w:rsid w:val="00D975F6"/>
    <w:rsid w:val="00D97ECD"/>
    <w:rsid w:val="00DA0288"/>
    <w:rsid w:val="00DA1F37"/>
    <w:rsid w:val="00DA236F"/>
    <w:rsid w:val="00DA2A81"/>
    <w:rsid w:val="00DA6432"/>
    <w:rsid w:val="00DB00AC"/>
    <w:rsid w:val="00DB36FF"/>
    <w:rsid w:val="00DB42DF"/>
    <w:rsid w:val="00DB4B44"/>
    <w:rsid w:val="00DB4BA6"/>
    <w:rsid w:val="00DB6C89"/>
    <w:rsid w:val="00DC0777"/>
    <w:rsid w:val="00DC0A5C"/>
    <w:rsid w:val="00DC1594"/>
    <w:rsid w:val="00DC1C10"/>
    <w:rsid w:val="00DC24DC"/>
    <w:rsid w:val="00DC3ED7"/>
    <w:rsid w:val="00DC5FF9"/>
    <w:rsid w:val="00DD1AF7"/>
    <w:rsid w:val="00DD25B2"/>
    <w:rsid w:val="00DD2EBF"/>
    <w:rsid w:val="00DD344D"/>
    <w:rsid w:val="00DD38DC"/>
    <w:rsid w:val="00DD3E29"/>
    <w:rsid w:val="00DD4F37"/>
    <w:rsid w:val="00DD6692"/>
    <w:rsid w:val="00DD716D"/>
    <w:rsid w:val="00DD7E17"/>
    <w:rsid w:val="00DE00AC"/>
    <w:rsid w:val="00DE0234"/>
    <w:rsid w:val="00DE0B9A"/>
    <w:rsid w:val="00DE5213"/>
    <w:rsid w:val="00DE5D9A"/>
    <w:rsid w:val="00DE71F1"/>
    <w:rsid w:val="00DF26B5"/>
    <w:rsid w:val="00DF2A41"/>
    <w:rsid w:val="00DF5C10"/>
    <w:rsid w:val="00DF5CCB"/>
    <w:rsid w:val="00DF5E3B"/>
    <w:rsid w:val="00DF71B3"/>
    <w:rsid w:val="00E005E0"/>
    <w:rsid w:val="00E041EA"/>
    <w:rsid w:val="00E06723"/>
    <w:rsid w:val="00E1097C"/>
    <w:rsid w:val="00E10E99"/>
    <w:rsid w:val="00E11170"/>
    <w:rsid w:val="00E12870"/>
    <w:rsid w:val="00E202A2"/>
    <w:rsid w:val="00E205E9"/>
    <w:rsid w:val="00E27A53"/>
    <w:rsid w:val="00E3014F"/>
    <w:rsid w:val="00E302D9"/>
    <w:rsid w:val="00E30E98"/>
    <w:rsid w:val="00E31682"/>
    <w:rsid w:val="00E323D2"/>
    <w:rsid w:val="00E32470"/>
    <w:rsid w:val="00E37356"/>
    <w:rsid w:val="00E37CD4"/>
    <w:rsid w:val="00E41E33"/>
    <w:rsid w:val="00E42952"/>
    <w:rsid w:val="00E43C71"/>
    <w:rsid w:val="00E45038"/>
    <w:rsid w:val="00E459B7"/>
    <w:rsid w:val="00E4628A"/>
    <w:rsid w:val="00E4734B"/>
    <w:rsid w:val="00E4784A"/>
    <w:rsid w:val="00E51784"/>
    <w:rsid w:val="00E51E5F"/>
    <w:rsid w:val="00E534E3"/>
    <w:rsid w:val="00E536B7"/>
    <w:rsid w:val="00E53947"/>
    <w:rsid w:val="00E56861"/>
    <w:rsid w:val="00E57965"/>
    <w:rsid w:val="00E6459D"/>
    <w:rsid w:val="00E66C31"/>
    <w:rsid w:val="00E700B8"/>
    <w:rsid w:val="00E74A10"/>
    <w:rsid w:val="00E765CA"/>
    <w:rsid w:val="00E76A69"/>
    <w:rsid w:val="00E809C6"/>
    <w:rsid w:val="00E82F46"/>
    <w:rsid w:val="00E93F35"/>
    <w:rsid w:val="00E96534"/>
    <w:rsid w:val="00E96E04"/>
    <w:rsid w:val="00E970CA"/>
    <w:rsid w:val="00EA1761"/>
    <w:rsid w:val="00EA3527"/>
    <w:rsid w:val="00EA5B42"/>
    <w:rsid w:val="00EA621C"/>
    <w:rsid w:val="00EB1CB5"/>
    <w:rsid w:val="00EB28F6"/>
    <w:rsid w:val="00EB2E64"/>
    <w:rsid w:val="00EB47F3"/>
    <w:rsid w:val="00EB4E23"/>
    <w:rsid w:val="00EB62DC"/>
    <w:rsid w:val="00EB65A9"/>
    <w:rsid w:val="00EC0AA2"/>
    <w:rsid w:val="00EC23C8"/>
    <w:rsid w:val="00EC37B2"/>
    <w:rsid w:val="00EC46C5"/>
    <w:rsid w:val="00EC4C95"/>
    <w:rsid w:val="00EC66D4"/>
    <w:rsid w:val="00EC73BF"/>
    <w:rsid w:val="00ED088B"/>
    <w:rsid w:val="00ED1E5F"/>
    <w:rsid w:val="00ED3665"/>
    <w:rsid w:val="00ED46E2"/>
    <w:rsid w:val="00ED4CD0"/>
    <w:rsid w:val="00ED5403"/>
    <w:rsid w:val="00ED5E28"/>
    <w:rsid w:val="00ED6E6A"/>
    <w:rsid w:val="00EE0251"/>
    <w:rsid w:val="00EE3D25"/>
    <w:rsid w:val="00EE5246"/>
    <w:rsid w:val="00EE54E1"/>
    <w:rsid w:val="00EE6B80"/>
    <w:rsid w:val="00EF0F36"/>
    <w:rsid w:val="00EF1E98"/>
    <w:rsid w:val="00EF5829"/>
    <w:rsid w:val="00F016CD"/>
    <w:rsid w:val="00F021C3"/>
    <w:rsid w:val="00F04074"/>
    <w:rsid w:val="00F06B77"/>
    <w:rsid w:val="00F1564A"/>
    <w:rsid w:val="00F16609"/>
    <w:rsid w:val="00F21A08"/>
    <w:rsid w:val="00F22C58"/>
    <w:rsid w:val="00F23353"/>
    <w:rsid w:val="00F24910"/>
    <w:rsid w:val="00F24A28"/>
    <w:rsid w:val="00F25B7B"/>
    <w:rsid w:val="00F31784"/>
    <w:rsid w:val="00F31CD4"/>
    <w:rsid w:val="00F3275E"/>
    <w:rsid w:val="00F424E1"/>
    <w:rsid w:val="00F43C41"/>
    <w:rsid w:val="00F44F4D"/>
    <w:rsid w:val="00F45EB9"/>
    <w:rsid w:val="00F46840"/>
    <w:rsid w:val="00F509EA"/>
    <w:rsid w:val="00F52078"/>
    <w:rsid w:val="00F52CFF"/>
    <w:rsid w:val="00F55A39"/>
    <w:rsid w:val="00F56768"/>
    <w:rsid w:val="00F61CF7"/>
    <w:rsid w:val="00F63CBE"/>
    <w:rsid w:val="00F64F58"/>
    <w:rsid w:val="00F7051C"/>
    <w:rsid w:val="00F7086A"/>
    <w:rsid w:val="00F7256A"/>
    <w:rsid w:val="00F770C9"/>
    <w:rsid w:val="00F81FF4"/>
    <w:rsid w:val="00F8214D"/>
    <w:rsid w:val="00F8449D"/>
    <w:rsid w:val="00F84E15"/>
    <w:rsid w:val="00F850E4"/>
    <w:rsid w:val="00F910F6"/>
    <w:rsid w:val="00F91AE0"/>
    <w:rsid w:val="00F91E23"/>
    <w:rsid w:val="00F92EB6"/>
    <w:rsid w:val="00FA4780"/>
    <w:rsid w:val="00FA5BDC"/>
    <w:rsid w:val="00FA6146"/>
    <w:rsid w:val="00FA6A23"/>
    <w:rsid w:val="00FA7850"/>
    <w:rsid w:val="00FB0CD9"/>
    <w:rsid w:val="00FB0CE5"/>
    <w:rsid w:val="00FB1060"/>
    <w:rsid w:val="00FB2BB6"/>
    <w:rsid w:val="00FB4859"/>
    <w:rsid w:val="00FB5514"/>
    <w:rsid w:val="00FC6116"/>
    <w:rsid w:val="00FD1A69"/>
    <w:rsid w:val="00FD2DAC"/>
    <w:rsid w:val="00FD5517"/>
    <w:rsid w:val="00FD55CF"/>
    <w:rsid w:val="00FD739C"/>
    <w:rsid w:val="00FD7CA1"/>
    <w:rsid w:val="00FE1BE2"/>
    <w:rsid w:val="00FE2B6E"/>
    <w:rsid w:val="00FE4605"/>
    <w:rsid w:val="00FE67D3"/>
    <w:rsid w:val="00FE78C4"/>
    <w:rsid w:val="00FE7F34"/>
    <w:rsid w:val="00FF0979"/>
    <w:rsid w:val="00FF0C36"/>
    <w:rsid w:val="00FF366E"/>
    <w:rsid w:val="00FF4D1F"/>
    <w:rsid w:val="00FF51FC"/>
    <w:rsid w:val="00FF5A37"/>
    <w:rsid w:val="00FF6030"/>
    <w:rsid w:val="00FF6DD1"/>
    <w:rsid w:val="00FF7BD3"/>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FB8897"/>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16"/>
  </w:style>
  <w:style w:type="paragraph" w:styleId="Heading1">
    <w:name w:val="heading 1"/>
    <w:basedOn w:val="Heading2"/>
    <w:next w:val="Normal"/>
    <w:link w:val="Heading1Char"/>
    <w:uiPriority w:val="9"/>
    <w:qFormat/>
    <w:rsid w:val="00CC1158"/>
    <w:pPr>
      <w:spacing w:before="480" w:after="240"/>
      <w:outlineLvl w:val="0"/>
    </w:pPr>
    <w:rPr>
      <w:color w:val="6B2976" w:themeColor="accent4"/>
      <w:sz w:val="32"/>
      <w:szCs w:val="32"/>
    </w:rPr>
  </w:style>
  <w:style w:type="paragraph" w:styleId="Heading2">
    <w:name w:val="heading 2"/>
    <w:basedOn w:val="Heading3"/>
    <w:next w:val="Normal"/>
    <w:link w:val="Heading2Char"/>
    <w:uiPriority w:val="9"/>
    <w:unhideWhenUsed/>
    <w:qFormat/>
    <w:rsid w:val="00920C59"/>
    <w:pPr>
      <w:spacing w:before="300"/>
      <w:ind w:left="578" w:hanging="578"/>
      <w:outlineLvl w:val="1"/>
    </w:pPr>
    <w:rPr>
      <w:color w:val="auto"/>
      <w:sz w:val="26"/>
      <w:szCs w:val="26"/>
    </w:rPr>
  </w:style>
  <w:style w:type="paragraph" w:styleId="Heading3">
    <w:name w:val="heading 3"/>
    <w:basedOn w:val="Normal"/>
    <w:next w:val="Normal"/>
    <w:link w:val="Heading3Char"/>
    <w:uiPriority w:val="9"/>
    <w:unhideWhenUsed/>
    <w:qFormat/>
    <w:rsid w:val="00920C59"/>
    <w:pPr>
      <w:keepNext/>
      <w:spacing w:before="200"/>
      <w:ind w:left="720" w:hanging="720"/>
      <w:outlineLvl w:val="2"/>
    </w:pPr>
    <w:rPr>
      <w:b/>
      <w:color w:val="6B2976" w:themeColor="accent4"/>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C59"/>
    <w:rPr>
      <w:b/>
      <w:color w:val="6B2976" w:themeColor="accent4"/>
    </w:rPr>
  </w:style>
  <w:style w:type="character" w:customStyle="1" w:styleId="Heading2Char">
    <w:name w:val="Heading 2 Char"/>
    <w:basedOn w:val="DefaultParagraphFont"/>
    <w:link w:val="Heading2"/>
    <w:uiPriority w:val="9"/>
    <w:rsid w:val="00920C59"/>
    <w:rPr>
      <w:b/>
      <w:sz w:val="26"/>
      <w:szCs w:val="26"/>
    </w:rPr>
  </w:style>
  <w:style w:type="character" w:customStyle="1" w:styleId="Heading1Char">
    <w:name w:val="Heading 1 Char"/>
    <w:basedOn w:val="DefaultParagraphFont"/>
    <w:link w:val="Heading1"/>
    <w:uiPriority w:val="9"/>
    <w:rsid w:val="00CC1158"/>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920C59"/>
    <w:pPr>
      <w:keepNext/>
      <w:spacing w:before="20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53A6B"/>
    <w:pPr>
      <w:tabs>
        <w:tab w:val="left" w:pos="851"/>
        <w:tab w:val="right" w:leader="dot" w:pos="9016"/>
      </w:tabs>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customStyle="1" w:styleId="FootnoteTextChar">
    <w:name w:val="Footnote Text Char"/>
    <w:basedOn w:val="DefaultParagraphFont"/>
    <w:link w:val="FootnoteText"/>
    <w:uiPriority w:val="99"/>
    <w:rsid w:val="00D54BD6"/>
    <w:rPr>
      <w:sz w:val="18"/>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unhideWhenUsed/>
    <w:qFormat/>
    <w:rsid w:val="00DC24DC"/>
    <w:pPr>
      <w:spacing w:after="0" w:line="240" w:lineRule="auto"/>
    </w:pPr>
    <w:rPr>
      <w:sz w:val="20"/>
      <w:szCs w:val="20"/>
    </w:rPr>
  </w:style>
  <w:style w:type="character" w:customStyle="1" w:styleId="EndnoteTextChar">
    <w:name w:val="Endnote Text Char"/>
    <w:basedOn w:val="DefaultParagraphFont"/>
    <w:link w:val="EndnoteText"/>
    <w:uiPriority w:val="99"/>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uiPriority w:val="3"/>
    <w:rsid w:val="00920C59"/>
    <w:rPr>
      <w:b/>
      <w:bCs/>
      <w:i/>
      <w:sz w:val="20"/>
      <w:szCs w:val="20"/>
    </w:rPr>
  </w:style>
  <w:style w:type="paragraph" w:customStyle="1" w:styleId="Source">
    <w:name w:val="Source"/>
    <w:basedOn w:val="Normal"/>
    <w:uiPriority w:val="6"/>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paragraph" w:customStyle="1" w:styleId="DotPoint">
    <w:name w:val="Dot Point"/>
    <w:basedOn w:val="Normal"/>
    <w:link w:val="DotPointChar"/>
    <w:qFormat/>
    <w:rsid w:val="00B61463"/>
    <w:pPr>
      <w:numPr>
        <w:numId w:val="10"/>
      </w:numPr>
    </w:pPr>
  </w:style>
  <w:style w:type="character" w:customStyle="1" w:styleId="DotPointChar">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9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9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9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customStyle="1" w:styleId="msonormal0">
    <w:name w:val="msonormal"/>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Bodytext-Guide">
    <w:name w:val="Body text - Guide"/>
    <w:basedOn w:val="NormalWeb"/>
    <w:link w:val="Bodytext-GuideChar"/>
    <w:rsid w:val="0080661E"/>
    <w:pPr>
      <w:spacing w:before="0" w:after="160" w:line="320" w:lineRule="atLeast"/>
    </w:pPr>
    <w:rPr>
      <w:rFonts w:ascii="Arial" w:hAnsi="Arial" w:cs="Arial"/>
      <w:szCs w:val="18"/>
      <w:lang w:val="en-AU"/>
    </w:rPr>
  </w:style>
  <w:style w:type="character" w:customStyle="1" w:styleId="Bodytext-GuideChar">
    <w:name w:val="Body text - Guide Char"/>
    <w:basedOn w:val="DefaultParagraphFont"/>
    <w:link w:val="Bodytext-Guide"/>
    <w:rsid w:val="0080661E"/>
    <w:rPr>
      <w:rFonts w:ascii="Arial" w:eastAsia="Times New Roman" w:hAnsi="Arial" w:cs="Arial"/>
      <w:szCs w:val="18"/>
    </w:rPr>
  </w:style>
  <w:style w:type="table" w:customStyle="1" w:styleId="GridTable4-Accent12">
    <w:name w:val="Grid Table 4 - Accent 12"/>
    <w:basedOn w:val="TableNormal"/>
    <w:uiPriority w:val="49"/>
    <w:rsid w:val="000D5076"/>
    <w:pPr>
      <w:spacing w:before="40" w:after="40" w:line="240" w:lineRule="auto"/>
    </w:pPr>
    <w:rPr>
      <w:sz w:val="16"/>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D05658"/>
    <w:rPr>
      <w:color w:val="605E5C"/>
      <w:shd w:val="clear" w:color="auto" w:fill="E1DFDD"/>
    </w:rPr>
  </w:style>
  <w:style w:type="paragraph" w:customStyle="1" w:styleId="Style2">
    <w:name w:val="Style2"/>
    <w:basedOn w:val="Heading3"/>
    <w:link w:val="Style2Char"/>
    <w:qFormat/>
    <w:rsid w:val="00293845"/>
    <w:pPr>
      <w:numPr>
        <w:numId w:val="11"/>
      </w:numPr>
      <w:outlineLvl w:val="9"/>
    </w:pPr>
  </w:style>
  <w:style w:type="character" w:customStyle="1" w:styleId="Style2Char">
    <w:name w:val="Style2 Char"/>
    <w:basedOn w:val="Heading3Char"/>
    <w:link w:val="Style2"/>
    <w:rsid w:val="00293845"/>
    <w:rPr>
      <w:b/>
      <w:color w:val="6B2976"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236595534">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8941972">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62705840">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690181658">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892741396">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276671960">
      <w:bodyDiv w:val="1"/>
      <w:marLeft w:val="0"/>
      <w:marRight w:val="0"/>
      <w:marTop w:val="0"/>
      <w:marBottom w:val="0"/>
      <w:divBdr>
        <w:top w:val="none" w:sz="0" w:space="0" w:color="auto"/>
        <w:left w:val="none" w:sz="0" w:space="0" w:color="auto"/>
        <w:bottom w:val="none" w:sz="0" w:space="0" w:color="auto"/>
        <w:right w:val="none" w:sz="0" w:space="0" w:color="auto"/>
      </w:divBdr>
    </w:div>
    <w:div w:id="1345669061">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601328207">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875270383">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1965308583">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 w:id="21456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dis.gov.au/providers/pricing-arrang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dis.gov.au/providers/price-guides-and-pric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fairwork.gov.au/leave/annual-leave" TargetMode="External"/><Relationship Id="rId7" Type="http://schemas.openxmlformats.org/officeDocument/2006/relationships/hyperlink" Target="https://www.ato.gov.au/rates/key-superannuation-rates-and-thresholds/?anchor=Superguaranteepercentage" TargetMode="External"/><Relationship Id="rId2" Type="http://schemas.openxmlformats.org/officeDocument/2006/relationships/hyperlink" Target="https://www.fairwork.gov.au/employee-entitlements/national-employment-standards" TargetMode="External"/><Relationship Id="rId1" Type="http://schemas.openxmlformats.org/officeDocument/2006/relationships/hyperlink" Target="file:///C:\Users\SIM462\AppData\Local\Microsoft\Windows\INetCache\Content.Outlook\KFLB4EG7\Social,%20Community,%20Home%20Care%20and%20Disability%20Services%20Industry%20Award%202010%20(SCHADS%20Industry%20Award)" TargetMode="External"/><Relationship Id="rId6" Type="http://schemas.openxmlformats.org/officeDocument/2006/relationships/hyperlink" Target="https://www.fairwork.gov.au/leave/long-service-leave" TargetMode="External"/><Relationship Id="rId5" Type="http://schemas.openxmlformats.org/officeDocument/2006/relationships/hyperlink" Target="https://www.fairwork.gov.au/leave/sick-and-carers-leave/paid-sick-and-carers-leave" TargetMode="External"/><Relationship Id="rId4" Type="http://schemas.openxmlformats.org/officeDocument/2006/relationships/hyperlink" Target="https://www.fairwork.gov.au/leave/public-holidays"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4183B-AF2B-46C5-8DF3-075D1512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9B644-2F0A-42AD-9B31-742B4DFC5DCC}">
  <ds:schemaRefs>
    <ds:schemaRef ds:uri="http://schemas.openxmlformats.org/officeDocument/2006/bibliography"/>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24</Pages>
  <Words>9539</Words>
  <Characters>54378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63790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Binny, Dominic</cp:lastModifiedBy>
  <cp:revision>24</cp:revision>
  <cp:lastPrinted>2022-07-13T05:56:00Z</cp:lastPrinted>
  <dcterms:created xsi:type="dcterms:W3CDTF">2022-06-21T01:33:00Z</dcterms:created>
  <dcterms:modified xsi:type="dcterms:W3CDTF">2022-07-13T05:56:00Z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Order">
    <vt:r8>474000</vt:r8>
  </property>
  <property fmtid="{D5CDD505-2E9C-101B-9397-08002B2CF9AE}" pid="11" name="MediaServiceImageTags">
    <vt:lpwstr/>
  </property>
  <property fmtid="{D5CDD505-2E9C-101B-9397-08002B2CF9AE}" pid="12" name="MSIP_Label_2b83f8d7-e91f-4eee-a336-52a8061c0503_Enabled">
    <vt:lpwstr>true</vt:lpwstr>
  </property>
  <property fmtid="{D5CDD505-2E9C-101B-9397-08002B2CF9AE}" pid="13" name="MSIP_Label_2b83f8d7-e91f-4eee-a336-52a8061c0503_SetDate">
    <vt:lpwstr>2022-06-03T05:38:54Z</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iteId">
    <vt:lpwstr>cd778b65-752d-454a-87cf-b9990fe58993</vt:lpwstr>
  </property>
  <property fmtid="{D5CDD505-2E9C-101B-9397-08002B2CF9AE}" pid="17" name="MSIP_Label_2b83f8d7-e91f-4eee-a336-52a8061c0503_ActionId">
    <vt:lpwstr>6ac29806-62d7-47b3-9d41-8eb9e24f9ba2</vt:lpwstr>
  </property>
  <property fmtid="{D5CDD505-2E9C-101B-9397-08002B2CF9AE}" pid="18" name="MSIP_Label_2b83f8d7-e91f-4eee-a336-52a8061c0503_ContentBits">
    <vt:lpwstr>0</vt:lpwstr>
  </property>
</Properties>
</file>